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ascii="Book Antiqua" w:hAnsi="Book Antiqua"/>
          <w:bCs/>
          <w:i/>
        </w:rPr>
      </w:pPr>
      <w:r>
        <w:rPr>
          <w:rFonts w:ascii="Book Antiqua" w:hAnsi="Book Antiqua"/>
          <w:b/>
          <w:bCs/>
        </w:rPr>
        <w:t xml:space="preserve">Name of Journal: </w:t>
      </w:r>
      <w:r>
        <w:rPr>
          <w:rFonts w:ascii="Book Antiqua" w:hAnsi="Book Antiqua"/>
          <w:bCs/>
          <w:i/>
        </w:rPr>
        <w:t>World Journal of Clinical Cases</w:t>
      </w:r>
    </w:p>
    <w:p>
      <w:pPr>
        <w:snapToGrid w:val="0"/>
        <w:spacing w:line="360" w:lineRule="auto"/>
        <w:jc w:val="both"/>
        <w:rPr>
          <w:rFonts w:ascii="Book Antiqua" w:hAnsi="Book Antiqua"/>
          <w:bCs/>
        </w:rPr>
      </w:pPr>
      <w:r>
        <w:rPr>
          <w:rFonts w:ascii="Book Antiqua" w:hAnsi="Book Antiqua"/>
          <w:b/>
          <w:bCs/>
        </w:rPr>
        <w:t xml:space="preserve">Manuscript NO: </w:t>
      </w:r>
      <w:r>
        <w:rPr>
          <w:rFonts w:ascii="Book Antiqua" w:hAnsi="Book Antiqua"/>
          <w:bCs/>
        </w:rPr>
        <w:t>76840</w:t>
      </w:r>
    </w:p>
    <w:p>
      <w:pPr>
        <w:snapToGrid w:val="0"/>
        <w:spacing w:line="360" w:lineRule="auto"/>
        <w:jc w:val="both"/>
        <w:rPr>
          <w:rFonts w:ascii="Book Antiqua" w:hAnsi="Book Antiqua"/>
          <w:bCs/>
        </w:rPr>
      </w:pPr>
      <w:r>
        <w:rPr>
          <w:rFonts w:ascii="Book Antiqua" w:hAnsi="Book Antiqua"/>
          <w:b/>
          <w:bCs/>
        </w:rPr>
        <w:t xml:space="preserve">Manuscript Type: </w:t>
      </w:r>
      <w:r>
        <w:rPr>
          <w:rFonts w:ascii="Book Antiqua" w:hAnsi="Book Antiqua"/>
          <w:bCs/>
        </w:rPr>
        <w:t>CASE REPORT</w:t>
      </w:r>
    </w:p>
    <w:p>
      <w:pPr>
        <w:snapToGrid w:val="0"/>
        <w:spacing w:line="360" w:lineRule="auto"/>
        <w:jc w:val="both"/>
        <w:rPr>
          <w:rFonts w:ascii="Book Antiqua" w:hAnsi="Book Antiqua"/>
          <w:bCs/>
        </w:rPr>
      </w:pPr>
    </w:p>
    <w:p>
      <w:pPr>
        <w:snapToGrid w:val="0"/>
        <w:spacing w:line="360" w:lineRule="auto"/>
        <w:jc w:val="both"/>
        <w:rPr>
          <w:rFonts w:ascii="Book Antiqua" w:hAnsi="Book Antiqua"/>
          <w:b/>
          <w:bCs/>
        </w:rPr>
      </w:pPr>
      <w:r>
        <w:rPr>
          <w:rFonts w:ascii="Book Antiqua" w:hAnsi="Book Antiqua"/>
          <w:b/>
          <w:bCs/>
        </w:rPr>
        <w:t>Renal cell carcinoma presented with a rare case of icteric Stauffer syndrome: A case report</w:t>
      </w:r>
    </w:p>
    <w:p>
      <w:pPr>
        <w:snapToGrid w:val="0"/>
        <w:spacing w:line="360" w:lineRule="auto"/>
        <w:jc w:val="both"/>
        <w:rPr>
          <w:rFonts w:ascii="Book Antiqua" w:hAnsi="Book Antiqua"/>
          <w:color w:val="3C3C3C"/>
          <w:shd w:val="clear" w:color="auto" w:fill="FFFFFF"/>
        </w:rPr>
      </w:pPr>
    </w:p>
    <w:p>
      <w:pPr>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Popov DR </w:t>
      </w:r>
      <w:r>
        <w:rPr>
          <w:rFonts w:ascii="Book Antiqua" w:hAnsi="Book Antiqua"/>
          <w:i/>
          <w:color w:val="000000"/>
          <w:shd w:val="clear" w:color="auto" w:fill="FFFFFF"/>
        </w:rPr>
        <w:t>et al.</w:t>
      </w:r>
      <w:r>
        <w:rPr>
          <w:rFonts w:ascii="Book Antiqua" w:hAnsi="Book Antiqua"/>
          <w:color w:val="000000"/>
          <w:shd w:val="clear" w:color="auto" w:fill="FFFFFF"/>
        </w:rPr>
        <w:t xml:space="preserve"> Rare icteric Stauffer syndrome</w:t>
      </w:r>
    </w:p>
    <w:p>
      <w:pPr>
        <w:snapToGrid w:val="0"/>
        <w:spacing w:line="360" w:lineRule="auto"/>
        <w:jc w:val="both"/>
        <w:rPr>
          <w:rFonts w:ascii="Book Antiqua" w:hAnsi="Book Antiqua"/>
          <w:color w:val="000000"/>
          <w:shd w:val="clear" w:color="auto" w:fill="FFFFFF"/>
        </w:rPr>
      </w:pPr>
    </w:p>
    <w:p>
      <w:pPr>
        <w:snapToGrid w:val="0"/>
        <w:spacing w:line="360" w:lineRule="auto"/>
        <w:jc w:val="both"/>
        <w:rPr>
          <w:rFonts w:ascii="Book Antiqua" w:hAnsi="Book Antiqua"/>
        </w:rPr>
      </w:pPr>
      <w:r>
        <w:rPr>
          <w:rFonts w:ascii="Book Antiqua" w:hAnsi="Book Antiqua"/>
        </w:rPr>
        <w:t>Dimitar R Popov, Krasimir A Antonov, Evelina G Atanasova, Christo P Pentchev, Lyuben M Milatchkov, Maria D Petkova, Krasimir G Neykov, Rosen K Nikolov</w:t>
      </w:r>
    </w:p>
    <w:p>
      <w:pPr>
        <w:snapToGrid w:val="0"/>
        <w:spacing w:line="360" w:lineRule="auto"/>
        <w:jc w:val="both"/>
        <w:rPr>
          <w:rFonts w:ascii="Book Antiqua" w:hAnsi="Book Antiqua"/>
          <w:b/>
          <w:bCs/>
          <w:color w:val="000000"/>
        </w:rPr>
      </w:pPr>
    </w:p>
    <w:p>
      <w:pPr>
        <w:snapToGrid w:val="0"/>
        <w:spacing w:line="360" w:lineRule="auto"/>
        <w:jc w:val="both"/>
        <w:rPr>
          <w:rFonts w:ascii="Book Antiqua" w:hAnsi="Book Antiqua"/>
        </w:rPr>
      </w:pPr>
      <w:r>
        <w:rPr>
          <w:rFonts w:ascii="Book Antiqua" w:hAnsi="Book Antiqua"/>
          <w:b/>
        </w:rPr>
        <w:t xml:space="preserve">Dimitar R Popov, Krasimir A Antonov, Christo P Pentchev, Maria D Petkova, Rosen K Nikolov, </w:t>
      </w:r>
      <w:r>
        <w:rPr>
          <w:rFonts w:ascii="Book Antiqua" w:hAnsi="Book Antiqua"/>
        </w:rPr>
        <w:t>Medical University of Sofia, Sofia 1431, Bulgaria</w:t>
      </w:r>
    </w:p>
    <w:p>
      <w:pPr>
        <w:snapToGrid w:val="0"/>
        <w:spacing w:line="360" w:lineRule="auto"/>
        <w:jc w:val="both"/>
        <w:rPr>
          <w:rFonts w:ascii="Book Antiqua" w:hAnsi="Book Antiqua"/>
          <w:vertAlign w:val="superscript"/>
        </w:rPr>
      </w:pPr>
    </w:p>
    <w:p>
      <w:pPr>
        <w:snapToGrid w:val="0"/>
        <w:spacing w:line="360" w:lineRule="auto"/>
        <w:jc w:val="both"/>
        <w:rPr>
          <w:rFonts w:ascii="Book Antiqua" w:hAnsi="Book Antiqua"/>
        </w:rPr>
      </w:pPr>
      <w:r>
        <w:rPr>
          <w:rFonts w:ascii="Book Antiqua" w:hAnsi="Book Antiqua"/>
          <w:b/>
        </w:rPr>
        <w:t xml:space="preserve">Dimitar R Popov, Krasimir A Antonov, Evelina G Atanasova, Christo P Pentchev, Lyuben M Milatchkov, Maria D Petkova, Rosen K Nikolov, </w:t>
      </w:r>
      <w:r>
        <w:rPr>
          <w:rFonts w:ascii="Book Antiqua" w:hAnsi="Book Antiqua"/>
        </w:rPr>
        <w:t>Clinic of Gastroenterology, University Hospital ’St. Ivan Rilski’, Sofia 1431, Bulgaria</w:t>
      </w:r>
    </w:p>
    <w:p>
      <w:pPr>
        <w:snapToGrid w:val="0"/>
        <w:spacing w:line="360" w:lineRule="auto"/>
        <w:jc w:val="both"/>
        <w:rPr>
          <w:rFonts w:ascii="Book Antiqua" w:hAnsi="Book Antiqua"/>
          <w:vertAlign w:val="superscript"/>
        </w:rPr>
      </w:pPr>
    </w:p>
    <w:p>
      <w:pPr>
        <w:snapToGrid w:val="0"/>
        <w:spacing w:line="360" w:lineRule="auto"/>
        <w:jc w:val="both"/>
        <w:rPr>
          <w:rFonts w:ascii="Book Antiqua" w:hAnsi="Book Antiqua"/>
        </w:rPr>
      </w:pPr>
      <w:r>
        <w:rPr>
          <w:rFonts w:ascii="Book Antiqua" w:hAnsi="Book Antiqua"/>
          <w:b/>
        </w:rPr>
        <w:t xml:space="preserve">Krasimir G Neykov, </w:t>
      </w:r>
      <w:r>
        <w:rPr>
          <w:rFonts w:ascii="Book Antiqua" w:hAnsi="Book Antiqua"/>
        </w:rPr>
        <w:t>Clinic of Urology, National Oncology Hospital, Sofia 1756, Bulgaria</w:t>
      </w:r>
    </w:p>
    <w:p>
      <w:pPr>
        <w:snapToGrid w:val="0"/>
        <w:spacing w:line="360" w:lineRule="auto"/>
        <w:jc w:val="both"/>
        <w:rPr>
          <w:rFonts w:ascii="Book Antiqua" w:hAnsi="Book Antiqua"/>
          <w:b/>
        </w:rPr>
      </w:pPr>
    </w:p>
    <w:p>
      <w:pPr>
        <w:autoSpaceDE w:val="0"/>
        <w:autoSpaceDN w:val="0"/>
        <w:adjustRightInd w:val="0"/>
        <w:snapToGrid w:val="0"/>
        <w:spacing w:line="360" w:lineRule="auto"/>
        <w:jc w:val="both"/>
        <w:rPr>
          <w:rFonts w:ascii="Book Antiqua" w:hAnsi="Book Antiqua" w:cs="TimesNewRomanPSMT"/>
          <w:lang w:eastAsia="bg-BG"/>
        </w:rPr>
      </w:pPr>
      <w:r>
        <w:rPr>
          <w:rFonts w:ascii="Book Antiqua" w:hAnsi="Book Antiqua" w:cs="Tahoma"/>
          <w:b/>
          <w:lang w:eastAsia="bg-BG"/>
        </w:rPr>
        <w:t xml:space="preserve">Author contributions: </w:t>
      </w:r>
      <w:r>
        <w:rPr>
          <w:rFonts w:ascii="Book Antiqua" w:hAnsi="Book Antiqua" w:cs="TimesNewRomanPSMT"/>
          <w:lang w:eastAsia="bg-BG"/>
        </w:rPr>
        <w:t>Popov DR, Antonov KA, and Nikolov RK conceived and supervised the study; Atanasova EG, Pentchev CP, Milatchkov LM, and Petkova MD collected the clinical data and followed up with the patient; Popov DR and Antonov KA analyzed the data; Neykov KG contributed to the nephrectomy procedures; Pentchev CP, Atanasova EG, Milatchkov LM, and Petkova MD wrote the paper; a</w:t>
      </w:r>
      <w:r>
        <w:rPr>
          <w:rFonts w:ascii="Book Antiqua" w:hAnsi="Book Antiqua"/>
        </w:rPr>
        <w:t>ll authors have read and approved the final manuscript</w:t>
      </w:r>
      <w:r>
        <w:rPr>
          <w:rFonts w:ascii="Book Antiqua" w:hAnsi="Book Antiqua" w:cs="TimesNewRomanPSMT"/>
          <w:lang w:eastAsia="bg-BG"/>
        </w:rPr>
        <w:t>.</w:t>
      </w:r>
    </w:p>
    <w:p>
      <w:pPr>
        <w:autoSpaceDE w:val="0"/>
        <w:autoSpaceDN w:val="0"/>
        <w:adjustRightInd w:val="0"/>
        <w:snapToGrid w:val="0"/>
        <w:spacing w:line="360" w:lineRule="auto"/>
        <w:jc w:val="both"/>
        <w:rPr>
          <w:rFonts w:ascii="Book Antiqua" w:hAnsi="Book Antiqua" w:cs="TimesNewRomanPSMT"/>
          <w:lang w:eastAsia="bg-BG"/>
        </w:rPr>
      </w:pPr>
    </w:p>
    <w:p>
      <w:pPr>
        <w:snapToGrid w:val="0"/>
        <w:spacing w:line="360" w:lineRule="auto"/>
        <w:jc w:val="both"/>
        <w:rPr>
          <w:rFonts w:ascii="Book Antiqua" w:hAnsi="Book Antiqua"/>
          <w:color w:val="000000"/>
        </w:rPr>
      </w:pPr>
      <w:r>
        <w:rPr>
          <w:rFonts w:ascii="Book Antiqua" w:hAnsi="Book Antiqua"/>
          <w:b/>
        </w:rPr>
        <w:t xml:space="preserve">Corresponding author: Evelina G Atanasova, MD, PhD, Staff Physician, </w:t>
      </w:r>
      <w:r>
        <w:rPr>
          <w:rFonts w:ascii="Book Antiqua" w:hAnsi="Book Antiqua"/>
        </w:rPr>
        <w:t xml:space="preserve">Clinic of Gastroenterology, University Hospital ‘St. Ivan Rilski’, ‘Akademik Ivan Evstratiev Geshov’ Blvd. No. 15, Sofia 1431, Bulgaria. </w:t>
      </w:r>
      <w:r>
        <w:fldChar w:fldCharType="begin"/>
      </w:r>
      <w:r>
        <w:instrText xml:space="preserve"> HYPERLINK "mailto:eva_gatanasova@abv.bg" </w:instrText>
      </w:r>
      <w:r>
        <w:fldChar w:fldCharType="separate"/>
      </w:r>
      <w:r>
        <w:rPr>
          <w:rStyle w:val="13"/>
          <w:rFonts w:ascii="Book Antiqua" w:hAnsi="Book Antiqua"/>
          <w:color w:val="000000"/>
          <w:u w:val="none"/>
        </w:rPr>
        <w:t>eva_gatanasova@abv.bg</w:t>
      </w:r>
      <w:r>
        <w:rPr>
          <w:rStyle w:val="13"/>
          <w:rFonts w:ascii="Book Antiqua" w:hAnsi="Book Antiqua"/>
          <w:color w:val="000000"/>
          <w:u w:val="none"/>
        </w:rPr>
        <w:fldChar w:fldCharType="end"/>
      </w:r>
    </w:p>
    <w:p>
      <w:pPr>
        <w:snapToGrid w:val="0"/>
        <w:spacing w:line="360" w:lineRule="auto"/>
        <w:jc w:val="both"/>
        <w:rPr>
          <w:rFonts w:ascii="Book Antiqua" w:hAnsi="Book Antiqua"/>
          <w:color w:val="000000"/>
        </w:rPr>
      </w:pPr>
    </w:p>
    <w:p>
      <w:pPr>
        <w:snapToGrid w:val="0"/>
        <w:spacing w:line="360" w:lineRule="auto"/>
        <w:jc w:val="both"/>
        <w:rPr>
          <w:rFonts w:ascii="Book Antiqua" w:hAnsi="Book Antiqua"/>
          <w:b/>
          <w:bCs/>
          <w:color w:val="000000"/>
        </w:rPr>
      </w:pPr>
      <w:r>
        <w:rPr>
          <w:rFonts w:ascii="Book Antiqua" w:hAnsi="Book Antiqua"/>
          <w:b/>
          <w:bCs/>
          <w:color w:val="000000"/>
        </w:rPr>
        <w:t>Received:</w:t>
      </w:r>
      <w:r>
        <w:rPr>
          <w:rFonts w:ascii="Book Antiqua" w:hAnsi="Book Antiqua" w:eastAsia="Book Antiqua" w:cs="Book Antiqua"/>
          <w:color w:val="000000"/>
        </w:rPr>
        <w:t xml:space="preserve"> April 2, 2022</w:t>
      </w:r>
    </w:p>
    <w:p>
      <w:pPr>
        <w:snapToGrid w:val="0"/>
        <w:spacing w:line="360" w:lineRule="auto"/>
        <w:jc w:val="both"/>
        <w:rPr>
          <w:rFonts w:ascii="Book Antiqua" w:hAnsi="Book Antiqua"/>
          <w:b/>
          <w:bCs/>
          <w:color w:val="000000"/>
        </w:rPr>
      </w:pPr>
      <w:r>
        <w:rPr>
          <w:rFonts w:ascii="Book Antiqua" w:hAnsi="Book Antiqua"/>
          <w:b/>
          <w:bCs/>
          <w:color w:val="000000"/>
        </w:rPr>
        <w:t xml:space="preserve">Revised: </w:t>
      </w:r>
      <w:r>
        <w:rPr>
          <w:rFonts w:ascii="Book Antiqua" w:hAnsi="Book Antiqua"/>
          <w:color w:val="000000"/>
        </w:rPr>
        <w:t>June 16, 2022</w:t>
      </w:r>
    </w:p>
    <w:p>
      <w:pPr>
        <w:snapToGrid w:val="0"/>
        <w:spacing w:line="360" w:lineRule="auto"/>
        <w:jc w:val="both"/>
        <w:rPr>
          <w:rFonts w:ascii="Book Antiqua" w:hAnsi="Book Antiqua"/>
          <w:b/>
          <w:bCs/>
          <w:color w:val="000000"/>
        </w:rPr>
      </w:pPr>
      <w:r>
        <w:rPr>
          <w:rFonts w:ascii="Book Antiqua" w:hAnsi="Book Antiqua"/>
          <w:b/>
          <w:bCs/>
          <w:color w:val="000000"/>
        </w:rPr>
        <w:t>Accepted:</w:t>
      </w:r>
      <w:r>
        <w:t xml:space="preserve"> </w:t>
      </w:r>
      <w:r>
        <w:rPr>
          <w:rFonts w:ascii="Book Antiqua" w:hAnsi="Book Antiqua"/>
          <w:color w:val="000000"/>
        </w:rPr>
        <w:t>August 1, 2022</w:t>
      </w:r>
    </w:p>
    <w:p>
      <w:pPr>
        <w:rPr>
          <w:rFonts w:hint="eastAsia"/>
        </w:rPr>
      </w:pPr>
      <w:r>
        <w:rPr>
          <w:rFonts w:ascii="Book Antiqua" w:hAnsi="Book Antiqua"/>
          <w:b/>
          <w:bCs/>
          <w:color w:val="000000"/>
        </w:rPr>
        <w:t xml:space="preserve">Published online: </w:t>
      </w:r>
      <w:r>
        <w:rPr>
          <w:rFonts w:ascii="Book Antiqua" w:hAnsi="Book Antiqua"/>
          <w:color w:val="000000"/>
          <w:shd w:val="clear" w:color="auto" w:fill="FFFFFF"/>
        </w:rPr>
        <w:t>September 6, 2022</w:t>
      </w:r>
    </w:p>
    <w:p>
      <w:pPr>
        <w:rPr>
          <w:rFonts w:ascii="Book Antiqua" w:hAnsi="Book Antiqua" w:eastAsia="Times New Roman"/>
          <w:b/>
          <w:bCs/>
          <w:color w:val="000000"/>
        </w:rPr>
      </w:pPr>
      <w:r>
        <w:rPr>
          <w:rFonts w:ascii="Book Antiqua" w:hAnsi="Book Antiqua" w:eastAsia="Times New Roman"/>
          <w:b/>
          <w:bCs/>
          <w:color w:val="000000"/>
        </w:rPr>
        <w:br w:type="page"/>
      </w:r>
    </w:p>
    <w:p>
      <w:pPr>
        <w:shd w:val="clear" w:color="auto" w:fill="FFFFFF"/>
        <w:snapToGrid w:val="0"/>
        <w:spacing w:line="360" w:lineRule="auto"/>
        <w:jc w:val="both"/>
        <w:rPr>
          <w:rFonts w:ascii="Book Antiqua" w:hAnsi="Book Antiqua" w:eastAsia="Times New Roman"/>
          <w:b/>
          <w:bCs/>
          <w:color w:val="000000"/>
        </w:rPr>
      </w:pPr>
      <w:r>
        <w:rPr>
          <w:rFonts w:ascii="Book Antiqua" w:hAnsi="Book Antiqua" w:eastAsia="Times New Roman"/>
          <w:b/>
          <w:bCs/>
          <w:color w:val="000000"/>
        </w:rPr>
        <w:t>Abstract</w:t>
      </w:r>
    </w:p>
    <w:p>
      <w:pPr>
        <w:shd w:val="clear" w:color="auto" w:fill="FFFFFF"/>
        <w:snapToGrid w:val="0"/>
        <w:spacing w:line="360" w:lineRule="auto"/>
        <w:jc w:val="both"/>
        <w:rPr>
          <w:rFonts w:ascii="Book Antiqua" w:hAnsi="Book Antiqua" w:eastAsia="Times New Roman"/>
          <w:color w:val="000000"/>
        </w:rPr>
      </w:pPr>
      <w:r>
        <w:rPr>
          <w:rFonts w:ascii="Book Antiqua" w:hAnsi="Book Antiqua" w:eastAsia="Times New Roman"/>
          <w:color w:val="000000"/>
        </w:rPr>
        <w:t>BACKGROUND</w:t>
      </w:r>
    </w:p>
    <w:p>
      <w:pPr>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Paraneoplastic syndromes remain poorly understood and manifest as multifaceted clinical symptoms, making their diagnosis difficult. Cholestasis can be observed in various malignancies. In rare cases, it can be a paraneoplastic manifestation, most often associated with renal cell carcinoma and other urogenital tumors, as well as with bronchial carcinoma. The </w:t>
      </w:r>
      <w:r>
        <w:rPr>
          <w:rFonts w:ascii="Book Antiqua" w:hAnsi="Book Antiqua"/>
          <w:color w:val="222222"/>
          <w:shd w:val="clear" w:color="auto" w:fill="FFFFFF"/>
        </w:rPr>
        <w:t>classical form of Stauffer syndrome presents with a reversible anicteric increase of cholestatic liver function tests, thrombocytosis, coagulation impairment, and hepatosplenomegaly, without any proven hepatobiliary obstruction or metastases.</w:t>
      </w:r>
    </w:p>
    <w:p>
      <w:pPr>
        <w:shd w:val="clear" w:color="auto" w:fill="FFFFFF"/>
        <w:snapToGrid w:val="0"/>
        <w:spacing w:line="360" w:lineRule="auto"/>
        <w:jc w:val="both"/>
        <w:rPr>
          <w:rFonts w:ascii="Book Antiqua" w:hAnsi="Book Antiqua"/>
          <w:color w:val="222222"/>
          <w:shd w:val="clear" w:color="auto" w:fill="FFFFFF"/>
        </w:rPr>
      </w:pPr>
    </w:p>
    <w:p>
      <w:pPr>
        <w:shd w:val="clear" w:color="auto" w:fill="FFFFFF"/>
        <w:snapToGrid w:val="0"/>
        <w:spacing w:line="360" w:lineRule="auto"/>
        <w:jc w:val="both"/>
        <w:rPr>
          <w:rFonts w:ascii="Book Antiqua" w:hAnsi="Book Antiqua"/>
          <w:color w:val="222222"/>
          <w:shd w:val="clear" w:color="auto" w:fill="FFFFFF"/>
        </w:rPr>
      </w:pPr>
      <w:r>
        <w:rPr>
          <w:rFonts w:ascii="Book Antiqua" w:hAnsi="Book Antiqua"/>
          <w:color w:val="222222"/>
          <w:shd w:val="clear" w:color="auto" w:fill="FFFFFF"/>
        </w:rPr>
        <w:t xml:space="preserve">CASE SUMMARY </w:t>
      </w:r>
    </w:p>
    <w:p>
      <w:pPr>
        <w:shd w:val="clear" w:color="auto" w:fill="FFFFFF"/>
        <w:snapToGrid w:val="0"/>
        <w:spacing w:line="360" w:lineRule="auto"/>
        <w:jc w:val="both"/>
        <w:rPr>
          <w:rFonts w:ascii="Book Antiqua" w:hAnsi="Book Antiqua"/>
          <w:color w:val="222222"/>
          <w:shd w:val="clear" w:color="auto" w:fill="FFFFFF"/>
        </w:rPr>
      </w:pPr>
      <w:r>
        <w:rPr>
          <w:rFonts w:ascii="Book Antiqua" w:hAnsi="Book Antiqua"/>
          <w:color w:val="222222"/>
          <w:shd w:val="clear" w:color="auto" w:fill="FFFFFF"/>
        </w:rPr>
        <w:t>We report a patient who presented with elevated liver enzymes, cholestatic jaundice, weight loss and pruritus, in whom renal cell carcinoma was incidentally found during hospitalization. Clinical, laboratory, and imaging tests excluded primary hepatic cause or metastatic disease. Jaundice and laboratory abnormalities reversed completely a few months after nephrectomy. This case is an example of the many sides of renal cell carcinoma, and it focuses the clinicians’ attention on the differential diagnosis of cholestasis, including Stauffer syndrome and its variant. Thus, the correct diagnosis can be straightforward and the associated malignancy can be treated promptly. All cases should be followed up with a multidisciplinary team. Interleukin (IL)-6 is proposed to contribute to the pathophysiology of the condition. The probable mechanism is proinflammatory activity by the IL-6 cytokine, causing elevation of C-reactive protein and haptoglobin and inhibition of hepatobiliary transporter gene expression, impairing biliary outflow.</w:t>
      </w:r>
    </w:p>
    <w:p>
      <w:pPr>
        <w:shd w:val="clear" w:color="auto" w:fill="FFFFFF"/>
        <w:snapToGrid w:val="0"/>
        <w:spacing w:line="360" w:lineRule="auto"/>
        <w:jc w:val="both"/>
        <w:rPr>
          <w:rFonts w:ascii="Book Antiqua" w:hAnsi="Book Antiqua"/>
          <w:color w:val="222222"/>
          <w:shd w:val="clear" w:color="auto" w:fill="FFFFFF"/>
        </w:rPr>
      </w:pPr>
      <w:r>
        <w:rPr>
          <w:rFonts w:ascii="Book Antiqua" w:hAnsi="Book Antiqua"/>
          <w:color w:val="222222"/>
          <w:shd w:val="clear" w:color="auto" w:fill="FFFFFF"/>
        </w:rPr>
        <w:t xml:space="preserve"> </w:t>
      </w:r>
    </w:p>
    <w:p>
      <w:pPr>
        <w:shd w:val="clear" w:color="auto" w:fill="FFFFFF"/>
        <w:snapToGrid w:val="0"/>
        <w:spacing w:line="360" w:lineRule="auto"/>
        <w:jc w:val="both"/>
        <w:rPr>
          <w:rFonts w:ascii="Book Antiqua" w:hAnsi="Book Antiqua"/>
          <w:color w:val="222222"/>
          <w:shd w:val="clear" w:color="auto" w:fill="FFFFFF"/>
        </w:rPr>
      </w:pPr>
      <w:r>
        <w:rPr>
          <w:rFonts w:ascii="Book Antiqua" w:hAnsi="Book Antiqua"/>
          <w:color w:val="222222"/>
          <w:shd w:val="clear" w:color="auto" w:fill="FFFFFF"/>
        </w:rPr>
        <w:t>CONCLUSION</w:t>
      </w:r>
    </w:p>
    <w:p>
      <w:pPr>
        <w:shd w:val="clear" w:color="auto" w:fill="FFFFFF"/>
        <w:snapToGrid w:val="0"/>
        <w:spacing w:line="360" w:lineRule="auto"/>
        <w:jc w:val="both"/>
        <w:rPr>
          <w:rFonts w:ascii="Book Antiqua" w:hAnsi="Book Antiqua"/>
        </w:rPr>
      </w:pPr>
      <w:r>
        <w:rPr>
          <w:rFonts w:ascii="Book Antiqua" w:hAnsi="Book Antiqua"/>
          <w:color w:val="222222"/>
          <w:shd w:val="clear" w:color="auto" w:fill="FFFFFF"/>
        </w:rPr>
        <w:t>Despite being rare,</w:t>
      </w:r>
      <w:r>
        <w:rPr>
          <w:rFonts w:ascii="Book Antiqua" w:hAnsi="Book Antiqua" w:eastAsia="Times New Roman"/>
          <w:color w:val="000000"/>
        </w:rPr>
        <w:t xml:space="preserve"> Stauffer syndrome is a potentially reversible paraneoplastic condition, when the primary cause is treatable. </w:t>
      </w:r>
      <w:r>
        <w:rPr>
          <w:rFonts w:ascii="Book Antiqua" w:hAnsi="Book Antiqua"/>
          <w:bCs/>
        </w:rPr>
        <w:t>This syndrome should be considered by clinicians bec</w:t>
      </w:r>
      <w:r>
        <w:rPr>
          <w:rFonts w:ascii="Book Antiqua" w:hAnsi="Book Antiqua"/>
        </w:rPr>
        <w:t>ause of the remediable liver disturbance, after successful treatment of the underlying malignancy.</w:t>
      </w:r>
    </w:p>
    <w:p>
      <w:pPr>
        <w:shd w:val="clear" w:color="auto" w:fill="FFFFFF"/>
        <w:snapToGrid w:val="0"/>
        <w:spacing w:line="360" w:lineRule="auto"/>
        <w:jc w:val="both"/>
        <w:rPr>
          <w:rFonts w:ascii="Book Antiqua" w:hAnsi="Book Antiqua" w:eastAsia="Times New Roman"/>
          <w:color w:val="000000"/>
        </w:rPr>
      </w:pPr>
    </w:p>
    <w:p>
      <w:pPr>
        <w:shd w:val="clear" w:color="auto" w:fill="FFFFFF"/>
        <w:snapToGrid w:val="0"/>
        <w:spacing w:line="360" w:lineRule="auto"/>
        <w:jc w:val="both"/>
        <w:rPr>
          <w:rFonts w:ascii="Book Antiqua" w:hAnsi="Book Antiqua" w:eastAsia="Times New Roman"/>
          <w:color w:val="000000"/>
        </w:rPr>
      </w:pPr>
      <w:r>
        <w:rPr>
          <w:rFonts w:ascii="Book Antiqua" w:hAnsi="Book Antiqua" w:eastAsia="Times New Roman"/>
          <w:b/>
          <w:bCs/>
          <w:color w:val="000000"/>
        </w:rPr>
        <w:t xml:space="preserve">Key Words: </w:t>
      </w:r>
      <w:r>
        <w:rPr>
          <w:rFonts w:ascii="Book Antiqua" w:hAnsi="Book Antiqua" w:eastAsia="Times New Roman"/>
          <w:color w:val="000000"/>
        </w:rPr>
        <w:t>Jaundice; Cholestasis; Renal cell carcinoma; Stauffer syndrome; Case report</w:t>
      </w:r>
    </w:p>
    <w:p>
      <w:pPr>
        <w:shd w:val="clear" w:color="auto" w:fill="FFFFFF"/>
        <w:snapToGrid w:val="0"/>
        <w:spacing w:line="360" w:lineRule="auto"/>
        <w:jc w:val="both"/>
        <w:rPr>
          <w:rFonts w:ascii="Book Antiqua" w:hAnsi="Book Antiqua" w:eastAsia="Times New Roman"/>
          <w:b/>
          <w:bCs/>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hd w:val="clear" w:color="auto" w:fill="FFFFFF"/>
        <w:snapToGrid w:val="0"/>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color w:val="000000"/>
          <w:shd w:val="clear" w:color="auto" w:fill="FFFFFF"/>
        </w:rPr>
        <w:t>Popov DR</w:t>
      </w:r>
      <w:r>
        <w:rPr>
          <w:rFonts w:ascii="Book Antiqua" w:hAnsi="Book Antiqua"/>
        </w:rPr>
        <w:t xml:space="preserve">, Antonov KA, Atanasova EG, Pentchev CP, Milatchkov LM, Petkova MD, Neykov KG, Nikolov RK. Renal cell carcinoma presented with a rare case of icteric Stauffer syndrome: A case report. </w:t>
      </w:r>
      <w:r>
        <w:rPr>
          <w:rFonts w:ascii="Book Antiqua" w:hAnsi="Book Antiqua"/>
          <w:i/>
          <w:iCs/>
        </w:rPr>
        <w:t>World J Clin Cases</w:t>
      </w:r>
      <w:r>
        <w:rPr>
          <w:rFonts w:ascii="Book Antiqua" w:hAnsi="Book Antiqua"/>
        </w:rPr>
        <w:t xml:space="preserve"> 2022;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9087-9095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9087</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9087</w:t>
      </w:r>
    </w:p>
    <w:p>
      <w:pPr>
        <w:snapToGrid w:val="0"/>
        <w:spacing w:line="360" w:lineRule="auto"/>
        <w:jc w:val="both"/>
        <w:rPr>
          <w:rFonts w:ascii="Book Antiqua" w:hAnsi="Book Antiqua"/>
        </w:rPr>
      </w:pPr>
    </w:p>
    <w:p>
      <w:pPr>
        <w:shd w:val="clear" w:color="auto" w:fill="FFFFFF"/>
        <w:snapToGrid w:val="0"/>
        <w:spacing w:line="360" w:lineRule="auto"/>
        <w:jc w:val="both"/>
        <w:rPr>
          <w:rFonts w:ascii="Book Antiqua" w:hAnsi="Book Antiqua" w:eastAsia="Times New Roman"/>
          <w:b/>
          <w:bCs/>
          <w:color w:val="000000"/>
        </w:rPr>
      </w:pPr>
    </w:p>
    <w:p>
      <w:pPr>
        <w:shd w:val="clear" w:color="auto" w:fill="FFFFFF"/>
        <w:snapToGrid w:val="0"/>
        <w:spacing w:line="360" w:lineRule="auto"/>
        <w:jc w:val="both"/>
        <w:rPr>
          <w:rFonts w:ascii="Book Antiqua" w:hAnsi="Book Antiqua" w:eastAsia="Times New Roman"/>
          <w:color w:val="000000"/>
        </w:rPr>
      </w:pPr>
      <w:r>
        <w:rPr>
          <w:rFonts w:ascii="Book Antiqua" w:hAnsi="Book Antiqua" w:eastAsia="Times New Roman"/>
          <w:b/>
          <w:bCs/>
          <w:color w:val="000000"/>
        </w:rPr>
        <w:t>Core Tip:</w:t>
      </w:r>
      <w:r>
        <w:rPr>
          <w:rFonts w:ascii="Book Antiqua" w:hAnsi="Book Antiqua" w:eastAsia="Times New Roman"/>
          <w:color w:val="000000"/>
        </w:rPr>
        <w:t xml:space="preserve"> Initial presentation of jaundice, in cases of non-hepatic malignancy, is generally associated with metastatic liver disease. Despite the increased bilirubin levels, surgical treatment, when possible, is an appropriate approach in a case with non-metastatic cholestatic syndrome. Stauffer syndrome is a rare presentation of kidney and urinary tract malignancies and even rarer when presented with jaundice.</w:t>
      </w:r>
    </w:p>
    <w:p>
      <w:pPr>
        <w:snapToGrid w:val="0"/>
        <w:spacing w:line="360" w:lineRule="auto"/>
        <w:jc w:val="both"/>
        <w:rPr>
          <w:rFonts w:ascii="Book Antiqua" w:hAnsi="Book Antiqua"/>
          <w:b/>
          <w:bCs/>
          <w:u w:val="single"/>
        </w:rPr>
      </w:pPr>
    </w:p>
    <w:p>
      <w:pPr>
        <w:snapToGrid w:val="0"/>
        <w:spacing w:line="360" w:lineRule="auto"/>
        <w:jc w:val="both"/>
        <w:rPr>
          <w:rFonts w:ascii="Book Antiqua" w:hAnsi="Book Antiqua"/>
          <w:b/>
          <w:bCs/>
          <w:u w:val="single"/>
        </w:rPr>
      </w:pPr>
      <w:r>
        <w:rPr>
          <w:rFonts w:ascii="Book Antiqua" w:hAnsi="Book Antiqua"/>
          <w:b/>
          <w:bCs/>
          <w:u w:val="single"/>
        </w:rPr>
        <w:t>INTRODUCTION</w:t>
      </w:r>
    </w:p>
    <w:p>
      <w:pPr>
        <w:snapToGrid w:val="0"/>
        <w:spacing w:line="360" w:lineRule="auto"/>
        <w:jc w:val="both"/>
        <w:rPr>
          <w:rFonts w:ascii="Book Antiqua" w:hAnsi="Book Antiqua"/>
          <w:vertAlign w:val="subscript"/>
        </w:rPr>
      </w:pPr>
      <w:r>
        <w:rPr>
          <w:rFonts w:ascii="Book Antiqua" w:hAnsi="Book Antiqua"/>
          <w:bCs/>
        </w:rPr>
        <w:t>In 1961, Herbert Maurice Stauffer, an American gastroenterologist, first described a syndrome associated with hypernephroma, low blood levels of albumin, elevated gamma globulins, high alkaline phosphatase (AP) and prolonged prothrombin time, with normalization of liver function tests achieved upon successful treatment of the underlying malignancy</w:t>
      </w:r>
      <w:r>
        <w:rPr>
          <w:rFonts w:ascii="Book Antiqua" w:hAnsi="Book Antiqua"/>
          <w:bCs/>
          <w:vertAlign w:val="superscript"/>
        </w:rPr>
        <w:t>[</w:t>
      </w:r>
      <w:r>
        <w:rPr>
          <w:rFonts w:ascii="Book Antiqua" w:hAnsi="Book Antiqua"/>
          <w:bCs/>
          <w:vertAlign w:val="superscript"/>
        </w:rPr>
        <w:fldChar w:fldCharType="begin" w:fldLock="1"/>
      </w:r>
      <w:r>
        <w:rPr>
          <w:rFonts w:ascii="Book Antiqua" w:hAnsi="Book Antiqua"/>
          <w:bCs/>
          <w:vertAlign w:val="superscript"/>
        </w:rPr>
        <w:instrText xml:space="preserve">ADDIN CSL_CITATION {"citationItems":[{"id":"ITEM-1","itemData":{"author":[{"dropping-particle":"","family":"Stauffer","given":"H.","non-dropping-particle":"","parse-names":false,"suffix":""}],"container-title":"Gastroenterology","id":"ITEM-1","issued":{"date-parts":[["1961"]]},"page":"694","title":"Nephrogenous hepatosplenomegaly","type":"article-journal","volume":"40"},"uris":["http://www.mendeley.com/documents/?uuid=7db9e703-ac99-4813-9f66-e789faa94f33"]}],"mendeley":{"formattedCitation":"&lt;sup&gt;1&lt;/sup&gt;","plainTextFormattedCitation":"1","previouslyFormattedCitation":"&lt;sup&gt;1&lt;/sup&gt;"},"properties":{"noteIndex":0},"schema":"https://github.com/citation-style-language/schema/raw/master/csl-citation.json"}</w:instrText>
      </w:r>
      <w:r>
        <w:rPr>
          <w:rFonts w:ascii="Book Antiqua" w:hAnsi="Book Antiqua"/>
          <w:bCs/>
          <w:vertAlign w:val="superscript"/>
        </w:rPr>
        <w:fldChar w:fldCharType="separate"/>
      </w:r>
      <w:r>
        <w:rPr>
          <w:rFonts w:ascii="Book Antiqua" w:hAnsi="Book Antiqua"/>
          <w:bCs/>
          <w:vertAlign w:val="superscript"/>
        </w:rPr>
        <w:t>1</w:t>
      </w:r>
      <w:r>
        <w:rPr>
          <w:rFonts w:ascii="Book Antiqua" w:hAnsi="Book Antiqua"/>
          <w:bCs/>
          <w:vertAlign w:val="superscript"/>
        </w:rPr>
        <w:fldChar w:fldCharType="end"/>
      </w:r>
      <w:r>
        <w:rPr>
          <w:rFonts w:ascii="Book Antiqua" w:hAnsi="Book Antiqua"/>
          <w:bCs/>
          <w:vertAlign w:val="superscript"/>
        </w:rPr>
        <w:t>]</w:t>
      </w:r>
      <w:r>
        <w:rPr>
          <w:rFonts w:ascii="Book Antiqua" w:hAnsi="Book Antiqua"/>
          <w:bCs/>
        </w:rPr>
        <w:t xml:space="preserve">. </w:t>
      </w:r>
      <w:r>
        <w:rPr>
          <w:rFonts w:ascii="Book Antiqua" w:hAnsi="Book Antiqua"/>
          <w:shd w:val="clear" w:color="auto" w:fill="FFFFFF"/>
        </w:rPr>
        <w:t>Stauffer syndrome is observed in 3% to 6% of cases of renal cell carcinoma (RCC)</w:t>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{"citationItems":[{"id":"ITEM-1","itemData":{"DOI":"10.1097/00042737-199703000-00018","ISSN":"0954-691X (Print)","PMID":"9096437","abstract":"Malignant diseases may cause cholestatic jaundice through either main bile duct  obstruction or widespread hepatic metastasis. Renal cell carcinoma (hypernephroma, RCC) can cause a variety of paraneoplastic manifestations which can be the main presenting symptoms. Cholestasis, as a paraneoplastic syndrome, has been well described in patients with malignant lymphohyperplastic diseases. Non-metastatic nephrogenic hepatic dysfunction syndrome without jaundice has often been described in patients with hypernephroma (Stauffer's syndrome). Paraneoplastic cholestatic jaundice has not yet been described. We report, for the first time, two patients who presented with pruritus and cholestatic jaundice. During the diagnostic work-up, RCC was diagnosed. The renal tumour was an unexpected finding during computed tomographic (CT) scan. No clinical manifestations of hypernephroma, short of microscopic haematuria, were detected. Conjugated bilirubin, alkaline phosphatase and gamma-glutamyltranspeptidase were markedly increased. No hepatic metastasis or main bile duct obstruction were detected by appropriate investigations. After radical nephrectomy, liver abnormalities disappeared rapidly. We conclude that RCC should be included among neoplasms causing not only anicteric intrahepatic cholestasis but also frank jaundice as part of a paraneoplastic syndrome. The differential diagnosis from hepatic metastasis, main bile duct obstruction or other causes of jaundice is of clinical importance and of prognostic value. Patients with unexplained cholestasis should be investigated for malignant diseases including hypernephroma.","author":[{"dropping-particle":"","family":"Dourakis","given":"S P","non-dropping-particle":"","parse-names":false,"suffix":""},{"dropping-particle":"","family":"Sinani","given":"C","non-dropping-particle":"","parse-names":false,"suffix":""},{"dropping-particle":"","family":"Deutsch","given":"M","non-dropping-particle":"","parse-names":false,"suffix":""},{"dropping-particle":"","family":"Dimitriadou","given":"E","non-dropping-particle":"","parse-names":false,"suffix":""},{"dropping-particle":"","family":"Hadziyannis","given":"S J","non-dropping-particle":"","parse-names":false,"suffix":""}],"container-title":"European journal of gastroenterology &amp; hepatology","id":"ITEM-1","issue":"3","issued":{"date-parts":[["1997","3"]]},"language":"eng","page":"311-314","publisher-place":"England","title":"Cholestatic jaundice as a paraneoplastic manifestation of renal cell carcinoma.","type":"article-journal","volume":"9"},"uris":["http://www.mendeley.com/documents/?uuid=3b318206-33b2-4a8c-b1ba-8bbca2808e21"]}],"mendeley":{"formattedCitation":"&lt;sup&gt;2&lt;/sup&gt;","plainTextFormattedCitation":"2","previouslyFormattedCitation":"&lt;sup&gt;2&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2</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rPr>
        <w:t>. Lymphocytic infiltration and cellular degeneration of the liver clinically present elevated hepatic enzymes and impaired liver function in the absence of liver metastases</w:t>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{"citationItems":[{"id":"ITEM-1","itemData":{"author":[{"dropping-particle":"","family":"Boxer RJ, Weisman J, Leiber MM, Mampaso FM","given":"Skinner DG","non-dropping-particle":"","parse-names":false,"suffix":""}],"container-title":"J Urol","id":"ITEM-1","issued":{"date-parts":[["1978"]]},"page":"468","title":"Nonmetastatic hepatic dysfunction syndrome associated with renal cell carcinoma.","type":"article-journal","volume":"119"},"uris":["http://www.mendeley.com/documents/?uuid=63937353-02ff-444f-86e9-4f1c84e3f1e5"]}],"mendeley":{"formattedCitation":"&lt;sup&gt;3&lt;/sup&gt;","plainTextFormattedCitation":"3","previouslyFormattedCitation":"&lt;sup&gt;3&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3</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rPr>
        <w:t>.</w:t>
      </w:r>
      <w:r>
        <w:rPr>
          <w:rFonts w:ascii="Book Antiqua" w:hAnsi="Book Antiqua"/>
          <w:shd w:val="clear" w:color="auto" w:fill="FFFFFF"/>
          <w:vertAlign w:val="superscript"/>
        </w:rPr>
        <w:t xml:space="preserve"> </w:t>
      </w:r>
      <w:r>
        <w:rPr>
          <w:rFonts w:ascii="Book Antiqua" w:hAnsi="Book Antiqua"/>
        </w:rPr>
        <w:t>At least two theories about the pathogenesis are hypothesized, and include: liver damage due to stimulation of cathepsins and hepatic phosphatases by hepatotoxins or lysosomal enzymes; and direct liver damage and the subsequent immune response</w:t>
      </w:r>
      <w:r>
        <w:rPr>
          <w:rFonts w:ascii="Book Antiqua" w:hAnsi="Book Antiqua"/>
          <w:vertAlign w:val="superscript"/>
        </w:rPr>
        <w:t>[</w:t>
      </w:r>
      <w:r>
        <w:rPr>
          <w:rFonts w:ascii="Book Antiqua" w:hAnsi="Book Antiqua"/>
          <w:vertAlign w:val="superscript"/>
        </w:rPr>
        <w:fldChar w:fldCharType="begin" w:fldLock="1"/>
      </w:r>
      <w:r>
        <w:rPr>
          <w:rFonts w:ascii="Book Antiqua" w:hAnsi="Book Antiqua"/>
          <w:vertAlign w:val="superscript"/>
        </w:rPr>
        <w:instrText xml:space="preserve">ADDIN CSL_CITATION {"citationItems":[{"id":"ITEM-1","itemData":{"DOI":"10.1159/000224860","ISSN":"1423-0399 (Electronic)","PMID":"19641351","abstract":"INTRODUCTION: Paraneoplastic syndromes (PNS) may represent the main clinical problem  in cancer patients; however, the knowledge of their clinical aspect remains quite poor among urologists. OBJECTIVE: To provide urologists with an overview on main clinical aspects of PNS that have been reported to be associated to urological cancers. METHODS: Literature search of peer-reviewed papers published by July 2008. RESULTS: All genitourinary tumors can cause a PNS, and renal cell carcinoma is the most frequent urological malignancy involved. Prostate cancer is the second urological tumor associated with PNS which, conversely, are uncommon in bladder cancer and rare in testicular cancer. Tumor neuroendocrine differentiation is involved in most endocrine PNS. Neurologic PNS are very uncommon but may dominate the clinical picture and need a high suspicion index to be recognized. Important advances have been made on radionuclide scan methods in order to detect the primary tumor. The most effective treatment strategy is always represented by the radical therapy of the underlying cancer, but specific therapeutic options are sometimes available. CONCLUSIONS: Endocrine PNS are frequently associated with urological cancers, especially renal and prostate carcinoma. PNS have been rarely reported in association with cancers of bladder, urethra and testicle.","author":[{"dropping-particle":"","family":"Sacco","given":"Emilio","non-dropping-particle":"","parse-names":false,"suffix":""},{"dropping-particle":"","family":"Pinto","given":"Francesco","non-dropping-particle":"","parse-names":false,"suffix":""},{"dropping-particle":"","family":"Sasso","given":"Francesco","non-dropping-particle":"","parse-names":false,"suffix":""},{"dropping-particle":"","family":"Racioppi","given":"Marco","non-dropping-particle":"","parse-names":false,"suffix":""},{"dropping-particle":"","family":"Gulino","given":"Gaetano","non-dropping-particle":"","parse-names":false,"suffix":""},{"dropping-particle":"","family":"Volpe","given":"Andrea","non-dropping-particle":"","parse-names":false,"suffix":""},{"dropping-particle":"","family":"Bassi","given":"Pierfrancesco","non-dropping-particle":"","parse-names":false,"suffix":""}],"container-title":"Urologia internationalis","id":"ITEM-1","issue":"1","issued":{"date-parts":[["2009"]]},"language":"eng","page":"1-11","publisher-place":"Switzerland","title":"Paraneoplastic syndromes in patients with urological malignancies.","type":"article-journal","volume":"83"},"uris":["http://www.mendeley.com/documents/?uuid=aa3e4862-2bb4-4177-9280-97960bf6691e"]}],"mendeley":{"formattedCitation":"&lt;sup&gt;4&lt;/sup&gt;","plainTextFormattedCitation":"4","previouslyFormattedCitation":"&lt;sup&gt;4&lt;/sup&gt;"},"properties":{"noteIndex":0},"schema":"https://github.com/citation-style-language/schema/raw/master/csl-citation.json"}</w:instrText>
      </w:r>
      <w:r>
        <w:rPr>
          <w:rFonts w:ascii="Book Antiqua" w:hAnsi="Book Antiqua"/>
          <w:vertAlign w:val="superscript"/>
        </w:rPr>
        <w:fldChar w:fldCharType="separate"/>
      </w:r>
      <w:r>
        <w:rPr>
          <w:rFonts w:ascii="Book Antiqua" w:hAnsi="Book Antiqua"/>
          <w:vertAlign w:val="superscript"/>
        </w:rPr>
        <w:t>4</w:t>
      </w:r>
      <w:r>
        <w:rPr>
          <w:rFonts w:ascii="Book Antiqua" w:hAnsi="Book Antiqua"/>
          <w:vertAlign w:val="superscript"/>
        </w:rPr>
        <w:fldChar w:fldCharType="end"/>
      </w:r>
      <w:r>
        <w:rPr>
          <w:rFonts w:ascii="Book Antiqua" w:hAnsi="Book Antiqua"/>
          <w:vertAlign w:val="superscript"/>
        </w:rPr>
        <w:t>]</w:t>
      </w:r>
      <w:r>
        <w:rPr>
          <w:rFonts w:ascii="Book Antiqua" w:hAnsi="Book Antiqua"/>
        </w:rPr>
        <w:t>. Among the substances produced are granulocyte-macrophage colony stimulating factor and interleukin (IL)-6 are notable. Other admissible speculations include generalized hepatic hypervascularity, amyloid deposition, and autoimmune phenomenon</w:t>
      </w:r>
      <w:r>
        <w:rPr>
          <w:rFonts w:ascii="Book Antiqua" w:hAnsi="Book Antiqua"/>
          <w:vertAlign w:val="superscript"/>
        </w:rPr>
        <w:t>[</w:t>
      </w:r>
      <w:r>
        <w:rPr>
          <w:rFonts w:ascii="Book Antiqua" w:hAnsi="Book Antiqua"/>
          <w:vertAlign w:val="superscript"/>
        </w:rPr>
        <w:fldChar w:fldCharType="begin" w:fldLock="1"/>
      </w:r>
      <w:r>
        <w:rPr>
          <w:rFonts w:ascii="Book Antiqua" w:hAnsi="Book Antiqua"/>
          <w:vertAlign w:val="superscript"/>
        </w:rPr>
        <w:instrText xml:space="preserve">ADDIN CSL_CITATION {"citationItems":[{"id":"ITEM-1","itemData":{"DOI":"10.1016/0016-5085(92)91131-m","ISSN":"0016-5085 (Print)","PMID":"1612341","abstract":"Paraneoplastic syndromes associated with mesodermal tumors are relatively uncommon.  An unusual case manifested by fever, anemia, thrombocytosis, coagulopathy, and idiopathic cholestatic liver dysfunction in association with soft tissue sarcoma is reported. A paraneoplastic syndrome is postulated in the absence of anatomic obstruction of bile flow, evidence of an infectious etiology, or neoplastic hepatic involvement.","author":[{"dropping-particle":"","family":"Sharara","given":"A I","non-dropping-particle":"","parse-names":false,"suffix":""},{"dropping-particle":"","family":"Panella","given":"T J","non-dropping-particle":"","parse-names":false,"suffix":""},{"dropping-particle":"","family":"Fitz","given":"J G","non-dropping-particle":"","parse-names":false,"suffix":""}],"container-title":"Gastroenterology","id":"ITEM-1","issue":"1","issued":{"date-parts":[["1992","7"]]},"language":"eng","page":"330-332","publisher-place":"United States","title":"Paraneoplastic hepatopathy associated with soft tissue sarcoma.","type":"article-journal","volume":"103"},"uris":["http://www.mendeley.com/documents/?uuid=e99c2e5e-1da3-44a2-b189-6216ffd59574"]}],"mendeley":{"formattedCitation":"&lt;sup&gt;5&lt;/sup&gt;","plainTextFormattedCitation":"5","previouslyFormattedCitation":"&lt;sup&gt;5&lt;/sup&gt;"},"properties":{"noteIndex":0},"schema":"https://github.com/citation-style-language/schema/raw/master/csl-citation.json"}</w:instrText>
      </w:r>
      <w:r>
        <w:rPr>
          <w:rFonts w:ascii="Book Antiqua" w:hAnsi="Book Antiqua"/>
          <w:vertAlign w:val="superscript"/>
        </w:rPr>
        <w:fldChar w:fldCharType="separate"/>
      </w:r>
      <w:r>
        <w:rPr>
          <w:rFonts w:ascii="Book Antiqua" w:hAnsi="Book Antiqua"/>
          <w:vertAlign w:val="superscript"/>
        </w:rPr>
        <w:t>5</w:t>
      </w:r>
      <w:r>
        <w:rPr>
          <w:rFonts w:ascii="Book Antiqua" w:hAnsi="Book Antiqua"/>
          <w:vertAlign w:val="superscript"/>
        </w:rPr>
        <w:fldChar w:fldCharType="end"/>
      </w:r>
      <w:r>
        <w:rPr>
          <w:rFonts w:ascii="Book Antiqua" w:hAnsi="Book Antiqua"/>
          <w:vertAlign w:val="superscript"/>
        </w:rPr>
        <w:t>]</w:t>
      </w:r>
      <w:r>
        <w:rPr>
          <w:rFonts w:ascii="Book Antiqua" w:hAnsi="Book Antiqua"/>
        </w:rPr>
        <w:t>. This case is reported in line with the criteria of the 2020 Guideline: Updating Consensus Surgical CAse REport (SCARE)</w:t>
      </w:r>
      <w:r>
        <w:rPr>
          <w:rFonts w:ascii="Book Antiqua" w:hAnsi="Book Antiqua"/>
          <w:vertAlign w:val="superscript"/>
        </w:rPr>
        <w:t>[</w:t>
      </w:r>
      <w:r>
        <w:rPr>
          <w:rFonts w:ascii="Book Antiqua" w:hAnsi="Book Antiqua"/>
          <w:vertAlign w:val="superscript"/>
        </w:rPr>
        <w:fldChar w:fldCharType="begin" w:fldLock="1"/>
      </w:r>
      <w:r>
        <w:rPr>
          <w:rFonts w:ascii="Book Antiqua" w:hAnsi="Book Antiqua"/>
          <w:vertAlign w:val="superscript"/>
        </w:rPr>
        <w:instrText xml:space="preserve">ADDIN CSL_CITATION {"citationItems":[{"id":"ITEM-1","itemData":{"author":[{"dropping-particle":"","family":"Agha RA, Franchi T, Sohrabi C, Mathew G","given":"for the SCARE Group","non-dropping-particle":"","parse-names":false,"suffix":""}],"container-title":"International Journal of Surgery","id":"ITEM-1","issued":{"date-parts":[["2020"]]},"page":"226-230","title":"The SCARE 2020 Guideline: Updating Consensus Surgical CAse REport (SCARE) Guidelines","type":"article-journal","volume":"84"},"uris":["http://www.mendeley.com/documents/?uuid=8280ed81-a58a-4c4f-bd20-3ce38bd73472"]}],"mendeley":{"formattedCitation":"&lt;sup&gt;6&lt;/sup&gt;","plainTextFormattedCitation":"6","previouslyFormattedCitation":"&lt;sup&gt;6&lt;/sup&gt;"},"properties":{"noteIndex":0},"schema":"https://github.com/citation-style-language/schema/raw/master/csl-citation.json"}</w:instrText>
      </w:r>
      <w:r>
        <w:rPr>
          <w:rFonts w:ascii="Book Antiqua" w:hAnsi="Book Antiqua"/>
          <w:vertAlign w:val="superscript"/>
        </w:rPr>
        <w:fldChar w:fldCharType="separate"/>
      </w:r>
      <w:r>
        <w:rPr>
          <w:rFonts w:ascii="Book Antiqua" w:hAnsi="Book Antiqua"/>
          <w:vertAlign w:val="superscript"/>
        </w:rPr>
        <w:t>6</w:t>
      </w:r>
      <w:r>
        <w:rPr>
          <w:rFonts w:ascii="Book Antiqua" w:hAnsi="Book Antiqua"/>
          <w:vertAlign w:val="superscript"/>
        </w:rPr>
        <w:fldChar w:fldCharType="end"/>
      </w:r>
      <w:r>
        <w:rPr>
          <w:rFonts w:ascii="Book Antiqua" w:hAnsi="Book Antiqua"/>
          <w:vertAlign w:val="superscript"/>
        </w:rPr>
        <w:t>]</w:t>
      </w:r>
      <w:r>
        <w:rPr>
          <w:rFonts w:ascii="Book Antiqua" w:hAnsi="Book Antiqua"/>
        </w:rPr>
        <w:t>.</w:t>
      </w:r>
    </w:p>
    <w:p>
      <w:pPr>
        <w:snapToGrid w:val="0"/>
        <w:spacing w:line="360" w:lineRule="auto"/>
        <w:jc w:val="both"/>
        <w:rPr>
          <w:rFonts w:ascii="Book Antiqua" w:hAnsi="Book Antiqua"/>
          <w:b/>
          <w:bCs/>
        </w:rPr>
      </w:pPr>
    </w:p>
    <w:p>
      <w:pPr>
        <w:snapToGrid w:val="0"/>
        <w:spacing w:line="360" w:lineRule="auto"/>
        <w:jc w:val="both"/>
        <w:rPr>
          <w:rFonts w:ascii="Book Antiqua" w:hAnsi="Book Antiqua"/>
          <w:b/>
          <w:bCs/>
          <w:u w:val="single"/>
        </w:rPr>
      </w:pPr>
      <w:r>
        <w:rPr>
          <w:rFonts w:ascii="Book Antiqua" w:hAnsi="Book Antiqua"/>
          <w:b/>
          <w:bCs/>
          <w:u w:val="single"/>
        </w:rPr>
        <w:t>CASE PRESENTATION</w:t>
      </w:r>
    </w:p>
    <w:p>
      <w:pPr>
        <w:snapToGrid w:val="0"/>
        <w:spacing w:line="360" w:lineRule="auto"/>
        <w:jc w:val="both"/>
        <w:rPr>
          <w:rFonts w:ascii="Book Antiqua" w:hAnsi="Book Antiqua"/>
          <w:b/>
          <w:bCs/>
          <w:i/>
        </w:rPr>
      </w:pPr>
      <w:r>
        <w:rPr>
          <w:rFonts w:ascii="Book Antiqua" w:hAnsi="Book Antiqua"/>
          <w:b/>
          <w:bCs/>
          <w:i/>
        </w:rPr>
        <w:t>Chief complaints</w:t>
      </w:r>
    </w:p>
    <w:p>
      <w:pPr>
        <w:snapToGrid w:val="0"/>
        <w:spacing w:line="360" w:lineRule="auto"/>
        <w:jc w:val="both"/>
        <w:rPr>
          <w:rFonts w:ascii="Book Antiqua" w:hAnsi="Book Antiqua"/>
        </w:rPr>
      </w:pPr>
      <w:r>
        <w:rPr>
          <w:rFonts w:ascii="Book Antiqua" w:hAnsi="Book Antiqua"/>
        </w:rPr>
        <w:t>A 68-year-old Caucasian male was admitted to our clinic to address ongoing intensive jaundice, fatigue, pruritus, pain, and heaviness in the right upper quadrant of the abdomen that had persisted since September 2020.</w:t>
      </w:r>
    </w:p>
    <w:p>
      <w:pPr>
        <w:snapToGrid w:val="0"/>
        <w:spacing w:line="360" w:lineRule="auto"/>
        <w:jc w:val="both"/>
        <w:rPr>
          <w:rFonts w:ascii="Book Antiqua" w:hAnsi="Book Antiqua"/>
          <w:i/>
        </w:rPr>
      </w:pPr>
    </w:p>
    <w:p>
      <w:pPr>
        <w:snapToGrid w:val="0"/>
        <w:spacing w:line="360" w:lineRule="auto"/>
        <w:jc w:val="both"/>
        <w:rPr>
          <w:rFonts w:ascii="Book Antiqua" w:hAnsi="Book Antiqua"/>
          <w:b/>
          <w:bCs/>
          <w:i/>
        </w:rPr>
      </w:pPr>
      <w:r>
        <w:rPr>
          <w:rFonts w:ascii="Book Antiqua" w:hAnsi="Book Antiqua"/>
          <w:b/>
          <w:bCs/>
          <w:i/>
        </w:rPr>
        <w:t xml:space="preserve">History of present illness </w:t>
      </w:r>
    </w:p>
    <w:p>
      <w:pPr>
        <w:snapToGrid w:val="0"/>
        <w:spacing w:line="360" w:lineRule="auto"/>
        <w:jc w:val="both"/>
        <w:rPr>
          <w:rFonts w:ascii="Book Antiqua" w:hAnsi="Book Antiqua"/>
        </w:rPr>
      </w:pPr>
      <w:r>
        <w:rPr>
          <w:rFonts w:ascii="Book Antiqua" w:hAnsi="Book Antiqua"/>
        </w:rPr>
        <w:t>The patient had been admitted to another medical center, and acute and chronic viral hepatitis were excluded by the following negative markers: hepatitis B surface antigen; anti-hepatitis B core immunoglobulin M (IgM); anti-hepatitis C virus; anti-hepatitis A virus IgM; cytomegalovirus IgM; hepatitis B virus DNA; and hepatitis C virus RNA. Autoimmune and metabolic liver diseases were excluded as well by negative serologic marker testing for autoimmune hepatitis, and by levels of IgG and IgM within the reference range. Slightly increased ceruloplasmin was observed. Ultrasound examination revealed tumor (45 mm × 32 mm) formation in the right kidney. Native magnetic resonance imaging (MRI)-cholangiopancreatography (MRCP) was performed, which was negative for biliary pathology and confirmed tumor formation with expansive growth and compression of the lower surface of the right liver lobe. For clarification, liver biopsy was performed and showed a histological view most compatible with toxic hepatitis, with no stigma for primary biliary cholangitis, hepatitis, or cirrhosis. Treatment consisting of ademetionine, silymarin, L-ornithine, L-aspartate, methylprednisolone 60 mg per day intravenous (i.v.) for 8 d, ursodeoxycholic acid 1000 mg per day, vitamin K i.v., antibiotics, and antisecretory and i.v. fluids was administered but produced no obvious effect.</w:t>
      </w:r>
    </w:p>
    <w:p>
      <w:pPr>
        <w:snapToGrid w:val="0"/>
        <w:spacing w:line="360" w:lineRule="auto"/>
        <w:jc w:val="both"/>
        <w:rPr>
          <w:rFonts w:ascii="Book Antiqua" w:hAnsi="Book Antiqua"/>
          <w:i/>
        </w:rPr>
      </w:pPr>
    </w:p>
    <w:p>
      <w:pPr>
        <w:snapToGrid w:val="0"/>
        <w:spacing w:line="360" w:lineRule="auto"/>
        <w:jc w:val="both"/>
        <w:rPr>
          <w:rFonts w:ascii="Book Antiqua" w:hAnsi="Book Antiqua"/>
          <w:b/>
          <w:bCs/>
          <w:i/>
        </w:rPr>
      </w:pPr>
      <w:r>
        <w:rPr>
          <w:rFonts w:ascii="Book Antiqua" w:hAnsi="Book Antiqua"/>
          <w:b/>
          <w:bCs/>
          <w:i/>
        </w:rPr>
        <w:t>History of past illness</w:t>
      </w:r>
    </w:p>
    <w:p>
      <w:pPr>
        <w:snapToGrid w:val="0"/>
        <w:spacing w:line="360" w:lineRule="auto"/>
        <w:jc w:val="both"/>
        <w:rPr>
          <w:rFonts w:ascii="Book Antiqua" w:hAnsi="Book Antiqua"/>
        </w:rPr>
      </w:pPr>
      <w:r>
        <w:rPr>
          <w:rFonts w:ascii="Book Antiqua" w:hAnsi="Book Antiqua"/>
        </w:rPr>
        <w:t>The patient had a history of arterial hypertension, ischemic stroke (in 2007), and vertigo (as a result of the latter). A perianal fistula had been present in adolescence.</w:t>
      </w:r>
    </w:p>
    <w:p>
      <w:pPr>
        <w:snapToGrid w:val="0"/>
        <w:spacing w:line="360" w:lineRule="auto"/>
        <w:jc w:val="both"/>
        <w:rPr>
          <w:rFonts w:ascii="Book Antiqua" w:hAnsi="Book Antiqua"/>
          <w:i/>
        </w:rPr>
      </w:pPr>
    </w:p>
    <w:p>
      <w:pPr>
        <w:snapToGrid w:val="0"/>
        <w:spacing w:line="360" w:lineRule="auto"/>
        <w:jc w:val="both"/>
        <w:rPr>
          <w:rFonts w:ascii="Book Antiqua" w:hAnsi="Book Antiqua"/>
          <w:b/>
          <w:bCs/>
          <w:i/>
        </w:rPr>
      </w:pPr>
      <w:r>
        <w:rPr>
          <w:rFonts w:ascii="Book Antiqua" w:hAnsi="Book Antiqua"/>
          <w:b/>
          <w:bCs/>
          <w:i/>
        </w:rPr>
        <w:t>Personal and family history</w:t>
      </w:r>
    </w:p>
    <w:p>
      <w:pPr>
        <w:snapToGrid w:val="0"/>
        <w:spacing w:line="360" w:lineRule="auto"/>
        <w:jc w:val="both"/>
        <w:rPr>
          <w:rFonts w:ascii="Book Antiqua" w:hAnsi="Book Antiqua"/>
        </w:rPr>
      </w:pPr>
      <w:r>
        <w:rPr>
          <w:rFonts w:ascii="Book Antiqua" w:hAnsi="Book Antiqua"/>
        </w:rPr>
        <w:t>The patient’s personal and family histories were unremarkable.</w:t>
      </w:r>
    </w:p>
    <w:p>
      <w:pPr>
        <w:snapToGrid w:val="0"/>
        <w:spacing w:line="360" w:lineRule="auto"/>
        <w:jc w:val="both"/>
        <w:rPr>
          <w:rFonts w:ascii="Book Antiqua" w:hAnsi="Book Antiqua"/>
          <w:i/>
        </w:rPr>
      </w:pPr>
    </w:p>
    <w:p>
      <w:pPr>
        <w:snapToGrid w:val="0"/>
        <w:spacing w:line="360" w:lineRule="auto"/>
        <w:jc w:val="both"/>
        <w:rPr>
          <w:rFonts w:ascii="Book Antiqua" w:hAnsi="Book Antiqua"/>
          <w:b/>
          <w:bCs/>
          <w:i/>
        </w:rPr>
      </w:pPr>
      <w:r>
        <w:rPr>
          <w:rFonts w:ascii="Book Antiqua" w:hAnsi="Book Antiqua"/>
          <w:b/>
          <w:bCs/>
          <w:i/>
        </w:rPr>
        <w:t>Physical examination</w:t>
      </w:r>
    </w:p>
    <w:p>
      <w:pPr>
        <w:snapToGrid w:val="0"/>
        <w:spacing w:line="360" w:lineRule="auto"/>
        <w:jc w:val="both"/>
        <w:rPr>
          <w:rFonts w:ascii="Book Antiqua" w:hAnsi="Book Antiqua"/>
        </w:rPr>
      </w:pPr>
      <w:r>
        <w:rPr>
          <w:rFonts w:ascii="Book Antiqua" w:hAnsi="Book Antiqua"/>
        </w:rPr>
        <w:t>On October 2, 2020, the patient was admitted with the above-mentioned complaints for the first time to our Gastroenterology clinic. Physical examination showed jaundice of the skin and sclera, skin excoriations, hepatomegaly, and slight abdominal tenderness.</w:t>
      </w:r>
    </w:p>
    <w:p>
      <w:pPr>
        <w:snapToGrid w:val="0"/>
        <w:spacing w:line="360" w:lineRule="auto"/>
        <w:jc w:val="both"/>
        <w:rPr>
          <w:rFonts w:ascii="Book Antiqua" w:hAnsi="Book Antiqua"/>
          <w:i/>
        </w:rPr>
      </w:pPr>
    </w:p>
    <w:p>
      <w:pPr>
        <w:snapToGrid w:val="0"/>
        <w:spacing w:line="360" w:lineRule="auto"/>
        <w:jc w:val="both"/>
        <w:rPr>
          <w:rFonts w:ascii="Book Antiqua" w:hAnsi="Book Antiqua"/>
          <w:b/>
          <w:bCs/>
          <w:i/>
        </w:rPr>
      </w:pPr>
      <w:r>
        <w:rPr>
          <w:rFonts w:ascii="Book Antiqua" w:hAnsi="Book Antiqua"/>
          <w:b/>
          <w:bCs/>
          <w:i/>
        </w:rPr>
        <w:t>Laboratory examination</w:t>
      </w:r>
    </w:p>
    <w:p>
      <w:pPr>
        <w:snapToGrid w:val="0"/>
        <w:spacing w:line="360" w:lineRule="auto"/>
        <w:jc w:val="both"/>
        <w:rPr>
          <w:rFonts w:ascii="Book Antiqua" w:hAnsi="Book Antiqua"/>
          <w:bCs/>
        </w:rPr>
      </w:pPr>
      <w:r>
        <w:rPr>
          <w:rFonts w:ascii="Book Antiqua" w:hAnsi="Book Antiqua"/>
        </w:rPr>
        <w:t>The preoperative laboratory findings are displayed in Table 1. After reconfirmation of negative virological tests, including anti-hepatitis E virus (HEV) IgM (-), Epstein-Barr virus IgM (-) and anti-HEV IgG (+), a positive result was established. However</w:t>
      </w:r>
      <w:r>
        <w:rPr>
          <w:rFonts w:ascii="Book Antiqua" w:hAnsi="Book Antiqua"/>
          <w:b/>
        </w:rPr>
        <w:t xml:space="preserve"> </w:t>
      </w:r>
      <w:r>
        <w:rPr>
          <w:rFonts w:ascii="Book Antiqua" w:hAnsi="Book Antiqua"/>
        </w:rPr>
        <w:t>HEV RNA was undetectable. The levels of lactate dehydrogenase, ceruloplasmin, IgA, IgG and IgM were normal. Chronic poisoning by lead, manganese and arsenic was rejected. Tuberculosis was excluded by QuantiFERON-TB Gold Plus assay (Qiagen, Hilden, Germany). Levels of fetal oncoproteins, total prostate-specific antigen, alpha-fetoprotein and CA 19-9 were within normal ranges.</w:t>
      </w:r>
      <w:r>
        <w:rPr>
          <w:rFonts w:ascii="Book Antiqua" w:hAnsi="Book Antiqua"/>
          <w:bCs/>
        </w:rPr>
        <w:t xml:space="preserve"> Additionally, dyslipidemia</w:t>
      </w:r>
      <w:r>
        <w:rPr>
          <w:rFonts w:ascii="Book Antiqua" w:hAnsi="Book Antiqua"/>
        </w:rPr>
        <w:t xml:space="preserve"> was detected, with total cholesterol at 18.1 mmol/L (reference range: &lt; 5.2 mmol/L), low-density lipoprotein at 16.0 mmol/L (&lt; 3.0), triglycerides at 3.3 mmol/L (&lt; 2.0), and high-density lipoprotein at 0.6 mmol/L (&gt; 0.9 mmol/L). During follow-up after the nephrectomy, lipid panel levels reached normal rates, including that of cholesterol (3.9 mmol/L), low-density lipoprotein (1.7 mmol/L), triglycerides (0.6 mmol/L), and high-density lipoprotein (1.3 mmol/L).</w:t>
      </w:r>
    </w:p>
    <w:p>
      <w:pPr>
        <w:snapToGrid w:val="0"/>
        <w:spacing w:line="360" w:lineRule="auto"/>
        <w:jc w:val="both"/>
        <w:rPr>
          <w:rFonts w:ascii="Book Antiqua" w:hAnsi="Book Antiqua"/>
          <w:i/>
        </w:rPr>
      </w:pPr>
    </w:p>
    <w:p>
      <w:pPr>
        <w:snapToGrid w:val="0"/>
        <w:spacing w:line="360" w:lineRule="auto"/>
        <w:jc w:val="both"/>
        <w:rPr>
          <w:rFonts w:ascii="Book Antiqua" w:hAnsi="Book Antiqua"/>
          <w:b/>
          <w:bCs/>
          <w:i/>
        </w:rPr>
      </w:pPr>
      <w:r>
        <w:rPr>
          <w:rFonts w:ascii="Book Antiqua" w:hAnsi="Book Antiqua"/>
          <w:b/>
          <w:bCs/>
          <w:i/>
        </w:rPr>
        <w:t>Imaging examinations</w:t>
      </w:r>
    </w:p>
    <w:p>
      <w:pPr>
        <w:snapToGrid w:val="0"/>
        <w:spacing w:line="360" w:lineRule="auto"/>
        <w:jc w:val="both"/>
        <w:rPr>
          <w:rFonts w:ascii="Book Antiqua" w:hAnsi="Book Antiqua"/>
        </w:rPr>
      </w:pPr>
      <w:r>
        <w:rPr>
          <w:rFonts w:ascii="Book Antiqua" w:hAnsi="Book Antiqua"/>
        </w:rPr>
        <w:t>Abdominal ultrasound showed the liver and spleen to be of normal dimensions. No features of biliary or pancreatic morphology changes or portal hypertension were detected. A heterogeneous, rounded lesion (45 mm × 32 mm) was visualized at the upper pole of the right kidney, with detectable arterial signal on Doppler examination (Figure 1A and B). Furthermore, contrast-enhanced computed tomography (CT) of the abdomen was performed. The liver had slightly lobulated contour, hypertrophy of segment I and normal parenchymal density, without pathological lesions or postcontrast enhancement, and non-dilated intrahepatic and extrahepatic bile ducts. Tumor (46 mm × 31 mm) formation in the right kidney was confirmed and found to have invaded the vena cava inferior. The tumor reached the liver parenchyma at segment VI, without infiltration (Figure 1C). Chest X-ray examination revealed no infiltrative or focal lesion.</w:t>
      </w:r>
    </w:p>
    <w:p>
      <w:pPr>
        <w:snapToGrid w:val="0"/>
        <w:spacing w:line="360" w:lineRule="auto"/>
        <w:jc w:val="both"/>
        <w:rPr>
          <w:rFonts w:ascii="Book Antiqua" w:hAnsi="Book Antiqua"/>
          <w:b/>
          <w:u w:val="single"/>
        </w:rPr>
      </w:pPr>
    </w:p>
    <w:p>
      <w:pPr>
        <w:snapToGrid w:val="0"/>
        <w:spacing w:line="360" w:lineRule="auto"/>
        <w:jc w:val="both"/>
        <w:rPr>
          <w:rFonts w:ascii="Book Antiqua" w:hAnsi="Book Antiqua"/>
          <w:b/>
          <w:u w:val="single"/>
        </w:rPr>
      </w:pPr>
      <w:r>
        <w:rPr>
          <w:rFonts w:ascii="Book Antiqua" w:hAnsi="Book Antiqua"/>
          <w:b/>
          <w:u w:val="single"/>
        </w:rPr>
        <w:t>FURTHER DIAGNOSTIC WORK-UP</w:t>
      </w:r>
    </w:p>
    <w:p>
      <w:pPr>
        <w:snapToGrid w:val="0"/>
        <w:spacing w:line="360" w:lineRule="auto"/>
        <w:jc w:val="both"/>
        <w:rPr>
          <w:rFonts w:ascii="Book Antiqua" w:hAnsi="Book Antiqua"/>
        </w:rPr>
      </w:pPr>
      <w:r>
        <w:rPr>
          <w:rFonts w:ascii="Book Antiqua" w:hAnsi="Book Antiqua"/>
        </w:rPr>
        <w:t>Findings from the liver biopsy specimens and MRI of the abdomen from the first medical center were reviewed, but provided no other explanation of the observed changes in the liver function tests.</w:t>
      </w:r>
    </w:p>
    <w:p>
      <w:pPr>
        <w:snapToGrid w:val="0"/>
        <w:spacing w:line="360" w:lineRule="auto"/>
        <w:jc w:val="both"/>
        <w:rPr>
          <w:rFonts w:ascii="Book Antiqua" w:hAnsi="Book Antiqua"/>
          <w:b/>
          <w:u w:val="single"/>
        </w:rPr>
      </w:pPr>
    </w:p>
    <w:p>
      <w:pPr>
        <w:snapToGrid w:val="0"/>
        <w:spacing w:line="360" w:lineRule="auto"/>
        <w:jc w:val="both"/>
        <w:rPr>
          <w:rFonts w:ascii="Book Antiqua" w:hAnsi="Book Antiqua"/>
          <w:b/>
          <w:u w:val="single"/>
        </w:rPr>
      </w:pPr>
      <w:r>
        <w:rPr>
          <w:rFonts w:ascii="Book Antiqua" w:hAnsi="Book Antiqua"/>
          <w:b/>
          <w:u w:val="single"/>
        </w:rPr>
        <w:t>FINAL DIAGNOSIS</w:t>
      </w:r>
    </w:p>
    <w:p>
      <w:pPr>
        <w:snapToGrid w:val="0"/>
        <w:spacing w:line="360" w:lineRule="auto"/>
        <w:jc w:val="both"/>
        <w:rPr>
          <w:rFonts w:ascii="Book Antiqua" w:hAnsi="Book Antiqua"/>
        </w:rPr>
      </w:pPr>
      <w:r>
        <w:rPr>
          <w:rFonts w:ascii="Book Antiqua" w:hAnsi="Book Antiqua"/>
        </w:rPr>
        <w:t>After clinical discussion (with careful consideration of all clinical findings, including results from the laboratory tests and imaging studies and reference to similar cases in the literature), the patient was diagnosed with a paraneoplastic syndrome in urogenital tumors and Stauffer syndrome.</w:t>
      </w:r>
    </w:p>
    <w:p>
      <w:pPr>
        <w:snapToGrid w:val="0"/>
        <w:spacing w:line="360" w:lineRule="auto"/>
        <w:jc w:val="both"/>
        <w:rPr>
          <w:rFonts w:ascii="Book Antiqua" w:hAnsi="Book Antiqua"/>
          <w:b/>
          <w:u w:val="single"/>
        </w:rPr>
      </w:pPr>
    </w:p>
    <w:p>
      <w:pPr>
        <w:snapToGrid w:val="0"/>
        <w:spacing w:line="360" w:lineRule="auto"/>
        <w:jc w:val="both"/>
        <w:rPr>
          <w:rFonts w:ascii="Book Antiqua" w:hAnsi="Book Antiqua"/>
          <w:b/>
          <w:u w:val="single"/>
        </w:rPr>
      </w:pPr>
      <w:r>
        <w:rPr>
          <w:rFonts w:ascii="Book Antiqua" w:hAnsi="Book Antiqua"/>
          <w:b/>
          <w:u w:val="single"/>
        </w:rPr>
        <w:t>TREATMENT</w:t>
      </w:r>
    </w:p>
    <w:p>
      <w:pPr>
        <w:snapToGrid w:val="0"/>
        <w:spacing w:line="360" w:lineRule="auto"/>
        <w:jc w:val="both"/>
        <w:rPr>
          <w:rFonts w:ascii="Book Antiqua" w:hAnsi="Book Antiqua"/>
        </w:rPr>
      </w:pPr>
      <w:r>
        <w:rPr>
          <w:rFonts w:ascii="Book Antiqua" w:hAnsi="Book Antiqua"/>
        </w:rPr>
        <w:t>Therapy consisted of ademetionine (administered September 4, 2020 to December 17, 2020), N-acetyl cysteine (October 2, 2020 to present), thiamine and pyridoxine, methylprednisolone (20 mg/d i.v. for 8 d), broad-spectrum antibiotics, gastro protectors, and i.v. fluids, including colloid solutions (</w:t>
      </w:r>
      <w:r>
        <w:rPr>
          <w:rFonts w:ascii="Book Antiqua" w:hAnsi="Book Antiqua"/>
          <w:i/>
          <w:iCs/>
        </w:rPr>
        <w:t>i.e</w:t>
      </w:r>
      <w:r>
        <w:rPr>
          <w:rFonts w:ascii="Book Antiqua" w:hAnsi="Book Antiqua"/>
        </w:rPr>
        <w:t xml:space="preserve">. human albumin); unfortunately, no improvement was achieved (according to unchanged laboratory test findings). Instead, the patient experienced a progressive increase in total and direct bilirubin as well as an increase in </w:t>
      </w:r>
      <w:r>
        <w:rPr>
          <w:rFonts w:ascii="Book Antiqua" w:hAnsi="Book Antiqua" w:cs="BookAntiqua"/>
        </w:rPr>
        <w:t>gamma-glutamyl transferase</w:t>
      </w:r>
      <w:r>
        <w:rPr>
          <w:rFonts w:ascii="Book Antiqua" w:hAnsi="Book Antiqua"/>
        </w:rPr>
        <w:t xml:space="preserve"> and AP levels.</w:t>
      </w:r>
    </w:p>
    <w:p>
      <w:pPr>
        <w:snapToGrid w:val="0"/>
        <w:spacing w:line="360" w:lineRule="auto"/>
        <w:ind w:firstLine="270"/>
        <w:jc w:val="both"/>
        <w:rPr>
          <w:rFonts w:ascii="Book Antiqua" w:hAnsi="Book Antiqua"/>
        </w:rPr>
      </w:pPr>
      <w:r>
        <w:rPr>
          <w:rFonts w:ascii="Book Antiqua" w:hAnsi="Book Antiqua"/>
        </w:rPr>
        <w:t>As the syndrome is characterized by non-metastatic liver damage caused by hormones and substances secreted by the tumor (including IL-6), we determined that the patient was suitable for surgical treatment. The case was presented to the oncologist, and all of the risks and benefits of potential surgical intervention were carefully assessed. The patient was then referred for nephrectomy in our oncology clinic at The National Oncology Centre.</w:t>
      </w:r>
    </w:p>
    <w:p>
      <w:pPr>
        <w:snapToGrid w:val="0"/>
        <w:spacing w:line="360" w:lineRule="auto"/>
        <w:ind w:firstLine="270"/>
        <w:jc w:val="both"/>
        <w:rPr>
          <w:rFonts w:ascii="Book Antiqua" w:hAnsi="Book Antiqua"/>
        </w:rPr>
      </w:pPr>
      <w:r>
        <w:rPr>
          <w:rFonts w:ascii="Book Antiqua" w:hAnsi="Book Antiqua"/>
        </w:rPr>
        <w:t>In the preoperative workup, IL-6 was 24.12 ng/mL (normal level: &lt; 7.00). On October 16, 2020, an open right nephroureterectomy was performed. On the 3</w:t>
      </w:r>
      <w:r>
        <w:rPr>
          <w:rFonts w:ascii="Book Antiqua" w:hAnsi="Book Antiqua"/>
          <w:vertAlign w:val="superscript"/>
        </w:rPr>
        <w:t>rd</w:t>
      </w:r>
      <w:r>
        <w:rPr>
          <w:rFonts w:ascii="Book Antiqua" w:hAnsi="Book Antiqua"/>
        </w:rPr>
        <w:t xml:space="preserve"> postoperative day, the patient developed bleeding from the drainage, which required a revision surgery and hemostasis of small venous vessels that had grown to the liver. Histology indicated a clear cell, G2 type RCC, with a diameter of 3 cm and tumor thrombus in the lumen of the vena cava inferior, staged as pT3bNxMx G2 LVI (Figure 2). The perioperative and postoperative laboratory findings are summarized in Table 2 and expressed graphically in Figure 3.</w:t>
      </w:r>
    </w:p>
    <w:p>
      <w:pPr>
        <w:snapToGrid w:val="0"/>
        <w:spacing w:line="360" w:lineRule="auto"/>
        <w:ind w:firstLine="270"/>
        <w:jc w:val="both"/>
        <w:rPr>
          <w:rFonts w:ascii="Book Antiqua" w:hAnsi="Book Antiqua"/>
        </w:rPr>
      </w:pPr>
      <w:r>
        <w:rPr>
          <w:rFonts w:ascii="Book Antiqua" w:hAnsi="Book Antiqua"/>
        </w:rPr>
        <w:t>The Oncology Committee recommended adjuvant radiotherapy to be initiated when findings of liver function tests reached normal range.</w:t>
      </w:r>
    </w:p>
    <w:p>
      <w:pPr>
        <w:snapToGrid w:val="0"/>
        <w:spacing w:line="360" w:lineRule="auto"/>
        <w:ind w:firstLine="708"/>
        <w:jc w:val="both"/>
        <w:rPr>
          <w:rFonts w:ascii="Book Antiqua" w:hAnsi="Book Antiqua"/>
        </w:rPr>
      </w:pPr>
    </w:p>
    <w:p>
      <w:pPr>
        <w:snapToGrid w:val="0"/>
        <w:spacing w:line="360" w:lineRule="auto"/>
        <w:jc w:val="both"/>
        <w:rPr>
          <w:rFonts w:ascii="Book Antiqua" w:hAnsi="Book Antiqua"/>
          <w:b/>
          <w:u w:val="single"/>
        </w:rPr>
      </w:pPr>
      <w:r>
        <w:rPr>
          <w:rFonts w:ascii="Book Antiqua" w:hAnsi="Book Antiqua"/>
          <w:b/>
          <w:u w:val="single"/>
        </w:rPr>
        <w:t>OUTCOME AND FOLLOW-UP</w:t>
      </w:r>
    </w:p>
    <w:p>
      <w:pPr>
        <w:snapToGrid w:val="0"/>
        <w:spacing w:line="360" w:lineRule="auto"/>
        <w:jc w:val="both"/>
        <w:rPr>
          <w:rFonts w:ascii="Book Antiqua" w:hAnsi="Book Antiqua"/>
        </w:rPr>
      </w:pPr>
      <w:r>
        <w:rPr>
          <w:rFonts w:ascii="Book Antiqua" w:hAnsi="Book Antiqua"/>
        </w:rPr>
        <w:t>The patient was followed up until November 30, 2020, when he was re-admitted to our Gastroenterology Clinic due to persistence of the jaundice and intensive pruritus despite ongoing treatment with hepatoprotectors, antiacids, and antihypertensive therapy. On routine abdominal ultrasound study, the imaging showed no dynamics of the liver or portal blood flow. An additional finding worth mentioning was a mild decrease in cholinesterase and a drop in IL-6 level. Supportive therapy was continued, and antifungal and anaerobe prophylactics were added.</w:t>
      </w:r>
    </w:p>
    <w:p>
      <w:pPr>
        <w:snapToGrid w:val="0"/>
        <w:spacing w:line="360" w:lineRule="auto"/>
        <w:ind w:firstLine="270"/>
        <w:jc w:val="both"/>
        <w:rPr>
          <w:rFonts w:ascii="Book Antiqua" w:hAnsi="Book Antiqua"/>
        </w:rPr>
      </w:pPr>
      <w:r>
        <w:rPr>
          <w:rFonts w:ascii="Book Antiqua" w:hAnsi="Book Antiqua"/>
        </w:rPr>
        <w:t xml:space="preserve">The patient was discharged when slight clinical and laboratory improvement was achieved, and outpatient hepatoprotective and antioxidant therapies were ordered. On January 20, 2021, restaging was conducted </w:t>
      </w:r>
      <w:r>
        <w:rPr>
          <w:rFonts w:ascii="Book Antiqua" w:hAnsi="Book Antiqua"/>
          <w:i/>
          <w:iCs/>
        </w:rPr>
        <w:t>via</w:t>
      </w:r>
      <w:r>
        <w:rPr>
          <w:rFonts w:ascii="Book Antiqua" w:hAnsi="Book Antiqua"/>
        </w:rPr>
        <w:t xml:space="preserve"> positron emission tomography (PET)-CT and provided no convincing data of residual tumor tissue, locoregional relapse, or distant dissemination related to the oncological process</w:t>
      </w:r>
      <w:r>
        <w:rPr>
          <w:rFonts w:ascii="Book Antiqua" w:hAnsi="Book Antiqua"/>
          <w:bCs/>
        </w:rPr>
        <w:t xml:space="preserve">. </w:t>
      </w:r>
      <w:r>
        <w:rPr>
          <w:rFonts w:ascii="Book Antiqua" w:hAnsi="Book Antiqua"/>
        </w:rPr>
        <w:t>The current performance status of the patient is 1, and PET-CT monitoring has shown no indications of local relapse or distant dissemination.</w:t>
      </w:r>
    </w:p>
    <w:p>
      <w:pPr>
        <w:snapToGrid w:val="0"/>
        <w:spacing w:line="360" w:lineRule="auto"/>
        <w:jc w:val="both"/>
        <w:rPr>
          <w:rFonts w:ascii="Book Antiqua" w:hAnsi="Book Antiqua"/>
          <w:b/>
          <w:bCs/>
        </w:rPr>
      </w:pPr>
    </w:p>
    <w:p>
      <w:pPr>
        <w:snapToGrid w:val="0"/>
        <w:spacing w:line="360" w:lineRule="auto"/>
        <w:jc w:val="both"/>
        <w:rPr>
          <w:rFonts w:ascii="Book Antiqua" w:hAnsi="Book Antiqua"/>
        </w:rPr>
      </w:pPr>
      <w:r>
        <w:rPr>
          <w:rFonts w:ascii="Book Antiqua" w:hAnsi="Book Antiqua"/>
          <w:b/>
          <w:bCs/>
          <w:u w:val="single"/>
        </w:rPr>
        <w:t>DISCUSSION</w:t>
      </w:r>
    </w:p>
    <w:p>
      <w:pPr>
        <w:snapToGrid w:val="0"/>
        <w:spacing w:line="360" w:lineRule="auto"/>
        <w:jc w:val="both"/>
        <w:rPr>
          <w:rFonts w:ascii="Book Antiqua" w:hAnsi="Book Antiqua"/>
          <w:color w:val="000000"/>
          <w:shd w:val="clear" w:color="auto" w:fill="FFFFFF"/>
          <w:vertAlign w:val="subscript"/>
        </w:rPr>
      </w:pPr>
      <w:r>
        <w:rPr>
          <w:rFonts w:ascii="Book Antiqua" w:hAnsi="Book Antiqua"/>
        </w:rPr>
        <w:t>RCC</w:t>
      </w:r>
      <w:r>
        <w:rPr>
          <w:rFonts w:ascii="Book Antiqua" w:hAnsi="Book Antiqua"/>
          <w:bCs/>
        </w:rPr>
        <w:t xml:space="preserve"> is related to various paraneoplastic syndromes classified as endocrine and non-endocrine</w:t>
      </w:r>
      <w:r>
        <w:rPr>
          <w:rFonts w:ascii="Book Antiqua" w:hAnsi="Book Antiqua"/>
          <w:bCs/>
          <w:vertAlign w:val="superscript"/>
        </w:rPr>
        <w:t>[</w:t>
      </w:r>
      <w:r>
        <w:rPr>
          <w:rFonts w:ascii="Book Antiqua" w:hAnsi="Book Antiqua"/>
          <w:bCs/>
          <w:vertAlign w:val="superscript"/>
        </w:rPr>
        <w:fldChar w:fldCharType="begin" w:fldLock="1"/>
      </w:r>
      <w:r>
        <w:rPr>
          <w:rFonts w:ascii="Book Antiqua" w:hAnsi="Book Antiqua"/>
          <w:bCs/>
          <w:vertAlign w:val="superscript"/>
        </w:rPr>
        <w:instrText xml:space="preserve">ADDIN CSL_CITATION {"citationItems":[{"id":"ITEM-1","itemData":{"ISSN":"1081-0943 (Print)","PMID":"8946620","abstract":"Paraneoplastic manifestations are present in up to 20% of patients with renal cell  carcinoma (RCC). There is convincing evidence that RCC tumor cells elaborate proteins that serve as mediators of endocrine (eg, ectopic production of parathyroid hormone-related protein or erythropoietin) as well as nonendocrine paraneoplastic syndromes. A paraneoplastic syndrome may be the initial clinical presentation of RCC in a significant number of patients, and recognition of these syndromes may facilitate early diagnosis. Most paraneoplastic syndromes associated with RCC remit after resection of the primary RCC or treatment of metastatic sites. The natural history of metastatic RCC is extremely variable. A significant proportion of patients may survive several years with slowly progressing metastatic disease. In these patients, the accurate diagnosis and management of paraneoplastic syndromes may be important in palliative management. Except for hypercalcemia, conventional medical therapies are seldom helpful. Other paraneoplastic manifestations of RCC include cachexia, fever, hepatic dysfunction, anemia, and amyloidosis, although our understanding of the underlying pathophysiology remains incomplete.","author":[{"dropping-particle":"","family":"Gold","given":"P J","non-dropping-particle":"","parse-names":false,"suffix":""},{"dropping-particle":"","family":"Fefer","given":"A","non-dropping-particle":"","parse-names":false,"suffix":""},{"dropping-particle":"","family":"Thompson","given":"J A","non-dropping-particle":"","parse-names":false,"suffix":""}],"container-title":"Seminars in urologic oncology","id":"ITEM-1","issue":"4","issued":{"date-parts":[["1996","11"]]},"language":"eng","page":"216-222","publisher-place":"United States","title":"Paraneoplastic manifestations of renal cell carcinoma.","type":"article-journal","volume":"14"},"uris":["http://www.mendeley.com/documents/?uuid=51ca32a7-0212-4a00-8902-bd6854438734"]}],"mendeley":{"formattedCitation":"&lt;sup&gt;7&lt;/sup&gt;","plainTextFormattedCitation":"7","previouslyFormattedCitation":"&lt;sup&gt;7&lt;/sup&gt;"},"properties":{"noteIndex":0},"schema":"https://github.com/citation-style-language/schema/raw/master/csl-citation.json"}</w:instrText>
      </w:r>
      <w:r>
        <w:rPr>
          <w:rFonts w:ascii="Book Antiqua" w:hAnsi="Book Antiqua"/>
          <w:bCs/>
          <w:vertAlign w:val="superscript"/>
        </w:rPr>
        <w:fldChar w:fldCharType="separate"/>
      </w:r>
      <w:r>
        <w:rPr>
          <w:rFonts w:ascii="Book Antiqua" w:hAnsi="Book Antiqua"/>
          <w:bCs/>
          <w:vertAlign w:val="superscript"/>
        </w:rPr>
        <w:t>7</w:t>
      </w:r>
      <w:r>
        <w:rPr>
          <w:rFonts w:ascii="Book Antiqua" w:hAnsi="Book Antiqua"/>
          <w:bCs/>
          <w:vertAlign w:val="superscript"/>
        </w:rPr>
        <w:fldChar w:fldCharType="end"/>
      </w:r>
      <w:r>
        <w:rPr>
          <w:rFonts w:ascii="Book Antiqua" w:hAnsi="Book Antiqua"/>
          <w:bCs/>
          <w:vertAlign w:val="superscript"/>
        </w:rPr>
        <w:t>]</w:t>
      </w:r>
      <w:r>
        <w:rPr>
          <w:rFonts w:ascii="Book Antiqua" w:hAnsi="Book Antiqua"/>
          <w:color w:val="000000"/>
          <w:shd w:val="clear" w:color="auto" w:fill="FFFFFF"/>
        </w:rPr>
        <w:t>. RCC represents 2% to 4% of all newly diagnosed cancers in the developed countries on an annual basis, making it the most commonly encountered primary renal malignant tumor</w:t>
      </w:r>
      <w:r>
        <w:rPr>
          <w:rFonts w:ascii="Book Antiqua" w:hAnsi="Book Antiqua"/>
          <w:color w:val="000000"/>
          <w:shd w:val="clear" w:color="auto" w:fill="FFFFFF"/>
          <w:vertAlign w:val="superscript"/>
        </w:rPr>
        <w:t>[</w:t>
      </w:r>
      <w:r>
        <w:rPr>
          <w:rFonts w:ascii="Book Antiqua" w:hAnsi="Book Antiqua"/>
          <w:color w:val="000000"/>
          <w:shd w:val="clear" w:color="auto" w:fill="FFFFFF"/>
          <w:vertAlign w:val="superscript"/>
        </w:rPr>
        <w:fldChar w:fldCharType="begin" w:fldLock="1"/>
      </w:r>
      <w:r>
        <w:rPr>
          <w:rFonts w:ascii="Book Antiqua" w:hAnsi="Book Antiqua"/>
          <w:color w:val="000000"/>
          <w:shd w:val="clear" w:color="auto" w:fill="FFFFFF"/>
          <w:vertAlign w:val="superscript"/>
        </w:rPr>
        <w:instrText xml:space="preserve">ADDIN CSL_CITATION {"citationItems":[{"id":"ITEM-1","itemData":{"DOI":"10.3322/caac.21262","ISSN":"1542-4863 (Electronic)","PMID":"25651787","abstract":"Cancer constitutes an enormous burden on society in more and less economically  developed countries alike. The occurrence of cancer is increasing because of the growth and aging of the population, as well as an increasing prevalence of established risk factors such as smoking, overweight, physical inactivity, and changing reproductive patterns associated with urbanization and economic development. Based on GLOBOCAN estimates, about 14.1 million new cancer cases and 8.2 million deaths occurred in 2012 worldwide. Over the years, the burden has shifted to less developed countries, which currently account for about 57% of cases and 65% of cancer deaths worldwide. Lung cancer is the leading cause of cancer death among males in both more and less developed countries, and has surpassed breast cancer as the leading cause of cancer death among females in more developed countries; breast cancer remains the leading cause of cancer death among females in less developed countries. Other leading causes of cancer death in more developed countries include colorectal cancer among males and females and prostate cancer among males. In less developed countries, liver and stomach cancer among males and cervical cancer among females are also leading causes of cancer death. Although incidence rates for all cancers combined are nearly twice as high in more developed than in less developed countries in both males and females, mortality rates are only 8% to 15% higher in more developed countries. This disparity reflects regional differences in the mix of cancers, which is affected by risk factors and detection practices, and/or the availability of treatment. Risk factors associated with the leading causes of cancer death include tobacco use (lung, colorectal, stomach, and liver cancer), overweight/obesity and physical inactivity (breast and colorectal cancer), and infection (liver, stomach, and cervical cancer). A substantial portion of cancer cases and deaths could be prevented by broadly applying effective prevention measures, such as tobacco control, vaccination, and the use of early detection tests.","author":[{"dropping-particle":"","family":"Torre","given":"Lindsey A","non-dropping-particle":"","parse-names":false,"suffix":""},{"dropping-particle":"","family":"Bray","given":"Freddie","non-dropping-particle":"","parse-names":false,"suffix":""},{"dropping-particle":"","family":"Siegel","given":"Rebecca L","non-dropping-particle":"","parse-names":false,"suffix":""},{"dropping-particle":"","family":"Ferlay","given":"Jacques","non-dropping-particle":"","parse-names":false,"suffix":""},{"dropping-particle":"","family":"Lortet-Tieulent","given":"Joannie","non-dropping-particle":"","parse-names":false,"suffix":""},{"dropping-particle":"","family":"Jemal","given":"Ahmedin","non-dropping-particle":"","parse-names":false,"suffix":""}],"container-title":"CA: a cancer journal for clinicians","id":"ITEM-1","issue":"2","issued":{"date-parts":[["2015","3"]]},"language":"eng","page":"87-108","publisher-place":"United States","title":"Global cancer statistics, 2012.","type":"article-journal","volume":"65"},"uris":["http://www.mendeley.com/documents/?uuid=19aaae39-562e-45c3-b12d-8e5889b20199"]}],"mendeley":{"formattedCitation":"&lt;sup&gt;8&lt;/sup&gt;","plainTextFormattedCitation":"8","previouslyFormattedCitation":"&lt;sup&gt;8&lt;/sup&gt;"},"properties":{"noteIndex":0},"schema":"https://github.com/citation-style-language/schema/raw/master/csl-citation.json"}</w:instrText>
      </w:r>
      <w:r>
        <w:rPr>
          <w:rFonts w:ascii="Book Antiqua" w:hAnsi="Book Antiqua"/>
          <w:color w:val="000000"/>
          <w:shd w:val="clear" w:color="auto" w:fill="FFFFFF"/>
          <w:vertAlign w:val="superscript"/>
        </w:rPr>
        <w:fldChar w:fldCharType="separate"/>
      </w:r>
      <w:r>
        <w:rPr>
          <w:rFonts w:ascii="Book Antiqua" w:hAnsi="Book Antiqua"/>
          <w:color w:val="000000"/>
          <w:shd w:val="clear" w:color="auto" w:fill="FFFFFF"/>
          <w:vertAlign w:val="superscript"/>
        </w:rPr>
        <w:t>8</w:t>
      </w:r>
      <w:r>
        <w:rPr>
          <w:rFonts w:ascii="Book Antiqua" w:hAnsi="Book Antiqua"/>
          <w:color w:val="000000"/>
          <w:shd w:val="clear" w:color="auto" w:fill="FFFFFF"/>
          <w:vertAlign w:val="superscript"/>
        </w:rPr>
        <w:fldChar w:fldCharType="end"/>
      </w:r>
      <w:r>
        <w:rPr>
          <w:rFonts w:ascii="Book Antiqua" w:hAnsi="Book Antiqua"/>
          <w:color w:val="000000"/>
          <w:shd w:val="clear" w:color="auto" w:fill="FFFFFF"/>
          <w:vertAlign w:val="superscript"/>
        </w:rPr>
        <w:t>]</w:t>
      </w:r>
      <w:r>
        <w:rPr>
          <w:rFonts w:ascii="Book Antiqua" w:hAnsi="Book Antiqua"/>
          <w:color w:val="000000"/>
          <w:shd w:val="clear" w:color="auto" w:fill="FFFFFF"/>
        </w:rPr>
        <w:t xml:space="preserve">. </w:t>
      </w:r>
      <w:r>
        <w:rPr>
          <w:rFonts w:ascii="Book Antiqua" w:hAnsi="Book Antiqua" w:cs="Arial"/>
          <w:shd w:val="clear" w:color="auto" w:fill="FFFFFF"/>
        </w:rPr>
        <w:t>According to data from the American Cancer Society in 2015, the 5</w:t>
      </w:r>
      <w:r>
        <w:rPr>
          <w:rFonts w:ascii="Book Antiqua" w:hAnsi="Book Antiqua"/>
          <w:shd w:val="clear" w:color="auto" w:fill="FFFFFF"/>
        </w:rPr>
        <w:t>-year survival rates for localized tumor are high. Controversially,</w:t>
      </w:r>
      <w:r>
        <w:rPr>
          <w:rFonts w:ascii="Book Antiqua" w:hAnsi="Book Antiqua"/>
          <w:color w:val="000000"/>
          <w:shd w:val="clear" w:color="auto" w:fill="FFFFFF"/>
        </w:rPr>
        <w:t xml:space="preserve"> metastases are commonly found.</w:t>
      </w:r>
      <w:r>
        <w:rPr>
          <w:rStyle w:val="19"/>
          <w:rFonts w:ascii="Book Antiqua" w:hAnsi="Book Antiqua"/>
          <w:color w:val="303030"/>
        </w:rPr>
        <w:t xml:space="preserve"> </w:t>
      </w:r>
      <w:r>
        <w:rPr>
          <w:rFonts w:ascii="Book Antiqua" w:hAnsi="Book Antiqua"/>
          <w:color w:val="000000"/>
          <w:shd w:val="clear" w:color="auto" w:fill="FFFFFF"/>
        </w:rPr>
        <w:t>In fact, during the primary diagnostic work up, 20% of the patients present with metastatic spread. Eventually 20% to 40% of all patients will develop RCC metastases after radical nephrectomy</w:t>
      </w:r>
      <w:r>
        <w:rPr>
          <w:rFonts w:ascii="Book Antiqua" w:hAnsi="Book Antiqua"/>
          <w:color w:val="000000"/>
          <w:shd w:val="clear" w:color="auto" w:fill="FFFFFF"/>
          <w:vertAlign w:val="superscript"/>
        </w:rPr>
        <w:t>[</w:t>
      </w:r>
      <w:r>
        <w:rPr>
          <w:rFonts w:ascii="Book Antiqua" w:hAnsi="Book Antiqua"/>
          <w:color w:val="000000"/>
          <w:shd w:val="clear" w:color="auto" w:fill="FFFFFF"/>
          <w:vertAlign w:val="superscript"/>
        </w:rPr>
        <w:fldChar w:fldCharType="begin" w:fldLock="1"/>
      </w:r>
      <w:r>
        <w:rPr>
          <w:rFonts w:ascii="Book Antiqua" w:hAnsi="Book Antiqua"/>
          <w:color w:val="000000"/>
          <w:shd w:val="clear" w:color="auto" w:fill="FFFFFF"/>
          <w:vertAlign w:val="superscript"/>
        </w:rPr>
        <w:instrText xml:space="preserve">ADDIN CSL_CITATION {"citationItems":[{"id":"ITEM-1","itemData":{"DOI":"10.1016/j.eururo.2013.08.012","ISSN":"1873-7560 (Electronic)","PMID":"23962746","abstract":"BACKGROUND: The skeleton and liver are frequently involved sites of metastasis in  patients with metastatic renal cell carcinoma (RCC). OBJECTIVE: To analyze outcomes based on the presence of bone metastases (BMs) and/or liver metastases (LMs) in patients with RCC treated with targeted therapy. DESIGN, SETTING, AND PARTICIPANTS: We conducted a review from the International Metastatic Renal Cell Carcinoma Database Consortium (IMDC) of 2027 patients with metastatic RCC. OUTCOME MEASUREMENTS AND STATISTICAL ANALYSIS: We analyzed the impact of the site of metastasis on overall survival (OS) and time-to-treatment failure. Statistical analyses were performed using multivariable Cox regression. RESULTS AND LIMITATIONS: The presence of BMs was 34% overall, and when stratified by IMDC risk groups was 27%, 33%, and 43% in the favorable-, intermediate-, and poor-risk groups, respectively (p&lt;0.001). The presence of LMs was 19% overall and higher in the poor-risk patients (23%) compared with the favorable- or intermediate-risk groups (17%) (p=0.003). When patients were classified into four groups based on the presence of BMs and/or LMs, the hazard ratio, adjusted for IMDC risk factors, was 1.4 (95% confidence interval [CI], 1.22-1.62) for BMs, 1.42 (95% CI, 1.17-1.73) for LMs, and 1.82 (95% CI, 1.47-2.26) for both BMs and LMs compared with other metastatic sites (p&lt;0.0001). The prediction model performance for OS was significantly improved when BMs and LMs were added to the IMDC prognostic model (likelihood ratio test p&lt;0.0001). Data in this analysis were collected retrospectively. CONCLUSIONS: The presence of BMs and LMs in patients treated with targeted agents has a negative impact on survival. Patients with BMs and/or LMs may benefit from earlier inclusion on clinical trials of novel agents or combination-based therapies.","author":[{"dropping-particle":"","family":"McKay","given":"Rana R","non-dropping-particle":"","parse-names":false,"suffix":""},{"dropping-particle":"","family":"Kroeger","given":"Nils","non-dropping-particle":"","parse-names":false,"suffix":""},{"dropping-particle":"","family":"Xie","given":"Wanling","non-dropping-particle":"","parse-names":false,"suffix":""},{"dropping-particle":"","family":"Lee","given":"Jae-Lyun","non-dropping-particle":"","parse-names":false,"suffix":""},{"dropping-particle":"","family":"Knox","given":"Jennifer J","non-dropping-particle":"","parse-names":false,"suffix":""},{"dropping-particle":"","family":"Bjarnason","given":"Georg A","non-dropping-particle":"","parse-names":false,"suffix":""},{"dropping-particle":"","family":"MacKenzie","given":"Mary J","non-dropping-particle":"","parse-names":false,"suffix":""},{"dropping-particle":"","family":"Wood","given":"Lori","non-dropping-particle":"","parse-names":false,"suffix":""},{"dropping-particle":"","family":"Srinivas","given":"Sandy","non-dropping-particle":"","parse-names":false,"suffix":""},{"dropping-particle":"","family":"Vaishampayan","given":"Ulka N","non-dropping-particle":"","parse-names":false,"suffix":""},{"dropping-particle":"","family":"Rha","given":"Sun-Young","non-dropping-particle":"","parse-names":false,"suffix":""},{"dropping-particle":"","family":"Pal","given":"Sumanta K","non-dropping-particle":"","parse-names":false,"suffix":""},{"dropping-particle":"","family":"Donskov","given":"Frede","non-dropping-particle":"","parse-names":false,"suffix":""},{"dropping-particle":"","family":"Tantravahi","given":"Srinivas K","non-dropping-particle":"","parse-names":false,"suffix":""},{"dropping-particle":"","family":"Rini","given":"Brian I","non-dropping-particle":"","parse-names":false,"suffix":""},{"dropping-particle":"","family":"Heng","given":"Daniel Y C","non-dropping-particle":"","parse-names":false,"suffix":""},{"dropping-particle":"","family":"Choueiri","given":"Toni K","non-dropping-particle":"","parse-names":false,"suffix":""}],"container-title":"European urology","id":"ITEM-1","issue":"3","issued":{"date-parts":[["2014","3"]]},"language":"eng","page":"577-584","title":"Impact of bone and liver metastases on patients with renal cell carcinoma treated  with targeted therapy.","type":"article-journal","volume":"65"},"uris":["http://www.mendeley.com/documents/?uuid=c5d8294d-b86f-49e2-91f3-94c6daf761cc"]}],"mendeley":{"formattedCitation":"&lt;sup&gt;9&lt;/sup&gt;","plainTextFormattedCitation":"9","previouslyFormattedCitation":"&lt;sup&gt;9&lt;/sup&gt;"},"properties":{"noteIndex":0},"schema":"https://github.com/citation-style-language/schema/raw/master/csl-citation.json"}</w:instrText>
      </w:r>
      <w:r>
        <w:rPr>
          <w:rFonts w:ascii="Book Antiqua" w:hAnsi="Book Antiqua"/>
          <w:color w:val="000000"/>
          <w:shd w:val="clear" w:color="auto" w:fill="FFFFFF"/>
          <w:vertAlign w:val="superscript"/>
        </w:rPr>
        <w:fldChar w:fldCharType="separate"/>
      </w:r>
      <w:r>
        <w:rPr>
          <w:rFonts w:ascii="Book Antiqua" w:hAnsi="Book Antiqua"/>
          <w:color w:val="000000"/>
          <w:shd w:val="clear" w:color="auto" w:fill="FFFFFF"/>
          <w:vertAlign w:val="superscript"/>
        </w:rPr>
        <w:t>9</w:t>
      </w:r>
      <w:r>
        <w:rPr>
          <w:rFonts w:ascii="Book Antiqua" w:hAnsi="Book Antiqua"/>
          <w:color w:val="000000"/>
          <w:shd w:val="clear" w:color="auto" w:fill="FFFFFF"/>
          <w:vertAlign w:val="superscript"/>
        </w:rPr>
        <w:fldChar w:fldCharType="end"/>
      </w:r>
      <w:r>
        <w:rPr>
          <w:rFonts w:ascii="Book Antiqua" w:hAnsi="Book Antiqua"/>
          <w:color w:val="000000"/>
          <w:shd w:val="clear" w:color="auto" w:fill="FFFFFF"/>
          <w:vertAlign w:val="superscript"/>
        </w:rPr>
        <w:t>,</w:t>
      </w:r>
      <w:r>
        <w:rPr>
          <w:rFonts w:ascii="Book Antiqua" w:hAnsi="Book Antiqua"/>
          <w:color w:val="000000"/>
          <w:shd w:val="clear" w:color="auto" w:fill="FFFFFF"/>
          <w:vertAlign w:val="superscript"/>
        </w:rPr>
        <w:fldChar w:fldCharType="begin" w:fldLock="1"/>
      </w:r>
      <w:r>
        <w:rPr>
          <w:rFonts w:ascii="Book Antiqua" w:hAnsi="Book Antiqua"/>
          <w:color w:val="000000"/>
          <w:shd w:val="clear" w:color="auto" w:fill="FFFFFF"/>
          <w:vertAlign w:val="superscript"/>
        </w:rPr>
        <w:instrText xml:space="preserve">ADDIN CSL_CITATION {"citationItems":[{"id":"ITEM-1","itemData":{"DOI":"10.1002/cncr.11234","ISSN":"0008-543X (Print)","PMID":"12655523","abstract":"BACKGROUND: The objective of the current study was to develop an algorithm to  predict progression to metastases after radical nephrectomy for patients with clinically localized renal cell carcinoma (RCC) to allow stratification of patients for potential adjuvant therapy trials. METHODS: The authors identified 1671 sporadic patients with clinically localized, unilateral clear cell RCC who underwent radical nephrectomy between 1970 and 2000. The clinical features examined included age, gender, smoking history, recent onset hypertension, performance status, and presenting symptoms. The pathologic features examined included surgical margins, tumor stage, regional lymph node status, tumor size, nuclear grade, histologic tumor necrosis, sarcomatoid component, cystic architecture, and multifocality. Metastases free survival was estimated using the Kaplan-Meier method. A multivariate Cox proportional hazards regression model was fit to determine associations between the clinical and pathologic features and distant metastases. RESULTS: The median follow-up was 5.4 years (range, 0-31 years). Metastases occurred in 479 patients at a median of 1.3 years (range, 0-25 years) after nephrectomy. The estimated metastases free survival rates were 86.9% at 1 year, 77.8% at 3 years, 74.1% at 5 years, 70.8% at 7 years, and 67.1% at 10 years. Multivariate analysis showed that the following features were associated with progression to metastases: tumor stage, regional lymph node status, tumor size, nuclear grade, and histologic tumor necrosis (P &lt; 0.001 for all). CONCLUSIONS: In patients with clear cell RCC, tumor stage, regional lymph node status, tumor size, nuclear grade, and histologic tumor necrosis showed statistically significant associations with progression to metastatic RCC. The authors present a scoring algorithm based on these features that can be used to predict disease progression after patients undergo radical nephrectomy for clinically localized clear cell RCC. Cancer 2003;97:1663-71.","author":[{"dropping-particle":"","family":"Leibovich","given":"Bradley C","non-dropping-particle":"","parse-names":false,"suffix":""},{"dropping-particle":"","family":"Blute","given":"Michael L","non-dropping-particle":"","parse-names":false,"suffix":""},{"dropping-particle":"","family":"Cheville","given":"John C","non-dropping-particle":"","parse-names":false,"suffix":""},{"dropping-particle":"","family":"Lohse","given":"Christine M","non-dropping-particle":"","parse-names":false,"suffix":""},{"dropping-particle":"","family":"Frank","given":"Igor","non-dropping-particle":"","parse-names":false,"suffix":""},{"dropping-particle":"","family":"Kwon","given":"Eugene D","non-dropping-particle":"","parse-names":false,"suffix":""},{"dropping-particle":"","family":"Weaver","given":"Amy L","non-dropping-particle":"","parse-names":false,"suffix":""},{"dropping-particle":"","family":"Parker","given":"Alexander S","non-dropping-particle":"","parse-names":false,"suffix":""},{"dropping-particle":"","family":"Zincke","given":"Horst","non-dropping-particle":"","parse-names":false,"suffix":""}],"container-title":"Cancer","id":"ITEM-1","issue":"7","issued":{"date-parts":[["2003","4"]]},"language":"eng","page":"1663-1671","publisher-place":"United States","title":"Prediction of progression after radical nephrectomy for patients with clear cell  renal cell carcinoma: a stratification tool for prospective clinical trials.","type":"article-journal","volume":"97"},"uris":["http://www.mendeley.com/documents/?uuid=78ceedfc-af95-4eda-bd58-fd96c6ecb75c"]}],"mendeley":{"formattedCitation":"&lt;sup&gt;10&lt;/sup&gt;","plainTextFormattedCitation":"10","previouslyFormattedCitation":"&lt;sup&gt;10&lt;/sup&gt;"},"properties":{"noteIndex":0},"schema":"https://github.com/citation-style-language/schema/raw/master/csl-citation.json"}</w:instrText>
      </w:r>
      <w:r>
        <w:rPr>
          <w:rFonts w:ascii="Book Antiqua" w:hAnsi="Book Antiqua"/>
          <w:color w:val="000000"/>
          <w:shd w:val="clear" w:color="auto" w:fill="FFFFFF"/>
          <w:vertAlign w:val="superscript"/>
        </w:rPr>
        <w:fldChar w:fldCharType="separate"/>
      </w:r>
      <w:r>
        <w:rPr>
          <w:rFonts w:ascii="Book Antiqua" w:hAnsi="Book Antiqua"/>
          <w:color w:val="000000"/>
          <w:shd w:val="clear" w:color="auto" w:fill="FFFFFF"/>
          <w:vertAlign w:val="superscript"/>
        </w:rPr>
        <w:t>10</w:t>
      </w:r>
      <w:r>
        <w:rPr>
          <w:rFonts w:ascii="Book Antiqua" w:hAnsi="Book Antiqua"/>
          <w:color w:val="000000"/>
          <w:shd w:val="clear" w:color="auto" w:fill="FFFFFF"/>
          <w:vertAlign w:val="superscript"/>
        </w:rPr>
        <w:fldChar w:fldCharType="end"/>
      </w:r>
      <w:r>
        <w:rPr>
          <w:rFonts w:ascii="Book Antiqua" w:hAnsi="Book Antiqua"/>
          <w:color w:val="000000"/>
          <w:shd w:val="clear" w:color="auto" w:fill="FFFFFF"/>
          <w:vertAlign w:val="superscript"/>
        </w:rPr>
        <w:t>]</w:t>
      </w:r>
      <w:r>
        <w:rPr>
          <w:rFonts w:ascii="Book Antiqua" w:hAnsi="Book Antiqua"/>
          <w:color w:val="000000"/>
          <w:shd w:val="clear" w:color="auto" w:fill="FFFFFF"/>
        </w:rPr>
        <w:t>. The liver is amongst the most common metastatic site, leading to a significant decrease in the 5-year survival rate (to 20%)</w:t>
      </w:r>
      <w:r>
        <w:rPr>
          <w:rFonts w:ascii="Book Antiqua" w:hAnsi="Book Antiqua"/>
          <w:color w:val="000000"/>
          <w:shd w:val="clear" w:color="auto" w:fill="FFFFFF"/>
          <w:vertAlign w:val="superscript"/>
        </w:rPr>
        <w:t>[</w:t>
      </w:r>
      <w:r>
        <w:rPr>
          <w:rFonts w:ascii="Book Antiqua" w:hAnsi="Book Antiqua"/>
          <w:color w:val="000000"/>
          <w:shd w:val="clear" w:color="auto" w:fill="FFFFFF"/>
          <w:vertAlign w:val="superscript"/>
        </w:rPr>
        <w:fldChar w:fldCharType="begin" w:fldLock="1"/>
      </w:r>
      <w:r>
        <w:rPr>
          <w:rFonts w:ascii="Book Antiqua" w:hAnsi="Book Antiqua"/>
          <w:color w:val="000000"/>
          <w:shd w:val="clear" w:color="auto" w:fill="FFFFFF"/>
          <w:vertAlign w:val="superscript"/>
        </w:rPr>
        <w:instrText xml:space="preserve">ADDIN CSL_CITATION {"citationItems":[{"id":"ITEM-1","itemData":{"DOI":"10.1093/annonc/mdr362","ISSN":"1569-8041 (Electronic)","PMID":"21890909","abstract":"BACKGROUND: We assessed the distribution of site-specific metastases in patients  with renal cell carcinoma (RCC) according to age. Moreover, we evaluated recommendations proposed by guidelines and focused specifically on bone and brain metastases. PATIENTS AND METHODS: Patients with metastatic RCC (mRCC) were abstracted from the Nationwide Inpatient Sample (1998-2007). Age was stratified into four groups: &lt;55, 55-64, 65-74 and ≥ 75 years. Cochran-Armitage trend test and multivariable logistic regression analysis tested the relationship between age and the rate of multiple metastatic sites. Finally, we examined the rates of brain or bone metastases according to the presence of other metastatic sites. RESULTS: In 11,157 mRCC patients, the rate of multiple metastatic sites decreased with increasing age (P &lt; 0.001). This phenomenon was confirmed in patients with lung, bone, liver and brain metastases (all P ≤ 0.01). The rate of bone metastases was 10% in patients with exclusive abdominal metastases and 49% in patients with abdominal, thoracic and brain metastases. The rate of brain metastases was 2% in patients with exclusive abdominal metastases and 16% in patients with thoracic and bone metastases. CONCLUSIONS: The proportion of patients with multiple metastatic sites is higher in young patients. The rates of bone (10%-49%) and brain (2%-16%) metastases are nonnegligible in mRCC patients.","author":[{"dropping-particle":"","family":"Bianchi","given":"M","non-dropping-particle":"","parse-names":false,"suffix":""},{"dropping-particle":"","family":"Sun","given":"M","non-dropping-particle":"","parse-names":false,"suffix":""},{"dropping-particle":"","family":"Jeldres","given":"C","non-dropping-particle":"","parse-names":false,"suffix":""},{"dropping-particle":"","family":"Shariat","given":"S F","non-dropping-particle":"","parse-names":false,"suffix":""},{"dropping-particle":"","family":"Trinh","given":"Q-D","non-dropping-particle":"","parse-names":false,"suffix":""},{"dropping-particle":"","family":"Briganti","given":"A","non-dropping-particle":"","parse-names":false,"suffix":""},{"dropping-particle":"","family":"Tian","given":"Z","non-dropping-particle":"","parse-names":false,"suffix":""},{"dropping-particle":"","family":"Schmitges","given":"J","non-dropping-particle":"","parse-names":false,"suffix":""},{"dropping-particle":"","family":"Graefen","given":"M","non-dropping-particle":"","parse-names":false,"suffix":""},{"dropping-particle":"","family":"Perrotte","given":"P","non-dropping-particle":"","parse-names":false,"suffix":""},{"dropping-particle":"","family":"Menon","given":"M","non-dropping-particle":"","parse-names":false,"suffix":""},{"dropping-particle":"","family":"Montorsi","given":"F","non-dropping-particle":"","parse-names":false,"suffix":""},{"dropping-particle":"","family":"Karakiewicz","given":"P I","non-dropping-particle":"","parse-names":false,"suffix":""}],"container-title":"Annals of oncology : official journal of the European Society for Medical Oncology","id":"ITEM-1","issue":"4","issued":{"date-parts":[["2012","4"]]},"language":"eng","page":"973-980","publisher-place":"England","title":"Distribution of metastatic sites in renal cell carcinoma: a population-based  analysis.","type":"article-journal","volume":"23"},"uris":["http://www.mendeley.com/documents/?uuid=7082bec5-e31e-400b-8dd4-4da9d6aee095"]}],"mendeley":{"formattedCitation":"&lt;sup&gt;11&lt;/sup&gt;","plainTextFormattedCitation":"11","previouslyFormattedCitation":"&lt;sup&gt;11&lt;/sup&gt;"},"properties":{"noteIndex":0},"schema":"https://github.com/citation-style-language/schema/raw/master/csl-citation.json"}</w:instrText>
      </w:r>
      <w:r>
        <w:rPr>
          <w:rFonts w:ascii="Book Antiqua" w:hAnsi="Book Antiqua"/>
          <w:color w:val="000000"/>
          <w:shd w:val="clear" w:color="auto" w:fill="FFFFFF"/>
          <w:vertAlign w:val="superscript"/>
        </w:rPr>
        <w:fldChar w:fldCharType="separate"/>
      </w:r>
      <w:r>
        <w:rPr>
          <w:rFonts w:ascii="Book Antiqua" w:hAnsi="Book Antiqua"/>
          <w:color w:val="000000"/>
          <w:shd w:val="clear" w:color="auto" w:fill="FFFFFF"/>
          <w:vertAlign w:val="superscript"/>
        </w:rPr>
        <w:t>11</w:t>
      </w:r>
      <w:r>
        <w:rPr>
          <w:rFonts w:ascii="Book Antiqua" w:hAnsi="Book Antiqua"/>
          <w:color w:val="000000"/>
          <w:shd w:val="clear" w:color="auto" w:fill="FFFFFF"/>
          <w:vertAlign w:val="superscript"/>
        </w:rPr>
        <w:fldChar w:fldCharType="end"/>
      </w:r>
      <w:r>
        <w:rPr>
          <w:rFonts w:ascii="Book Antiqua" w:hAnsi="Book Antiqua"/>
          <w:color w:val="000000"/>
          <w:shd w:val="clear" w:color="auto" w:fill="FFFFFF"/>
          <w:vertAlign w:val="superscript"/>
        </w:rPr>
        <w:t>]</w:t>
      </w:r>
      <w:r>
        <w:rPr>
          <w:rFonts w:ascii="Book Antiqua" w:hAnsi="Book Antiqua"/>
          <w:color w:val="000000"/>
          <w:shd w:val="clear" w:color="auto" w:fill="FFFFFF"/>
        </w:rPr>
        <w:t>.</w:t>
      </w:r>
    </w:p>
    <w:p>
      <w:pPr>
        <w:snapToGrid w:val="0"/>
        <w:spacing w:line="360" w:lineRule="auto"/>
        <w:ind w:firstLine="270"/>
        <w:jc w:val="both"/>
        <w:rPr>
          <w:rFonts w:ascii="Book Antiqua" w:hAnsi="Book Antiqua"/>
          <w:color w:val="000000"/>
          <w:shd w:val="clear" w:color="auto" w:fill="FFFFFF"/>
        </w:rPr>
      </w:pPr>
      <w:r>
        <w:rPr>
          <w:rFonts w:ascii="Book Antiqua" w:hAnsi="Book Antiqua"/>
          <w:color w:val="000000"/>
          <w:shd w:val="clear" w:color="auto" w:fill="FFFFFF"/>
        </w:rPr>
        <w:t xml:space="preserve">Despite the vast knowledge of carcinogenesis and metastasis spread of most of the malignant diseases, paraneoplastic syndromes remain poorly understood. Due to the multifaceted clinical presentation, their diagnosis remain difficult. Cholestasis can be observed in various malignancies such as the liver, pancreas, gall bladder, and bile ducts. It can be due to an obstruction of the biliary tree or liver metastases. In rare cases, cholestasis is a paraneoplastic manifestation-Stauffer syndrome; </w:t>
      </w:r>
      <w:r>
        <w:rPr>
          <w:rFonts w:ascii="Book Antiqua" w:hAnsi="Book Antiqua"/>
          <w:shd w:val="clear" w:color="auto" w:fill="FFFFFF"/>
        </w:rPr>
        <w:t xml:space="preserve">classically seen in RCC, it has also been described in prostate, bronchial, and urinary bladder malignancies. </w:t>
      </w:r>
      <w:r>
        <w:rPr>
          <w:rFonts w:ascii="Book Antiqua" w:hAnsi="Book Antiqua"/>
          <w:color w:val="000000"/>
          <w:shd w:val="clear" w:color="auto" w:fill="FFFFFF"/>
        </w:rPr>
        <w:t xml:space="preserve">It is mainly presented with elevated cholestatic liver function tests, thrombocytosis, coagulation impairment and hepatosplenomegaly, in the absence of hepatic metastasis. </w:t>
      </w:r>
      <w:r>
        <w:rPr>
          <w:rFonts w:ascii="Book Antiqua" w:hAnsi="Book Antiqua"/>
          <w:bCs/>
        </w:rPr>
        <w:t>The most common laboratory findings are elevated AP (90% of cases), hyperbilirubinemia (15%), and elevated transaminases (21%)</w:t>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{"citationItems":[{"id":"ITEM-1","itemData":{"DOI":"10.7759/cureus.6032","ISSN":"2168-8184","abstract":"Stauffer syndrome is a rare paraneoplastic syndrome classically associated with renal cell carcinoma (RCC). This association gave it the historical name of nonmetastatic nephrogenic hepatic dysfunction syndrome without jaundice. It is a syndrome of unclear pathophysiology characterized by a reversible anicteric elevation of liver enzymes, alkaline phosphatase, erythrocyte sedimentation rate (ESR), thrombocytosis, prolongation of prothrombin time, and hepatosplenomegaly in the absence of direct hepatobiliary obstruction or jaundice. A rare atypical variant of this syndrome with jaundice has been recently described in the literature. Thus, it is important to consider both these variants of Stauffer syndrome in the differential diagnosis of unexplained cholestasis in the absence of hepatic metastasis. This may allow early recognition and treatment of an occult malignancy. Herein, we present a comprehensive review of the literature available on the icteric variant of the Stauffer syndrome, outlining its association with various malignancies and the diagnostic challenges it poses. The objective of this review is to help clinicians in its early diagnosis and management.","author":[{"dropping-particle":"","family":"Sharma","given":"Neha","non-dropping-particle":"","parse-names":false,"suffix":""},{"dropping-particle":"","family":"Darr","given":"Umar","non-dropping-particle":"","parse-names":false,"suffix":""},{"dropping-particle":"","family":"Darr","given":"Amir","non-dropping-particle":"","parse-names":false,"suffix":""},{"dropping-particle":"","family":"Sood","given":"Gagan","non-dropping-particle":"","parse-names":false,"suffix":""}],"container-title":"Cureus","id":"ITEM-1","issue":"10","issued":{"date-parts":[["2019","10","30"]]},"language":"eng","page":"e6032-e6032","publisher":"Cureus","title":"Stauffer Syndrome: A Comprehensive Review of the Icteric Variant of the Syndrome","type":"article-journal","volume":"11"},"uris":["http://www.mendeley.com/documents/?uuid=55387a14-a578-4edb-8dc8-c0700afafa3f"]}],"mendeley":{"formattedCitation":"&lt;sup&gt;12&lt;/sup&gt;","plainTextFormattedCitation":"12","previouslyFormattedCitation":"&lt;sup&gt;12&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12</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rPr>
        <w:t>.</w:t>
      </w:r>
    </w:p>
    <w:p>
      <w:pPr>
        <w:snapToGrid w:val="0"/>
        <w:spacing w:line="360" w:lineRule="auto"/>
        <w:ind w:firstLine="270"/>
        <w:jc w:val="both"/>
        <w:rPr>
          <w:rFonts w:ascii="Book Antiqua" w:hAnsi="Book Antiqua"/>
          <w:shd w:val="clear" w:color="auto" w:fill="FFFFFF"/>
        </w:rPr>
      </w:pPr>
      <w:r>
        <w:rPr>
          <w:rFonts w:ascii="Book Antiqua" w:hAnsi="Book Antiqua"/>
          <w:shd w:val="clear" w:color="auto" w:fill="FFFFFF"/>
        </w:rPr>
        <w:t>The process is probably caused by IL-6, a proinflammatory cytokine produced by cancer cells, since impaired laboratory results normalize after anti-IL-6 monoclonal antibody therapy. Clinical symptoms and laboratory abnormalities often persist during active malignancy but improve with nephrectomy</w:t>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{"citationItems":[{"id":"ITEM-1","itemData":{"DOI":"10.1002/(sici)1097-0215(19970729)72:3&lt;424::aid-ijc9&gt;3.0.co;2-r","ISSN":"0020-7136 (Print)","PMID":"9247285","abstract":"We investigated the possible causative role of interleukin 6 (IL-6) in the  paraneoplastic inflammatory syndrome and in paraneoplastic cholestasis (Stauffer syndrome) associated with renal-cell carcinoma in a series of 119 patients with metastases. IL-6 levels were found significantly higher in patients with paraneoplastic fever and weight loss. Patients with detectable serum IL-6 (n = 90, 76%) had significantly higher serum CRP, haptoglobin, and serum alkaline-phosphatase and gammaglutamyl-transferase levels. Platelets, polymorphonuclear neutrophil (PMN) and monocyte counts were also significantly higher in patients with detectable serum IL-6; in contrast, hemoglobin levels were significantly lower in patients with serum IL-6 over 80 pg/ml. Three of these patients were included in a phase-II trial of an anti-IL-6 monoclonal antibody given daily during 21 days. Reductions of CRP, haptoglobin and serum alkalin phosphatases were observed in all 3 patients during anti-IL-6 administration, with a subsequent increase up to or above pre-treatment levels after the end of anti-IL-6. Decrease of platelets, PMN and monocyte counts were also observed in the 3 patients during anti-IL-6 administration, with a normalization of cell counts in a patient with increased platelets, PMN and monocyte counts. Hemoglobin concentration, serum albumin concentration and lymphocyte counts remained stable in the 3 patients during and after anti-IL-6 administration. Serum IL-6, as evaluated by IRMA, decreased in the 3 patients during anti-IL-6 administration, but increased above pre-treatment levels after the end of anti-IL-6 administration. These results demonstrate that IL-6 is involved in the physiopathology of paraneoplastic syndromes observed in patients with metastatic renal-cell carcinoma, in particular CRP and haptoglobin increase, paraneoplastic cholestasis, also paraneoplastic thrombocytosis, neutrophilia and monocytosis.","author":[{"dropping-particle":"","family":"Blay","given":"J Y","non-dropping-particle":"","parse-names":false,"suffix":""},{"dropping-particle":"","family":"Rossi","given":"J F","non-dropping-particle":"","parse-names":false,"suffix":""},{"dropping-particle":"","family":"Wijdenes","given":"J","non-dropping-particle":"","parse-names":false,"suffix":""},{"dropping-particle":"","family":"Menetrier-Caux","given":"C","non-dropping-particle":"","parse-names":false,"suffix":""},{"dropping-particle":"","family":"Schemann","given":"S","non-dropping-particle":"","parse-names":false,"suffix":""},{"dropping-particle":"","family":"Négrier","given":"S","non-dropping-particle":"","parse-names":false,"suffix":""},{"dropping-particle":"","family":"Philip","given":"T","non-dropping-particle":"","parse-names":false,"suffix":""},{"dropping-particle":"","family":"Favrot","given":"M","non-dropping-particle":"","parse-names":false,"suffix":""}],"container-title":"International journal of cancer","id":"ITEM-1","issue":"3","issued":{"date-parts":[["1997","7"]]},"language":"eng","page":"424-430","publisher-place":"United States","title":"Role of interleukin-6 in the paraneoplastic inflammatory syndrome associated with  renal-cell carcinoma.","type":"article-journal","volume":"72"},"uris":["http://www.mendeley.com/documents/?uuid=ca00841c-e6ca-4ca1-800e-8654b8ac303f"]}],"mendeley":{"formattedCitation":"&lt;sup&gt;13&lt;/sup&gt;","plainTextFormattedCitation":"13","previouslyFormattedCitation":"&lt;sup&gt;13&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13</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rPr>
        <w:t>.</w:t>
      </w:r>
    </w:p>
    <w:p>
      <w:pPr>
        <w:snapToGrid w:val="0"/>
        <w:spacing w:line="360" w:lineRule="auto"/>
        <w:ind w:firstLine="270"/>
        <w:jc w:val="both"/>
        <w:rPr>
          <w:rFonts w:ascii="Book Antiqua" w:hAnsi="Book Antiqua" w:eastAsia="Times New Roman" w:cs="Arial"/>
          <w:i/>
          <w:iCs/>
          <w:vertAlign w:val="subscript"/>
          <w:lang w:eastAsia="bg-BG"/>
        </w:rPr>
      </w:pPr>
      <w:r>
        <w:rPr>
          <w:rFonts w:ascii="Book Antiqua" w:hAnsi="Book Antiqua"/>
          <w:bCs/>
        </w:rPr>
        <w:t xml:space="preserve">The reported frequencies of </w:t>
      </w:r>
      <w:r>
        <w:rPr>
          <w:rFonts w:ascii="Book Antiqua" w:hAnsi="Book Antiqua"/>
          <w:shd w:val="clear" w:color="auto" w:fill="FFFFFF"/>
        </w:rPr>
        <w:t>Stauffer syndrome</w:t>
      </w:r>
      <w:r>
        <w:rPr>
          <w:rFonts w:ascii="Book Antiqua" w:hAnsi="Book Antiqua"/>
          <w:bCs/>
        </w:rPr>
        <w:t xml:space="preserve"> range between 3% and 20% of RCC cases</w:t>
      </w:r>
      <w:r>
        <w:rPr>
          <w:rFonts w:ascii="Book Antiqua" w:hAnsi="Book Antiqua"/>
          <w:bCs/>
          <w:vertAlign w:val="superscript"/>
        </w:rPr>
        <w:t>[7]</w:t>
      </w:r>
      <w:r>
        <w:rPr>
          <w:rFonts w:ascii="Book Antiqua" w:hAnsi="Book Antiqua"/>
          <w:bCs/>
        </w:rPr>
        <w:t xml:space="preserve">. </w:t>
      </w:r>
      <w:r>
        <w:rPr>
          <w:rFonts w:ascii="Book Antiqua" w:hAnsi="Book Antiqua" w:eastAsia="Times New Roman"/>
          <w:lang w:eastAsia="bg-BG"/>
        </w:rPr>
        <w:t>Elevated IL-6 is often present, and associations between the levels of IL-6, AP, C-reactive protein (CRP) and haptoglobin have been reported in the event of RCC</w:t>
      </w:r>
      <w:r>
        <w:rPr>
          <w:rFonts w:ascii="Book Antiqua" w:hAnsi="Book Antiqua" w:eastAsia="Times New Roman"/>
          <w:vertAlign w:val="superscript"/>
          <w:lang w:eastAsia="bg-BG"/>
        </w:rPr>
        <w:t>[</w:t>
      </w:r>
      <w:r>
        <w:rPr>
          <w:rFonts w:ascii="Book Antiqua" w:hAnsi="Book Antiqua" w:eastAsia="Times New Roman"/>
          <w:vertAlign w:val="superscript"/>
          <w:lang w:eastAsia="bg-BG"/>
        </w:rPr>
        <w:fldChar w:fldCharType="begin" w:fldLock="1"/>
      </w:r>
      <w:r>
        <w:rPr>
          <w:rFonts w:ascii="Book Antiqua" w:hAnsi="Book Antiqua" w:eastAsia="Times New Roman"/>
          <w:vertAlign w:val="superscript"/>
          <w:lang w:eastAsia="bg-BG"/>
        </w:rPr>
        <w:instrText xml:space="preserve">ADDIN CSL_CITATION {"citationItems":[{"id":"ITEM-1","itemData":{"DOI":"10.1053/j.gastro.2013.12.038","ISSN":"1528-0012 (Electronic)","PMID":"24560853","author":[{"dropping-particle":"","family":"Jangouk","given":"Parastoo","non-dropping-particle":"","parse-names":false,"suffix":""},{"dropping-particle":"","family":"Hashash","given":"Jana G","non-dropping-particle":"","parse-names":false,"suffix":""}],"container-title":"Gastroenterology","id":"ITEM-1","issue":"4","issued":{"date-parts":[["2014","4"]]},"language":"eng","page":"913,1138","publisher-place":"United States","title":"An unusual cause of painless jaundice. Renal cell carcinoma (Stauffer syndrome).","type":"article-journal","volume":"146"},"uris":["http://www.mendeley.com/documents/?uuid=1143b810-02eb-451b-9966-e5bef0d2b7c6"]}],"mendeley":{"formattedCitation":"&lt;sup&gt;14&lt;/sup&gt;","plainTextFormattedCitation":"14","previouslyFormattedCitation":"&lt;sup&gt;14&lt;/sup&gt;"},"properties":{"noteIndex":0},"schema":"https://github.com/citation-style-language/schema/raw/master/csl-citation.json"}</w:instrText>
      </w:r>
      <w:r>
        <w:rPr>
          <w:rFonts w:ascii="Book Antiqua" w:hAnsi="Book Antiqua" w:eastAsia="Times New Roman"/>
          <w:vertAlign w:val="superscript"/>
          <w:lang w:eastAsia="bg-BG"/>
        </w:rPr>
        <w:fldChar w:fldCharType="separate"/>
      </w:r>
      <w:r>
        <w:rPr>
          <w:rFonts w:ascii="Book Antiqua" w:hAnsi="Book Antiqua" w:eastAsia="Times New Roman"/>
          <w:vertAlign w:val="superscript"/>
          <w:lang w:eastAsia="bg-BG"/>
        </w:rPr>
        <w:t>14</w:t>
      </w:r>
      <w:r>
        <w:rPr>
          <w:rFonts w:ascii="Book Antiqua" w:hAnsi="Book Antiqua" w:eastAsia="Times New Roman"/>
          <w:vertAlign w:val="superscript"/>
          <w:lang w:eastAsia="bg-BG"/>
        </w:rPr>
        <w:fldChar w:fldCharType="end"/>
      </w:r>
      <w:r>
        <w:rPr>
          <w:rFonts w:ascii="Book Antiqua" w:hAnsi="Book Antiqua" w:eastAsia="Times New Roman"/>
          <w:vertAlign w:val="superscript"/>
          <w:lang w:eastAsia="bg-BG"/>
        </w:rPr>
        <w:t>,</w:t>
      </w:r>
      <w:r>
        <w:rPr>
          <w:rFonts w:ascii="Book Antiqua" w:hAnsi="Book Antiqua" w:eastAsia="Times New Roman"/>
          <w:vertAlign w:val="superscript"/>
          <w:lang w:eastAsia="bg-BG"/>
        </w:rPr>
        <w:fldChar w:fldCharType="begin" w:fldLock="1"/>
      </w:r>
      <w:r>
        <w:rPr>
          <w:rFonts w:ascii="Book Antiqua" w:hAnsi="Book Antiqua" w:eastAsia="Times New Roman"/>
          <w:vertAlign w:val="superscript"/>
          <w:lang w:eastAsia="bg-BG"/>
        </w:rPr>
        <w:instrText xml:space="preserve">ADDIN CSL_CITATION {"citationItems":[{"id":"ITEM-1","itemData":{"DOI":"10.3892/mco.2018.1564","ISSN":"2049-9450 (Print)","PMID":"29541472","abstract":"As with other genitourinary malignancies, a variety of paraneoplastic syndromes have  been revealed to occur in patients with prostate cancer. Stauffer's Syndrome is a well-described clinical syndrome which manifests via intrahepatic cholestasis in patients with renal cell carcinoma. Less common is intrahepatic cholestasis occurring in association with prostate cancer. The current case report discusses a 67-year-old man presenting with liver failure secondary to intrahepatic cholestasis co-existing with metastatic prostate adenocarcinoma. The patient's liver failure completely resolved with androgen-deprivation therapy suggesting an association between these two entities. The case report evaluates existing literature on this uncommon syndrome including the clinical presentation, natural history, and potential pathophysiology.","author":[{"dropping-particle":"","family":"Bhangoo","given":"Munveer S","non-dropping-particle":"","parse-names":false,"suffix":""},{"dropping-particle":"","family":"Cheng","given":"Brian","non-dropping-particle":"","parse-names":false,"suffix":""},{"dropping-particle":"","family":"Botta","given":"Gregory P","non-dropping-particle":"","parse-names":false,"suffix":""},{"dropping-particle":"","family":"Thorson","given":"Phataraporn","non-dropping-particle":"","parse-names":false,"suffix":""},{"dropping-particle":"","family":"Kosty","given":"Michael P","non-dropping-particle":"","parse-names":false,"suffix":""}],"container-title":"Molecular and clinical oncology","id":"ITEM-1","issue":"4","issued":{"date-parts":[["2018","4"]]},"language":"eng","page":"609-612","title":"Reversible intrahepatic cholestasis in metastatic prostate cancer: An uncommon  paraneoplastic syndrome.","type":"article-journal","volume":"8"},"uris":["http://www.mendeley.com/documents/?uuid=483992a5-8e17-40b3-b9ee-665c95c6a61f"]}],"mendeley":{"formattedCitation":"&lt;sup&gt;15&lt;/sup&gt;","plainTextFormattedCitation":"15","previouslyFormattedCitation":"&lt;sup&gt;15&lt;/sup&gt;"},"properties":{"noteIndex":0},"schema":"https://github.com/citation-style-language/schema/raw/master/csl-citation.json"}</w:instrText>
      </w:r>
      <w:r>
        <w:rPr>
          <w:rFonts w:ascii="Book Antiqua" w:hAnsi="Book Antiqua" w:eastAsia="Times New Roman"/>
          <w:vertAlign w:val="superscript"/>
          <w:lang w:eastAsia="bg-BG"/>
        </w:rPr>
        <w:fldChar w:fldCharType="separate"/>
      </w:r>
      <w:r>
        <w:rPr>
          <w:rFonts w:ascii="Book Antiqua" w:hAnsi="Book Antiqua" w:eastAsia="Times New Roman"/>
          <w:vertAlign w:val="superscript"/>
          <w:lang w:eastAsia="bg-BG"/>
        </w:rPr>
        <w:t>15</w:t>
      </w:r>
      <w:r>
        <w:rPr>
          <w:rFonts w:ascii="Book Antiqua" w:hAnsi="Book Antiqua" w:eastAsia="Times New Roman"/>
          <w:vertAlign w:val="superscript"/>
          <w:lang w:eastAsia="bg-BG"/>
        </w:rPr>
        <w:fldChar w:fldCharType="end"/>
      </w:r>
      <w:r>
        <w:rPr>
          <w:rFonts w:ascii="Book Antiqua" w:hAnsi="Book Antiqua" w:eastAsia="Times New Roman"/>
          <w:vertAlign w:val="superscript"/>
          <w:lang w:eastAsia="bg-BG"/>
        </w:rPr>
        <w:t>]</w:t>
      </w:r>
      <w:r>
        <w:rPr>
          <w:rFonts w:ascii="Book Antiqua" w:hAnsi="Book Antiqua" w:eastAsia="Times New Roman" w:cs="Arial"/>
          <w:lang w:eastAsia="bg-BG"/>
        </w:rPr>
        <w:t>.</w:t>
      </w:r>
    </w:p>
    <w:p>
      <w:pPr>
        <w:snapToGrid w:val="0"/>
        <w:spacing w:line="360" w:lineRule="auto"/>
        <w:ind w:firstLine="270"/>
        <w:jc w:val="both"/>
        <w:rPr>
          <w:rFonts w:ascii="Book Antiqua" w:hAnsi="Book Antiqua"/>
          <w:color w:val="333333"/>
          <w:shd w:val="clear" w:color="auto" w:fill="FFFFFF"/>
          <w:vertAlign w:val="subscript"/>
        </w:rPr>
      </w:pPr>
      <w:r>
        <w:rPr>
          <w:rFonts w:ascii="Book Antiqua" w:hAnsi="Book Antiqua"/>
          <w:shd w:val="clear" w:color="auto" w:fill="FFFFFF"/>
        </w:rPr>
        <w:t>IL-6, in particular, has been proposed to play a major role in the pathophysiology of this syndrome</w:t>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{"citationItems":[{"id":"ITEM-1","itemData":{"DOI":"10.1097/00042737-199703000-00018","ISSN":"0954-691X (Print)","PMID":"9096437","abstract":"Malignant diseases may cause cholestatic jaundice through either main bile duct  obstruction or widespread hepatic metastasis. Renal cell carcinoma (hypernephroma, RCC) can cause a variety of paraneoplastic manifestations which can be the main presenting symptoms. Cholestasis, as a paraneoplastic syndrome, has been well described in patients with malignant lymphohyperplastic diseases. Non-metastatic nephrogenic hepatic dysfunction syndrome without jaundice has often been described in patients with hypernephroma (Stauffer's syndrome). Paraneoplastic cholestatic jaundice has not yet been described. We report, for the first time, two patients who presented with pruritus and cholestatic jaundice. During the diagnostic work-up, RCC was diagnosed. The renal tumour was an unexpected finding during computed tomographic (CT) scan. No clinical manifestations of hypernephroma, short of microscopic haematuria, were detected. Conjugated bilirubin, alkaline phosphatase and gamma-glutamyltranspeptidase were markedly increased. No hepatic metastasis or main bile duct obstruction were detected by appropriate investigations. After radical nephrectomy, liver abnormalities disappeared rapidly. We conclude that RCC should be included among neoplasms causing not only anicteric intrahepatic cholestasis but also frank jaundice as part of a paraneoplastic syndrome. The differential diagnosis from hepatic metastasis, main bile duct obstruction or other causes of jaundice is of clinical importance and of prognostic value. Patients with unexplained cholestasis should be investigated for malignant diseases including hypernephroma.","author":[{"dropping-particle":"","family":"Dourakis","given":"S P","non-dropping-particle":"","parse-names":false,"suffix":""},{"dropping-particle":"","family":"Sinani","given":"C","non-dropping-particle":"","parse-names":false,"suffix":""},{"dropping-particle":"","family":"Deutsch","given":"M","non-dropping-particle":"","parse-names":false,"suffix":""},{"dropping-particle":"","family":"Dimitriadou","given":"E","non-dropping-particle":"","parse-names":false,"suffix":""},{"dropping-particle":"","family":"Hadziyannis","given":"S J","non-dropping-particle":"","parse-names":false,"suffix":""}],"container-title":"European journal of gastroenterology &amp; hepatology","id":"ITEM-1","issue":"3","issued":{"date-parts":[["1997","3"]]},"language":"eng","page":"311-314","publisher-place":"England","title":"Cholestatic jaundice as a paraneoplastic manifestation of renal cell carcinoma.","type":"article-journal","volume":"9"},"uris":["http://www.mendeley.com/documents/?uuid=3b318206-33b2-4a8c-b1ba-8bbca2808e21"]}],"mendeley":{"formattedCitation":"&lt;sup&gt;2&lt;/sup&gt;","plainTextFormattedCitation":"2","previouslyFormattedCitation":"&lt;sup&gt;2&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2</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{"citationItems":[{"id":"ITEM-1","itemData":{"DOI":"10.7759/cureus.6032","ISSN":"2168-8184","abstract":"Stauffer syndrome is a rare paraneoplastic syndrome classically associated with renal cell carcinoma (RCC). This association gave it the historical name of nonmetastatic nephrogenic hepatic dysfunction syndrome without jaundice. It is a syndrome of unclear pathophysiology characterized by a reversible anicteric elevation of liver enzymes, alkaline phosphatase, erythrocyte sedimentation rate (ESR), thrombocytosis, prolongation of prothrombin time, and hepatosplenomegaly in the absence of direct hepatobiliary obstruction or jaundice. A rare atypical variant of this syndrome with jaundice has been recently described in the literature. Thus, it is important to consider both these variants of Stauffer syndrome in the differential diagnosis of unexplained cholestasis in the absence of hepatic metastasis. This may allow early recognition and treatment of an occult malignancy. Herein, we present a comprehensive review of the literature available on the icteric variant of the Stauffer syndrome, outlining its association with various malignancies and the diagnostic challenges it poses. The objective of this review is to help clinicians in its early diagnosis and management.","author":[{"dropping-particle":"","family":"Sharma","given":"Neha","non-dropping-particle":"","parse-names":false,"suffix":""},{"dropping-particle":"","family":"Darr","given":"Umar","non-dropping-particle":"","parse-names":false,"suffix":""},{"dropping-particle":"","family":"Darr","given":"Amir","non-dropping-particle":"","parse-names":false,"suffix":""},{"dropping-particle":"","family":"Sood","given":"Gagan","non-dropping-particle":"","parse-names":false,"suffix":""}],"container-title":"Cureus","id":"ITEM-1","issue":"10","issued":{"date-parts":[["2019","10","30"]]},"language":"eng","page":"e6032-e6032","publisher":"Cureus","title":"Stauffer Syndrome: A Comprehensive Review of the Icteric Variant of the Syndrome","type":"article-journal","volume":"11"},"uris":["http://www.mendeley.com/documents/?uuid=55387a14-a578-4edb-8dc8-c0700afafa3f"]}],"mendeley":{"formattedCitation":"&lt;sup&gt;12&lt;/sup&gt;","plainTextFormattedCitation":"12","previouslyFormattedCitation":"&lt;sup&gt;12&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12</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{"citationItems":[{"id":"ITEM-1","itemData":{"DOI":"https://doi.org/10.1016/j.urolonc.2018.01.019","ISSN":"1078-1439","abstract":"Background Stauffer’s syndrome corresponds to a set of clinical and analytical changes of paraneoplastic nature firstly recognized more than 50 years ago, in association to renal cell carcinoma. A definitive review including universal diagnostic criteria and updated knowledge since the original description is lacking. Basic procedures The authors conducted a comprehensive bibliographical review and propose updated diagnostic criteria to standardize diagnosis for clinical practice purposes and avoid misclassification. Main findings Although having been described in association with renal cell carcinoma, the syndrome has been reported in correlation with other malignancies—either solid or hematological tumors. Additionally, a variant syndrome presenting with jaundice has also been characterized, but appears to have a similar clinical course to that of the classical Stauffer’s syndrome. Although often described as rare, it may be more frequent than previously recognized. Stauffer’s syndrome etiopathogenesis is still poorly understood, but immune mechanisms seem to play a role underscored by the malignancies to which the syndrome is associated, several of which having immunotherapy drugs approved for their treatment. Principal conclusions A set of diagnostic criteria should be used to simplify, broaden and standardized diagnosis, under the entity characterized by reversible paraneoplastic intrahepatic cholestasis. Clinicians should be aware of the syndrome, namely consider further investigation if a plausible cause for unexplained intrahepatic cholestasis in an otherwise healthy patient is not found. Even though no universal approach is available, investigation should be considered regarding metastatic disease after resection of a primary tumor which has revealed persistence or recurrence of symptoms.","author":[{"dropping-particle":"","family":"Fontes-Sousa","given":"Mário","non-dropping-particle":"","parse-names":false,"suffix":""},{"dropping-particle":"","family":"Magalhães","given":"Helena","non-dropping-particle":"","parse-names":false,"suffix":""},{"dropping-particle":"","family":"Silva","given":"Fernando Calais","non-dropping-particle":"da","parse-names":false,"suffix":""},{"dropping-particle":"","family":"Maurício","given":"Maria Joaquina","non-dropping-particle":"","parse-names":false,"suffix":""}],"container-title":"Urologic Oncology: Seminars and Original Investigations","id":"ITEM-1","issue":"7","issued":{"date-parts":[["2018"]]},"page":"321-326","title":"Stauffer’s syndrome: A comprehensive review and proposed updated diagnostic criteria","type":"article-journal","volume":"36"},"uris":["http://www.mendeley.com/documents/?uuid=6a45ccb2-7eb0-4db3-83b3-b2330ae875aa"]}],"mendeley":{"formattedCitation":"&lt;sup&gt;16&lt;/sup&gt;","plainTextFormattedCitation":"16","previouslyFormattedCitation":"&lt;sup&gt;16&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16</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rPr>
        <w:t xml:space="preserve">. Bhangoo </w:t>
      </w:r>
      <w:r>
        <w:rPr>
          <w:rFonts w:ascii="Book Antiqua" w:hAnsi="Book Antiqua"/>
          <w:i/>
          <w:iCs/>
          <w:shd w:val="clear" w:color="auto" w:fill="FFFFFF"/>
        </w:rPr>
        <w:t>et</w:t>
      </w:r>
      <w:r>
        <w:rPr>
          <w:rFonts w:ascii="Book Antiqua" w:hAnsi="Book Antiqua"/>
          <w:shd w:val="clear" w:color="auto" w:fill="FFFFFF"/>
        </w:rPr>
        <w:t xml:space="preserve"> </w:t>
      </w:r>
      <w:r>
        <w:rPr>
          <w:rFonts w:ascii="Book Antiqua" w:hAnsi="Book Antiqua"/>
          <w:i/>
          <w:iCs/>
          <w:shd w:val="clear" w:color="auto" w:fill="FFFFFF"/>
        </w:rPr>
        <w:t>al</w:t>
      </w:r>
      <w:r>
        <w:rPr>
          <w:rFonts w:ascii="Book Antiqua" w:hAnsi="Book Antiqua"/>
          <w:color w:val="000000"/>
          <w:shd w:val="clear" w:color="auto" w:fill="FFFFFF"/>
          <w:vertAlign w:val="superscript"/>
        </w:rPr>
        <w:t>[</w:t>
      </w:r>
      <w:r>
        <w:rPr>
          <w:rFonts w:ascii="Book Antiqua" w:hAnsi="Book Antiqua"/>
          <w:color w:val="000000"/>
          <w:shd w:val="clear" w:color="auto" w:fill="FFFFFF"/>
          <w:vertAlign w:val="superscript"/>
        </w:rPr>
        <w:fldChar w:fldCharType="begin" w:fldLock="1"/>
      </w:r>
      <w:r>
        <w:rPr>
          <w:rFonts w:ascii="Book Antiqua" w:hAnsi="Book Antiqua"/>
          <w:color w:val="000000"/>
          <w:shd w:val="clear" w:color="auto" w:fill="FFFFFF"/>
          <w:vertAlign w:val="superscript"/>
        </w:rPr>
        <w:instrText xml:space="preserve">ADDIN CSL_CITATION {"citationItems":[{"id":"ITEM-1","itemData":{"DOI":"10.3892/mco.2018.1564","ISSN":"2049-9450 (Print)","PMID":"29541472","abstract":"As with other genitourinary malignancies, a variety of paraneoplastic syndromes have  been revealed to occur in patients with prostate cancer. Stauffer's Syndrome is a well-described clinical syndrome which manifests via intrahepatic cholestasis in patients with renal cell carcinoma. Less common is intrahepatic cholestasis occurring in association with prostate cancer. The current case report discusses a 67-year-old man presenting with liver failure secondary to intrahepatic cholestasis co-existing with metastatic prostate adenocarcinoma. The patient's liver failure completely resolved with androgen-deprivation therapy suggesting an association between these two entities. The case report evaluates existing literature on this uncommon syndrome including the clinical presentation, natural history, and potential pathophysiology.","author":[{"dropping-particle":"","family":"Bhangoo","given":"Munveer S","non-dropping-particle":"","parse-names":false,"suffix":""},{"dropping-particle":"","family":"Cheng","given":"Brian","non-dropping-particle":"","parse-names":false,"suffix":""},{"dropping-particle":"","family":"Botta","given":"Gregory P","non-dropping-particle":"","parse-names":false,"suffix":""},{"dropping-particle":"","family":"Thorson","given":"Phataraporn","non-dropping-particle":"","parse-names":false,"suffix":""},{"dropping-particle":"","family":"Kosty","given":"Michael P","non-dropping-particle":"","parse-names":false,"suffix":""}],"container-title":"Molecular and clinical oncology","id":"ITEM-1","issue":"4","issued":{"date-parts":[["2018","4"]]},"language":"eng","page":"609-612","title":"Reversible intrahepatic cholestasis in metastatic prostate cancer: An uncommon  paraneoplastic syndrome.","type":"article-journal","volume":"8"},"uris":["http://www.mendeley.com/documents/?uuid=483992a5-8e17-40b3-b9ee-665c95c6a61f"]}],"mendeley":{"formattedCitation":"&lt;sup&gt;15&lt;/sup&gt;","plainTextFormattedCitation":"15","previouslyFormattedCitation":"&lt;sup&gt;15&lt;/sup&gt;"},"properties":{"noteIndex":0},"schema":"https://github.com/citation-style-language/schema/raw/master/csl-citation.json"}</w:instrText>
      </w:r>
      <w:r>
        <w:rPr>
          <w:rFonts w:ascii="Book Antiqua" w:hAnsi="Book Antiqua"/>
          <w:color w:val="000000"/>
          <w:shd w:val="clear" w:color="auto" w:fill="FFFFFF"/>
          <w:vertAlign w:val="superscript"/>
        </w:rPr>
        <w:fldChar w:fldCharType="separate"/>
      </w:r>
      <w:r>
        <w:rPr>
          <w:rFonts w:ascii="Book Antiqua" w:hAnsi="Book Antiqua"/>
          <w:color w:val="000000"/>
          <w:shd w:val="clear" w:color="auto" w:fill="FFFFFF"/>
          <w:vertAlign w:val="superscript"/>
        </w:rPr>
        <w:t>15</w:t>
      </w:r>
      <w:r>
        <w:rPr>
          <w:rFonts w:ascii="Book Antiqua" w:hAnsi="Book Antiqua"/>
          <w:color w:val="000000"/>
          <w:shd w:val="clear" w:color="auto" w:fill="FFFFFF"/>
          <w:vertAlign w:val="superscript"/>
        </w:rPr>
        <w:fldChar w:fldCharType="end"/>
      </w:r>
      <w:r>
        <w:rPr>
          <w:rFonts w:ascii="Book Antiqua" w:hAnsi="Book Antiqua"/>
          <w:color w:val="000000"/>
          <w:shd w:val="clear" w:color="auto" w:fill="FFFFFF"/>
          <w:vertAlign w:val="superscript"/>
        </w:rPr>
        <w:t>]</w:t>
      </w:r>
      <w:r>
        <w:rPr>
          <w:rFonts w:ascii="Book Antiqua" w:hAnsi="Book Antiqua"/>
          <w:shd w:val="clear" w:color="auto" w:fill="FFFFFF"/>
        </w:rPr>
        <w:t xml:space="preserve"> proposed a mechanism in which the pro</w:t>
      </w:r>
      <w:r>
        <w:rPr>
          <w:rFonts w:ascii="Book Antiqua" w:hAnsi="Book Antiqua"/>
          <w:color w:val="000000"/>
          <w:shd w:val="clear" w:color="auto" w:fill="FFFFFF"/>
        </w:rPr>
        <w:t xml:space="preserve">inflammatory activity of IL-6 causes impairment of biliary outflow </w:t>
      </w:r>
      <w:r>
        <w:rPr>
          <w:rFonts w:ascii="Book Antiqua" w:hAnsi="Book Antiqua"/>
          <w:i/>
          <w:iCs/>
          <w:color w:val="000000"/>
          <w:shd w:val="clear" w:color="auto" w:fill="FFFFFF"/>
        </w:rPr>
        <w:t>via</w:t>
      </w:r>
      <w:r>
        <w:rPr>
          <w:rFonts w:ascii="Book Antiqua" w:hAnsi="Book Antiqua"/>
          <w:color w:val="000000"/>
          <w:shd w:val="clear" w:color="auto" w:fill="FFFFFF"/>
        </w:rPr>
        <w:t xml:space="preserve"> elevation of CRP and haptoglobin, and inhibition of the hepatobiliary transporter gene expression.</w:t>
      </w:r>
    </w:p>
    <w:p>
      <w:pPr>
        <w:snapToGrid w:val="0"/>
        <w:spacing w:line="360" w:lineRule="auto"/>
        <w:ind w:firstLine="270"/>
        <w:jc w:val="both"/>
        <w:rPr>
          <w:rFonts w:ascii="Book Antiqua" w:hAnsi="Book Antiqua"/>
          <w:shd w:val="clear" w:color="auto" w:fill="FFFFFF"/>
          <w:vertAlign w:val="subscript"/>
        </w:rPr>
      </w:pPr>
      <w:r>
        <w:rPr>
          <w:rFonts w:ascii="Book Antiqua" w:hAnsi="Book Antiqua"/>
          <w:color w:val="000000"/>
          <w:shd w:val="clear" w:color="auto" w:fill="FFFFFF"/>
        </w:rPr>
        <w:t xml:space="preserve">Recently, a more uncommon variant of the syndrome that initially presents with jaundice (icteric cholestasis) was described. </w:t>
      </w:r>
      <w:r>
        <w:rPr>
          <w:rFonts w:ascii="Book Antiqua" w:hAnsi="Book Antiqua"/>
          <w:shd w:val="clear" w:color="auto" w:fill="FFFFFF"/>
        </w:rPr>
        <w:t xml:space="preserve">According to Chavarriaga </w:t>
      </w:r>
      <w:r>
        <w:rPr>
          <w:rFonts w:ascii="Book Antiqua" w:hAnsi="Book Antiqua"/>
          <w:i/>
          <w:iCs/>
          <w:shd w:val="clear" w:color="auto" w:fill="FFFFFF"/>
        </w:rPr>
        <w:t>et</w:t>
      </w:r>
      <w:r>
        <w:rPr>
          <w:rFonts w:ascii="Book Antiqua" w:hAnsi="Book Antiqua"/>
          <w:shd w:val="clear" w:color="auto" w:fill="FFFFFF"/>
        </w:rPr>
        <w:t xml:space="preserve"> </w:t>
      </w:r>
      <w:r>
        <w:rPr>
          <w:rFonts w:ascii="Book Antiqua" w:hAnsi="Book Antiqua"/>
          <w:i/>
          <w:iCs/>
          <w:shd w:val="clear" w:color="auto" w:fill="FFFFFF"/>
        </w:rPr>
        <w:t>al</w:t>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{"citationItems":[{"id":"ITEM-1","itemData":{"DOI":"10.1186/s12894-020-00671-w","ISSN":"1471-2490","abstract":"BACKGROUND: Stauffer Syndrome (SS) is a paraneoplastic disorder associated with renal cell carcinoma (RCC). First described by Herbert Maurice Stauffer in 1961, it is characterized by hepatic dysfunction in the absence of metastasis, and elevated alkaline phosphatase, aminotransferases and prolonged prothrombin time. Initial reports did not include jaundice as an inclusion criterion. We aim to report the rare SS jaundice variant in a patient with a small renal mass and review the literature to determine if the size of the renal mass could influence the development of the SS. CASE PRESENTATION: The aim of this article is to present the case of a 53-year-old male with Stauffer syndrome jaundice variant secondary to a 2.5</w:instrText>
      </w:r>
      <w:r>
        <w:rPr>
          <w:rFonts w:ascii="Times New Roman" w:hAnsi="Times New Roman"/>
          <w:shd w:val="clear" w:color="auto" w:fill="FFFFFF"/>
          <w:vertAlign w:val="superscript"/>
        </w:rPr>
        <w:instrText xml:space="preserve"> </w:instrText>
      </w:r>
      <w:r>
        <w:rPr>
          <w:rFonts w:ascii="Book Antiqua" w:hAnsi="Book Antiqua"/>
          <w:shd w:val="clear" w:color="auto" w:fill="FFFFFF"/>
          <w:vertAlign w:val="superscript"/>
        </w:rPr>
        <w:instrText xml:space="preserve">cm renal mass, treated with laparoscopic radical nephrectomy with complete resolution of the syndrome. CONCLUSIONS: This syndrome is yet to be fully understood, and as far as the evidence shows, size does not matter. This entity should always be in mind when encountered with a patient with liver dysfunction and jaundice with a suspicion or confirmed diagnosis of a renal mass. To date, and to our knowledge, there have been eleven reported cases of paraneoplastic cholestatic jaundice syndrome including the current case. Six cases presented in patients with small renal mases (&lt;</w:instrText>
      </w:r>
      <w:r>
        <w:rPr>
          <w:rFonts w:ascii="Times New Roman" w:hAnsi="Times New Roman"/>
          <w:shd w:val="clear" w:color="auto" w:fill="FFFFFF"/>
          <w:vertAlign w:val="superscript"/>
        </w:rPr>
        <w:instrText xml:space="preserve"> </w:instrText>
      </w:r>
      <w:r>
        <w:rPr>
          <w:rFonts w:ascii="Book Antiqua" w:hAnsi="Book Antiqua"/>
          <w:shd w:val="clear" w:color="auto" w:fill="FFFFFF"/>
          <w:vertAlign w:val="superscript"/>
        </w:rPr>
        <w:instrText xml:space="preserve">4</w:instrText>
      </w:r>
      <w:r>
        <w:rPr>
          <w:rFonts w:ascii="Times New Roman" w:hAnsi="Times New Roman"/>
          <w:shd w:val="clear" w:color="auto" w:fill="FFFFFF"/>
          <w:vertAlign w:val="superscript"/>
        </w:rPr>
        <w:instrText xml:space="preserve"> </w:instrText>
      </w:r>
      <w:r>
        <w:rPr>
          <w:rFonts w:ascii="Book Antiqua" w:hAnsi="Book Antiqua"/>
          <w:shd w:val="clear" w:color="auto" w:fill="FFFFFF"/>
          <w:vertAlign w:val="superscript"/>
        </w:rPr>
        <w:instrText xml:space="preserve">cm), curiously there were not a laterality tendency.","author":[{"dropping-particle":"","family":"Chavarriaga","given":"Julian","non-dropping-particle":"","parse-names":false,"suffix":""},{"dropping-particle":"","family":"Fakih","given":"Nayib","non-dropping-particle":"","parse-names":false,"suffix":""},{"dropping-particle":"","family":"Cataño","given":"Juan","non-dropping-particle":"","parse-names":false,"suffix":""},{"dropping-particle":"","family":"Villaquiran","given":"Catalina","non-dropping-particle":"","parse-names":false,"suffix":""},{"dropping-particle":"","family":"Rodriguez","given":"Santiago","non-dropping-particle":"","parse-names":false,"suffix":""},{"dropping-particle":"","family":"Patino","given":"German","non-dropping-particle":"","parse-names":false,"suffix":""}],"container-title":"BMC urology","id":"ITEM-1","issue":"1","issued":{"date-parts":[["2020","7","20"]]},"language":"eng","page":"105","publisher":"BioMed Central","title":"Stauffer syndrome, clinical implications and knowledge gaps, does size matter? Case report","type":"article-journal","volume":"20"},"uris":["http://www.mendeley.com/documents/?uuid=a5020745-17ea-41a4-9e94-1b1aa67aea9b"]}],"mendeley":{"formattedCitation":"&lt;sup&gt;17&lt;/sup&gt;","plainTextFormattedCitation":"17","previouslyFormattedCitation":"&lt;sup&gt;17&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17</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rPr>
        <w:t>, there have been 11 cases of paraneoplastic cholestatic jaundice syndrome, including their case, reported in the literature.</w:t>
      </w:r>
    </w:p>
    <w:p>
      <w:pPr>
        <w:snapToGrid w:val="0"/>
        <w:spacing w:line="360" w:lineRule="auto"/>
        <w:ind w:firstLine="270"/>
        <w:jc w:val="both"/>
        <w:rPr>
          <w:rFonts w:ascii="Book Antiqua" w:hAnsi="Book Antiqua"/>
          <w:color w:val="333333"/>
          <w:shd w:val="clear" w:color="auto" w:fill="FFFFFF"/>
          <w:vertAlign w:val="subscript"/>
        </w:rPr>
      </w:pPr>
      <w:r>
        <w:rPr>
          <w:rFonts w:ascii="Book Antiqua" w:hAnsi="Book Antiqua"/>
          <w:color w:val="000000"/>
          <w:shd w:val="clear" w:color="auto" w:fill="FFFFFF"/>
        </w:rPr>
        <w:t xml:space="preserve">In 1997, Dourakis </w:t>
      </w:r>
      <w:r>
        <w:rPr>
          <w:rFonts w:ascii="Book Antiqua" w:hAnsi="Book Antiqua"/>
          <w:i/>
          <w:iCs/>
          <w:color w:val="000000"/>
          <w:shd w:val="clear" w:color="auto" w:fill="FFFFFF"/>
        </w:rPr>
        <w:t>et</w:t>
      </w:r>
      <w:r>
        <w:rPr>
          <w:rFonts w:ascii="Book Antiqua" w:hAnsi="Book Antiqua"/>
          <w:color w:val="000000"/>
          <w:shd w:val="clear" w:color="auto" w:fill="FFFFFF"/>
        </w:rPr>
        <w:t xml:space="preserve"> </w:t>
      </w:r>
      <w:r>
        <w:rPr>
          <w:rFonts w:ascii="Book Antiqua" w:hAnsi="Book Antiqua"/>
          <w:i/>
          <w:iCs/>
          <w:color w:val="000000"/>
          <w:shd w:val="clear" w:color="auto" w:fill="FFFFFF"/>
        </w:rPr>
        <w:t>al</w:t>
      </w:r>
      <w:r>
        <w:rPr>
          <w:rFonts w:ascii="Book Antiqua" w:hAnsi="Book Antiqua"/>
          <w:color w:val="000000"/>
          <w:shd w:val="clear" w:color="auto" w:fill="FFFFFF"/>
          <w:vertAlign w:val="superscript"/>
        </w:rPr>
        <w:t>[</w:t>
      </w:r>
      <w:r>
        <w:rPr>
          <w:rFonts w:ascii="Book Antiqua" w:hAnsi="Book Antiqua"/>
          <w:color w:val="000000"/>
          <w:shd w:val="clear" w:color="auto" w:fill="FFFFFF"/>
          <w:vertAlign w:val="superscript"/>
        </w:rPr>
        <w:fldChar w:fldCharType="begin" w:fldLock="1"/>
      </w:r>
      <w:r>
        <w:rPr>
          <w:rFonts w:ascii="Book Antiqua" w:hAnsi="Book Antiqua"/>
          <w:color w:val="000000"/>
          <w:shd w:val="clear" w:color="auto" w:fill="FFFFFF"/>
          <w:vertAlign w:val="superscript"/>
        </w:rPr>
        <w:instrText xml:space="preserve">ADDIN CSL_CITATION {"citationItems":[{"id":"ITEM-1","itemData":{"DOI":"10.1097/00042737-199703000-00018","ISSN":"0954-691X (Print)","PMID":"9096437","abstract":"Malignant diseases may cause cholestatic jaundice through either main bile duct  obstruction or widespread hepatic metastasis. Renal cell carcinoma (hypernephroma, RCC) can cause a variety of paraneoplastic manifestations which can be the main presenting symptoms. Cholestasis, as a paraneoplastic syndrome, has been well described in patients with malignant lymphohyperplastic diseases. Non-metastatic nephrogenic hepatic dysfunction syndrome without jaundice has often been described in patients with hypernephroma (Stauffer's syndrome). Paraneoplastic cholestatic jaundice has not yet been described. We report, for the first time, two patients who presented with pruritus and cholestatic jaundice. During the diagnostic work-up, RCC was diagnosed. The renal tumour was an unexpected finding during computed tomographic (CT) scan. No clinical manifestations of hypernephroma, short of microscopic haematuria, were detected. Conjugated bilirubin, alkaline phosphatase and gamma-glutamyltranspeptidase were markedly increased. No hepatic metastasis or main bile duct obstruction were detected by appropriate investigations. After radical nephrectomy, liver abnormalities disappeared rapidly. We conclude that RCC should be included among neoplasms causing not only anicteric intrahepatic cholestasis but also frank jaundice as part of a paraneoplastic syndrome. The differential diagnosis from hepatic metastasis, main bile duct obstruction or other causes of jaundice is of clinical importance and of prognostic value. Patients with unexplained cholestasis should be investigated for malignant diseases including hypernephroma.","author":[{"dropping-particle":"","family":"Dourakis","given":"S P","non-dropping-particle":"","parse-names":false,"suffix":""},{"dropping-particle":"","family":"Sinani","given":"C","non-dropping-particle":"","parse-names":false,"suffix":""},{"dropping-particle":"","family":"Deutsch","given":"M","non-dropping-particle":"","parse-names":false,"suffix":""},{"dropping-particle":"","family":"Dimitriadou","given":"E","non-dropping-particle":"","parse-names":false,"suffix":""},{"dropping-particle":"","family":"Hadziyannis","given":"S J","non-dropping-particle":"","parse-names":false,"suffix":""}],"container-title":"European journal of gastroenterology &amp; hepatology","id":"ITEM-1","issue":"3","issued":{"date-parts":[["1997","3"]]},"language":"eng","page":"311-314","publisher-place":"England","title":"Cholestatic jaundice as a paraneoplastic manifestation of renal cell carcinoma.","type":"article-journal","volume":"9"},"uris":["http://www.mendeley.com/documents/?uuid=3b318206-33b2-4a8c-b1ba-8bbca2808e21"]}],"mendeley":{"formattedCitation":"&lt;sup&gt;2&lt;/sup&gt;","plainTextFormattedCitation":"2","previouslyFormattedCitation":"&lt;sup&gt;2&lt;/sup&gt;"},"properties":{"noteIndex":0},"schema":"https://github.com/citation-style-language/schema/raw/master/csl-citation.json"}</w:instrText>
      </w:r>
      <w:r>
        <w:rPr>
          <w:rFonts w:ascii="Book Antiqua" w:hAnsi="Book Antiqua"/>
          <w:color w:val="000000"/>
          <w:shd w:val="clear" w:color="auto" w:fill="FFFFFF"/>
          <w:vertAlign w:val="superscript"/>
        </w:rPr>
        <w:fldChar w:fldCharType="separate"/>
      </w:r>
      <w:r>
        <w:rPr>
          <w:rFonts w:ascii="Book Antiqua" w:hAnsi="Book Antiqua"/>
          <w:color w:val="000000"/>
          <w:shd w:val="clear" w:color="auto" w:fill="FFFFFF"/>
          <w:vertAlign w:val="superscript"/>
        </w:rPr>
        <w:t>2</w:t>
      </w:r>
      <w:r>
        <w:rPr>
          <w:rFonts w:ascii="Book Antiqua" w:hAnsi="Book Antiqua"/>
          <w:color w:val="000000"/>
          <w:shd w:val="clear" w:color="auto" w:fill="FFFFFF"/>
          <w:vertAlign w:val="superscript"/>
        </w:rPr>
        <w:fldChar w:fldCharType="end"/>
      </w:r>
      <w:r>
        <w:rPr>
          <w:rFonts w:ascii="Book Antiqua" w:hAnsi="Book Antiqua"/>
          <w:color w:val="000000"/>
          <w:shd w:val="clear" w:color="auto" w:fill="FFFFFF"/>
          <w:vertAlign w:val="superscript"/>
        </w:rPr>
        <w:t>]</w:t>
      </w:r>
      <w:r>
        <w:rPr>
          <w:rFonts w:ascii="Book Antiqua" w:hAnsi="Book Antiqua"/>
          <w:color w:val="000000"/>
          <w:shd w:val="clear" w:color="auto" w:fill="FFFFFF"/>
        </w:rPr>
        <w:t xml:space="preserve"> described 2 cases: of a 65-year-old woman and a 48-year-old male. They both were presented with jaundice and urinary hyperpigmentation and were diagnosed with renal carcinoma. After nephrectomy the conditions in both cases improved. These were the first described cases of icteric Stauffer syndrome.</w:t>
      </w:r>
    </w:p>
    <w:p>
      <w:pPr>
        <w:snapToGrid w:val="0"/>
        <w:spacing w:line="360" w:lineRule="auto"/>
        <w:ind w:firstLine="270"/>
        <w:jc w:val="both"/>
        <w:rPr>
          <w:rFonts w:ascii="Book Antiqua" w:hAnsi="Book Antiqua"/>
          <w:color w:val="000000"/>
          <w:shd w:val="clear" w:color="auto" w:fill="FFFFFF"/>
        </w:rPr>
      </w:pPr>
      <w:r>
        <w:rPr>
          <w:rFonts w:ascii="Book Antiqua" w:hAnsi="Book Antiqua"/>
          <w:color w:val="000000"/>
          <w:shd w:val="clear" w:color="auto" w:fill="FFFFFF"/>
        </w:rPr>
        <w:t xml:space="preserve">In 2005, Giannakos </w:t>
      </w:r>
      <w:r>
        <w:rPr>
          <w:rFonts w:ascii="Book Antiqua" w:hAnsi="Book Antiqua"/>
          <w:i/>
          <w:iCs/>
          <w:color w:val="000000"/>
          <w:shd w:val="clear" w:color="auto" w:fill="FFFFFF"/>
        </w:rPr>
        <w:t>et</w:t>
      </w:r>
      <w:r>
        <w:rPr>
          <w:rFonts w:ascii="Book Antiqua" w:hAnsi="Book Antiqua"/>
          <w:color w:val="000000"/>
          <w:shd w:val="clear" w:color="auto" w:fill="FFFFFF"/>
        </w:rPr>
        <w:t xml:space="preserve"> </w:t>
      </w:r>
      <w:r>
        <w:rPr>
          <w:rFonts w:ascii="Book Antiqua" w:hAnsi="Book Antiqua"/>
          <w:i/>
          <w:iCs/>
          <w:color w:val="000000"/>
          <w:shd w:val="clear" w:color="auto" w:fill="FFFFFF"/>
        </w:rPr>
        <w:t>al</w:t>
      </w:r>
      <w:r>
        <w:rPr>
          <w:rFonts w:ascii="Book Antiqua" w:hAnsi="Book Antiqua"/>
          <w:color w:val="303030"/>
          <w:shd w:val="clear" w:color="auto" w:fill="FFFFFF"/>
          <w:vertAlign w:val="superscript"/>
        </w:rPr>
        <w:t>[</w:t>
      </w:r>
      <w:r>
        <w:rPr>
          <w:rFonts w:ascii="Book Antiqua" w:hAnsi="Book Antiqua"/>
          <w:color w:val="303030"/>
          <w:shd w:val="clear" w:color="auto" w:fill="FFFFFF"/>
          <w:vertAlign w:val="superscript"/>
        </w:rPr>
        <w:fldChar w:fldCharType="begin" w:fldLock="1"/>
      </w:r>
      <w:r>
        <w:rPr>
          <w:rFonts w:ascii="Book Antiqua" w:hAnsi="Book Antiqua"/>
          <w:color w:val="303030"/>
          <w:shd w:val="clear" w:color="auto" w:fill="FFFFFF"/>
          <w:vertAlign w:val="superscript"/>
        </w:rPr>
        <w:instrText xml:space="preserve">ADDIN CSL_CITATION {"citationItems":[{"id":"ITEM-1","itemData":{"DOI":"10.1111/j.1442-2042.2005.01149.x","ISSN":"0919-8172 (Print)","PMID":"16174051","abstract":"Cholestasis, as a paraneoplastic syndrome, has been well described in patients with  malignant lymphohyperplastic diseases and renal cell cancer. Non-metastatic nephrogenic hepatic dysfunction syndrome without jaundice has often been described in patients with Stauffer's syndrome. Paraneoplastic cholestatic jaundice is extremely uncommon. We report, a patient who presented with pruritus and cholestatic jaundice and was diagnosed with renal cell carcinoma (RCC) in the right kidney. Liver malfunction and cholestatic icterus was attributed to RCC. Jaundice and liver dysfunction gradually restored to normal after surgical resection of the tumor. Malignancies may cause cholestatic jaundice through well-recognized mechanisms. Paraneoplastic syndromes associated with malignancy, can induce a reversible form of cholestasis through an unclear pathogenetic mechanism.","author":[{"dropping-particle":"","family":"Giannakos","given":"George","non-dropping-particle":"","parse-names":false,"suffix":""},{"dropping-particle":"","family":"Papanicolaou","given":"Xenofon","non-dropping-particle":"","parse-names":false,"suffix":""},{"dropping-particle":"","family":"Trafalis","given":"Dimitrios","non-dropping-particle":"","parse-names":false,"suffix":""},{"dropping-particle":"","family":"Michaelidis","given":"Isaak","non-dropping-particle":"","parse-names":false,"suffix":""},{"dropping-particle":"","family":"Margaritis","given":"George","non-dropping-particle":"","parse-names":false,"suffix":""},{"dropping-particle":"","family":"Christofilakis","given":"Charalambos","non-dropping-particle":"","parse-names":false,"suffix":""}],"container-title":"International journal of urology : official journal of the Japanese Urological  Association","id":"ITEM-1","issue":"8","issued":{"date-parts":[["2005","8"]]},"language":"eng","page":"757-759","publisher-place":"Australia","title":"Stauffer's syndrome variant associated with renal cell carcinoma.","type":"article-journal","volume":"12"},"uris":["http://www.mendeley.com/documents/?uuid=535f1343-5b83-48ba-ba1b-8fe0e757e05b"]}],"mendeley":{"formattedCitation":"&lt;sup&gt;18&lt;/sup&gt;","plainTextFormattedCitation":"18","previouslyFormattedCitation":"&lt;sup&gt;18&lt;/sup&gt;"},"properties":{"noteIndex":0},"schema":"https://github.com/citation-style-language/schema/raw/master/csl-citation.json"}</w:instrText>
      </w:r>
      <w:r>
        <w:rPr>
          <w:rFonts w:ascii="Book Antiqua" w:hAnsi="Book Antiqua"/>
          <w:color w:val="303030"/>
          <w:shd w:val="clear" w:color="auto" w:fill="FFFFFF"/>
          <w:vertAlign w:val="superscript"/>
        </w:rPr>
        <w:fldChar w:fldCharType="separate"/>
      </w:r>
      <w:r>
        <w:rPr>
          <w:rFonts w:ascii="Book Antiqua" w:hAnsi="Book Antiqua"/>
          <w:color w:val="303030"/>
          <w:shd w:val="clear" w:color="auto" w:fill="FFFFFF"/>
          <w:vertAlign w:val="superscript"/>
        </w:rPr>
        <w:t>18</w:t>
      </w:r>
      <w:r>
        <w:rPr>
          <w:rFonts w:ascii="Book Antiqua" w:hAnsi="Book Antiqua"/>
          <w:color w:val="303030"/>
          <w:shd w:val="clear" w:color="auto" w:fill="FFFFFF"/>
          <w:vertAlign w:val="superscript"/>
        </w:rPr>
        <w:fldChar w:fldCharType="end"/>
      </w:r>
      <w:r>
        <w:rPr>
          <w:rFonts w:ascii="Book Antiqua" w:hAnsi="Book Antiqua"/>
          <w:color w:val="303030"/>
          <w:shd w:val="clear" w:color="auto" w:fill="FFFFFF"/>
          <w:vertAlign w:val="superscript"/>
        </w:rPr>
        <w:t>]</w:t>
      </w:r>
      <w:r>
        <w:rPr>
          <w:rFonts w:ascii="Book Antiqua" w:hAnsi="Book Antiqua"/>
          <w:color w:val="000000"/>
          <w:shd w:val="clear" w:color="auto" w:fill="FFFFFF"/>
        </w:rPr>
        <w:t xml:space="preserve"> reported a similar case. A 73-year-old male presented with pruritus, painless jaundice, hyperpigmented urine and enlarged liver. The patient was diagnosed with clear cell RCC and underwent radical nephrectomy, after which normalization of abnormalities was observed. None of the above cases had evidence of metastatic disease</w:t>
      </w:r>
      <w:r>
        <w:rPr>
          <w:rFonts w:ascii="Book Antiqua" w:hAnsi="Book Antiqua"/>
          <w:color w:val="303030"/>
          <w:shd w:val="clear" w:color="auto" w:fill="FFFFFF"/>
        </w:rPr>
        <w:t>.</w:t>
      </w:r>
    </w:p>
    <w:p>
      <w:pPr>
        <w:snapToGrid w:val="0"/>
        <w:spacing w:line="360" w:lineRule="auto"/>
        <w:ind w:firstLine="270"/>
        <w:jc w:val="both"/>
        <w:rPr>
          <w:rStyle w:val="26"/>
          <w:rFonts w:ascii="Book Antiqua" w:hAnsi="Book Antiqua"/>
          <w:shd w:val="clear" w:color="auto" w:fill="FFFFFF"/>
        </w:rPr>
      </w:pPr>
      <w:r>
        <w:rPr>
          <w:rFonts w:ascii="Book Antiqua" w:hAnsi="Book Antiqua"/>
          <w:shd w:val="clear" w:color="auto" w:fill="FFFFFF"/>
        </w:rPr>
        <w:t xml:space="preserve">According to a recent review from Elseidy </w:t>
      </w:r>
      <w:r>
        <w:rPr>
          <w:rFonts w:ascii="Book Antiqua" w:hAnsi="Book Antiqua"/>
          <w:i/>
          <w:iCs/>
          <w:shd w:val="clear" w:color="auto" w:fill="FFFFFF"/>
        </w:rPr>
        <w:t>et</w:t>
      </w:r>
      <w:r>
        <w:rPr>
          <w:rFonts w:ascii="Book Antiqua" w:hAnsi="Book Antiqua"/>
          <w:shd w:val="clear" w:color="auto" w:fill="FFFFFF"/>
        </w:rPr>
        <w:t xml:space="preserve"> </w:t>
      </w:r>
      <w:r>
        <w:rPr>
          <w:rFonts w:ascii="Book Antiqua" w:hAnsi="Book Antiqua"/>
          <w:i/>
          <w:iCs/>
          <w:shd w:val="clear" w:color="auto" w:fill="FFFFFF"/>
        </w:rPr>
        <w:t>al</w:t>
      </w:r>
      <w:r>
        <w:rPr>
          <w:rFonts w:ascii="Book Antiqua" w:hAnsi="Book Antiqua"/>
          <w:shd w:val="clear" w:color="auto" w:fill="FFFFFF"/>
          <w:vertAlign w:val="superscript"/>
        </w:rPr>
        <w:t>[</w:t>
      </w:r>
      <w:r>
        <w:rPr>
          <w:rFonts w:ascii="Book Antiqua" w:hAnsi="Book Antiqua"/>
          <w:shd w:val="clear" w:color="auto" w:fill="FFFFFF"/>
          <w:vertAlign w:val="superscript"/>
        </w:rPr>
        <w:fldChar w:fldCharType="begin" w:fldLock="1"/>
      </w:r>
      <w:r>
        <w:rPr>
          <w:rFonts w:ascii="Book Antiqua" w:hAnsi="Book Antiqua"/>
          <w:shd w:val="clear" w:color="auto" w:fill="FFFFFF"/>
          <w:vertAlign w:val="superscript"/>
        </w:rPr>
        <w:instrText xml:space="preserve">ADDIN CSL_CITATION {"citationItems":[{"id":"ITEM-1","itemData":{"DOI":"10.1186/s43162-022-00128-6","ISSN":"2090-9098","abstract":"Stauffer syndrome, first described by Herbert Stauffer in 1961, is a hepatic paraneoplastic syndrome characterized by multiple extrahepatic malignancies, most commonly renal cell carcinoma. The syndrome manifests a wide range of symptoms caused by various pathophysiological mechanisms and presents with abnormalities in liver function tests in either cholestatic or non-cholestatic patterns.","author":[{"dropping-particle":"","family":"Elseidy","given":"Sheref A","non-dropping-particle":"","parse-names":false,"suffix":""},{"dropping-particle":"","family":"Awad","given":"Ahmed K","non-dropping-particle":"","parse-names":false,"suffix":""},{"dropping-particle":"","family":"Mandal","given":"Debvarsha","non-dropping-particle":"","parse-names":false,"suffix":""},{"dropping-particle":"","family":"Elbadawy","given":"Merihan A","non-dropping-particle":"","parse-names":false,"suffix":""},{"dropping-particle":"","family":"Iqbal","given":"Amir","non-dropping-particle":"","parse-names":false,"suffix":""}],"container-title":"The Egyptian Journal of Internal Medicine","id":"ITEM-1","issue":"1","issued":{"date-parts":[["2022"]]},"page":"39","title":"Stauffer syndrome: a comprehensive review of the disease and diagnostic plan proposal","type":"article-journal","volume":"34"},"uris":["http://www.mendeley.com/documents/?uuid=ab2bd144-ab09-433b-ae28-27f807cbba9d"]}],"mendeley":{"formattedCitation":"&lt;sup&gt;19&lt;/sup&gt;","plainTextFormattedCitation":"19","previouslyFormattedCitation":"&lt;sup&gt;19&lt;/sup&gt;"},"properties":{"noteIndex":0},"schema":"https://github.com/citation-style-language/schema/raw/master/csl-citation.json"}</w:instrText>
      </w:r>
      <w:r>
        <w:rPr>
          <w:rFonts w:ascii="Book Antiqua" w:hAnsi="Book Antiqua"/>
          <w:shd w:val="clear" w:color="auto" w:fill="FFFFFF"/>
          <w:vertAlign w:val="superscript"/>
        </w:rPr>
        <w:fldChar w:fldCharType="separate"/>
      </w:r>
      <w:r>
        <w:rPr>
          <w:rFonts w:ascii="Book Antiqua" w:hAnsi="Book Antiqua"/>
          <w:shd w:val="clear" w:color="auto" w:fill="FFFFFF"/>
          <w:vertAlign w:val="superscript"/>
        </w:rPr>
        <w:t>19</w:t>
      </w:r>
      <w:r>
        <w:rPr>
          <w:rFonts w:ascii="Book Antiqua" w:hAnsi="Book Antiqua"/>
          <w:shd w:val="clear" w:color="auto" w:fill="FFFFFF"/>
          <w:vertAlign w:val="superscript"/>
        </w:rPr>
        <w:fldChar w:fldCharType="end"/>
      </w:r>
      <w:r>
        <w:rPr>
          <w:rFonts w:ascii="Book Antiqua" w:hAnsi="Book Antiqua"/>
          <w:shd w:val="clear" w:color="auto" w:fill="FFFFFF"/>
          <w:vertAlign w:val="superscript"/>
        </w:rPr>
        <w:t>]</w:t>
      </w:r>
      <w:r>
        <w:rPr>
          <w:rFonts w:ascii="Book Antiqua" w:hAnsi="Book Antiqua"/>
          <w:shd w:val="clear" w:color="auto" w:fill="FFFFFF"/>
        </w:rPr>
        <w:t xml:space="preserve"> (from 2022), diagnostic criteria for Stauffer syndrome are currently lacking. A stepwise diagnostic plan was proposed that includes liver function tests, abdominal ultrasound, MRCP and contrast-enhanced CT of the abdomen and pelvis. Multidisciplinary team meeting is recommended by the authors to take place before treatment initiation. This diagnostic plan is similar to the one that was applied by our team for the case described herein.</w:t>
      </w:r>
    </w:p>
    <w:p>
      <w:pPr>
        <w:snapToGrid w:val="0"/>
        <w:spacing w:line="360" w:lineRule="auto"/>
        <w:ind w:firstLine="270"/>
        <w:jc w:val="both"/>
        <w:rPr>
          <w:rFonts w:ascii="Book Antiqua" w:hAnsi="Book Antiqua"/>
        </w:rPr>
      </w:pPr>
      <w:r>
        <w:rPr>
          <w:rFonts w:ascii="Book Antiqua" w:hAnsi="Book Antiqua"/>
        </w:rPr>
        <w:t xml:space="preserve">Patients with obstructive jaundice have increased operative mortality rates, </w:t>
      </w:r>
      <w:r>
        <w:rPr>
          <w:rFonts w:ascii="Book Antiqua" w:hAnsi="Book Antiqua"/>
          <w:color w:val="000000"/>
          <w:shd w:val="clear" w:color="auto" w:fill="FFFFFF"/>
        </w:rPr>
        <w:t xml:space="preserve">increased risk of infections, disseminated intravascular coagulation, gastrointestinal bleeding, delayed wound healing, wound dehiscence, </w:t>
      </w:r>
      <w:r>
        <w:rPr>
          <w:rFonts w:ascii="Book Antiqua" w:hAnsi="Book Antiqua"/>
          <w:i/>
          <w:iCs/>
          <w:color w:val="000000"/>
          <w:shd w:val="clear" w:color="auto" w:fill="FFFFFF"/>
        </w:rPr>
        <w:t>etc</w:t>
      </w:r>
      <w:r>
        <w:rPr>
          <w:rFonts w:ascii="Book Antiqua" w:hAnsi="Book Antiqua"/>
          <w:color w:val="000000"/>
          <w:shd w:val="clear" w:color="auto" w:fill="FFFFFF"/>
          <w:vertAlign w:val="superscript"/>
        </w:rPr>
        <w:t>[</w:t>
      </w:r>
      <w:r>
        <w:rPr>
          <w:rFonts w:ascii="Book Antiqua" w:hAnsi="Book Antiqua"/>
          <w:color w:val="000000"/>
          <w:shd w:val="clear" w:color="auto" w:fill="FFFFFF"/>
          <w:vertAlign w:val="superscript"/>
        </w:rPr>
        <w:fldChar w:fldCharType="begin" w:fldLock="1"/>
      </w:r>
      <w:r>
        <w:rPr>
          <w:rFonts w:ascii="Book Antiqua" w:hAnsi="Book Antiqua"/>
          <w:color w:val="000000"/>
          <w:shd w:val="clear" w:color="auto" w:fill="FFFFFF"/>
          <w:vertAlign w:val="superscript"/>
        </w:rPr>
        <w:instrText xml:space="preserve">ADDIN CSL_CITATION {"citationItems":[{"id":"ITEM-1","itemData":{"DOI":"10.1177/147323000403200608","ISSN":"0300-0605 (Print)","PMID":"15587757","abstract":"Clinical and laboratory parameters that may affect post-operative mortality and  morbidity were studied in 215 patients operated on for obstructive jaundice. The cause of the bile duct obstruction was benign disease in 56.7% of patients and malignant disease in 43.3%. Overall postoperative mortality and morbidity rates were 21.9% and 33.5%, respectively. Eight risk factors were shown to be associated with increased mortality: age &gt; 70 years; malignancy; leucocytosis &gt; 15 000 cells/microl and fever &gt; 38.5 degrees C; haematocrit &lt; or = 30%; creatinine &gt; 1.3 mg/dl; albumin &lt; or = 3 g/dl; bilirubin &gt; 20 mg/dl; and serum alkaline phosphatase &gt; 100 IU/l. The simultaneous presence of less than three risk factors was always associated with post-operative survival, but concomitant existence of seven or more risk factors indicated 100% mortality. Understanding the factors related to post-operative morbidity and mortality in patients with obstructive jaundice will better guide appropriate surgical or non-surgical management and lead to improved survival.","author":[{"dropping-particle":"","family":"Pitiakoudis","given":"M","non-dropping-particle":"","parse-names":false,"suffix":""},{"dropping-particle":"","family":"Mimidis","given":"K","non-dropping-particle":"","parse-names":false,"suffix":""},{"dropping-particle":"","family":"Tsaroucha","given":"A K","non-dropping-particle":"","parse-names":false,"suffix":""},{"dropping-particle":"","family":"Papadopoulos","given":"V","non-dropping-particle":"","parse-names":false,"suffix":""},{"dropping-particle":"","family":"Karayiannakis","given":"A","non-dropping-particle":"","parse-names":false,"suffix":""},{"dropping-particle":"","family":"Simopoulos","given":"C","non-dropping-particle":"","parse-names":false,"suffix":""}],"container-title":"The Journal of international medical research","id":"ITEM-1","issue":"6","issued":{"date-parts":[["2004"]]},"language":"eng","page":"633-638","publisher-place":"England","title":"Predictive value of risk factors in patients with obstructive jaundice.","type":"article-journal","volume":"32"},"uris":["http://www.mendeley.com/documents/?uuid=56ed8797-8f32-4ba7-855b-ea51236e686c"]}],"mendeley":{"formattedCitation":"&lt;sup&gt;20&lt;/sup&gt;","plainTextFormattedCitation":"20","previouslyFormattedCitation":"&lt;sup&gt;20&lt;/sup&gt;"},"properties":{"noteIndex":0},"schema":"https://github.com/citation-style-language/schema/raw/master/csl-citation.json"}</w:instrText>
      </w:r>
      <w:r>
        <w:rPr>
          <w:rFonts w:ascii="Book Antiqua" w:hAnsi="Book Antiqua"/>
          <w:color w:val="000000"/>
          <w:shd w:val="clear" w:color="auto" w:fill="FFFFFF"/>
          <w:vertAlign w:val="superscript"/>
        </w:rPr>
        <w:fldChar w:fldCharType="separate"/>
      </w:r>
      <w:r>
        <w:rPr>
          <w:rFonts w:ascii="Book Antiqua" w:hAnsi="Book Antiqua"/>
          <w:color w:val="000000"/>
          <w:shd w:val="clear" w:color="auto" w:fill="FFFFFF"/>
          <w:vertAlign w:val="superscript"/>
        </w:rPr>
        <w:t>20</w:t>
      </w:r>
      <w:r>
        <w:rPr>
          <w:rFonts w:ascii="Book Antiqua" w:hAnsi="Book Antiqua"/>
          <w:color w:val="000000"/>
          <w:shd w:val="clear" w:color="auto" w:fill="FFFFFF"/>
          <w:vertAlign w:val="superscript"/>
        </w:rPr>
        <w:fldChar w:fldCharType="end"/>
      </w:r>
      <w:r>
        <w:rPr>
          <w:rFonts w:ascii="Book Antiqua" w:hAnsi="Book Antiqua"/>
          <w:color w:val="000000"/>
          <w:shd w:val="clear" w:color="auto" w:fill="FFFFFF"/>
          <w:vertAlign w:val="superscript"/>
        </w:rPr>
        <w:t>]</w:t>
      </w:r>
      <w:r>
        <w:rPr>
          <w:rFonts w:ascii="Book Antiqua" w:hAnsi="Book Antiqua"/>
          <w:color w:val="000000"/>
          <w:shd w:val="clear" w:color="auto" w:fill="FFFFFF"/>
        </w:rPr>
        <w:t>.</w:t>
      </w:r>
      <w:r>
        <w:rPr>
          <w:rFonts w:ascii="Book Antiqua" w:hAnsi="Book Antiqua"/>
        </w:rPr>
        <w:t xml:space="preserve"> This case report clearly demonstrates successful operative treatment despite higher perioperative risk. The strength of this study is in the multidisciplinary approach to making the decision for surgery of the patient with established liver failure. A limitation of the study is the lack of the baseline examination of IL-6 levels, as one of the explanations of dynamic changes in IL-6 values may be the invasive procedure itself. Another limitation is the fact that there was a positive result for anti-HEV IgG without any data for a past viral infection. However, during the hospital stay, active infection from HEV was excluded. In cases of absent diagnostic criteria, the case is solved as a diagnosis of exclusion.</w:t>
      </w:r>
    </w:p>
    <w:p>
      <w:pPr>
        <w:snapToGrid w:val="0"/>
        <w:spacing w:line="360" w:lineRule="auto"/>
        <w:jc w:val="both"/>
        <w:rPr>
          <w:rFonts w:ascii="Book Antiqua" w:hAnsi="Book Antiqua"/>
          <w:b/>
          <w:bCs/>
          <w:u w:val="single"/>
        </w:rPr>
      </w:pPr>
    </w:p>
    <w:p>
      <w:pPr>
        <w:snapToGrid w:val="0"/>
        <w:spacing w:line="360" w:lineRule="auto"/>
        <w:jc w:val="both"/>
        <w:rPr>
          <w:rFonts w:ascii="Book Antiqua" w:hAnsi="Book Antiqua"/>
          <w:b/>
          <w:bCs/>
          <w:u w:val="single"/>
        </w:rPr>
      </w:pPr>
      <w:r>
        <w:rPr>
          <w:rFonts w:ascii="Book Antiqua" w:hAnsi="Book Antiqua"/>
          <w:b/>
          <w:bCs/>
          <w:u w:val="single"/>
        </w:rPr>
        <w:t>CONCLUSION</w:t>
      </w:r>
    </w:p>
    <w:p>
      <w:pPr>
        <w:snapToGrid w:val="0"/>
        <w:spacing w:line="360" w:lineRule="auto"/>
        <w:jc w:val="both"/>
        <w:rPr>
          <w:rFonts w:ascii="Book Antiqua" w:hAnsi="Book Antiqua"/>
          <w:color w:val="303030"/>
          <w:shd w:val="clear" w:color="auto" w:fill="FFFFFF"/>
        </w:rPr>
      </w:pPr>
      <w:r>
        <w:rPr>
          <w:rFonts w:ascii="Book Antiqua" w:hAnsi="Book Antiqua"/>
          <w:bCs/>
        </w:rPr>
        <w:t xml:space="preserve">Stauffer syndrome and the icteric form (the rarest variant) should be considered as </w:t>
      </w:r>
      <w:r>
        <w:rPr>
          <w:rFonts w:ascii="Book Antiqua" w:hAnsi="Book Antiqua"/>
        </w:rPr>
        <w:t>a possibility of an underlying neoplastic process in cases of unexplained liver impairment. Reversibility of the liver damage after successful treatment of the underlying malignancy should not be underestimated. The opinion of our team is that in order to quickly reach a diagnosis, clinicians of various related specific fields should be aware of the condition. Despite the rarity of the syndrome, further investigation for improvement of the diagnosis and treatment should be initialized.</w:t>
      </w:r>
    </w:p>
    <w:p>
      <w:pPr>
        <w:snapToGrid w:val="0"/>
        <w:spacing w:line="360" w:lineRule="auto"/>
        <w:jc w:val="both"/>
        <w:rPr>
          <w:rFonts w:ascii="Book Antiqua" w:hAnsi="Book Antiqua"/>
          <w:b/>
          <w:bCs/>
          <w:color w:val="202124"/>
          <w:shd w:val="clear" w:color="auto" w:fill="FFFFFF"/>
        </w:rPr>
      </w:pPr>
    </w:p>
    <w:p>
      <w:pPr>
        <w:snapToGrid w:val="0"/>
        <w:spacing w:line="360" w:lineRule="auto"/>
        <w:jc w:val="both"/>
        <w:rPr>
          <w:rFonts w:ascii="Book Antiqua" w:hAnsi="Book Antiqua"/>
          <w:b/>
          <w:bCs/>
          <w:color w:val="202124"/>
          <w:shd w:val="clear" w:color="auto" w:fill="FFFFFF"/>
        </w:rPr>
      </w:pPr>
      <w:r>
        <w:rPr>
          <w:rFonts w:ascii="Book Antiqua" w:hAnsi="Book Antiqua"/>
          <w:b/>
          <w:bCs/>
          <w:color w:val="202124"/>
          <w:u w:val="single"/>
          <w:shd w:val="clear" w:color="auto" w:fill="FFFFFF"/>
        </w:rPr>
        <w:t>ACKNOWLEDGEMENT</w:t>
      </w:r>
      <w:r>
        <w:rPr>
          <w:rFonts w:ascii="Book Antiqua" w:hAnsi="Book Antiqua"/>
          <w:b/>
          <w:bCs/>
          <w:color w:val="202124"/>
          <w:shd w:val="clear" w:color="auto" w:fill="FFFFFF"/>
        </w:rPr>
        <w:t xml:space="preserve"> </w:t>
      </w:r>
    </w:p>
    <w:p>
      <w:pPr>
        <w:snapToGrid w:val="0"/>
        <w:spacing w:line="360" w:lineRule="auto"/>
        <w:jc w:val="both"/>
        <w:rPr>
          <w:rFonts w:ascii="Book Antiqua" w:hAnsi="Book Antiqua"/>
          <w:color w:val="202124"/>
          <w:shd w:val="clear" w:color="auto" w:fill="FFFFFF"/>
        </w:rPr>
      </w:pPr>
      <w:r>
        <w:rPr>
          <w:rFonts w:ascii="Book Antiqua" w:hAnsi="Book Antiqua"/>
          <w:color w:val="202124"/>
          <w:shd w:val="clear" w:color="auto" w:fill="FFFFFF"/>
        </w:rPr>
        <w:t xml:space="preserve">The authors are thankful to the Department of Urology, University Hospital of Oncology, Sofia, Bulgaria for performing the surgical treatment and postsurgical care of this patient, and to Prof. Radina Ivanova for the histology image. </w:t>
      </w:r>
    </w:p>
    <w:p>
      <w:pPr>
        <w:snapToGrid w:val="0"/>
        <w:spacing w:line="360" w:lineRule="auto"/>
        <w:jc w:val="both"/>
        <w:rPr>
          <w:rFonts w:ascii="Book Antiqua" w:hAnsi="Book Antiqua"/>
          <w:b/>
          <w:bCs/>
          <w:color w:val="202124"/>
          <w:shd w:val="clear" w:color="auto" w:fill="FFFFFF"/>
        </w:rPr>
      </w:pPr>
    </w:p>
    <w:p>
      <w:pPr>
        <w:snapToGrid w:val="0"/>
        <w:spacing w:line="360" w:lineRule="auto"/>
        <w:jc w:val="both"/>
        <w:rPr>
          <w:rFonts w:ascii="Book Antiqua" w:hAnsi="Book Antiqua"/>
          <w:b/>
          <w:color w:val="212121"/>
        </w:rPr>
      </w:pPr>
      <w:r>
        <w:rPr>
          <w:rFonts w:ascii="Book Antiqua" w:hAnsi="Book Antiqua"/>
          <w:b/>
          <w:color w:val="212121"/>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Stauffer H</w:t>
      </w:r>
      <w:r>
        <w:rPr>
          <w:rFonts w:ascii="Book Antiqua" w:hAnsi="Book Antiqua" w:eastAsia="Book Antiqua" w:cs="Book Antiqua"/>
          <w:color w:val="000000"/>
        </w:rPr>
        <w:t xml:space="preserve">. Nephrogenous hepatosplenomegaly. </w:t>
      </w:r>
      <w:r>
        <w:rPr>
          <w:rFonts w:ascii="Book Antiqua" w:hAnsi="Book Antiqua" w:eastAsia="Book Antiqua" w:cs="Book Antiqua"/>
          <w:i/>
          <w:iCs/>
          <w:color w:val="000000"/>
        </w:rPr>
        <w:t>Gastroenterolog</w:t>
      </w:r>
      <w:r>
        <w:rPr>
          <w:rFonts w:ascii="Book Antiqua" w:hAnsi="Book Antiqua" w:eastAsia="Book Antiqua" w:cs="Book Antiqua"/>
          <w:color w:val="000000"/>
        </w:rPr>
        <w:t xml:space="preserve">y 1961; </w:t>
      </w:r>
      <w:r>
        <w:rPr>
          <w:rFonts w:ascii="Book Antiqua" w:hAnsi="Book Antiqua" w:eastAsia="Book Antiqua" w:cs="Book Antiqua"/>
          <w:b/>
          <w:bCs/>
          <w:color w:val="000000"/>
        </w:rPr>
        <w:t>40</w:t>
      </w:r>
      <w:r>
        <w:rPr>
          <w:rFonts w:ascii="Book Antiqua" w:hAnsi="Book Antiqua" w:eastAsia="Book Antiqua" w:cs="Book Antiqua"/>
          <w:color w:val="000000"/>
        </w:rPr>
        <w:t>: 694</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Dourakis SP</w:t>
      </w:r>
      <w:r>
        <w:rPr>
          <w:rFonts w:ascii="Book Antiqua" w:hAnsi="Book Antiqua" w:eastAsia="Book Antiqua" w:cs="Book Antiqua"/>
          <w:color w:val="000000"/>
        </w:rPr>
        <w:t xml:space="preserve">, Sinani C, Deutsch M, Dimitriadou E, Hadziyannis SJ. Cholestatic jaundice as a paraneoplastic manifestation of renal cell carcinoma.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1997; </w:t>
      </w:r>
      <w:r>
        <w:rPr>
          <w:rFonts w:ascii="Book Antiqua" w:hAnsi="Book Antiqua" w:eastAsia="Book Antiqua" w:cs="Book Antiqua"/>
          <w:b/>
          <w:bCs/>
          <w:color w:val="000000"/>
        </w:rPr>
        <w:t>9</w:t>
      </w:r>
      <w:r>
        <w:rPr>
          <w:rFonts w:ascii="Book Antiqua" w:hAnsi="Book Antiqua" w:eastAsia="Book Antiqua" w:cs="Book Antiqua"/>
          <w:color w:val="000000"/>
        </w:rPr>
        <w:t>: 311-314 [PMID: 9096437 DOI: 10.1097/00042737-199703000-00018]</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Boxer RJ</w:t>
      </w:r>
      <w:r>
        <w:rPr>
          <w:rFonts w:ascii="Book Antiqua" w:hAnsi="Book Antiqua" w:eastAsia="Book Antiqua" w:cs="Book Antiqua"/>
          <w:color w:val="000000"/>
        </w:rPr>
        <w:t xml:space="preserve">, Waisman J, Lieber MM, Mampaso FM, Skinner DG. Non-metastatic hepatic dysfunction associated with renal carcinoma. </w:t>
      </w:r>
      <w:r>
        <w:rPr>
          <w:rFonts w:ascii="Book Antiqua" w:hAnsi="Book Antiqua" w:eastAsia="Book Antiqua" w:cs="Book Antiqua"/>
          <w:i/>
          <w:iCs/>
          <w:color w:val="000000"/>
        </w:rPr>
        <w:t>J Urol</w:t>
      </w:r>
      <w:r>
        <w:rPr>
          <w:rFonts w:ascii="Book Antiqua" w:hAnsi="Book Antiqua" w:eastAsia="Book Antiqua" w:cs="Book Antiqua"/>
          <w:color w:val="000000"/>
        </w:rPr>
        <w:t xml:space="preserve"> 1978; </w:t>
      </w:r>
      <w:r>
        <w:rPr>
          <w:rFonts w:ascii="Book Antiqua" w:hAnsi="Book Antiqua" w:eastAsia="Book Antiqua" w:cs="Book Antiqua"/>
          <w:b/>
          <w:bCs/>
          <w:color w:val="000000"/>
        </w:rPr>
        <w:t>119</w:t>
      </w:r>
      <w:r>
        <w:rPr>
          <w:rFonts w:ascii="Book Antiqua" w:hAnsi="Book Antiqua" w:eastAsia="Book Antiqua" w:cs="Book Antiqua"/>
          <w:color w:val="000000"/>
        </w:rPr>
        <w:t>: 468-471 [PMID: 650745 DOI: 10.1016/s0022-5347(17)57519-9]</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Sacco E</w:t>
      </w:r>
      <w:r>
        <w:rPr>
          <w:rFonts w:ascii="Book Antiqua" w:hAnsi="Book Antiqua" w:eastAsia="Book Antiqua" w:cs="Book Antiqua"/>
          <w:color w:val="000000"/>
        </w:rPr>
        <w:t xml:space="preserve">, Pinto F, Sasso F, Racioppi M, Gulino G, Volpe A, Bassi P. Paraneoplastic syndromes in patients with urological malignancies. </w:t>
      </w:r>
      <w:r>
        <w:rPr>
          <w:rFonts w:ascii="Book Antiqua" w:hAnsi="Book Antiqua" w:eastAsia="Book Antiqua" w:cs="Book Antiqua"/>
          <w:i/>
          <w:iCs/>
          <w:color w:val="000000"/>
        </w:rPr>
        <w:t>Urol Int</w:t>
      </w:r>
      <w:r>
        <w:rPr>
          <w:rFonts w:ascii="Book Antiqua" w:hAnsi="Book Antiqua" w:eastAsia="Book Antiqua" w:cs="Book Antiqua"/>
          <w:color w:val="000000"/>
        </w:rPr>
        <w:t xml:space="preserve"> 2009; </w:t>
      </w:r>
      <w:r>
        <w:rPr>
          <w:rFonts w:ascii="Book Antiqua" w:hAnsi="Book Antiqua" w:eastAsia="Book Antiqua" w:cs="Book Antiqua"/>
          <w:b/>
          <w:bCs/>
          <w:color w:val="000000"/>
        </w:rPr>
        <w:t>83</w:t>
      </w:r>
      <w:r>
        <w:rPr>
          <w:rFonts w:ascii="Book Antiqua" w:hAnsi="Book Antiqua" w:eastAsia="Book Antiqua" w:cs="Book Antiqua"/>
          <w:color w:val="000000"/>
        </w:rPr>
        <w:t>: 1-11 [PMID: 19641351 DOI: 10.1159/000224860]</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Sharara AI</w:t>
      </w:r>
      <w:r>
        <w:rPr>
          <w:rFonts w:ascii="Book Antiqua" w:hAnsi="Book Antiqua" w:eastAsia="Book Antiqua" w:cs="Book Antiqua"/>
          <w:color w:val="000000"/>
        </w:rPr>
        <w:t xml:space="preserve">, Panella TJ, Fitz JG. Paraneoplastic hepatopathy associated with soft tissue sarcoma.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1992; </w:t>
      </w:r>
      <w:r>
        <w:rPr>
          <w:rFonts w:ascii="Book Antiqua" w:hAnsi="Book Antiqua" w:eastAsia="Book Antiqua" w:cs="Book Antiqua"/>
          <w:b/>
          <w:bCs/>
          <w:color w:val="000000"/>
        </w:rPr>
        <w:t>103</w:t>
      </w:r>
      <w:r>
        <w:rPr>
          <w:rFonts w:ascii="Book Antiqua" w:hAnsi="Book Antiqua" w:eastAsia="Book Antiqua" w:cs="Book Antiqua"/>
          <w:color w:val="000000"/>
        </w:rPr>
        <w:t>: 330-332 [PMID: 1612341 DOI: 10.1016/0016-5085(92)91131-m]</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Agha RA</w:t>
      </w:r>
      <w:r>
        <w:rPr>
          <w:rFonts w:ascii="Book Antiqua" w:hAnsi="Book Antiqua" w:eastAsia="Book Antiqua" w:cs="Book Antiqua"/>
          <w:color w:val="000000"/>
        </w:rPr>
        <w:t xml:space="preserve">, Franchi T, Sohrabi C, Mathew G, Kerwan A; SCARE Group. The SCARE 2020 Guideline: Updating Consensus Surgical CAse REport (SCARE) Guidelines. </w:t>
      </w:r>
      <w:r>
        <w:rPr>
          <w:rFonts w:ascii="Book Antiqua" w:hAnsi="Book Antiqua" w:eastAsia="Book Antiqua" w:cs="Book Antiqua"/>
          <w:i/>
          <w:iCs/>
          <w:color w:val="000000"/>
        </w:rPr>
        <w:t>Int J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84</w:t>
      </w:r>
      <w:r>
        <w:rPr>
          <w:rFonts w:ascii="Book Antiqua" w:hAnsi="Book Antiqua" w:eastAsia="Book Antiqua" w:cs="Book Antiqua"/>
          <w:color w:val="000000"/>
        </w:rPr>
        <w:t>: 226-230 [PMID: 33181358 DOI: 10.1016/j.ijsu.2020.10.034]</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Gold PJ</w:t>
      </w:r>
      <w:r>
        <w:rPr>
          <w:rFonts w:ascii="Book Antiqua" w:hAnsi="Book Antiqua" w:eastAsia="Book Antiqua" w:cs="Book Antiqua"/>
          <w:color w:val="000000"/>
        </w:rPr>
        <w:t xml:space="preserve">, Fefer A, Thompson JA. Paraneoplastic manifestations of renal cell carcinoma. </w:t>
      </w:r>
      <w:r>
        <w:rPr>
          <w:rFonts w:ascii="Book Antiqua" w:hAnsi="Book Antiqua" w:eastAsia="Book Antiqua" w:cs="Book Antiqua"/>
          <w:i/>
          <w:iCs/>
          <w:color w:val="000000"/>
        </w:rPr>
        <w:t>Semin Urol Oncol</w:t>
      </w:r>
      <w:r>
        <w:rPr>
          <w:rFonts w:ascii="Book Antiqua" w:hAnsi="Book Antiqua" w:eastAsia="Book Antiqua" w:cs="Book Antiqua"/>
          <w:color w:val="000000"/>
        </w:rPr>
        <w:t xml:space="preserve"> 1996; </w:t>
      </w:r>
      <w:r>
        <w:rPr>
          <w:rFonts w:ascii="Book Antiqua" w:hAnsi="Book Antiqua" w:eastAsia="Book Antiqua" w:cs="Book Antiqua"/>
          <w:b/>
          <w:bCs/>
          <w:color w:val="000000"/>
        </w:rPr>
        <w:t>14</w:t>
      </w:r>
      <w:r>
        <w:rPr>
          <w:rFonts w:ascii="Book Antiqua" w:hAnsi="Book Antiqua" w:eastAsia="Book Antiqua" w:cs="Book Antiqua"/>
          <w:color w:val="000000"/>
        </w:rPr>
        <w:t>: 216-222 [PMID: 8946620]</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Torre LA</w:t>
      </w:r>
      <w:r>
        <w:rPr>
          <w:rFonts w:ascii="Book Antiqua" w:hAnsi="Book Antiqua" w:eastAsia="Book Antiqua" w:cs="Book Antiqua"/>
          <w:color w:val="000000"/>
        </w:rPr>
        <w:t xml:space="preserve">, Bray F, Siegel RL, Ferlay J, Lortet-Tieulent J, Jemal A. Global cancer statistics, 2012.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2015; </w:t>
      </w:r>
      <w:r>
        <w:rPr>
          <w:rFonts w:ascii="Book Antiqua" w:hAnsi="Book Antiqua" w:eastAsia="Book Antiqua" w:cs="Book Antiqua"/>
          <w:b/>
          <w:bCs/>
          <w:color w:val="000000"/>
        </w:rPr>
        <w:t>65</w:t>
      </w:r>
      <w:r>
        <w:rPr>
          <w:rFonts w:ascii="Book Antiqua" w:hAnsi="Book Antiqua" w:eastAsia="Book Antiqua" w:cs="Book Antiqua"/>
          <w:color w:val="000000"/>
        </w:rPr>
        <w:t>: 87-108 [PMID: 25651787 DOI: 10.3322/caac.21262]</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McKay RR</w:t>
      </w:r>
      <w:r>
        <w:rPr>
          <w:rFonts w:ascii="Book Antiqua" w:hAnsi="Book Antiqua" w:eastAsia="Book Antiqua" w:cs="Book Antiqua"/>
          <w:color w:val="000000"/>
        </w:rPr>
        <w:t xml:space="preserve">, Kroeger N, Xie W, Lee JL, Knox JJ, Bjarnason GA, MacKenzie MJ, Wood L, Srinivas S, Vaishampayan UN, Rha SY, Pal SK, Donskov F, Tantravahi SK, Rini BI, Heng DY, Choueiri TK. Impact of bone and liver metastases on patients with renal cell carcinoma treated with targeted therapy. </w:t>
      </w:r>
      <w:r>
        <w:rPr>
          <w:rFonts w:ascii="Book Antiqua" w:hAnsi="Book Antiqua" w:eastAsia="Book Antiqua" w:cs="Book Antiqua"/>
          <w:i/>
          <w:iCs/>
          <w:color w:val="000000"/>
        </w:rPr>
        <w:t>Eur Urol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65</w:t>
      </w:r>
      <w:r>
        <w:rPr>
          <w:rFonts w:ascii="Book Antiqua" w:hAnsi="Book Antiqua" w:eastAsia="Book Antiqua" w:cs="Book Antiqua"/>
          <w:color w:val="000000"/>
        </w:rPr>
        <w:t>: 577-584 [PMID: 23962746 DOI: 10.1016/j.eururo.2013.08.012]</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Leibovich BC</w:t>
      </w:r>
      <w:r>
        <w:rPr>
          <w:rFonts w:ascii="Book Antiqua" w:hAnsi="Book Antiqua" w:eastAsia="Book Antiqua" w:cs="Book Antiqua"/>
          <w:color w:val="000000"/>
        </w:rPr>
        <w:t xml:space="preserve">, Blute ML, Cheville JC, Lohse CM, Frank I, Kwon ED, Weaver AL, Parker AS, Zincke H. Prediction of progression after radical nephrectomy for patients with clear cell renal cell carcinoma: a stratification tool for prospective clinical trials.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2003; </w:t>
      </w:r>
      <w:r>
        <w:rPr>
          <w:rFonts w:ascii="Book Antiqua" w:hAnsi="Book Antiqua" w:eastAsia="Book Antiqua" w:cs="Book Antiqua"/>
          <w:b/>
          <w:bCs/>
          <w:color w:val="000000"/>
        </w:rPr>
        <w:t>97</w:t>
      </w:r>
      <w:r>
        <w:rPr>
          <w:rFonts w:ascii="Book Antiqua" w:hAnsi="Book Antiqua" w:eastAsia="Book Antiqua" w:cs="Book Antiqua"/>
          <w:color w:val="000000"/>
        </w:rPr>
        <w:t>: 1663-1671 [PMID: 12655523 DOI: 10.1002/cncr.11234]</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Bianchi M</w:t>
      </w:r>
      <w:r>
        <w:rPr>
          <w:rFonts w:ascii="Book Antiqua" w:hAnsi="Book Antiqua" w:eastAsia="Book Antiqua" w:cs="Book Antiqua"/>
          <w:color w:val="000000"/>
        </w:rPr>
        <w:t xml:space="preserve">, Sun M, Jeldres C, Shariat SF, Trinh QD, Briganti A, Tian Z, Schmitges J, Graefen M, Perrotte P, Menon M, Montorsi F, Karakiewicz PI. Distribution of metastatic sites in renal cell carcinoma: a population-based analysis.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23</w:t>
      </w:r>
      <w:r>
        <w:rPr>
          <w:rFonts w:ascii="Book Antiqua" w:hAnsi="Book Antiqua" w:eastAsia="Book Antiqua" w:cs="Book Antiqua"/>
          <w:color w:val="000000"/>
        </w:rPr>
        <w:t>: 973-980 [PMID: 21890909 DOI: 10.1093/annonc/mdr362]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Sharma N</w:t>
      </w:r>
      <w:r>
        <w:rPr>
          <w:rFonts w:ascii="Book Antiqua" w:hAnsi="Book Antiqua" w:eastAsia="Book Antiqua" w:cs="Book Antiqua"/>
          <w:color w:val="000000"/>
        </w:rPr>
        <w:t xml:space="preserve">, Darr U, Darr A, Sood G. Stauffer Syndrome: A Comprehensive Review of the Icteric Variant of the Syndrome.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2019; </w:t>
      </w:r>
      <w:r>
        <w:rPr>
          <w:rFonts w:ascii="Book Antiqua" w:hAnsi="Book Antiqua" w:eastAsia="Book Antiqua" w:cs="Book Antiqua"/>
          <w:b/>
          <w:bCs/>
          <w:color w:val="000000"/>
        </w:rPr>
        <w:t>11</w:t>
      </w:r>
      <w:r>
        <w:rPr>
          <w:rFonts w:ascii="Book Antiqua" w:hAnsi="Book Antiqua" w:eastAsia="Book Antiqua" w:cs="Book Antiqua"/>
          <w:color w:val="000000"/>
        </w:rPr>
        <w:t>: e6032 [PMID: 31824799 DOI: 10.7759/cureus.6032]</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Blay JY</w:t>
      </w:r>
      <w:r>
        <w:rPr>
          <w:rFonts w:ascii="Book Antiqua" w:hAnsi="Book Antiqua" w:eastAsia="Book Antiqua" w:cs="Book Antiqua"/>
          <w:color w:val="000000"/>
        </w:rPr>
        <w:t xml:space="preserve">, Rossi JF, Wijdenes J, Menetrier-Caux C, Schemann S, Négrier S, Philip T, Favrot M. Role of interleukin-6 in the paraneoplastic inflammatory syndrome associated with renal-cell carcinoma. </w:t>
      </w:r>
      <w:r>
        <w:rPr>
          <w:rFonts w:ascii="Book Antiqua" w:hAnsi="Book Antiqua" w:eastAsia="Book Antiqua" w:cs="Book Antiqua"/>
          <w:i/>
          <w:iCs/>
          <w:color w:val="000000"/>
        </w:rPr>
        <w:t>Int J Cancer</w:t>
      </w:r>
      <w:r>
        <w:rPr>
          <w:rFonts w:ascii="Book Antiqua" w:hAnsi="Book Antiqua" w:eastAsia="Book Antiqua" w:cs="Book Antiqua"/>
          <w:color w:val="000000"/>
        </w:rPr>
        <w:t xml:space="preserve"> 1997; </w:t>
      </w:r>
      <w:r>
        <w:rPr>
          <w:rFonts w:ascii="Book Antiqua" w:hAnsi="Book Antiqua" w:eastAsia="Book Antiqua" w:cs="Book Antiqua"/>
          <w:b/>
          <w:bCs/>
          <w:color w:val="000000"/>
        </w:rPr>
        <w:t>72</w:t>
      </w:r>
      <w:r>
        <w:rPr>
          <w:rFonts w:ascii="Book Antiqua" w:hAnsi="Book Antiqua" w:eastAsia="Book Antiqua" w:cs="Book Antiqua"/>
          <w:color w:val="000000"/>
        </w:rPr>
        <w:t>: 424-430 [PMID: 9247285 DOI: 10.1002/(sici)1097-0215(19970729)72:3&lt;424::aid-ijc9&gt;3.0.co;2-r]</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Jangouk P</w:t>
      </w:r>
      <w:r>
        <w:rPr>
          <w:rFonts w:ascii="Book Antiqua" w:hAnsi="Book Antiqua" w:eastAsia="Book Antiqua" w:cs="Book Antiqua"/>
          <w:color w:val="000000"/>
        </w:rPr>
        <w:t xml:space="preserve">, Hashash JG. An unusual cause of painless jaundice. Renal cell carcinoma (Stauffer syndrome).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146</w:t>
      </w:r>
      <w:r>
        <w:rPr>
          <w:rFonts w:ascii="Book Antiqua" w:hAnsi="Book Antiqua" w:eastAsia="Book Antiqua" w:cs="Book Antiqua"/>
          <w:color w:val="000000"/>
        </w:rPr>
        <w:t>: 913, 1138 [PMID: 24560853 DOI: 10.1053/j.gastro.2013.12.038]</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Bhangoo MS</w:t>
      </w:r>
      <w:r>
        <w:rPr>
          <w:rFonts w:ascii="Book Antiqua" w:hAnsi="Book Antiqua" w:eastAsia="Book Antiqua" w:cs="Book Antiqua"/>
          <w:color w:val="000000"/>
        </w:rPr>
        <w:t xml:space="preserve">, Cheng B, Botta GP, Thorson P, Kosty MP. Reversible intrahepatic cholestasis in metastatic prostate cancer: An uncommon paraneoplastic syndrome. </w:t>
      </w:r>
      <w:r>
        <w:rPr>
          <w:rFonts w:ascii="Book Antiqua" w:hAnsi="Book Antiqua" w:eastAsia="Book Antiqua" w:cs="Book Antiqua"/>
          <w:i/>
          <w:iCs/>
          <w:color w:val="000000"/>
        </w:rPr>
        <w:t>Mol Clin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8</w:t>
      </w:r>
      <w:r>
        <w:rPr>
          <w:rFonts w:ascii="Book Antiqua" w:hAnsi="Book Antiqua" w:eastAsia="Book Antiqua" w:cs="Book Antiqua"/>
          <w:color w:val="000000"/>
        </w:rPr>
        <w:t>: 609-612 [PMID: 29541472 DOI: 10.3892/mco.2018.1564]</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Fontes-Sousa M</w:t>
      </w:r>
      <w:r>
        <w:rPr>
          <w:rFonts w:ascii="Book Antiqua" w:hAnsi="Book Antiqua" w:eastAsia="Book Antiqua" w:cs="Book Antiqua"/>
          <w:color w:val="000000"/>
        </w:rPr>
        <w:t xml:space="preserve">, Magalhães H, da Silva FC, Maurício MJ. Stauffer's syndrome: A comprehensive review and proposed updated diagnostic criteria. </w:t>
      </w:r>
      <w:r>
        <w:rPr>
          <w:rFonts w:ascii="Book Antiqua" w:hAnsi="Book Antiqua" w:eastAsia="Book Antiqua" w:cs="Book Antiqua"/>
          <w:i/>
          <w:iCs/>
          <w:color w:val="000000"/>
        </w:rPr>
        <w:t>Urol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36</w:t>
      </w:r>
      <w:r>
        <w:rPr>
          <w:rFonts w:ascii="Book Antiqua" w:hAnsi="Book Antiqua" w:eastAsia="Book Antiqua" w:cs="Book Antiqua"/>
          <w:color w:val="000000"/>
        </w:rPr>
        <w:t>: 321-326 [PMID: 29657090 DOI: 10.1016/j.urolonc.2018.01.019]</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Chavarriaga J</w:t>
      </w:r>
      <w:r>
        <w:rPr>
          <w:rFonts w:ascii="Book Antiqua" w:hAnsi="Book Antiqua" w:eastAsia="Book Antiqua" w:cs="Book Antiqua"/>
          <w:color w:val="000000"/>
        </w:rPr>
        <w:t xml:space="preserve">, Fakih N, Cataño J, Villaquiran C, Rodriguez S, Patino G. Stauffer syndrome, clinical implications and knowledge gaps, does size matter? Case report. </w:t>
      </w:r>
      <w:r>
        <w:rPr>
          <w:rFonts w:ascii="Book Antiqua" w:hAnsi="Book Antiqua" w:eastAsia="Book Antiqua" w:cs="Book Antiqua"/>
          <w:i/>
          <w:iCs/>
          <w:color w:val="000000"/>
        </w:rPr>
        <w:t>BMC Urol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105 [PMID: 32689980 DOI: 10.1186/s12894-020-00671-w]</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Giannakos G</w:t>
      </w:r>
      <w:r>
        <w:rPr>
          <w:rFonts w:ascii="Book Antiqua" w:hAnsi="Book Antiqua" w:eastAsia="Book Antiqua" w:cs="Book Antiqua"/>
          <w:color w:val="000000"/>
        </w:rPr>
        <w:t xml:space="preserve">, Papanicolaou X, Trafalis D, Michaelidis I, Margaritis G, Christofilakis C. Stauffer's syndrome variant associated with renal cell carcinoma. </w:t>
      </w:r>
      <w:r>
        <w:rPr>
          <w:rFonts w:ascii="Book Antiqua" w:hAnsi="Book Antiqua" w:eastAsia="Book Antiqua" w:cs="Book Antiqua"/>
          <w:i/>
          <w:iCs/>
          <w:color w:val="000000"/>
        </w:rPr>
        <w:t>Int J Urol</w:t>
      </w:r>
      <w:r>
        <w:rPr>
          <w:rFonts w:ascii="Book Antiqua" w:hAnsi="Book Antiqua" w:eastAsia="Book Antiqua" w:cs="Book Antiqua"/>
          <w:color w:val="000000"/>
        </w:rPr>
        <w:t xml:space="preserve"> 2005; </w:t>
      </w:r>
      <w:r>
        <w:rPr>
          <w:rFonts w:ascii="Book Antiqua" w:hAnsi="Book Antiqua" w:eastAsia="Book Antiqua" w:cs="Book Antiqua"/>
          <w:b/>
          <w:bCs/>
          <w:color w:val="000000"/>
        </w:rPr>
        <w:t>12</w:t>
      </w:r>
      <w:r>
        <w:rPr>
          <w:rFonts w:ascii="Book Antiqua" w:hAnsi="Book Antiqua" w:eastAsia="Book Antiqua" w:cs="Book Antiqua"/>
          <w:color w:val="000000"/>
        </w:rPr>
        <w:t>: 757-759 [PMID: 16174051 DOI: 10.1111/j.1442-2042.2005.01149.x]</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Elseidy SA,</w:t>
      </w:r>
      <w:r>
        <w:rPr>
          <w:rFonts w:ascii="Book Antiqua" w:hAnsi="Book Antiqua" w:eastAsia="Book Antiqua" w:cs="Book Antiqua"/>
          <w:color w:val="000000"/>
        </w:rPr>
        <w:t xml:space="preserve"> Awad AK, Mandal D, Elbadawy MA, Iqbal A. Stauffer syndrome: a comprehensive review of the disease and diagnostic plan proposal. </w:t>
      </w:r>
      <w:r>
        <w:rPr>
          <w:rFonts w:ascii="Book Antiqua" w:hAnsi="Book Antiqua" w:eastAsia="Book Antiqua" w:cs="Book Antiqua"/>
          <w:i/>
          <w:iCs/>
          <w:color w:val="000000"/>
        </w:rPr>
        <w:t>Egypt J Intern Med</w:t>
      </w:r>
      <w:r>
        <w:rPr>
          <w:rFonts w:ascii="Book Antiqua" w:hAnsi="Book Antiqua" w:eastAsia="Book Antiqua" w:cs="Book Antiqua"/>
          <w:color w:val="000000"/>
        </w:rPr>
        <w:t xml:space="preserve"> 2022; </w:t>
      </w:r>
      <w:r>
        <w:rPr>
          <w:rFonts w:ascii="Book Antiqua" w:hAnsi="Book Antiqua" w:eastAsia="Book Antiqua" w:cs="Book Antiqua"/>
          <w:b/>
          <w:bCs/>
          <w:color w:val="000000"/>
        </w:rPr>
        <w:t>34(1)</w:t>
      </w:r>
      <w:r>
        <w:rPr>
          <w:rFonts w:ascii="Book Antiqua" w:hAnsi="Book Antiqua" w:eastAsia="Book Antiqua" w:cs="Book Antiqua"/>
          <w:color w:val="000000"/>
        </w:rPr>
        <w:t>: 39 [DOI: 10.1186/s43162-022-00128-6]</w:t>
      </w:r>
    </w:p>
    <w:p>
      <w:pPr>
        <w:autoSpaceDE w:val="0"/>
        <w:autoSpaceDN w:val="0"/>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Pitiakoudis M</w:t>
      </w:r>
      <w:r>
        <w:rPr>
          <w:rFonts w:ascii="Book Antiqua" w:hAnsi="Book Antiqua" w:eastAsia="Book Antiqua" w:cs="Book Antiqua"/>
          <w:color w:val="000000"/>
        </w:rPr>
        <w:t xml:space="preserve">, Mimidis K, Tsaroucha AK, Papadopoulos V, Karayiannakis A, Simopoulos C. Predictive value of risk factors in patients with obstructive jaundice. </w:t>
      </w:r>
      <w:r>
        <w:rPr>
          <w:rFonts w:ascii="Book Antiqua" w:hAnsi="Book Antiqua" w:eastAsia="Book Antiqua" w:cs="Book Antiqua"/>
          <w:i/>
          <w:iCs/>
          <w:color w:val="000000"/>
        </w:rPr>
        <w:t>J Int Med Res</w:t>
      </w:r>
      <w:r>
        <w:rPr>
          <w:rFonts w:ascii="Book Antiqua" w:hAnsi="Book Antiqua" w:eastAsia="Book Antiqua" w:cs="Book Antiqua"/>
          <w:color w:val="000000"/>
        </w:rPr>
        <w:t xml:space="preserve"> 2004; </w:t>
      </w:r>
      <w:r>
        <w:rPr>
          <w:rFonts w:ascii="Book Antiqua" w:hAnsi="Book Antiqua" w:eastAsia="Book Antiqua" w:cs="Book Antiqua"/>
          <w:b/>
          <w:bCs/>
          <w:color w:val="000000"/>
        </w:rPr>
        <w:t>32</w:t>
      </w:r>
      <w:r>
        <w:rPr>
          <w:rFonts w:ascii="Book Antiqua" w:hAnsi="Book Antiqua" w:eastAsia="Book Antiqua" w:cs="Book Antiqua"/>
          <w:color w:val="000000"/>
        </w:rPr>
        <w:t>: 633-638 [PMID: 15587757 DOI: 10.1177/147323000403200608]</w:t>
      </w:r>
    </w:p>
    <w:p>
      <w:pPr>
        <w:autoSpaceDE w:val="0"/>
        <w:autoSpaceDN w:val="0"/>
        <w:adjustRightInd w:val="0"/>
        <w:snapToGrid w:val="0"/>
        <w:spacing w:line="360" w:lineRule="auto"/>
        <w:jc w:val="both"/>
        <w:rPr>
          <w:rFonts w:ascii="Book Antiqua" w:hAnsi="Book Antiqua" w:cs="MyriadPro-Regular"/>
          <w:lang w:eastAsia="bg-BG"/>
        </w:rPr>
      </w:pPr>
      <w:r>
        <w:rPr>
          <w:rFonts w:ascii="Book Antiqua" w:hAnsi="Book Antiqua" w:eastAsia="Book Antiqua" w:cs="Book Antiqua"/>
          <w:color w:val="000000"/>
        </w:rPr>
        <w:br w:type="page"/>
      </w:r>
      <w:r>
        <w:rPr>
          <w:rFonts w:ascii="Book Antiqua" w:hAnsi="Book Antiqua"/>
          <w:b/>
          <w:bCs/>
        </w:rPr>
        <w:t>Footnotes</w:t>
      </w:r>
    </w:p>
    <w:p>
      <w:pPr>
        <w:snapToGrid w:val="0"/>
        <w:spacing w:line="360" w:lineRule="auto"/>
        <w:jc w:val="both"/>
        <w:rPr>
          <w:rFonts w:ascii="Book Antiqua" w:hAnsi="Book Antiqua"/>
          <w:bCs/>
        </w:rPr>
      </w:pPr>
      <w:r>
        <w:rPr>
          <w:rFonts w:ascii="Book Antiqua" w:hAnsi="Book Antiqua"/>
          <w:b/>
          <w:bCs/>
        </w:rPr>
        <w:t xml:space="preserve">Informed consent statement: </w:t>
      </w:r>
      <w:r>
        <w:rPr>
          <w:rFonts w:ascii="Book Antiqua" w:hAnsi="Book Antiqua"/>
          <w:bCs/>
        </w:rPr>
        <w:t>The authors declare that the person involved in the case report gave his informed consent to be involved in the study. The informed consent has been provided to the publisher.</w:t>
      </w:r>
    </w:p>
    <w:p>
      <w:pPr>
        <w:pStyle w:val="35"/>
        <w:snapToGrid w:val="0"/>
        <w:spacing w:line="360" w:lineRule="auto"/>
        <w:jc w:val="both"/>
        <w:rPr>
          <w:rFonts w:cs="Times New Roman"/>
          <w:b/>
          <w:bCs/>
          <w:color w:val="auto"/>
        </w:rPr>
      </w:pPr>
    </w:p>
    <w:p>
      <w:pPr>
        <w:pStyle w:val="37"/>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eastAsia="Book Antiqua" w:cs="Book Antiqua"/>
          <w:color w:val="auto"/>
          <w:sz w:val="24"/>
          <w:szCs w:val="24"/>
          <w:u w:color="333333"/>
          <w:shd w:val="clear" w:color="auto" w:fill="FFFFFF"/>
        </w:rPr>
      </w:pPr>
      <w:r>
        <w:rPr>
          <w:rFonts w:ascii="Book Antiqua" w:hAnsi="Book Antiqua"/>
          <w:b/>
          <w:bCs/>
          <w:color w:val="auto"/>
          <w:sz w:val="24"/>
          <w:szCs w:val="24"/>
          <w:u w:color="333333"/>
          <w:shd w:val="clear" w:color="auto" w:fill="FFFFFF"/>
        </w:rPr>
        <w:t>Conflict-of-interest statement:</w:t>
      </w:r>
      <w:r>
        <w:rPr>
          <w:rFonts w:ascii="Book Antiqua" w:hAnsi="Book Antiqua"/>
          <w:color w:val="auto"/>
          <w:sz w:val="24"/>
          <w:szCs w:val="24"/>
          <w:u w:color="333333"/>
          <w:shd w:val="clear" w:color="auto" w:fill="FFFFFF"/>
        </w:rPr>
        <w:t xml:space="preserve"> </w:t>
      </w:r>
      <w:r>
        <w:rPr>
          <w:rFonts w:ascii="Book Antiqua" w:hAnsi="Book Antiqua" w:eastAsia="Times New Roman"/>
          <w:color w:val="auto"/>
          <w:sz w:val="24"/>
          <w:szCs w:val="24"/>
        </w:rPr>
        <w:t>The authors declare that there are no conflicts of interest associated with this work</w:t>
      </w:r>
      <w:r>
        <w:rPr>
          <w:rFonts w:ascii="Book Antiqua" w:hAnsi="Book Antiqua"/>
          <w:color w:val="auto"/>
          <w:sz w:val="24"/>
          <w:szCs w:val="24"/>
          <w:u w:color="333333"/>
          <w:shd w:val="clear" w:color="auto" w:fill="FFFFFF"/>
        </w:rPr>
        <w:t>.</w:t>
      </w:r>
    </w:p>
    <w:p>
      <w:pPr>
        <w:snapToGrid w:val="0"/>
        <w:spacing w:line="360" w:lineRule="auto"/>
        <w:jc w:val="both"/>
        <w:rPr>
          <w:rFonts w:ascii="Book Antiqua" w:hAnsi="Book Antiqua"/>
          <w:b/>
          <w:bCs/>
        </w:rPr>
      </w:pPr>
    </w:p>
    <w:p>
      <w:pPr>
        <w:snapToGrid w:val="0"/>
        <w:spacing w:line="360" w:lineRule="auto"/>
        <w:jc w:val="both"/>
        <w:rPr>
          <w:rFonts w:ascii="Book Antiqua" w:hAnsi="Book Antiqua"/>
          <w:b/>
        </w:rPr>
      </w:pPr>
      <w:r>
        <w:rPr>
          <w:rFonts w:ascii="Book Antiqua" w:hAnsi="Book Antiqua"/>
          <w:b/>
        </w:rPr>
        <w:t>CARE Checklist (2016) statement:</w:t>
      </w:r>
      <w:r>
        <w:rPr>
          <w:rFonts w:ascii="Book Antiqua" w:hAnsi="Book Antiqua"/>
          <w:bCs/>
        </w:rPr>
        <w:t xml:space="preserve"> </w:t>
      </w:r>
      <w:r>
        <w:rPr>
          <w:rFonts w:ascii="Book Antiqua" w:hAnsi="Book Antiqua"/>
          <w:color w:val="000000"/>
          <w:spacing w:val="-2"/>
        </w:rPr>
        <w:t>The authors have read the CARE Checklist (2016), and the manuscript was prepared and revised according to the CARE Checklist (2016).</w:t>
      </w:r>
    </w:p>
    <w:p>
      <w:pPr>
        <w:snapToGrid w:val="0"/>
        <w:spacing w:line="360" w:lineRule="auto"/>
        <w:jc w:val="both"/>
        <w:rPr>
          <w:rFonts w:ascii="Book Antiqua" w:hAnsi="Book Antiqua"/>
          <w:bCs/>
        </w:rPr>
      </w:pPr>
    </w:p>
    <w:p>
      <w:pPr>
        <w:snapToGrid w:val="0"/>
        <w:spacing w:line="360" w:lineRule="auto"/>
        <w:jc w:val="both"/>
        <w:rPr>
          <w:rFonts w:ascii="Book Antiqua" w:hAnsi="Book Antiqua"/>
        </w:rPr>
      </w:pPr>
      <w:bookmarkStart w:id="0" w:name="OLE_LINK496"/>
      <w:bookmarkStart w:id="1" w:name="OLE_LINK506"/>
      <w:bookmarkStart w:id="2" w:name="OLE_LINK479"/>
      <w:bookmarkStart w:id="3" w:name="OLE_LINK507"/>
      <w:r>
        <w:rPr>
          <w:rFonts w:ascii="Book Antiqua" w:hAnsi="Book Antiqua"/>
          <w:b/>
          <w:color w:val="000000"/>
        </w:rPr>
        <w:t xml:space="preserve">Open-Access: </w:t>
      </w:r>
      <w:bookmarkEnd w:id="0"/>
      <w:bookmarkEnd w:id="1"/>
      <w:bookmarkEnd w:id="2"/>
      <w:bookmarkEnd w:id="3"/>
      <w:r>
        <w:rPr>
          <w:rFonts w:ascii="Book Antiqua" w:hAnsi="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fldChar w:fldCharType="begin"/>
      </w:r>
      <w:r>
        <w:instrText xml:space="preserve"> HYPERLINK "http://creativecommons.org/licenses/by-nc/4.0/" </w:instrText>
      </w:r>
      <w:r>
        <w:fldChar w:fldCharType="separate"/>
      </w:r>
      <w:r>
        <w:rPr>
          <w:rStyle w:val="13"/>
          <w:rFonts w:ascii="Book Antiqua" w:hAnsi="Book Antiqua"/>
          <w:color w:val="auto"/>
          <w:u w:val="none"/>
        </w:rPr>
        <w:t>http://creativecommons.org/licenses/by-nc/4.0/</w:t>
      </w:r>
      <w:r>
        <w:rPr>
          <w:rStyle w:val="13"/>
          <w:rFonts w:ascii="Book Antiqua" w:hAnsi="Book Antiqua"/>
          <w:color w:val="auto"/>
          <w:u w:val="none"/>
        </w:rPr>
        <w:fldChar w:fldCharType="end"/>
      </w:r>
    </w:p>
    <w:p>
      <w:pPr>
        <w:snapToGrid w:val="0"/>
        <w:spacing w:line="360" w:lineRule="auto"/>
        <w:jc w:val="both"/>
        <w:rPr>
          <w:rFonts w:ascii="Book Antiqua" w:hAnsi="Book Antiqua"/>
          <w:bCs/>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pStyle w:val="37"/>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eastAsia="Book Antiqua" w:cs="Book Antiqua"/>
          <w:b/>
          <w:color w:val="auto"/>
          <w:sz w:val="24"/>
          <w:szCs w:val="24"/>
        </w:rPr>
      </w:pPr>
    </w:p>
    <w:p>
      <w:pPr>
        <w:pStyle w:val="37"/>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eastAsia="Book Antiqua" w:cs="Book Antiqua"/>
          <w:bCs/>
          <w:color w:val="auto"/>
          <w:sz w:val="24"/>
          <w:szCs w:val="24"/>
        </w:rPr>
      </w:pPr>
      <w:r>
        <w:rPr>
          <w:rFonts w:ascii="Book Antiqua" w:hAnsi="Book Antiqua" w:eastAsia="Book Antiqua" w:cs="Book Antiqua"/>
          <w:b/>
          <w:color w:val="auto"/>
          <w:sz w:val="24"/>
          <w:szCs w:val="24"/>
        </w:rPr>
        <w:t xml:space="preserve">Corresponding Author’s Membership in Professional Societies: </w:t>
      </w:r>
      <w:r>
        <w:rPr>
          <w:rFonts w:ascii="Book Antiqua" w:hAnsi="Book Antiqua"/>
          <w:sz w:val="24"/>
          <w:szCs w:val="24"/>
          <w:shd w:val="clear" w:color="auto" w:fill="FFFFFF"/>
        </w:rPr>
        <w:t>Bulgarian Association of Ultrasound in Medicine; Bulgarian Society of Gastroenterology</w:t>
      </w:r>
      <w:r>
        <w:rPr>
          <w:rFonts w:ascii="Book Antiqua" w:hAnsi="Book Antiqua" w:eastAsia="Book Antiqua" w:cs="Book Antiqua"/>
          <w:bCs/>
          <w:color w:val="auto"/>
          <w:sz w:val="24"/>
          <w:szCs w:val="24"/>
        </w:rPr>
        <w:t>.</w:t>
      </w:r>
    </w:p>
    <w:p>
      <w:pPr>
        <w:snapToGrid w:val="0"/>
        <w:spacing w:line="360" w:lineRule="auto"/>
        <w:jc w:val="both"/>
        <w:rPr>
          <w:rFonts w:ascii="Book Antiqua" w:hAnsi="Book Antiqua"/>
          <w:b/>
          <w:bCs/>
        </w:rPr>
      </w:pPr>
    </w:p>
    <w:p>
      <w:pPr>
        <w:snapToGrid w:val="0"/>
        <w:spacing w:line="360" w:lineRule="auto"/>
        <w:jc w:val="both"/>
        <w:rPr>
          <w:rFonts w:ascii="Book Antiqua" w:hAnsi="Book Antiqua"/>
          <w:b/>
        </w:rPr>
      </w:pPr>
      <w:r>
        <w:rPr>
          <w:rFonts w:ascii="Book Antiqua" w:hAnsi="Book Antiqua"/>
          <w:b/>
        </w:rPr>
        <w:t xml:space="preserve">Peer-review started: </w:t>
      </w:r>
      <w:r>
        <w:rPr>
          <w:rFonts w:ascii="Book Antiqua" w:hAnsi="Book Antiqua" w:eastAsia="Book Antiqua" w:cs="Book Antiqua"/>
          <w:color w:val="000000"/>
        </w:rPr>
        <w:t>April 2, 2022</w:t>
      </w:r>
    </w:p>
    <w:p>
      <w:pPr>
        <w:snapToGrid w:val="0"/>
        <w:spacing w:line="360" w:lineRule="auto"/>
        <w:jc w:val="both"/>
        <w:rPr>
          <w:rFonts w:ascii="Book Antiqua" w:hAnsi="Book Antiqua"/>
          <w:b/>
        </w:rPr>
      </w:pPr>
      <w:r>
        <w:rPr>
          <w:rFonts w:ascii="Book Antiqua" w:hAnsi="Book Antiqua"/>
          <w:b/>
        </w:rPr>
        <w:t xml:space="preserve">First decision: </w:t>
      </w:r>
      <w:r>
        <w:rPr>
          <w:rFonts w:ascii="Book Antiqua" w:hAnsi="Book Antiqua" w:eastAsia="Book Antiqua" w:cs="Book Antiqua"/>
          <w:color w:val="000000"/>
        </w:rPr>
        <w:t>May 31, 2022</w:t>
      </w:r>
    </w:p>
    <w:p>
      <w:pPr>
        <w:snapToGrid w:val="0"/>
        <w:spacing w:line="360" w:lineRule="auto"/>
        <w:jc w:val="both"/>
        <w:rPr>
          <w:rFonts w:ascii="Book Antiqua" w:hAnsi="Book Antiqua"/>
          <w:b/>
        </w:rPr>
      </w:pPr>
      <w:r>
        <w:rPr>
          <w:rFonts w:ascii="Book Antiqua" w:hAnsi="Book Antiqua"/>
          <w:b/>
        </w:rPr>
        <w:t>Article in press:</w:t>
      </w:r>
      <w:r>
        <w:t xml:space="preserve"> </w:t>
      </w:r>
      <w:r>
        <w:rPr>
          <w:rFonts w:ascii="Book Antiqua" w:hAnsi="Book Antiqua"/>
          <w:color w:val="000000"/>
        </w:rPr>
        <w:t>August 1, 2022</w:t>
      </w:r>
    </w:p>
    <w:p>
      <w:pPr>
        <w:snapToGrid w:val="0"/>
        <w:spacing w:line="360" w:lineRule="auto"/>
        <w:jc w:val="both"/>
        <w:rPr>
          <w:rFonts w:ascii="Book Antiqua" w:hAnsi="Book Antiqua" w:cs="Arial"/>
          <w:b/>
          <w:bCs/>
          <w:color w:val="2B2B2B"/>
          <w:shd w:val="clear" w:color="auto" w:fill="FAFAFA"/>
        </w:rPr>
      </w:pPr>
    </w:p>
    <w:p>
      <w:pPr>
        <w:spacing w:line="360" w:lineRule="auto"/>
        <w:jc w:val="both"/>
      </w:pPr>
      <w:r>
        <w:rPr>
          <w:rFonts w:ascii="Book Antiqua" w:hAnsi="Book Antiqua" w:cs="Helvetica"/>
          <w:b/>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cs="Helvetica"/>
          <w:b/>
        </w:rPr>
        <w:t>Country</w:t>
      </w:r>
      <w:r>
        <w:rPr>
          <w:rFonts w:ascii="Book Antiqua" w:hAnsi="Book Antiqua" w:eastAsia="Book Antiqua" w:cs="Book Antiqua"/>
          <w:b/>
          <w:color w:val="000000"/>
        </w:rPr>
        <w:t>/Territory</w:t>
      </w:r>
      <w:r>
        <w:rPr>
          <w:rFonts w:ascii="Book Antiqua" w:hAnsi="Book Antiqua" w:cs="Helvetica"/>
          <w:b/>
        </w:rPr>
        <w:t xml:space="preserve"> of origin:</w:t>
      </w:r>
      <w:r>
        <w:rPr>
          <w:rFonts w:ascii="Book Antiqua" w:hAnsi="Book Antiqua" w:cs="Helvetica"/>
        </w:rPr>
        <w:t xml:space="preserve"> </w:t>
      </w:r>
      <w:r>
        <w:rPr>
          <w:rFonts w:ascii="Book Antiqua" w:hAnsi="Book Antiqua" w:eastAsia="Book Antiqua" w:cs="Book Antiqua"/>
          <w:color w:val="000000"/>
        </w:rPr>
        <w:t>Bulgaria</w:t>
      </w:r>
    </w:p>
    <w:p>
      <w:pPr>
        <w:shd w:val="clear" w:color="auto" w:fill="FFFFFF"/>
        <w:snapToGrid w:val="0"/>
        <w:spacing w:line="360" w:lineRule="auto"/>
        <w:jc w:val="both"/>
        <w:rPr>
          <w:rFonts w:ascii="Book Antiqua" w:hAnsi="Book Antiqua" w:cs="Helvetica"/>
          <w:b/>
        </w:rPr>
      </w:pPr>
      <w:r>
        <w:rPr>
          <w:rFonts w:ascii="Book Antiqua" w:hAnsi="Book Antiqua" w:cs="Helvetica"/>
          <w:b/>
        </w:rPr>
        <w:t xml:space="preserve">Peer-review </w:t>
      </w:r>
      <w:r>
        <w:rPr>
          <w:rFonts w:ascii="Book Antiqua" w:hAnsi="Book Antiqua" w:eastAsia="Book Antiqua" w:cs="Book Antiqua"/>
          <w:b/>
          <w:color w:val="000000"/>
        </w:rPr>
        <w:t>report’s scientific quality</w:t>
      </w:r>
      <w:r>
        <w:rPr>
          <w:rFonts w:ascii="Book Antiqua" w:hAnsi="Book Antiqua"/>
          <w:b/>
          <w:color w:val="000000"/>
        </w:rPr>
        <w:t xml:space="preserve"> </w:t>
      </w:r>
      <w:r>
        <w:rPr>
          <w:rFonts w:ascii="Book Antiqua" w:hAnsi="Book Antiqua" w:cs="Helvetica"/>
          <w:b/>
        </w:rPr>
        <w:t>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napToGrid w:val="0"/>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Bezabih YS; Chen C,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Ma YJ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P-Editor:</w:t>
      </w:r>
      <w:r>
        <w:rPr>
          <w:rFonts w:ascii="Book Antiqua" w:hAnsi="Book Antiqua" w:eastAsia="Book Antiqua" w:cs="Book Antiqua"/>
          <w:bCs/>
          <w:color w:val="000000"/>
        </w:rPr>
        <w:t xml:space="preserve"> Ma YJ</w:t>
      </w:r>
      <w:r>
        <w:rPr>
          <w:rFonts w:ascii="Book Antiqua" w:hAnsi="Book Antiqua" w:eastAsia="Book Antiqua" w:cs="Book Antiqua"/>
          <w:b/>
          <w:color w:val="000000"/>
        </w:rPr>
        <w:t xml:space="preserve"> </w:t>
      </w:r>
    </w:p>
    <w:p>
      <w:pPr>
        <w:rPr>
          <w:rFonts w:ascii="Book Antiqua" w:hAnsi="Book Antiqua"/>
          <w:b/>
          <w:bCs/>
        </w:rPr>
      </w:pPr>
      <w:r>
        <w:rPr>
          <w:rFonts w:ascii="Book Antiqua" w:hAnsi="Book Antiqua"/>
          <w:b/>
          <w:bCs/>
        </w:rPr>
        <w:br w:type="page"/>
      </w:r>
    </w:p>
    <w:p>
      <w:pPr>
        <w:snapToGrid w:val="0"/>
        <w:spacing w:line="360" w:lineRule="auto"/>
        <w:jc w:val="both"/>
        <w:rPr>
          <w:rFonts w:ascii="Book Antiqua" w:hAnsi="Book Antiqua" w:cs="BookAntiqua"/>
        </w:rPr>
      </w:pPr>
      <w:r>
        <w:rPr>
          <w:rFonts w:ascii="Book Antiqua" w:hAnsi="Book Antiqua"/>
          <w:b/>
          <w:bCs/>
        </w:rPr>
        <w:t>Figure Legends</w:t>
      </w:r>
    </w:p>
    <w:p>
      <w:pPr>
        <w:snapToGrid w:val="0"/>
        <w:spacing w:line="360" w:lineRule="auto"/>
        <w:jc w:val="both"/>
        <w:rPr>
          <w:rFonts w:hint="eastAsia" w:ascii="Book Antiqua" w:hAnsi="Book Antiqua" w:eastAsia="宋体"/>
          <w:b/>
          <w:bCs/>
          <w:lang w:eastAsia="zh-CN"/>
        </w:rPr>
      </w:pPr>
      <w:r>
        <w:rPr>
          <w:rFonts w:hint="eastAsia" w:ascii="Book Antiqua" w:hAnsi="Book Antiqua" w:eastAsia="宋体"/>
          <w:b/>
          <w:bCs/>
          <w:lang w:eastAsia="zh-CN"/>
        </w:rPr>
        <w:drawing>
          <wp:inline distT="0" distB="0" distL="114300" distR="114300">
            <wp:extent cx="4502150" cy="3376930"/>
            <wp:effectExtent l="0" t="0" r="8890" b="6350"/>
            <wp:docPr id="2" name="图片 2" descr="WJCC-10-908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9087-g001"/>
                    <pic:cNvPicPr>
                      <a:picLocks noChangeAspect="1"/>
                    </pic:cNvPicPr>
                  </pic:nvPicPr>
                  <pic:blipFill>
                    <a:blip r:embed="rId6"/>
                    <a:stretch>
                      <a:fillRect/>
                    </a:stretch>
                  </pic:blipFill>
                  <pic:spPr>
                    <a:xfrm>
                      <a:off x="0" y="0"/>
                      <a:ext cx="4502150" cy="3376930"/>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b/>
          <w:bCs/>
        </w:rPr>
        <w:t xml:space="preserve">Figure 1 Imaging findings of the patient’s kidney tumor. </w:t>
      </w:r>
      <w:r>
        <w:rPr>
          <w:rFonts w:ascii="Book Antiqua" w:hAnsi="Book Antiqua"/>
        </w:rPr>
        <w:t>A and B: Representative abdominal ultrasound images showing the liver and right kidney with tumor formation; C: Image from the contrast-enhanced computed tomography of the patient showing right kidney with tumor formation and tumor involvement of the vena cava inferior (arrow).</w:t>
      </w:r>
    </w:p>
    <w:p>
      <w:pPr>
        <w:snapToGrid w:val="0"/>
        <w:spacing w:line="360" w:lineRule="auto"/>
        <w:ind w:left="720"/>
        <w:jc w:val="both"/>
        <w:rPr>
          <w:rFonts w:ascii="Book Antiqua" w:hAnsi="Book Antiqua"/>
        </w:rPr>
      </w:pPr>
    </w:p>
    <w:p>
      <w:pPr>
        <w:snapToGrid w:val="0"/>
        <w:spacing w:line="360" w:lineRule="auto"/>
        <w:jc w:val="both"/>
        <w:rPr>
          <w:rFonts w:hint="eastAsia" w:ascii="Book Antiqua" w:hAnsi="Book Antiqua" w:eastAsia="宋体"/>
          <w:b/>
          <w:bCs/>
          <w:lang w:eastAsia="zh-CN"/>
        </w:rPr>
      </w:pPr>
      <w:r>
        <w:rPr>
          <w:rFonts w:hint="eastAsia" w:ascii="Book Antiqua" w:hAnsi="Book Antiqua" w:eastAsia="宋体"/>
          <w:b/>
          <w:bCs/>
          <w:lang w:eastAsia="zh-CN"/>
        </w:rPr>
        <w:drawing>
          <wp:inline distT="0" distB="0" distL="114300" distR="114300">
            <wp:extent cx="2907665" cy="2221865"/>
            <wp:effectExtent l="0" t="0" r="3175" b="3175"/>
            <wp:docPr id="3" name="图片 3" descr="WJCC-10-908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9087-g002"/>
                    <pic:cNvPicPr>
                      <a:picLocks noChangeAspect="1"/>
                    </pic:cNvPicPr>
                  </pic:nvPicPr>
                  <pic:blipFill>
                    <a:blip r:embed="rId7"/>
                    <a:stretch>
                      <a:fillRect/>
                    </a:stretch>
                  </pic:blipFill>
                  <pic:spPr>
                    <a:xfrm>
                      <a:off x="0" y="0"/>
                      <a:ext cx="2907665" cy="2221865"/>
                    </a:xfrm>
                    <a:prstGeom prst="rect">
                      <a:avLst/>
                    </a:prstGeom>
                  </pic:spPr>
                </pic:pic>
              </a:graphicData>
            </a:graphic>
          </wp:inline>
        </w:drawing>
      </w:r>
    </w:p>
    <w:p>
      <w:pPr>
        <w:snapToGrid w:val="0"/>
        <w:spacing w:line="360" w:lineRule="auto"/>
        <w:jc w:val="both"/>
        <w:rPr>
          <w:rFonts w:ascii="Book Antiqua" w:hAnsi="Book Antiqua"/>
          <w:lang w:eastAsia="bg-BG"/>
        </w:rPr>
      </w:pPr>
      <w:r>
        <w:rPr>
          <w:rFonts w:ascii="Book Antiqua" w:hAnsi="Book Antiqua"/>
          <w:b/>
          <w:bCs/>
        </w:rPr>
        <w:t xml:space="preserve">Figure 2 Histology findings of the patient’s kidney tumor. </w:t>
      </w:r>
      <w:r>
        <w:rPr>
          <w:rFonts w:ascii="Book Antiqua" w:hAnsi="Book Antiqua"/>
        </w:rPr>
        <w:t>Clear cell renal cell carcinoma was observed, of Grade 2 (World Health Organization/International Society of Urological Pathology) and with focal areas of necrosis. Hematoxylin and eosin stain, 100 × magnification.</w:t>
      </w:r>
      <w:bookmarkStart w:id="4" w:name="_GoBack"/>
      <w:bookmarkEnd w:id="4"/>
    </w:p>
    <w:p>
      <w:pPr>
        <w:snapToGrid w:val="0"/>
        <w:spacing w:line="360" w:lineRule="auto"/>
        <w:jc w:val="both"/>
        <w:rPr>
          <w:rFonts w:hint="eastAsia" w:ascii="Book Antiqua" w:hAnsi="Book Antiqua" w:eastAsia="宋体"/>
          <w:b/>
          <w:bCs/>
          <w:lang w:eastAsia="zh-CN"/>
        </w:rPr>
      </w:pPr>
      <w:r>
        <w:rPr>
          <w:rFonts w:hint="eastAsia" w:ascii="Book Antiqua" w:hAnsi="Book Antiqua" w:eastAsia="宋体"/>
          <w:b/>
          <w:bCs/>
          <w:lang w:eastAsia="zh-CN"/>
        </w:rPr>
        <w:drawing>
          <wp:inline distT="0" distB="0" distL="114300" distR="114300">
            <wp:extent cx="5728970" cy="4305935"/>
            <wp:effectExtent l="0" t="0" r="1270" b="6985"/>
            <wp:docPr id="4" name="图片 4" descr="WJCC-10-908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087-g003"/>
                    <pic:cNvPicPr>
                      <a:picLocks noChangeAspect="1"/>
                    </pic:cNvPicPr>
                  </pic:nvPicPr>
                  <pic:blipFill>
                    <a:blip r:embed="rId8"/>
                    <a:stretch>
                      <a:fillRect/>
                    </a:stretch>
                  </pic:blipFill>
                  <pic:spPr>
                    <a:xfrm>
                      <a:off x="0" y="0"/>
                      <a:ext cx="5728970" cy="4305935"/>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b/>
          <w:bCs/>
        </w:rPr>
        <w:t xml:space="preserve">Figure 3 Dynamics of key laboratory parameters. </w:t>
      </w:r>
      <w:r>
        <w:rPr>
          <w:rFonts w:ascii="Book Antiqua" w:hAnsi="Book Antiqua"/>
        </w:rPr>
        <w:t xml:space="preserve">A: Total bilirubin (Tb), direct bilirubin (Db) and interleukin (IL)-6; B: Aspartate aminotransferase (AST), alanine aminotransferase (ALT) and IL-6; C: </w:t>
      </w:r>
      <w:r>
        <w:rPr>
          <w:rFonts w:ascii="Book Antiqua" w:hAnsi="Book Antiqua" w:cs="BookAntiqua"/>
        </w:rPr>
        <w:t>Gamma-glutamyl transferase (GGT)</w:t>
      </w:r>
      <w:r>
        <w:rPr>
          <w:rFonts w:ascii="Book Antiqua" w:hAnsi="Book Antiqua"/>
        </w:rPr>
        <w:t xml:space="preserve">, alkaline phosphatase (AP) and IL-6. Values were indexed to 100 as of the first available date for Tb, Db, AST, ALT, GGT, AP, and IL-6. The date of the surgery was October 16, 2020, with the following dates denoted by a dotted vertical line on the chart. The graphs only show values measured at key events. </w:t>
      </w:r>
    </w:p>
    <w:p>
      <w:pPr>
        <w:snapToGrid w:val="0"/>
        <w:spacing w:line="360" w:lineRule="auto"/>
        <w:jc w:val="both"/>
        <w:rPr>
          <w:rFonts w:ascii="Book Antiqua" w:hAnsi="Book Antiqua"/>
          <w:b/>
          <w:bCs/>
        </w:rPr>
      </w:pPr>
    </w:p>
    <w:p>
      <w:pPr>
        <w:rPr>
          <w:rFonts w:ascii="Book Antiqua" w:hAnsi="Book Antiqua" w:eastAsia="Times New Roman" w:cs="Calibri"/>
          <w:b/>
          <w:bCs/>
        </w:rPr>
      </w:pPr>
      <w:r>
        <w:rPr>
          <w:rFonts w:ascii="Book Antiqua" w:hAnsi="Book Antiqua" w:eastAsia="Times New Roman" w:cs="Calibri"/>
          <w:b/>
          <w:bCs/>
        </w:rPr>
        <w:br w:type="page"/>
      </w:r>
    </w:p>
    <w:p>
      <w:pPr>
        <w:snapToGrid w:val="0"/>
        <w:spacing w:line="360" w:lineRule="auto"/>
        <w:jc w:val="both"/>
        <w:rPr>
          <w:rFonts w:ascii="Book Antiqua" w:hAnsi="Book Antiqua" w:eastAsia="Times New Roman" w:cs="Calibri"/>
          <w:b/>
          <w:bCs/>
        </w:rPr>
      </w:pPr>
      <w:r>
        <w:rPr>
          <w:rFonts w:ascii="Book Antiqua" w:hAnsi="Book Antiqua" w:eastAsia="Times New Roman" w:cs="Calibri"/>
          <w:b/>
          <w:bCs/>
        </w:rPr>
        <w:t>Table 1 Laboratory results prior to operation</w:t>
      </w:r>
    </w:p>
    <w:tbl>
      <w:tblPr>
        <w:tblStyle w:val="8"/>
        <w:tblW w:w="9198" w:type="dxa"/>
        <w:tblInd w:w="0" w:type="dxa"/>
        <w:tblLayout w:type="autofit"/>
        <w:tblCellMar>
          <w:top w:w="0" w:type="dxa"/>
          <w:left w:w="108" w:type="dxa"/>
          <w:bottom w:w="0" w:type="dxa"/>
          <w:right w:w="108" w:type="dxa"/>
        </w:tblCellMar>
      </w:tblPr>
      <w:tblGrid>
        <w:gridCol w:w="2628"/>
        <w:gridCol w:w="2250"/>
        <w:gridCol w:w="1980"/>
        <w:gridCol w:w="2340"/>
      </w:tblGrid>
      <w:tr>
        <w:tblPrEx>
          <w:tblCellMar>
            <w:top w:w="0" w:type="dxa"/>
            <w:left w:w="108" w:type="dxa"/>
            <w:bottom w:w="0" w:type="dxa"/>
            <w:right w:w="108" w:type="dxa"/>
          </w:tblCellMar>
        </w:tblPrEx>
        <w:trPr>
          <w:trHeight w:val="300" w:hRule="atLeast"/>
        </w:trPr>
        <w:tc>
          <w:tcPr>
            <w:tcW w:w="2628" w:type="dxa"/>
            <w:tcBorders>
              <w:top w:val="single" w:color="auto" w:sz="4" w:space="0"/>
              <w:left w:val="nil"/>
              <w:bottom w:val="single" w:color="auto" w:sz="4" w:space="0"/>
              <w:right w:val="nil"/>
            </w:tcBorders>
            <w:shd w:val="clear" w:color="auto" w:fill="auto"/>
            <w:vAlign w:val="center"/>
          </w:tcPr>
          <w:p>
            <w:pPr>
              <w:snapToGrid w:val="0"/>
              <w:spacing w:line="360" w:lineRule="auto"/>
              <w:jc w:val="both"/>
              <w:rPr>
                <w:rFonts w:ascii="Book Antiqua" w:hAnsi="Book Antiqua" w:eastAsia="Times New Roman" w:cs="Calibri"/>
                <w:b/>
                <w:bCs/>
                <w:color w:val="000000"/>
              </w:rPr>
            </w:pPr>
            <w:r>
              <w:rPr>
                <w:rFonts w:ascii="Book Antiqua" w:hAnsi="Book Antiqua" w:eastAsia="Times New Roman" w:cs="Calibri"/>
                <w:b/>
                <w:bCs/>
                <w:color w:val="000000"/>
              </w:rPr>
              <w:t>Parameters</w:t>
            </w:r>
          </w:p>
        </w:tc>
        <w:tc>
          <w:tcPr>
            <w:tcW w:w="2250" w:type="dxa"/>
            <w:tcBorders>
              <w:top w:val="single" w:color="auto" w:sz="4" w:space="0"/>
              <w:left w:val="nil"/>
              <w:bottom w:val="single" w:color="auto" w:sz="4" w:space="0"/>
              <w:right w:val="nil"/>
            </w:tcBorders>
            <w:shd w:val="clear" w:color="auto" w:fill="auto"/>
            <w:vAlign w:val="center"/>
          </w:tcPr>
          <w:p>
            <w:pPr>
              <w:snapToGrid w:val="0"/>
              <w:spacing w:line="360" w:lineRule="auto"/>
              <w:jc w:val="both"/>
              <w:rPr>
                <w:rFonts w:ascii="Book Antiqua" w:hAnsi="Book Antiqua" w:eastAsia="Times New Roman" w:cs="Calibri"/>
                <w:b/>
                <w:bCs/>
                <w:color w:val="000000"/>
              </w:rPr>
            </w:pPr>
            <w:r>
              <w:rPr>
                <w:rFonts w:ascii="Book Antiqua" w:hAnsi="Book Antiqua" w:eastAsia="Times New Roman" w:cs="Calibri"/>
                <w:b/>
                <w:bCs/>
                <w:color w:val="000000"/>
              </w:rPr>
              <w:t>September 4, 2020</w:t>
            </w:r>
          </w:p>
        </w:tc>
        <w:tc>
          <w:tcPr>
            <w:tcW w:w="1980" w:type="dxa"/>
            <w:tcBorders>
              <w:top w:val="single" w:color="auto" w:sz="4" w:space="0"/>
              <w:left w:val="nil"/>
              <w:bottom w:val="single" w:color="auto" w:sz="4" w:space="0"/>
              <w:right w:val="nil"/>
            </w:tcBorders>
            <w:shd w:val="clear" w:color="auto" w:fill="auto"/>
            <w:vAlign w:val="center"/>
          </w:tcPr>
          <w:p>
            <w:pPr>
              <w:snapToGrid w:val="0"/>
              <w:spacing w:line="360" w:lineRule="auto"/>
              <w:jc w:val="both"/>
              <w:rPr>
                <w:rFonts w:ascii="Book Antiqua" w:hAnsi="Book Antiqua" w:eastAsia="Times New Roman" w:cs="Calibri"/>
                <w:b/>
                <w:bCs/>
                <w:color w:val="000000"/>
              </w:rPr>
            </w:pPr>
            <w:r>
              <w:rPr>
                <w:rFonts w:ascii="Book Antiqua" w:hAnsi="Book Antiqua" w:eastAsia="Times New Roman" w:cs="Calibri"/>
                <w:b/>
                <w:bCs/>
                <w:color w:val="000000"/>
              </w:rPr>
              <w:t>October 1, 2020</w:t>
            </w:r>
          </w:p>
        </w:tc>
        <w:tc>
          <w:tcPr>
            <w:tcW w:w="2340" w:type="dxa"/>
            <w:tcBorders>
              <w:top w:val="single" w:color="auto" w:sz="4" w:space="0"/>
              <w:left w:val="nil"/>
              <w:bottom w:val="single" w:color="auto" w:sz="4" w:space="0"/>
              <w:right w:val="nil"/>
            </w:tcBorders>
            <w:shd w:val="clear" w:color="auto" w:fill="auto"/>
            <w:vAlign w:val="center"/>
          </w:tcPr>
          <w:p>
            <w:pPr>
              <w:snapToGrid w:val="0"/>
              <w:spacing w:line="360" w:lineRule="auto"/>
              <w:jc w:val="both"/>
              <w:rPr>
                <w:rFonts w:ascii="Book Antiqua" w:hAnsi="Book Antiqua" w:eastAsia="Times New Roman" w:cs="Calibri"/>
                <w:b/>
                <w:bCs/>
                <w:color w:val="000000"/>
              </w:rPr>
            </w:pPr>
            <w:r>
              <w:rPr>
                <w:rFonts w:ascii="Book Antiqua" w:hAnsi="Book Antiqua" w:eastAsia="Times New Roman" w:cs="Calibri"/>
                <w:b/>
                <w:bCs/>
                <w:color w:val="000000"/>
              </w:rPr>
              <w:t>October 12, 2020</w:t>
            </w:r>
          </w:p>
        </w:tc>
      </w:tr>
      <w:tr>
        <w:tblPrEx>
          <w:tblCellMar>
            <w:top w:w="0" w:type="dxa"/>
            <w:left w:w="108" w:type="dxa"/>
            <w:bottom w:w="0" w:type="dxa"/>
            <w:right w:w="108" w:type="dxa"/>
          </w:tblCellMar>
        </w:tblPrEx>
        <w:trPr>
          <w:trHeight w:val="300" w:hRule="atLeast"/>
        </w:trPr>
        <w:tc>
          <w:tcPr>
            <w:tcW w:w="2628"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Tbil/Dbil</w:t>
            </w:r>
            <w:r>
              <w:rPr>
                <w:rFonts w:ascii="Book Antiqua" w:hAnsi="Book Antiqua"/>
              </w:rPr>
              <w:t xml:space="preserve"> in </w:t>
            </w:r>
            <w:r>
              <w:rPr>
                <w:rFonts w:ascii="Book Antiqua" w:hAnsi="Book Antiqua" w:eastAsia="Times New Roman" w:cs="Calibri"/>
                <w:bCs/>
                <w:color w:val="000000"/>
              </w:rPr>
              <w:t>µmol/L</w:t>
            </w:r>
          </w:p>
        </w:tc>
        <w:tc>
          <w:tcPr>
            <w:tcW w:w="225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289/ 160</w:t>
            </w:r>
          </w:p>
        </w:tc>
        <w:tc>
          <w:tcPr>
            <w:tcW w:w="198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381/ 210</w:t>
            </w:r>
          </w:p>
        </w:tc>
        <w:tc>
          <w:tcPr>
            <w:tcW w:w="234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467/ 291</w:t>
            </w:r>
          </w:p>
        </w:tc>
      </w:tr>
      <w:tr>
        <w:tblPrEx>
          <w:tblCellMar>
            <w:top w:w="0" w:type="dxa"/>
            <w:left w:w="108" w:type="dxa"/>
            <w:bottom w:w="0" w:type="dxa"/>
            <w:right w:w="108" w:type="dxa"/>
          </w:tblCellMar>
        </w:tblPrEx>
        <w:trPr>
          <w:trHeight w:val="300" w:hRule="atLeast"/>
        </w:trPr>
        <w:tc>
          <w:tcPr>
            <w:tcW w:w="2628"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AST in U/L</w:t>
            </w:r>
          </w:p>
        </w:tc>
        <w:tc>
          <w:tcPr>
            <w:tcW w:w="225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125</w:t>
            </w:r>
          </w:p>
        </w:tc>
        <w:tc>
          <w:tcPr>
            <w:tcW w:w="198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232</w:t>
            </w:r>
          </w:p>
        </w:tc>
        <w:tc>
          <w:tcPr>
            <w:tcW w:w="234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225</w:t>
            </w:r>
          </w:p>
        </w:tc>
      </w:tr>
      <w:tr>
        <w:tblPrEx>
          <w:tblCellMar>
            <w:top w:w="0" w:type="dxa"/>
            <w:left w:w="108" w:type="dxa"/>
            <w:bottom w:w="0" w:type="dxa"/>
            <w:right w:w="108" w:type="dxa"/>
          </w:tblCellMar>
        </w:tblPrEx>
        <w:trPr>
          <w:trHeight w:val="300" w:hRule="atLeast"/>
        </w:trPr>
        <w:tc>
          <w:tcPr>
            <w:tcW w:w="2628"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ALT in U/L</w:t>
            </w:r>
          </w:p>
        </w:tc>
        <w:tc>
          <w:tcPr>
            <w:tcW w:w="225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225</w:t>
            </w:r>
          </w:p>
        </w:tc>
        <w:tc>
          <w:tcPr>
            <w:tcW w:w="198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228</w:t>
            </w:r>
          </w:p>
        </w:tc>
        <w:tc>
          <w:tcPr>
            <w:tcW w:w="234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199</w:t>
            </w:r>
          </w:p>
        </w:tc>
      </w:tr>
      <w:tr>
        <w:tblPrEx>
          <w:tblCellMar>
            <w:top w:w="0" w:type="dxa"/>
            <w:left w:w="108" w:type="dxa"/>
            <w:bottom w:w="0" w:type="dxa"/>
            <w:right w:w="108" w:type="dxa"/>
          </w:tblCellMar>
        </w:tblPrEx>
        <w:trPr>
          <w:trHeight w:val="300" w:hRule="atLeast"/>
        </w:trPr>
        <w:tc>
          <w:tcPr>
            <w:tcW w:w="2628"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GGT in U/L</w:t>
            </w:r>
          </w:p>
        </w:tc>
        <w:tc>
          <w:tcPr>
            <w:tcW w:w="225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566</w:t>
            </w:r>
          </w:p>
        </w:tc>
        <w:tc>
          <w:tcPr>
            <w:tcW w:w="198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476</w:t>
            </w:r>
          </w:p>
        </w:tc>
        <w:tc>
          <w:tcPr>
            <w:tcW w:w="234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1369</w:t>
            </w:r>
          </w:p>
        </w:tc>
      </w:tr>
      <w:tr>
        <w:tblPrEx>
          <w:tblCellMar>
            <w:top w:w="0" w:type="dxa"/>
            <w:left w:w="108" w:type="dxa"/>
            <w:bottom w:w="0" w:type="dxa"/>
            <w:right w:w="108" w:type="dxa"/>
          </w:tblCellMar>
        </w:tblPrEx>
        <w:trPr>
          <w:trHeight w:val="300" w:hRule="atLeast"/>
        </w:trPr>
        <w:tc>
          <w:tcPr>
            <w:tcW w:w="2628"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AP in U/L</w:t>
            </w:r>
          </w:p>
        </w:tc>
        <w:tc>
          <w:tcPr>
            <w:tcW w:w="225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304</w:t>
            </w:r>
          </w:p>
        </w:tc>
        <w:tc>
          <w:tcPr>
            <w:tcW w:w="198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299</w:t>
            </w:r>
          </w:p>
        </w:tc>
        <w:tc>
          <w:tcPr>
            <w:tcW w:w="234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508</w:t>
            </w:r>
          </w:p>
        </w:tc>
      </w:tr>
      <w:tr>
        <w:tblPrEx>
          <w:tblCellMar>
            <w:top w:w="0" w:type="dxa"/>
            <w:left w:w="108" w:type="dxa"/>
            <w:bottom w:w="0" w:type="dxa"/>
            <w:right w:w="108" w:type="dxa"/>
          </w:tblCellMar>
        </w:tblPrEx>
        <w:trPr>
          <w:trHeight w:val="300" w:hRule="atLeast"/>
        </w:trPr>
        <w:tc>
          <w:tcPr>
            <w:tcW w:w="2628"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CRP</w:t>
            </w:r>
            <w:r>
              <w:rPr>
                <w:rFonts w:ascii="Book Antiqua" w:hAnsi="Book Antiqua"/>
              </w:rPr>
              <w:t xml:space="preserve"> in </w:t>
            </w:r>
            <w:r>
              <w:rPr>
                <w:rFonts w:ascii="Book Antiqua" w:hAnsi="Book Antiqua" w:eastAsia="Times New Roman" w:cs="Calibri"/>
                <w:bCs/>
                <w:color w:val="000000"/>
              </w:rPr>
              <w:t>mg/L</w:t>
            </w:r>
          </w:p>
        </w:tc>
        <w:tc>
          <w:tcPr>
            <w:tcW w:w="225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17</w:t>
            </w:r>
          </w:p>
        </w:tc>
        <w:tc>
          <w:tcPr>
            <w:tcW w:w="198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240</w:t>
            </w:r>
          </w:p>
        </w:tc>
        <w:tc>
          <w:tcPr>
            <w:tcW w:w="234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21</w:t>
            </w:r>
          </w:p>
        </w:tc>
      </w:tr>
      <w:tr>
        <w:tblPrEx>
          <w:tblCellMar>
            <w:top w:w="0" w:type="dxa"/>
            <w:left w:w="108" w:type="dxa"/>
            <w:bottom w:w="0" w:type="dxa"/>
            <w:right w:w="108" w:type="dxa"/>
          </w:tblCellMar>
        </w:tblPrEx>
        <w:trPr>
          <w:trHeight w:val="300" w:hRule="atLeast"/>
        </w:trPr>
        <w:tc>
          <w:tcPr>
            <w:tcW w:w="2628"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Creat in µmol/L</w:t>
            </w:r>
          </w:p>
        </w:tc>
        <w:tc>
          <w:tcPr>
            <w:tcW w:w="225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130</w:t>
            </w:r>
          </w:p>
        </w:tc>
        <w:tc>
          <w:tcPr>
            <w:tcW w:w="198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126</w:t>
            </w:r>
          </w:p>
        </w:tc>
        <w:tc>
          <w:tcPr>
            <w:tcW w:w="2340" w:type="dxa"/>
            <w:tcBorders>
              <w:top w:val="nil"/>
              <w:left w:val="nil"/>
              <w:bottom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84</w:t>
            </w:r>
          </w:p>
        </w:tc>
      </w:tr>
      <w:tr>
        <w:tblPrEx>
          <w:tblCellMar>
            <w:top w:w="0" w:type="dxa"/>
            <w:left w:w="108" w:type="dxa"/>
            <w:bottom w:w="0" w:type="dxa"/>
            <w:right w:w="108" w:type="dxa"/>
          </w:tblCellMar>
        </w:tblPrEx>
        <w:trPr>
          <w:trHeight w:val="300" w:hRule="atLeast"/>
        </w:trPr>
        <w:tc>
          <w:tcPr>
            <w:tcW w:w="2628" w:type="dxa"/>
            <w:tcBorders>
              <w:top w:val="nil"/>
              <w:left w:val="nil"/>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Alb</w:t>
            </w:r>
            <w:r>
              <w:rPr>
                <w:rFonts w:ascii="Book Antiqua" w:hAnsi="Book Antiqua"/>
              </w:rPr>
              <w:t xml:space="preserve"> in </w:t>
            </w:r>
            <w:r>
              <w:rPr>
                <w:rFonts w:ascii="Book Antiqua" w:hAnsi="Book Antiqua" w:eastAsia="Times New Roman" w:cs="Calibri"/>
                <w:bCs/>
                <w:color w:val="000000"/>
              </w:rPr>
              <w:t>g/L</w:t>
            </w:r>
          </w:p>
        </w:tc>
        <w:tc>
          <w:tcPr>
            <w:tcW w:w="2250" w:type="dxa"/>
            <w:tcBorders>
              <w:top w:val="nil"/>
              <w:left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39</w:t>
            </w:r>
          </w:p>
        </w:tc>
        <w:tc>
          <w:tcPr>
            <w:tcW w:w="1980" w:type="dxa"/>
            <w:tcBorders>
              <w:top w:val="nil"/>
              <w:left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39</w:t>
            </w:r>
          </w:p>
        </w:tc>
        <w:tc>
          <w:tcPr>
            <w:tcW w:w="2340" w:type="dxa"/>
            <w:tcBorders>
              <w:top w:val="nil"/>
              <w:left w:val="nil"/>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32</w:t>
            </w:r>
          </w:p>
        </w:tc>
      </w:tr>
      <w:tr>
        <w:tblPrEx>
          <w:tblCellMar>
            <w:top w:w="0" w:type="dxa"/>
            <w:left w:w="108" w:type="dxa"/>
            <w:bottom w:w="0" w:type="dxa"/>
            <w:right w:w="108" w:type="dxa"/>
          </w:tblCellMar>
        </w:tblPrEx>
        <w:trPr>
          <w:trHeight w:val="300" w:hRule="atLeast"/>
        </w:trPr>
        <w:tc>
          <w:tcPr>
            <w:tcW w:w="2628" w:type="dxa"/>
            <w:tcBorders>
              <w:top w:val="nil"/>
              <w:left w:val="nil"/>
              <w:bottom w:val="single" w:color="auto" w:sz="6" w:space="0"/>
              <w:right w:val="nil"/>
            </w:tcBorders>
            <w:shd w:val="clear" w:color="auto" w:fill="auto"/>
            <w:vAlign w:val="center"/>
          </w:tcPr>
          <w:p>
            <w:pPr>
              <w:snapToGrid w:val="0"/>
              <w:spacing w:line="360" w:lineRule="auto"/>
              <w:jc w:val="both"/>
              <w:rPr>
                <w:rFonts w:ascii="Book Antiqua" w:hAnsi="Book Antiqua" w:eastAsia="Times New Roman" w:cs="Calibri"/>
                <w:bCs/>
                <w:color w:val="000000"/>
              </w:rPr>
            </w:pPr>
            <w:r>
              <w:rPr>
                <w:rFonts w:ascii="Book Antiqua" w:hAnsi="Book Antiqua" w:eastAsia="Times New Roman" w:cs="Calibri"/>
                <w:bCs/>
                <w:color w:val="000000"/>
              </w:rPr>
              <w:t>INR</w:t>
            </w:r>
          </w:p>
        </w:tc>
        <w:tc>
          <w:tcPr>
            <w:tcW w:w="2250" w:type="dxa"/>
            <w:tcBorders>
              <w:top w:val="nil"/>
              <w:left w:val="nil"/>
              <w:bottom w:val="single" w:color="auto" w:sz="6" w:space="0"/>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0.95</w:t>
            </w:r>
          </w:p>
        </w:tc>
        <w:tc>
          <w:tcPr>
            <w:tcW w:w="1980" w:type="dxa"/>
            <w:tcBorders>
              <w:top w:val="nil"/>
              <w:left w:val="nil"/>
              <w:bottom w:val="single" w:color="auto" w:sz="6" w:space="0"/>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1.1</w:t>
            </w:r>
          </w:p>
        </w:tc>
        <w:tc>
          <w:tcPr>
            <w:tcW w:w="2340" w:type="dxa"/>
            <w:tcBorders>
              <w:top w:val="nil"/>
              <w:left w:val="nil"/>
              <w:bottom w:val="single" w:color="auto" w:sz="6" w:space="0"/>
              <w:right w:val="nil"/>
            </w:tcBorders>
            <w:shd w:val="clear" w:color="auto" w:fill="auto"/>
            <w:vAlign w:val="center"/>
          </w:tcPr>
          <w:p>
            <w:pPr>
              <w:snapToGrid w:val="0"/>
              <w:spacing w:line="360" w:lineRule="auto"/>
              <w:jc w:val="both"/>
              <w:rPr>
                <w:rFonts w:ascii="Book Antiqua" w:hAnsi="Book Antiqua" w:eastAsia="Times New Roman" w:cs="Calibri"/>
                <w:color w:val="000000"/>
              </w:rPr>
            </w:pPr>
            <w:r>
              <w:rPr>
                <w:rFonts w:ascii="Book Antiqua" w:hAnsi="Book Antiqua" w:eastAsia="Times New Roman" w:cs="Calibri"/>
                <w:color w:val="000000"/>
              </w:rPr>
              <w:t>1.19</w:t>
            </w:r>
          </w:p>
        </w:tc>
      </w:tr>
    </w:tbl>
    <w:p>
      <w:pPr>
        <w:autoSpaceDE w:val="0"/>
        <w:autoSpaceDN w:val="0"/>
        <w:adjustRightInd w:val="0"/>
        <w:snapToGrid w:val="0"/>
        <w:spacing w:line="360" w:lineRule="auto"/>
        <w:jc w:val="both"/>
        <w:rPr>
          <w:rFonts w:ascii="Book Antiqua" w:hAnsi="Book Antiqua" w:cs="BookAntiqua"/>
        </w:rPr>
      </w:pPr>
      <w:r>
        <w:rPr>
          <w:rFonts w:ascii="Book Antiqua" w:hAnsi="Book Antiqua" w:cs="BookAntiqua"/>
        </w:rPr>
        <w:t xml:space="preserve">Alb: Albumin; ALT: Alanine aminotransferase; AP: Alkaline phosphatase; AST: Aspartate aminotransferase; Creat: Creatinine; CRP: C-reactive protein; Dbil: Direct bilirubin; GGT: Gamma-glutamyl transferase; INR: International normalized ratio; Tbil: Total bilirubin. </w:t>
      </w:r>
    </w:p>
    <w:p>
      <w:pPr>
        <w:autoSpaceDE w:val="0"/>
        <w:autoSpaceDN w:val="0"/>
        <w:adjustRightInd w:val="0"/>
        <w:snapToGrid w:val="0"/>
        <w:spacing w:line="360" w:lineRule="auto"/>
        <w:jc w:val="both"/>
        <w:rPr>
          <w:rFonts w:ascii="Book Antiqua" w:hAnsi="Book Antiqua" w:eastAsia="Times New Roman" w:cs="Calibri"/>
          <w:b/>
          <w:bCs/>
        </w:rPr>
      </w:pPr>
    </w:p>
    <w:p>
      <w:pPr>
        <w:autoSpaceDE w:val="0"/>
        <w:autoSpaceDN w:val="0"/>
        <w:adjustRightInd w:val="0"/>
        <w:snapToGrid w:val="0"/>
        <w:spacing w:line="360" w:lineRule="auto"/>
        <w:jc w:val="both"/>
        <w:rPr>
          <w:rFonts w:ascii="Book Antiqua" w:hAnsi="Book Antiqua" w:eastAsia="Times New Roman" w:cs="Calibri"/>
          <w:b/>
          <w:bCs/>
        </w:rPr>
        <w:sectPr>
          <w:footerReference r:id="rId3" w:type="default"/>
          <w:footerReference r:id="rId4" w:type="even"/>
          <w:pgSz w:w="11906" w:h="16838"/>
          <w:pgMar w:top="1440" w:right="1440" w:bottom="1440" w:left="1440" w:header="708" w:footer="708" w:gutter="0"/>
          <w:cols w:space="708" w:num="1"/>
          <w:docGrid w:linePitch="360" w:charSpace="0"/>
        </w:sectPr>
      </w:pPr>
    </w:p>
    <w:p>
      <w:pPr>
        <w:autoSpaceDE w:val="0"/>
        <w:autoSpaceDN w:val="0"/>
        <w:adjustRightInd w:val="0"/>
        <w:snapToGrid w:val="0"/>
        <w:spacing w:line="360" w:lineRule="auto"/>
        <w:jc w:val="both"/>
        <w:rPr>
          <w:rFonts w:ascii="Book Antiqua" w:hAnsi="Book Antiqua" w:eastAsia="Times New Roman" w:cs="Calibri"/>
          <w:b/>
          <w:bCs/>
        </w:rPr>
      </w:pPr>
      <w:r>
        <w:rPr>
          <w:rFonts w:ascii="Book Antiqua" w:hAnsi="Book Antiqua" w:eastAsia="Times New Roman" w:cs="Calibri"/>
          <w:b/>
          <w:bCs/>
        </w:rPr>
        <w:t>Table 2 Perioperative and postoperative laboratory results</w:t>
      </w:r>
    </w:p>
    <w:tbl>
      <w:tblPr>
        <w:tblStyle w:val="8"/>
        <w:tblW w:w="1344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2"/>
        <w:gridCol w:w="1430"/>
        <w:gridCol w:w="1125"/>
        <w:gridCol w:w="1276"/>
        <w:gridCol w:w="1276"/>
        <w:gridCol w:w="1336"/>
        <w:gridCol w:w="1203"/>
        <w:gridCol w:w="1616"/>
        <w:gridCol w:w="960"/>
        <w:gridCol w:w="10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Parameters</w:t>
            </w:r>
          </w:p>
        </w:tc>
        <w:tc>
          <w:tcPr>
            <w:tcW w:w="1430"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October 16, 2020 (operation)</w:t>
            </w:r>
          </w:p>
        </w:tc>
        <w:tc>
          <w:tcPr>
            <w:tcW w:w="1125"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October 18, 2020</w:t>
            </w:r>
          </w:p>
        </w:tc>
        <w:tc>
          <w:tcPr>
            <w:tcW w:w="1276"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October 20, 2020</w:t>
            </w:r>
          </w:p>
        </w:tc>
        <w:tc>
          <w:tcPr>
            <w:tcW w:w="1276"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October 23, 2020</w:t>
            </w:r>
          </w:p>
        </w:tc>
        <w:tc>
          <w:tcPr>
            <w:tcW w:w="1336"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D</w:t>
            </w:r>
            <w:r>
              <w:rPr>
                <w:rFonts w:hint="eastAsia" w:ascii="Book Antiqua" w:hAnsi="Book Antiqua"/>
                <w:b/>
                <w:bCs/>
                <w:color w:val="000000"/>
              </w:rPr>
              <w:t>ecember</w:t>
            </w:r>
            <w:r>
              <w:rPr>
                <w:rFonts w:ascii="Book Antiqua" w:hAnsi="Book Antiqua"/>
                <w:b/>
                <w:bCs/>
                <w:color w:val="000000"/>
              </w:rPr>
              <w:t xml:space="preserve"> 16, 2020</w:t>
            </w:r>
          </w:p>
        </w:tc>
        <w:tc>
          <w:tcPr>
            <w:tcW w:w="1203"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February 2, 2021</w:t>
            </w:r>
          </w:p>
        </w:tc>
        <w:tc>
          <w:tcPr>
            <w:tcW w:w="1616"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April 8, 2021</w:t>
            </w:r>
          </w:p>
        </w:tc>
        <w:tc>
          <w:tcPr>
            <w:tcW w:w="960"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June 7, 2021</w:t>
            </w:r>
          </w:p>
        </w:tc>
        <w:tc>
          <w:tcPr>
            <w:tcW w:w="1096" w:type="dxa"/>
            <w:tcBorders>
              <w:top w:val="single" w:color="auto" w:sz="4" w:space="0"/>
              <w:bottom w:val="single" w:color="auto" w:sz="4" w:space="0"/>
            </w:tcBorders>
            <w:shd w:val="clear" w:color="auto" w:fill="auto"/>
            <w:noWrap/>
            <w:vAlign w:val="bottom"/>
          </w:tcPr>
          <w:p>
            <w:pPr>
              <w:spacing w:line="360" w:lineRule="auto"/>
              <w:rPr>
                <w:rFonts w:ascii="Book Antiqua" w:hAnsi="Book Antiqua"/>
                <w:b/>
                <w:bCs/>
                <w:color w:val="000000"/>
              </w:rPr>
            </w:pPr>
            <w:r>
              <w:rPr>
                <w:rFonts w:ascii="Book Antiqua" w:hAnsi="Book Antiqua"/>
                <w:b/>
                <w:bCs/>
                <w:color w:val="000000"/>
              </w:rPr>
              <w:t>October 5, 2021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Tbil/Dbil in µmol/L</w:t>
            </w:r>
          </w:p>
        </w:tc>
        <w:tc>
          <w:tcPr>
            <w:tcW w:w="1430"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&gt; 428/&gt; 257</w:t>
            </w:r>
          </w:p>
        </w:tc>
        <w:tc>
          <w:tcPr>
            <w:tcW w:w="1125"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401/&gt; 257</w:t>
            </w:r>
          </w:p>
        </w:tc>
        <w:tc>
          <w:tcPr>
            <w:tcW w:w="1276"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317/242</w:t>
            </w:r>
          </w:p>
        </w:tc>
        <w:tc>
          <w:tcPr>
            <w:tcW w:w="1276"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&gt; 428/&gt; 257</w:t>
            </w:r>
          </w:p>
        </w:tc>
        <w:tc>
          <w:tcPr>
            <w:tcW w:w="1336"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204/176</w:t>
            </w:r>
          </w:p>
        </w:tc>
        <w:tc>
          <w:tcPr>
            <w:tcW w:w="1203"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94/70</w:t>
            </w:r>
          </w:p>
        </w:tc>
        <w:tc>
          <w:tcPr>
            <w:tcW w:w="1616" w:type="dxa"/>
            <w:tcBorders>
              <w:top w:val="single" w:color="auto" w:sz="4" w:space="0"/>
            </w:tcBorders>
            <w:shd w:val="clear" w:color="auto" w:fill="auto"/>
            <w:noWrap/>
            <w:vAlign w:val="bottom"/>
          </w:tcPr>
          <w:p>
            <w:pPr>
              <w:spacing w:line="360" w:lineRule="auto"/>
              <w:rPr>
                <w:rFonts w:ascii="Book Antiqua" w:hAnsi="Book Antiqua"/>
                <w:color w:val="000000"/>
              </w:rPr>
            </w:pPr>
            <w:r>
              <w:rPr>
                <w:rFonts w:hint="eastAsia" w:ascii="Book Antiqua" w:hAnsi="Book Antiqua"/>
                <w:color w:val="000000"/>
              </w:rPr>
              <w:t>2</w:t>
            </w:r>
            <w:r>
              <w:rPr>
                <w:rFonts w:ascii="Book Antiqua" w:hAnsi="Book Antiqua"/>
                <w:color w:val="000000"/>
              </w:rPr>
              <w:t>1/8</w:t>
            </w:r>
          </w:p>
        </w:tc>
        <w:tc>
          <w:tcPr>
            <w:tcW w:w="960"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7/4</w:t>
            </w:r>
          </w:p>
        </w:tc>
        <w:tc>
          <w:tcPr>
            <w:tcW w:w="1096" w:type="dxa"/>
            <w:tcBorders>
              <w:top w:val="single" w:color="auto" w:sz="4" w:space="0"/>
            </w:tcBorders>
            <w:shd w:val="clear" w:color="auto" w:fill="auto"/>
            <w:noWrap/>
            <w:vAlign w:val="bottom"/>
          </w:tcPr>
          <w:p>
            <w:pPr>
              <w:spacing w:line="360" w:lineRule="auto"/>
              <w:rPr>
                <w:rFonts w:ascii="Book Antiqua" w:hAnsi="Book Antiqua"/>
                <w:color w:val="000000"/>
              </w:rPr>
            </w:pPr>
            <w:r>
              <w:rPr>
                <w:rFonts w:ascii="Book Antiqua" w:hAnsi="Book Antiqua"/>
                <w:color w:val="000000"/>
              </w:rPr>
              <w:t>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AST in U/L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333</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236</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256</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374</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234</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112</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29</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23</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ALT in U/L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304</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219</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225</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342</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73</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22</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13</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GGT in U/L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&gt; 999</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&gt; 999</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927</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&gt; 999</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944</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724</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133</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44</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AP in U/L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819</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494</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426</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1219</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635</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281</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113</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Creat in µmol/L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106</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126</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107</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129</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158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Alb in g/L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35</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28</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28</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34</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34</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39</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42</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INR</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1.19</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1.03</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1.12</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IL-6 &lt; 7.00 in ng/mL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24.1</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11.18</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6.18</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122" w:type="dxa"/>
            <w:shd w:val="clear" w:color="auto" w:fill="auto"/>
            <w:noWrap/>
            <w:vAlign w:val="bottom"/>
          </w:tcPr>
          <w:p>
            <w:pPr>
              <w:spacing w:line="360" w:lineRule="auto"/>
              <w:rPr>
                <w:rFonts w:ascii="Book Antiqua" w:hAnsi="Book Antiqua"/>
                <w:color w:val="000000"/>
              </w:rPr>
            </w:pPr>
            <w:r>
              <w:rPr>
                <w:rFonts w:ascii="Book Antiqua" w:hAnsi="Book Antiqua"/>
                <w:color w:val="000000"/>
              </w:rPr>
              <w:t>Procalcitonin &lt; 0.046, in ng/mL</w:t>
            </w:r>
          </w:p>
        </w:tc>
        <w:tc>
          <w:tcPr>
            <w:tcW w:w="1430"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125"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7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33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203" w:type="dxa"/>
            <w:shd w:val="clear" w:color="auto" w:fill="auto"/>
            <w:noWrap/>
            <w:vAlign w:val="bottom"/>
          </w:tcPr>
          <w:p>
            <w:pPr>
              <w:spacing w:line="360" w:lineRule="auto"/>
              <w:rPr>
                <w:rFonts w:ascii="Book Antiqua" w:hAnsi="Book Antiqua"/>
                <w:color w:val="000000"/>
              </w:rPr>
            </w:pPr>
            <w:r>
              <w:rPr>
                <w:rFonts w:ascii="Book Antiqua" w:hAnsi="Book Antiqua"/>
                <w:color w:val="000000"/>
              </w:rPr>
              <w:t>0.675</w:t>
            </w:r>
          </w:p>
        </w:tc>
        <w:tc>
          <w:tcPr>
            <w:tcW w:w="1616" w:type="dxa"/>
            <w:shd w:val="clear" w:color="auto" w:fill="auto"/>
            <w:noWrap/>
            <w:vAlign w:val="bottom"/>
          </w:tcPr>
          <w:p>
            <w:pPr>
              <w:spacing w:line="360" w:lineRule="auto"/>
              <w:rPr>
                <w:rFonts w:ascii="Book Antiqua" w:hAnsi="Book Antiqua"/>
                <w:color w:val="000000"/>
              </w:rPr>
            </w:pPr>
            <w:r>
              <w:rPr>
                <w:rFonts w:ascii="Book Antiqua" w:hAnsi="Book Antiqua"/>
                <w:color w:val="000000"/>
              </w:rPr>
              <w:t>0.44</w:t>
            </w:r>
          </w:p>
        </w:tc>
        <w:tc>
          <w:tcPr>
            <w:tcW w:w="960"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c>
          <w:tcPr>
            <w:tcW w:w="1096" w:type="dxa"/>
            <w:shd w:val="clear" w:color="auto" w:fill="auto"/>
            <w:noWrap/>
            <w:vAlign w:val="bottom"/>
          </w:tcPr>
          <w:p>
            <w:pPr>
              <w:spacing w:line="360" w:lineRule="auto"/>
              <w:rPr>
                <w:rFonts w:ascii="Book Antiqua" w:hAnsi="Book Antiqua"/>
                <w:color w:val="000000"/>
              </w:rPr>
            </w:pPr>
            <w:r>
              <w:rPr>
                <w:rFonts w:ascii="Book Antiqua" w:hAnsi="Book Antiqua"/>
                <w:color w:val="000000"/>
              </w:rPr>
              <w:t>　</w:t>
            </w:r>
          </w:p>
        </w:tc>
      </w:tr>
    </w:tbl>
    <w:p>
      <w:pPr>
        <w:autoSpaceDE w:val="0"/>
        <w:autoSpaceDN w:val="0"/>
        <w:adjustRightInd w:val="0"/>
        <w:snapToGrid w:val="0"/>
        <w:spacing w:line="360" w:lineRule="auto"/>
        <w:jc w:val="both"/>
        <w:rPr>
          <w:rFonts w:ascii="Book Antiqua" w:hAnsi="Book Antiqua" w:eastAsia="Times New Roman" w:cs="Calibri"/>
        </w:rPr>
      </w:pPr>
      <w:r>
        <w:rPr>
          <w:rFonts w:ascii="Book Antiqua" w:hAnsi="Book Antiqua" w:eastAsia="Times New Roman" w:cs="Calibri"/>
        </w:rPr>
        <w:t>Alb: Albumin; ALT: Alanine aminotransferase; AP: Alkaline phosphatase; AST: Aspartate aminotransferase; Creat: Creatinine; Dbil: Direct bilirubin; GGT: Gamma-glutamyl transferase; IL-6: Interleukin-6; INR: International normalized ratio; Tbil: Total bilirubin.</w:t>
      </w:r>
    </w:p>
    <w:p>
      <w:pPr>
        <w:snapToGrid w:val="0"/>
        <w:spacing w:line="360" w:lineRule="auto"/>
        <w:jc w:val="both"/>
        <w:rPr>
          <w:rFonts w:ascii="Book Antiqua" w:hAnsi="Book Antiqua"/>
        </w:rPr>
        <w:sectPr>
          <w:pgSz w:w="16819" w:h="11894" w:orient="landscape"/>
          <w:pgMar w:top="1440" w:right="1440" w:bottom="1440" w:left="1440" w:header="706" w:footer="706" w:gutter="0"/>
          <w:cols w:space="708"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CC"/>
    <w:family w:val="swiss"/>
    <w:pitch w:val="default"/>
    <w:sig w:usb0="E4002EFF" w:usb1="C000E47F"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Helvetica Neue">
    <w:altName w:val="Times New Roman"/>
    <w:panose1 w:val="02000503000000020004"/>
    <w:charset w:val="00"/>
    <w:family w:val="auto"/>
    <w:pitch w:val="default"/>
    <w:sig w:usb0="00000000" w:usb1="00000000" w:usb2="0000001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Arial">
    <w:panose1 w:val="020B0604020202020204"/>
    <w:charset w:val="00"/>
    <w:family w:val="auto"/>
    <w:pitch w:val="default"/>
    <w:sig w:usb0="E0002EFF" w:usb1="C000785B" w:usb2="00000009" w:usb3="00000000" w:csb0="400001FF" w:csb1="FFFF0000"/>
  </w:font>
  <w:font w:name="TimesNewRomanPSMT">
    <w:altName w:val="宋体"/>
    <w:panose1 w:val="020B0604020202020204"/>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BookAntiqua">
    <w:altName w:val="Times New Roman"/>
    <w:panose1 w:val="020B0604020202020204"/>
    <w:charset w:val="00"/>
    <w:family w:val="roman"/>
    <w:pitch w:val="default"/>
    <w:sig w:usb0="00000000" w:usb1="00000000" w:usb2="00000000" w:usb3="00000000" w:csb0="00000001" w:csb1="00000000"/>
  </w:font>
  <w:font w:name="MyriadPro-Regular">
    <w:altName w:val="Segoe Print"/>
    <w:panose1 w:val="020B0604020202020204"/>
    <w:charset w:val="CC"/>
    <w:family w:val="swiss"/>
    <w:pitch w:val="default"/>
    <w:sig w:usb0="00000000" w:usb1="00000000" w:usb2="00000000" w:usb3="00000000" w:csb0="00000004"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19F" w:csb1="00000000"/>
  </w:font>
  <w:font w:name="Garamond-Bold">
    <w:altName w:val="等线"/>
    <w:panose1 w:val="00000000000000000000"/>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19</w:t>
    </w:r>
    <w:r>
      <w:rPr>
        <w:rFonts w:ascii="Book Antiqua" w:hAnsi="Book Antiqua"/>
        <w:sz w:val="24"/>
        <w:szCs w:val="24"/>
      </w:rPr>
      <w:fldChar w:fldCharType="end"/>
    </w:r>
  </w:p>
  <w:p>
    <w:pPr>
      <w:pStyle w:val="4"/>
      <w:ind w:right="360"/>
      <w:rPr>
        <w:rFonts w:ascii="Book Antiqua" w:hAnsi="Book Antiqu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uto" w:vAnchor="text" w:hAnchor="margin" w:xAlign="right" w:y="1"/>
      <w:rPr>
        <w:rStyle w:val="12"/>
      </w:rPr>
    </w:pPr>
    <w:r>
      <w:rPr>
        <w:rStyle w:val="12"/>
      </w:rPr>
      <w:fldChar w:fldCharType="begin"/>
    </w:r>
    <w:r>
      <w:rPr>
        <w:rStyle w:val="12"/>
      </w:rPr>
      <w:instrText xml:space="preserve"> PAGE </w:instrText>
    </w:r>
    <w:r>
      <w:rPr>
        <w:rStyle w:val="12"/>
      </w:rPr>
      <w:fldChar w:fldCharType="separate"/>
    </w:r>
    <w:r>
      <w:rPr>
        <w:rStyle w:val="12"/>
      </w:rPr>
      <w:t>1</w:t>
    </w:r>
    <w:r>
      <w:rPr>
        <w:rStyle w:val="12"/>
      </w:rPr>
      <w:fldChar w:fldCharType="end"/>
    </w:r>
  </w:p>
  <w:p>
    <w:pPr>
      <w:pStyle w:val="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5D0114"/>
    <w:rsid w:val="00001148"/>
    <w:rsid w:val="00002970"/>
    <w:rsid w:val="00007842"/>
    <w:rsid w:val="00007D6A"/>
    <w:rsid w:val="000209A3"/>
    <w:rsid w:val="00021536"/>
    <w:rsid w:val="000219E1"/>
    <w:rsid w:val="00026F0F"/>
    <w:rsid w:val="000273D0"/>
    <w:rsid w:val="0003140B"/>
    <w:rsid w:val="00031E4B"/>
    <w:rsid w:val="00031F05"/>
    <w:rsid w:val="00031F6E"/>
    <w:rsid w:val="00037704"/>
    <w:rsid w:val="00042147"/>
    <w:rsid w:val="00043CEA"/>
    <w:rsid w:val="00043F30"/>
    <w:rsid w:val="000454CD"/>
    <w:rsid w:val="00047A7D"/>
    <w:rsid w:val="00051853"/>
    <w:rsid w:val="00052E90"/>
    <w:rsid w:val="00053B26"/>
    <w:rsid w:val="000556E7"/>
    <w:rsid w:val="00057BE8"/>
    <w:rsid w:val="000642A4"/>
    <w:rsid w:val="00064E05"/>
    <w:rsid w:val="00065113"/>
    <w:rsid w:val="00071656"/>
    <w:rsid w:val="0007318B"/>
    <w:rsid w:val="000745C6"/>
    <w:rsid w:val="00075F03"/>
    <w:rsid w:val="00076C03"/>
    <w:rsid w:val="00082083"/>
    <w:rsid w:val="00086B7F"/>
    <w:rsid w:val="00091EC4"/>
    <w:rsid w:val="00093803"/>
    <w:rsid w:val="00095CC8"/>
    <w:rsid w:val="00097754"/>
    <w:rsid w:val="000A056F"/>
    <w:rsid w:val="000A3523"/>
    <w:rsid w:val="000A3FB7"/>
    <w:rsid w:val="000A59D6"/>
    <w:rsid w:val="000A603A"/>
    <w:rsid w:val="000A6232"/>
    <w:rsid w:val="000A6608"/>
    <w:rsid w:val="000A6CDE"/>
    <w:rsid w:val="000B14B6"/>
    <w:rsid w:val="000B168C"/>
    <w:rsid w:val="000B41B7"/>
    <w:rsid w:val="000B4C42"/>
    <w:rsid w:val="000B6D18"/>
    <w:rsid w:val="000B6D32"/>
    <w:rsid w:val="000C09A8"/>
    <w:rsid w:val="000C4010"/>
    <w:rsid w:val="000C4723"/>
    <w:rsid w:val="000C7F8E"/>
    <w:rsid w:val="000D05C0"/>
    <w:rsid w:val="000D0AF6"/>
    <w:rsid w:val="000E17F9"/>
    <w:rsid w:val="000E3D86"/>
    <w:rsid w:val="000E69E1"/>
    <w:rsid w:val="000F0B49"/>
    <w:rsid w:val="000F1AE1"/>
    <w:rsid w:val="000F2AF0"/>
    <w:rsid w:val="000F48B4"/>
    <w:rsid w:val="001003FE"/>
    <w:rsid w:val="001034FD"/>
    <w:rsid w:val="00105889"/>
    <w:rsid w:val="00105F9E"/>
    <w:rsid w:val="001060AE"/>
    <w:rsid w:val="00106120"/>
    <w:rsid w:val="00107893"/>
    <w:rsid w:val="001078E2"/>
    <w:rsid w:val="00107FAD"/>
    <w:rsid w:val="001106BE"/>
    <w:rsid w:val="00110809"/>
    <w:rsid w:val="00111C24"/>
    <w:rsid w:val="001133BD"/>
    <w:rsid w:val="00113F88"/>
    <w:rsid w:val="00114636"/>
    <w:rsid w:val="00120886"/>
    <w:rsid w:val="00121B25"/>
    <w:rsid w:val="00124B2F"/>
    <w:rsid w:val="001266C8"/>
    <w:rsid w:val="0013030A"/>
    <w:rsid w:val="001315FD"/>
    <w:rsid w:val="00131E46"/>
    <w:rsid w:val="0013252A"/>
    <w:rsid w:val="0013599B"/>
    <w:rsid w:val="00137465"/>
    <w:rsid w:val="00141CBB"/>
    <w:rsid w:val="00145B72"/>
    <w:rsid w:val="00146354"/>
    <w:rsid w:val="00150EB3"/>
    <w:rsid w:val="0015318D"/>
    <w:rsid w:val="00153A55"/>
    <w:rsid w:val="0015490D"/>
    <w:rsid w:val="00156A07"/>
    <w:rsid w:val="001616EC"/>
    <w:rsid w:val="00161787"/>
    <w:rsid w:val="001630D3"/>
    <w:rsid w:val="001653BD"/>
    <w:rsid w:val="00170707"/>
    <w:rsid w:val="00170DAF"/>
    <w:rsid w:val="00171D0A"/>
    <w:rsid w:val="001720EC"/>
    <w:rsid w:val="001723D7"/>
    <w:rsid w:val="00172768"/>
    <w:rsid w:val="00173163"/>
    <w:rsid w:val="00174019"/>
    <w:rsid w:val="00175A2A"/>
    <w:rsid w:val="00176C37"/>
    <w:rsid w:val="001813F9"/>
    <w:rsid w:val="0018261F"/>
    <w:rsid w:val="00182886"/>
    <w:rsid w:val="00185EF7"/>
    <w:rsid w:val="00190E0E"/>
    <w:rsid w:val="001911D6"/>
    <w:rsid w:val="0019226C"/>
    <w:rsid w:val="00192E4E"/>
    <w:rsid w:val="001956D0"/>
    <w:rsid w:val="00196ECF"/>
    <w:rsid w:val="001A0749"/>
    <w:rsid w:val="001A1AD3"/>
    <w:rsid w:val="001A2C16"/>
    <w:rsid w:val="001A69BA"/>
    <w:rsid w:val="001B49BA"/>
    <w:rsid w:val="001B65F8"/>
    <w:rsid w:val="001C269B"/>
    <w:rsid w:val="001C37E1"/>
    <w:rsid w:val="001C3BBB"/>
    <w:rsid w:val="001C4BF4"/>
    <w:rsid w:val="001C4C88"/>
    <w:rsid w:val="001C66AF"/>
    <w:rsid w:val="001C6FD8"/>
    <w:rsid w:val="001C7351"/>
    <w:rsid w:val="001D0F77"/>
    <w:rsid w:val="001D3182"/>
    <w:rsid w:val="001D44C7"/>
    <w:rsid w:val="001D488F"/>
    <w:rsid w:val="001D53FE"/>
    <w:rsid w:val="001D61D7"/>
    <w:rsid w:val="001D7F0D"/>
    <w:rsid w:val="001E27C9"/>
    <w:rsid w:val="001E3331"/>
    <w:rsid w:val="001E416F"/>
    <w:rsid w:val="001E5D47"/>
    <w:rsid w:val="001E7985"/>
    <w:rsid w:val="001F038A"/>
    <w:rsid w:val="001F26B9"/>
    <w:rsid w:val="001F5D04"/>
    <w:rsid w:val="001F6BFF"/>
    <w:rsid w:val="001F70A9"/>
    <w:rsid w:val="00202BD9"/>
    <w:rsid w:val="00202DAC"/>
    <w:rsid w:val="00203796"/>
    <w:rsid w:val="0020539C"/>
    <w:rsid w:val="00210300"/>
    <w:rsid w:val="0021372D"/>
    <w:rsid w:val="00213ECC"/>
    <w:rsid w:val="002153F6"/>
    <w:rsid w:val="002162C1"/>
    <w:rsid w:val="00216D64"/>
    <w:rsid w:val="00220C2B"/>
    <w:rsid w:val="0022288E"/>
    <w:rsid w:val="00223D42"/>
    <w:rsid w:val="00223EC1"/>
    <w:rsid w:val="00225A92"/>
    <w:rsid w:val="00225F04"/>
    <w:rsid w:val="00227618"/>
    <w:rsid w:val="00230DBF"/>
    <w:rsid w:val="0023254F"/>
    <w:rsid w:val="0023286E"/>
    <w:rsid w:val="0023477F"/>
    <w:rsid w:val="00235A96"/>
    <w:rsid w:val="00237DA1"/>
    <w:rsid w:val="002417FE"/>
    <w:rsid w:val="00242BE2"/>
    <w:rsid w:val="00242C78"/>
    <w:rsid w:val="00242FA9"/>
    <w:rsid w:val="002438EE"/>
    <w:rsid w:val="002463D0"/>
    <w:rsid w:val="00246CBD"/>
    <w:rsid w:val="00252B3B"/>
    <w:rsid w:val="00254EF0"/>
    <w:rsid w:val="00260506"/>
    <w:rsid w:val="0026272B"/>
    <w:rsid w:val="00266561"/>
    <w:rsid w:val="00266EBA"/>
    <w:rsid w:val="00270CA2"/>
    <w:rsid w:val="00275857"/>
    <w:rsid w:val="00275CE3"/>
    <w:rsid w:val="00281F0F"/>
    <w:rsid w:val="00282F34"/>
    <w:rsid w:val="00284808"/>
    <w:rsid w:val="00291F7B"/>
    <w:rsid w:val="00293C56"/>
    <w:rsid w:val="0029591B"/>
    <w:rsid w:val="0029606E"/>
    <w:rsid w:val="00296E96"/>
    <w:rsid w:val="00297895"/>
    <w:rsid w:val="002A3C70"/>
    <w:rsid w:val="002B03EF"/>
    <w:rsid w:val="002B0F48"/>
    <w:rsid w:val="002B1BEF"/>
    <w:rsid w:val="002B52F6"/>
    <w:rsid w:val="002C08AE"/>
    <w:rsid w:val="002C0D23"/>
    <w:rsid w:val="002C2C55"/>
    <w:rsid w:val="002C7C5F"/>
    <w:rsid w:val="002D08D8"/>
    <w:rsid w:val="002D64D4"/>
    <w:rsid w:val="002E4B5A"/>
    <w:rsid w:val="002E6F00"/>
    <w:rsid w:val="002F0404"/>
    <w:rsid w:val="002F2DBC"/>
    <w:rsid w:val="00301941"/>
    <w:rsid w:val="003031F1"/>
    <w:rsid w:val="00304455"/>
    <w:rsid w:val="00304CC4"/>
    <w:rsid w:val="00304DBC"/>
    <w:rsid w:val="00305E8A"/>
    <w:rsid w:val="003061D9"/>
    <w:rsid w:val="003072C1"/>
    <w:rsid w:val="00307552"/>
    <w:rsid w:val="003140B1"/>
    <w:rsid w:val="003143F8"/>
    <w:rsid w:val="003178BA"/>
    <w:rsid w:val="00320729"/>
    <w:rsid w:val="003210B5"/>
    <w:rsid w:val="00322AE4"/>
    <w:rsid w:val="003254DC"/>
    <w:rsid w:val="00332679"/>
    <w:rsid w:val="00333B83"/>
    <w:rsid w:val="00334FD0"/>
    <w:rsid w:val="0033712C"/>
    <w:rsid w:val="00340F05"/>
    <w:rsid w:val="00341527"/>
    <w:rsid w:val="00341FF8"/>
    <w:rsid w:val="00342CF5"/>
    <w:rsid w:val="00343407"/>
    <w:rsid w:val="0034503C"/>
    <w:rsid w:val="003455CD"/>
    <w:rsid w:val="00346352"/>
    <w:rsid w:val="003468C4"/>
    <w:rsid w:val="003468FF"/>
    <w:rsid w:val="00346C98"/>
    <w:rsid w:val="00347B39"/>
    <w:rsid w:val="003520A5"/>
    <w:rsid w:val="00353A6A"/>
    <w:rsid w:val="00353B29"/>
    <w:rsid w:val="00354218"/>
    <w:rsid w:val="003619E8"/>
    <w:rsid w:val="00370222"/>
    <w:rsid w:val="003705FE"/>
    <w:rsid w:val="00370FBC"/>
    <w:rsid w:val="003717E6"/>
    <w:rsid w:val="00373100"/>
    <w:rsid w:val="00373BBE"/>
    <w:rsid w:val="00380ACB"/>
    <w:rsid w:val="003839CD"/>
    <w:rsid w:val="00391C0A"/>
    <w:rsid w:val="0039672D"/>
    <w:rsid w:val="003A08C4"/>
    <w:rsid w:val="003A1078"/>
    <w:rsid w:val="003A2B21"/>
    <w:rsid w:val="003A55E7"/>
    <w:rsid w:val="003B600F"/>
    <w:rsid w:val="003B7C07"/>
    <w:rsid w:val="003C075B"/>
    <w:rsid w:val="003C0784"/>
    <w:rsid w:val="003C2A9E"/>
    <w:rsid w:val="003C3294"/>
    <w:rsid w:val="003C701C"/>
    <w:rsid w:val="003C70BF"/>
    <w:rsid w:val="003C725C"/>
    <w:rsid w:val="003D0556"/>
    <w:rsid w:val="003D180B"/>
    <w:rsid w:val="003D2E17"/>
    <w:rsid w:val="003D6A9C"/>
    <w:rsid w:val="003E1AA3"/>
    <w:rsid w:val="003E3C87"/>
    <w:rsid w:val="003F2477"/>
    <w:rsid w:val="003F25B0"/>
    <w:rsid w:val="003F264D"/>
    <w:rsid w:val="003F5416"/>
    <w:rsid w:val="003F7872"/>
    <w:rsid w:val="00400153"/>
    <w:rsid w:val="004040E6"/>
    <w:rsid w:val="004041E6"/>
    <w:rsid w:val="0041460C"/>
    <w:rsid w:val="00414753"/>
    <w:rsid w:val="0041716E"/>
    <w:rsid w:val="0041716F"/>
    <w:rsid w:val="00417697"/>
    <w:rsid w:val="00417C44"/>
    <w:rsid w:val="00422D0F"/>
    <w:rsid w:val="004235B3"/>
    <w:rsid w:val="00426D90"/>
    <w:rsid w:val="004271B1"/>
    <w:rsid w:val="00430654"/>
    <w:rsid w:val="00433BFD"/>
    <w:rsid w:val="004349B8"/>
    <w:rsid w:val="00441979"/>
    <w:rsid w:val="0044569C"/>
    <w:rsid w:val="00445A0F"/>
    <w:rsid w:val="004461A5"/>
    <w:rsid w:val="00446CF0"/>
    <w:rsid w:val="00447BBC"/>
    <w:rsid w:val="00447FCD"/>
    <w:rsid w:val="00455A85"/>
    <w:rsid w:val="00456039"/>
    <w:rsid w:val="004628BF"/>
    <w:rsid w:val="00464D43"/>
    <w:rsid w:val="00470140"/>
    <w:rsid w:val="004709C1"/>
    <w:rsid w:val="004734C1"/>
    <w:rsid w:val="0047561F"/>
    <w:rsid w:val="0048330C"/>
    <w:rsid w:val="00483CE1"/>
    <w:rsid w:val="00484BCC"/>
    <w:rsid w:val="004863EB"/>
    <w:rsid w:val="004914F3"/>
    <w:rsid w:val="00493377"/>
    <w:rsid w:val="004951B8"/>
    <w:rsid w:val="004A0954"/>
    <w:rsid w:val="004A24C0"/>
    <w:rsid w:val="004A3B50"/>
    <w:rsid w:val="004A3D57"/>
    <w:rsid w:val="004A4BAC"/>
    <w:rsid w:val="004A6FE2"/>
    <w:rsid w:val="004B0A9F"/>
    <w:rsid w:val="004B2E81"/>
    <w:rsid w:val="004B346E"/>
    <w:rsid w:val="004B3EE7"/>
    <w:rsid w:val="004C015D"/>
    <w:rsid w:val="004C0493"/>
    <w:rsid w:val="004C210C"/>
    <w:rsid w:val="004C68DB"/>
    <w:rsid w:val="004D0A79"/>
    <w:rsid w:val="004D2424"/>
    <w:rsid w:val="004D3729"/>
    <w:rsid w:val="004D3CDF"/>
    <w:rsid w:val="004D43D0"/>
    <w:rsid w:val="004D519C"/>
    <w:rsid w:val="004D7DAD"/>
    <w:rsid w:val="004E0B98"/>
    <w:rsid w:val="004E2B5F"/>
    <w:rsid w:val="004E4C3A"/>
    <w:rsid w:val="004E53B6"/>
    <w:rsid w:val="004E64FE"/>
    <w:rsid w:val="004E6BB8"/>
    <w:rsid w:val="004F196B"/>
    <w:rsid w:val="004F2F66"/>
    <w:rsid w:val="004F4CCC"/>
    <w:rsid w:val="004F59A4"/>
    <w:rsid w:val="004F663D"/>
    <w:rsid w:val="0050254A"/>
    <w:rsid w:val="005059D6"/>
    <w:rsid w:val="00506F84"/>
    <w:rsid w:val="005070C2"/>
    <w:rsid w:val="00507F9E"/>
    <w:rsid w:val="00511C7E"/>
    <w:rsid w:val="00512B65"/>
    <w:rsid w:val="005223F9"/>
    <w:rsid w:val="0052322D"/>
    <w:rsid w:val="00525474"/>
    <w:rsid w:val="0052665F"/>
    <w:rsid w:val="00531A3A"/>
    <w:rsid w:val="005338D1"/>
    <w:rsid w:val="005351C8"/>
    <w:rsid w:val="00535390"/>
    <w:rsid w:val="005354DF"/>
    <w:rsid w:val="0053797E"/>
    <w:rsid w:val="005409B9"/>
    <w:rsid w:val="00541795"/>
    <w:rsid w:val="00542647"/>
    <w:rsid w:val="005432AA"/>
    <w:rsid w:val="00543A4A"/>
    <w:rsid w:val="00544599"/>
    <w:rsid w:val="00544B02"/>
    <w:rsid w:val="005452A8"/>
    <w:rsid w:val="00545309"/>
    <w:rsid w:val="00545ABC"/>
    <w:rsid w:val="005507B3"/>
    <w:rsid w:val="00553490"/>
    <w:rsid w:val="00553D5F"/>
    <w:rsid w:val="005542BA"/>
    <w:rsid w:val="00554452"/>
    <w:rsid w:val="0055539A"/>
    <w:rsid w:val="00555690"/>
    <w:rsid w:val="00561B83"/>
    <w:rsid w:val="00561E87"/>
    <w:rsid w:val="00561F75"/>
    <w:rsid w:val="00563C95"/>
    <w:rsid w:val="00563DBE"/>
    <w:rsid w:val="00565132"/>
    <w:rsid w:val="00570251"/>
    <w:rsid w:val="00575915"/>
    <w:rsid w:val="00581568"/>
    <w:rsid w:val="00583D55"/>
    <w:rsid w:val="00584B95"/>
    <w:rsid w:val="0058581D"/>
    <w:rsid w:val="00585AFB"/>
    <w:rsid w:val="00585CAA"/>
    <w:rsid w:val="005870F7"/>
    <w:rsid w:val="00587ADB"/>
    <w:rsid w:val="005930C7"/>
    <w:rsid w:val="00595FCC"/>
    <w:rsid w:val="005A3043"/>
    <w:rsid w:val="005A627B"/>
    <w:rsid w:val="005A6344"/>
    <w:rsid w:val="005A73DA"/>
    <w:rsid w:val="005A772A"/>
    <w:rsid w:val="005B1540"/>
    <w:rsid w:val="005B2FC7"/>
    <w:rsid w:val="005B6067"/>
    <w:rsid w:val="005B77B7"/>
    <w:rsid w:val="005C1AE6"/>
    <w:rsid w:val="005C48A7"/>
    <w:rsid w:val="005C7258"/>
    <w:rsid w:val="005D0114"/>
    <w:rsid w:val="005D0A50"/>
    <w:rsid w:val="005D4CAD"/>
    <w:rsid w:val="005D4E07"/>
    <w:rsid w:val="005D79F0"/>
    <w:rsid w:val="005E043E"/>
    <w:rsid w:val="005E1DEC"/>
    <w:rsid w:val="005E1F98"/>
    <w:rsid w:val="005E74CE"/>
    <w:rsid w:val="005F1418"/>
    <w:rsid w:val="005F28E9"/>
    <w:rsid w:val="005F359F"/>
    <w:rsid w:val="005F74AD"/>
    <w:rsid w:val="00605C41"/>
    <w:rsid w:val="00606A3F"/>
    <w:rsid w:val="00607F70"/>
    <w:rsid w:val="00610DDE"/>
    <w:rsid w:val="00612204"/>
    <w:rsid w:val="006156AD"/>
    <w:rsid w:val="00615921"/>
    <w:rsid w:val="006168DD"/>
    <w:rsid w:val="0061694B"/>
    <w:rsid w:val="00620658"/>
    <w:rsid w:val="00626518"/>
    <w:rsid w:val="006301B5"/>
    <w:rsid w:val="006307E7"/>
    <w:rsid w:val="00633349"/>
    <w:rsid w:val="00633B89"/>
    <w:rsid w:val="006342AE"/>
    <w:rsid w:val="00634CD9"/>
    <w:rsid w:val="006363D2"/>
    <w:rsid w:val="0063705E"/>
    <w:rsid w:val="00640B1B"/>
    <w:rsid w:val="00642B18"/>
    <w:rsid w:val="0064321F"/>
    <w:rsid w:val="00652583"/>
    <w:rsid w:val="00662A09"/>
    <w:rsid w:val="00663CB8"/>
    <w:rsid w:val="00665028"/>
    <w:rsid w:val="006661CB"/>
    <w:rsid w:val="00666429"/>
    <w:rsid w:val="00667340"/>
    <w:rsid w:val="00670349"/>
    <w:rsid w:val="0067222B"/>
    <w:rsid w:val="006726B8"/>
    <w:rsid w:val="0067368E"/>
    <w:rsid w:val="00675227"/>
    <w:rsid w:val="00680470"/>
    <w:rsid w:val="00681550"/>
    <w:rsid w:val="00681E83"/>
    <w:rsid w:val="006827F4"/>
    <w:rsid w:val="00684C15"/>
    <w:rsid w:val="00687ECB"/>
    <w:rsid w:val="00687ED2"/>
    <w:rsid w:val="00690237"/>
    <w:rsid w:val="0069043F"/>
    <w:rsid w:val="00690D0C"/>
    <w:rsid w:val="0069187C"/>
    <w:rsid w:val="00691F70"/>
    <w:rsid w:val="006947E7"/>
    <w:rsid w:val="00695D01"/>
    <w:rsid w:val="00697B5E"/>
    <w:rsid w:val="006A0D10"/>
    <w:rsid w:val="006A14EA"/>
    <w:rsid w:val="006A4899"/>
    <w:rsid w:val="006A4A6F"/>
    <w:rsid w:val="006B075A"/>
    <w:rsid w:val="006B1F5D"/>
    <w:rsid w:val="006B28D4"/>
    <w:rsid w:val="006B4F08"/>
    <w:rsid w:val="006B5D46"/>
    <w:rsid w:val="006B61A0"/>
    <w:rsid w:val="006C0748"/>
    <w:rsid w:val="006C5DC7"/>
    <w:rsid w:val="006C7134"/>
    <w:rsid w:val="006D0E52"/>
    <w:rsid w:val="006D5151"/>
    <w:rsid w:val="006D51FB"/>
    <w:rsid w:val="006D6066"/>
    <w:rsid w:val="006D78B8"/>
    <w:rsid w:val="006E266C"/>
    <w:rsid w:val="006E322F"/>
    <w:rsid w:val="006E625C"/>
    <w:rsid w:val="006F0750"/>
    <w:rsid w:val="006F2EC1"/>
    <w:rsid w:val="006F5C39"/>
    <w:rsid w:val="0070061C"/>
    <w:rsid w:val="00700CFD"/>
    <w:rsid w:val="00702926"/>
    <w:rsid w:val="0070458F"/>
    <w:rsid w:val="00706366"/>
    <w:rsid w:val="00707173"/>
    <w:rsid w:val="007128BC"/>
    <w:rsid w:val="00713B78"/>
    <w:rsid w:val="00714B19"/>
    <w:rsid w:val="007160EB"/>
    <w:rsid w:val="00721CA5"/>
    <w:rsid w:val="00721EED"/>
    <w:rsid w:val="0072229E"/>
    <w:rsid w:val="007228A5"/>
    <w:rsid w:val="0072419F"/>
    <w:rsid w:val="00731444"/>
    <w:rsid w:val="00733A0B"/>
    <w:rsid w:val="007416D9"/>
    <w:rsid w:val="00741D8A"/>
    <w:rsid w:val="00744FEE"/>
    <w:rsid w:val="00745407"/>
    <w:rsid w:val="0074647C"/>
    <w:rsid w:val="007550FE"/>
    <w:rsid w:val="007553D6"/>
    <w:rsid w:val="00760130"/>
    <w:rsid w:val="00760AE4"/>
    <w:rsid w:val="00760CF7"/>
    <w:rsid w:val="00764785"/>
    <w:rsid w:val="00770514"/>
    <w:rsid w:val="0077058F"/>
    <w:rsid w:val="00770946"/>
    <w:rsid w:val="00771D4E"/>
    <w:rsid w:val="007777B2"/>
    <w:rsid w:val="00780A38"/>
    <w:rsid w:val="00783771"/>
    <w:rsid w:val="007851AF"/>
    <w:rsid w:val="007869C2"/>
    <w:rsid w:val="00787055"/>
    <w:rsid w:val="007917FB"/>
    <w:rsid w:val="007949E7"/>
    <w:rsid w:val="0079609A"/>
    <w:rsid w:val="00796340"/>
    <w:rsid w:val="007A3349"/>
    <w:rsid w:val="007A3719"/>
    <w:rsid w:val="007A4716"/>
    <w:rsid w:val="007A5467"/>
    <w:rsid w:val="007A5985"/>
    <w:rsid w:val="007A7C37"/>
    <w:rsid w:val="007B37E7"/>
    <w:rsid w:val="007B3D7B"/>
    <w:rsid w:val="007B5851"/>
    <w:rsid w:val="007B7155"/>
    <w:rsid w:val="007B7221"/>
    <w:rsid w:val="007B7509"/>
    <w:rsid w:val="007C14C6"/>
    <w:rsid w:val="007C41FD"/>
    <w:rsid w:val="007C50D4"/>
    <w:rsid w:val="007D0E84"/>
    <w:rsid w:val="007D1E45"/>
    <w:rsid w:val="007D41D3"/>
    <w:rsid w:val="007D49EA"/>
    <w:rsid w:val="007D7767"/>
    <w:rsid w:val="007E2715"/>
    <w:rsid w:val="007E4B2F"/>
    <w:rsid w:val="007F00AA"/>
    <w:rsid w:val="007F0A2A"/>
    <w:rsid w:val="007F51D8"/>
    <w:rsid w:val="007F532E"/>
    <w:rsid w:val="007F5CBA"/>
    <w:rsid w:val="007F67FB"/>
    <w:rsid w:val="007F74F0"/>
    <w:rsid w:val="007F7F5D"/>
    <w:rsid w:val="00805CE3"/>
    <w:rsid w:val="00805E5B"/>
    <w:rsid w:val="00812718"/>
    <w:rsid w:val="00813F84"/>
    <w:rsid w:val="008156EF"/>
    <w:rsid w:val="00815D6F"/>
    <w:rsid w:val="00820F1B"/>
    <w:rsid w:val="0082389B"/>
    <w:rsid w:val="00831887"/>
    <w:rsid w:val="00833103"/>
    <w:rsid w:val="00835276"/>
    <w:rsid w:val="00837013"/>
    <w:rsid w:val="00841628"/>
    <w:rsid w:val="00841F0C"/>
    <w:rsid w:val="008474C0"/>
    <w:rsid w:val="00847906"/>
    <w:rsid w:val="00852603"/>
    <w:rsid w:val="00860064"/>
    <w:rsid w:val="00862394"/>
    <w:rsid w:val="00863D7A"/>
    <w:rsid w:val="0087013D"/>
    <w:rsid w:val="00871BB9"/>
    <w:rsid w:val="00873D84"/>
    <w:rsid w:val="00874517"/>
    <w:rsid w:val="00875497"/>
    <w:rsid w:val="00875B9F"/>
    <w:rsid w:val="00876F07"/>
    <w:rsid w:val="008827C7"/>
    <w:rsid w:val="00882DE5"/>
    <w:rsid w:val="00882E90"/>
    <w:rsid w:val="008865F6"/>
    <w:rsid w:val="008867B9"/>
    <w:rsid w:val="00887CA5"/>
    <w:rsid w:val="00891B2A"/>
    <w:rsid w:val="00896EF2"/>
    <w:rsid w:val="008A4350"/>
    <w:rsid w:val="008A62D8"/>
    <w:rsid w:val="008A6938"/>
    <w:rsid w:val="008A72DC"/>
    <w:rsid w:val="008B116E"/>
    <w:rsid w:val="008B237F"/>
    <w:rsid w:val="008B30B2"/>
    <w:rsid w:val="008B65E5"/>
    <w:rsid w:val="008B7810"/>
    <w:rsid w:val="008C118E"/>
    <w:rsid w:val="008C32AF"/>
    <w:rsid w:val="008C5C9D"/>
    <w:rsid w:val="008C69CE"/>
    <w:rsid w:val="008D10A8"/>
    <w:rsid w:val="008D3CC9"/>
    <w:rsid w:val="008D5722"/>
    <w:rsid w:val="008D6F31"/>
    <w:rsid w:val="008D7C3E"/>
    <w:rsid w:val="008E1C75"/>
    <w:rsid w:val="008E2735"/>
    <w:rsid w:val="008E2F12"/>
    <w:rsid w:val="008E324D"/>
    <w:rsid w:val="008E5054"/>
    <w:rsid w:val="008E6F03"/>
    <w:rsid w:val="008E7B7D"/>
    <w:rsid w:val="008E7BD6"/>
    <w:rsid w:val="008F2107"/>
    <w:rsid w:val="008F3A69"/>
    <w:rsid w:val="008F6CE6"/>
    <w:rsid w:val="008F723F"/>
    <w:rsid w:val="00901B95"/>
    <w:rsid w:val="009025D2"/>
    <w:rsid w:val="0090318E"/>
    <w:rsid w:val="009035F5"/>
    <w:rsid w:val="00903F71"/>
    <w:rsid w:val="009046A0"/>
    <w:rsid w:val="00905157"/>
    <w:rsid w:val="00905DB5"/>
    <w:rsid w:val="00905E4A"/>
    <w:rsid w:val="009066B0"/>
    <w:rsid w:val="00907C63"/>
    <w:rsid w:val="00911067"/>
    <w:rsid w:val="00912CBE"/>
    <w:rsid w:val="009146CA"/>
    <w:rsid w:val="0092108A"/>
    <w:rsid w:val="009211F3"/>
    <w:rsid w:val="00922547"/>
    <w:rsid w:val="009241DE"/>
    <w:rsid w:val="00925472"/>
    <w:rsid w:val="0092587E"/>
    <w:rsid w:val="00925934"/>
    <w:rsid w:val="00926985"/>
    <w:rsid w:val="00926A4D"/>
    <w:rsid w:val="00927B34"/>
    <w:rsid w:val="009317BD"/>
    <w:rsid w:val="009321CE"/>
    <w:rsid w:val="00932644"/>
    <w:rsid w:val="00932CEA"/>
    <w:rsid w:val="009371AD"/>
    <w:rsid w:val="00940EEC"/>
    <w:rsid w:val="009417D6"/>
    <w:rsid w:val="00942319"/>
    <w:rsid w:val="00944B67"/>
    <w:rsid w:val="00945074"/>
    <w:rsid w:val="0094510F"/>
    <w:rsid w:val="00951807"/>
    <w:rsid w:val="009524DB"/>
    <w:rsid w:val="0095340A"/>
    <w:rsid w:val="0095368D"/>
    <w:rsid w:val="00955666"/>
    <w:rsid w:val="00955DE6"/>
    <w:rsid w:val="009570B7"/>
    <w:rsid w:val="009604C9"/>
    <w:rsid w:val="00961F67"/>
    <w:rsid w:val="00962821"/>
    <w:rsid w:val="00967602"/>
    <w:rsid w:val="009717E5"/>
    <w:rsid w:val="00972D35"/>
    <w:rsid w:val="00980C3A"/>
    <w:rsid w:val="0098231A"/>
    <w:rsid w:val="0098251B"/>
    <w:rsid w:val="00983864"/>
    <w:rsid w:val="009852FB"/>
    <w:rsid w:val="009869AE"/>
    <w:rsid w:val="0098723E"/>
    <w:rsid w:val="0099265F"/>
    <w:rsid w:val="00993503"/>
    <w:rsid w:val="00995975"/>
    <w:rsid w:val="00996442"/>
    <w:rsid w:val="009979E8"/>
    <w:rsid w:val="009A17B1"/>
    <w:rsid w:val="009A3E95"/>
    <w:rsid w:val="009A5B4A"/>
    <w:rsid w:val="009A5CA2"/>
    <w:rsid w:val="009A68EF"/>
    <w:rsid w:val="009A70FE"/>
    <w:rsid w:val="009A7973"/>
    <w:rsid w:val="009B0B9D"/>
    <w:rsid w:val="009B177D"/>
    <w:rsid w:val="009B1DFB"/>
    <w:rsid w:val="009C0F56"/>
    <w:rsid w:val="009C1193"/>
    <w:rsid w:val="009C4B6F"/>
    <w:rsid w:val="009C7724"/>
    <w:rsid w:val="009D4BC6"/>
    <w:rsid w:val="009D63E3"/>
    <w:rsid w:val="009D7331"/>
    <w:rsid w:val="009E1FEF"/>
    <w:rsid w:val="009E2267"/>
    <w:rsid w:val="009E63C6"/>
    <w:rsid w:val="009E6699"/>
    <w:rsid w:val="009F500E"/>
    <w:rsid w:val="009F6080"/>
    <w:rsid w:val="009F6B51"/>
    <w:rsid w:val="00A00418"/>
    <w:rsid w:val="00A02104"/>
    <w:rsid w:val="00A02716"/>
    <w:rsid w:val="00A03CB0"/>
    <w:rsid w:val="00A073C1"/>
    <w:rsid w:val="00A07417"/>
    <w:rsid w:val="00A11E57"/>
    <w:rsid w:val="00A16DD9"/>
    <w:rsid w:val="00A1722D"/>
    <w:rsid w:val="00A17E1B"/>
    <w:rsid w:val="00A20901"/>
    <w:rsid w:val="00A2154C"/>
    <w:rsid w:val="00A24AEE"/>
    <w:rsid w:val="00A24E8C"/>
    <w:rsid w:val="00A2520A"/>
    <w:rsid w:val="00A309ED"/>
    <w:rsid w:val="00A369BF"/>
    <w:rsid w:val="00A36F03"/>
    <w:rsid w:val="00A36FC9"/>
    <w:rsid w:val="00A374E8"/>
    <w:rsid w:val="00A3778D"/>
    <w:rsid w:val="00A409FB"/>
    <w:rsid w:val="00A43077"/>
    <w:rsid w:val="00A447AF"/>
    <w:rsid w:val="00A54847"/>
    <w:rsid w:val="00A572BB"/>
    <w:rsid w:val="00A578B7"/>
    <w:rsid w:val="00A60768"/>
    <w:rsid w:val="00A6196C"/>
    <w:rsid w:val="00A62173"/>
    <w:rsid w:val="00A65AFA"/>
    <w:rsid w:val="00A660EF"/>
    <w:rsid w:val="00A6712E"/>
    <w:rsid w:val="00A732B7"/>
    <w:rsid w:val="00A753FF"/>
    <w:rsid w:val="00A75AAE"/>
    <w:rsid w:val="00A76291"/>
    <w:rsid w:val="00A80276"/>
    <w:rsid w:val="00A82D80"/>
    <w:rsid w:val="00A84E0D"/>
    <w:rsid w:val="00A9183C"/>
    <w:rsid w:val="00A96C4B"/>
    <w:rsid w:val="00AA068B"/>
    <w:rsid w:val="00AA1CBF"/>
    <w:rsid w:val="00AA4B24"/>
    <w:rsid w:val="00AA53D3"/>
    <w:rsid w:val="00AB1218"/>
    <w:rsid w:val="00AB3A70"/>
    <w:rsid w:val="00AB4CD6"/>
    <w:rsid w:val="00AB61F4"/>
    <w:rsid w:val="00AB64E9"/>
    <w:rsid w:val="00AB69AF"/>
    <w:rsid w:val="00AB7F02"/>
    <w:rsid w:val="00AC1BB7"/>
    <w:rsid w:val="00AC4405"/>
    <w:rsid w:val="00AC49C8"/>
    <w:rsid w:val="00AC4A8E"/>
    <w:rsid w:val="00AD42B8"/>
    <w:rsid w:val="00AD6FB0"/>
    <w:rsid w:val="00AE0119"/>
    <w:rsid w:val="00AE1CAA"/>
    <w:rsid w:val="00AE2439"/>
    <w:rsid w:val="00AE2DD6"/>
    <w:rsid w:val="00AE4D85"/>
    <w:rsid w:val="00AE53F5"/>
    <w:rsid w:val="00AE58A6"/>
    <w:rsid w:val="00AF56EF"/>
    <w:rsid w:val="00AF5EA9"/>
    <w:rsid w:val="00AF6C86"/>
    <w:rsid w:val="00B01C47"/>
    <w:rsid w:val="00B02C76"/>
    <w:rsid w:val="00B02D3A"/>
    <w:rsid w:val="00B035C8"/>
    <w:rsid w:val="00B042CE"/>
    <w:rsid w:val="00B055EA"/>
    <w:rsid w:val="00B062D9"/>
    <w:rsid w:val="00B06F53"/>
    <w:rsid w:val="00B11DD9"/>
    <w:rsid w:val="00B13A87"/>
    <w:rsid w:val="00B155F7"/>
    <w:rsid w:val="00B21DA5"/>
    <w:rsid w:val="00B22E3E"/>
    <w:rsid w:val="00B244D3"/>
    <w:rsid w:val="00B24BE7"/>
    <w:rsid w:val="00B25EC7"/>
    <w:rsid w:val="00B260DA"/>
    <w:rsid w:val="00B30894"/>
    <w:rsid w:val="00B36A0E"/>
    <w:rsid w:val="00B4295D"/>
    <w:rsid w:val="00B44B3D"/>
    <w:rsid w:val="00B47121"/>
    <w:rsid w:val="00B477D1"/>
    <w:rsid w:val="00B542B7"/>
    <w:rsid w:val="00B565BC"/>
    <w:rsid w:val="00B6089B"/>
    <w:rsid w:val="00B6095E"/>
    <w:rsid w:val="00B60CB0"/>
    <w:rsid w:val="00B61982"/>
    <w:rsid w:val="00B63D6E"/>
    <w:rsid w:val="00B63E1A"/>
    <w:rsid w:val="00B63FA2"/>
    <w:rsid w:val="00B64258"/>
    <w:rsid w:val="00B72297"/>
    <w:rsid w:val="00B765D3"/>
    <w:rsid w:val="00B7732A"/>
    <w:rsid w:val="00B77C8C"/>
    <w:rsid w:val="00B82070"/>
    <w:rsid w:val="00B8479F"/>
    <w:rsid w:val="00B85AA8"/>
    <w:rsid w:val="00B86B8C"/>
    <w:rsid w:val="00B941F7"/>
    <w:rsid w:val="00B955EE"/>
    <w:rsid w:val="00B95A4D"/>
    <w:rsid w:val="00BA0BE9"/>
    <w:rsid w:val="00BA1028"/>
    <w:rsid w:val="00BA267B"/>
    <w:rsid w:val="00BA4779"/>
    <w:rsid w:val="00BA4BB3"/>
    <w:rsid w:val="00BA71E2"/>
    <w:rsid w:val="00BB1582"/>
    <w:rsid w:val="00BB18A1"/>
    <w:rsid w:val="00BB18EE"/>
    <w:rsid w:val="00BB266D"/>
    <w:rsid w:val="00BB33C3"/>
    <w:rsid w:val="00BB3869"/>
    <w:rsid w:val="00BB536F"/>
    <w:rsid w:val="00BB5A4F"/>
    <w:rsid w:val="00BB68CB"/>
    <w:rsid w:val="00BC0236"/>
    <w:rsid w:val="00BC0358"/>
    <w:rsid w:val="00BC05CF"/>
    <w:rsid w:val="00BC6F7E"/>
    <w:rsid w:val="00BD1FBE"/>
    <w:rsid w:val="00BD26D2"/>
    <w:rsid w:val="00BD375F"/>
    <w:rsid w:val="00BD4A0E"/>
    <w:rsid w:val="00BD4B9B"/>
    <w:rsid w:val="00BD507D"/>
    <w:rsid w:val="00BD7BB1"/>
    <w:rsid w:val="00BE0C8E"/>
    <w:rsid w:val="00BE11C6"/>
    <w:rsid w:val="00BF2763"/>
    <w:rsid w:val="00BF3981"/>
    <w:rsid w:val="00BF39F5"/>
    <w:rsid w:val="00BF5772"/>
    <w:rsid w:val="00C04401"/>
    <w:rsid w:val="00C05B62"/>
    <w:rsid w:val="00C106DF"/>
    <w:rsid w:val="00C1237F"/>
    <w:rsid w:val="00C127C7"/>
    <w:rsid w:val="00C12DFF"/>
    <w:rsid w:val="00C14A16"/>
    <w:rsid w:val="00C15184"/>
    <w:rsid w:val="00C16D08"/>
    <w:rsid w:val="00C21081"/>
    <w:rsid w:val="00C21E51"/>
    <w:rsid w:val="00C22751"/>
    <w:rsid w:val="00C2374E"/>
    <w:rsid w:val="00C2446B"/>
    <w:rsid w:val="00C24491"/>
    <w:rsid w:val="00C270CC"/>
    <w:rsid w:val="00C30EA9"/>
    <w:rsid w:val="00C30F71"/>
    <w:rsid w:val="00C31D17"/>
    <w:rsid w:val="00C31E4E"/>
    <w:rsid w:val="00C32DA4"/>
    <w:rsid w:val="00C34D41"/>
    <w:rsid w:val="00C40300"/>
    <w:rsid w:val="00C432A5"/>
    <w:rsid w:val="00C43421"/>
    <w:rsid w:val="00C43A26"/>
    <w:rsid w:val="00C46D80"/>
    <w:rsid w:val="00C52FA3"/>
    <w:rsid w:val="00C53E4E"/>
    <w:rsid w:val="00C60277"/>
    <w:rsid w:val="00C61F0B"/>
    <w:rsid w:val="00C62A53"/>
    <w:rsid w:val="00C66C67"/>
    <w:rsid w:val="00C71565"/>
    <w:rsid w:val="00C71DFB"/>
    <w:rsid w:val="00C71FAB"/>
    <w:rsid w:val="00C763E7"/>
    <w:rsid w:val="00C8036A"/>
    <w:rsid w:val="00C83446"/>
    <w:rsid w:val="00C835D4"/>
    <w:rsid w:val="00C87F58"/>
    <w:rsid w:val="00C93B4F"/>
    <w:rsid w:val="00C93CC2"/>
    <w:rsid w:val="00C97ABC"/>
    <w:rsid w:val="00CA0A9E"/>
    <w:rsid w:val="00CA1261"/>
    <w:rsid w:val="00CA328C"/>
    <w:rsid w:val="00CA68A0"/>
    <w:rsid w:val="00CB08BB"/>
    <w:rsid w:val="00CB34DC"/>
    <w:rsid w:val="00CB41D6"/>
    <w:rsid w:val="00CB4E16"/>
    <w:rsid w:val="00CB5072"/>
    <w:rsid w:val="00CB6BC9"/>
    <w:rsid w:val="00CC0EA5"/>
    <w:rsid w:val="00CC3F3F"/>
    <w:rsid w:val="00CC4FBB"/>
    <w:rsid w:val="00CC69B1"/>
    <w:rsid w:val="00CD05A5"/>
    <w:rsid w:val="00CD2336"/>
    <w:rsid w:val="00CD5387"/>
    <w:rsid w:val="00CE21D1"/>
    <w:rsid w:val="00CE29C8"/>
    <w:rsid w:val="00CE3FCE"/>
    <w:rsid w:val="00CF0FBA"/>
    <w:rsid w:val="00CF377F"/>
    <w:rsid w:val="00D03504"/>
    <w:rsid w:val="00D052D2"/>
    <w:rsid w:val="00D13CEC"/>
    <w:rsid w:val="00D13EC2"/>
    <w:rsid w:val="00D151B2"/>
    <w:rsid w:val="00D211D6"/>
    <w:rsid w:val="00D22CC4"/>
    <w:rsid w:val="00D264C8"/>
    <w:rsid w:val="00D316C5"/>
    <w:rsid w:val="00D3278B"/>
    <w:rsid w:val="00D32AE2"/>
    <w:rsid w:val="00D32FC3"/>
    <w:rsid w:val="00D3332C"/>
    <w:rsid w:val="00D34BD7"/>
    <w:rsid w:val="00D353D7"/>
    <w:rsid w:val="00D36E5D"/>
    <w:rsid w:val="00D41424"/>
    <w:rsid w:val="00D4218F"/>
    <w:rsid w:val="00D42530"/>
    <w:rsid w:val="00D43764"/>
    <w:rsid w:val="00D43E41"/>
    <w:rsid w:val="00D44183"/>
    <w:rsid w:val="00D46235"/>
    <w:rsid w:val="00D500ED"/>
    <w:rsid w:val="00D50B8D"/>
    <w:rsid w:val="00D5288C"/>
    <w:rsid w:val="00D538C2"/>
    <w:rsid w:val="00D56CA2"/>
    <w:rsid w:val="00D56F9A"/>
    <w:rsid w:val="00D631C8"/>
    <w:rsid w:val="00D63AE7"/>
    <w:rsid w:val="00D70945"/>
    <w:rsid w:val="00D714D9"/>
    <w:rsid w:val="00D7265A"/>
    <w:rsid w:val="00D728FE"/>
    <w:rsid w:val="00D7315A"/>
    <w:rsid w:val="00D73E1D"/>
    <w:rsid w:val="00D76C2E"/>
    <w:rsid w:val="00D76DAC"/>
    <w:rsid w:val="00D774B3"/>
    <w:rsid w:val="00D77C41"/>
    <w:rsid w:val="00D800EC"/>
    <w:rsid w:val="00D80CD4"/>
    <w:rsid w:val="00D82C4F"/>
    <w:rsid w:val="00D83032"/>
    <w:rsid w:val="00D83312"/>
    <w:rsid w:val="00D84DBA"/>
    <w:rsid w:val="00D911D1"/>
    <w:rsid w:val="00D94C38"/>
    <w:rsid w:val="00D94D14"/>
    <w:rsid w:val="00D9660E"/>
    <w:rsid w:val="00DA46C4"/>
    <w:rsid w:val="00DA52E5"/>
    <w:rsid w:val="00DA6A93"/>
    <w:rsid w:val="00DA7718"/>
    <w:rsid w:val="00DA786B"/>
    <w:rsid w:val="00DA7990"/>
    <w:rsid w:val="00DB40E2"/>
    <w:rsid w:val="00DB4B25"/>
    <w:rsid w:val="00DB4BDB"/>
    <w:rsid w:val="00DB58B1"/>
    <w:rsid w:val="00DB6969"/>
    <w:rsid w:val="00DC00B4"/>
    <w:rsid w:val="00DC048A"/>
    <w:rsid w:val="00DC1193"/>
    <w:rsid w:val="00DC1418"/>
    <w:rsid w:val="00DC4651"/>
    <w:rsid w:val="00DC6B13"/>
    <w:rsid w:val="00DD17D1"/>
    <w:rsid w:val="00DD74DA"/>
    <w:rsid w:val="00DE2526"/>
    <w:rsid w:val="00DE6006"/>
    <w:rsid w:val="00DE797F"/>
    <w:rsid w:val="00DE7B6C"/>
    <w:rsid w:val="00DE7E28"/>
    <w:rsid w:val="00DF07DC"/>
    <w:rsid w:val="00DF1F08"/>
    <w:rsid w:val="00DF4CFE"/>
    <w:rsid w:val="00DF6276"/>
    <w:rsid w:val="00DF648B"/>
    <w:rsid w:val="00DF729B"/>
    <w:rsid w:val="00E01132"/>
    <w:rsid w:val="00E027B6"/>
    <w:rsid w:val="00E05032"/>
    <w:rsid w:val="00E0700A"/>
    <w:rsid w:val="00E108B6"/>
    <w:rsid w:val="00E11E71"/>
    <w:rsid w:val="00E12661"/>
    <w:rsid w:val="00E13917"/>
    <w:rsid w:val="00E158C9"/>
    <w:rsid w:val="00E23EBB"/>
    <w:rsid w:val="00E2402D"/>
    <w:rsid w:val="00E2706F"/>
    <w:rsid w:val="00E30AA7"/>
    <w:rsid w:val="00E33E21"/>
    <w:rsid w:val="00E35B61"/>
    <w:rsid w:val="00E36C1D"/>
    <w:rsid w:val="00E3722C"/>
    <w:rsid w:val="00E420E3"/>
    <w:rsid w:val="00E429C8"/>
    <w:rsid w:val="00E442CC"/>
    <w:rsid w:val="00E44BA7"/>
    <w:rsid w:val="00E45BF6"/>
    <w:rsid w:val="00E45F36"/>
    <w:rsid w:val="00E46D2C"/>
    <w:rsid w:val="00E475B7"/>
    <w:rsid w:val="00E51232"/>
    <w:rsid w:val="00E53943"/>
    <w:rsid w:val="00E5654E"/>
    <w:rsid w:val="00E568E2"/>
    <w:rsid w:val="00E60EA0"/>
    <w:rsid w:val="00E61F6D"/>
    <w:rsid w:val="00E6585C"/>
    <w:rsid w:val="00E70177"/>
    <w:rsid w:val="00E72559"/>
    <w:rsid w:val="00E7398F"/>
    <w:rsid w:val="00E75F9E"/>
    <w:rsid w:val="00E76ED4"/>
    <w:rsid w:val="00E80F09"/>
    <w:rsid w:val="00E812DD"/>
    <w:rsid w:val="00E81BEB"/>
    <w:rsid w:val="00E82030"/>
    <w:rsid w:val="00E83772"/>
    <w:rsid w:val="00E84A61"/>
    <w:rsid w:val="00E8765E"/>
    <w:rsid w:val="00E87A18"/>
    <w:rsid w:val="00E87A21"/>
    <w:rsid w:val="00E90C20"/>
    <w:rsid w:val="00E922CA"/>
    <w:rsid w:val="00E92735"/>
    <w:rsid w:val="00E92FF2"/>
    <w:rsid w:val="00E934AD"/>
    <w:rsid w:val="00E9518D"/>
    <w:rsid w:val="00E96360"/>
    <w:rsid w:val="00EA07CA"/>
    <w:rsid w:val="00EA46E4"/>
    <w:rsid w:val="00EB3126"/>
    <w:rsid w:val="00EB6659"/>
    <w:rsid w:val="00EB7D66"/>
    <w:rsid w:val="00EC1119"/>
    <w:rsid w:val="00EC2FDA"/>
    <w:rsid w:val="00EC404F"/>
    <w:rsid w:val="00EC5EDF"/>
    <w:rsid w:val="00EC6AEC"/>
    <w:rsid w:val="00EC7819"/>
    <w:rsid w:val="00ED339E"/>
    <w:rsid w:val="00ED39BB"/>
    <w:rsid w:val="00ED4510"/>
    <w:rsid w:val="00ED5720"/>
    <w:rsid w:val="00ED5906"/>
    <w:rsid w:val="00EE2DEE"/>
    <w:rsid w:val="00EE2F67"/>
    <w:rsid w:val="00EE46F1"/>
    <w:rsid w:val="00EF0B92"/>
    <w:rsid w:val="00EF120E"/>
    <w:rsid w:val="00EF384C"/>
    <w:rsid w:val="00EF46DA"/>
    <w:rsid w:val="00EF49DB"/>
    <w:rsid w:val="00EF4DF8"/>
    <w:rsid w:val="00EF720C"/>
    <w:rsid w:val="00F0500A"/>
    <w:rsid w:val="00F10044"/>
    <w:rsid w:val="00F14D2C"/>
    <w:rsid w:val="00F22EC7"/>
    <w:rsid w:val="00F240ED"/>
    <w:rsid w:val="00F27757"/>
    <w:rsid w:val="00F33C36"/>
    <w:rsid w:val="00F33EDB"/>
    <w:rsid w:val="00F358A8"/>
    <w:rsid w:val="00F35D0C"/>
    <w:rsid w:val="00F412FC"/>
    <w:rsid w:val="00F41FAA"/>
    <w:rsid w:val="00F4288A"/>
    <w:rsid w:val="00F42B46"/>
    <w:rsid w:val="00F4457C"/>
    <w:rsid w:val="00F44CF5"/>
    <w:rsid w:val="00F44F22"/>
    <w:rsid w:val="00F50DBB"/>
    <w:rsid w:val="00F61392"/>
    <w:rsid w:val="00F63A5A"/>
    <w:rsid w:val="00F65A57"/>
    <w:rsid w:val="00F66A36"/>
    <w:rsid w:val="00F66D87"/>
    <w:rsid w:val="00F6772E"/>
    <w:rsid w:val="00F70C02"/>
    <w:rsid w:val="00F7259A"/>
    <w:rsid w:val="00F73D2B"/>
    <w:rsid w:val="00F73F57"/>
    <w:rsid w:val="00F753E9"/>
    <w:rsid w:val="00F801C7"/>
    <w:rsid w:val="00F80CBB"/>
    <w:rsid w:val="00F8110B"/>
    <w:rsid w:val="00F841FB"/>
    <w:rsid w:val="00F87D60"/>
    <w:rsid w:val="00F90795"/>
    <w:rsid w:val="00F93EC7"/>
    <w:rsid w:val="00FA0B1C"/>
    <w:rsid w:val="00FA1EFB"/>
    <w:rsid w:val="00FB2BD8"/>
    <w:rsid w:val="00FB7270"/>
    <w:rsid w:val="00FC4159"/>
    <w:rsid w:val="00FC5271"/>
    <w:rsid w:val="00FC62B8"/>
    <w:rsid w:val="00FD00D3"/>
    <w:rsid w:val="00FD1F17"/>
    <w:rsid w:val="00FD4C36"/>
    <w:rsid w:val="00FD51E4"/>
    <w:rsid w:val="00FE0958"/>
    <w:rsid w:val="00FE2F14"/>
    <w:rsid w:val="00FE3BC5"/>
    <w:rsid w:val="00FE4004"/>
    <w:rsid w:val="00FE4F36"/>
    <w:rsid w:val="00FE58C0"/>
    <w:rsid w:val="00FF627A"/>
    <w:rsid w:val="00FF62A9"/>
    <w:rsid w:val="00FF6F4B"/>
    <w:rsid w:val="00FF7EB6"/>
    <w:rsid w:val="73D10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33"/>
    <w:unhideWhenUsed/>
    <w:qFormat/>
    <w:uiPriority w:val="0"/>
    <w:pPr>
      <w:spacing w:after="160" w:line="259" w:lineRule="auto"/>
    </w:pPr>
    <w:rPr>
      <w:rFonts w:ascii="Calibri" w:hAnsi="Calibri" w:eastAsia="等线" w:cs="Times New Roman"/>
      <w:sz w:val="20"/>
      <w:szCs w:val="20"/>
      <w:lang w:val="bg-BG" w:eastAsia="en-US"/>
    </w:rPr>
  </w:style>
  <w:style w:type="paragraph" w:styleId="3">
    <w:name w:val="Balloon Text"/>
    <w:basedOn w:val="1"/>
    <w:link w:val="38"/>
    <w:semiHidden/>
    <w:unhideWhenUsed/>
    <w:qFormat/>
    <w:uiPriority w:val="99"/>
    <w:rPr>
      <w:rFonts w:ascii="Segoe UI" w:hAnsi="Segoe UI" w:cs="Segoe UI"/>
      <w:sz w:val="18"/>
      <w:szCs w:val="18"/>
    </w:rPr>
  </w:style>
  <w:style w:type="paragraph" w:styleId="4">
    <w:name w:val="footer"/>
    <w:basedOn w:val="1"/>
    <w:link w:val="16"/>
    <w:unhideWhenUsed/>
    <w:qFormat/>
    <w:uiPriority w:val="99"/>
    <w:pPr>
      <w:tabs>
        <w:tab w:val="center" w:pos="4536"/>
        <w:tab w:val="right" w:pos="9072"/>
      </w:tabs>
    </w:pPr>
    <w:rPr>
      <w:rFonts w:ascii="Calibri" w:hAnsi="Calibri" w:eastAsia="等线" w:cs="Times New Roman"/>
      <w:sz w:val="22"/>
      <w:szCs w:val="22"/>
      <w:lang w:val="bg-BG" w:eastAsia="en-US"/>
    </w:rPr>
  </w:style>
  <w:style w:type="paragraph" w:styleId="5">
    <w:name w:val="header"/>
    <w:basedOn w:val="1"/>
    <w:link w:val="15"/>
    <w:unhideWhenUsed/>
    <w:qFormat/>
    <w:uiPriority w:val="99"/>
    <w:pPr>
      <w:tabs>
        <w:tab w:val="center" w:pos="4536"/>
        <w:tab w:val="right" w:pos="9072"/>
      </w:tabs>
    </w:pPr>
    <w:rPr>
      <w:rFonts w:ascii="Calibri" w:hAnsi="Calibri" w:eastAsia="等线" w:cs="Times New Roman"/>
      <w:sz w:val="22"/>
      <w:szCs w:val="22"/>
      <w:lang w:val="bg-BG" w:eastAsia="en-US"/>
    </w:rPr>
  </w:style>
  <w:style w:type="paragraph" w:styleId="6">
    <w:name w:val="Normal (Web)"/>
    <w:basedOn w:val="1"/>
    <w:semiHidden/>
    <w:unhideWhenUsed/>
    <w:qFormat/>
    <w:uiPriority w:val="99"/>
    <w:pPr>
      <w:spacing w:before="100" w:beforeAutospacing="1" w:after="100" w:afterAutospacing="1"/>
    </w:pPr>
    <w:rPr>
      <w:rFonts w:ascii="Times New Roman" w:hAnsi="Times New Roman" w:eastAsia="Times New Roman"/>
      <w:lang w:eastAsia="bg-BG"/>
    </w:rPr>
  </w:style>
  <w:style w:type="paragraph" w:styleId="7">
    <w:name w:val="annotation subject"/>
    <w:basedOn w:val="2"/>
    <w:next w:val="2"/>
    <w:link w:val="34"/>
    <w:semiHidden/>
    <w:unhideWhenUsed/>
    <w:qFormat/>
    <w:uiPriority w:val="99"/>
    <w:rPr>
      <w:b/>
      <w:bCs/>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22"/>
    <w:rPr>
      <w:b/>
      <w:bCs/>
    </w:rPr>
  </w:style>
  <w:style w:type="character" w:styleId="12">
    <w:name w:val="page number"/>
    <w:basedOn w:val="10"/>
    <w:semiHidden/>
    <w:unhideWhenUsed/>
    <w:qFormat/>
    <w:uiPriority w:val="99"/>
  </w:style>
  <w:style w:type="character" w:styleId="13">
    <w:name w:val="Hyperlink"/>
    <w:unhideWhenUsed/>
    <w:uiPriority w:val="99"/>
    <w:rPr>
      <w:color w:val="0000FF"/>
      <w:u w:val="single"/>
    </w:rPr>
  </w:style>
  <w:style w:type="character" w:styleId="14">
    <w:name w:val="annotation reference"/>
    <w:unhideWhenUsed/>
    <w:qFormat/>
    <w:uiPriority w:val="0"/>
    <w:rPr>
      <w:sz w:val="16"/>
      <w:szCs w:val="16"/>
    </w:rPr>
  </w:style>
  <w:style w:type="character" w:customStyle="1" w:styleId="15">
    <w:name w:val="页眉 字符"/>
    <w:basedOn w:val="10"/>
    <w:link w:val="5"/>
    <w:qFormat/>
    <w:uiPriority w:val="99"/>
  </w:style>
  <w:style w:type="character" w:customStyle="1" w:styleId="16">
    <w:name w:val="页脚 字符"/>
    <w:basedOn w:val="10"/>
    <w:link w:val="4"/>
    <w:uiPriority w:val="99"/>
  </w:style>
  <w:style w:type="paragraph" w:styleId="17">
    <w:name w:val="List Paragraph"/>
    <w:basedOn w:val="1"/>
    <w:qFormat/>
    <w:uiPriority w:val="34"/>
    <w:pPr>
      <w:ind w:left="720"/>
      <w:contextualSpacing/>
    </w:pPr>
    <w:rPr>
      <w:rFonts w:ascii="Times New Roman" w:hAnsi="Times New Roman" w:eastAsia="Times New Roman" w:cs="Times New Roman"/>
      <w:lang w:val="bg-BG" w:eastAsia="bg-BG"/>
    </w:rPr>
  </w:style>
  <w:style w:type="character" w:customStyle="1" w:styleId="18">
    <w:name w:val="_"/>
    <w:qFormat/>
    <w:uiPriority w:val="0"/>
  </w:style>
  <w:style w:type="character" w:customStyle="1" w:styleId="19">
    <w:name w:val="element-citation"/>
    <w:uiPriority w:val="0"/>
  </w:style>
  <w:style w:type="character" w:customStyle="1" w:styleId="20">
    <w:name w:val="ref-journal"/>
    <w:qFormat/>
    <w:uiPriority w:val="0"/>
  </w:style>
  <w:style w:type="character" w:customStyle="1" w:styleId="21">
    <w:name w:val="ref-vol"/>
    <w:qFormat/>
    <w:uiPriority w:val="0"/>
  </w:style>
  <w:style w:type="character" w:customStyle="1" w:styleId="22">
    <w:name w:val="nowrap"/>
    <w:qFormat/>
    <w:uiPriority w:val="0"/>
  </w:style>
  <w:style w:type="paragraph" w:customStyle="1" w:styleId="23">
    <w:name w:val="elsevierstylepara"/>
    <w:basedOn w:val="1"/>
    <w:qFormat/>
    <w:uiPriority w:val="0"/>
    <w:pPr>
      <w:spacing w:before="100" w:beforeAutospacing="1" w:after="100" w:afterAutospacing="1"/>
    </w:pPr>
    <w:rPr>
      <w:rFonts w:ascii="Times New Roman" w:hAnsi="Times New Roman" w:eastAsia="Times New Roman" w:cs="Times New Roman"/>
      <w:lang w:eastAsia="en-US"/>
    </w:rPr>
  </w:style>
  <w:style w:type="character" w:customStyle="1" w:styleId="24">
    <w:name w:val="elsevierstylesup"/>
    <w:qFormat/>
    <w:uiPriority w:val="0"/>
  </w:style>
  <w:style w:type="character" w:customStyle="1" w:styleId="25">
    <w:name w:val="elsevierstyleitalic"/>
    <w:qFormat/>
    <w:uiPriority w:val="0"/>
  </w:style>
  <w:style w:type="character" w:customStyle="1" w:styleId="26">
    <w:name w:val="elsevieritemreferenciahostrevistalink"/>
    <w:qFormat/>
    <w:uiPriority w:val="0"/>
  </w:style>
  <w:style w:type="character" w:customStyle="1" w:styleId="27">
    <w:name w:val="elsevierstylesectiontitle"/>
    <w:qFormat/>
    <w:uiPriority w:val="0"/>
  </w:style>
  <w:style w:type="paragraph" w:customStyle="1" w:styleId="28">
    <w:name w:val="p"/>
    <w:basedOn w:val="1"/>
    <w:qFormat/>
    <w:uiPriority w:val="0"/>
    <w:pPr>
      <w:spacing w:before="100" w:beforeAutospacing="1" w:after="100" w:afterAutospacing="1"/>
    </w:pPr>
    <w:rPr>
      <w:rFonts w:ascii="Times New Roman" w:hAnsi="Times New Roman" w:eastAsia="Times New Roman" w:cs="Times New Roman"/>
      <w:lang w:eastAsia="en-US"/>
    </w:rPr>
  </w:style>
  <w:style w:type="character" w:customStyle="1" w:styleId="29">
    <w:name w:val="kwd-text"/>
    <w:qFormat/>
    <w:uiPriority w:val="0"/>
  </w:style>
  <w:style w:type="table" w:customStyle="1" w:styleId="30">
    <w:name w:val="Grid Table Light"/>
    <w:basedOn w:val="8"/>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31">
    <w:name w:val="未处理的提及1"/>
    <w:semiHidden/>
    <w:unhideWhenUsed/>
    <w:qFormat/>
    <w:uiPriority w:val="99"/>
    <w:rPr>
      <w:color w:val="605E5C"/>
      <w:shd w:val="clear" w:color="auto" w:fill="E1DFDD"/>
    </w:rPr>
  </w:style>
  <w:style w:type="character" w:customStyle="1" w:styleId="32">
    <w:name w:val="orcid-id-https"/>
    <w:basedOn w:val="10"/>
    <w:qFormat/>
    <w:uiPriority w:val="0"/>
  </w:style>
  <w:style w:type="character" w:customStyle="1" w:styleId="33">
    <w:name w:val="批注文字 字符"/>
    <w:link w:val="2"/>
    <w:qFormat/>
    <w:uiPriority w:val="0"/>
    <w:rPr>
      <w:lang w:val="bg-BG"/>
    </w:rPr>
  </w:style>
  <w:style w:type="character" w:customStyle="1" w:styleId="34">
    <w:name w:val="批注主题 字符"/>
    <w:link w:val="7"/>
    <w:semiHidden/>
    <w:qFormat/>
    <w:uiPriority w:val="99"/>
    <w:rPr>
      <w:b/>
      <w:bCs/>
      <w:lang w:val="bg-BG"/>
    </w:rPr>
  </w:style>
  <w:style w:type="paragraph" w:customStyle="1" w:styleId="35">
    <w:name w:val="Default"/>
    <w:link w:val="36"/>
    <w:qFormat/>
    <w:uiPriority w:val="0"/>
    <w:pPr>
      <w:widowControl w:val="0"/>
      <w:autoSpaceDE w:val="0"/>
      <w:autoSpaceDN w:val="0"/>
      <w:adjustRightInd w:val="0"/>
    </w:pPr>
    <w:rPr>
      <w:rFonts w:ascii="Book Antiqua" w:hAnsi="Book Antiqua" w:eastAsia="PMingLiU" w:cs="Book Antiqua"/>
      <w:color w:val="000000"/>
      <w:sz w:val="24"/>
      <w:szCs w:val="24"/>
      <w:lang w:val="en-US" w:eastAsia="zh-TW" w:bidi="ar-SA"/>
    </w:rPr>
  </w:style>
  <w:style w:type="character" w:customStyle="1" w:styleId="36">
    <w:name w:val="Default 字元"/>
    <w:link w:val="35"/>
    <w:qFormat/>
    <w:uiPriority w:val="0"/>
    <w:rPr>
      <w:rFonts w:ascii="Book Antiqua" w:hAnsi="Book Antiqua" w:eastAsia="PMingLiU" w:cs="Book Antiqua"/>
      <w:color w:val="000000"/>
      <w:sz w:val="24"/>
      <w:szCs w:val="24"/>
      <w:lang w:eastAsia="zh-TW"/>
    </w:rPr>
  </w:style>
  <w:style w:type="paragraph" w:customStyle="1" w:styleId="37">
    <w:name w:val="Padrão B"/>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u w:color="000000"/>
      <w:lang w:val="en-US" w:eastAsia="pt-BR" w:bidi="ar-SA"/>
    </w:rPr>
  </w:style>
  <w:style w:type="character" w:customStyle="1" w:styleId="38">
    <w:name w:val="批注框文本 字符"/>
    <w:link w:val="3"/>
    <w:semiHidden/>
    <w:qFormat/>
    <w:uiPriority w:val="99"/>
    <w:rPr>
      <w:rFonts w:ascii="Segoe UI" w:hAnsi="Segoe UI" w:cs="Segoe UI"/>
      <w:sz w:val="18"/>
      <w:szCs w:val="18"/>
      <w:lang w:eastAsia="en-US"/>
    </w:rPr>
  </w:style>
  <w:style w:type="paragraph" w:customStyle="1" w:styleId="39">
    <w:name w:val="Revision"/>
    <w:hidden/>
    <w:semiHidden/>
    <w:qFormat/>
    <w:uiPriority w:val="99"/>
    <w:rPr>
      <w:rFonts w:ascii="Calibri" w:hAnsi="Calibri" w:eastAsia="等线" w:cs="Times New Roman"/>
      <w:sz w:val="22"/>
      <w:szCs w:val="22"/>
      <w:lang w:val="bg-BG" w:eastAsia="en-US" w:bidi="ar-SA"/>
    </w:rPr>
  </w:style>
  <w:style w:type="character" w:customStyle="1" w:styleId="40">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A5D12-E8E9-4DDF-BA75-C08CFA61AC95}">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4100</Words>
  <Characters>24444</Characters>
  <Lines>636</Lines>
  <Paragraphs>179</Paragraphs>
  <TotalTime>0</TotalTime>
  <ScaleCrop>false</ScaleCrop>
  <LinksUpToDate>false</LinksUpToDate>
  <CharactersWithSpaces>28330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2022-07-31T17:06:00Z</dcterms:created>
  <dc:creator>My Samsung</dc:creator>
  <cp:lastModifiedBy>晓晨</cp:lastModifiedBy>
  <dcterms:modified xsi:type="dcterms:W3CDTF">2022-08-26T06:11:19Z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f13bd307-92fc-3f76-b8f8-6e83dc9fa543</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2052-11.1.0.12302</vt:lpwstr>
  </property>
  <property fmtid="{D5CDD505-2E9C-101B-9397-08002B2CF9AE}" pid="26" name="ICV">
    <vt:lpwstr>282FCE73519C47168D6D4D489FB91616</vt:lpwstr>
  </property>
</Properties>
</file>