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8AE" w14:textId="77777777" w:rsidR="00A77B3E" w:rsidRDefault="000C73F3" w:rsidP="00E739A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3D6432C3" w14:textId="77777777" w:rsidR="00A77B3E" w:rsidRDefault="000C73F3" w:rsidP="00E739A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77030</w:t>
      </w:r>
    </w:p>
    <w:p w14:paraId="47FC3DBA" w14:textId="77777777" w:rsidR="00A77B3E" w:rsidRDefault="000C73F3" w:rsidP="00E739A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32D8EF13" w14:textId="77777777" w:rsidR="00A77B3E" w:rsidRDefault="00A77B3E" w:rsidP="00E739A1">
      <w:pPr>
        <w:spacing w:line="360" w:lineRule="auto"/>
        <w:jc w:val="both"/>
      </w:pPr>
    </w:p>
    <w:p w14:paraId="475871F6" w14:textId="77777777" w:rsidR="00A77B3E" w:rsidRDefault="000C73F3" w:rsidP="00E739A1">
      <w:pPr>
        <w:spacing w:line="360" w:lineRule="auto"/>
        <w:jc w:val="both"/>
      </w:pPr>
      <w:r>
        <w:rPr>
          <w:rFonts w:ascii="Book Antiqua" w:eastAsia="Book Antiqua" w:hAnsi="Book Antiqua" w:cs="Book Antiqua"/>
          <w:b/>
          <w:color w:val="000000"/>
        </w:rPr>
        <w:t xml:space="preserve">Impact of </w:t>
      </w:r>
      <w:r w:rsidR="00885C77">
        <w:rPr>
          <w:rFonts w:ascii="Book Antiqua" w:eastAsia="Book Antiqua" w:hAnsi="Book Antiqua" w:cs="Book Antiqua"/>
          <w:b/>
          <w:color w:val="000000"/>
        </w:rPr>
        <w:t xml:space="preserve">gender-affirming hormone therapy on the development </w:t>
      </w:r>
      <w:r>
        <w:rPr>
          <w:rFonts w:ascii="Book Antiqua" w:eastAsia="Book Antiqua" w:hAnsi="Book Antiqua" w:cs="Book Antiqua"/>
          <w:b/>
          <w:color w:val="000000"/>
        </w:rPr>
        <w:t xml:space="preserve">of COVID-19 </w:t>
      </w:r>
      <w:r w:rsidR="00885C77">
        <w:rPr>
          <w:rFonts w:ascii="Book Antiqua" w:eastAsia="Book Antiqua" w:hAnsi="Book Antiqua" w:cs="Book Antiqua"/>
          <w:b/>
          <w:color w:val="000000"/>
        </w:rPr>
        <w:t>infections and associated complications</w:t>
      </w:r>
      <w:r>
        <w:rPr>
          <w:rFonts w:ascii="Book Antiqua" w:eastAsia="Book Antiqua" w:hAnsi="Book Antiqua" w:cs="Book Antiqua"/>
          <w:b/>
          <w:color w:val="000000"/>
        </w:rPr>
        <w:t xml:space="preserve">: </w:t>
      </w:r>
      <w:r w:rsidR="00885C77" w:rsidRPr="006E477D">
        <w:rPr>
          <w:rFonts w:ascii="Book Antiqua" w:hAnsi="Book Antiqua"/>
          <w:b/>
          <w:bCs/>
          <w:lang w:eastAsia="it-IT"/>
        </w:rPr>
        <w:t>A systematic review</w:t>
      </w:r>
    </w:p>
    <w:p w14:paraId="2718BDD7" w14:textId="77777777" w:rsidR="00A77B3E" w:rsidRDefault="00A77B3E" w:rsidP="00E739A1">
      <w:pPr>
        <w:spacing w:line="360" w:lineRule="auto"/>
        <w:jc w:val="both"/>
      </w:pPr>
    </w:p>
    <w:p w14:paraId="7B37A1EA" w14:textId="77777777" w:rsidR="00A77B3E" w:rsidRDefault="00663FEE" w:rsidP="00E739A1">
      <w:pPr>
        <w:spacing w:line="360" w:lineRule="auto"/>
        <w:jc w:val="both"/>
      </w:pPr>
      <w:r>
        <w:rPr>
          <w:rFonts w:ascii="Book Antiqua" w:eastAsia="Book Antiqua" w:hAnsi="Book Antiqua" w:cs="Book Antiqua"/>
          <w:color w:val="000000"/>
        </w:rPr>
        <w:t xml:space="preserve">Ferraro </w:t>
      </w:r>
      <w:r w:rsidRPr="00663FEE">
        <w:rPr>
          <w:rFonts w:ascii="Book Antiqua" w:eastAsia="Book Antiqua" w:hAnsi="Book Antiqua" w:cs="Book Antiqua"/>
          <w:color w:val="000000"/>
        </w:rPr>
        <w:t xml:space="preserve">JJ </w:t>
      </w:r>
      <w:r w:rsidRPr="00663FEE">
        <w:rPr>
          <w:rFonts w:ascii="Book Antiqua" w:hAnsi="Book Antiqua" w:cs="Book Antiqua"/>
          <w:i/>
          <w:iCs/>
          <w:color w:val="000000"/>
          <w:lang w:eastAsia="zh-CN"/>
        </w:rPr>
        <w:t>et</w:t>
      </w:r>
      <w:r w:rsidRPr="00663FEE">
        <w:rPr>
          <w:rFonts w:ascii="Book Antiqua" w:eastAsia="Book Antiqua" w:hAnsi="Book Antiqua" w:cs="Book Antiqua"/>
          <w:i/>
          <w:iCs/>
          <w:color w:val="000000"/>
        </w:rPr>
        <w:t xml:space="preserve"> al</w:t>
      </w:r>
      <w:r w:rsidRPr="00663FEE">
        <w:rPr>
          <w:rFonts w:ascii="Book Antiqua" w:eastAsia="Book Antiqua" w:hAnsi="Book Antiqua" w:cs="Book Antiqua"/>
          <w:color w:val="000000"/>
        </w:rPr>
        <w:t xml:space="preserve">. </w:t>
      </w:r>
      <w:r w:rsidR="000C73F3">
        <w:rPr>
          <w:rFonts w:ascii="Book Antiqua" w:eastAsia="Book Antiqua" w:hAnsi="Book Antiqua" w:cs="Book Antiqua"/>
          <w:color w:val="000000"/>
        </w:rPr>
        <w:t>Gender-</w:t>
      </w:r>
      <w:r>
        <w:rPr>
          <w:rFonts w:ascii="Book Antiqua" w:eastAsia="Book Antiqua" w:hAnsi="Book Antiqua" w:cs="Book Antiqua"/>
          <w:color w:val="000000"/>
        </w:rPr>
        <w:t>affirming hormone therapy a</w:t>
      </w:r>
      <w:r w:rsidR="000C73F3">
        <w:rPr>
          <w:rFonts w:ascii="Book Antiqua" w:eastAsia="Book Antiqua" w:hAnsi="Book Antiqua" w:cs="Book Antiqua"/>
          <w:color w:val="000000"/>
        </w:rPr>
        <w:t>nd COVID-19</w:t>
      </w:r>
    </w:p>
    <w:p w14:paraId="204B92C8" w14:textId="77777777" w:rsidR="00A77B3E" w:rsidRDefault="00A77B3E" w:rsidP="00E739A1">
      <w:pPr>
        <w:spacing w:line="360" w:lineRule="auto"/>
        <w:jc w:val="both"/>
      </w:pPr>
    </w:p>
    <w:p w14:paraId="0E4AD767" w14:textId="77777777" w:rsidR="00A77B3E" w:rsidRDefault="000C73F3" w:rsidP="00E739A1">
      <w:pPr>
        <w:spacing w:line="360" w:lineRule="auto"/>
        <w:jc w:val="both"/>
      </w:pPr>
      <w:r>
        <w:rPr>
          <w:rFonts w:ascii="Book Antiqua" w:eastAsia="Book Antiqua" w:hAnsi="Book Antiqua" w:cs="Book Antiqua"/>
          <w:color w:val="000000"/>
        </w:rPr>
        <w:t>Jennifer J Ferraro, Allie Reynolds, Sylvia Edoigiawerie, Michelle Y Seu, Sydney R Horen, Amir Aminzada, Alireza Hamidian</w:t>
      </w:r>
      <w:r w:rsidR="00C6277F">
        <w:rPr>
          <w:rFonts w:ascii="Book Antiqua" w:eastAsia="Book Antiqua" w:hAnsi="Book Antiqua" w:cs="Book Antiqua"/>
          <w:color w:val="000000"/>
        </w:rPr>
        <w:t xml:space="preserve"> </w:t>
      </w:r>
      <w:r>
        <w:rPr>
          <w:rFonts w:ascii="Book Antiqua" w:eastAsia="Book Antiqua" w:hAnsi="Book Antiqua" w:cs="Book Antiqua"/>
          <w:color w:val="000000"/>
        </w:rPr>
        <w:t>Jahromi</w:t>
      </w:r>
    </w:p>
    <w:p w14:paraId="68364E9A" w14:textId="77777777" w:rsidR="00A77B3E" w:rsidRDefault="00A77B3E" w:rsidP="00E739A1">
      <w:pPr>
        <w:spacing w:line="360" w:lineRule="auto"/>
        <w:jc w:val="both"/>
      </w:pPr>
    </w:p>
    <w:p w14:paraId="06724F07" w14:textId="77777777" w:rsidR="00A77B3E" w:rsidRDefault="000C73F3" w:rsidP="00E739A1">
      <w:pPr>
        <w:spacing w:line="360" w:lineRule="auto"/>
        <w:jc w:val="both"/>
      </w:pPr>
      <w:r>
        <w:rPr>
          <w:rFonts w:ascii="Book Antiqua" w:eastAsia="Book Antiqua" w:hAnsi="Book Antiqua" w:cs="Book Antiqua"/>
          <w:b/>
          <w:bCs/>
          <w:color w:val="000000"/>
        </w:rPr>
        <w:t xml:space="preserve">Jennifer J Ferraro, Michelle Y Seu, Sydney R Horen, Amir Aminzada, </w:t>
      </w:r>
      <w:r>
        <w:rPr>
          <w:rFonts w:ascii="Book Antiqua" w:eastAsia="Book Antiqua" w:hAnsi="Book Antiqua" w:cs="Book Antiqua"/>
          <w:color w:val="000000"/>
        </w:rPr>
        <w:t>Department of Surgery, Division of Plastic and Reconstructive Surgery, Rush University Medical Center, Chicago, IL 60612, United States</w:t>
      </w:r>
    </w:p>
    <w:p w14:paraId="6A4E744A" w14:textId="77777777" w:rsidR="00A77B3E" w:rsidRDefault="00A77B3E" w:rsidP="00E739A1">
      <w:pPr>
        <w:spacing w:line="360" w:lineRule="auto"/>
        <w:jc w:val="both"/>
      </w:pPr>
    </w:p>
    <w:p w14:paraId="5ED0364A" w14:textId="77777777" w:rsidR="00A77B3E" w:rsidRDefault="000C73F3" w:rsidP="00E739A1">
      <w:pPr>
        <w:spacing w:line="360" w:lineRule="auto"/>
        <w:jc w:val="both"/>
      </w:pPr>
      <w:r>
        <w:rPr>
          <w:rFonts w:ascii="Book Antiqua" w:eastAsia="Book Antiqua" w:hAnsi="Book Antiqua" w:cs="Book Antiqua"/>
          <w:b/>
          <w:bCs/>
          <w:color w:val="000000"/>
        </w:rPr>
        <w:t xml:space="preserve">Allie Reynolds, </w:t>
      </w:r>
      <w:r>
        <w:rPr>
          <w:rFonts w:ascii="Book Antiqua" w:eastAsia="Book Antiqua" w:hAnsi="Book Antiqua" w:cs="Book Antiqua"/>
          <w:color w:val="000000"/>
        </w:rPr>
        <w:t>Undergraduate Studies, Princeton University, Princeton, NJ 08544, United States</w:t>
      </w:r>
    </w:p>
    <w:p w14:paraId="74BF94F0" w14:textId="77777777" w:rsidR="00A77B3E" w:rsidRDefault="00A77B3E" w:rsidP="00E739A1">
      <w:pPr>
        <w:spacing w:line="360" w:lineRule="auto"/>
        <w:jc w:val="both"/>
      </w:pPr>
    </w:p>
    <w:p w14:paraId="74C1B624" w14:textId="77777777" w:rsidR="00A77B3E" w:rsidRDefault="000C73F3" w:rsidP="00E739A1">
      <w:pPr>
        <w:spacing w:line="360" w:lineRule="auto"/>
        <w:jc w:val="both"/>
      </w:pPr>
      <w:r>
        <w:rPr>
          <w:rFonts w:ascii="Book Antiqua" w:eastAsia="Book Antiqua" w:hAnsi="Book Antiqua" w:cs="Book Antiqua"/>
          <w:b/>
          <w:bCs/>
          <w:color w:val="000000"/>
        </w:rPr>
        <w:t xml:space="preserve">Sylvia Edoigiawerie, </w:t>
      </w:r>
      <w:r>
        <w:rPr>
          <w:rFonts w:ascii="Book Antiqua" w:eastAsia="Book Antiqua" w:hAnsi="Book Antiqua" w:cs="Book Antiqua"/>
          <w:color w:val="000000"/>
        </w:rPr>
        <w:t>Medical School, The University of Chicago Pritzker School of Medicine, Chicago, IL 60637, United States</w:t>
      </w:r>
    </w:p>
    <w:p w14:paraId="46758621" w14:textId="77777777" w:rsidR="00A77B3E" w:rsidRDefault="00A77B3E" w:rsidP="00E739A1">
      <w:pPr>
        <w:spacing w:line="360" w:lineRule="auto"/>
        <w:jc w:val="both"/>
      </w:pPr>
    </w:p>
    <w:p w14:paraId="25A76DFE" w14:textId="77777777" w:rsidR="00A77B3E" w:rsidRDefault="000C73F3" w:rsidP="00E739A1">
      <w:pPr>
        <w:spacing w:line="360" w:lineRule="auto"/>
        <w:jc w:val="both"/>
      </w:pPr>
      <w:r>
        <w:rPr>
          <w:rFonts w:ascii="Book Antiqua" w:eastAsia="Book Antiqua" w:hAnsi="Book Antiqua" w:cs="Book Antiqua"/>
          <w:b/>
          <w:bCs/>
          <w:color w:val="000000"/>
        </w:rPr>
        <w:t>Alireza Hamidian</w:t>
      </w:r>
      <w:r w:rsidR="00C6277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Jahromi, </w:t>
      </w:r>
      <w:r>
        <w:rPr>
          <w:rFonts w:ascii="Book Antiqua" w:eastAsia="Book Antiqua" w:hAnsi="Book Antiqua" w:cs="Book Antiqua"/>
          <w:color w:val="000000"/>
        </w:rPr>
        <w:t>Division of Plastic and Reconstructive Surgery, Temple University Health System, Philadelphia, PA 19140, United States</w:t>
      </w:r>
    </w:p>
    <w:p w14:paraId="2333601F" w14:textId="77777777" w:rsidR="00A77B3E" w:rsidRDefault="00A77B3E" w:rsidP="00E739A1">
      <w:pPr>
        <w:spacing w:line="360" w:lineRule="auto"/>
        <w:jc w:val="both"/>
      </w:pPr>
    </w:p>
    <w:p w14:paraId="04FB5D9B" w14:textId="2DF05D19" w:rsidR="00A77B3E" w:rsidRPr="00663FEE" w:rsidRDefault="000C73F3" w:rsidP="00E739A1">
      <w:pPr>
        <w:spacing w:line="360" w:lineRule="auto"/>
        <w:jc w:val="both"/>
      </w:pPr>
      <w:r>
        <w:rPr>
          <w:rFonts w:ascii="Book Antiqua" w:eastAsia="Book Antiqua" w:hAnsi="Book Antiqua" w:cs="Book Antiqua"/>
          <w:b/>
          <w:bCs/>
          <w:color w:val="000000"/>
          <w:szCs w:val="22"/>
        </w:rPr>
        <w:t>Author contributions:</w:t>
      </w:r>
      <w:r w:rsidR="00C6277F">
        <w:rPr>
          <w:rFonts w:ascii="Book Antiqua" w:eastAsia="Book Antiqua" w:hAnsi="Book Antiqua" w:cs="Book Antiqua"/>
          <w:b/>
          <w:bCs/>
          <w:color w:val="000000"/>
          <w:szCs w:val="22"/>
        </w:rPr>
        <w:t xml:space="preserve"> </w:t>
      </w:r>
      <w:r w:rsidR="00C6277F" w:rsidRPr="00C6277F">
        <w:rPr>
          <w:rFonts w:ascii="Book Antiqua" w:eastAsia="Book Antiqua" w:hAnsi="Book Antiqua" w:cs="Book Antiqua"/>
          <w:bCs/>
          <w:color w:val="000000"/>
          <w:szCs w:val="22"/>
        </w:rPr>
        <w:t xml:space="preserve">Hamidian </w:t>
      </w:r>
      <w:r w:rsidRPr="00C6277F">
        <w:rPr>
          <w:rFonts w:ascii="Book Antiqua" w:eastAsia="Book Antiqua" w:hAnsi="Book Antiqua" w:cs="Book Antiqua"/>
          <w:color w:val="000000"/>
        </w:rPr>
        <w:t>Jahromi</w:t>
      </w:r>
      <w:r w:rsidR="00663FEE" w:rsidRPr="00663FEE">
        <w:rPr>
          <w:rFonts w:ascii="Book Antiqua" w:eastAsia="Book Antiqua" w:hAnsi="Book Antiqua" w:cs="Book Antiqua"/>
          <w:color w:val="000000"/>
        </w:rPr>
        <w:t xml:space="preserve"> A</w:t>
      </w:r>
      <w:r w:rsidRPr="00663FEE">
        <w:rPr>
          <w:rFonts w:ascii="Book Antiqua" w:eastAsia="Book Antiqua" w:hAnsi="Book Antiqua" w:cs="Book Antiqua"/>
          <w:color w:val="000000"/>
        </w:rPr>
        <w:t xml:space="preserve"> contributed to conceptualization and manuscript editing;</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Ferraro</w:t>
      </w:r>
      <w:r w:rsidR="00663FEE">
        <w:rPr>
          <w:rFonts w:ascii="Book Antiqua" w:eastAsia="Book Antiqua" w:hAnsi="Book Antiqua" w:cs="Book Antiqua"/>
          <w:color w:val="000000"/>
        </w:rPr>
        <w:t xml:space="preserve"> JJ</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Reynolds</w:t>
      </w:r>
      <w:r w:rsidR="00663FEE">
        <w:rPr>
          <w:rFonts w:ascii="Book Antiqua" w:eastAsia="Book Antiqua" w:hAnsi="Book Antiqua" w:cs="Book Antiqua"/>
          <w:color w:val="000000"/>
        </w:rPr>
        <w:t xml:space="preserve"> A</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Edoigiawerie</w:t>
      </w:r>
      <w:r w:rsidR="00663FEE">
        <w:rPr>
          <w:rFonts w:ascii="Book Antiqua" w:eastAsia="Book Antiqua" w:hAnsi="Book Antiqua" w:cs="Book Antiqua"/>
          <w:color w:val="000000"/>
        </w:rPr>
        <w:t xml:space="preserve"> S</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Seu</w:t>
      </w:r>
      <w:r w:rsidR="00663FEE">
        <w:rPr>
          <w:rFonts w:ascii="Book Antiqua" w:eastAsia="Book Antiqua" w:hAnsi="Book Antiqua" w:cs="Book Antiqua"/>
          <w:color w:val="000000"/>
        </w:rPr>
        <w:t xml:space="preserve"> MY</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Horen</w:t>
      </w:r>
      <w:r w:rsidR="00663FEE">
        <w:rPr>
          <w:rFonts w:ascii="Book Antiqua" w:eastAsia="Book Antiqua" w:hAnsi="Book Antiqua" w:cs="Book Antiqua"/>
          <w:color w:val="000000"/>
        </w:rPr>
        <w:t xml:space="preserve"> SR</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Aminzada</w:t>
      </w:r>
      <w:r w:rsidR="00C6277F">
        <w:rPr>
          <w:rFonts w:ascii="Book Antiqua" w:eastAsia="Book Antiqua" w:hAnsi="Book Antiqua" w:cs="Book Antiqua"/>
          <w:color w:val="000000"/>
        </w:rPr>
        <w:t xml:space="preserve"> </w:t>
      </w:r>
      <w:r w:rsidR="00663FEE">
        <w:rPr>
          <w:rFonts w:ascii="Book Antiqua" w:eastAsia="Book Antiqua" w:hAnsi="Book Antiqua" w:cs="Book Antiqua"/>
          <w:color w:val="000000"/>
        </w:rPr>
        <w:t xml:space="preserve">A </w:t>
      </w:r>
      <w:r w:rsidRPr="00663FEE">
        <w:rPr>
          <w:rFonts w:ascii="Book Antiqua" w:eastAsia="Book Antiqua" w:hAnsi="Book Antiqua" w:cs="Book Antiqua"/>
          <w:color w:val="000000"/>
        </w:rPr>
        <w:t>contributed to writing, statistical analysis, and manuscript editing</w:t>
      </w:r>
      <w:r w:rsidR="00B00E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00E739A1">
        <w:rPr>
          <w:rFonts w:ascii="Book Antiqua" w:eastAsia="Book Antiqua" w:hAnsi="Book Antiqua" w:cs="Book Antiqua"/>
          <w:color w:val="000000"/>
          <w:shd w:val="clear" w:color="auto" w:fill="FFFFFF"/>
        </w:rPr>
        <w:t>A</w:t>
      </w:r>
      <w:r w:rsidRPr="00663FEE">
        <w:rPr>
          <w:rFonts w:ascii="Book Antiqua" w:eastAsia="Book Antiqua" w:hAnsi="Book Antiqua" w:cs="Book Antiqua"/>
          <w:color w:val="000000"/>
          <w:shd w:val="clear" w:color="auto" w:fill="FFFFFF"/>
        </w:rPr>
        <w:t>ll authors</w:t>
      </w:r>
      <w:r w:rsidR="00C6277F">
        <w:rPr>
          <w:rFonts w:ascii="Book Antiqua" w:eastAsia="Book Antiqua" w:hAnsi="Book Antiqua" w:cs="Book Antiqua"/>
          <w:color w:val="000000"/>
          <w:shd w:val="clear" w:color="auto" w:fill="FFFFFF"/>
        </w:rPr>
        <w:t xml:space="preserve"> </w:t>
      </w:r>
      <w:r w:rsidRPr="00663FEE">
        <w:rPr>
          <w:rFonts w:ascii="Book Antiqua" w:eastAsia="Book Antiqua" w:hAnsi="Book Antiqua" w:cs="Book Antiqua"/>
          <w:color w:val="000000"/>
          <w:shd w:val="clear" w:color="auto" w:fill="FFFFFF"/>
        </w:rPr>
        <w:t>have read and approved the final manuscript.</w:t>
      </w:r>
    </w:p>
    <w:p w14:paraId="3A42BCB4" w14:textId="77777777" w:rsidR="00A77B3E" w:rsidRDefault="00A77B3E" w:rsidP="00E739A1">
      <w:pPr>
        <w:spacing w:line="360" w:lineRule="auto"/>
        <w:jc w:val="both"/>
      </w:pPr>
    </w:p>
    <w:p w14:paraId="2D4E247A" w14:textId="79306404" w:rsidR="00A77B3E" w:rsidRDefault="000C73F3" w:rsidP="00E739A1">
      <w:pPr>
        <w:spacing w:line="360" w:lineRule="auto"/>
        <w:jc w:val="both"/>
      </w:pPr>
      <w:r>
        <w:rPr>
          <w:rFonts w:ascii="Book Antiqua" w:eastAsia="Book Antiqua" w:hAnsi="Book Antiqua" w:cs="Book Antiqua"/>
          <w:b/>
          <w:bCs/>
          <w:color w:val="000000"/>
        </w:rPr>
        <w:lastRenderedPageBreak/>
        <w:t>Correspond</w:t>
      </w:r>
      <w:r w:rsidR="00E739A1">
        <w:rPr>
          <w:rFonts w:ascii="Book Antiqua" w:eastAsia="Book Antiqua" w:hAnsi="Book Antiqua" w:cs="Book Antiqua"/>
          <w:b/>
          <w:bCs/>
          <w:color w:val="000000"/>
        </w:rPr>
        <w:t>ence to</w:t>
      </w:r>
      <w:r>
        <w:rPr>
          <w:rFonts w:ascii="Book Antiqua" w:eastAsia="Book Antiqua" w:hAnsi="Book Antiqua" w:cs="Book Antiqua"/>
          <w:b/>
          <w:bCs/>
          <w:color w:val="000000"/>
        </w:rPr>
        <w:t>: Alireza Hamidian</w:t>
      </w:r>
      <w:r w:rsidR="00C6277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Jahromi, MD, Doctor, </w:t>
      </w:r>
      <w:r>
        <w:rPr>
          <w:rFonts w:ascii="Book Antiqua" w:eastAsia="Book Antiqua" w:hAnsi="Book Antiqua" w:cs="Book Antiqua"/>
          <w:color w:val="000000"/>
        </w:rPr>
        <w:t>Division of Plastic and Reconstructive Surgery, Temple University Health System, 3401 N Broad St., Philadelphia, PA 19140, United States. alirezahamidian@yahoo.com</w:t>
      </w:r>
    </w:p>
    <w:p w14:paraId="29DA230E" w14:textId="77777777" w:rsidR="00A77B3E" w:rsidRDefault="00A77B3E" w:rsidP="00E739A1">
      <w:pPr>
        <w:spacing w:line="360" w:lineRule="auto"/>
        <w:jc w:val="both"/>
      </w:pPr>
    </w:p>
    <w:p w14:paraId="307F958C" w14:textId="77777777" w:rsidR="00A77B3E" w:rsidRDefault="000C73F3" w:rsidP="00E739A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11, 2022</w:t>
      </w:r>
    </w:p>
    <w:p w14:paraId="2998DDF3" w14:textId="77777777" w:rsidR="00A77B3E" w:rsidRDefault="000C73F3" w:rsidP="00E739A1">
      <w:pPr>
        <w:spacing w:line="360" w:lineRule="auto"/>
        <w:jc w:val="both"/>
      </w:pPr>
      <w:r>
        <w:rPr>
          <w:rFonts w:ascii="Book Antiqua" w:eastAsia="Book Antiqua" w:hAnsi="Book Antiqua" w:cs="Book Antiqua"/>
          <w:b/>
          <w:bCs/>
          <w:color w:val="000000"/>
        </w:rPr>
        <w:t xml:space="preserve">Revised: </w:t>
      </w:r>
      <w:r w:rsidR="00FC0188" w:rsidRPr="00FC0188">
        <w:rPr>
          <w:rFonts w:ascii="Book Antiqua" w:eastAsia="Book Antiqua" w:hAnsi="Book Antiqua" w:cs="Book Antiqua"/>
          <w:color w:val="000000"/>
        </w:rPr>
        <w:t>July 14, 2022</w:t>
      </w:r>
    </w:p>
    <w:p w14:paraId="68876EB1" w14:textId="65F0734E" w:rsidR="00A77B3E" w:rsidRDefault="000C73F3" w:rsidP="00E739A1">
      <w:pPr>
        <w:spacing w:line="360" w:lineRule="auto"/>
        <w:jc w:val="both"/>
      </w:pPr>
      <w:r>
        <w:rPr>
          <w:rFonts w:ascii="Book Antiqua" w:eastAsia="Book Antiqua" w:hAnsi="Book Antiqua" w:cs="Book Antiqua"/>
          <w:b/>
          <w:bCs/>
          <w:color w:val="000000"/>
        </w:rPr>
        <w:t xml:space="preserve">Accepted: </w:t>
      </w:r>
      <w:r w:rsidR="00764924" w:rsidRPr="000A5039">
        <w:rPr>
          <w:rFonts w:ascii="Book Antiqua" w:eastAsia="Book Antiqua" w:hAnsi="Book Antiqua" w:cs="Book Antiqua"/>
          <w:color w:val="000000"/>
        </w:rPr>
        <w:t>October 5, 2022</w:t>
      </w:r>
    </w:p>
    <w:p w14:paraId="2EAE7E14" w14:textId="5079E8C9" w:rsidR="00A77B3E" w:rsidRDefault="000C73F3" w:rsidP="00E739A1">
      <w:pPr>
        <w:spacing w:line="360" w:lineRule="auto"/>
        <w:jc w:val="both"/>
      </w:pPr>
      <w:r>
        <w:rPr>
          <w:rFonts w:ascii="Book Antiqua" w:eastAsia="Book Antiqua" w:hAnsi="Book Antiqua" w:cs="Book Antiqua"/>
          <w:b/>
          <w:bCs/>
          <w:color w:val="000000"/>
        </w:rPr>
        <w:t>Published online:</w:t>
      </w:r>
    </w:p>
    <w:p w14:paraId="77278FD1" w14:textId="77777777" w:rsidR="00A77B3E" w:rsidRDefault="00A77B3E" w:rsidP="00E739A1">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C53ADD" w14:textId="77777777" w:rsidR="00A77B3E" w:rsidRDefault="000C73F3" w:rsidP="00E739A1">
      <w:pPr>
        <w:spacing w:line="360" w:lineRule="auto"/>
        <w:jc w:val="both"/>
      </w:pPr>
      <w:r>
        <w:rPr>
          <w:rFonts w:ascii="Book Antiqua" w:eastAsia="Book Antiqua" w:hAnsi="Book Antiqua" w:cs="Book Antiqua"/>
          <w:b/>
          <w:color w:val="000000"/>
        </w:rPr>
        <w:lastRenderedPageBreak/>
        <w:t>Abstract</w:t>
      </w:r>
    </w:p>
    <w:p w14:paraId="00700688" w14:textId="77777777" w:rsidR="00A77B3E" w:rsidRDefault="000C73F3" w:rsidP="00E739A1">
      <w:pPr>
        <w:spacing w:line="360" w:lineRule="auto"/>
        <w:jc w:val="both"/>
      </w:pPr>
      <w:r>
        <w:rPr>
          <w:rFonts w:ascii="Book Antiqua" w:eastAsia="Book Antiqua" w:hAnsi="Book Antiqua" w:cs="Book Antiqua"/>
          <w:color w:val="000000"/>
        </w:rPr>
        <w:t>BACKGROUND</w:t>
      </w:r>
    </w:p>
    <w:p w14:paraId="64B74581" w14:textId="22820AA1" w:rsidR="00A77B3E" w:rsidRDefault="00235B70" w:rsidP="00E739A1">
      <w:pPr>
        <w:spacing w:line="360" w:lineRule="auto"/>
        <w:jc w:val="both"/>
      </w:pPr>
      <w:r>
        <w:rPr>
          <w:rFonts w:ascii="Book Antiqua" w:eastAsia="Book Antiqua" w:hAnsi="Book Antiqua" w:cs="Book Antiqua"/>
          <w:color w:val="000000"/>
        </w:rPr>
        <w:t>Severe acute respiratory syndrome coronavirus 2 (SARS-CoV-2)</w:t>
      </w:r>
      <w:r w:rsidR="000C73F3">
        <w:rPr>
          <w:rFonts w:ascii="Book Antiqua" w:eastAsia="Book Antiqua" w:hAnsi="Book Antiqua" w:cs="Book Antiqua"/>
          <w:color w:val="000000"/>
        </w:rPr>
        <w:t xml:space="preserve"> can produce a wide range of clinical manifestations from asymptomatic to life-threatening. Various researchers have worked to elucidate the pathogenic mechanisms underlying these variable presentations. Differences in individual responses to systemic inflammation and coagulopathy appear to be modulated by several factors, including sex steroid hormones. Transgender men or non-binary individuals who undergo gender-affirming hormone therapy (GAHT) are a unique population of interest for exploring the androgen-mediated </w:t>
      </w:r>
      <w:r w:rsidR="00FE76AD">
        <w:rPr>
          <w:rFonts w:ascii="Book Antiqua" w:eastAsia="Book Antiqua" w:hAnsi="Book Antiqua" w:cs="Book Antiqua"/>
          <w:color w:val="000000"/>
        </w:rPr>
        <w:t>coronavirus disease 2019 (COVID-19)</w:t>
      </w:r>
      <w:r w:rsidR="000C73F3">
        <w:rPr>
          <w:rFonts w:ascii="Book Antiqua" w:eastAsia="Book Antiqua" w:hAnsi="Book Antiqua" w:cs="Book Antiqua"/>
          <w:color w:val="000000"/>
        </w:rPr>
        <w:t xml:space="preserve"> hypothesis. As the search for reliable and effective COVID-19 treatments continues, understanding the risks and benefits of GAHT may mitigate COVID-19 related morbidity and mortality in this patient population.</w:t>
      </w:r>
    </w:p>
    <w:p w14:paraId="65F2453F" w14:textId="77777777" w:rsidR="00A77B3E" w:rsidRDefault="00A77B3E" w:rsidP="00E739A1">
      <w:pPr>
        <w:spacing w:line="360" w:lineRule="auto"/>
        <w:jc w:val="both"/>
      </w:pPr>
    </w:p>
    <w:p w14:paraId="1A576FF6" w14:textId="77777777" w:rsidR="00A77B3E" w:rsidRDefault="000C73F3" w:rsidP="00E739A1">
      <w:pPr>
        <w:spacing w:line="360" w:lineRule="auto"/>
        <w:jc w:val="both"/>
      </w:pPr>
      <w:r>
        <w:rPr>
          <w:rFonts w:ascii="Book Antiqua" w:eastAsia="Book Antiqua" w:hAnsi="Book Antiqua" w:cs="Book Antiqua"/>
          <w:color w:val="000000"/>
        </w:rPr>
        <w:t>AIM</w:t>
      </w:r>
    </w:p>
    <w:p w14:paraId="276EDD53" w14:textId="77777777" w:rsidR="00A77B3E" w:rsidRDefault="000C73F3" w:rsidP="00E739A1">
      <w:pPr>
        <w:spacing w:line="360" w:lineRule="auto"/>
        <w:jc w:val="both"/>
      </w:pPr>
      <w:r>
        <w:rPr>
          <w:rFonts w:ascii="Book Antiqua" w:eastAsia="Book Antiqua" w:hAnsi="Book Antiqua" w:cs="Book Antiqua"/>
          <w:color w:val="000000"/>
        </w:rPr>
        <w:t>To investigate the potential role of GAHT in the development of COVID-19 infections and complications.</w:t>
      </w:r>
    </w:p>
    <w:p w14:paraId="632D9264" w14:textId="77777777" w:rsidR="00A77B3E" w:rsidRDefault="00A77B3E" w:rsidP="00E739A1">
      <w:pPr>
        <w:spacing w:line="360" w:lineRule="auto"/>
        <w:jc w:val="both"/>
      </w:pPr>
    </w:p>
    <w:p w14:paraId="6655ECFA" w14:textId="77777777" w:rsidR="00A77B3E" w:rsidRDefault="000C73F3" w:rsidP="00E739A1">
      <w:pPr>
        <w:spacing w:line="360" w:lineRule="auto"/>
        <w:jc w:val="both"/>
      </w:pPr>
      <w:r>
        <w:rPr>
          <w:rFonts w:ascii="Book Antiqua" w:eastAsia="Book Antiqua" w:hAnsi="Book Antiqua" w:cs="Book Antiqua"/>
          <w:color w:val="000000"/>
        </w:rPr>
        <w:t>METHODS</w:t>
      </w:r>
    </w:p>
    <w:p w14:paraId="09712D2F" w14:textId="64079A95" w:rsidR="00A77B3E" w:rsidRDefault="000C73F3" w:rsidP="00E739A1">
      <w:pPr>
        <w:spacing w:line="360" w:lineRule="auto"/>
        <w:jc w:val="both"/>
      </w:pPr>
      <w:r>
        <w:rPr>
          <w:rFonts w:ascii="Book Antiqua" w:eastAsia="Book Antiqua" w:hAnsi="Book Antiqua" w:cs="Book Antiqua"/>
          <w:color w:val="000000"/>
        </w:rPr>
        <w:t>Th</w:t>
      </w:r>
      <w:r w:rsidR="00260021">
        <w:rPr>
          <w:rFonts w:ascii="Book Antiqua" w:eastAsia="Book Antiqua" w:hAnsi="Book Antiqua" w:cs="Book Antiqua"/>
          <w:color w:val="000000"/>
        </w:rPr>
        <w:t>is</w:t>
      </w:r>
      <w:r>
        <w:rPr>
          <w:rFonts w:ascii="Book Antiqua" w:eastAsia="Book Antiqua" w:hAnsi="Book Antiqua" w:cs="Book Antiqua"/>
          <w:color w:val="000000"/>
        </w:rPr>
        <w:t xml:space="preserve"> systematic review implemented an algorithmic approach using PRISMA guidelines. PubMed, Scopus, Google Scholar top 100 results, and archives of </w:t>
      </w:r>
      <w:r>
        <w:rPr>
          <w:rFonts w:ascii="Book Antiqua" w:eastAsia="Book Antiqua" w:hAnsi="Book Antiqua" w:cs="Book Antiqua"/>
          <w:i/>
          <w:iCs/>
          <w:color w:val="000000"/>
        </w:rPr>
        <w:t>Plastic and Reconstructive Surgery</w:t>
      </w:r>
      <w:r>
        <w:rPr>
          <w:rFonts w:ascii="Book Antiqua" w:eastAsia="Book Antiqua" w:hAnsi="Book Antiqua" w:cs="Book Antiqua"/>
          <w:color w:val="000000"/>
        </w:rPr>
        <w:t xml:space="preserve"> was on January 12, 2022 using the key words “gender” AND “hormone” AND “therapy” AND “COVID-19” as well as associated terms. Non-English articles, articles published prior to 2019 (prior to COVID-19), and manuscripts in the form of review</w:t>
      </w:r>
      <w:r w:rsidR="00260021">
        <w:rPr>
          <w:rFonts w:ascii="Book Antiqua" w:eastAsia="Book Antiqua" w:hAnsi="Book Antiqua" w:cs="Book Antiqua"/>
          <w:color w:val="000000"/>
        </w:rPr>
        <w:t>s</w:t>
      </w:r>
      <w:r>
        <w:rPr>
          <w:rFonts w:ascii="Book Antiqua" w:eastAsia="Book Antiqua" w:hAnsi="Book Antiqua" w:cs="Book Antiqua"/>
          <w:color w:val="000000"/>
        </w:rPr>
        <w:t>, commentar</w:t>
      </w:r>
      <w:r w:rsidR="00260021">
        <w:rPr>
          <w:rFonts w:ascii="Book Antiqua" w:eastAsia="Book Antiqua" w:hAnsi="Book Antiqua" w:cs="Book Antiqua"/>
          <w:color w:val="000000"/>
        </w:rPr>
        <w:t>ies</w:t>
      </w:r>
      <w:r>
        <w:rPr>
          <w:rFonts w:ascii="Book Antiqua" w:eastAsia="Book Antiqua" w:hAnsi="Book Antiqua" w:cs="Book Antiqua"/>
          <w:color w:val="000000"/>
        </w:rPr>
        <w:t>, or letter</w:t>
      </w:r>
      <w:r w:rsidR="00260021">
        <w:rPr>
          <w:rFonts w:ascii="Book Antiqua" w:eastAsia="Book Antiqua" w:hAnsi="Book Antiqua" w:cs="Book Antiqua"/>
          <w:color w:val="000000"/>
        </w:rPr>
        <w:t>s</w:t>
      </w:r>
      <w:r>
        <w:rPr>
          <w:rFonts w:ascii="Book Antiqua" w:eastAsia="Book Antiqua" w:hAnsi="Book Antiqua" w:cs="Book Antiqua"/>
          <w:color w:val="000000"/>
        </w:rPr>
        <w:t xml:space="preserve"> were excluded. References of the selected publications were screened as well.</w:t>
      </w:r>
    </w:p>
    <w:p w14:paraId="55DF08F0" w14:textId="77777777" w:rsidR="00A77B3E" w:rsidRDefault="00A77B3E" w:rsidP="00E739A1">
      <w:pPr>
        <w:spacing w:line="360" w:lineRule="auto"/>
        <w:jc w:val="both"/>
      </w:pPr>
    </w:p>
    <w:p w14:paraId="6866C71C" w14:textId="77777777" w:rsidR="00A77B3E" w:rsidRDefault="000C73F3" w:rsidP="00E739A1">
      <w:pPr>
        <w:spacing w:line="360" w:lineRule="auto"/>
        <w:jc w:val="both"/>
      </w:pPr>
      <w:r>
        <w:rPr>
          <w:rFonts w:ascii="Book Antiqua" w:eastAsia="Book Antiqua" w:hAnsi="Book Antiqua" w:cs="Book Antiqua"/>
          <w:color w:val="000000"/>
        </w:rPr>
        <w:t>RESULTS</w:t>
      </w:r>
    </w:p>
    <w:p w14:paraId="49F17AE7" w14:textId="12C22BE2" w:rsidR="00A77B3E" w:rsidRDefault="000C73F3" w:rsidP="00E739A1">
      <w:pPr>
        <w:spacing w:line="360" w:lineRule="auto"/>
        <w:jc w:val="both"/>
      </w:pPr>
      <w:r>
        <w:rPr>
          <w:rFonts w:ascii="Book Antiqua" w:eastAsia="Book Antiqua" w:hAnsi="Book Antiqua" w:cs="Book Antiqua"/>
          <w:color w:val="000000"/>
        </w:rPr>
        <w:t xml:space="preserve">The database search resulted in the final inclusion of 14 studies related to GAHT COVID-19. Of the included studies, only two studies directly involved and reported on COVID-19 in transgender patients. Several clinical trials looked at the relationship between </w:t>
      </w:r>
      <w:r>
        <w:rPr>
          <w:rFonts w:ascii="Book Antiqua" w:eastAsia="Book Antiqua" w:hAnsi="Book Antiqua" w:cs="Book Antiqua"/>
          <w:color w:val="000000"/>
        </w:rPr>
        <w:lastRenderedPageBreak/>
        <w:t xml:space="preserve">testosterone, estrogen, and progesterone in COVID-19 infected cis-gender men and women. It has been proposed that androgens may facilitate initial COVID-19 infection, however, once this occurs, testosterone may have a protective effect. Multiple clinical studies have shown that low baseline testosterone levels in men with COVID-19 are associated with worsening outcomes. The role of female sex hormones, including estrogen and progesterone have also been proposed as potential protective factors in COVID-19 infection. This </w:t>
      </w:r>
      <w:r w:rsidR="00260021">
        <w:rPr>
          <w:rFonts w:ascii="Book Antiqua" w:eastAsia="Book Antiqua" w:hAnsi="Book Antiqua" w:cs="Book Antiqua"/>
          <w:color w:val="000000"/>
        </w:rPr>
        <w:t>wa</w:t>
      </w:r>
      <w:r>
        <w:rPr>
          <w:rFonts w:ascii="Book Antiqua" w:eastAsia="Book Antiqua" w:hAnsi="Book Antiqua" w:cs="Book Antiqua"/>
          <w:color w:val="000000"/>
        </w:rPr>
        <w:t>s exemplified in multiple studies investigating different outcomes in pre- and post-menopausal women as well as those taking hormone replacement therapy. Two studies related specifically to transgender patients and GAHT found that estrogen and progesterone could help protect men against COVID-19, and that testosterone hormone therapy may increase the risk of contracting COVID-19.</w:t>
      </w:r>
    </w:p>
    <w:p w14:paraId="5004C1D0" w14:textId="77777777" w:rsidR="00A77B3E" w:rsidRDefault="00A77B3E" w:rsidP="00E739A1">
      <w:pPr>
        <w:spacing w:line="360" w:lineRule="auto"/>
        <w:jc w:val="both"/>
      </w:pPr>
    </w:p>
    <w:p w14:paraId="618C36DB" w14:textId="77777777" w:rsidR="00A77B3E" w:rsidRDefault="000C73F3" w:rsidP="00E739A1">
      <w:pPr>
        <w:spacing w:line="360" w:lineRule="auto"/>
        <w:jc w:val="both"/>
      </w:pPr>
      <w:r>
        <w:rPr>
          <w:rFonts w:ascii="Book Antiqua" w:eastAsia="Book Antiqua" w:hAnsi="Book Antiqua" w:cs="Book Antiqua"/>
          <w:color w:val="000000"/>
        </w:rPr>
        <w:t>CONCLUSION</w:t>
      </w:r>
    </w:p>
    <w:p w14:paraId="5B2157C8" w14:textId="77777777" w:rsidR="00A77B3E" w:rsidRDefault="000C73F3" w:rsidP="00E739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Few studies were found related to the role of GAHT in COVID-19 infections. Additional research is necessary to enhance our understanding of this relationship and provide better care for transgender patients.</w:t>
      </w:r>
    </w:p>
    <w:p w14:paraId="293186E6" w14:textId="77777777" w:rsidR="00A77B3E" w:rsidRDefault="00A77B3E" w:rsidP="00E739A1">
      <w:pPr>
        <w:spacing w:line="360" w:lineRule="auto"/>
        <w:jc w:val="both"/>
      </w:pPr>
    </w:p>
    <w:p w14:paraId="6C10E6F7" w14:textId="77777777" w:rsidR="00A77B3E" w:rsidRDefault="000C73F3" w:rsidP="00E739A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Transgender; Gender-affirming hormone therapy; Gender affirmation; Testosterone; Estrogen</w:t>
      </w:r>
    </w:p>
    <w:p w14:paraId="5F798186" w14:textId="77777777" w:rsidR="00A77B3E" w:rsidRDefault="00A77B3E" w:rsidP="00E739A1">
      <w:pPr>
        <w:spacing w:line="360" w:lineRule="auto"/>
        <w:jc w:val="both"/>
      </w:pPr>
    </w:p>
    <w:p w14:paraId="536ACBD1" w14:textId="77777777" w:rsidR="00A77B3E" w:rsidRDefault="000C73F3" w:rsidP="00E739A1">
      <w:pPr>
        <w:spacing w:line="360" w:lineRule="auto"/>
        <w:jc w:val="both"/>
      </w:pPr>
      <w:r>
        <w:rPr>
          <w:rFonts w:ascii="Book Antiqua" w:eastAsia="Book Antiqua" w:hAnsi="Book Antiqua" w:cs="Book Antiqua"/>
          <w:color w:val="000000"/>
        </w:rPr>
        <w:t>Ferraro JJ, Reynolds A, Edoigiawerie S, Seu MY, Horen SR, Aminzada A, Hamidian</w:t>
      </w:r>
      <w:r w:rsidR="00C6277F">
        <w:rPr>
          <w:rFonts w:ascii="Book Antiqua" w:eastAsia="Book Antiqua" w:hAnsi="Book Antiqua" w:cs="Book Antiqua"/>
          <w:color w:val="000000"/>
        </w:rPr>
        <w:t xml:space="preserve"> </w:t>
      </w:r>
      <w:r>
        <w:rPr>
          <w:rFonts w:ascii="Book Antiqua" w:eastAsia="Book Antiqua" w:hAnsi="Book Antiqua" w:cs="Book Antiqua"/>
          <w:color w:val="000000"/>
        </w:rPr>
        <w:t xml:space="preserve">Jahromi A. </w:t>
      </w:r>
      <w:r w:rsidR="006E1CEB" w:rsidRPr="006E1CEB">
        <w:rPr>
          <w:rFonts w:ascii="Book Antiqua" w:eastAsia="Book Antiqua" w:hAnsi="Book Antiqua" w:cs="Book Antiqua"/>
          <w:bCs/>
          <w:color w:val="000000"/>
        </w:rPr>
        <w:t xml:space="preserve">Impact of gender-affirming hormone therapy on the development of COVID-19 infections and associated complications: </w:t>
      </w:r>
      <w:r w:rsidR="006E1CEB" w:rsidRPr="006E1CEB">
        <w:rPr>
          <w:rFonts w:ascii="Book Antiqua" w:hAnsi="Book Antiqua"/>
          <w:bCs/>
          <w:lang w:eastAsia="it-IT"/>
        </w:rPr>
        <w:t>A systematic review</w:t>
      </w:r>
      <w:r w:rsidR="006E1CEB" w:rsidRPr="006E1CEB">
        <w:rPr>
          <w:rFonts w:hint="eastAsia"/>
          <w:bCs/>
          <w:lang w:eastAsia="zh-CN"/>
        </w:rPr>
        <w:t>.</w:t>
      </w:r>
      <w:r w:rsidR="00C6277F">
        <w:rPr>
          <w:bCs/>
          <w:lang w:eastAsia="zh-CN"/>
        </w:rPr>
        <w:t xml:space="preserve">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2022; In press</w:t>
      </w:r>
    </w:p>
    <w:p w14:paraId="4319FE79" w14:textId="77777777" w:rsidR="00A77B3E" w:rsidRDefault="00A77B3E" w:rsidP="00E739A1">
      <w:pPr>
        <w:spacing w:line="360" w:lineRule="auto"/>
        <w:jc w:val="both"/>
      </w:pPr>
    </w:p>
    <w:p w14:paraId="574430DC" w14:textId="77777777" w:rsidR="00A77B3E" w:rsidRDefault="000C73F3" w:rsidP="00E739A1">
      <w:pPr>
        <w:spacing w:line="360" w:lineRule="auto"/>
        <w:jc w:val="both"/>
      </w:pPr>
      <w:r>
        <w:rPr>
          <w:rFonts w:ascii="Book Antiqua" w:eastAsia="Book Antiqua" w:hAnsi="Book Antiqua" w:cs="Book Antiqua"/>
          <w:b/>
          <w:bCs/>
          <w:color w:val="000000"/>
        </w:rPr>
        <w:t xml:space="preserve">Core Tip: </w:t>
      </w:r>
      <w:r w:rsidR="00EA5BC5">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can produce a wide range of clinical manifestations from asymptomatic to life-threatening. Differences in individual responses to systemic inflammation and coagulopathy appear to be modulated by several factors, including sex steroid hormones. Androgens may facilitate initial COVID-19 infection, however, once this occurs, testosterone may have a protective </w:t>
      </w:r>
      <w:r>
        <w:rPr>
          <w:rFonts w:ascii="Book Antiqua" w:eastAsia="Book Antiqua" w:hAnsi="Book Antiqua" w:cs="Book Antiqua"/>
          <w:color w:val="000000"/>
        </w:rPr>
        <w:lastRenderedPageBreak/>
        <w:t xml:space="preserve">effect. The role of estrogen and progesterone has also been proposed as potential protective factors in COVID-19 infection. Few studies have investigated the role of </w:t>
      </w:r>
      <w:r w:rsidR="00B07CB2">
        <w:rPr>
          <w:rFonts w:ascii="Book Antiqua" w:eastAsia="Book Antiqua" w:hAnsi="Book Antiqua" w:cs="Book Antiqua"/>
          <w:color w:val="000000"/>
        </w:rPr>
        <w:t>gender-affirming hormone therapy</w:t>
      </w:r>
      <w:r>
        <w:rPr>
          <w:rFonts w:ascii="Book Antiqua" w:eastAsia="Book Antiqua" w:hAnsi="Book Antiqua" w:cs="Book Antiqua"/>
          <w:color w:val="000000"/>
        </w:rPr>
        <w:t xml:space="preserve"> in COVID-19 infections. Additional research is necessary to enhance our understanding of this relationship and provide better care for transgender patients.</w:t>
      </w:r>
    </w:p>
    <w:p w14:paraId="6E135E02" w14:textId="77777777" w:rsidR="00A77B3E" w:rsidRDefault="00A77B3E" w:rsidP="00E739A1">
      <w:pPr>
        <w:spacing w:line="360" w:lineRule="auto"/>
        <w:jc w:val="both"/>
      </w:pPr>
    </w:p>
    <w:p w14:paraId="780A56C1" w14:textId="77777777" w:rsidR="00A77B3E" w:rsidRDefault="000C73F3" w:rsidP="00E739A1">
      <w:pPr>
        <w:spacing w:line="360" w:lineRule="auto"/>
        <w:jc w:val="both"/>
      </w:pPr>
      <w:r>
        <w:rPr>
          <w:rFonts w:ascii="Book Antiqua" w:eastAsia="Book Antiqua" w:hAnsi="Book Antiqua" w:cs="Book Antiqua"/>
          <w:b/>
          <w:caps/>
          <w:color w:val="000000"/>
          <w:u w:val="single"/>
        </w:rPr>
        <w:t>INTRODUCTION</w:t>
      </w:r>
    </w:p>
    <w:p w14:paraId="3FAF16D6" w14:textId="3E1A4A34" w:rsidR="00A77B3E" w:rsidRDefault="000C73F3" w:rsidP="00E739A1">
      <w:pPr>
        <w:spacing w:line="360" w:lineRule="auto"/>
        <w:jc w:val="both"/>
      </w:pPr>
      <w:r>
        <w:rPr>
          <w:rFonts w:ascii="Book Antiqua" w:eastAsia="Book Antiqua" w:hAnsi="Book Antiqua" w:cs="Book Antiqua"/>
          <w:color w:val="000000"/>
        </w:rPr>
        <w:t>Severe acute respiratory syndrome coronavirus 2 (SARS-CoV-2), the causative agent behind the coronavirus disease 2019 (COVID-19) global pandemic, has a wide array of clinical manifestations ranging from asymptomatic to life-threatening disease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Various researchers have worked to elucidate the pathogenic mechanisms underlying these highly variable presentations, with many agreeing that the critical role of the immunological hyper-response (characterized by widespread endothelial damage, complement-induced blood clotting, and systemic microangiopathy) facilitates inflammation and disease progression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Differences in individual responses to systemic inflammation and coagulopathy appear to be modulated by several factors, including sex steroid hormones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B0BD8CC" w14:textId="687D0005" w:rsidR="00A77B3E" w:rsidRDefault="000C73F3" w:rsidP="00E739A1">
      <w:pPr>
        <w:spacing w:line="360" w:lineRule="auto"/>
        <w:ind w:firstLine="720"/>
        <w:jc w:val="both"/>
      </w:pPr>
      <w:r>
        <w:rPr>
          <w:rFonts w:ascii="Book Antiqua" w:eastAsia="Book Antiqua" w:hAnsi="Book Antiqua" w:cs="Book Antiqua"/>
          <w:color w:val="000000"/>
        </w:rPr>
        <w:t xml:space="preserve">Older age and male </w:t>
      </w:r>
      <w:r w:rsidR="00260021">
        <w:rPr>
          <w:rFonts w:ascii="Book Antiqua" w:eastAsia="Book Antiqua" w:hAnsi="Book Antiqua" w:cs="Book Antiqua"/>
          <w:color w:val="000000"/>
        </w:rPr>
        <w:t xml:space="preserve">sex </w:t>
      </w:r>
      <w:r>
        <w:rPr>
          <w:rFonts w:ascii="Book Antiqua" w:eastAsia="Book Antiqua" w:hAnsi="Book Antiqua" w:cs="Book Antiqua"/>
          <w:color w:val="000000"/>
        </w:rPr>
        <w:t>are known risk factors for more severe manifestations of the COVID-19 disease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Even after controlling for other risk factors commonly found among men, such as a hypertension, smoking, and cardiovascular disease, the mortality rate of COVID-19 has been shown to be higher in cis-gender males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cis-gender females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molecular basis </w:t>
      </w:r>
      <w:r w:rsidR="00260021">
        <w:rPr>
          <w:rFonts w:ascii="Book Antiqua" w:eastAsia="Book Antiqua" w:hAnsi="Book Antiqua" w:cs="Book Antiqua"/>
          <w:color w:val="000000"/>
        </w:rPr>
        <w:t xml:space="preserve">of the </w:t>
      </w:r>
      <w:r>
        <w:rPr>
          <w:rFonts w:ascii="Book Antiqua" w:eastAsia="Book Antiqua" w:hAnsi="Book Antiqua" w:cs="Book Antiqua"/>
          <w:color w:val="000000"/>
        </w:rPr>
        <w:t>observation can be attributed to transcription of transmembrane protease serine 2 (TMPRSS2), a protease that processes SARS-CoV-2 spike proteins that bind angiotensin converting enzyme 2 (ACE2) receptors and mediate entry of the virus into host cells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expression of both TMPRSS2 and ACE2 appears to be androgen-mediated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For this reason, androgens like testosterone, and other important sex hormones like estrogen and progesterone, have been investigated for their potential role in the age and sex-specific severity of COVID-19</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14:paraId="5088E7C5" w14:textId="1E76BB86" w:rsidR="00A77B3E" w:rsidRDefault="000C73F3" w:rsidP="00E739A1">
      <w:pPr>
        <w:spacing w:line="360" w:lineRule="auto"/>
        <w:ind w:firstLine="720"/>
        <w:jc w:val="both"/>
      </w:pPr>
      <w:r>
        <w:rPr>
          <w:rFonts w:ascii="Book Antiqua" w:eastAsia="Book Antiqua" w:hAnsi="Book Antiqua" w:cs="Book Antiqua"/>
          <w:color w:val="000000"/>
        </w:rPr>
        <w:t xml:space="preserve">Given the risks associated with male sex hormones, patients with gender dysphoria (transgender men or non-binary individuals) who undergo gender-affirming </w:t>
      </w:r>
      <w:r>
        <w:rPr>
          <w:rFonts w:ascii="Book Antiqua" w:eastAsia="Book Antiqua" w:hAnsi="Book Antiqua" w:cs="Book Antiqua"/>
          <w:color w:val="000000"/>
        </w:rPr>
        <w:lastRenderedPageBreak/>
        <w:t>hormone therapy (GAHT) have become another population of interest for exploring the androgen-mediated COVID-19 hypothesis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Through GAHT, transgender women are prescribed natural or synthetic estrogens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while transgender men take exogenous testosterone titrated to physiological female range estradiol levels and male-range serum testosterone levels, respectively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For the latter, there is a paucity of data on the safety and health risks associated with long-term testosterone administration in transgender men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As the search for reliable and effective COVID-19 treatments continues, understanding the risks and benefits of GAHT (especially masculinizing treatments) may mitigate COVID-19 related morbidity and mortality in a unique and vulnerable patient population.</w:t>
      </w:r>
    </w:p>
    <w:p w14:paraId="2F304C5B" w14:textId="4C04D93F" w:rsidR="00A77B3E" w:rsidRDefault="000C73F3" w:rsidP="00E739A1">
      <w:pPr>
        <w:spacing w:line="360" w:lineRule="auto"/>
        <w:ind w:firstLine="720"/>
        <w:jc w:val="both"/>
      </w:pPr>
      <w:r>
        <w:rPr>
          <w:rFonts w:ascii="Book Antiqua" w:eastAsia="Book Antiqua" w:hAnsi="Book Antiqua" w:cs="Book Antiqua"/>
          <w:color w:val="000000"/>
        </w:rPr>
        <w:t>The purpose of this study was to perform a systematic review and meta-analysis of the literature pertaining to potential role of GAHT in the development of COVID-19 infections and associated complications.</w:t>
      </w:r>
    </w:p>
    <w:p w14:paraId="6AEE0617" w14:textId="77777777" w:rsidR="00A77B3E" w:rsidRDefault="00A77B3E" w:rsidP="00E739A1">
      <w:pPr>
        <w:spacing w:line="360" w:lineRule="auto"/>
        <w:jc w:val="both"/>
      </w:pPr>
    </w:p>
    <w:p w14:paraId="486C81B0" w14:textId="77777777" w:rsidR="00A77B3E" w:rsidRDefault="000C73F3" w:rsidP="00E739A1">
      <w:pPr>
        <w:spacing w:line="360" w:lineRule="auto"/>
        <w:jc w:val="both"/>
      </w:pPr>
      <w:r>
        <w:rPr>
          <w:rFonts w:ascii="Book Antiqua" w:eastAsia="Book Antiqua" w:hAnsi="Book Antiqua" w:cs="Book Antiqua"/>
          <w:b/>
          <w:caps/>
          <w:color w:val="000000"/>
          <w:u w:val="single"/>
        </w:rPr>
        <w:t>MATERIALS AND METHODS</w:t>
      </w:r>
    </w:p>
    <w:p w14:paraId="05B814FB" w14:textId="33F69BA4" w:rsidR="00A77B3E" w:rsidRDefault="000C73F3" w:rsidP="00E739A1">
      <w:pPr>
        <w:spacing w:line="360" w:lineRule="auto"/>
        <w:jc w:val="both"/>
      </w:pPr>
      <w:r>
        <w:rPr>
          <w:rFonts w:ascii="Book Antiqua" w:eastAsia="Book Antiqua" w:hAnsi="Book Antiqua" w:cs="Book Antiqua"/>
          <w:color w:val="000000"/>
        </w:rPr>
        <w:t>The current systematic review implemented an algorithmic approach to review all of the available English medical literature on the impact of GAHT on the development of COVID-19 infections using the preferred reporting items for systematic reviews and metanalysis (PRISMA) principles (</w:t>
      </w:r>
      <w:r w:rsidRPr="006461D8">
        <w:rPr>
          <w:rFonts w:ascii="Book Antiqua" w:eastAsia="Book Antiqua" w:hAnsi="Book Antiqua" w:cs="Book Antiqua"/>
          <w:color w:val="000000"/>
        </w:rPr>
        <w:t>Figure 1</w:t>
      </w:r>
      <w:r>
        <w:rPr>
          <w:rFonts w:ascii="Book Antiqua" w:eastAsia="Book Antiqua" w:hAnsi="Book Antiqua" w:cs="Book Antiqua"/>
          <w:color w:val="000000"/>
        </w:rPr>
        <w:t xml:space="preserve">). A comprehensive search of the medical literature in the “PubMed,” “Scopus,” </w:t>
      </w:r>
      <w:r w:rsidR="00CE1533">
        <w:rPr>
          <w:rFonts w:ascii="Book Antiqua" w:eastAsia="Book Antiqua" w:hAnsi="Book Antiqua" w:cs="Book Antiqua"/>
          <w:color w:val="000000"/>
        </w:rPr>
        <w:t>“</w:t>
      </w:r>
      <w:r w:rsidR="00CE1533" w:rsidRPr="000A5039">
        <w:rPr>
          <w:rFonts w:ascii="Book Antiqua" w:eastAsia="Book Antiqua" w:hAnsi="Book Antiqua" w:cs="Book Antiqua"/>
          <w:color w:val="000000"/>
        </w:rPr>
        <w:t>Reference Citation Analysis</w:t>
      </w:r>
      <w:r w:rsidR="00CE1533" w:rsidRPr="00944C81">
        <w:rPr>
          <w:rFonts w:ascii="Book Antiqua" w:eastAsia="Book Antiqua" w:hAnsi="Book Antiqua" w:cs="Book Antiqua"/>
          <w:i/>
          <w:iCs/>
          <w:color w:val="000000"/>
        </w:rPr>
        <w:t xml:space="preserve"> </w:t>
      </w:r>
      <w:r w:rsidR="00CE1533" w:rsidRPr="000A5039">
        <w:rPr>
          <w:rFonts w:ascii="Book Antiqua" w:eastAsia="Book Antiqua" w:hAnsi="Book Antiqua" w:cs="Book Antiqua"/>
          <w:color w:val="000000"/>
        </w:rPr>
        <w:t>(RC</w:t>
      </w:r>
      <w:r w:rsidR="004148A9" w:rsidRPr="000A5039">
        <w:rPr>
          <w:rFonts w:ascii="Book Antiqua" w:eastAsia="Book Antiqua" w:hAnsi="Book Antiqua" w:cs="Book Antiqua"/>
          <w:color w:val="000000"/>
        </w:rPr>
        <w:t>A)</w:t>
      </w:r>
      <w:r w:rsidR="004148A9">
        <w:rPr>
          <w:rFonts w:ascii="Book Antiqua" w:eastAsia="Book Antiqua" w:hAnsi="Book Antiqua" w:cs="Book Antiqua"/>
          <w:color w:val="000000"/>
        </w:rPr>
        <w:t>,</w:t>
      </w:r>
      <w:r w:rsidR="00CE1533">
        <w:rPr>
          <w:rFonts w:ascii="Book Antiqua" w:eastAsia="Book Antiqua" w:hAnsi="Book Antiqua" w:cs="Book Antiqua"/>
          <w:color w:val="000000"/>
        </w:rPr>
        <w:t xml:space="preserve">” </w:t>
      </w:r>
      <w:r>
        <w:rPr>
          <w:rFonts w:ascii="Book Antiqua" w:eastAsia="Book Antiqua" w:hAnsi="Book Antiqua" w:cs="Book Antiqua"/>
          <w:color w:val="000000"/>
        </w:rPr>
        <w:t xml:space="preserve">“Google Scholar” top 100 results, and </w:t>
      </w:r>
      <w:r w:rsidR="00260021">
        <w:rPr>
          <w:rFonts w:ascii="Book Antiqua" w:eastAsia="Book Antiqua" w:hAnsi="Book Antiqua" w:cs="Book Antiqua"/>
          <w:color w:val="000000"/>
        </w:rPr>
        <w:t xml:space="preserve">previous issues </w:t>
      </w:r>
      <w:r>
        <w:rPr>
          <w:rFonts w:ascii="Book Antiqua" w:eastAsia="Book Antiqua" w:hAnsi="Book Antiqua" w:cs="Book Antiqua"/>
          <w:color w:val="000000"/>
        </w:rPr>
        <w:t xml:space="preserve">of </w:t>
      </w:r>
      <w:r>
        <w:rPr>
          <w:rFonts w:ascii="Book Antiqua" w:eastAsia="Book Antiqua" w:hAnsi="Book Antiqua" w:cs="Book Antiqua"/>
          <w:i/>
          <w:iCs/>
          <w:color w:val="000000"/>
        </w:rPr>
        <w:t>Plastic and Reconstructive Surgery</w:t>
      </w:r>
      <w:r>
        <w:rPr>
          <w:rFonts w:ascii="Book Antiqua" w:eastAsia="Book Antiqua" w:hAnsi="Book Antiqua" w:cs="Book Antiqua"/>
          <w:color w:val="000000"/>
        </w:rPr>
        <w:t xml:space="preserve"> was performed by two authors (A.R. and S.E.) on January 12, 2022 using the key words “gender” AND “hormone” AND “therapy” AND “COVID-19” as well as associated terms.</w:t>
      </w:r>
    </w:p>
    <w:p w14:paraId="470E6CBE" w14:textId="03883411" w:rsidR="00A77B3E" w:rsidRDefault="000C73F3" w:rsidP="00E739A1">
      <w:pPr>
        <w:spacing w:line="360" w:lineRule="auto"/>
        <w:ind w:firstLine="720"/>
        <w:jc w:val="both"/>
      </w:pPr>
      <w:r>
        <w:rPr>
          <w:rFonts w:ascii="Book Antiqua" w:eastAsia="Book Antiqua" w:hAnsi="Book Antiqua" w:cs="Book Antiqua"/>
          <w:color w:val="000000"/>
        </w:rPr>
        <w:t>The search string was generated</w:t>
      </w:r>
      <w:r w:rsidR="00260021">
        <w:rPr>
          <w:rFonts w:ascii="Book Antiqua" w:eastAsia="Book Antiqua" w:hAnsi="Book Antiqua" w:cs="Book Antiqua"/>
          <w:color w:val="000000"/>
        </w:rPr>
        <w:t>,</w:t>
      </w:r>
      <w:r>
        <w:rPr>
          <w:rFonts w:ascii="Book Antiqua" w:eastAsia="Book Antiqua" w:hAnsi="Book Antiqua" w:cs="Book Antiqua"/>
          <w:color w:val="000000"/>
        </w:rPr>
        <w:t xml:space="preserve"> and records </w:t>
      </w:r>
      <w:r w:rsidR="00260021">
        <w:rPr>
          <w:rFonts w:ascii="Book Antiqua" w:eastAsia="Book Antiqua" w:hAnsi="Book Antiqua" w:cs="Book Antiqua"/>
          <w:color w:val="000000"/>
        </w:rPr>
        <w:t xml:space="preserve">that </w:t>
      </w:r>
      <w:r>
        <w:rPr>
          <w:rFonts w:ascii="Book Antiqua" w:eastAsia="Book Antiqua" w:hAnsi="Book Antiqua" w:cs="Book Antiqua"/>
          <w:color w:val="000000"/>
        </w:rPr>
        <w:t xml:space="preserve">were not specific about GAHT or COVID-19 were excluded. Foreign language (non-English) articles were not eligible for inclusion. Articles published prior to 2019 were excluded as being prior to the COVID-19 pandemic and therefore not relevant to complications associated with COVID-19 infection. Titles and abstracts were screened by two authors (A.R. and S.E.) after which full-text articles were assessed for eligibility and inclusion. On initial and secondary </w:t>
      </w:r>
      <w:r>
        <w:rPr>
          <w:rFonts w:ascii="Book Antiqua" w:eastAsia="Book Antiqua" w:hAnsi="Book Antiqua" w:cs="Book Antiqua"/>
          <w:color w:val="000000"/>
        </w:rPr>
        <w:lastRenderedPageBreak/>
        <w:t>search</w:t>
      </w:r>
      <w:r w:rsidR="00260021">
        <w:rPr>
          <w:rFonts w:ascii="Book Antiqua" w:eastAsia="Book Antiqua" w:hAnsi="Book Antiqua" w:cs="Book Antiqua"/>
          <w:color w:val="000000"/>
        </w:rPr>
        <w:t>es</w:t>
      </w:r>
      <w:r>
        <w:rPr>
          <w:rFonts w:ascii="Book Antiqua" w:eastAsia="Book Antiqua" w:hAnsi="Book Antiqua" w:cs="Book Antiqua"/>
          <w:color w:val="000000"/>
        </w:rPr>
        <w:t>, papers in review, commentar</w:t>
      </w:r>
      <w:r w:rsidR="00260021">
        <w:rPr>
          <w:rFonts w:ascii="Book Antiqua" w:eastAsia="Book Antiqua" w:hAnsi="Book Antiqua" w:cs="Book Antiqua"/>
          <w:color w:val="000000"/>
        </w:rPr>
        <w:t>ies</w:t>
      </w:r>
      <w:r>
        <w:rPr>
          <w:rFonts w:ascii="Book Antiqua" w:eastAsia="Book Antiqua" w:hAnsi="Book Antiqua" w:cs="Book Antiqua"/>
          <w:color w:val="000000"/>
        </w:rPr>
        <w:t>, letter</w:t>
      </w:r>
      <w:r w:rsidR="00260021">
        <w:rPr>
          <w:rFonts w:ascii="Book Antiqua" w:eastAsia="Book Antiqua" w:hAnsi="Book Antiqua" w:cs="Book Antiqua"/>
          <w:color w:val="000000"/>
        </w:rPr>
        <w:t>s,</w:t>
      </w:r>
      <w:r>
        <w:rPr>
          <w:rFonts w:ascii="Book Antiqua" w:eastAsia="Book Antiqua" w:hAnsi="Book Antiqua" w:cs="Book Antiqua"/>
          <w:color w:val="000000"/>
        </w:rPr>
        <w:t xml:space="preserve"> or those without accessible full-text articles were excluded. References of the selected publications were additionally screened with the aforementioned inclusion criteria.</w:t>
      </w:r>
    </w:p>
    <w:p w14:paraId="0F6EA0A0" w14:textId="77777777" w:rsidR="00A77B3E" w:rsidRDefault="00A77B3E" w:rsidP="00E739A1">
      <w:pPr>
        <w:spacing w:line="360" w:lineRule="auto"/>
        <w:ind w:firstLine="720"/>
        <w:jc w:val="both"/>
      </w:pPr>
    </w:p>
    <w:p w14:paraId="2214DE50" w14:textId="77777777" w:rsidR="00A77B3E" w:rsidRDefault="000C73F3" w:rsidP="00E739A1">
      <w:pPr>
        <w:spacing w:line="360" w:lineRule="auto"/>
        <w:jc w:val="both"/>
      </w:pPr>
      <w:r>
        <w:rPr>
          <w:rFonts w:ascii="Book Antiqua" w:eastAsia="Book Antiqua" w:hAnsi="Book Antiqua" w:cs="Book Antiqua"/>
          <w:b/>
          <w:caps/>
          <w:color w:val="000000"/>
          <w:u w:val="single"/>
        </w:rPr>
        <w:t>RESULTS</w:t>
      </w:r>
    </w:p>
    <w:p w14:paraId="15A161C8" w14:textId="048DB0C7" w:rsidR="00A77B3E" w:rsidRDefault="000C73F3" w:rsidP="00E739A1">
      <w:pPr>
        <w:spacing w:line="360" w:lineRule="auto"/>
        <w:jc w:val="both"/>
      </w:pPr>
      <w:r>
        <w:rPr>
          <w:rFonts w:ascii="Book Antiqua" w:eastAsia="Book Antiqua" w:hAnsi="Book Antiqua" w:cs="Book Antiqua"/>
          <w:color w:val="000000"/>
        </w:rPr>
        <w:t xml:space="preserve">In total, 14 studies were included in this review per the inclusion/exclusion criteria (Figure 1). </w:t>
      </w:r>
      <w:r w:rsidR="00A42675">
        <w:rPr>
          <w:rFonts w:ascii="Book Antiqua" w:eastAsia="Book Antiqua" w:hAnsi="Book Antiqua" w:cs="Book Antiqua"/>
          <w:color w:val="000000"/>
        </w:rPr>
        <w:t>Two</w:t>
      </w:r>
      <w:r>
        <w:rPr>
          <w:rFonts w:ascii="Book Antiqua" w:eastAsia="Book Antiqua" w:hAnsi="Book Antiqua" w:cs="Book Antiqua"/>
          <w:color w:val="000000"/>
        </w:rPr>
        <w:t xml:space="preserve"> studies</w:t>
      </w:r>
      <w:r w:rsidR="00A42675">
        <w:rPr>
          <w:rFonts w:ascii="Book Antiqua" w:eastAsia="Book Antiqua" w:hAnsi="Book Antiqua" w:cs="Book Antiqua"/>
          <w:color w:val="000000"/>
        </w:rPr>
        <w:t xml:space="preserve"> </w:t>
      </w:r>
      <w:r>
        <w:rPr>
          <w:rFonts w:ascii="Book Antiqua" w:eastAsia="Book Antiqua" w:hAnsi="Book Antiqua" w:cs="Book Antiqua"/>
          <w:color w:val="000000"/>
        </w:rPr>
        <w:t>were lab</w:t>
      </w:r>
      <w:r w:rsidR="00A42675">
        <w:rPr>
          <w:rFonts w:ascii="Book Antiqua" w:eastAsia="Book Antiqua" w:hAnsi="Book Antiqua" w:cs="Book Antiqua"/>
          <w:color w:val="000000"/>
        </w:rPr>
        <w:t>oratory</w:t>
      </w:r>
      <w:r>
        <w:rPr>
          <w:rFonts w:ascii="Book Antiqua" w:eastAsia="Book Antiqua" w:hAnsi="Book Antiqua" w:cs="Book Antiqua"/>
          <w:color w:val="000000"/>
        </w:rPr>
        <w:t xml:space="preserve">-based research (Table 1), while the remaining were clinical </w:t>
      </w:r>
      <w:r w:rsidR="00A42675">
        <w:rPr>
          <w:rFonts w:ascii="Book Antiqua" w:eastAsia="Book Antiqua" w:hAnsi="Book Antiqua" w:cs="Book Antiqua"/>
          <w:color w:val="000000"/>
        </w:rPr>
        <w:t>studies</w:t>
      </w:r>
      <w:r>
        <w:rPr>
          <w:rFonts w:ascii="Book Antiqua" w:eastAsia="Book Antiqua" w:hAnsi="Book Antiqua" w:cs="Book Antiqua"/>
          <w:color w:val="000000"/>
        </w:rPr>
        <w:t xml:space="preserve">, including </w:t>
      </w:r>
      <w:r w:rsidR="00260021">
        <w:rPr>
          <w:rFonts w:ascii="Book Antiqua" w:eastAsia="Book Antiqua" w:hAnsi="Book Antiqua" w:cs="Book Antiqua"/>
          <w:color w:val="000000"/>
        </w:rPr>
        <w:t xml:space="preserve">one </w:t>
      </w:r>
      <w:r>
        <w:rPr>
          <w:rFonts w:ascii="Book Antiqua" w:eastAsia="Book Antiqua" w:hAnsi="Book Antiqua" w:cs="Book Antiqua"/>
          <w:color w:val="000000"/>
        </w:rPr>
        <w:t>randomized</w:t>
      </w:r>
      <w:r w:rsidR="00A42675">
        <w:rPr>
          <w:rFonts w:ascii="Book Antiqua" w:eastAsia="Book Antiqua" w:hAnsi="Book Antiqua" w:cs="Book Antiqua"/>
          <w:color w:val="000000"/>
        </w:rPr>
        <w:t>-</w:t>
      </w:r>
      <w:r>
        <w:rPr>
          <w:rFonts w:ascii="Book Antiqua" w:eastAsia="Book Antiqua" w:hAnsi="Book Antiqua" w:cs="Book Antiqua"/>
          <w:color w:val="000000"/>
        </w:rPr>
        <w:t xml:space="preserve">control trial (Table 2). Only </w:t>
      </w:r>
      <w:r w:rsidR="00260021">
        <w:rPr>
          <w:rFonts w:ascii="Book Antiqua" w:eastAsia="Book Antiqua" w:hAnsi="Book Antiqua" w:cs="Book Antiqua"/>
          <w:color w:val="000000"/>
        </w:rPr>
        <w:t>two</w:t>
      </w:r>
      <w:r>
        <w:rPr>
          <w:rFonts w:ascii="Book Antiqua" w:eastAsia="Book Antiqua" w:hAnsi="Book Antiqua" w:cs="Book Antiqua"/>
          <w:color w:val="000000"/>
        </w:rPr>
        <w:t xml:space="preserve"> studies directly involved and reported on COVID-19 in transgender patients (Table 3).</w:t>
      </w:r>
    </w:p>
    <w:p w14:paraId="6B30EA67" w14:textId="77777777" w:rsidR="00A77B3E" w:rsidRDefault="00A77B3E" w:rsidP="00E739A1">
      <w:pPr>
        <w:spacing w:line="360" w:lineRule="auto"/>
        <w:jc w:val="both"/>
      </w:pPr>
    </w:p>
    <w:p w14:paraId="4E9D6CD3" w14:textId="77777777" w:rsidR="00A77B3E" w:rsidRDefault="000C73F3" w:rsidP="00E739A1">
      <w:pPr>
        <w:spacing w:line="360" w:lineRule="auto"/>
        <w:jc w:val="both"/>
      </w:pPr>
      <w:r>
        <w:rPr>
          <w:rFonts w:ascii="Book Antiqua" w:eastAsia="Book Antiqua" w:hAnsi="Book Antiqua" w:cs="Book Antiqua"/>
          <w:b/>
          <w:caps/>
          <w:color w:val="000000"/>
          <w:u w:val="single"/>
        </w:rPr>
        <w:t>DISCUSSION</w:t>
      </w:r>
    </w:p>
    <w:p w14:paraId="0864BACA" w14:textId="77777777" w:rsidR="00A77B3E" w:rsidRDefault="000C73F3" w:rsidP="00E739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sexual dimorphism seen in COVID-19 morbidity and mortality outcomes has contributed to the hypothesis that the male sex hormone, testosterone, may be an independent risk factor associated with COVID-19 infection and severity, while female sex hormones, estrogen and/or progesterone may endow a protective effect</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1B5E8C96" w14:textId="77777777" w:rsidR="006461D8" w:rsidRDefault="006461D8" w:rsidP="00E739A1">
      <w:pPr>
        <w:spacing w:line="360" w:lineRule="auto"/>
        <w:jc w:val="both"/>
      </w:pPr>
    </w:p>
    <w:p w14:paraId="1544089F" w14:textId="77777777" w:rsidR="00A77B3E" w:rsidRDefault="000C73F3" w:rsidP="00E739A1">
      <w:pPr>
        <w:spacing w:line="360" w:lineRule="auto"/>
        <w:jc w:val="both"/>
      </w:pPr>
      <w:r>
        <w:rPr>
          <w:rFonts w:ascii="Book Antiqua" w:eastAsia="Book Antiqua" w:hAnsi="Book Antiqua" w:cs="Book Antiqua"/>
          <w:b/>
          <w:bCs/>
          <w:color w:val="000000"/>
          <w:u w:val="single"/>
        </w:rPr>
        <w:t>TESTOSTERONE AND COVID-19</w:t>
      </w:r>
    </w:p>
    <w:p w14:paraId="6E0B8317" w14:textId="483EF017" w:rsidR="00A77B3E" w:rsidRDefault="000C73F3" w:rsidP="00E739A1">
      <w:pPr>
        <w:spacing w:line="360" w:lineRule="auto"/>
        <w:jc w:val="both"/>
      </w:pPr>
      <w:r>
        <w:rPr>
          <w:rFonts w:ascii="Book Antiqua" w:eastAsia="Book Antiqua" w:hAnsi="Book Antiqua" w:cs="Book Antiqua"/>
          <w:color w:val="000000"/>
        </w:rPr>
        <w:t xml:space="preserve">It has been proposed that androgens are needed for initial entry of SARS-CoV-2 into the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TMPRSS2, whose expression is increased by testosterone</w:t>
      </w:r>
      <w:r>
        <w:rPr>
          <w:rFonts w:ascii="Book Antiqua" w:eastAsia="Book Antiqua" w:hAnsi="Book Antiqua" w:cs="Book Antiqua"/>
          <w:color w:val="000000"/>
          <w:szCs w:val="30"/>
          <w:vertAlign w:val="superscript"/>
        </w:rPr>
        <w:t>[8,9]</w:t>
      </w:r>
      <w:r w:rsidR="004A3E48">
        <w:rPr>
          <w:rFonts w:ascii="Book Antiqua" w:eastAsia="Book Antiqua" w:hAnsi="Book Antiqua" w:cs="Book Antiqua"/>
          <w:color w:val="000000"/>
        </w:rPr>
        <w:t xml:space="preserve">. </w:t>
      </w:r>
      <w:r>
        <w:rPr>
          <w:rFonts w:ascii="Book Antiqua" w:eastAsia="Book Antiqua" w:hAnsi="Book Antiqua" w:cs="Book Antiqua"/>
          <w:color w:val="000000"/>
        </w:rPr>
        <w:t>This gave rise to the theory that higher androgen levels in cis-gender men may account for the higher rates of infection and worse outcomes compared with their cis-gender women counterparts. Likewise, based on this logic, clinical trials have begun to look at the use of anti</w:t>
      </w:r>
      <w:r w:rsidR="00260021">
        <w:rPr>
          <w:rFonts w:ascii="Book Antiqua" w:eastAsia="Book Antiqua" w:hAnsi="Book Antiqua" w:cs="Book Antiqua"/>
          <w:color w:val="000000"/>
        </w:rPr>
        <w:t>-</w:t>
      </w:r>
      <w:r>
        <w:rPr>
          <w:rFonts w:ascii="Book Antiqua" w:eastAsia="Book Antiqua" w:hAnsi="Book Antiqua" w:cs="Book Antiqua"/>
          <w:color w:val="000000"/>
        </w:rPr>
        <w:t>androgens and TMPRSS2 inhibitors as prophylactic agents in the setting of SARS-CoV-2 infections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However, once the initial infection occurs, testosterone is hypothesized to have a protective effect by limiting the collection of free radicals in cells and reducing the risk of a cytokine storm and subsequent development of </w:t>
      </w:r>
      <w:r w:rsidR="00661691">
        <w:rPr>
          <w:rFonts w:ascii="Book Antiqua" w:eastAsia="Book Antiqua" w:hAnsi="Book Antiqua" w:cs="Book Antiqua"/>
          <w:color w:val="000000"/>
        </w:rPr>
        <w:t>acute respiratory distress syndrome (</w:t>
      </w:r>
      <w:r>
        <w:rPr>
          <w:rFonts w:ascii="Book Antiqua" w:eastAsia="Book Antiqua" w:hAnsi="Book Antiqua" w:cs="Book Antiqua"/>
          <w:color w:val="000000"/>
        </w:rPr>
        <w:t>ARDS</w:t>
      </w:r>
      <w:r w:rsidR="00661691">
        <w:rPr>
          <w:rFonts w:ascii="Book Antiqua" w:eastAsia="Book Antiqua" w:hAnsi="Book Antiqua" w:cs="Book Antiqua"/>
          <w:color w:val="000000"/>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260021">
        <w:rPr>
          <w:rFonts w:ascii="Book Antiqua" w:eastAsia="Book Antiqua" w:hAnsi="Book Antiqua" w:cs="Book Antiqua"/>
          <w:color w:val="000000"/>
        </w:rPr>
        <w:t xml:space="preserve"> </w:t>
      </w:r>
      <w:r>
        <w:rPr>
          <w:rFonts w:ascii="Book Antiqua" w:eastAsia="Book Antiqua" w:hAnsi="Book Antiqua" w:cs="Book Antiqua"/>
          <w:color w:val="000000"/>
        </w:rPr>
        <w:t>Taken together, these two androgen dependent theories suggest that while low testosterone may reduce</w:t>
      </w:r>
      <w:r w:rsidR="00307407">
        <w:rPr>
          <w:rFonts w:ascii="Book Antiqua" w:eastAsia="Book Antiqua" w:hAnsi="Book Antiqua" w:cs="Book Antiqua"/>
          <w:color w:val="000000"/>
        </w:rPr>
        <w:t xml:space="preserve"> the</w:t>
      </w:r>
      <w:r>
        <w:rPr>
          <w:rFonts w:ascii="Book Antiqua" w:eastAsia="Book Antiqua" w:hAnsi="Book Antiqua" w:cs="Book Antiqua"/>
          <w:color w:val="000000"/>
        </w:rPr>
        <w:t xml:space="preserve"> risk of initial infection, testosterone later protects against more severe form</w:t>
      </w:r>
      <w:r w:rsidR="00661691">
        <w:rPr>
          <w:rFonts w:ascii="Book Antiqua" w:eastAsia="Book Antiqua" w:hAnsi="Book Antiqua" w:cs="Book Antiqua"/>
          <w:color w:val="000000"/>
        </w:rPr>
        <w:t>s</w:t>
      </w:r>
      <w:r>
        <w:rPr>
          <w:rFonts w:ascii="Book Antiqua" w:eastAsia="Book Antiqua" w:hAnsi="Book Antiqua" w:cs="Book Antiqua"/>
          <w:color w:val="000000"/>
        </w:rPr>
        <w:t xml:space="preserve"> of </w:t>
      </w:r>
      <w:r w:rsidR="002872BB">
        <w:rPr>
          <w:rFonts w:ascii="Book Antiqua" w:eastAsia="Book Antiqua" w:hAnsi="Book Antiqua" w:cs="Book Antiqua"/>
          <w:color w:val="000000"/>
        </w:rPr>
        <w:t xml:space="preserve">disease </w:t>
      </w:r>
      <w:r>
        <w:rPr>
          <w:rFonts w:ascii="Book Antiqua" w:eastAsia="Book Antiqua" w:hAnsi="Book Antiqua" w:cs="Book Antiqua"/>
          <w:color w:val="000000"/>
        </w:rPr>
        <w:t>and may prevent detrimental outcomes in</w:t>
      </w:r>
      <w:r w:rsidR="00C6277F">
        <w:rPr>
          <w:rFonts w:ascii="Book Antiqua" w:eastAsia="Book Antiqua" w:hAnsi="Book Antiqua" w:cs="Book Antiqua"/>
          <w:color w:val="000000"/>
        </w:rPr>
        <w:t xml:space="preserve"> </w:t>
      </w:r>
      <w:r>
        <w:rPr>
          <w:rFonts w:ascii="Book Antiqua" w:eastAsia="Book Antiqua" w:hAnsi="Book Antiqua" w:cs="Book Antiqua"/>
          <w:color w:val="000000"/>
        </w:rPr>
        <w:t xml:space="preserve">individuals with COVID-19 infections. Further complicating the </w:t>
      </w:r>
      <w:r>
        <w:rPr>
          <w:rFonts w:ascii="Book Antiqua" w:eastAsia="Book Antiqua" w:hAnsi="Book Antiqua" w:cs="Book Antiqua"/>
          <w:color w:val="000000"/>
        </w:rPr>
        <w:lastRenderedPageBreak/>
        <w:t>role of male sex hormones in gender outcome differences, testosterone levels are highly variable among men, with lower testosterone levels seen in men of older age, as well as men with other comorbidities that concurrently increase the risk of COVID-19 severity and morbidity</w:t>
      </w:r>
      <w:r w:rsidR="00F70923">
        <w:rPr>
          <w:rFonts w:ascii="Book Antiqua" w:eastAsia="Book Antiqua" w:hAnsi="Book Antiqua" w:cs="Book Antiqua"/>
          <w:color w:val="000000"/>
        </w:rPr>
        <w:t>,</w:t>
      </w:r>
      <w:r w:rsidRPr="006461D8">
        <w:rPr>
          <w:rFonts w:ascii="Book Antiqua" w:eastAsia="Book Antiqua" w:hAnsi="Book Antiqua" w:cs="Book Antiqua"/>
          <w:i/>
          <w:iCs/>
          <w:color w:val="000000"/>
        </w:rPr>
        <w:t xml:space="preserve"> i.e.</w:t>
      </w:r>
      <w:r>
        <w:rPr>
          <w:rFonts w:ascii="Book Antiqua" w:eastAsia="Book Antiqua" w:hAnsi="Book Antiqua" w:cs="Book Antiqua"/>
          <w:color w:val="000000"/>
        </w:rPr>
        <w:t xml:space="preserve"> type 2 diabetes, chronic lung disease, obesity, and renal insufficiency</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While the above-mentioned arguments consider endogenous testosterone as a potential factor impact</w:t>
      </w:r>
      <w:r w:rsidR="00C448EC">
        <w:rPr>
          <w:rFonts w:ascii="Book Antiqua" w:eastAsia="Book Antiqua" w:hAnsi="Book Antiqua" w:cs="Book Antiqua"/>
          <w:color w:val="000000"/>
        </w:rPr>
        <w:t>ing</w:t>
      </w:r>
      <w:r>
        <w:rPr>
          <w:rFonts w:ascii="Book Antiqua" w:eastAsia="Book Antiqua" w:hAnsi="Book Antiqua" w:cs="Book Antiqua"/>
          <w:color w:val="000000"/>
        </w:rPr>
        <w:t xml:space="preserve"> the risk of SARS-CoV-2 infection, severity</w:t>
      </w:r>
      <w:r w:rsidR="00C94C2A">
        <w:rPr>
          <w:rFonts w:ascii="Book Antiqua" w:eastAsia="Book Antiqua" w:hAnsi="Book Antiqua" w:cs="Book Antiqua"/>
          <w:color w:val="000000"/>
        </w:rPr>
        <w:t>,</w:t>
      </w:r>
      <w:r>
        <w:rPr>
          <w:rFonts w:ascii="Book Antiqua" w:eastAsia="Book Antiqua" w:hAnsi="Book Antiqua" w:cs="Book Antiqua"/>
          <w:color w:val="000000"/>
        </w:rPr>
        <w:t xml:space="preserve"> and morbidit</w:t>
      </w:r>
      <w:r w:rsidR="00C94C2A">
        <w:rPr>
          <w:rFonts w:ascii="Book Antiqua" w:eastAsia="Book Antiqua" w:hAnsi="Book Antiqua" w:cs="Book Antiqua"/>
          <w:color w:val="000000"/>
        </w:rPr>
        <w:t>y</w:t>
      </w:r>
      <w:r>
        <w:rPr>
          <w:rFonts w:ascii="Book Antiqua" w:eastAsia="Book Antiqua" w:hAnsi="Book Antiqua" w:cs="Book Antiqua"/>
          <w:color w:val="000000"/>
        </w:rPr>
        <w:t xml:space="preserve"> associated with COVID-19, whether exogenous hormone consumption in the setting of </w:t>
      </w:r>
      <w:r w:rsidR="0011172D">
        <w:rPr>
          <w:rFonts w:ascii="Book Antiqua" w:eastAsia="Book Antiqua" w:hAnsi="Book Antiqua" w:cs="Book Antiqua"/>
          <w:color w:val="000000"/>
        </w:rPr>
        <w:t>GAHT</w:t>
      </w:r>
      <w:r>
        <w:rPr>
          <w:rFonts w:ascii="Book Antiqua" w:eastAsia="Book Antiqua" w:hAnsi="Book Antiqua" w:cs="Book Antiqua"/>
          <w:color w:val="000000"/>
        </w:rPr>
        <w:t xml:space="preserve"> in transgender individuals would confer the same risks is mostly a matter of speculation.</w:t>
      </w:r>
    </w:p>
    <w:p w14:paraId="4AB1068F" w14:textId="069E5F73" w:rsidR="00A77B3E" w:rsidRDefault="000C73F3" w:rsidP="00E739A1">
      <w:pPr>
        <w:spacing w:line="360" w:lineRule="auto"/>
        <w:ind w:firstLine="720"/>
        <w:jc w:val="both"/>
      </w:pPr>
      <w:r>
        <w:rPr>
          <w:rFonts w:ascii="Book Antiqua" w:eastAsia="Book Antiqua" w:hAnsi="Book Antiqua" w:cs="Book Antiqua"/>
          <w:color w:val="000000"/>
        </w:rPr>
        <w:t xml:space="preserve">Multiple clinical studies have shown that low baseline testosterone levels in men with COVID-19 at the time of admission are associated with worsening outcomes. A recent prospective study by Dhidsa </w:t>
      </w:r>
      <w:r w:rsidR="00260021" w:rsidRPr="000A5039">
        <w:rPr>
          <w:rFonts w:ascii="Book Antiqua" w:eastAsia="Book Antiqua" w:hAnsi="Book Antiqua" w:cs="Book Antiqua"/>
          <w:i/>
          <w:iCs/>
          <w:color w:val="000000"/>
        </w:rPr>
        <w:t>et al</w:t>
      </w:r>
      <w:r w:rsidR="0026002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found that lower testosterone concentrations and increased estradiol to testosterone (E2/T) ratios (a marker of aromatase inhibitor activity) during hospitalization are associated with disease severity, inflammation, and mortality in cis-gender men with COVID-19. The authors did not specify if there were transgender individuals in their studied population. Men with severe COVID-19 had 65</w:t>
      </w:r>
      <w:r w:rsidR="00B921F8">
        <w:rPr>
          <w:rFonts w:ascii="Book Antiqua" w:eastAsia="Book Antiqua" w:hAnsi="Book Antiqua" w:cs="Book Antiqua"/>
          <w:color w:val="000000"/>
        </w:rPr>
        <w:t>%</w:t>
      </w:r>
      <w:r>
        <w:rPr>
          <w:rFonts w:ascii="Book Antiqua" w:eastAsia="Book Antiqua" w:hAnsi="Book Antiqua" w:cs="Book Antiqua"/>
          <w:color w:val="000000"/>
        </w:rPr>
        <w:t xml:space="preserve">-85% lower testosterone concentrations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men with </w:t>
      </w:r>
      <w:r w:rsidR="00EE487C">
        <w:rPr>
          <w:rFonts w:ascii="Book Antiqua" w:eastAsia="Book Antiqua" w:hAnsi="Book Antiqua" w:cs="Book Antiqua"/>
          <w:color w:val="000000"/>
        </w:rPr>
        <w:t xml:space="preserve">a </w:t>
      </w:r>
      <w:r>
        <w:rPr>
          <w:rFonts w:ascii="Book Antiqua" w:eastAsia="Book Antiqua" w:hAnsi="Book Antiqua" w:cs="Book Antiqua"/>
          <w:color w:val="000000"/>
        </w:rPr>
        <w:t xml:space="preserve">milder disease course. Similarly, a retrospective cohort study by Infante </w:t>
      </w:r>
      <w:r>
        <w:rPr>
          <w:rFonts w:ascii="Book Antiqua" w:eastAsia="Book Antiqua" w:hAnsi="Book Antiqua" w:cs="Book Antiqua"/>
          <w:i/>
          <w:iCs/>
          <w:color w:val="000000"/>
        </w:rPr>
        <w:t>et al</w:t>
      </w:r>
      <w:r w:rsidR="006461D8">
        <w:rPr>
          <w:rFonts w:ascii="Book Antiqua" w:eastAsia="Book Antiqua" w:hAnsi="Book Antiqua" w:cs="Book Antiqua"/>
          <w:color w:val="000000"/>
          <w:szCs w:val="30"/>
          <w:vertAlign w:val="superscript"/>
        </w:rPr>
        <w:t>[</w:t>
      </w:r>
      <w:r w:rsidR="00021694">
        <w:rPr>
          <w:rFonts w:ascii="Book Antiqua" w:eastAsia="Book Antiqua" w:hAnsi="Book Antiqua" w:cs="Book Antiqua"/>
          <w:color w:val="000000"/>
          <w:szCs w:val="30"/>
          <w:vertAlign w:val="superscript"/>
        </w:rPr>
        <w:t>24</w:t>
      </w:r>
      <w:r w:rsidR="006461D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evaluated men who were admitted with COVID-19 and found that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the survivor cohort, non-survivors had a significantly lower testosterone level at time of admission, which was inversely co</w:t>
      </w:r>
      <w:r w:rsidR="00EE487C">
        <w:rPr>
          <w:rFonts w:ascii="Book Antiqua" w:eastAsia="Book Antiqua" w:hAnsi="Book Antiqua" w:cs="Book Antiqua"/>
          <w:color w:val="000000"/>
        </w:rPr>
        <w:t>r</w:t>
      </w:r>
      <w:r>
        <w:rPr>
          <w:rFonts w:ascii="Book Antiqua" w:eastAsia="Book Antiqua" w:hAnsi="Book Antiqua" w:cs="Book Antiqua"/>
          <w:color w:val="000000"/>
        </w:rPr>
        <w:t>related with E2/T ratios and inflammatory marker levels. The study found that low testosterone levels at time of admission w</w:t>
      </w:r>
      <w:r w:rsidR="00EE487C">
        <w:rPr>
          <w:rFonts w:ascii="Book Antiqua" w:eastAsia="Book Antiqua" w:hAnsi="Book Antiqua" w:cs="Book Antiqua"/>
          <w:color w:val="000000"/>
        </w:rPr>
        <w:t>ere</w:t>
      </w:r>
      <w:r>
        <w:rPr>
          <w:rFonts w:ascii="Book Antiqua" w:eastAsia="Book Antiqua" w:hAnsi="Book Antiqua" w:cs="Book Antiqua"/>
          <w:color w:val="000000"/>
        </w:rPr>
        <w:t xml:space="preserve"> an independent risk factor for in-hospital mortality and may serve as a surrogate marker for disease severity in male patients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addition, a</w:t>
      </w:r>
      <w:r w:rsidR="00260021">
        <w:rPr>
          <w:rFonts w:ascii="Book Antiqua" w:eastAsia="Book Antiqua" w:hAnsi="Book Antiqua" w:cs="Book Antiqua"/>
          <w:color w:val="000000"/>
        </w:rPr>
        <w:t>n</w:t>
      </w:r>
      <w:r>
        <w:rPr>
          <w:rFonts w:ascii="Book Antiqua" w:eastAsia="Book Antiqua" w:hAnsi="Book Antiqua" w:cs="Book Antiqua"/>
          <w:color w:val="000000"/>
        </w:rPr>
        <w:t xml:space="preserve"> observational cohort</w:t>
      </w:r>
      <w:r w:rsidR="00274DAA">
        <w:rPr>
          <w:rFonts w:ascii="Book Antiqua" w:eastAsia="Book Antiqua" w:hAnsi="Book Antiqua" w:cs="Book Antiqua"/>
          <w:color w:val="000000"/>
        </w:rPr>
        <w:t xml:space="preserve"> </w:t>
      </w:r>
      <w:r>
        <w:rPr>
          <w:rFonts w:ascii="Book Antiqua" w:eastAsia="Book Antiqua" w:hAnsi="Book Antiqua" w:cs="Book Antiqua"/>
          <w:color w:val="000000"/>
        </w:rPr>
        <w:t xml:space="preserve">study </w:t>
      </w:r>
      <w:r w:rsidR="00260021">
        <w:rPr>
          <w:rFonts w:ascii="Book Antiqua" w:eastAsia="Book Antiqua" w:hAnsi="Book Antiqua" w:cs="Book Antiqua"/>
          <w:color w:val="000000"/>
        </w:rPr>
        <w:t xml:space="preserve">in the Netherlands </w:t>
      </w:r>
      <w:r>
        <w:rPr>
          <w:rFonts w:ascii="Book Antiqua" w:eastAsia="Book Antiqua" w:hAnsi="Book Antiqua" w:cs="Book Antiqua"/>
          <w:color w:val="000000"/>
        </w:rPr>
        <w:t>found that lower sex hormone binding globulin (SHBG) levels were associated with a higher mortality rate in both men and women, but low testosterone levels were only associated with mortality in men and not women.</w:t>
      </w:r>
    </w:p>
    <w:p w14:paraId="045589DF" w14:textId="3CA5F34C" w:rsidR="00A77B3E" w:rsidRDefault="000C73F3" w:rsidP="00E739A1">
      <w:pPr>
        <w:spacing w:line="360" w:lineRule="auto"/>
        <w:ind w:firstLine="720"/>
        <w:jc w:val="both"/>
      </w:pPr>
      <w:r>
        <w:rPr>
          <w:rFonts w:ascii="Book Antiqua" w:eastAsia="Book Antiqua" w:hAnsi="Book Antiqua" w:cs="Book Antiqua"/>
          <w:color w:val="000000"/>
        </w:rPr>
        <w:t xml:space="preserve">The association of low testosterone and worse outcomes in male patients in these studies supports the theory that low testosterone levels may lead to an increase in proinflammatory cytokine markers, facilitating the development of a cytokine storm and </w:t>
      </w:r>
      <w:r>
        <w:rPr>
          <w:rFonts w:ascii="Book Antiqua" w:eastAsia="Book Antiqua" w:hAnsi="Book Antiqua" w:cs="Book Antiqua"/>
          <w:color w:val="000000"/>
        </w:rPr>
        <w:lastRenderedPageBreak/>
        <w:t>subsequent disease severity and morbidity in men with COVID-19. The findings are consistent with a larger case</w:t>
      </w:r>
      <w:r w:rsidR="00D75500">
        <w:rPr>
          <w:rFonts w:ascii="Book Antiqua" w:eastAsia="Book Antiqua" w:hAnsi="Book Antiqua" w:cs="Book Antiqua"/>
          <w:color w:val="000000"/>
        </w:rPr>
        <w:t>-</w:t>
      </w:r>
      <w:r>
        <w:rPr>
          <w:rFonts w:ascii="Book Antiqua" w:eastAsia="Book Antiqua" w:hAnsi="Book Antiqua" w:cs="Book Antiqua"/>
          <w:color w:val="000000"/>
        </w:rPr>
        <w:t xml:space="preserve">control study that found lower serum testosterone in men infected with SARS-CoV-2 at time of admission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the unaffected controls, and that the level of testosterone on admission was associated with worse outcomes.</w:t>
      </w:r>
      <w:r w:rsidR="00C6277F">
        <w:rPr>
          <w:rFonts w:ascii="Book Antiqua" w:eastAsia="Book Antiqua" w:hAnsi="Book Antiqua" w:cs="Book Antiqua"/>
          <w:color w:val="000000"/>
        </w:rPr>
        <w:t xml:space="preserve"> </w:t>
      </w:r>
      <w:r>
        <w:rPr>
          <w:rFonts w:ascii="Book Antiqua" w:eastAsia="Book Antiqua" w:hAnsi="Book Antiqua" w:cs="Book Antiqua"/>
          <w:color w:val="000000"/>
        </w:rPr>
        <w:t>Interestingly, this study found that in as many as 85% of cases, sex hormone levels were suggestive of secondary hypogonadism</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096F565" w14:textId="7A59D0B5" w:rsidR="00A77B3E" w:rsidRDefault="000C73F3" w:rsidP="00E739A1">
      <w:pPr>
        <w:spacing w:line="360" w:lineRule="auto"/>
        <w:ind w:firstLine="720"/>
        <w:jc w:val="both"/>
      </w:pPr>
      <w:r>
        <w:rPr>
          <w:rFonts w:ascii="Book Antiqua" w:eastAsia="Book Antiqua" w:hAnsi="Book Antiqua" w:cs="Book Antiqua"/>
          <w:color w:val="000000"/>
        </w:rPr>
        <w:t>Despite the repeated observed association between low testosterone levels and COVID-19 disease severity in males, it is not clear if low testosterone in males predisposes individuals to COVID-19 infection and increase</w:t>
      </w:r>
      <w:r w:rsidR="00D75500">
        <w:rPr>
          <w:rFonts w:ascii="Book Antiqua" w:eastAsia="Book Antiqua" w:hAnsi="Book Antiqua" w:cs="Book Antiqua"/>
          <w:color w:val="000000"/>
        </w:rPr>
        <w:t>s</w:t>
      </w:r>
      <w:r>
        <w:rPr>
          <w:rFonts w:ascii="Book Antiqua" w:eastAsia="Book Antiqua" w:hAnsi="Book Antiqua" w:cs="Book Antiqua"/>
          <w:color w:val="000000"/>
        </w:rPr>
        <w:t xml:space="preserve"> the chance of higher severity of the disease, or if low testosterone is simply a marker of illness severity. Further studies looking at testosterone levels prior to infection are required to clarify this relationship. Adding to the possible immune role of testosterone levels in COVID-19 infection and disease course, a retrospective case</w:t>
      </w:r>
      <w:r w:rsidR="00D75500">
        <w:rPr>
          <w:rFonts w:ascii="Book Antiqua" w:eastAsia="Book Antiqua" w:hAnsi="Book Antiqua" w:cs="Book Antiqua"/>
          <w:color w:val="000000"/>
        </w:rPr>
        <w:t>-</w:t>
      </w:r>
      <w:r>
        <w:rPr>
          <w:rFonts w:ascii="Book Antiqua" w:eastAsia="Book Antiqua" w:hAnsi="Book Antiqua" w:cs="Book Antiqua"/>
          <w:color w:val="000000"/>
        </w:rPr>
        <w:t>control study examining the outcomes of COVID-19 infection in men on testosterone replacement therapy (TRT) (</w:t>
      </w:r>
      <w:r>
        <w:rPr>
          <w:rFonts w:ascii="Book Antiqua" w:eastAsia="Book Antiqua" w:hAnsi="Book Antiqua" w:cs="Book Antiqua"/>
          <w:i/>
          <w:iCs/>
          <w:color w:val="000000"/>
        </w:rPr>
        <w:t>n</w:t>
      </w:r>
      <w:r>
        <w:rPr>
          <w:rFonts w:ascii="Book Antiqua" w:eastAsia="Book Antiqua" w:hAnsi="Book Antiqua" w:cs="Book Antiqua"/>
          <w:color w:val="000000"/>
        </w:rPr>
        <w:t xml:space="preserve"> = 32), found no statistically significant difference in outcomes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men not on TRT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r w:rsidR="005C2B85">
        <w:rPr>
          <w:rFonts w:ascii="Book Antiqua" w:eastAsia="Book Antiqua" w:hAnsi="Book Antiqua" w:cs="Book Antiqua"/>
          <w:color w:val="000000"/>
        </w:rPr>
        <w:t>However, c</w:t>
      </w:r>
      <w:r>
        <w:rPr>
          <w:rFonts w:ascii="Book Antiqua" w:eastAsia="Book Antiqua" w:hAnsi="Book Antiqua" w:cs="Book Antiqua"/>
          <w:color w:val="000000"/>
        </w:rPr>
        <w:t xml:space="preserve">onsidering the </w:t>
      </w:r>
      <w:r w:rsidR="005C2B85">
        <w:rPr>
          <w:rFonts w:ascii="Book Antiqua" w:eastAsia="Book Antiqua" w:hAnsi="Book Antiqua" w:cs="Book Antiqua"/>
          <w:color w:val="000000"/>
        </w:rPr>
        <w:t xml:space="preserve">limited </w:t>
      </w:r>
      <w:r>
        <w:rPr>
          <w:rFonts w:ascii="Book Antiqua" w:eastAsia="Book Antiqua" w:hAnsi="Book Antiqua" w:cs="Book Antiqua"/>
          <w:color w:val="000000"/>
        </w:rPr>
        <w:t xml:space="preserve">number of cases evaluated and the </w:t>
      </w:r>
      <w:r w:rsidR="0052281E">
        <w:rPr>
          <w:rFonts w:ascii="Book Antiqua" w:eastAsia="Book Antiqua" w:hAnsi="Book Antiqua" w:cs="Book Antiqua"/>
          <w:color w:val="000000"/>
        </w:rPr>
        <w:t xml:space="preserve">considerable </w:t>
      </w:r>
      <w:r>
        <w:rPr>
          <w:rFonts w:ascii="Book Antiqua" w:eastAsia="Book Antiqua" w:hAnsi="Book Antiqua" w:cs="Book Antiqua"/>
          <w:color w:val="000000"/>
        </w:rPr>
        <w:t>number of potential confounding factors, the study was not powered enough to draw strong and valid conclusions.</w:t>
      </w:r>
    </w:p>
    <w:p w14:paraId="1A51052D" w14:textId="62A8A311" w:rsidR="00A77B3E" w:rsidRDefault="000C73F3" w:rsidP="00E739A1">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Another possible explanation for the dimorphism in outcomes between cis-gender male</w:t>
      </w:r>
      <w:r w:rsidR="0052281E">
        <w:rPr>
          <w:rFonts w:ascii="Book Antiqua" w:eastAsia="Book Antiqua" w:hAnsi="Book Antiqua" w:cs="Book Antiqua"/>
          <w:color w:val="000000"/>
        </w:rPr>
        <w:t>s</w:t>
      </w:r>
      <w:r>
        <w:rPr>
          <w:rFonts w:ascii="Book Antiqua" w:eastAsia="Book Antiqua" w:hAnsi="Book Antiqua" w:cs="Book Antiqua"/>
          <w:color w:val="000000"/>
        </w:rPr>
        <w:t xml:space="preserve"> and females may be that regardless of testosterone levels in men, female sex hormones provide a much greater protection</w:t>
      </w:r>
      <w:r w:rsidR="0052281E">
        <w:rPr>
          <w:rFonts w:ascii="Book Antiqua" w:eastAsia="Book Antiqua" w:hAnsi="Book Antiqua" w:cs="Book Antiqua"/>
          <w:color w:val="000000"/>
        </w:rPr>
        <w:t>. T</w:t>
      </w:r>
      <w:r>
        <w:rPr>
          <w:rFonts w:ascii="Book Antiqua" w:eastAsia="Book Antiqua" w:hAnsi="Book Antiqua" w:cs="Book Antiqua"/>
          <w:color w:val="000000"/>
        </w:rPr>
        <w:t xml:space="preserve">hus the higher levels of female sex hormones in cis-gender women may account for </w:t>
      </w:r>
      <w:r w:rsidR="0052281E">
        <w:rPr>
          <w:rFonts w:ascii="Book Antiqua" w:eastAsia="Book Antiqua" w:hAnsi="Book Antiqua" w:cs="Book Antiqua"/>
          <w:color w:val="000000"/>
        </w:rPr>
        <w:t xml:space="preserve">the </w:t>
      </w:r>
      <w:r>
        <w:rPr>
          <w:rFonts w:ascii="Book Antiqua" w:eastAsia="Book Antiqua" w:hAnsi="Book Antiqua" w:cs="Book Antiqua"/>
          <w:color w:val="000000"/>
        </w:rPr>
        <w:t xml:space="preserve">disparity in outcomes between the two </w:t>
      </w:r>
      <w:r w:rsidR="003A2F7B">
        <w:rPr>
          <w:rFonts w:ascii="Book Antiqua" w:eastAsia="Book Antiqua" w:hAnsi="Book Antiqua" w:cs="Book Antiqua"/>
          <w:color w:val="000000"/>
        </w:rPr>
        <w:t>sexes</w:t>
      </w:r>
      <w:r>
        <w:rPr>
          <w:rFonts w:ascii="Book Antiqua" w:eastAsia="Book Antiqua" w:hAnsi="Book Antiqua" w:cs="Book Antiqua"/>
          <w:color w:val="000000"/>
        </w:rPr>
        <w:t>.</w:t>
      </w:r>
    </w:p>
    <w:p w14:paraId="31404EE3" w14:textId="77777777" w:rsidR="00624877" w:rsidRDefault="00624877" w:rsidP="00E739A1">
      <w:pPr>
        <w:spacing w:line="360" w:lineRule="auto"/>
        <w:ind w:firstLine="720"/>
        <w:jc w:val="both"/>
      </w:pPr>
    </w:p>
    <w:p w14:paraId="0B1F3582" w14:textId="77777777" w:rsidR="00A77B3E" w:rsidRDefault="000C73F3" w:rsidP="00E739A1">
      <w:pPr>
        <w:spacing w:line="360" w:lineRule="auto"/>
        <w:jc w:val="both"/>
      </w:pPr>
      <w:r>
        <w:rPr>
          <w:rFonts w:ascii="Book Antiqua" w:eastAsia="Book Antiqua" w:hAnsi="Book Antiqua" w:cs="Book Antiqua"/>
          <w:b/>
          <w:bCs/>
          <w:color w:val="000000"/>
          <w:u w:val="single"/>
        </w:rPr>
        <w:t>ESTROGEN AND PROGESTERONE AND COVID-19</w:t>
      </w:r>
    </w:p>
    <w:p w14:paraId="475463F0" w14:textId="77777777" w:rsidR="00A77B3E" w:rsidRDefault="000C73F3" w:rsidP="00E739A1">
      <w:pPr>
        <w:spacing w:line="360" w:lineRule="auto"/>
        <w:jc w:val="both"/>
      </w:pPr>
      <w:r>
        <w:rPr>
          <w:rFonts w:ascii="Book Antiqua" w:eastAsia="Book Antiqua" w:hAnsi="Book Antiqua" w:cs="Book Antiqua"/>
          <w:color w:val="000000"/>
        </w:rPr>
        <w:t>The role of female sex hormones, including estrogen and progesterone</w:t>
      </w:r>
      <w:r w:rsidR="0052281E">
        <w:rPr>
          <w:rFonts w:ascii="Book Antiqua" w:eastAsia="Book Antiqua" w:hAnsi="Book Antiqua" w:cs="Book Antiqua"/>
          <w:color w:val="000000"/>
        </w:rPr>
        <w:t>,</w:t>
      </w:r>
      <w:r>
        <w:rPr>
          <w:rFonts w:ascii="Book Antiqua" w:eastAsia="Book Antiqua" w:hAnsi="Book Antiqua" w:cs="Book Antiqua"/>
          <w:color w:val="000000"/>
        </w:rPr>
        <w:t xml:space="preserve"> have also been proposed as potential protective factors contributing to the dimorphism in COVID-19 infection between cis-gender men and cis-gender women. Earlier studies have shown that estrogen plays an important modulatory role </w:t>
      </w:r>
      <w:r w:rsidR="00406291">
        <w:rPr>
          <w:rFonts w:ascii="Book Antiqua" w:eastAsia="Book Antiqua" w:hAnsi="Book Antiqua" w:cs="Book Antiqua"/>
          <w:color w:val="000000"/>
        </w:rPr>
        <w:t>i</w:t>
      </w:r>
      <w:r>
        <w:rPr>
          <w:rFonts w:ascii="Book Antiqua" w:eastAsia="Book Antiqua" w:hAnsi="Book Antiqua" w:cs="Book Antiqua"/>
          <w:color w:val="000000"/>
        </w:rPr>
        <w:t xml:space="preserve">n both cellular and humoral immune </w:t>
      </w:r>
      <w:r>
        <w:rPr>
          <w:rFonts w:ascii="Book Antiqua" w:eastAsia="Book Antiqua" w:hAnsi="Book Antiqua" w:cs="Book Antiqua"/>
          <w:color w:val="000000"/>
        </w:rPr>
        <w:lastRenderedPageBreak/>
        <w:t>responses, including causing a reduction in T-cell exhaustion and suppression of inflammatory cytokines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p>
    <w:p w14:paraId="0B8AD25F" w14:textId="4FAD4FEA" w:rsidR="00A77B3E" w:rsidRDefault="000C73F3" w:rsidP="00E739A1">
      <w:pPr>
        <w:spacing w:line="360" w:lineRule="auto"/>
        <w:ind w:firstLine="720"/>
        <w:jc w:val="both"/>
      </w:pPr>
      <w:r>
        <w:rPr>
          <w:rFonts w:ascii="Book Antiqua" w:eastAsia="Book Antiqua" w:hAnsi="Book Antiqua" w:cs="Book Antiqua"/>
          <w:color w:val="000000"/>
        </w:rPr>
        <w:t xml:space="preserve">In line with the hypothesis of female sex hormones playing a significant protective role, a retrospective study from China by Ding </w:t>
      </w:r>
      <w:r>
        <w:rPr>
          <w:rFonts w:ascii="Book Antiqua" w:eastAsia="Book Antiqua" w:hAnsi="Book Antiqua" w:cs="Book Antiqua"/>
          <w:i/>
          <w:iCs/>
          <w:color w:val="000000"/>
        </w:rPr>
        <w:t>et al</w:t>
      </w:r>
      <w:r w:rsidR="00624877">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indicated that non-menopausal (NM) females presented with milder disease severity and had better outcomes compared with age-matched males, but these differences disappeared between menopausal (M) females and age-matched men. This supports the idea that female hormones of NM women (pre-menopausal cis-gender) may provide protection, and the authors further noted that estradiol (E2) and anti-Mullerian hormone (AMH), which serves as a marker for ovarian reserve and function, showed a negative correlation with severity of infection in women. The study also found that E2 Levels specifically were negatively co</w:t>
      </w:r>
      <w:r w:rsidR="00406291">
        <w:rPr>
          <w:rFonts w:ascii="Book Antiqua" w:eastAsia="Book Antiqua" w:hAnsi="Book Antiqua" w:cs="Book Antiqua"/>
          <w:color w:val="000000"/>
        </w:rPr>
        <w:t>r</w:t>
      </w:r>
      <w:r>
        <w:rPr>
          <w:rFonts w:ascii="Book Antiqua" w:eastAsia="Book Antiqua" w:hAnsi="Book Antiqua" w:cs="Book Antiqua"/>
          <w:color w:val="000000"/>
        </w:rPr>
        <w:t>related with cytokines related to immunity and inflammation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Further </w:t>
      </w:r>
      <w:r w:rsidR="00274DAA">
        <w:rPr>
          <w:rFonts w:ascii="Book Antiqua" w:eastAsia="Book Antiqua" w:hAnsi="Book Antiqua" w:cs="Book Antiqua"/>
          <w:color w:val="000000"/>
        </w:rPr>
        <w:t>illustrating</w:t>
      </w:r>
      <w:r w:rsidR="003A2F7B">
        <w:rPr>
          <w:rFonts w:ascii="Book Antiqua" w:eastAsia="Book Antiqua" w:hAnsi="Book Antiqua" w:cs="Book Antiqua"/>
          <w:color w:val="000000"/>
        </w:rPr>
        <w:t xml:space="preserve"> </w:t>
      </w:r>
      <w:r>
        <w:rPr>
          <w:rFonts w:ascii="Book Antiqua" w:eastAsia="Book Antiqua" w:hAnsi="Book Antiqua" w:cs="Book Antiqua"/>
          <w:color w:val="000000"/>
        </w:rPr>
        <w:t xml:space="preserve">the potential protective role of E2, a retrospective cohort study from Germany found that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PM women not taking hormone replacement therapy (HRT), PM women receiving HRT, containing E2, had a 50% lower risk of mortality following </w:t>
      </w:r>
      <w:r>
        <w:rPr>
          <w:rFonts w:ascii="Book Antiqua" w:eastAsia="Book Antiqua" w:hAnsi="Book Antiqua" w:cs="Book Antiqua"/>
          <w:color w:val="000000"/>
          <w:shd w:val="clear" w:color="auto" w:fill="FFFFFF"/>
        </w:rPr>
        <w:t>SARS-CoV-2</w:t>
      </w:r>
      <w:r>
        <w:rPr>
          <w:rFonts w:ascii="Book Antiqua" w:eastAsia="Book Antiqua" w:hAnsi="Book Antiqua" w:cs="Book Antiqua"/>
          <w:color w:val="000000"/>
        </w:rPr>
        <w:t xml:space="preserve"> infections (Odds Ratio 0.33; Hazard Ratio 0.29)</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In addition to the immunoprotective role of E2, progesterone is also thought to play a significant immunomodulatory role, including the prevention of free radical formation and suppression of proinflammatory cytokines</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This inflammatory dampening facilitated by high endogenous progesterone levels is thought to be protective against cytokine storms and subsequent development of ARDS in COVID-19 patients</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Results from a recent randomized control trial found that subcutaneous progesterone administration was associated with significant clinical improvement in hypoxemic men hospitalized with COVID-19</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67B5345E" w14:textId="5FBB5684" w:rsidR="00A77B3E" w:rsidRDefault="000C73F3" w:rsidP="00E739A1">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Researchers investigating the potential protective effects of estrogen on endothelial cells against oxidative stress induced by </w:t>
      </w:r>
      <w:r w:rsidR="003A2F7B">
        <w:rPr>
          <w:rFonts w:ascii="Book Antiqua" w:eastAsia="Book Antiqua" w:hAnsi="Book Antiqua" w:cs="Book Antiqua"/>
          <w:color w:val="000000"/>
        </w:rPr>
        <w:t>interleukin (</w:t>
      </w:r>
      <w:r>
        <w:rPr>
          <w:rFonts w:ascii="Book Antiqua" w:eastAsia="Book Antiqua" w:hAnsi="Book Antiqua" w:cs="Book Antiqua"/>
          <w:color w:val="000000"/>
        </w:rPr>
        <w:t>IL</w:t>
      </w:r>
      <w:r w:rsidR="003A2F7B">
        <w:rPr>
          <w:rFonts w:ascii="Book Antiqua" w:eastAsia="Book Antiqua" w:hAnsi="Book Antiqua" w:cs="Book Antiqua"/>
          <w:color w:val="000000"/>
        </w:rPr>
        <w:t>)</w:t>
      </w:r>
      <w:r>
        <w:rPr>
          <w:rFonts w:ascii="Book Antiqua" w:eastAsia="Book Antiqua" w:hAnsi="Book Antiqua" w:cs="Book Antiqua"/>
          <w:color w:val="000000"/>
        </w:rPr>
        <w:t>-6 and by SARS-COV-2 spike protein (S protein) demonstrated that in response to S protein or IL-6 exposure of endothelial cells, estrogen inhibits initial viral response and alleviates cytokine storm-induced endothelial dysfunction, a critical mediator in ARDS/multi-organ failure, ultimately attenuating disease progression, severity, and mortality. This lab based research support</w:t>
      </w:r>
      <w:r w:rsidR="00E86AEB">
        <w:rPr>
          <w:rFonts w:ascii="Book Antiqua" w:eastAsia="Book Antiqua" w:hAnsi="Book Antiqua" w:cs="Book Antiqua"/>
          <w:color w:val="000000"/>
        </w:rPr>
        <w:t>s</w:t>
      </w:r>
      <w:r>
        <w:rPr>
          <w:rFonts w:ascii="Book Antiqua" w:eastAsia="Book Antiqua" w:hAnsi="Book Antiqua" w:cs="Book Antiqua"/>
          <w:color w:val="000000"/>
        </w:rPr>
        <w:t xml:space="preserve"> the notion that estrogen provides significant protection against </w:t>
      </w:r>
      <w:r>
        <w:rPr>
          <w:rFonts w:ascii="Book Antiqua" w:eastAsia="Book Antiqua" w:hAnsi="Book Antiqua" w:cs="Book Antiqua"/>
          <w:color w:val="000000"/>
        </w:rPr>
        <w:lastRenderedPageBreak/>
        <w:t>COVID-19 in cis-gender females and underlines the potential utility of estrogen administration as a treatment option for COVID-19 to reduce disease severity and improve survival. While not reviewed in this paper, several clinical studies are currently taking place to study the utility of estrogen treatment in infected cis-gender males and females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2DA6DA48" w14:textId="77777777" w:rsidR="00624877" w:rsidRDefault="00624877" w:rsidP="00E739A1">
      <w:pPr>
        <w:spacing w:line="360" w:lineRule="auto"/>
        <w:ind w:firstLine="720"/>
        <w:jc w:val="both"/>
      </w:pPr>
    </w:p>
    <w:p w14:paraId="7510D7B7" w14:textId="46DF9A8D" w:rsidR="00A77B3E" w:rsidRDefault="000C73F3" w:rsidP="00E739A1">
      <w:pPr>
        <w:spacing w:line="360" w:lineRule="auto"/>
        <w:jc w:val="both"/>
      </w:pPr>
      <w:r>
        <w:rPr>
          <w:rFonts w:ascii="Book Antiqua" w:eastAsia="Book Antiqua" w:hAnsi="Book Antiqua" w:cs="Book Antiqua"/>
          <w:b/>
          <w:bCs/>
          <w:color w:val="000000"/>
          <w:u w:val="single"/>
        </w:rPr>
        <w:t>GENDER</w:t>
      </w:r>
      <w:r w:rsidR="003A2F7B">
        <w:rPr>
          <w:rFonts w:ascii="Book Antiqua" w:eastAsia="Book Antiqua" w:hAnsi="Book Antiqua" w:cs="Book Antiqua"/>
          <w:b/>
          <w:bCs/>
          <w:color w:val="000000"/>
          <w:u w:val="single"/>
        </w:rPr>
        <w:t>-</w:t>
      </w:r>
      <w:r>
        <w:rPr>
          <w:rFonts w:ascii="Book Antiqua" w:eastAsia="Book Antiqua" w:hAnsi="Book Antiqua" w:cs="Book Antiqua"/>
          <w:b/>
          <w:bCs/>
          <w:color w:val="000000"/>
          <w:u w:val="single"/>
        </w:rPr>
        <w:t>AFFIRMING HORMONE THERAPY AND TRANSGENDER CARE</w:t>
      </w:r>
    </w:p>
    <w:p w14:paraId="3A9E58A6" w14:textId="2C709A8B" w:rsidR="00624877" w:rsidRDefault="000C73F3" w:rsidP="000A5039">
      <w:pPr>
        <w:spacing w:line="360" w:lineRule="auto"/>
        <w:jc w:val="both"/>
      </w:pPr>
      <w:r>
        <w:rPr>
          <w:rFonts w:ascii="Book Antiqua" w:eastAsia="Book Antiqua" w:hAnsi="Book Antiqua" w:cs="Book Antiqua"/>
          <w:color w:val="000000"/>
        </w:rPr>
        <w:t>While several studies have looked at the interplay of hormone and innate hormone levels on cis-gender male and females, less is known about the impact of COVID</w:t>
      </w:r>
      <w:r w:rsidR="00A16C1E">
        <w:rPr>
          <w:rFonts w:ascii="Book Antiqua" w:eastAsia="Book Antiqua" w:hAnsi="Book Antiqua" w:cs="Book Antiqua"/>
          <w:color w:val="000000"/>
        </w:rPr>
        <w:t>-</w:t>
      </w:r>
      <w:r>
        <w:rPr>
          <w:rFonts w:ascii="Book Antiqua" w:eastAsia="Book Antiqua" w:hAnsi="Book Antiqua" w:cs="Book Antiqua"/>
          <w:color w:val="000000"/>
        </w:rPr>
        <w:t xml:space="preserve">19 on individuals undergoing </w:t>
      </w:r>
      <w:r w:rsidR="00E86AEB">
        <w:rPr>
          <w:rFonts w:ascii="Book Antiqua" w:eastAsia="Book Antiqua" w:hAnsi="Book Antiqua" w:cs="Book Antiqua"/>
          <w:color w:val="000000"/>
        </w:rPr>
        <w:t>GAHT</w:t>
      </w:r>
      <w:r>
        <w:rPr>
          <w:rFonts w:ascii="Book Antiqua" w:eastAsia="Book Antiqua" w:hAnsi="Book Antiqua" w:cs="Book Antiqua"/>
          <w:color w:val="000000"/>
        </w:rPr>
        <w:t>. Similar to studies that have looked at the protective effects of progesterone and estrogen in cis-gender females, the mechanism of estrogen and progesterone in relation to COVID-19 infection and susceptibility can also be readily studied in the transgender population. A recent study by Masterson and colleagues has been one of the first to examine the impact of feminizing GAHT in transgender individuals being treated for gender dysphoria GD</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Transgender women (TW) are routinely treated with estrogen (E) or estrogen </w:t>
      </w:r>
      <w:r w:rsidR="003A2F7B">
        <w:rPr>
          <w:rFonts w:ascii="Book Antiqua" w:eastAsia="Book Antiqua" w:hAnsi="Book Antiqua" w:cs="Book Antiqua"/>
          <w:color w:val="000000"/>
        </w:rPr>
        <w:t xml:space="preserve">plus </w:t>
      </w:r>
      <w:r>
        <w:rPr>
          <w:rFonts w:ascii="Book Antiqua" w:eastAsia="Book Antiqua" w:hAnsi="Book Antiqua" w:cs="Book Antiqua"/>
          <w:color w:val="000000"/>
        </w:rPr>
        <w:t xml:space="preserve">progesterone (E+P) as part of feminization GAHT.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orchiectomy samples of cis-gender men and TW on E alone, the TW cohort receiving E+P therapy prior to gender</w:t>
      </w:r>
      <w:r w:rsidR="00A42675">
        <w:rPr>
          <w:rFonts w:ascii="Book Antiqua" w:eastAsia="Book Antiqua" w:hAnsi="Book Antiqua" w:cs="Book Antiqua"/>
          <w:color w:val="000000"/>
        </w:rPr>
        <w:t>-</w:t>
      </w:r>
      <w:r>
        <w:rPr>
          <w:rFonts w:ascii="Book Antiqua" w:eastAsia="Book Antiqua" w:hAnsi="Book Antiqua" w:cs="Book Antiqua"/>
          <w:color w:val="000000"/>
        </w:rPr>
        <w:t>affirming orchiectomy surgery had fewer Leydig cells and less ACE-2 expression when examined with immunohistochemistry. Their findings suggest that P appears to significantly diminish ACE-2 expression in the testes. This reduction in ACE-2 expression helps to support the hypothesis that a short course of exogenous P or E+P therapy may downregulate ACE-2 expression and help offer protection against COVID-19 infection and limit disease severity in cis-gender men and TW undergoing GAHT. While this study demonstrated the differences in ACE-2 expression in gonadal tissues when exposed to P+E therapy, it is unclear i</w:t>
      </w:r>
      <w:r w:rsidR="0011172D">
        <w:rPr>
          <w:rFonts w:ascii="Book Antiqua" w:eastAsia="Book Antiqua" w:hAnsi="Book Antiqua" w:cs="Book Antiqua"/>
          <w:color w:val="000000"/>
        </w:rPr>
        <w:t>f</w:t>
      </w:r>
      <w:r>
        <w:rPr>
          <w:rFonts w:ascii="Book Antiqua" w:eastAsia="Book Antiqua" w:hAnsi="Book Antiqua" w:cs="Book Antiqua"/>
          <w:color w:val="000000"/>
        </w:rPr>
        <w:t xml:space="preserve"> th</w:t>
      </w:r>
      <w:r w:rsidR="0011172D">
        <w:rPr>
          <w:rFonts w:ascii="Book Antiqua" w:eastAsia="Book Antiqua" w:hAnsi="Book Antiqua" w:cs="Book Antiqua"/>
          <w:color w:val="000000"/>
        </w:rPr>
        <w:t>e</w:t>
      </w:r>
      <w:r>
        <w:rPr>
          <w:rFonts w:ascii="Book Antiqua" w:eastAsia="Book Antiqua" w:hAnsi="Book Antiqua" w:cs="Book Antiqua"/>
          <w:color w:val="000000"/>
        </w:rPr>
        <w:t xml:space="preserve"> lower rate of expression in the studied group confers a lower risk of COVID-19 infection and severity, nor is it broadly applicable to the cis-gender population at large. The findings support prior work published by Montopoli</w:t>
      </w:r>
      <w:r>
        <w:rPr>
          <w:rFonts w:ascii="Book Antiqua" w:eastAsia="Book Antiqua" w:hAnsi="Book Antiqua" w:cs="Book Antiqua"/>
          <w:i/>
          <w:iCs/>
          <w:color w:val="000000"/>
        </w:rPr>
        <w:t>et al</w:t>
      </w:r>
      <w:r w:rsidR="00624877">
        <w:rPr>
          <w:rFonts w:ascii="Book Antiqua" w:eastAsia="Book Antiqua" w:hAnsi="Book Antiqua" w:cs="Book Antiqua"/>
          <w:color w:val="000000"/>
          <w:szCs w:val="30"/>
          <w:vertAlign w:val="superscript"/>
        </w:rPr>
        <w:t>[39]</w:t>
      </w:r>
      <w:r w:rsidR="003A2F7B">
        <w:rPr>
          <w:rFonts w:ascii="Book Antiqua" w:eastAsia="Book Antiqua" w:hAnsi="Book Antiqua" w:cs="Book Antiqua"/>
          <w:color w:val="000000"/>
        </w:rPr>
        <w:t xml:space="preserve">, which </w:t>
      </w:r>
      <w:r>
        <w:rPr>
          <w:rFonts w:ascii="Book Antiqua" w:eastAsia="Book Antiqua" w:hAnsi="Book Antiqua" w:cs="Book Antiqua"/>
          <w:color w:val="000000"/>
        </w:rPr>
        <w:t xml:space="preserve">showed that men undergoing prostate cancer treatment who received androgen deprivation therapy (ADT) were </w:t>
      </w:r>
      <w:r w:rsidR="003A2F7B">
        <w:rPr>
          <w:rFonts w:ascii="Book Antiqua" w:eastAsia="Book Antiqua" w:hAnsi="Book Antiqua" w:cs="Book Antiqua"/>
          <w:color w:val="000000"/>
        </w:rPr>
        <w:t xml:space="preserve">four </w:t>
      </w:r>
      <w:r>
        <w:rPr>
          <w:rFonts w:ascii="Book Antiqua" w:eastAsia="Book Antiqua" w:hAnsi="Book Antiqua" w:cs="Book Antiqua"/>
          <w:color w:val="000000"/>
        </w:rPr>
        <w:t xml:space="preserve">times less likely to be diagnosed with COVID-19 compared </w:t>
      </w:r>
      <w:r w:rsidR="003A2F7B">
        <w:rPr>
          <w:rFonts w:ascii="Book Antiqua" w:eastAsia="Book Antiqua" w:hAnsi="Book Antiqua" w:cs="Book Antiqua"/>
          <w:color w:val="000000"/>
        </w:rPr>
        <w:t xml:space="preserve">with </w:t>
      </w:r>
      <w:r>
        <w:rPr>
          <w:rFonts w:ascii="Book Antiqua" w:eastAsia="Book Antiqua" w:hAnsi="Book Antiqua" w:cs="Book Antiqua"/>
          <w:color w:val="000000"/>
        </w:rPr>
        <w:lastRenderedPageBreak/>
        <w:t>those who did not receive ADT. In contrast,</w:t>
      </w:r>
      <w:r w:rsidR="003A2F7B">
        <w:rPr>
          <w:rFonts w:ascii="Book Antiqua" w:eastAsia="Book Antiqua" w:hAnsi="Book Antiqua" w:cs="Book Antiqua"/>
          <w:color w:val="000000"/>
        </w:rPr>
        <w:t xml:space="preserve"> </w:t>
      </w:r>
      <w:r>
        <w:rPr>
          <w:rFonts w:ascii="Book Antiqua" w:eastAsia="Book Antiqua" w:hAnsi="Book Antiqua" w:cs="Book Antiqua"/>
          <w:color w:val="000000"/>
        </w:rPr>
        <w:t xml:space="preserve">a more recent prospective cohort study consisting of 1779 men with prostate cancer found a higher rate of COVID infection in the ADT group (17.1% ADT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5.7% no ADT group), but upon further multivariable analysis did not indicate a difference in infection rate for men treated with ADT compared </w:t>
      </w:r>
      <w:r w:rsidR="003A2F7B">
        <w:rPr>
          <w:rFonts w:ascii="Book Antiqua" w:eastAsia="Book Antiqua" w:hAnsi="Book Antiqua" w:cs="Book Antiqua"/>
          <w:color w:val="000000"/>
        </w:rPr>
        <w:t xml:space="preserve">with </w:t>
      </w:r>
      <w:r>
        <w:rPr>
          <w:rFonts w:ascii="Book Antiqua" w:eastAsia="Book Antiqua" w:hAnsi="Book Antiqua" w:cs="Book Antiqua"/>
          <w:color w:val="000000"/>
        </w:rPr>
        <w:t xml:space="preserve">no ADT once confounding variables were accounted for (OR 0.93 </w:t>
      </w:r>
      <w:r w:rsidR="003A2F7B">
        <w:rPr>
          <w:rFonts w:ascii="Book Antiqua" w:eastAsia="Book Antiqua" w:hAnsi="Book Antiqua" w:cs="Book Antiqua"/>
          <w:color w:val="000000"/>
        </w:rPr>
        <w:t>95%</w:t>
      </w:r>
      <w:r>
        <w:rPr>
          <w:rFonts w:ascii="Book Antiqua" w:eastAsia="Book Antiqua" w:hAnsi="Book Antiqua" w:cs="Book Antiqua"/>
          <w:color w:val="000000"/>
        </w:rPr>
        <w:t>CI</w:t>
      </w:r>
      <w:r w:rsidR="003A2F7B">
        <w:rPr>
          <w:rFonts w:ascii="Book Antiqua" w:eastAsia="Book Antiqua" w:hAnsi="Book Antiqua" w:cs="Book Antiqua"/>
          <w:color w:val="000000"/>
        </w:rPr>
        <w:t>:</w:t>
      </w:r>
      <w:r>
        <w:rPr>
          <w:rFonts w:ascii="Book Antiqua" w:eastAsia="Book Antiqua" w:hAnsi="Book Antiqua" w:cs="Book Antiqua"/>
          <w:color w:val="000000"/>
        </w:rPr>
        <w:t xml:space="preserve"> 0.54</w:t>
      </w:r>
      <w:r w:rsidR="003A2F7B">
        <w:rPr>
          <w:rFonts w:ascii="Book Antiqua" w:eastAsia="Book Antiqua" w:hAnsi="Book Antiqua" w:cs="Book Antiqua"/>
          <w:color w:val="000000"/>
        </w:rPr>
        <w:t>–</w:t>
      </w:r>
      <w:r>
        <w:rPr>
          <w:rFonts w:ascii="Book Antiqua" w:eastAsia="Book Antiqua" w:hAnsi="Book Antiqua" w:cs="Book Antiqua"/>
          <w:color w:val="000000"/>
        </w:rPr>
        <w:t xml:space="preserve">1.61, </w:t>
      </w:r>
      <w:r>
        <w:rPr>
          <w:rFonts w:ascii="Book Antiqua" w:eastAsia="Book Antiqua" w:hAnsi="Book Antiqua" w:cs="Book Antiqua"/>
          <w:i/>
          <w:iCs/>
          <w:color w:val="000000"/>
        </w:rPr>
        <w:t>P</w:t>
      </w:r>
      <w:r>
        <w:rPr>
          <w:rFonts w:ascii="Book Antiqua" w:eastAsia="Book Antiqua" w:hAnsi="Book Antiqua" w:cs="Book Antiqua"/>
          <w:color w:val="000000"/>
        </w:rPr>
        <w:t xml:space="preserve"> = 0.8)</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67BBB61D" w14:textId="2A0B5247" w:rsidR="00A77B3E" w:rsidRDefault="000C73F3" w:rsidP="00E739A1">
      <w:pPr>
        <w:spacing w:line="360" w:lineRule="auto"/>
        <w:ind w:firstLine="720"/>
        <w:jc w:val="both"/>
      </w:pPr>
      <w:r>
        <w:rPr>
          <w:rFonts w:ascii="Book Antiqua" w:eastAsia="Book Antiqua" w:hAnsi="Book Antiqua" w:cs="Book Antiqua"/>
          <w:color w:val="000000"/>
        </w:rPr>
        <w:t xml:space="preserve">In addition to histochemical and laboratory studies on the mechanism of sex hormones, clinical studies looking at the infection rates and outcomes among transgender individuals treated with hormone therapy help to further deepen our understanding of the role of sex hormones. A recent web-based survey evaluation by Durcan </w:t>
      </w:r>
      <w:r w:rsidR="003A2F7B" w:rsidRPr="000A5039">
        <w:rPr>
          <w:rFonts w:ascii="Book Antiqua" w:eastAsia="Book Antiqua" w:hAnsi="Book Antiqua" w:cs="Book Antiqua"/>
          <w:i/>
          <w:iCs/>
          <w:color w:val="000000"/>
        </w:rPr>
        <w:t>et al</w:t>
      </w:r>
      <w:r w:rsidR="003A2F7B">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found that the risk of COVID-19 infection was 3.46 times higher in transgender men (TM), who were receiving testosterone therapy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TW, who received estrogen and anti-androgen therapy. In addition, the TM cohort who contracted COVID-19 had a longer androgen therapy treatment history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TM patients who did not contract the virus. While these findings suggest that TM individuals who receive androgen therapy as part of GAHT are at greater risk of COVID-19 infection, the study </w:t>
      </w:r>
      <w:r w:rsidR="003A2F7B">
        <w:rPr>
          <w:rFonts w:ascii="Book Antiqua" w:eastAsia="Book Antiqua" w:hAnsi="Book Antiqua" w:cs="Book Antiqua"/>
          <w:color w:val="000000"/>
        </w:rPr>
        <w:t>wa</w:t>
      </w:r>
      <w:r>
        <w:rPr>
          <w:rFonts w:ascii="Book Antiqua" w:eastAsia="Book Antiqua" w:hAnsi="Book Antiqua" w:cs="Book Antiqua"/>
          <w:color w:val="000000"/>
        </w:rPr>
        <w:t xml:space="preserve">s limited by the small cohort size and retrospective </w:t>
      </w:r>
      <w:r w:rsidR="003A2F7B">
        <w:rPr>
          <w:rFonts w:ascii="Book Antiqua" w:eastAsia="Book Antiqua" w:hAnsi="Book Antiqua" w:cs="Book Antiqua"/>
          <w:color w:val="000000"/>
        </w:rPr>
        <w:t>design</w:t>
      </w:r>
      <w:r>
        <w:rPr>
          <w:rFonts w:ascii="Book Antiqua" w:eastAsia="Book Antiqua" w:hAnsi="Book Antiqua" w:cs="Book Antiqua"/>
          <w:color w:val="000000"/>
        </w:rPr>
        <w:t>. Additionally, while the study stated that most patients who contracted COVID-19 did not require hospital admission, further studies looking at the severity of COVID-19 infection and need for ICU admission among transgender individuals undergoing GAHT would further help to demonstrate the risk of COVID-19 and its relationship with the COVID severity and morbidities in patients receiving supplemental androgen therapy (testosterone).</w:t>
      </w:r>
    </w:p>
    <w:p w14:paraId="51E7A921" w14:textId="5CA15A27" w:rsidR="00A77B3E" w:rsidRDefault="000C73F3" w:rsidP="00E739A1">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Despite the interest in the use of exogenous hormone therapies to help reduce COVID-19 infection and severity, still</w:t>
      </w:r>
      <w:r w:rsidR="008B6298">
        <w:rPr>
          <w:rFonts w:ascii="Book Antiqua" w:eastAsia="Book Antiqua" w:hAnsi="Book Antiqua" w:cs="Book Antiqua"/>
          <w:color w:val="000000"/>
        </w:rPr>
        <w:t>,</w:t>
      </w:r>
      <w:r>
        <w:rPr>
          <w:rFonts w:ascii="Book Antiqua" w:eastAsia="Book Antiqua" w:hAnsi="Book Antiqua" w:cs="Book Antiqua"/>
          <w:color w:val="000000"/>
        </w:rPr>
        <w:t xml:space="preserve"> very little research on the impact of COVID-19 on the transgender community and transgender individuals underdoing GAHT is available, as </w:t>
      </w:r>
      <w:r w:rsidR="003A2F7B">
        <w:rPr>
          <w:rFonts w:ascii="Book Antiqua" w:eastAsia="Book Antiqua" w:hAnsi="Book Antiqua" w:cs="Book Antiqua"/>
          <w:color w:val="000000"/>
        </w:rPr>
        <w:t xml:space="preserve">that </w:t>
      </w:r>
      <w:r>
        <w:rPr>
          <w:rFonts w:ascii="Book Antiqua" w:eastAsia="Book Antiqua" w:hAnsi="Book Antiqua" w:cs="Book Antiqua"/>
          <w:color w:val="000000"/>
        </w:rPr>
        <w:t>cohort has been largely overlooked in demographic data, research studies and public health surveillance data collection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While the current</w:t>
      </w:r>
      <w:r w:rsidR="00D97BDA">
        <w:rPr>
          <w:rFonts w:ascii="Book Antiqua" w:eastAsia="Book Antiqua" w:hAnsi="Book Antiqua" w:cs="Book Antiqua"/>
          <w:color w:val="000000"/>
        </w:rPr>
        <w:t>ly</w:t>
      </w:r>
      <w:r>
        <w:rPr>
          <w:rFonts w:ascii="Book Antiqua" w:eastAsia="Book Antiqua" w:hAnsi="Book Antiqua" w:cs="Book Antiqua"/>
          <w:color w:val="000000"/>
        </w:rPr>
        <w:t xml:space="preserve"> available literature suggests that GAHT </w:t>
      </w:r>
      <w:r w:rsidR="003A2F7B">
        <w:rPr>
          <w:rFonts w:ascii="Book Antiqua" w:eastAsia="Book Antiqua" w:hAnsi="Book Antiqua" w:cs="Book Antiqua"/>
          <w:color w:val="000000"/>
        </w:rPr>
        <w:t>has</w:t>
      </w:r>
      <w:r>
        <w:rPr>
          <w:rFonts w:ascii="Book Antiqua" w:eastAsia="Book Antiqua" w:hAnsi="Book Antiqua" w:cs="Book Antiqua"/>
          <w:color w:val="000000"/>
        </w:rPr>
        <w:t xml:space="preserve"> a role in COVID</w:t>
      </w:r>
      <w:r w:rsidR="00D97BDA">
        <w:rPr>
          <w:rFonts w:ascii="Book Antiqua" w:eastAsia="Book Antiqua" w:hAnsi="Book Antiqua" w:cs="Book Antiqua"/>
          <w:color w:val="000000"/>
        </w:rPr>
        <w:t>-</w:t>
      </w:r>
      <w:r>
        <w:rPr>
          <w:rFonts w:ascii="Book Antiqua" w:eastAsia="Book Antiqua" w:hAnsi="Book Antiqua" w:cs="Book Antiqua"/>
          <w:color w:val="000000"/>
        </w:rPr>
        <w:t>19 infected individuals, the current small sample sizes and limited understanding make generalizing to the overall transgender community (</w:t>
      </w:r>
      <w:r w:rsidR="00135816">
        <w:rPr>
          <w:rFonts w:ascii="Book Antiqua" w:eastAsia="Book Antiqua" w:hAnsi="Book Antiqua" w:cs="Book Antiqua"/>
          <w:color w:val="000000"/>
        </w:rPr>
        <w:t>TM</w:t>
      </w:r>
      <w:r>
        <w:rPr>
          <w:rFonts w:ascii="Book Antiqua" w:eastAsia="Book Antiqua" w:hAnsi="Book Antiqua" w:cs="Book Antiqua"/>
          <w:color w:val="000000"/>
        </w:rPr>
        <w:t xml:space="preserve">, </w:t>
      </w:r>
      <w:r w:rsidR="00135816">
        <w:rPr>
          <w:rFonts w:ascii="Book Antiqua" w:eastAsia="Book Antiqua" w:hAnsi="Book Antiqua" w:cs="Book Antiqua"/>
          <w:color w:val="000000"/>
        </w:rPr>
        <w:t>TW</w:t>
      </w:r>
      <w:r>
        <w:rPr>
          <w:rFonts w:ascii="Book Antiqua" w:eastAsia="Book Antiqua" w:hAnsi="Book Antiqua" w:cs="Book Antiqua"/>
          <w:color w:val="000000"/>
        </w:rPr>
        <w:t xml:space="preserve">, and non-binary individuals) or cis-gender individuals receiving </w:t>
      </w:r>
      <w:r>
        <w:rPr>
          <w:rFonts w:ascii="Book Antiqua" w:eastAsia="Book Antiqua" w:hAnsi="Book Antiqua" w:cs="Book Antiqua"/>
          <w:color w:val="000000"/>
        </w:rPr>
        <w:lastRenderedPageBreak/>
        <w:t xml:space="preserve">sex hormone supplement difficult. As of now, the current hypothesis and available data on transgender-identifying individuals suggests that those undergoing MTF HRT (transgender women) may be more protected from becoming infected or suffering from severe COVID-19. In contrast, those who undergo FTM GAHT (transgender men), including androgens, may carry a higher risk. While the above current literature broadly supports this hypothesis, the impact of other biological and </w:t>
      </w:r>
      <w:r w:rsidR="00D97BDA">
        <w:rPr>
          <w:rFonts w:ascii="Book Antiqua" w:eastAsia="Book Antiqua" w:hAnsi="Book Antiqua" w:cs="Book Antiqua"/>
          <w:color w:val="000000"/>
        </w:rPr>
        <w:t>behavioral</w:t>
      </w:r>
      <w:r>
        <w:rPr>
          <w:rFonts w:ascii="Book Antiqua" w:eastAsia="Book Antiqua" w:hAnsi="Book Antiqua" w:cs="Book Antiqua"/>
          <w:color w:val="000000"/>
        </w:rPr>
        <w:t xml:space="preserve"> factors, including genetic differences in biological </w:t>
      </w:r>
      <w:r w:rsidR="00135816">
        <w:rPr>
          <w:rFonts w:ascii="Book Antiqua" w:eastAsia="Book Antiqua" w:hAnsi="Book Antiqua" w:cs="Book Antiqua"/>
          <w:color w:val="000000"/>
        </w:rPr>
        <w:t xml:space="preserve">men </w:t>
      </w:r>
      <w:r>
        <w:rPr>
          <w:rFonts w:ascii="Book Antiqua" w:eastAsia="Book Antiqua" w:hAnsi="Book Antiqua" w:cs="Book Antiqua"/>
          <w:color w:val="000000"/>
        </w:rPr>
        <w:t xml:space="preserve">and </w:t>
      </w:r>
      <w:r w:rsidR="00135816">
        <w:rPr>
          <w:rFonts w:ascii="Book Antiqua" w:eastAsia="Book Antiqua" w:hAnsi="Book Antiqua" w:cs="Book Antiqua"/>
          <w:color w:val="000000"/>
        </w:rPr>
        <w:t>women</w:t>
      </w:r>
      <w:r>
        <w:rPr>
          <w:rFonts w:ascii="Book Antiqua" w:eastAsia="Book Antiqua" w:hAnsi="Book Antiqua" w:cs="Book Antiqua"/>
          <w:color w:val="000000"/>
        </w:rPr>
        <w:t>, and higher rates of comorbidities, including smoking and other chronic illnesses in transgender individuals.</w:t>
      </w:r>
    </w:p>
    <w:p w14:paraId="3F503912" w14:textId="77777777" w:rsidR="00624877" w:rsidRDefault="00624877" w:rsidP="00E739A1">
      <w:pPr>
        <w:spacing w:line="360" w:lineRule="auto"/>
        <w:ind w:firstLine="720"/>
        <w:jc w:val="both"/>
      </w:pPr>
    </w:p>
    <w:p w14:paraId="03AA3877" w14:textId="77777777" w:rsidR="00A77B3E" w:rsidRPr="00624877" w:rsidRDefault="000C73F3" w:rsidP="00E739A1">
      <w:pPr>
        <w:spacing w:line="360" w:lineRule="auto"/>
        <w:jc w:val="both"/>
        <w:rPr>
          <w:u w:val="single"/>
        </w:rPr>
      </w:pPr>
      <w:r w:rsidRPr="00624877">
        <w:rPr>
          <w:rFonts w:ascii="Book Antiqua" w:eastAsia="Book Antiqua" w:hAnsi="Book Antiqua" w:cs="Book Antiqua"/>
          <w:b/>
          <w:bCs/>
          <w:color w:val="000000"/>
          <w:u w:val="single"/>
        </w:rPr>
        <w:t>LIMITATIONS</w:t>
      </w:r>
    </w:p>
    <w:p w14:paraId="3444E74D" w14:textId="350C661B" w:rsidR="00A77B3E" w:rsidRDefault="000C73F3" w:rsidP="00E739A1">
      <w:pPr>
        <w:spacing w:line="360" w:lineRule="auto"/>
        <w:jc w:val="both"/>
      </w:pPr>
      <w:r>
        <w:rPr>
          <w:rFonts w:ascii="Book Antiqua" w:eastAsia="Book Antiqua" w:hAnsi="Book Antiqua" w:cs="Book Antiqua"/>
          <w:color w:val="000000"/>
        </w:rPr>
        <w:t>Despite the unique opportunity to study hormone therapy and its impact on COVID-19 in this population, only two studies to date have reported on this subject. The studies are generally retrospective in nature</w:t>
      </w:r>
      <w:r w:rsidR="00D97BDA">
        <w:rPr>
          <w:rFonts w:ascii="Book Antiqua" w:eastAsia="Book Antiqua" w:hAnsi="Book Antiqua" w:cs="Book Antiqua"/>
          <w:color w:val="000000"/>
        </w:rPr>
        <w:t xml:space="preserve"> and</w:t>
      </w:r>
      <w:r>
        <w:rPr>
          <w:rFonts w:ascii="Book Antiqua" w:eastAsia="Book Antiqua" w:hAnsi="Book Antiqua" w:cs="Book Antiqua"/>
          <w:color w:val="000000"/>
        </w:rPr>
        <w:t xml:space="preserve"> on a small number of individuals</w:t>
      </w:r>
      <w:r w:rsidR="00D97BDA">
        <w:rPr>
          <w:rFonts w:ascii="Book Antiqua" w:eastAsia="Book Antiqua" w:hAnsi="Book Antiqua" w:cs="Book Antiqua"/>
          <w:color w:val="000000"/>
        </w:rPr>
        <w:t xml:space="preserve">, thus are </w:t>
      </w:r>
      <w:r>
        <w:rPr>
          <w:rFonts w:ascii="Book Antiqua" w:eastAsia="Book Antiqua" w:hAnsi="Book Antiqua" w:cs="Book Antiqua"/>
          <w:color w:val="000000"/>
        </w:rPr>
        <w:t>not powered adequately to draw valid and strong conclusions.</w:t>
      </w:r>
    </w:p>
    <w:p w14:paraId="526A460B" w14:textId="77777777" w:rsidR="00A77B3E" w:rsidRDefault="00A77B3E" w:rsidP="00E739A1">
      <w:pPr>
        <w:spacing w:line="360" w:lineRule="auto"/>
        <w:jc w:val="both"/>
      </w:pPr>
    </w:p>
    <w:p w14:paraId="520E025D" w14:textId="77777777" w:rsidR="00A77B3E" w:rsidRDefault="000C73F3" w:rsidP="00E739A1">
      <w:pPr>
        <w:spacing w:line="360" w:lineRule="auto"/>
        <w:jc w:val="both"/>
      </w:pPr>
      <w:r>
        <w:rPr>
          <w:rFonts w:ascii="Book Antiqua" w:eastAsia="Book Antiqua" w:hAnsi="Book Antiqua" w:cs="Book Antiqua"/>
          <w:b/>
          <w:caps/>
          <w:color w:val="000000"/>
          <w:u w:val="single"/>
        </w:rPr>
        <w:t>CONCLUSION</w:t>
      </w:r>
    </w:p>
    <w:p w14:paraId="7E7D98FA" w14:textId="59962162" w:rsidR="00D90024" w:rsidRDefault="000C73F3" w:rsidP="00E739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Transgender care and use of GAHT within this population represents a unique opportunity to study the implications of these treatments, as currently used, in relation to COVID-19 and biological sex. While several clinical trials looking at the use of E</w:t>
      </w:r>
      <w:r w:rsidR="003A2F7B">
        <w:rPr>
          <w:rFonts w:ascii="Book Antiqua" w:eastAsia="Book Antiqua" w:hAnsi="Book Antiqua" w:cs="Book Antiqua"/>
          <w:color w:val="000000"/>
        </w:rPr>
        <w:t>+</w:t>
      </w:r>
      <w:r>
        <w:rPr>
          <w:rFonts w:ascii="Book Antiqua" w:eastAsia="Book Antiqua" w:hAnsi="Book Antiqua" w:cs="Book Antiqua"/>
          <w:color w:val="000000"/>
        </w:rPr>
        <w:t>P in COVID-19 infected cis-gender men, the understanding of their role in transgender care is limited.</w:t>
      </w:r>
      <w:r w:rsidR="00C6277F">
        <w:rPr>
          <w:rFonts w:ascii="Book Antiqua" w:eastAsia="Book Antiqua" w:hAnsi="Book Antiqua" w:cs="Book Antiqua"/>
          <w:color w:val="000000"/>
        </w:rPr>
        <w:t xml:space="preserve"> </w:t>
      </w:r>
      <w:r>
        <w:rPr>
          <w:rFonts w:ascii="Book Antiqua" w:eastAsia="Book Antiqua" w:hAnsi="Book Antiqua" w:cs="Book Antiqua"/>
          <w:color w:val="000000"/>
        </w:rPr>
        <w:t>While clinical trials investigating the utility of hormone therapy in COVID-19 may prove useful, studying the effects of GAHT in transgender individuals already taking these medications may prove a more efficient route to understanding the role of hormone therapy in the treatment of COVID-19. Not only would studying transgender individuals in COVID-19 studies help to further broaden our understanding of the role of biologic sex and hormone treatment in disease susceptibility and course, but it would also serve to benefit those in the transgender community, who are often a vulnerable and underserved population within healthcare.</w:t>
      </w:r>
    </w:p>
    <w:p w14:paraId="33629DF1" w14:textId="77777777" w:rsidR="00D90024" w:rsidRDefault="00D90024" w:rsidP="000A5039">
      <w:pPr>
        <w:jc w:val="both"/>
        <w:rPr>
          <w:rFonts w:ascii="Book Antiqua" w:eastAsia="Book Antiqua" w:hAnsi="Book Antiqua" w:cs="Book Antiqua"/>
          <w:color w:val="000000"/>
        </w:rPr>
      </w:pPr>
      <w:r>
        <w:rPr>
          <w:rFonts w:ascii="Book Antiqua" w:eastAsia="Book Antiqua" w:hAnsi="Book Antiqua" w:cs="Book Antiqua"/>
          <w:color w:val="000000"/>
        </w:rPr>
        <w:br w:type="page"/>
      </w:r>
    </w:p>
    <w:p w14:paraId="6951E869" w14:textId="77777777" w:rsidR="00D90024" w:rsidRDefault="00D90024" w:rsidP="00E739A1">
      <w:pPr>
        <w:spacing w:line="360" w:lineRule="auto"/>
        <w:jc w:val="both"/>
      </w:pPr>
      <w:r>
        <w:rPr>
          <w:rFonts w:ascii="Book Antiqua" w:eastAsia="Book Antiqua" w:hAnsi="Book Antiqua" w:cs="Book Antiqua"/>
          <w:b/>
          <w:caps/>
          <w:color w:val="000000"/>
          <w:u w:val="single"/>
        </w:rPr>
        <w:lastRenderedPageBreak/>
        <w:t>ARTICLE HIGHLIGHTS</w:t>
      </w:r>
    </w:p>
    <w:p w14:paraId="064DF763" w14:textId="77777777" w:rsidR="00D90024" w:rsidRDefault="00D90024" w:rsidP="00E739A1">
      <w:pPr>
        <w:spacing w:line="360" w:lineRule="auto"/>
        <w:jc w:val="both"/>
      </w:pPr>
      <w:r>
        <w:rPr>
          <w:rFonts w:ascii="Book Antiqua" w:eastAsia="Book Antiqua" w:hAnsi="Book Antiqua" w:cs="Book Antiqua"/>
          <w:b/>
          <w:i/>
          <w:color w:val="000000"/>
        </w:rPr>
        <w:t>Research background</w:t>
      </w:r>
    </w:p>
    <w:p w14:paraId="78185260" w14:textId="6E9C50A2" w:rsidR="00D90024" w:rsidRDefault="002D5AA2" w:rsidP="00E739A1">
      <w:pPr>
        <w:spacing w:line="360" w:lineRule="auto"/>
        <w:jc w:val="both"/>
      </w:pPr>
      <w:r w:rsidRPr="002D5AA2">
        <w:rPr>
          <w:rFonts w:ascii="Book Antiqua" w:eastAsia="Book Antiqua" w:hAnsi="Book Antiqua" w:cs="Book Antiqua"/>
          <w:color w:val="000000"/>
        </w:rPr>
        <w:t>Severe acute respiratory syndrome coronavirus 2 (SARS-CoV-2)</w:t>
      </w:r>
      <w:r w:rsidR="00D90024">
        <w:rPr>
          <w:rFonts w:ascii="Book Antiqua" w:eastAsia="Book Antiqua" w:hAnsi="Book Antiqua" w:cs="Book Antiqua"/>
          <w:color w:val="000000"/>
        </w:rPr>
        <w:t xml:space="preserve"> can produce a wide range of clinical manifestations from asymptomatic to life-threatening. Differences in individual responses to systemic inflammation and coagulopathy appear to be modulated by several factors including sex steroid hormones. Androgens may facilitate initial </w:t>
      </w:r>
      <w:r w:rsidRPr="002D5AA2">
        <w:rPr>
          <w:rFonts w:ascii="Book Antiqua" w:eastAsia="Book Antiqua" w:hAnsi="Book Antiqua" w:cs="Book Antiqua"/>
          <w:color w:val="000000"/>
        </w:rPr>
        <w:t>coronavirus disease 2019 (COVID-19)</w:t>
      </w:r>
      <w:r w:rsidR="00D90024">
        <w:rPr>
          <w:rFonts w:ascii="Book Antiqua" w:eastAsia="Book Antiqua" w:hAnsi="Book Antiqua" w:cs="Book Antiqua"/>
          <w:color w:val="000000"/>
        </w:rPr>
        <w:t xml:space="preserve"> infection</w:t>
      </w:r>
      <w:r w:rsidR="003A2F7B">
        <w:rPr>
          <w:rFonts w:ascii="Book Antiqua" w:eastAsia="Book Antiqua" w:hAnsi="Book Antiqua" w:cs="Book Antiqua"/>
          <w:color w:val="000000"/>
        </w:rPr>
        <w:t>.</w:t>
      </w:r>
      <w:r w:rsidR="00D90024">
        <w:rPr>
          <w:rFonts w:ascii="Book Antiqua" w:eastAsia="Book Antiqua" w:hAnsi="Book Antiqua" w:cs="Book Antiqua"/>
          <w:color w:val="000000"/>
        </w:rPr>
        <w:t xml:space="preserve"> however, once th</w:t>
      </w:r>
      <w:r w:rsidR="003A2F7B">
        <w:rPr>
          <w:rFonts w:ascii="Book Antiqua" w:eastAsia="Book Antiqua" w:hAnsi="Book Antiqua" w:cs="Book Antiqua"/>
          <w:color w:val="000000"/>
        </w:rPr>
        <w:t>at</w:t>
      </w:r>
      <w:r w:rsidR="00D90024">
        <w:rPr>
          <w:rFonts w:ascii="Book Antiqua" w:eastAsia="Book Antiqua" w:hAnsi="Book Antiqua" w:cs="Book Antiqua"/>
          <w:color w:val="000000"/>
        </w:rPr>
        <w:t xml:space="preserve"> occurs, testosterone may have a protective effect</w:t>
      </w:r>
      <w:r w:rsidR="00A16C1E">
        <w:rPr>
          <w:rFonts w:ascii="Book Antiqua" w:eastAsia="Book Antiqua" w:hAnsi="Book Antiqua" w:cs="Book Antiqua"/>
          <w:color w:val="000000"/>
        </w:rPr>
        <w:t xml:space="preserve">. </w:t>
      </w:r>
      <w:r w:rsidR="00D90024">
        <w:rPr>
          <w:rFonts w:ascii="Book Antiqua" w:eastAsia="Book Antiqua" w:hAnsi="Book Antiqua" w:cs="Book Antiqua"/>
          <w:color w:val="000000"/>
        </w:rPr>
        <w:t>Few studies have investigated the role of GAHT in COVID-19 infections. Additional research is necessary to enhance our understanding of this relationship and provide better care for transgender patients.</w:t>
      </w:r>
    </w:p>
    <w:p w14:paraId="581D1CAB" w14:textId="77777777" w:rsidR="00D90024" w:rsidRDefault="00D90024" w:rsidP="00E739A1">
      <w:pPr>
        <w:spacing w:line="360" w:lineRule="auto"/>
        <w:jc w:val="both"/>
      </w:pPr>
    </w:p>
    <w:p w14:paraId="6FE1A642" w14:textId="77777777" w:rsidR="00D90024" w:rsidRDefault="00D90024" w:rsidP="00E739A1">
      <w:pPr>
        <w:spacing w:line="360" w:lineRule="auto"/>
        <w:jc w:val="both"/>
      </w:pPr>
      <w:r>
        <w:rPr>
          <w:rFonts w:ascii="Book Antiqua" w:eastAsia="Book Antiqua" w:hAnsi="Book Antiqua" w:cs="Book Antiqua"/>
          <w:b/>
          <w:i/>
          <w:color w:val="000000"/>
        </w:rPr>
        <w:t>Research motivation</w:t>
      </w:r>
    </w:p>
    <w:p w14:paraId="3EB41F86" w14:textId="77777777" w:rsidR="00D90024" w:rsidRDefault="00D90024" w:rsidP="00E739A1">
      <w:pPr>
        <w:spacing w:line="360" w:lineRule="auto"/>
        <w:jc w:val="both"/>
      </w:pPr>
      <w:r>
        <w:rPr>
          <w:rFonts w:ascii="Book Antiqua" w:eastAsia="Book Antiqua" w:hAnsi="Book Antiqua" w:cs="Book Antiqua"/>
          <w:color w:val="000000"/>
        </w:rPr>
        <w:t>The role of estrogen and progesterone has also been proposed as potential protective factors in COVID-19 infection.</w:t>
      </w:r>
    </w:p>
    <w:p w14:paraId="1F2A20BD" w14:textId="77777777" w:rsidR="00D90024" w:rsidRDefault="00D90024" w:rsidP="00E739A1">
      <w:pPr>
        <w:spacing w:line="360" w:lineRule="auto"/>
        <w:jc w:val="both"/>
      </w:pPr>
    </w:p>
    <w:p w14:paraId="2E36A9F5" w14:textId="77777777" w:rsidR="00D90024" w:rsidRDefault="00D90024" w:rsidP="00E739A1">
      <w:pPr>
        <w:spacing w:line="360" w:lineRule="auto"/>
        <w:jc w:val="both"/>
      </w:pPr>
      <w:r>
        <w:rPr>
          <w:rFonts w:ascii="Book Antiqua" w:eastAsia="Book Antiqua" w:hAnsi="Book Antiqua" w:cs="Book Antiqua"/>
          <w:b/>
          <w:i/>
          <w:color w:val="000000"/>
        </w:rPr>
        <w:t>Research objectives</w:t>
      </w:r>
    </w:p>
    <w:p w14:paraId="0222F7CC" w14:textId="77777777" w:rsidR="00D90024" w:rsidRDefault="00D90024" w:rsidP="00E739A1">
      <w:pPr>
        <w:spacing w:line="360" w:lineRule="auto"/>
        <w:jc w:val="both"/>
      </w:pPr>
      <w:r>
        <w:rPr>
          <w:rFonts w:ascii="Book Antiqua" w:eastAsia="Book Antiqua" w:hAnsi="Book Antiqua" w:cs="Book Antiqua"/>
          <w:color w:val="000000"/>
        </w:rPr>
        <w:t>To investigate the potential role of GAHT in the development of COVID-19 infections and complications.</w:t>
      </w:r>
    </w:p>
    <w:p w14:paraId="1288EDC8" w14:textId="77777777" w:rsidR="00D90024" w:rsidRDefault="00D90024" w:rsidP="00E739A1">
      <w:pPr>
        <w:spacing w:line="360" w:lineRule="auto"/>
        <w:jc w:val="both"/>
      </w:pPr>
    </w:p>
    <w:p w14:paraId="2A16CCA1" w14:textId="77777777" w:rsidR="00D90024" w:rsidRDefault="00D90024" w:rsidP="00E739A1">
      <w:pPr>
        <w:spacing w:line="360" w:lineRule="auto"/>
        <w:jc w:val="both"/>
      </w:pPr>
      <w:r>
        <w:rPr>
          <w:rFonts w:ascii="Book Antiqua" w:eastAsia="Book Antiqua" w:hAnsi="Book Antiqua" w:cs="Book Antiqua"/>
          <w:b/>
          <w:i/>
          <w:color w:val="000000"/>
        </w:rPr>
        <w:t>Research methods</w:t>
      </w:r>
    </w:p>
    <w:p w14:paraId="47B50518" w14:textId="77777777" w:rsidR="00D90024" w:rsidRDefault="00D90024" w:rsidP="00E739A1">
      <w:pPr>
        <w:spacing w:line="360" w:lineRule="auto"/>
        <w:jc w:val="both"/>
      </w:pPr>
      <w:r>
        <w:rPr>
          <w:rFonts w:ascii="Book Antiqua" w:eastAsia="Book Antiqua" w:hAnsi="Book Antiqua" w:cs="Book Antiqua"/>
          <w:color w:val="000000"/>
        </w:rPr>
        <w:t xml:space="preserve">The current systematic review implemented an algorithmic approach using PRISMA guidelines. PubMed, Scopus, Google Scholar top 100 results, and archives of </w:t>
      </w:r>
      <w:r>
        <w:rPr>
          <w:rFonts w:ascii="Book Antiqua" w:eastAsia="Book Antiqua" w:hAnsi="Book Antiqua" w:cs="Book Antiqua"/>
          <w:i/>
          <w:iCs/>
          <w:color w:val="000000"/>
        </w:rPr>
        <w:t>Plastic and Reconstructive Surgery</w:t>
      </w:r>
      <w:r>
        <w:rPr>
          <w:rFonts w:ascii="Book Antiqua" w:eastAsia="Book Antiqua" w:hAnsi="Book Antiqua" w:cs="Book Antiqua"/>
          <w:color w:val="000000"/>
        </w:rPr>
        <w:t xml:space="preserve"> was on January 12, 2022 using the key words of “gender” AND “hormone” AND “therapy” AND “COVID-19” as well as associated terms.</w:t>
      </w:r>
    </w:p>
    <w:p w14:paraId="069143F0" w14:textId="77777777" w:rsidR="00D90024" w:rsidRDefault="00D90024" w:rsidP="00E739A1">
      <w:pPr>
        <w:spacing w:line="360" w:lineRule="auto"/>
        <w:jc w:val="both"/>
      </w:pPr>
    </w:p>
    <w:p w14:paraId="0DE7F5FA" w14:textId="77777777" w:rsidR="00D90024" w:rsidRDefault="00D90024" w:rsidP="00E739A1">
      <w:pPr>
        <w:spacing w:line="360" w:lineRule="auto"/>
        <w:jc w:val="both"/>
      </w:pPr>
      <w:r>
        <w:rPr>
          <w:rFonts w:ascii="Book Antiqua" w:eastAsia="Book Antiqua" w:hAnsi="Book Antiqua" w:cs="Book Antiqua"/>
          <w:b/>
          <w:i/>
          <w:color w:val="000000"/>
        </w:rPr>
        <w:t>Research results</w:t>
      </w:r>
    </w:p>
    <w:p w14:paraId="16D43C9B" w14:textId="37BC1EFA" w:rsidR="00D90024" w:rsidRDefault="00D90024" w:rsidP="00E739A1">
      <w:pPr>
        <w:spacing w:line="360" w:lineRule="auto"/>
        <w:jc w:val="both"/>
      </w:pPr>
      <w:r>
        <w:rPr>
          <w:rFonts w:ascii="Book Antiqua" w:eastAsia="Book Antiqua" w:hAnsi="Book Antiqua" w:cs="Book Antiqua"/>
          <w:color w:val="000000"/>
        </w:rPr>
        <w:t xml:space="preserve">The database search resulted in the final inclusion of 14 studies related to GAHT COVID-19. Of the included studies, only two studies directly involved and reported on COVID-19 in transgender patients. Several clinical trials looked at the relationship between testosterone, estrogen, and progesterone in COVID-19 infected cis-gender men and </w:t>
      </w:r>
      <w:r>
        <w:rPr>
          <w:rFonts w:ascii="Book Antiqua" w:eastAsia="Book Antiqua" w:hAnsi="Book Antiqua" w:cs="Book Antiqua"/>
          <w:color w:val="000000"/>
        </w:rPr>
        <w:lastRenderedPageBreak/>
        <w:t>women. It has been proposed that androgens facilitate initial COVID-19 infection, however, once th</w:t>
      </w:r>
      <w:r w:rsidR="003A2F7B">
        <w:rPr>
          <w:rFonts w:ascii="Book Antiqua" w:eastAsia="Book Antiqua" w:hAnsi="Book Antiqua" w:cs="Book Antiqua"/>
          <w:color w:val="000000"/>
        </w:rPr>
        <w:t>at</w:t>
      </w:r>
      <w:r>
        <w:rPr>
          <w:rFonts w:ascii="Book Antiqua" w:eastAsia="Book Antiqua" w:hAnsi="Book Antiqua" w:cs="Book Antiqua"/>
          <w:color w:val="000000"/>
        </w:rPr>
        <w:t xml:space="preserve"> occurs, testosterone may have a protective effect. </w:t>
      </w:r>
      <w:r w:rsidR="003A2F7B">
        <w:rPr>
          <w:rFonts w:ascii="Book Antiqua" w:eastAsia="Book Antiqua" w:hAnsi="Book Antiqua" w:cs="Book Antiqua"/>
          <w:color w:val="000000"/>
        </w:rPr>
        <w:t xml:space="preserve">A number of </w:t>
      </w:r>
      <w:r>
        <w:rPr>
          <w:rFonts w:ascii="Book Antiqua" w:eastAsia="Book Antiqua" w:hAnsi="Book Antiqua" w:cs="Book Antiqua"/>
          <w:color w:val="000000"/>
        </w:rPr>
        <w:t>clinical studies have shown that low baseline testosterone levels in men with COVID-19 are associated with worsening outcomes. The role of female sex hormones, including estrogen and progesterone have also been proposed as potential protective factors in COVID-19 infection. This is exemplified in multiple studies investigating different outcomes in pre- and post-menopausal women as well as those taking hormone replacement therapy. Two studies related specifically to transgender patients and GAHT found that estrogen and progesterone could help protect men against COVID-19, and that testosterone hormone therapy may increase the risk of contracting COVID-19.</w:t>
      </w:r>
    </w:p>
    <w:p w14:paraId="6725D668" w14:textId="77777777" w:rsidR="00D90024" w:rsidRDefault="00D90024" w:rsidP="00E739A1">
      <w:pPr>
        <w:spacing w:line="360" w:lineRule="auto"/>
        <w:jc w:val="both"/>
      </w:pPr>
    </w:p>
    <w:p w14:paraId="319F344A" w14:textId="77777777" w:rsidR="00D90024" w:rsidRDefault="00D90024" w:rsidP="00E739A1">
      <w:pPr>
        <w:spacing w:line="360" w:lineRule="auto"/>
        <w:jc w:val="both"/>
      </w:pPr>
      <w:r>
        <w:rPr>
          <w:rFonts w:ascii="Book Antiqua" w:eastAsia="Book Antiqua" w:hAnsi="Book Antiqua" w:cs="Book Antiqua"/>
          <w:b/>
          <w:i/>
          <w:color w:val="000000"/>
        </w:rPr>
        <w:t>Research conclusions</w:t>
      </w:r>
    </w:p>
    <w:p w14:paraId="43A5D2EC" w14:textId="77777777" w:rsidR="00D90024" w:rsidRDefault="00D90024" w:rsidP="00E739A1">
      <w:pPr>
        <w:spacing w:line="360" w:lineRule="auto"/>
        <w:jc w:val="both"/>
      </w:pPr>
      <w:r>
        <w:rPr>
          <w:rFonts w:ascii="Book Antiqua" w:eastAsia="Book Antiqua" w:hAnsi="Book Antiqua" w:cs="Book Antiqua"/>
          <w:color w:val="000000"/>
        </w:rPr>
        <w:t>Few studies were found related to the role of GAHT in COVID-19 infections. Additional research is necessary to enhance our understanding of this relationship and provide better care for transgender patients.</w:t>
      </w:r>
    </w:p>
    <w:p w14:paraId="4B9991FB" w14:textId="77777777" w:rsidR="00D90024" w:rsidRDefault="00D90024" w:rsidP="00E739A1">
      <w:pPr>
        <w:spacing w:line="360" w:lineRule="auto"/>
        <w:jc w:val="both"/>
      </w:pPr>
    </w:p>
    <w:p w14:paraId="5D8239C0" w14:textId="77777777" w:rsidR="00D90024" w:rsidRDefault="00D90024" w:rsidP="00E739A1">
      <w:pPr>
        <w:spacing w:line="360" w:lineRule="auto"/>
        <w:jc w:val="both"/>
      </w:pPr>
      <w:r>
        <w:rPr>
          <w:rFonts w:ascii="Book Antiqua" w:eastAsia="Book Antiqua" w:hAnsi="Book Antiqua" w:cs="Book Antiqua"/>
          <w:b/>
          <w:i/>
          <w:color w:val="000000"/>
        </w:rPr>
        <w:t>Research perspectives</w:t>
      </w:r>
    </w:p>
    <w:p w14:paraId="67EE6658" w14:textId="46FD3B74" w:rsidR="00D90024" w:rsidRDefault="00D90024" w:rsidP="00E739A1">
      <w:pPr>
        <w:spacing w:line="360" w:lineRule="auto"/>
        <w:jc w:val="both"/>
      </w:pPr>
      <w:r>
        <w:rPr>
          <w:rFonts w:ascii="Book Antiqua" w:eastAsia="Book Antiqua" w:hAnsi="Book Antiqua" w:cs="Book Antiqua"/>
          <w:color w:val="000000"/>
        </w:rPr>
        <w:t xml:space="preserve">SARS-CoV-2 can produce a wide range of clinical manifestations from asymptomatic to life-threatening. Differences in individual responses to systemic inflammation and coagulopathy appear to be modulated by several factors, including sex steroid hormones. Androgens may facilitate initial COVID-19 infection, however, once </w:t>
      </w:r>
      <w:r w:rsidR="003A2F7B">
        <w:rPr>
          <w:rFonts w:ascii="Book Antiqua" w:eastAsia="Book Antiqua" w:hAnsi="Book Antiqua" w:cs="Book Antiqua"/>
          <w:color w:val="000000"/>
        </w:rPr>
        <w:t xml:space="preserve">that </w:t>
      </w:r>
      <w:r>
        <w:rPr>
          <w:rFonts w:ascii="Book Antiqua" w:eastAsia="Book Antiqua" w:hAnsi="Book Antiqua" w:cs="Book Antiqua"/>
          <w:color w:val="000000"/>
        </w:rPr>
        <w:t>occurs, testosterone may have a protective effect. The role of estrogen and progesterone has also been proposed as potential protective factors in COVID-19 infection. Few studies have investigated the role of GAHT in COVID-19 infections. Additional research is necessary to enhance our understanding of this relationship and provide better care for transgender patients.</w:t>
      </w:r>
    </w:p>
    <w:p w14:paraId="3FD937E1" w14:textId="77777777" w:rsidR="00A77B3E" w:rsidRDefault="00A77B3E" w:rsidP="00E739A1">
      <w:pPr>
        <w:spacing w:line="360" w:lineRule="auto"/>
        <w:jc w:val="both"/>
      </w:pPr>
    </w:p>
    <w:p w14:paraId="0B417A86" w14:textId="77777777" w:rsidR="00A77B3E" w:rsidRDefault="00A77B3E" w:rsidP="00E739A1">
      <w:pPr>
        <w:spacing w:line="360" w:lineRule="auto"/>
        <w:ind w:firstLine="720"/>
        <w:jc w:val="both"/>
      </w:pPr>
    </w:p>
    <w:p w14:paraId="6A061A9A" w14:textId="77777777" w:rsidR="00A77B3E" w:rsidRDefault="000C73F3" w:rsidP="00E739A1">
      <w:pPr>
        <w:spacing w:line="360" w:lineRule="auto"/>
        <w:jc w:val="both"/>
      </w:pPr>
      <w:r>
        <w:rPr>
          <w:rFonts w:ascii="Book Antiqua" w:eastAsia="Book Antiqua" w:hAnsi="Book Antiqua" w:cs="Book Antiqua"/>
          <w:b/>
          <w:bCs/>
          <w:color w:val="000000"/>
        </w:rPr>
        <w:t>REFERENCES</w:t>
      </w:r>
    </w:p>
    <w:p w14:paraId="0737816E"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lastRenderedPageBreak/>
        <w:t xml:space="preserve">1 </w:t>
      </w:r>
      <w:r w:rsidRPr="00E12667">
        <w:rPr>
          <w:rFonts w:ascii="Book Antiqua" w:hAnsi="Book Antiqua"/>
          <w:b/>
          <w:bCs/>
        </w:rPr>
        <w:t>Lotfi R</w:t>
      </w:r>
      <w:r w:rsidRPr="00E12667">
        <w:rPr>
          <w:rFonts w:ascii="Book Antiqua" w:hAnsi="Book Antiqua"/>
        </w:rPr>
        <w:t xml:space="preserve">, Kalmarzi RN, Roghani SA. A review on the immune responses against novel emerging coronavirus (SARS-CoV-2). </w:t>
      </w:r>
      <w:r w:rsidRPr="00E12667">
        <w:rPr>
          <w:rFonts w:ascii="Book Antiqua" w:hAnsi="Book Antiqua"/>
          <w:i/>
          <w:iCs/>
        </w:rPr>
        <w:t>Immunol Res</w:t>
      </w:r>
      <w:r w:rsidRPr="00E12667">
        <w:rPr>
          <w:rFonts w:ascii="Book Antiqua" w:hAnsi="Book Antiqua"/>
        </w:rPr>
        <w:t xml:space="preserve"> 2021; </w:t>
      </w:r>
      <w:r w:rsidRPr="00E12667">
        <w:rPr>
          <w:rFonts w:ascii="Book Antiqua" w:hAnsi="Book Antiqua"/>
          <w:b/>
          <w:bCs/>
        </w:rPr>
        <w:t>69</w:t>
      </w:r>
      <w:r w:rsidRPr="00E12667">
        <w:rPr>
          <w:rFonts w:ascii="Book Antiqua" w:hAnsi="Book Antiqua"/>
        </w:rPr>
        <w:t>: 213-224 [PMID: 33928531 DOI: 10.1007/s12026-021-09198-0]</w:t>
      </w:r>
    </w:p>
    <w:p w14:paraId="776D199F"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 </w:t>
      </w:r>
      <w:r w:rsidRPr="00E12667">
        <w:rPr>
          <w:rFonts w:ascii="Book Antiqua" w:hAnsi="Book Antiqua"/>
          <w:b/>
          <w:bCs/>
        </w:rPr>
        <w:t>Perico L</w:t>
      </w:r>
      <w:r w:rsidRPr="00E12667">
        <w:rPr>
          <w:rFonts w:ascii="Book Antiqua" w:hAnsi="Book Antiqua"/>
        </w:rPr>
        <w:t xml:space="preserve">, Benigni A, Casiraghi F, Ng LFP, Renia L, Remuzzi G. Immunity, endothelial injury and complement-induced coagulopathy in COVID-19. </w:t>
      </w:r>
      <w:r w:rsidRPr="00E12667">
        <w:rPr>
          <w:rFonts w:ascii="Book Antiqua" w:hAnsi="Book Antiqua"/>
          <w:i/>
          <w:iCs/>
        </w:rPr>
        <w:t>Nat Rev Nephrol</w:t>
      </w:r>
      <w:r w:rsidRPr="00E12667">
        <w:rPr>
          <w:rFonts w:ascii="Book Antiqua" w:hAnsi="Book Antiqua"/>
        </w:rPr>
        <w:t xml:space="preserve"> 2021; </w:t>
      </w:r>
      <w:r w:rsidRPr="00E12667">
        <w:rPr>
          <w:rFonts w:ascii="Book Antiqua" w:hAnsi="Book Antiqua"/>
          <w:b/>
          <w:bCs/>
        </w:rPr>
        <w:t>17</w:t>
      </w:r>
      <w:r w:rsidRPr="00E12667">
        <w:rPr>
          <w:rFonts w:ascii="Book Antiqua" w:hAnsi="Book Antiqua"/>
        </w:rPr>
        <w:t>: 46-64 [PMID: 33077917 DOI: 10.1038/s41581-020-00357-4]</w:t>
      </w:r>
    </w:p>
    <w:p w14:paraId="2F7CDF99"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 </w:t>
      </w:r>
      <w:r w:rsidRPr="00E12667">
        <w:rPr>
          <w:rFonts w:ascii="Book Antiqua" w:hAnsi="Book Antiqua"/>
          <w:b/>
          <w:bCs/>
        </w:rPr>
        <w:t>Richardson S</w:t>
      </w:r>
      <w:r w:rsidRPr="00E12667">
        <w:rPr>
          <w:rFonts w:ascii="Book Antiqua" w:hAnsi="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E12667">
        <w:rPr>
          <w:rFonts w:ascii="Book Antiqua" w:hAnsi="Book Antiqua"/>
          <w:i/>
          <w:iCs/>
        </w:rPr>
        <w:t>JAMA</w:t>
      </w:r>
      <w:r w:rsidRPr="00E12667">
        <w:rPr>
          <w:rFonts w:ascii="Book Antiqua" w:hAnsi="Book Antiqua"/>
        </w:rPr>
        <w:t xml:space="preserve"> 2020; </w:t>
      </w:r>
      <w:r w:rsidRPr="00E12667">
        <w:rPr>
          <w:rFonts w:ascii="Book Antiqua" w:hAnsi="Book Antiqua"/>
          <w:b/>
          <w:bCs/>
        </w:rPr>
        <w:t>323</w:t>
      </w:r>
      <w:r w:rsidRPr="00E12667">
        <w:rPr>
          <w:rFonts w:ascii="Book Antiqua" w:hAnsi="Book Antiqua"/>
        </w:rPr>
        <w:t>: 2052-2059 [PMID: 32320003 DOI: 10.1001/jama.2020.6775]</w:t>
      </w:r>
    </w:p>
    <w:p w14:paraId="649ACDB7"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4 </w:t>
      </w:r>
      <w:r w:rsidRPr="00E12667">
        <w:rPr>
          <w:rFonts w:ascii="Book Antiqua" w:hAnsi="Book Antiqua"/>
          <w:b/>
          <w:bCs/>
        </w:rPr>
        <w:t>Onder G</w:t>
      </w:r>
      <w:r w:rsidRPr="00E12667">
        <w:rPr>
          <w:rFonts w:ascii="Book Antiqua" w:hAnsi="Book Antiqua"/>
        </w:rPr>
        <w:t xml:space="preserve">, Rezza G, Brusaferro S. Case-Fatality Rate and Characteristics of Patients Dying in Relation to COVID-19 in Italy. </w:t>
      </w:r>
      <w:r w:rsidRPr="00E12667">
        <w:rPr>
          <w:rFonts w:ascii="Book Antiqua" w:hAnsi="Book Antiqua"/>
          <w:i/>
          <w:iCs/>
        </w:rPr>
        <w:t>JAMA</w:t>
      </w:r>
      <w:r w:rsidRPr="00E12667">
        <w:rPr>
          <w:rFonts w:ascii="Book Antiqua" w:hAnsi="Book Antiqua"/>
        </w:rPr>
        <w:t xml:space="preserve"> 2020; </w:t>
      </w:r>
      <w:r w:rsidRPr="00E12667">
        <w:rPr>
          <w:rFonts w:ascii="Book Antiqua" w:hAnsi="Book Antiqua"/>
          <w:b/>
          <w:bCs/>
        </w:rPr>
        <w:t>323</w:t>
      </w:r>
      <w:r w:rsidRPr="00E12667">
        <w:rPr>
          <w:rFonts w:ascii="Book Antiqua" w:hAnsi="Book Antiqua"/>
        </w:rPr>
        <w:t>: 1775-1776 [PMID: 32203977 DOI: 10.1001/jama.2020.4683]</w:t>
      </w:r>
    </w:p>
    <w:p w14:paraId="21D2DD38"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5 </w:t>
      </w:r>
      <w:r w:rsidRPr="00E12667">
        <w:rPr>
          <w:rFonts w:ascii="Book Antiqua" w:hAnsi="Book Antiqua"/>
          <w:b/>
          <w:bCs/>
        </w:rPr>
        <w:t>Guan WJ</w:t>
      </w:r>
      <w:r w:rsidRPr="00E12667">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E12667">
        <w:rPr>
          <w:rFonts w:ascii="Book Antiqua" w:hAnsi="Book Antiqua"/>
          <w:i/>
          <w:iCs/>
        </w:rPr>
        <w:t>N Engl J Med</w:t>
      </w:r>
      <w:r w:rsidRPr="00E12667">
        <w:rPr>
          <w:rFonts w:ascii="Book Antiqua" w:hAnsi="Book Antiqua"/>
        </w:rPr>
        <w:t xml:space="preserve"> 2020; </w:t>
      </w:r>
      <w:r w:rsidRPr="00E12667">
        <w:rPr>
          <w:rFonts w:ascii="Book Antiqua" w:hAnsi="Book Antiqua"/>
          <w:b/>
          <w:bCs/>
        </w:rPr>
        <w:t>382</w:t>
      </w:r>
      <w:r w:rsidRPr="00E12667">
        <w:rPr>
          <w:rFonts w:ascii="Book Antiqua" w:hAnsi="Book Antiqua"/>
        </w:rPr>
        <w:t>: 1708-1720 [PMID: 32109013 DOI: 10.1056/NEJMoa2002032]</w:t>
      </w:r>
    </w:p>
    <w:p w14:paraId="317D6ADC"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6 </w:t>
      </w:r>
      <w:r w:rsidRPr="00E12667">
        <w:rPr>
          <w:rFonts w:ascii="Book Antiqua" w:hAnsi="Book Antiqua"/>
          <w:b/>
          <w:bCs/>
        </w:rPr>
        <w:t>Sharifi N</w:t>
      </w:r>
      <w:r w:rsidRPr="00E12667">
        <w:rPr>
          <w:rFonts w:ascii="Book Antiqua" w:hAnsi="Book Antiqua"/>
        </w:rPr>
        <w:t xml:space="preserve">, Ryan CJ. Androgen hazards with COVID-19. </w:t>
      </w:r>
      <w:r w:rsidRPr="00E12667">
        <w:rPr>
          <w:rFonts w:ascii="Book Antiqua" w:hAnsi="Book Antiqua"/>
          <w:i/>
          <w:iCs/>
        </w:rPr>
        <w:t>EndocrRelat Cancer</w:t>
      </w:r>
      <w:r w:rsidRPr="00E12667">
        <w:rPr>
          <w:rFonts w:ascii="Book Antiqua" w:hAnsi="Book Antiqua"/>
        </w:rPr>
        <w:t xml:space="preserve"> 2020; </w:t>
      </w:r>
      <w:r w:rsidRPr="00E12667">
        <w:rPr>
          <w:rFonts w:ascii="Book Antiqua" w:hAnsi="Book Antiqua"/>
          <w:b/>
          <w:bCs/>
        </w:rPr>
        <w:t>27</w:t>
      </w:r>
      <w:r w:rsidRPr="00E12667">
        <w:rPr>
          <w:rFonts w:ascii="Book Antiqua" w:hAnsi="Book Antiqua"/>
        </w:rPr>
        <w:t>: E1-E3 [PMID: 32302975 DOI: 10.1530/ERC-20-0133]</w:t>
      </w:r>
    </w:p>
    <w:p w14:paraId="337958A2"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7 </w:t>
      </w:r>
      <w:r w:rsidRPr="00E12667">
        <w:rPr>
          <w:rFonts w:ascii="Book Antiqua" w:hAnsi="Book Antiqua"/>
          <w:b/>
          <w:bCs/>
        </w:rPr>
        <w:t>Wambier CG</w:t>
      </w:r>
      <w:r w:rsidRPr="00E12667">
        <w:rPr>
          <w:rFonts w:ascii="Book Antiqua" w:hAnsi="Book Antiqua"/>
        </w:rPr>
        <w:t xml:space="preserve">, Goren A. Severe acute respiratory syndrome coronavirus 2 (SARS-CoV-2) infection is likely to be androgen mediated. </w:t>
      </w:r>
      <w:r w:rsidRPr="00E12667">
        <w:rPr>
          <w:rFonts w:ascii="Book Antiqua" w:hAnsi="Book Antiqua"/>
          <w:i/>
          <w:iCs/>
        </w:rPr>
        <w:t>J Am Acad Dermatol</w:t>
      </w:r>
      <w:r w:rsidRPr="00E12667">
        <w:rPr>
          <w:rFonts w:ascii="Book Antiqua" w:hAnsi="Book Antiqua"/>
        </w:rPr>
        <w:t xml:space="preserve"> 2020; </w:t>
      </w:r>
      <w:r w:rsidRPr="00E12667">
        <w:rPr>
          <w:rFonts w:ascii="Book Antiqua" w:hAnsi="Book Antiqua"/>
          <w:b/>
          <w:bCs/>
        </w:rPr>
        <w:t>83</w:t>
      </w:r>
      <w:r w:rsidRPr="00E12667">
        <w:rPr>
          <w:rFonts w:ascii="Book Antiqua" w:hAnsi="Book Antiqua"/>
        </w:rPr>
        <w:t>: 308-309 [PMID: 32283245 DOI: 10.1016/j.jaad.2020.04.032]</w:t>
      </w:r>
    </w:p>
    <w:p w14:paraId="514A091B"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8 </w:t>
      </w:r>
      <w:r w:rsidRPr="00E12667">
        <w:rPr>
          <w:rFonts w:ascii="Book Antiqua" w:hAnsi="Book Antiqua"/>
          <w:b/>
          <w:bCs/>
        </w:rPr>
        <w:t>Hoffmann M</w:t>
      </w:r>
      <w:r w:rsidRPr="00E12667">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w:t>
      </w:r>
      <w:r w:rsidRPr="00E12667">
        <w:rPr>
          <w:rFonts w:ascii="Book Antiqua" w:hAnsi="Book Antiqua"/>
        </w:rPr>
        <w:lastRenderedPageBreak/>
        <w:t xml:space="preserve">Protease Inhibitor. </w:t>
      </w:r>
      <w:r w:rsidRPr="00E12667">
        <w:rPr>
          <w:rFonts w:ascii="Book Antiqua" w:hAnsi="Book Antiqua"/>
          <w:i/>
          <w:iCs/>
        </w:rPr>
        <w:t>Cell</w:t>
      </w:r>
      <w:r w:rsidRPr="00E12667">
        <w:rPr>
          <w:rFonts w:ascii="Book Antiqua" w:hAnsi="Book Antiqua"/>
        </w:rPr>
        <w:t xml:space="preserve"> 2020; </w:t>
      </w:r>
      <w:r w:rsidRPr="00E12667">
        <w:rPr>
          <w:rFonts w:ascii="Book Antiqua" w:hAnsi="Book Antiqua"/>
          <w:b/>
          <w:bCs/>
        </w:rPr>
        <w:t>181</w:t>
      </w:r>
      <w:r w:rsidRPr="00E12667">
        <w:rPr>
          <w:rFonts w:ascii="Book Antiqua" w:hAnsi="Book Antiqua"/>
        </w:rPr>
        <w:t>: 271-280.e8 [PMID: 32142651 DOI: 10.1016/j.cell.2020.02.052]</w:t>
      </w:r>
    </w:p>
    <w:p w14:paraId="204C2AE0"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9 </w:t>
      </w:r>
      <w:r w:rsidRPr="00E12667">
        <w:rPr>
          <w:rFonts w:ascii="Book Antiqua" w:hAnsi="Book Antiqua"/>
          <w:b/>
          <w:bCs/>
        </w:rPr>
        <w:t>Heurich A</w:t>
      </w:r>
      <w:r w:rsidRPr="00E12667">
        <w:rPr>
          <w:rFonts w:ascii="Book Antiqua" w:hAnsi="Book Antiqua"/>
        </w:rPr>
        <w:t xml:space="preserve">, Hofmann-Winkler H, Gierer S, Liepold T, Jahn O, Pöhlmann S. TMPRSS2 and ADAM17 cleave ACE2 differentially and only proteolysis by TMPRSS2 augments entry driven by the severe acute respiratory syndrome coronavirus spike protein. </w:t>
      </w:r>
      <w:r w:rsidRPr="00E12667">
        <w:rPr>
          <w:rFonts w:ascii="Book Antiqua" w:hAnsi="Book Antiqua"/>
          <w:i/>
          <w:iCs/>
        </w:rPr>
        <w:t>J Virol</w:t>
      </w:r>
      <w:r w:rsidRPr="00E12667">
        <w:rPr>
          <w:rFonts w:ascii="Book Antiqua" w:hAnsi="Book Antiqua"/>
        </w:rPr>
        <w:t xml:space="preserve"> 2014; </w:t>
      </w:r>
      <w:r w:rsidRPr="00E12667">
        <w:rPr>
          <w:rFonts w:ascii="Book Antiqua" w:hAnsi="Book Antiqua"/>
          <w:b/>
          <w:bCs/>
        </w:rPr>
        <w:t>88</w:t>
      </w:r>
      <w:r w:rsidRPr="00E12667">
        <w:rPr>
          <w:rFonts w:ascii="Book Antiqua" w:hAnsi="Book Antiqua"/>
        </w:rPr>
        <w:t>: 1293-1307 [PMID: 24227843 DOI: 10.1128/JVI.02202-13]</w:t>
      </w:r>
    </w:p>
    <w:p w14:paraId="25159397"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10 </w:t>
      </w:r>
      <w:r w:rsidRPr="00E12667">
        <w:rPr>
          <w:rFonts w:ascii="Book Antiqua" w:hAnsi="Book Antiqua"/>
          <w:b/>
          <w:bCs/>
        </w:rPr>
        <w:t>Bravaccini S</w:t>
      </w:r>
      <w:r w:rsidRPr="00E12667">
        <w:rPr>
          <w:rFonts w:ascii="Book Antiqua" w:hAnsi="Book Antiqua"/>
        </w:rPr>
        <w:t xml:space="preserve">, Fonzi E, Tebaldi M, Angeli D, Martinelli G, Nicolini F, Parrella P, Mazza M. Estrogen and Androgen Receptor Inhibitors: Unexpected Allies in the Fight Against COVID-19. </w:t>
      </w:r>
      <w:r w:rsidRPr="00E12667">
        <w:rPr>
          <w:rFonts w:ascii="Book Antiqua" w:hAnsi="Book Antiqua"/>
          <w:i/>
          <w:iCs/>
        </w:rPr>
        <w:t>Cell Transplant</w:t>
      </w:r>
      <w:r w:rsidRPr="00E12667">
        <w:rPr>
          <w:rFonts w:ascii="Book Antiqua" w:hAnsi="Book Antiqua"/>
        </w:rPr>
        <w:t xml:space="preserve"> 2021; </w:t>
      </w:r>
      <w:r w:rsidRPr="00E12667">
        <w:rPr>
          <w:rFonts w:ascii="Book Antiqua" w:hAnsi="Book Antiqua"/>
          <w:b/>
          <w:bCs/>
        </w:rPr>
        <w:t>30</w:t>
      </w:r>
      <w:r w:rsidRPr="00E12667">
        <w:rPr>
          <w:rFonts w:ascii="Book Antiqua" w:hAnsi="Book Antiqua"/>
        </w:rPr>
        <w:t>: 963689721991477 [PMID: 33522308 DOI: 10.1177/0963689721991477]</w:t>
      </w:r>
    </w:p>
    <w:p w14:paraId="47CBD4E2"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11 </w:t>
      </w:r>
      <w:r w:rsidRPr="00E12667">
        <w:rPr>
          <w:rFonts w:ascii="Book Antiqua" w:hAnsi="Book Antiqua"/>
          <w:b/>
          <w:bCs/>
        </w:rPr>
        <w:t>Cattrini C</w:t>
      </w:r>
      <w:r w:rsidRPr="00E12667">
        <w:rPr>
          <w:rFonts w:ascii="Book Antiqua" w:hAnsi="Book Antiqua"/>
        </w:rPr>
        <w:t xml:space="preserve">, Bersanelli M, Latocca MM, Conte B, Vallome G, Boccardo F. Sex Hormones and Hormone Therapy during COVID-19 Pandemic: Implications for Patients with Cancer. </w:t>
      </w:r>
      <w:r w:rsidRPr="00E12667">
        <w:rPr>
          <w:rFonts w:ascii="Book Antiqua" w:hAnsi="Book Antiqua"/>
          <w:i/>
          <w:iCs/>
        </w:rPr>
        <w:t>Cancers (Basel)</w:t>
      </w:r>
      <w:r w:rsidRPr="00E12667">
        <w:rPr>
          <w:rFonts w:ascii="Book Antiqua" w:hAnsi="Book Antiqua"/>
        </w:rPr>
        <w:t xml:space="preserve"> 2020; </w:t>
      </w:r>
      <w:r w:rsidRPr="00E12667">
        <w:rPr>
          <w:rFonts w:ascii="Book Antiqua" w:hAnsi="Book Antiqua"/>
          <w:b/>
          <w:bCs/>
        </w:rPr>
        <w:t>12</w:t>
      </w:r>
      <w:r w:rsidRPr="00E12667">
        <w:rPr>
          <w:rFonts w:ascii="Book Antiqua" w:hAnsi="Book Antiqua"/>
        </w:rPr>
        <w:t xml:space="preserve"> [PMID: 32824674 DOI: 10.3390/cancers12082325]</w:t>
      </w:r>
    </w:p>
    <w:p w14:paraId="71B2B173"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12 </w:t>
      </w:r>
      <w:r w:rsidRPr="00E12667">
        <w:rPr>
          <w:rFonts w:ascii="Book Antiqua" w:hAnsi="Book Antiqua"/>
          <w:b/>
          <w:bCs/>
        </w:rPr>
        <w:t>Dhindsa S</w:t>
      </w:r>
      <w:r w:rsidRPr="00E12667">
        <w:rPr>
          <w:rFonts w:ascii="Book Antiqua" w:hAnsi="Book Antiqua"/>
        </w:rPr>
        <w:t xml:space="preserve">, Zhang N, McPhaul MJ, Wu Z, Ghoshal AK, Erlich EC, Mani K, Randolph GJ, Edwards JR, Mudd PA, Diwan A. Association of Circulating Sex Hormones With Inflammation and Disease Severity in Patients With COVID-19. </w:t>
      </w:r>
      <w:r w:rsidRPr="00E12667">
        <w:rPr>
          <w:rFonts w:ascii="Book Antiqua" w:hAnsi="Book Antiqua"/>
          <w:i/>
          <w:iCs/>
        </w:rPr>
        <w:t>JAMA Netw Open</w:t>
      </w:r>
      <w:r w:rsidRPr="00E12667">
        <w:rPr>
          <w:rFonts w:ascii="Book Antiqua" w:hAnsi="Book Antiqua"/>
        </w:rPr>
        <w:t xml:space="preserve"> 2021; </w:t>
      </w:r>
      <w:r w:rsidRPr="00E12667">
        <w:rPr>
          <w:rFonts w:ascii="Book Antiqua" w:hAnsi="Book Antiqua"/>
          <w:b/>
          <w:bCs/>
        </w:rPr>
        <w:t>4</w:t>
      </w:r>
      <w:r w:rsidRPr="00E12667">
        <w:rPr>
          <w:rFonts w:ascii="Book Antiqua" w:hAnsi="Book Antiqua"/>
        </w:rPr>
        <w:t>: e2111398 [PMID: 34032853 DOI: 10.1001/jamanetworkopen.2021.11398]</w:t>
      </w:r>
    </w:p>
    <w:p w14:paraId="6F4E7053"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13 </w:t>
      </w:r>
      <w:r w:rsidRPr="00E12667">
        <w:rPr>
          <w:rFonts w:ascii="Book Antiqua" w:hAnsi="Book Antiqua"/>
          <w:b/>
          <w:bCs/>
        </w:rPr>
        <w:t>Durcan E</w:t>
      </w:r>
      <w:r w:rsidRPr="00E12667">
        <w:rPr>
          <w:rFonts w:ascii="Book Antiqua" w:hAnsi="Book Antiqua"/>
        </w:rPr>
        <w:t xml:space="preserve">, Turan S, Bircan BE, Yaylamaz S, Demirel O, Demir AN, Sulu C, Kara Z, Sahin S, Taze SS, MefkureOzkaya H, Kadioglu P. TransCOVID: Does Gender-Affirming Hormone Therapy Play a Role in Contracting COVID-19? </w:t>
      </w:r>
      <w:r w:rsidRPr="00E12667">
        <w:rPr>
          <w:rFonts w:ascii="Book Antiqua" w:hAnsi="Book Antiqua"/>
          <w:i/>
          <w:iCs/>
        </w:rPr>
        <w:t>J Sex Marital Ther</w:t>
      </w:r>
      <w:r w:rsidRPr="00E12667">
        <w:rPr>
          <w:rFonts w:ascii="Book Antiqua" w:hAnsi="Book Antiqua"/>
        </w:rPr>
        <w:t xml:space="preserve"> 2022; </w:t>
      </w:r>
      <w:r w:rsidRPr="00E12667">
        <w:rPr>
          <w:rFonts w:ascii="Book Antiqua" w:hAnsi="Book Antiqua"/>
          <w:b/>
          <w:bCs/>
        </w:rPr>
        <w:t>48</w:t>
      </w:r>
      <w:r w:rsidRPr="00E12667">
        <w:rPr>
          <w:rFonts w:ascii="Book Antiqua" w:hAnsi="Book Antiqua"/>
        </w:rPr>
        <w:t>: 415-426 [PMID: 34806552 DOI: 10.1080/0092623X.2021.2000535]</w:t>
      </w:r>
    </w:p>
    <w:p w14:paraId="2F38218E"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14 </w:t>
      </w:r>
      <w:r w:rsidRPr="00E12667">
        <w:rPr>
          <w:rFonts w:ascii="Book Antiqua" w:hAnsi="Book Antiqua"/>
          <w:b/>
          <w:bCs/>
        </w:rPr>
        <w:t>Randolph JF Jr</w:t>
      </w:r>
      <w:r w:rsidRPr="00E12667">
        <w:rPr>
          <w:rFonts w:ascii="Book Antiqua" w:hAnsi="Book Antiqua"/>
        </w:rPr>
        <w:t xml:space="preserve">. Gender-Affirming Hormone Therapy for Transgender Females. </w:t>
      </w:r>
      <w:r w:rsidRPr="00E12667">
        <w:rPr>
          <w:rFonts w:ascii="Book Antiqua" w:hAnsi="Book Antiqua"/>
          <w:i/>
          <w:iCs/>
        </w:rPr>
        <w:t>Clin ObstetGynecol</w:t>
      </w:r>
      <w:r w:rsidRPr="00E12667">
        <w:rPr>
          <w:rFonts w:ascii="Book Antiqua" w:hAnsi="Book Antiqua"/>
        </w:rPr>
        <w:t xml:space="preserve"> 2018; </w:t>
      </w:r>
      <w:r w:rsidRPr="00E12667">
        <w:rPr>
          <w:rFonts w:ascii="Book Antiqua" w:hAnsi="Book Antiqua"/>
          <w:b/>
          <w:bCs/>
        </w:rPr>
        <w:t>61</w:t>
      </w:r>
      <w:r w:rsidRPr="00E12667">
        <w:rPr>
          <w:rFonts w:ascii="Book Antiqua" w:hAnsi="Book Antiqua"/>
        </w:rPr>
        <w:t>: 705-721 [PMID: 30256230 DOI: 10.1097/GRF.0000000000000396]</w:t>
      </w:r>
    </w:p>
    <w:p w14:paraId="176C12BD"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15 </w:t>
      </w:r>
      <w:r w:rsidRPr="00E12667">
        <w:rPr>
          <w:rFonts w:ascii="Book Antiqua" w:hAnsi="Book Antiqua"/>
          <w:b/>
          <w:bCs/>
        </w:rPr>
        <w:t>Moravek MB</w:t>
      </w:r>
      <w:r w:rsidRPr="00E12667">
        <w:rPr>
          <w:rFonts w:ascii="Book Antiqua" w:hAnsi="Book Antiqua"/>
        </w:rPr>
        <w:t xml:space="preserve">. Gender-Affirming Hormone Therapy for Transgender Men. </w:t>
      </w:r>
      <w:r w:rsidRPr="00E12667">
        <w:rPr>
          <w:rFonts w:ascii="Book Antiqua" w:hAnsi="Book Antiqua"/>
          <w:i/>
          <w:iCs/>
        </w:rPr>
        <w:t>Clin ObstetGynecol</w:t>
      </w:r>
      <w:r w:rsidRPr="00E12667">
        <w:rPr>
          <w:rFonts w:ascii="Book Antiqua" w:hAnsi="Book Antiqua"/>
        </w:rPr>
        <w:t xml:space="preserve"> 2018; </w:t>
      </w:r>
      <w:r w:rsidRPr="00E12667">
        <w:rPr>
          <w:rFonts w:ascii="Book Antiqua" w:hAnsi="Book Antiqua"/>
          <w:b/>
          <w:bCs/>
        </w:rPr>
        <w:t>61</w:t>
      </w:r>
      <w:r w:rsidRPr="00E12667">
        <w:rPr>
          <w:rFonts w:ascii="Book Antiqua" w:hAnsi="Book Antiqua"/>
        </w:rPr>
        <w:t>: 687-704 [PMID: 30285972 DOI: 10.1097/GRF.0000000000000398]</w:t>
      </w:r>
    </w:p>
    <w:p w14:paraId="2817A172"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16 </w:t>
      </w:r>
      <w:r w:rsidRPr="00E12667">
        <w:rPr>
          <w:rFonts w:ascii="Book Antiqua" w:hAnsi="Book Antiqua"/>
          <w:b/>
          <w:bCs/>
        </w:rPr>
        <w:t>Irwig MS</w:t>
      </w:r>
      <w:r w:rsidRPr="00E12667">
        <w:rPr>
          <w:rFonts w:ascii="Book Antiqua" w:hAnsi="Book Antiqua"/>
        </w:rPr>
        <w:t xml:space="preserve">. Testosterone therapy for transgender men. </w:t>
      </w:r>
      <w:r w:rsidRPr="00E12667">
        <w:rPr>
          <w:rFonts w:ascii="Book Antiqua" w:hAnsi="Book Antiqua"/>
          <w:i/>
          <w:iCs/>
        </w:rPr>
        <w:t>Lancet Diabetes Endocrinol</w:t>
      </w:r>
      <w:r w:rsidRPr="00E12667">
        <w:rPr>
          <w:rFonts w:ascii="Book Antiqua" w:hAnsi="Book Antiqua"/>
        </w:rPr>
        <w:t xml:space="preserve"> 2017; </w:t>
      </w:r>
      <w:r w:rsidRPr="00E12667">
        <w:rPr>
          <w:rFonts w:ascii="Book Antiqua" w:hAnsi="Book Antiqua"/>
          <w:b/>
          <w:bCs/>
        </w:rPr>
        <w:t>5</w:t>
      </w:r>
      <w:r w:rsidRPr="00E12667">
        <w:rPr>
          <w:rFonts w:ascii="Book Antiqua" w:hAnsi="Book Antiqua"/>
        </w:rPr>
        <w:t>: 301-311 [PMID: 27084565 DOI: 10.1016/S2213-8587(16)00036-X]</w:t>
      </w:r>
    </w:p>
    <w:p w14:paraId="2D996284"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17 </w:t>
      </w:r>
      <w:r w:rsidRPr="00E12667">
        <w:rPr>
          <w:rFonts w:ascii="Book Antiqua" w:hAnsi="Book Antiqua"/>
          <w:b/>
          <w:bCs/>
        </w:rPr>
        <w:t>Wadman M</w:t>
      </w:r>
      <w:r w:rsidRPr="00E12667">
        <w:rPr>
          <w:rFonts w:ascii="Book Antiqua" w:hAnsi="Book Antiqua"/>
        </w:rPr>
        <w:t xml:space="preserve">. Sex hormones signal why virus hits men harder. </w:t>
      </w:r>
      <w:r w:rsidRPr="00E12667">
        <w:rPr>
          <w:rFonts w:ascii="Book Antiqua" w:hAnsi="Book Antiqua"/>
          <w:i/>
          <w:iCs/>
        </w:rPr>
        <w:t>Science</w:t>
      </w:r>
      <w:r w:rsidRPr="00E12667">
        <w:rPr>
          <w:rFonts w:ascii="Book Antiqua" w:hAnsi="Book Antiqua"/>
        </w:rPr>
        <w:t xml:space="preserve"> 2020; </w:t>
      </w:r>
      <w:r w:rsidRPr="00E12667">
        <w:rPr>
          <w:rFonts w:ascii="Book Antiqua" w:hAnsi="Book Antiqua"/>
          <w:b/>
          <w:bCs/>
        </w:rPr>
        <w:t>368</w:t>
      </w:r>
      <w:r w:rsidRPr="00E12667">
        <w:rPr>
          <w:rFonts w:ascii="Book Antiqua" w:hAnsi="Book Antiqua"/>
        </w:rPr>
        <w:t>: 1038-1039 [PMID: 32499416 DOI: 10.1126/science.368.6495.1038]</w:t>
      </w:r>
    </w:p>
    <w:p w14:paraId="70651C18"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lastRenderedPageBreak/>
        <w:t xml:space="preserve">18 </w:t>
      </w:r>
      <w:r w:rsidRPr="00E12667">
        <w:rPr>
          <w:rFonts w:ascii="Book Antiqua" w:hAnsi="Book Antiqua"/>
          <w:b/>
          <w:bCs/>
        </w:rPr>
        <w:t>Khan N</w:t>
      </w:r>
      <w:r w:rsidRPr="00E12667">
        <w:rPr>
          <w:rFonts w:ascii="Book Antiqua" w:hAnsi="Book Antiqua"/>
        </w:rPr>
        <w:t xml:space="preserve">. Possible protective role of 17β-estradiol against COVID-19. </w:t>
      </w:r>
      <w:r w:rsidRPr="00E12667">
        <w:rPr>
          <w:rFonts w:ascii="Book Antiqua" w:hAnsi="Book Antiqua"/>
          <w:i/>
          <w:iCs/>
        </w:rPr>
        <w:t>J Allergy Infect Dis</w:t>
      </w:r>
      <w:r w:rsidRPr="00E12667">
        <w:rPr>
          <w:rFonts w:ascii="Book Antiqua" w:hAnsi="Book Antiqua"/>
        </w:rPr>
        <w:t xml:space="preserve"> 2020; </w:t>
      </w:r>
      <w:r w:rsidRPr="00E12667">
        <w:rPr>
          <w:rFonts w:ascii="Book Antiqua" w:hAnsi="Book Antiqua"/>
          <w:b/>
          <w:bCs/>
        </w:rPr>
        <w:t>1</w:t>
      </w:r>
      <w:r w:rsidRPr="00E12667">
        <w:rPr>
          <w:rFonts w:ascii="Book Antiqua" w:hAnsi="Book Antiqua"/>
        </w:rPr>
        <w:t>: 38-48 [PMID: 33196058 DOI: 10.46439/allergy.1.010]</w:t>
      </w:r>
    </w:p>
    <w:p w14:paraId="71F3C31F"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19 </w:t>
      </w:r>
      <w:r w:rsidRPr="00E12667">
        <w:rPr>
          <w:rFonts w:ascii="Book Antiqua" w:hAnsi="Book Antiqua"/>
          <w:b/>
          <w:bCs/>
        </w:rPr>
        <w:t>McCoy J</w:t>
      </w:r>
      <w:r w:rsidRPr="00E12667">
        <w:rPr>
          <w:rFonts w:ascii="Book Antiqua" w:hAnsi="Book Antiqua"/>
        </w:rPr>
        <w:t xml:space="preserve">, Goren A, Cadegiani FA, Vaño-Galván S, Kovacevic M, Situm M, Shapiro J, Sinclair R, Tosti A, Stanimirovic A, Fonseca D, Dorner E, Onety DC, Zimerman RA, Wambier CG. Proxalutamide Reduces the Rate of Hospitalization for COVID-19 Male Outpatients: A Randomized Double-Blinded Placebo-Controlled Trial. </w:t>
      </w:r>
      <w:r w:rsidRPr="00E12667">
        <w:rPr>
          <w:rFonts w:ascii="Book Antiqua" w:hAnsi="Book Antiqua"/>
          <w:i/>
          <w:iCs/>
        </w:rPr>
        <w:t>Front Med (Lausanne)</w:t>
      </w:r>
      <w:r w:rsidRPr="00E12667">
        <w:rPr>
          <w:rFonts w:ascii="Book Antiqua" w:hAnsi="Book Antiqua"/>
        </w:rPr>
        <w:t xml:space="preserve"> 2021; </w:t>
      </w:r>
      <w:r w:rsidRPr="00E12667">
        <w:rPr>
          <w:rFonts w:ascii="Book Antiqua" w:hAnsi="Book Antiqua"/>
          <w:b/>
          <w:bCs/>
        </w:rPr>
        <w:t>8</w:t>
      </w:r>
      <w:r w:rsidRPr="00E12667">
        <w:rPr>
          <w:rFonts w:ascii="Book Antiqua" w:hAnsi="Book Antiqua"/>
        </w:rPr>
        <w:t>: 668698 [PMID: 34350193 DOI: 10.3389/fmed.2021.668698]</w:t>
      </w:r>
    </w:p>
    <w:p w14:paraId="2F916696"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20 </w:t>
      </w:r>
      <w:r w:rsidRPr="00E12667">
        <w:rPr>
          <w:rFonts w:ascii="Book Antiqua" w:hAnsi="Book Antiqua"/>
          <w:b/>
          <w:bCs/>
        </w:rPr>
        <w:t>Pozzilli P</w:t>
      </w:r>
      <w:r w:rsidRPr="00E12667">
        <w:rPr>
          <w:rFonts w:ascii="Book Antiqua" w:hAnsi="Book Antiqua"/>
        </w:rPr>
        <w:t xml:space="preserve">, Lenzi A. Commentary: Testosterone, a key hormone in the context of COVID-19 pandemic. </w:t>
      </w:r>
      <w:r w:rsidRPr="00E12667">
        <w:rPr>
          <w:rFonts w:ascii="Book Antiqua" w:hAnsi="Book Antiqua"/>
          <w:i/>
          <w:iCs/>
        </w:rPr>
        <w:t>Metabolism</w:t>
      </w:r>
      <w:r w:rsidRPr="00E12667">
        <w:rPr>
          <w:rFonts w:ascii="Book Antiqua" w:hAnsi="Book Antiqua"/>
        </w:rPr>
        <w:t xml:space="preserve"> 2020; </w:t>
      </w:r>
      <w:r w:rsidRPr="00E12667">
        <w:rPr>
          <w:rFonts w:ascii="Book Antiqua" w:hAnsi="Book Antiqua"/>
          <w:b/>
          <w:bCs/>
        </w:rPr>
        <w:t>108</w:t>
      </w:r>
      <w:r w:rsidRPr="00E12667">
        <w:rPr>
          <w:rFonts w:ascii="Book Antiqua" w:hAnsi="Book Antiqua"/>
        </w:rPr>
        <w:t>: 154252 [PMID: 32353355 DOI: 10.1016/j.metabol.2020.154252]</w:t>
      </w:r>
    </w:p>
    <w:p w14:paraId="781958BD"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21 </w:t>
      </w:r>
      <w:r w:rsidRPr="00E12667">
        <w:rPr>
          <w:rFonts w:ascii="Book Antiqua" w:hAnsi="Book Antiqua"/>
          <w:b/>
          <w:bCs/>
        </w:rPr>
        <w:t>Dhindsa S</w:t>
      </w:r>
      <w:r w:rsidRPr="00E12667">
        <w:rPr>
          <w:rFonts w:ascii="Book Antiqua" w:hAnsi="Book Antiqua"/>
        </w:rPr>
        <w:t xml:space="preserve">, Ghanim H, Batra M, Dandona P. Hypogonadotropic Hypogonadism in Men With Diabesity. </w:t>
      </w:r>
      <w:r w:rsidRPr="00E12667">
        <w:rPr>
          <w:rFonts w:ascii="Book Antiqua" w:hAnsi="Book Antiqua"/>
          <w:i/>
          <w:iCs/>
        </w:rPr>
        <w:t>Diabetes Care</w:t>
      </w:r>
      <w:r w:rsidRPr="00E12667">
        <w:rPr>
          <w:rFonts w:ascii="Book Antiqua" w:hAnsi="Book Antiqua"/>
        </w:rPr>
        <w:t xml:space="preserve"> 2018; </w:t>
      </w:r>
      <w:r w:rsidRPr="00E12667">
        <w:rPr>
          <w:rFonts w:ascii="Book Antiqua" w:hAnsi="Book Antiqua"/>
          <w:b/>
          <w:bCs/>
        </w:rPr>
        <w:t>41</w:t>
      </w:r>
      <w:r w:rsidRPr="00E12667">
        <w:rPr>
          <w:rFonts w:ascii="Book Antiqua" w:hAnsi="Book Antiqua"/>
        </w:rPr>
        <w:t>: 1516-1525 [PMID: 29934480 DOI: 10.2337/dc17-2510]</w:t>
      </w:r>
    </w:p>
    <w:p w14:paraId="7F6E391A"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22 </w:t>
      </w:r>
      <w:r w:rsidRPr="00E12667">
        <w:rPr>
          <w:rFonts w:ascii="Book Antiqua" w:hAnsi="Book Antiqua"/>
          <w:b/>
          <w:bCs/>
        </w:rPr>
        <w:t>Dhindsa S</w:t>
      </w:r>
      <w:r w:rsidRPr="00E12667">
        <w:rPr>
          <w:rFonts w:ascii="Book Antiqua" w:hAnsi="Book Antiqua"/>
        </w:rPr>
        <w:t xml:space="preserve">, Reddy A, Karam JS, Bilkis S, Chaurasia A, Mehta A, Raja KP, Batra M, Dandona P. Prevalence of subnormal testosterone concentrations in men with type 2 diabetes and chronic kidney disease. </w:t>
      </w:r>
      <w:r w:rsidRPr="00E12667">
        <w:rPr>
          <w:rFonts w:ascii="Book Antiqua" w:hAnsi="Book Antiqua"/>
          <w:i/>
          <w:iCs/>
        </w:rPr>
        <w:t>Eur J Endocrinol</w:t>
      </w:r>
      <w:r w:rsidRPr="00E12667">
        <w:rPr>
          <w:rFonts w:ascii="Book Antiqua" w:hAnsi="Book Antiqua"/>
        </w:rPr>
        <w:t xml:space="preserve"> 2015; </w:t>
      </w:r>
      <w:r w:rsidRPr="00E12667">
        <w:rPr>
          <w:rFonts w:ascii="Book Antiqua" w:hAnsi="Book Antiqua"/>
          <w:b/>
          <w:bCs/>
        </w:rPr>
        <w:t>173</w:t>
      </w:r>
      <w:r w:rsidRPr="00E12667">
        <w:rPr>
          <w:rFonts w:ascii="Book Antiqua" w:hAnsi="Book Antiqua"/>
        </w:rPr>
        <w:t>: 359-366 [PMID: 26101371 DOI: 10.1530/EJE-15-0359]</w:t>
      </w:r>
    </w:p>
    <w:p w14:paraId="429190C2"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23 </w:t>
      </w:r>
      <w:r w:rsidRPr="00E12667">
        <w:rPr>
          <w:rFonts w:ascii="Book Antiqua" w:hAnsi="Book Antiqua"/>
          <w:b/>
          <w:bCs/>
        </w:rPr>
        <w:t>Balasubramanian V</w:t>
      </w:r>
      <w:r w:rsidRPr="00E12667">
        <w:rPr>
          <w:rFonts w:ascii="Book Antiqua" w:hAnsi="Book Antiqua"/>
        </w:rPr>
        <w:t xml:space="preserve">, Naing S. Hypogonadism in chronic obstructive pulmonary disease: incidence and effects. </w:t>
      </w:r>
      <w:r w:rsidRPr="00E12667">
        <w:rPr>
          <w:rFonts w:ascii="Book Antiqua" w:hAnsi="Book Antiqua"/>
          <w:i/>
          <w:iCs/>
        </w:rPr>
        <w:t>CurrOpinPulm Med</w:t>
      </w:r>
      <w:r w:rsidRPr="00E12667">
        <w:rPr>
          <w:rFonts w:ascii="Book Antiqua" w:hAnsi="Book Antiqua"/>
        </w:rPr>
        <w:t xml:space="preserve"> 2012; </w:t>
      </w:r>
      <w:r w:rsidRPr="00E12667">
        <w:rPr>
          <w:rFonts w:ascii="Book Antiqua" w:hAnsi="Book Antiqua"/>
          <w:b/>
          <w:bCs/>
        </w:rPr>
        <w:t>18</w:t>
      </w:r>
      <w:r w:rsidRPr="00E12667">
        <w:rPr>
          <w:rFonts w:ascii="Book Antiqua" w:hAnsi="Book Antiqua"/>
        </w:rPr>
        <w:t>: 112-117 [PMID: 22234275 DOI: 10.1097/MCP.0b013e32834feb37]</w:t>
      </w:r>
    </w:p>
    <w:p w14:paraId="656B351F"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24 </w:t>
      </w:r>
      <w:r w:rsidRPr="00E12667">
        <w:rPr>
          <w:rFonts w:ascii="Book Antiqua" w:hAnsi="Book Antiqua"/>
          <w:b/>
          <w:bCs/>
        </w:rPr>
        <w:t>Infante M</w:t>
      </w:r>
      <w:r w:rsidRPr="00E12667">
        <w:rPr>
          <w:rFonts w:ascii="Book Antiqua" w:hAnsi="Book Antiqua"/>
        </w:rPr>
        <w:t xml:space="preserve">, Pieri M, Lupisella S, D'Amore L, Bernardini S, Fabbri A, Iannetta M, Andreoni M, Morello M. Low testosterone levels and high estradiol to testosterone ratio are associated with hyperinflammatory state and mortality in hospitalized men with COVID-19. </w:t>
      </w:r>
      <w:r w:rsidRPr="00E12667">
        <w:rPr>
          <w:rFonts w:ascii="Book Antiqua" w:hAnsi="Book Antiqua"/>
          <w:i/>
          <w:iCs/>
        </w:rPr>
        <w:t>Eur Rev Med Pharmacol Sci</w:t>
      </w:r>
      <w:r w:rsidRPr="00E12667">
        <w:rPr>
          <w:rFonts w:ascii="Book Antiqua" w:hAnsi="Book Antiqua"/>
        </w:rPr>
        <w:t xml:space="preserve"> 2021; </w:t>
      </w:r>
      <w:r w:rsidRPr="00E12667">
        <w:rPr>
          <w:rFonts w:ascii="Book Antiqua" w:hAnsi="Book Antiqua"/>
          <w:b/>
          <w:bCs/>
        </w:rPr>
        <w:t>25</w:t>
      </w:r>
      <w:r w:rsidRPr="00E12667">
        <w:rPr>
          <w:rFonts w:ascii="Book Antiqua" w:hAnsi="Book Antiqua"/>
        </w:rPr>
        <w:t>: 5889-5903 [PMID: 34661247 DOI: 10.26355/eurrev_202110_26865]</w:t>
      </w:r>
    </w:p>
    <w:p w14:paraId="5CE1CD83"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25 </w:t>
      </w:r>
      <w:r w:rsidRPr="00E12667">
        <w:rPr>
          <w:rFonts w:ascii="Book Antiqua" w:hAnsi="Book Antiqua"/>
          <w:b/>
          <w:bCs/>
        </w:rPr>
        <w:t>van Zeggeren IE</w:t>
      </w:r>
      <w:r w:rsidRPr="00E12667">
        <w:rPr>
          <w:rFonts w:ascii="Book Antiqua" w:hAnsi="Book Antiqua"/>
        </w:rPr>
        <w:t xml:space="preserve">, Boelen A, van de Beek D, Heijboer AC, Vlaar APJ, Brouwer MC; Amsterdam UMC COVID-19 Biobank. Sex steroid hormones are associated with mortality in COVID-19 patients: Level of sex hormones in severe COVID-19. </w:t>
      </w:r>
      <w:r w:rsidRPr="00E12667">
        <w:rPr>
          <w:rFonts w:ascii="Book Antiqua" w:hAnsi="Book Antiqua"/>
          <w:i/>
          <w:iCs/>
        </w:rPr>
        <w:t>Medicine (Baltimore)</w:t>
      </w:r>
      <w:r w:rsidRPr="00E12667">
        <w:rPr>
          <w:rFonts w:ascii="Book Antiqua" w:hAnsi="Book Antiqua"/>
        </w:rPr>
        <w:t xml:space="preserve"> 2021; </w:t>
      </w:r>
      <w:r w:rsidRPr="00E12667">
        <w:rPr>
          <w:rFonts w:ascii="Book Antiqua" w:hAnsi="Book Antiqua"/>
          <w:b/>
          <w:bCs/>
        </w:rPr>
        <w:t>100</w:t>
      </w:r>
      <w:r w:rsidRPr="00E12667">
        <w:rPr>
          <w:rFonts w:ascii="Book Antiqua" w:hAnsi="Book Antiqua"/>
        </w:rPr>
        <w:t>: e27072 [PMID: 34449505 DOI: 10.1097/MD.0000000000027072]</w:t>
      </w:r>
    </w:p>
    <w:p w14:paraId="5D95FFF7"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lastRenderedPageBreak/>
        <w:t xml:space="preserve">26 </w:t>
      </w:r>
      <w:r w:rsidRPr="00E12667">
        <w:rPr>
          <w:rFonts w:ascii="Book Antiqua" w:hAnsi="Book Antiqua"/>
          <w:b/>
          <w:bCs/>
        </w:rPr>
        <w:t>Salonia A</w:t>
      </w:r>
      <w:r w:rsidRPr="00E12667">
        <w:rPr>
          <w:rFonts w:ascii="Book Antiqua" w:hAnsi="Book Antiqua"/>
        </w:rPr>
        <w:t xml:space="preserve">, Pontillo M, Capogrosso P, Gregori S, Tassara M, Boeri L, Carenzi C, Abbate C, Cignoli D, Ferrara AM, Cazzaniga W, Rowe I, Ramirez GA, Tresoldi C, Mushtaq J, Locatelli M, Santoleri L, Castagna A, Zangrillo A, De Cobelli F, Tresoldi M, Landoni G, Rovere-Querini P, Ciceri F, Montorsi F. Severely low testosterone in males with COVID-19: A case-control study. </w:t>
      </w:r>
      <w:r w:rsidRPr="00E12667">
        <w:rPr>
          <w:rFonts w:ascii="Book Antiqua" w:hAnsi="Book Antiqua"/>
          <w:i/>
          <w:iCs/>
        </w:rPr>
        <w:t>Andrology</w:t>
      </w:r>
      <w:r w:rsidRPr="00E12667">
        <w:rPr>
          <w:rFonts w:ascii="Book Antiqua" w:hAnsi="Book Antiqua"/>
        </w:rPr>
        <w:t xml:space="preserve"> 2021; </w:t>
      </w:r>
      <w:r w:rsidRPr="00E12667">
        <w:rPr>
          <w:rFonts w:ascii="Book Antiqua" w:hAnsi="Book Antiqua"/>
          <w:b/>
          <w:bCs/>
        </w:rPr>
        <w:t>9</w:t>
      </w:r>
      <w:r w:rsidRPr="00E12667">
        <w:rPr>
          <w:rFonts w:ascii="Book Antiqua" w:hAnsi="Book Antiqua"/>
        </w:rPr>
        <w:t>: 1043-1052 [PMID: 33635589 DOI: 10.1111/andr.12993]</w:t>
      </w:r>
    </w:p>
    <w:p w14:paraId="5E899DB7"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27 </w:t>
      </w:r>
      <w:r w:rsidRPr="00E12667">
        <w:rPr>
          <w:rFonts w:ascii="Book Antiqua" w:hAnsi="Book Antiqua"/>
          <w:b/>
          <w:bCs/>
        </w:rPr>
        <w:t>Rambhatla A</w:t>
      </w:r>
      <w:r w:rsidRPr="00E12667">
        <w:rPr>
          <w:rFonts w:ascii="Book Antiqua" w:hAnsi="Book Antiqua"/>
        </w:rPr>
        <w:t xml:space="preserve">, Bronkema CJ, Corsi N, Keeley J, Sood A, Affas Z, Dabaja AA, Rogers CG, Liroff SA, Abdollah F. COVID-19 Infection in Men on Testosterone Replacement Therapy. </w:t>
      </w:r>
      <w:r w:rsidRPr="00E12667">
        <w:rPr>
          <w:rFonts w:ascii="Book Antiqua" w:hAnsi="Book Antiqua"/>
          <w:i/>
          <w:iCs/>
        </w:rPr>
        <w:t>J Sex Med</w:t>
      </w:r>
      <w:r w:rsidRPr="00E12667">
        <w:rPr>
          <w:rFonts w:ascii="Book Antiqua" w:hAnsi="Book Antiqua"/>
        </w:rPr>
        <w:t xml:space="preserve"> 2021; </w:t>
      </w:r>
      <w:r w:rsidRPr="00E12667">
        <w:rPr>
          <w:rFonts w:ascii="Book Antiqua" w:hAnsi="Book Antiqua"/>
          <w:b/>
          <w:bCs/>
        </w:rPr>
        <w:t>18</w:t>
      </w:r>
      <w:r w:rsidRPr="00E12667">
        <w:rPr>
          <w:rFonts w:ascii="Book Antiqua" w:hAnsi="Book Antiqua"/>
        </w:rPr>
        <w:t>: 215-218 [PMID: 33191186 DOI: 10.1016/j.jsxm.2020.09.013]</w:t>
      </w:r>
    </w:p>
    <w:p w14:paraId="60746067"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28 </w:t>
      </w:r>
      <w:r w:rsidRPr="00E12667">
        <w:rPr>
          <w:rFonts w:ascii="Book Antiqua" w:hAnsi="Book Antiqua"/>
          <w:b/>
          <w:bCs/>
        </w:rPr>
        <w:t>Scully EP</w:t>
      </w:r>
      <w:r w:rsidRPr="00E12667">
        <w:rPr>
          <w:rFonts w:ascii="Book Antiqua" w:hAnsi="Book Antiqua"/>
        </w:rPr>
        <w:t xml:space="preserve">, Haverfield J, Ursin RL, Tannenbaum C, Klein SL. Considering how biological sex impacts immune responses and COVID-19 outcomes. </w:t>
      </w:r>
      <w:r w:rsidRPr="00E12667">
        <w:rPr>
          <w:rFonts w:ascii="Book Antiqua" w:hAnsi="Book Antiqua"/>
          <w:i/>
          <w:iCs/>
        </w:rPr>
        <w:t>Nat Rev Immunol</w:t>
      </w:r>
      <w:r w:rsidRPr="00E12667">
        <w:rPr>
          <w:rFonts w:ascii="Book Antiqua" w:hAnsi="Book Antiqua"/>
        </w:rPr>
        <w:t xml:space="preserve"> 2020; </w:t>
      </w:r>
      <w:r w:rsidRPr="00E12667">
        <w:rPr>
          <w:rFonts w:ascii="Book Antiqua" w:hAnsi="Book Antiqua"/>
          <w:b/>
          <w:bCs/>
        </w:rPr>
        <w:t>20</w:t>
      </w:r>
      <w:r w:rsidRPr="00E12667">
        <w:rPr>
          <w:rFonts w:ascii="Book Antiqua" w:hAnsi="Book Antiqua"/>
        </w:rPr>
        <w:t>: 442-447 [PMID: 32528136 DOI: 10.1038/s41577-020-0348-8]</w:t>
      </w:r>
    </w:p>
    <w:p w14:paraId="6BA330F9"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29 </w:t>
      </w:r>
      <w:r w:rsidRPr="00E12667">
        <w:rPr>
          <w:rFonts w:ascii="Book Antiqua" w:hAnsi="Book Antiqua"/>
          <w:b/>
          <w:bCs/>
        </w:rPr>
        <w:t>Vaninov N</w:t>
      </w:r>
      <w:r w:rsidRPr="00E12667">
        <w:rPr>
          <w:rFonts w:ascii="Book Antiqua" w:hAnsi="Book Antiqua"/>
        </w:rPr>
        <w:t xml:space="preserve">. In the eye of the COVID-19 cytokine storm. </w:t>
      </w:r>
      <w:r w:rsidRPr="00E12667">
        <w:rPr>
          <w:rFonts w:ascii="Book Antiqua" w:hAnsi="Book Antiqua"/>
          <w:i/>
          <w:iCs/>
        </w:rPr>
        <w:t>Nat Rev Immunol</w:t>
      </w:r>
      <w:r w:rsidRPr="00E12667">
        <w:rPr>
          <w:rFonts w:ascii="Book Antiqua" w:hAnsi="Book Antiqua"/>
        </w:rPr>
        <w:t xml:space="preserve"> 2020; </w:t>
      </w:r>
      <w:r w:rsidRPr="00E12667">
        <w:rPr>
          <w:rFonts w:ascii="Book Antiqua" w:hAnsi="Book Antiqua"/>
          <w:b/>
          <w:bCs/>
        </w:rPr>
        <w:t>20</w:t>
      </w:r>
      <w:r w:rsidRPr="00E12667">
        <w:rPr>
          <w:rFonts w:ascii="Book Antiqua" w:hAnsi="Book Antiqua"/>
        </w:rPr>
        <w:t>: 277 [PMID: 32249847 DOI: 10.1038/s41577-020-0305-6]</w:t>
      </w:r>
    </w:p>
    <w:p w14:paraId="6E9AAD53"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30 </w:t>
      </w:r>
      <w:r w:rsidRPr="00E12667">
        <w:rPr>
          <w:rFonts w:ascii="Book Antiqua" w:hAnsi="Book Antiqua"/>
          <w:b/>
          <w:bCs/>
        </w:rPr>
        <w:t>Ding T</w:t>
      </w:r>
      <w:r w:rsidRPr="00E12667">
        <w:rPr>
          <w:rFonts w:ascii="Book Antiqua" w:hAnsi="Book Antiqua"/>
        </w:rPr>
        <w:t xml:space="preserve">, Zhang J, Wang T, Cui P, Chen Z, Jiang J, Zhou S, Dai J, Wang B, Yuan S, Ma W, Ma L, Rong Y, Chang J, Miao X, Ma X, Wang S. Potential Influence of Menstrual Status and Sex Hormones on Female Severe Acute Respiratory Syndrome Coronavirus 2 Infection: A Cross-sectional Multicenter Study in Wuhan, China. </w:t>
      </w:r>
      <w:r w:rsidRPr="00E12667">
        <w:rPr>
          <w:rFonts w:ascii="Book Antiqua" w:hAnsi="Book Antiqua"/>
          <w:i/>
          <w:iCs/>
        </w:rPr>
        <w:t>Clin Infect Dis</w:t>
      </w:r>
      <w:r w:rsidRPr="00E12667">
        <w:rPr>
          <w:rFonts w:ascii="Book Antiqua" w:hAnsi="Book Antiqua"/>
        </w:rPr>
        <w:t xml:space="preserve"> 2021; </w:t>
      </w:r>
      <w:r w:rsidRPr="00E12667">
        <w:rPr>
          <w:rFonts w:ascii="Book Antiqua" w:hAnsi="Book Antiqua"/>
          <w:b/>
          <w:bCs/>
        </w:rPr>
        <w:t>72</w:t>
      </w:r>
      <w:r w:rsidRPr="00E12667">
        <w:rPr>
          <w:rFonts w:ascii="Book Antiqua" w:hAnsi="Book Antiqua"/>
        </w:rPr>
        <w:t>: e240-e248 [PMID: 32697835 DOI: 10.1093/cid/ciaa1022]</w:t>
      </w:r>
    </w:p>
    <w:p w14:paraId="3EF84682"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31 </w:t>
      </w:r>
      <w:r w:rsidRPr="00E12667">
        <w:rPr>
          <w:rFonts w:ascii="Book Antiqua" w:hAnsi="Book Antiqua"/>
          <w:b/>
          <w:bCs/>
        </w:rPr>
        <w:t>Seeland U</w:t>
      </w:r>
      <w:r w:rsidRPr="00E12667">
        <w:rPr>
          <w:rFonts w:ascii="Book Antiqua" w:hAnsi="Book Antiqua"/>
        </w:rPr>
        <w:t xml:space="preserve">, Coluzzi F, Simmaco M, Mura C, Bourne PE, Heiland M, Preissner R, Preissner S. Evidence for treatment with estradiol for women with SARS-CoV-2 infection. </w:t>
      </w:r>
      <w:r w:rsidRPr="00E12667">
        <w:rPr>
          <w:rFonts w:ascii="Book Antiqua" w:hAnsi="Book Antiqua"/>
          <w:i/>
          <w:iCs/>
        </w:rPr>
        <w:t>BMC Med</w:t>
      </w:r>
      <w:r w:rsidRPr="00E12667">
        <w:rPr>
          <w:rFonts w:ascii="Book Antiqua" w:hAnsi="Book Antiqua"/>
        </w:rPr>
        <w:t xml:space="preserve"> 2020; </w:t>
      </w:r>
      <w:r w:rsidRPr="00E12667">
        <w:rPr>
          <w:rFonts w:ascii="Book Antiqua" w:hAnsi="Book Antiqua"/>
          <w:b/>
          <w:bCs/>
        </w:rPr>
        <w:t>18</w:t>
      </w:r>
      <w:r w:rsidRPr="00E12667">
        <w:rPr>
          <w:rFonts w:ascii="Book Antiqua" w:hAnsi="Book Antiqua"/>
        </w:rPr>
        <w:t>: 369 [PMID: 33234138 DOI: 10.1186/s12916-020-01851-z]</w:t>
      </w:r>
    </w:p>
    <w:p w14:paraId="55B5BEB8"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32 </w:t>
      </w:r>
      <w:r w:rsidRPr="00E12667">
        <w:rPr>
          <w:rFonts w:ascii="Book Antiqua" w:hAnsi="Book Antiqua"/>
          <w:b/>
          <w:bCs/>
        </w:rPr>
        <w:t>Piccinni MP</w:t>
      </w:r>
      <w:r w:rsidRPr="00E12667">
        <w:rPr>
          <w:rFonts w:ascii="Book Antiqua" w:hAnsi="Book Antiqua"/>
        </w:rPr>
        <w:t xml:space="preserve">, Giudizi MG, Biagiotti R, Beloni L, Giannarini L, Sampognaro S, Parronchi P, Manetti R, Annunziato F, Livi C. Progesterone favors the development of human T helper cells producing Th2-type cytokines and promotes both IL-4 production and membrane CD30 expression in established Th1 cell clones. </w:t>
      </w:r>
      <w:r w:rsidRPr="00E12667">
        <w:rPr>
          <w:rFonts w:ascii="Book Antiqua" w:hAnsi="Book Antiqua"/>
          <w:i/>
          <w:iCs/>
        </w:rPr>
        <w:t>J Immunol</w:t>
      </w:r>
      <w:r w:rsidRPr="00E12667">
        <w:rPr>
          <w:rFonts w:ascii="Book Antiqua" w:hAnsi="Book Antiqua"/>
        </w:rPr>
        <w:t xml:space="preserve"> 1995; </w:t>
      </w:r>
      <w:r w:rsidRPr="00E12667">
        <w:rPr>
          <w:rFonts w:ascii="Book Antiqua" w:hAnsi="Book Antiqua"/>
          <w:b/>
          <w:bCs/>
        </w:rPr>
        <w:t>155</w:t>
      </w:r>
      <w:r w:rsidRPr="00E12667">
        <w:rPr>
          <w:rFonts w:ascii="Book Antiqua" w:hAnsi="Book Antiqua"/>
        </w:rPr>
        <w:t>: 128-133 [PMID: 7541410]</w:t>
      </w:r>
    </w:p>
    <w:p w14:paraId="38627C59"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33 </w:t>
      </w:r>
      <w:r w:rsidRPr="00E12667">
        <w:rPr>
          <w:rFonts w:ascii="Book Antiqua" w:hAnsi="Book Antiqua"/>
          <w:b/>
          <w:bCs/>
        </w:rPr>
        <w:t>Buyon JP</w:t>
      </w:r>
      <w:r w:rsidRPr="00E12667">
        <w:rPr>
          <w:rFonts w:ascii="Book Antiqua" w:hAnsi="Book Antiqua"/>
        </w:rPr>
        <w:t xml:space="preserve">, Korchak HM, Rutherford LE, Ganguly M, Weissmann G. Female hormones reduce neutrophil responsiveness in vitro. </w:t>
      </w:r>
      <w:r w:rsidRPr="00E12667">
        <w:rPr>
          <w:rFonts w:ascii="Book Antiqua" w:hAnsi="Book Antiqua"/>
          <w:i/>
          <w:iCs/>
        </w:rPr>
        <w:t>Arthritis Rheum</w:t>
      </w:r>
      <w:r w:rsidRPr="00E12667">
        <w:rPr>
          <w:rFonts w:ascii="Book Antiqua" w:hAnsi="Book Antiqua"/>
        </w:rPr>
        <w:t xml:space="preserve"> 1984; </w:t>
      </w:r>
      <w:r w:rsidRPr="00E12667">
        <w:rPr>
          <w:rFonts w:ascii="Book Antiqua" w:hAnsi="Book Antiqua"/>
          <w:b/>
          <w:bCs/>
        </w:rPr>
        <w:t>27</w:t>
      </w:r>
      <w:r w:rsidRPr="00E12667">
        <w:rPr>
          <w:rFonts w:ascii="Book Antiqua" w:hAnsi="Book Antiqua"/>
        </w:rPr>
        <w:t>: 623-630 [PMID: 6329234 DOI: 10.1002/art.1780270604]</w:t>
      </w:r>
    </w:p>
    <w:p w14:paraId="35494490"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lastRenderedPageBreak/>
        <w:t xml:space="preserve">34 </w:t>
      </w:r>
      <w:r w:rsidRPr="00E12667">
        <w:rPr>
          <w:rFonts w:ascii="Book Antiqua" w:hAnsi="Book Antiqua"/>
          <w:b/>
          <w:bCs/>
        </w:rPr>
        <w:t>Chen G</w:t>
      </w:r>
      <w:r w:rsidRPr="00E12667">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E12667">
        <w:rPr>
          <w:rFonts w:ascii="Book Antiqua" w:hAnsi="Book Antiqua"/>
          <w:i/>
          <w:iCs/>
        </w:rPr>
        <w:t>J Clin Invest</w:t>
      </w:r>
      <w:r w:rsidRPr="00E12667">
        <w:rPr>
          <w:rFonts w:ascii="Book Antiqua" w:hAnsi="Book Antiqua"/>
        </w:rPr>
        <w:t xml:space="preserve"> 2020; </w:t>
      </w:r>
      <w:r w:rsidRPr="00E12667">
        <w:rPr>
          <w:rFonts w:ascii="Book Antiqua" w:hAnsi="Book Antiqua"/>
          <w:b/>
          <w:bCs/>
        </w:rPr>
        <w:t>130</w:t>
      </w:r>
      <w:r w:rsidRPr="00E12667">
        <w:rPr>
          <w:rFonts w:ascii="Book Antiqua" w:hAnsi="Book Antiqua"/>
        </w:rPr>
        <w:t>: 2620-2629 [PMID: 32217835 DOI: 10.1172/JCI137244]</w:t>
      </w:r>
    </w:p>
    <w:p w14:paraId="56D8272C"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35 </w:t>
      </w:r>
      <w:r w:rsidRPr="00E12667">
        <w:rPr>
          <w:rFonts w:ascii="Book Antiqua" w:hAnsi="Book Antiqua"/>
          <w:b/>
          <w:bCs/>
        </w:rPr>
        <w:t>Ye Q</w:t>
      </w:r>
      <w:r w:rsidRPr="00E12667">
        <w:rPr>
          <w:rFonts w:ascii="Book Antiqua" w:hAnsi="Book Antiqua"/>
        </w:rPr>
        <w:t xml:space="preserve">, Wang B, Mao J. The pathogenesis and treatment of the `Cytokine Storm' in COVID-19. </w:t>
      </w:r>
      <w:r w:rsidRPr="00E12667">
        <w:rPr>
          <w:rFonts w:ascii="Book Antiqua" w:hAnsi="Book Antiqua"/>
          <w:i/>
          <w:iCs/>
        </w:rPr>
        <w:t>J Infect</w:t>
      </w:r>
      <w:r w:rsidRPr="00E12667">
        <w:rPr>
          <w:rFonts w:ascii="Book Antiqua" w:hAnsi="Book Antiqua"/>
        </w:rPr>
        <w:t xml:space="preserve"> 2020; </w:t>
      </w:r>
      <w:r w:rsidRPr="00E12667">
        <w:rPr>
          <w:rFonts w:ascii="Book Antiqua" w:hAnsi="Book Antiqua"/>
          <w:b/>
          <w:bCs/>
        </w:rPr>
        <w:t>80</w:t>
      </w:r>
      <w:r w:rsidRPr="00E12667">
        <w:rPr>
          <w:rFonts w:ascii="Book Antiqua" w:hAnsi="Book Antiqua"/>
        </w:rPr>
        <w:t>: 607-613 [PMID: 32283152 DOI: 10.1016/j.jinf.2020.03.037]</w:t>
      </w:r>
    </w:p>
    <w:p w14:paraId="3D639B2D"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36 </w:t>
      </w:r>
      <w:r w:rsidRPr="00E12667">
        <w:rPr>
          <w:rFonts w:ascii="Book Antiqua" w:hAnsi="Book Antiqua"/>
          <w:b/>
          <w:bCs/>
        </w:rPr>
        <w:t>Ghandehari S</w:t>
      </w:r>
      <w:r w:rsidRPr="00E12667">
        <w:rPr>
          <w:rFonts w:ascii="Book Antiqua" w:hAnsi="Book Antiqua"/>
        </w:rPr>
        <w:t xml:space="preserve">, Matusov Y, Pepkowitz S, Stein D, Kaderi T, Narayanan D, Hwang J, Chang S, Goodman R, Ghandehari H, Mirocha J, Bresee C, Tapson V, Lewis M. Progesterone in Addition to Standard of Care vs Standard of Care Alone in the Treatment of Men Hospitalized With Moderate to Severe COVID-19: A Randomized, Controlled Pilot Trial. </w:t>
      </w:r>
      <w:r w:rsidRPr="00E12667">
        <w:rPr>
          <w:rFonts w:ascii="Book Antiqua" w:hAnsi="Book Antiqua"/>
          <w:i/>
          <w:iCs/>
        </w:rPr>
        <w:t>Chest</w:t>
      </w:r>
      <w:r w:rsidRPr="00E12667">
        <w:rPr>
          <w:rFonts w:ascii="Book Antiqua" w:hAnsi="Book Antiqua"/>
        </w:rPr>
        <w:t xml:space="preserve"> 2021; </w:t>
      </w:r>
      <w:r w:rsidRPr="00E12667">
        <w:rPr>
          <w:rFonts w:ascii="Book Antiqua" w:hAnsi="Book Antiqua"/>
          <w:b/>
          <w:bCs/>
        </w:rPr>
        <w:t>160</w:t>
      </w:r>
      <w:r w:rsidRPr="00E12667">
        <w:rPr>
          <w:rFonts w:ascii="Book Antiqua" w:hAnsi="Book Antiqua"/>
        </w:rPr>
        <w:t>: 74-84 [PMID: 33621601 DOI: 10.1016/j.chest.2021.02.024]</w:t>
      </w:r>
    </w:p>
    <w:p w14:paraId="3144DF2C"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37 </w:t>
      </w:r>
      <w:r w:rsidRPr="00E12667">
        <w:rPr>
          <w:rFonts w:ascii="Book Antiqua" w:hAnsi="Book Antiqua"/>
          <w:b/>
          <w:bCs/>
        </w:rPr>
        <w:t>Youn JY</w:t>
      </w:r>
      <w:r w:rsidRPr="00E12667">
        <w:rPr>
          <w:rFonts w:ascii="Book Antiqua" w:hAnsi="Book Antiqua"/>
        </w:rPr>
        <w:t xml:space="preserve">, Zhang Y, Wu Y, Cannesson M, Cai H. Therapeutic application of estrogen for COVID-19: Attenuation of SARS-CoV-2 spike protein and IL-6 stimulated, ACE2-dependent NOX2 activation, ROS production and MCP-1 upregulation in endothelial cells. </w:t>
      </w:r>
      <w:r w:rsidRPr="00E12667">
        <w:rPr>
          <w:rFonts w:ascii="Book Antiqua" w:hAnsi="Book Antiqua"/>
          <w:i/>
          <w:iCs/>
        </w:rPr>
        <w:t>Redox Biol</w:t>
      </w:r>
      <w:r w:rsidRPr="00E12667">
        <w:rPr>
          <w:rFonts w:ascii="Book Antiqua" w:hAnsi="Book Antiqua"/>
        </w:rPr>
        <w:t xml:space="preserve"> 2021; </w:t>
      </w:r>
      <w:r w:rsidRPr="00E12667">
        <w:rPr>
          <w:rFonts w:ascii="Book Antiqua" w:hAnsi="Book Antiqua"/>
          <w:b/>
          <w:bCs/>
        </w:rPr>
        <w:t>46</w:t>
      </w:r>
      <w:r w:rsidRPr="00E12667">
        <w:rPr>
          <w:rFonts w:ascii="Book Antiqua" w:hAnsi="Book Antiqua"/>
        </w:rPr>
        <w:t>: 102099 [PMID: 34509916 DOI: 10.1016/j.redox.2021.102099]</w:t>
      </w:r>
    </w:p>
    <w:p w14:paraId="3A325BF3"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38 </w:t>
      </w:r>
      <w:r w:rsidRPr="00E12667">
        <w:rPr>
          <w:rFonts w:ascii="Book Antiqua" w:hAnsi="Book Antiqua"/>
          <w:b/>
          <w:bCs/>
        </w:rPr>
        <w:t>Masterson JM</w:t>
      </w:r>
      <w:r w:rsidRPr="00E12667">
        <w:rPr>
          <w:rFonts w:ascii="Book Antiqua" w:hAnsi="Book Antiqua"/>
        </w:rPr>
        <w:t xml:space="preserve">, Bui C, Zhang Y, Yuan X, Huynh C, Jawanda H, Hasan W, Tourtellotte W, Luthringer D, Garcia MM. Feminising hormone therapy reduces testicular ACE-2 receptor expression: Implications for treatment or prevention of COVID-19 infection in men. </w:t>
      </w:r>
      <w:r w:rsidRPr="00E12667">
        <w:rPr>
          <w:rFonts w:ascii="Book Antiqua" w:hAnsi="Book Antiqua"/>
          <w:i/>
          <w:iCs/>
        </w:rPr>
        <w:t>Andrologia</w:t>
      </w:r>
      <w:r w:rsidRPr="00E12667">
        <w:rPr>
          <w:rFonts w:ascii="Book Antiqua" w:hAnsi="Book Antiqua"/>
        </w:rPr>
        <w:t xml:space="preserve"> 2021; </w:t>
      </w:r>
      <w:r w:rsidRPr="00E12667">
        <w:rPr>
          <w:rFonts w:ascii="Book Antiqua" w:hAnsi="Book Antiqua"/>
          <w:b/>
          <w:bCs/>
        </w:rPr>
        <w:t>53</w:t>
      </w:r>
      <w:r w:rsidRPr="00E12667">
        <w:rPr>
          <w:rFonts w:ascii="Book Antiqua" w:hAnsi="Book Antiqua"/>
        </w:rPr>
        <w:t>: e14186 [PMID: 34514615 DOI: 10.1111/and.14186]</w:t>
      </w:r>
    </w:p>
    <w:p w14:paraId="38FE3F43"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39 </w:t>
      </w:r>
      <w:r w:rsidRPr="00E12667">
        <w:rPr>
          <w:rFonts w:ascii="Book Antiqua" w:hAnsi="Book Antiqua"/>
          <w:b/>
          <w:bCs/>
        </w:rPr>
        <w:t>Dunlap JE</w:t>
      </w:r>
      <w:r w:rsidRPr="00E12667">
        <w:rPr>
          <w:rFonts w:ascii="Book Antiqua" w:hAnsi="Book Antiqua"/>
        </w:rPr>
        <w:t xml:space="preserve">. Implants: should you? </w:t>
      </w:r>
      <w:r w:rsidRPr="00E12667">
        <w:rPr>
          <w:rFonts w:ascii="Book Antiqua" w:hAnsi="Book Antiqua"/>
          <w:i/>
          <w:iCs/>
        </w:rPr>
        <w:t>Dent Econ</w:t>
      </w:r>
      <w:r w:rsidRPr="00E12667">
        <w:rPr>
          <w:rFonts w:ascii="Book Antiqua" w:hAnsi="Book Antiqua"/>
        </w:rPr>
        <w:t xml:space="preserve"> 1990; </w:t>
      </w:r>
      <w:r w:rsidRPr="00E12667">
        <w:rPr>
          <w:rFonts w:ascii="Book Antiqua" w:hAnsi="Book Antiqua"/>
          <w:b/>
          <w:bCs/>
        </w:rPr>
        <w:t>80</w:t>
      </w:r>
      <w:r w:rsidRPr="00E12667">
        <w:rPr>
          <w:rFonts w:ascii="Book Antiqua" w:hAnsi="Book Antiqua"/>
        </w:rPr>
        <w:t>: 53-54, 56-59 [PMID: 2387456]</w:t>
      </w:r>
    </w:p>
    <w:p w14:paraId="0CCDB9D8"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40 </w:t>
      </w:r>
      <w:r w:rsidRPr="00E12667">
        <w:rPr>
          <w:rFonts w:ascii="Book Antiqua" w:hAnsi="Book Antiqua"/>
          <w:b/>
          <w:bCs/>
        </w:rPr>
        <w:t>Klein EA</w:t>
      </w:r>
      <w:r w:rsidRPr="00E12667">
        <w:rPr>
          <w:rFonts w:ascii="Book Antiqua" w:hAnsi="Book Antiqua"/>
        </w:rPr>
        <w:t xml:space="preserve">, Li J, Milinovich A, Schold JD, Sharifi N, Kattan MW, Jehi L. Androgen Deprivation Therapy in Men with Prostate Cancer Does Not Affect Risk of Infection with SARS-CoV-2. </w:t>
      </w:r>
      <w:r w:rsidRPr="00E12667">
        <w:rPr>
          <w:rFonts w:ascii="Book Antiqua" w:hAnsi="Book Antiqua"/>
          <w:i/>
          <w:iCs/>
        </w:rPr>
        <w:t>J Urol</w:t>
      </w:r>
      <w:r w:rsidRPr="00E12667">
        <w:rPr>
          <w:rFonts w:ascii="Book Antiqua" w:hAnsi="Book Antiqua"/>
        </w:rPr>
        <w:t xml:space="preserve"> 2021; </w:t>
      </w:r>
      <w:r w:rsidRPr="00E12667">
        <w:rPr>
          <w:rFonts w:ascii="Book Antiqua" w:hAnsi="Book Antiqua"/>
          <w:b/>
          <w:bCs/>
        </w:rPr>
        <w:t>205</w:t>
      </w:r>
      <w:r w:rsidRPr="00E12667">
        <w:rPr>
          <w:rFonts w:ascii="Book Antiqua" w:hAnsi="Book Antiqua"/>
        </w:rPr>
        <w:t>: 441-443 [PMID: 32897764 DOI: 10.1097/JU.0000000000001338]</w:t>
      </w:r>
    </w:p>
    <w:p w14:paraId="4B5F5867"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41 </w:t>
      </w:r>
      <w:r w:rsidRPr="00E12667">
        <w:rPr>
          <w:rFonts w:ascii="Book Antiqua" w:hAnsi="Book Antiqua"/>
          <w:b/>
          <w:bCs/>
        </w:rPr>
        <w:t>Wozniak RJ</w:t>
      </w:r>
      <w:r w:rsidRPr="00E12667">
        <w:rPr>
          <w:rFonts w:ascii="Book Antiqua" w:hAnsi="Book Antiqua"/>
        </w:rPr>
        <w:t xml:space="preserve">, Nixon DF, Marston JL. Involvement of Cisgender and Transgender Individuals in Studies on the Impact of Hormonal Therapy on COVID-19. </w:t>
      </w:r>
      <w:r w:rsidRPr="00E12667">
        <w:rPr>
          <w:rFonts w:ascii="Book Antiqua" w:hAnsi="Book Antiqua"/>
          <w:i/>
          <w:iCs/>
        </w:rPr>
        <w:t>AIDS Patient Care STDS</w:t>
      </w:r>
      <w:r w:rsidRPr="00E12667">
        <w:rPr>
          <w:rFonts w:ascii="Book Antiqua" w:hAnsi="Book Antiqua"/>
        </w:rPr>
        <w:t xml:space="preserve"> 2020; </w:t>
      </w:r>
      <w:r w:rsidRPr="00E12667">
        <w:rPr>
          <w:rFonts w:ascii="Book Antiqua" w:hAnsi="Book Antiqua"/>
          <w:b/>
          <w:bCs/>
        </w:rPr>
        <w:t>34</w:t>
      </w:r>
      <w:r w:rsidRPr="00E12667">
        <w:rPr>
          <w:rFonts w:ascii="Book Antiqua" w:hAnsi="Book Antiqua"/>
        </w:rPr>
        <w:t>: 367-368 [PMID: 32551880 DOI: 10.1089/apc.2020.0118]</w:t>
      </w:r>
    </w:p>
    <w:p w14:paraId="23CF4574"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42 </w:t>
      </w:r>
      <w:r w:rsidRPr="00E12667">
        <w:rPr>
          <w:rFonts w:ascii="Book Antiqua" w:hAnsi="Book Antiqua"/>
          <w:b/>
          <w:bCs/>
        </w:rPr>
        <w:t>Samuel RM</w:t>
      </w:r>
      <w:r w:rsidRPr="00E12667">
        <w:rPr>
          <w:rFonts w:ascii="Book Antiqua" w:hAnsi="Book Antiqua"/>
        </w:rPr>
        <w:t xml:space="preserve">, Majd H, Richter MN, Ghazizadeh Z, Zekavat SM, Navickas A, Ramirez JT, Asgharian H, Simoneau CR, Bonser LR, Koh KD, Garcia-Knight M, Tassetto M, Sunshine S, Farahvashi S, Kalantari A, Liu W, Andino R, Zhao H, Natarajan P, Erle DJ, </w:t>
      </w:r>
      <w:r w:rsidRPr="00E12667">
        <w:rPr>
          <w:rFonts w:ascii="Book Antiqua" w:hAnsi="Book Antiqua"/>
        </w:rPr>
        <w:lastRenderedPageBreak/>
        <w:t xml:space="preserve">Ott M, Goodarzi H, Fattahi F. Androgen Signaling Regulates SARS-CoV-2 Receptor Levels and Is Associated with Severe COVID-19 Symptoms in Men. </w:t>
      </w:r>
      <w:r w:rsidRPr="00E12667">
        <w:rPr>
          <w:rFonts w:ascii="Book Antiqua" w:hAnsi="Book Antiqua"/>
          <w:i/>
          <w:iCs/>
        </w:rPr>
        <w:t>Cell Stem Cell</w:t>
      </w:r>
      <w:r w:rsidRPr="00E12667">
        <w:rPr>
          <w:rFonts w:ascii="Book Antiqua" w:hAnsi="Book Antiqua"/>
        </w:rPr>
        <w:t xml:space="preserve"> 2020; </w:t>
      </w:r>
      <w:r w:rsidRPr="00E12667">
        <w:rPr>
          <w:rFonts w:ascii="Book Antiqua" w:hAnsi="Book Antiqua"/>
          <w:b/>
          <w:bCs/>
        </w:rPr>
        <w:t>27</w:t>
      </w:r>
      <w:r w:rsidRPr="00E12667">
        <w:rPr>
          <w:rFonts w:ascii="Book Antiqua" w:hAnsi="Book Antiqua"/>
        </w:rPr>
        <w:t>: 876-889.e12 [PMID: 33232663 DOI: 10.1016/j.stem.2020.11.009]</w:t>
      </w:r>
    </w:p>
    <w:p w14:paraId="61A84B68" w14:textId="77777777" w:rsidR="001425ED" w:rsidRPr="00E12667" w:rsidRDefault="001425ED" w:rsidP="00E739A1">
      <w:pPr>
        <w:pStyle w:val="NormalWeb"/>
        <w:spacing w:before="0" w:beforeAutospacing="0" w:after="0" w:afterAutospacing="0" w:line="360" w:lineRule="auto"/>
        <w:jc w:val="both"/>
        <w:rPr>
          <w:rFonts w:ascii="Book Antiqua" w:hAnsi="Book Antiqua"/>
        </w:rPr>
      </w:pPr>
      <w:r w:rsidRPr="00E12667">
        <w:rPr>
          <w:rFonts w:ascii="Book Antiqua" w:hAnsi="Book Antiqua"/>
        </w:rPr>
        <w:t xml:space="preserve">43 </w:t>
      </w:r>
      <w:r w:rsidRPr="00E12667">
        <w:rPr>
          <w:rFonts w:ascii="Book Antiqua" w:hAnsi="Book Antiqua"/>
          <w:b/>
          <w:bCs/>
        </w:rPr>
        <w:t>Lee JH</w:t>
      </w:r>
      <w:r w:rsidRPr="00E12667">
        <w:rPr>
          <w:rFonts w:ascii="Book Antiqua" w:hAnsi="Book Antiqua"/>
        </w:rPr>
        <w:t xml:space="preserve">, Kim YC, Cho SH, Lee J, You SC, Song YG, Won YB, Choi YS, Park YS. Effect of sex hormones on coronavirus disease 2019: an analysis of 5,061 laboratory-confirmed cases in South Korea. </w:t>
      </w:r>
      <w:r w:rsidRPr="00E12667">
        <w:rPr>
          <w:rFonts w:ascii="Book Antiqua" w:hAnsi="Book Antiqua"/>
          <w:i/>
          <w:iCs/>
        </w:rPr>
        <w:t>Menopause</w:t>
      </w:r>
      <w:r w:rsidRPr="00E12667">
        <w:rPr>
          <w:rFonts w:ascii="Book Antiqua" w:hAnsi="Book Antiqua"/>
        </w:rPr>
        <w:t xml:space="preserve"> 2020; </w:t>
      </w:r>
      <w:r w:rsidRPr="00E12667">
        <w:rPr>
          <w:rFonts w:ascii="Book Antiqua" w:hAnsi="Book Antiqua"/>
          <w:b/>
          <w:bCs/>
        </w:rPr>
        <w:t>27</w:t>
      </w:r>
      <w:r w:rsidRPr="00E12667">
        <w:rPr>
          <w:rFonts w:ascii="Book Antiqua" w:hAnsi="Book Antiqua"/>
        </w:rPr>
        <w:t>: 1376-1381 [PMID: 33003134 DOI: 10.1097/GME.0000000000001657]</w:t>
      </w:r>
    </w:p>
    <w:p w14:paraId="1061AD93" w14:textId="77777777" w:rsidR="00E40614" w:rsidRDefault="00E40614" w:rsidP="000A5039">
      <w:pPr>
        <w:jc w:val="both"/>
        <w:rPr>
          <w:rFonts w:ascii="Book Antiqua" w:hAnsi="Book Antiqua"/>
        </w:rPr>
      </w:pPr>
      <w:r>
        <w:rPr>
          <w:rFonts w:ascii="Book Antiqua" w:hAnsi="Book Antiqua"/>
        </w:rPr>
        <w:br w:type="page"/>
      </w:r>
    </w:p>
    <w:p w14:paraId="0E4C9D3F" w14:textId="77777777" w:rsidR="00E40614" w:rsidRDefault="00E40614" w:rsidP="00E739A1">
      <w:pPr>
        <w:spacing w:line="360" w:lineRule="auto"/>
        <w:jc w:val="both"/>
      </w:pPr>
      <w:r>
        <w:rPr>
          <w:rFonts w:ascii="Book Antiqua" w:eastAsia="Book Antiqua" w:hAnsi="Book Antiqua" w:cs="Book Antiqua"/>
          <w:b/>
          <w:color w:val="000000"/>
        </w:rPr>
        <w:lastRenderedPageBreak/>
        <w:t>Footnotes</w:t>
      </w:r>
    </w:p>
    <w:p w14:paraId="2C39403F" w14:textId="2AB0B592" w:rsidR="00A77B3E" w:rsidRDefault="000C73F3" w:rsidP="00E739A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w:t>
      </w:r>
      <w:r w:rsidR="003A2F7B">
        <w:rPr>
          <w:rFonts w:ascii="Book Antiqua" w:eastAsia="Book Antiqua" w:hAnsi="Book Antiqua" w:cs="Book Antiqua"/>
          <w:color w:val="000000"/>
        </w:rPr>
        <w:t>ing</w:t>
      </w:r>
      <w:r>
        <w:rPr>
          <w:rFonts w:ascii="Book Antiqua" w:eastAsia="Book Antiqua" w:hAnsi="Book Antiqua" w:cs="Book Antiqua"/>
          <w:color w:val="000000"/>
        </w:rPr>
        <w:t xml:space="preserve"> interest</w:t>
      </w:r>
      <w:r w:rsidR="003A2F7B">
        <w:rPr>
          <w:rFonts w:ascii="Book Antiqua" w:eastAsia="Book Antiqua" w:hAnsi="Book Antiqua" w:cs="Book Antiqua"/>
          <w:color w:val="000000"/>
        </w:rPr>
        <w:t>s</w:t>
      </w:r>
      <w:r>
        <w:rPr>
          <w:rFonts w:ascii="Book Antiqua" w:eastAsia="Book Antiqua" w:hAnsi="Book Antiqua" w:cs="Book Antiqua"/>
          <w:color w:val="000000"/>
        </w:rPr>
        <w:t>.</w:t>
      </w:r>
    </w:p>
    <w:p w14:paraId="2B6279DE" w14:textId="77777777" w:rsidR="00E40614" w:rsidRDefault="00E40614" w:rsidP="00E739A1">
      <w:pPr>
        <w:spacing w:line="360" w:lineRule="auto"/>
        <w:jc w:val="both"/>
      </w:pPr>
    </w:p>
    <w:p w14:paraId="7BEA1056" w14:textId="77777777" w:rsidR="00A77B3E" w:rsidRDefault="000C73F3" w:rsidP="00E739A1">
      <w:pPr>
        <w:spacing w:line="360" w:lineRule="auto"/>
        <w:jc w:val="both"/>
      </w:pPr>
      <w:r>
        <w:rPr>
          <w:rFonts w:ascii="Book Antiqua" w:eastAsia="Book Antiqua" w:hAnsi="Book Antiqua" w:cs="Book Antiqua"/>
          <w:b/>
          <w:bCs/>
          <w:color w:val="000000"/>
        </w:rPr>
        <w:t>PRISMA 2009 Checklist statement:</w:t>
      </w:r>
      <w:r>
        <w:rPr>
          <w:rFonts w:ascii="Book Antiqua" w:eastAsia="Book Antiqua" w:hAnsi="Book Antiqua" w:cs="Book Antiqua"/>
          <w:color w:val="000000"/>
        </w:rPr>
        <w:t xml:space="preserve"> The authors have read the PRISMA 2009 Checklist, and the manuscript was prepared and revised according to the PRISMA 2009 Checklist.</w:t>
      </w:r>
    </w:p>
    <w:p w14:paraId="5D81B983" w14:textId="77777777" w:rsidR="00A77B3E" w:rsidRDefault="00A77B3E" w:rsidP="00E739A1">
      <w:pPr>
        <w:spacing w:line="360" w:lineRule="auto"/>
        <w:jc w:val="both"/>
      </w:pPr>
    </w:p>
    <w:p w14:paraId="54B6C39C" w14:textId="77777777" w:rsidR="00A14B2F" w:rsidRDefault="00A14B2F" w:rsidP="00E739A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7B1C88" w14:textId="77777777" w:rsidR="00A14B2F" w:rsidRDefault="00A14B2F" w:rsidP="00E739A1">
      <w:pPr>
        <w:spacing w:line="360" w:lineRule="auto"/>
        <w:jc w:val="both"/>
      </w:pPr>
    </w:p>
    <w:p w14:paraId="48022D40" w14:textId="77777777" w:rsidR="00A14B2F" w:rsidRDefault="00A14B2F" w:rsidP="00E739A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68ED1A9" w14:textId="77777777" w:rsidR="00A14B2F" w:rsidRDefault="00A14B2F" w:rsidP="00E739A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0E0FF9" w14:textId="77777777" w:rsidR="00A14B2F" w:rsidRDefault="00A14B2F" w:rsidP="00E739A1">
      <w:pPr>
        <w:spacing w:line="360" w:lineRule="auto"/>
        <w:jc w:val="both"/>
      </w:pPr>
    </w:p>
    <w:p w14:paraId="36877330" w14:textId="77777777" w:rsidR="00A14B2F" w:rsidRDefault="00A14B2F" w:rsidP="00E739A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11, 2022</w:t>
      </w:r>
    </w:p>
    <w:p w14:paraId="055AC6F8" w14:textId="77777777" w:rsidR="00A14B2F" w:rsidRDefault="00A14B2F" w:rsidP="00E739A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2022</w:t>
      </w:r>
    </w:p>
    <w:p w14:paraId="068FC0A2" w14:textId="583261F4" w:rsidR="00A14B2F" w:rsidRDefault="00A14B2F" w:rsidP="00E739A1">
      <w:pPr>
        <w:spacing w:line="360" w:lineRule="auto"/>
        <w:jc w:val="both"/>
      </w:pPr>
      <w:r>
        <w:rPr>
          <w:rFonts w:ascii="Book Antiqua" w:eastAsia="Book Antiqua" w:hAnsi="Book Antiqua" w:cs="Book Antiqua"/>
          <w:b/>
          <w:color w:val="000000"/>
        </w:rPr>
        <w:t>Article in press:</w:t>
      </w:r>
    </w:p>
    <w:p w14:paraId="53DDC497" w14:textId="77777777" w:rsidR="00A14B2F" w:rsidRDefault="00A14B2F" w:rsidP="00E739A1">
      <w:pPr>
        <w:spacing w:line="360" w:lineRule="auto"/>
        <w:jc w:val="both"/>
      </w:pPr>
    </w:p>
    <w:p w14:paraId="7DCBC877" w14:textId="77777777" w:rsidR="00A14B2F" w:rsidRDefault="00A14B2F" w:rsidP="00E739A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DD687DA" w14:textId="77777777" w:rsidR="00A14B2F" w:rsidRDefault="00A14B2F" w:rsidP="00E739A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A266B2B" w14:textId="77777777" w:rsidR="00A14B2F" w:rsidRDefault="00A14B2F" w:rsidP="00E739A1">
      <w:pPr>
        <w:spacing w:line="360" w:lineRule="auto"/>
        <w:jc w:val="both"/>
      </w:pPr>
      <w:r>
        <w:rPr>
          <w:rFonts w:ascii="Book Antiqua" w:eastAsia="Book Antiqua" w:hAnsi="Book Antiqua" w:cs="Book Antiqua"/>
          <w:b/>
          <w:color w:val="000000"/>
        </w:rPr>
        <w:t>Peer-review report’s scientific quality classification</w:t>
      </w:r>
    </w:p>
    <w:p w14:paraId="2EEA3A92" w14:textId="77777777" w:rsidR="00A14B2F" w:rsidRDefault="00A14B2F" w:rsidP="00E739A1">
      <w:pPr>
        <w:spacing w:line="360" w:lineRule="auto"/>
        <w:jc w:val="both"/>
      </w:pPr>
      <w:r>
        <w:rPr>
          <w:rFonts w:ascii="Book Antiqua" w:eastAsia="Book Antiqua" w:hAnsi="Book Antiqua" w:cs="Book Antiqua"/>
          <w:color w:val="000000"/>
        </w:rPr>
        <w:t>Grade A (Excellent): A</w:t>
      </w:r>
    </w:p>
    <w:p w14:paraId="6AD5C6E2" w14:textId="77777777" w:rsidR="00A14B2F" w:rsidRDefault="00A14B2F" w:rsidP="00E739A1">
      <w:pPr>
        <w:spacing w:line="360" w:lineRule="auto"/>
        <w:jc w:val="both"/>
      </w:pPr>
      <w:r>
        <w:rPr>
          <w:rFonts w:ascii="Book Antiqua" w:eastAsia="Book Antiqua" w:hAnsi="Book Antiqua" w:cs="Book Antiqua"/>
          <w:color w:val="000000"/>
        </w:rPr>
        <w:t>Grade B (Very good): B</w:t>
      </w:r>
    </w:p>
    <w:p w14:paraId="263BAFC2" w14:textId="77777777" w:rsidR="00A14B2F" w:rsidRDefault="00A14B2F" w:rsidP="00E739A1">
      <w:pPr>
        <w:spacing w:line="360" w:lineRule="auto"/>
        <w:jc w:val="both"/>
      </w:pPr>
      <w:r>
        <w:rPr>
          <w:rFonts w:ascii="Book Antiqua" w:eastAsia="Book Antiqua" w:hAnsi="Book Antiqua" w:cs="Book Antiqua"/>
          <w:color w:val="000000"/>
        </w:rPr>
        <w:t>Grade C (Good): 0</w:t>
      </w:r>
    </w:p>
    <w:p w14:paraId="5AD26F6E" w14:textId="77777777" w:rsidR="00A14B2F" w:rsidRDefault="00A14B2F" w:rsidP="00E739A1">
      <w:pPr>
        <w:spacing w:line="360" w:lineRule="auto"/>
        <w:jc w:val="both"/>
      </w:pPr>
      <w:r>
        <w:rPr>
          <w:rFonts w:ascii="Book Antiqua" w:eastAsia="Book Antiqua" w:hAnsi="Book Antiqua" w:cs="Book Antiqua"/>
          <w:color w:val="000000"/>
        </w:rPr>
        <w:t>Grade D (Fair): 0</w:t>
      </w:r>
    </w:p>
    <w:p w14:paraId="5609B384" w14:textId="77777777" w:rsidR="00A14B2F" w:rsidRDefault="00A14B2F" w:rsidP="00E739A1">
      <w:pPr>
        <w:spacing w:line="360" w:lineRule="auto"/>
        <w:jc w:val="both"/>
      </w:pPr>
      <w:r>
        <w:rPr>
          <w:rFonts w:ascii="Book Antiqua" w:eastAsia="Book Antiqua" w:hAnsi="Book Antiqua" w:cs="Book Antiqua"/>
          <w:color w:val="000000"/>
        </w:rPr>
        <w:t>Grade E (Poor): 0</w:t>
      </w:r>
    </w:p>
    <w:p w14:paraId="4D389FA7" w14:textId="77777777" w:rsidR="00A14B2F" w:rsidRDefault="00A14B2F" w:rsidP="00E739A1">
      <w:pPr>
        <w:spacing w:line="360" w:lineRule="auto"/>
        <w:jc w:val="both"/>
      </w:pPr>
    </w:p>
    <w:p w14:paraId="10519533" w14:textId="009FE2B9" w:rsidR="00A77B3E" w:rsidRDefault="00A14B2F" w:rsidP="00E739A1">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Chavan RP, India; El Sayed S, Egypt</w:t>
      </w:r>
      <w:r>
        <w:rPr>
          <w:rFonts w:ascii="Book Antiqua" w:eastAsia="Book Antiqua" w:hAnsi="Book Antiqua" w:cs="Book Antiqua"/>
          <w:b/>
          <w:color w:val="000000"/>
        </w:rPr>
        <w:t xml:space="preserve"> S-Editor: </w:t>
      </w:r>
      <w:r w:rsidR="00375E48" w:rsidRPr="00375E48">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876AD1">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375E48" w:rsidRPr="00375E48">
        <w:rPr>
          <w:rFonts w:ascii="Book Antiqua" w:eastAsia="Book Antiqua" w:hAnsi="Book Antiqua" w:cs="Book Antiqua"/>
          <w:bCs/>
          <w:color w:val="000000"/>
        </w:rPr>
        <w:t xml:space="preserve"> Ma YJ</w:t>
      </w:r>
    </w:p>
    <w:p w14:paraId="24D57C9A" w14:textId="77777777" w:rsidR="00CC2AF1" w:rsidRDefault="00CC2AF1" w:rsidP="000A5039">
      <w:pPr>
        <w:jc w:val="both"/>
      </w:pPr>
      <w:r>
        <w:br w:type="page"/>
      </w:r>
    </w:p>
    <w:p w14:paraId="2D19E6D4" w14:textId="10C972AE" w:rsidR="00A77B3E" w:rsidRDefault="00CC2AF1" w:rsidP="00E739A1">
      <w:pPr>
        <w:spacing w:line="360" w:lineRule="auto"/>
        <w:jc w:val="both"/>
        <w:rPr>
          <w:rFonts w:ascii="Book Antiqua" w:hAnsi="Book Antiqua"/>
          <w:b/>
          <w:bCs/>
          <w:lang w:eastAsia="zh-CN"/>
        </w:rPr>
      </w:pPr>
      <w:r w:rsidRPr="00CC2AF1">
        <w:rPr>
          <w:rFonts w:ascii="Book Antiqua" w:hAnsi="Book Antiqua"/>
          <w:b/>
          <w:bCs/>
          <w:lang w:eastAsia="zh-CN"/>
        </w:rPr>
        <w:lastRenderedPageBreak/>
        <w:t>Figure Legend</w:t>
      </w:r>
    </w:p>
    <w:p w14:paraId="55B92669" w14:textId="77777777" w:rsidR="00CC2AF1" w:rsidRPr="00CC2AF1" w:rsidRDefault="00432598" w:rsidP="00E739A1">
      <w:pPr>
        <w:spacing w:line="360" w:lineRule="auto"/>
        <w:jc w:val="both"/>
        <w:rPr>
          <w:rFonts w:ascii="Book Antiqua" w:hAnsi="Book Antiqua"/>
          <w:b/>
          <w:bCs/>
          <w:lang w:eastAsia="zh-CN"/>
        </w:rPr>
      </w:pPr>
      <w:r>
        <w:rPr>
          <w:noProof/>
        </w:rPr>
        <w:drawing>
          <wp:inline distT="0" distB="0" distL="0" distR="0" wp14:anchorId="02CBE828" wp14:editId="6395FF40">
            <wp:extent cx="4838700" cy="420438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9953" cy="4205472"/>
                    </a:xfrm>
                    <a:prstGeom prst="rect">
                      <a:avLst/>
                    </a:prstGeom>
                    <a:noFill/>
                    <a:ln>
                      <a:noFill/>
                    </a:ln>
                  </pic:spPr>
                </pic:pic>
              </a:graphicData>
            </a:graphic>
          </wp:inline>
        </w:drawing>
      </w:r>
    </w:p>
    <w:p w14:paraId="3B036A5A" w14:textId="309F19F9" w:rsidR="00A77B3E" w:rsidRDefault="000C73F3" w:rsidP="00E739A1">
      <w:pPr>
        <w:spacing w:line="360" w:lineRule="auto"/>
        <w:jc w:val="both"/>
      </w:pPr>
      <w:r>
        <w:rPr>
          <w:rFonts w:ascii="Book Antiqua" w:eastAsia="Book Antiqua" w:hAnsi="Book Antiqua" w:cs="Book Antiqua"/>
          <w:b/>
          <w:bCs/>
          <w:color w:val="000000"/>
          <w:szCs w:val="22"/>
        </w:rPr>
        <w:t>Figure 1</w:t>
      </w:r>
      <w:r w:rsidR="00623D81">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Search strategy for our systematic review to find published </w:t>
      </w:r>
      <w:r w:rsidR="00E7444B">
        <w:rPr>
          <w:rFonts w:ascii="Book Antiqua" w:eastAsia="Book Antiqua" w:hAnsi="Book Antiqua" w:cs="Book Antiqua"/>
          <w:b/>
          <w:bCs/>
          <w:color w:val="000000"/>
          <w:szCs w:val="22"/>
        </w:rPr>
        <w:t xml:space="preserve">studies in </w:t>
      </w:r>
      <w:r>
        <w:rPr>
          <w:rFonts w:ascii="Book Antiqua" w:eastAsia="Book Antiqua" w:hAnsi="Book Antiqua" w:cs="Book Antiqua"/>
          <w:b/>
          <w:bCs/>
          <w:color w:val="000000"/>
          <w:szCs w:val="22"/>
        </w:rPr>
        <w:t>medical literature describing the impact of COVID-19 infections on gender-affirming hormone therapy.</w:t>
      </w:r>
    </w:p>
    <w:p w14:paraId="0D13E13B" w14:textId="77777777" w:rsidR="00450E01" w:rsidRDefault="00450E01" w:rsidP="000A5039">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4EB44270" w14:textId="77777777" w:rsidR="0043602C" w:rsidRPr="00A5307F" w:rsidRDefault="0043602C" w:rsidP="00E739A1">
      <w:pPr>
        <w:spacing w:line="360" w:lineRule="auto"/>
        <w:jc w:val="both"/>
        <w:rPr>
          <w:rFonts w:ascii="Book Antiqua" w:hAnsi="Book Antiqua"/>
          <w:b/>
          <w:bCs/>
        </w:rPr>
      </w:pPr>
      <w:r w:rsidRPr="00A5307F">
        <w:rPr>
          <w:rFonts w:ascii="Book Antiqua" w:hAnsi="Book Antiqua"/>
          <w:b/>
          <w:bCs/>
        </w:rPr>
        <w:lastRenderedPageBreak/>
        <w:t>Table 1 Laboratory studies</w:t>
      </w:r>
    </w:p>
    <w:tbl>
      <w:tblPr>
        <w:tblStyle w:val="21"/>
        <w:tblW w:w="9540" w:type="dxa"/>
        <w:tblBorders>
          <w:top w:val="single" w:sz="4" w:space="0" w:color="auto"/>
          <w:bottom w:val="single" w:sz="4" w:space="0" w:color="auto"/>
        </w:tblBorders>
        <w:tblLook w:val="04A0" w:firstRow="1" w:lastRow="0" w:firstColumn="1" w:lastColumn="0" w:noHBand="0" w:noVBand="1"/>
      </w:tblPr>
      <w:tblGrid>
        <w:gridCol w:w="1808"/>
        <w:gridCol w:w="1916"/>
        <w:gridCol w:w="5816"/>
      </w:tblGrid>
      <w:tr w:rsidR="0043602C" w:rsidRPr="00A5307F" w14:paraId="5034590F" w14:textId="77777777" w:rsidTr="000A5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7465B0C1" w14:textId="62B42B07" w:rsidR="0043602C" w:rsidRPr="00A5307F" w:rsidRDefault="0043602C" w:rsidP="000A5039">
            <w:pPr>
              <w:spacing w:line="360" w:lineRule="auto"/>
              <w:jc w:val="both"/>
              <w:rPr>
                <w:rFonts w:ascii="Book Antiqua" w:hAnsi="Book Antiqua" w:cs="Times New Roman"/>
              </w:rPr>
            </w:pPr>
            <w:r w:rsidRPr="00A5307F">
              <w:rPr>
                <w:rFonts w:ascii="Book Antiqua" w:hAnsi="Book Antiqua" w:cs="Times New Roman"/>
              </w:rPr>
              <w:t xml:space="preserve">Reference </w:t>
            </w:r>
            <w:r w:rsidR="00E7444B">
              <w:rPr>
                <w:rFonts w:ascii="Book Antiqua" w:hAnsi="Book Antiqua" w:cs="Times New Roman"/>
              </w:rPr>
              <w:t>and</w:t>
            </w:r>
            <w:r w:rsidR="00E7444B" w:rsidRPr="00A5307F">
              <w:rPr>
                <w:rFonts w:ascii="Book Antiqua" w:hAnsi="Book Antiqua" w:cs="Times New Roman"/>
              </w:rPr>
              <w:t xml:space="preserve"> </w:t>
            </w:r>
            <w:r w:rsidRPr="00A5307F">
              <w:rPr>
                <w:rFonts w:ascii="Book Antiqua" w:hAnsi="Book Antiqua" w:cs="Times New Roman"/>
              </w:rPr>
              <w:t>study type</w:t>
            </w:r>
          </w:p>
        </w:tc>
        <w:tc>
          <w:tcPr>
            <w:tcW w:w="0" w:type="dxa"/>
            <w:tcBorders>
              <w:top w:val="single" w:sz="4" w:space="0" w:color="auto"/>
              <w:bottom w:val="single" w:sz="4" w:space="0" w:color="auto"/>
            </w:tcBorders>
          </w:tcPr>
          <w:p w14:paraId="7C3AD5CB" w14:textId="77777777" w:rsidR="0043602C" w:rsidRPr="00A5307F" w:rsidRDefault="0043602C"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Focus</w:t>
            </w:r>
          </w:p>
        </w:tc>
        <w:tc>
          <w:tcPr>
            <w:tcW w:w="4647" w:type="dxa"/>
            <w:tcBorders>
              <w:top w:val="single" w:sz="4" w:space="0" w:color="auto"/>
              <w:bottom w:val="single" w:sz="4" w:space="0" w:color="auto"/>
            </w:tcBorders>
          </w:tcPr>
          <w:p w14:paraId="7828CC59" w14:textId="77777777" w:rsidR="0043602C" w:rsidRPr="00A5307F" w:rsidRDefault="0043602C"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Results</w:t>
            </w:r>
          </w:p>
        </w:tc>
      </w:tr>
      <w:tr w:rsidR="0043602C" w:rsidRPr="00A5307F" w14:paraId="58894D4B" w14:textId="77777777" w:rsidTr="000A503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one" w:sz="0" w:space="0" w:color="auto"/>
            </w:tcBorders>
          </w:tcPr>
          <w:p w14:paraId="03496F7E" w14:textId="34E38B44" w:rsidR="0043602C" w:rsidRPr="00A5307F" w:rsidRDefault="0043602C"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Youn</w:t>
            </w:r>
            <w:r w:rsidR="00021694">
              <w:rPr>
                <w:rFonts w:ascii="Book Antiqua" w:hAnsi="Book Antiqua" w:cs="Times New Roman"/>
                <w:b w:val="0"/>
                <w:bCs w:val="0"/>
              </w:rPr>
              <w:t xml:space="preserv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[37]</w:t>
            </w:r>
            <w:r w:rsidR="00580D3A">
              <w:rPr>
                <w:rFonts w:ascii="Book Antiqua" w:hAnsi="Book Antiqua" w:cs="Times New Roman"/>
                <w:b w:val="0"/>
                <w:bCs w:val="0"/>
              </w:rPr>
              <w:t xml:space="preserve">, </w:t>
            </w:r>
            <w:r w:rsidR="007C62BC" w:rsidRPr="00A5307F">
              <w:rPr>
                <w:rFonts w:ascii="Book Antiqua" w:hAnsi="Book Antiqua"/>
              </w:rPr>
              <w:fldChar w:fldCharType="begin">
                <w:fldData xml:space="preserve">PEVuZE5vdGU+PENpdGUgSGlkZGVuPSIxIj48QXV0aG9yPllvdW48L0F1dGhvcj48WWVhcj4yMDIx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</w:fldData>
              </w:fldChar>
            </w:r>
            <w:r w:rsidRPr="00A5307F">
              <w:rPr>
                <w:rFonts w:ascii="Book Antiqua" w:hAnsi="Book Antiqua" w:cs="Times New Roman"/>
                <w:b w:val="0"/>
                <w:bCs w:val="0"/>
              </w:rPr>
              <w:instrText xml:space="preserve"> ADDIN EN.CITE </w:instrText>
            </w:r>
            <w:r w:rsidR="007C62BC" w:rsidRPr="00A5307F">
              <w:rPr>
                <w:rFonts w:ascii="Book Antiqua" w:hAnsi="Book Antiqua"/>
              </w:rPr>
              <w:fldChar w:fldCharType="begin">
                <w:fldData xml:space="preserve">PEVuZE5vdGU+PENpdGUgSGlkZGVuPSIxIj48QXV0aG9yPllvdW48L0F1dGhvcj48WWVhcj4yMDIx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</w:fldData>
              </w:fldChar>
            </w:r>
            <w:r w:rsidRPr="00A5307F">
              <w:rPr>
                <w:rFonts w:ascii="Book Antiqua" w:hAnsi="Book Antiqua" w:cs="Times New Roman"/>
                <w:b w:val="0"/>
                <w:bCs w:val="0"/>
              </w:rPr>
              <w:instrText xml:space="preserve"> ADDIN EN.CITE.DATA </w:instrText>
            </w:r>
            <w:r w:rsidR="007C62BC" w:rsidRPr="00A5307F">
              <w:rPr>
                <w:rFonts w:ascii="Book Antiqua" w:hAnsi="Book Antiqua"/>
              </w:rPr>
            </w:r>
            <w:r w:rsidR="007C62BC" w:rsidRPr="00A5307F">
              <w:rPr>
                <w:rFonts w:ascii="Book Antiqua" w:hAnsi="Book Antiqua"/>
              </w:rPr>
              <w:fldChar w:fldCharType="end"/>
            </w:r>
            <w:r w:rsidR="007C62BC" w:rsidRPr="00A5307F">
              <w:rPr>
                <w:rFonts w:ascii="Book Antiqua" w:hAnsi="Book Antiqua"/>
              </w:rPr>
            </w:r>
            <w:r w:rsidR="007C62BC" w:rsidRPr="00A5307F">
              <w:rPr>
                <w:rFonts w:ascii="Book Antiqua" w:hAnsi="Book Antiqua"/>
              </w:rPr>
              <w:fldChar w:fldCharType="end"/>
            </w:r>
            <w:r w:rsidRPr="00A5307F">
              <w:rPr>
                <w:rFonts w:ascii="Book Antiqua" w:hAnsi="Book Antiqua" w:cs="Times New Roman"/>
                <w:b w:val="0"/>
                <w:bCs w:val="0"/>
                <w:i/>
                <w:iCs/>
              </w:rPr>
              <w:t>In</w:t>
            </w:r>
            <w:r w:rsidR="00E739A1">
              <w:rPr>
                <w:rFonts w:ascii="Book Antiqua" w:hAnsi="Book Antiqua" w:cs="Times New Roman"/>
                <w:b w:val="0"/>
                <w:bCs w:val="0"/>
                <w:i/>
                <w:iCs/>
              </w:rPr>
              <w:t xml:space="preserve"> </w:t>
            </w:r>
            <w:r w:rsidRPr="00A5307F">
              <w:rPr>
                <w:rFonts w:ascii="Book Antiqua" w:hAnsi="Book Antiqua" w:cs="Times New Roman"/>
                <w:b w:val="0"/>
                <w:bCs w:val="0"/>
                <w:i/>
                <w:iCs/>
              </w:rPr>
              <w:t>vitro</w:t>
            </w:r>
            <w:r w:rsidRPr="00A5307F">
              <w:rPr>
                <w:rFonts w:ascii="Book Antiqua" w:hAnsi="Book Antiqua" w:cs="Times New Roman"/>
                <w:b w:val="0"/>
                <w:bCs w:val="0"/>
              </w:rPr>
              <w:t xml:space="preserve"> cell line treatment</w:t>
            </w:r>
          </w:p>
        </w:tc>
        <w:tc>
          <w:tcPr>
            <w:tcW w:w="0" w:type="dxa"/>
            <w:tcBorders>
              <w:top w:val="single" w:sz="4" w:space="0" w:color="auto"/>
              <w:bottom w:val="none" w:sz="0" w:space="0" w:color="auto"/>
            </w:tcBorders>
          </w:tcPr>
          <w:p w14:paraId="3346DC7D"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Investigated potential protective effects of estrogen on endothelial cells against oxidative stress induced by IL-6 and by SARS-COV-2 spike protein (S protein)</w:t>
            </w:r>
          </w:p>
        </w:tc>
        <w:tc>
          <w:tcPr>
            <w:tcW w:w="4647" w:type="dxa"/>
            <w:tcBorders>
              <w:top w:val="single" w:sz="4" w:space="0" w:color="auto"/>
              <w:bottom w:val="none" w:sz="0" w:space="0" w:color="auto"/>
            </w:tcBorders>
          </w:tcPr>
          <w:p w14:paraId="4085653B"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17B-Estradiol reversed S protein induced activation of NADPH oxidase isoform 2 (NOX2) and ACE-2 dependent ROS production, as well as ACE2 upregulation and induction of pro-inflammatory gene monocyte chemoattractant protein-1 (MCP-1) in endothelial cells, effectively attenuating endothelial dysfunction completely</w:t>
            </w:r>
          </w:p>
        </w:tc>
      </w:tr>
      <w:tr w:rsidR="0043602C" w:rsidRPr="00A5307F" w14:paraId="6ADC2486" w14:textId="77777777" w:rsidTr="000A5039">
        <w:trPr>
          <w:trHeight w:val="2140"/>
        </w:trPr>
        <w:tc>
          <w:tcPr>
            <w:cnfStyle w:val="001000000000" w:firstRow="0" w:lastRow="0" w:firstColumn="1" w:lastColumn="0" w:oddVBand="0" w:evenVBand="0" w:oddHBand="0" w:evenHBand="0" w:firstRowFirstColumn="0" w:firstRowLastColumn="0" w:lastRowFirstColumn="0" w:lastRowLastColumn="0"/>
            <w:tcW w:w="0" w:type="dxa"/>
          </w:tcPr>
          <w:p w14:paraId="26670D51" w14:textId="77777777" w:rsidR="0043602C" w:rsidRPr="00A5307F" w:rsidRDefault="0043602C" w:rsidP="000A5039">
            <w:pPr>
              <w:spacing w:line="360" w:lineRule="auto"/>
              <w:jc w:val="both"/>
              <w:rPr>
                <w:rFonts w:ascii="Book Antiqua" w:hAnsi="Book Antiqua" w:cs="Times New Roman"/>
              </w:rPr>
            </w:pPr>
          </w:p>
        </w:tc>
        <w:tc>
          <w:tcPr>
            <w:tcW w:w="0" w:type="dxa"/>
          </w:tcPr>
          <w:p w14:paraId="5A769273"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4647" w:type="dxa"/>
          </w:tcPr>
          <w:p w14:paraId="11DD1E32" w14:textId="18627816"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Implications: Estrogen inhibits initial viral response and attenuation of cytokine storm induced endothelial dysfunction, especially in men and post</w:t>
            </w:r>
            <w:r w:rsidR="00E7444B">
              <w:rPr>
                <w:rFonts w:ascii="Book Antiqua" w:hAnsi="Book Antiqua" w:cs="Times New Roman"/>
              </w:rPr>
              <w:t>-</w:t>
            </w:r>
            <w:r w:rsidRPr="00A5307F">
              <w:rPr>
                <w:rFonts w:ascii="Book Antiqua" w:hAnsi="Book Antiqua" w:cs="Times New Roman"/>
              </w:rPr>
              <w:t xml:space="preserve">menopausal women. Data supports hypothesis that estrogen may be used to alleviate viral infection and cytokine storm-induced endothelial dysfunction, a critical mediator of ARDS/multi-organ failure. Thus, attenuating disease progression, severity and mortality. </w:t>
            </w:r>
          </w:p>
        </w:tc>
      </w:tr>
      <w:tr w:rsidR="0043602C" w:rsidRPr="00A5307F" w14:paraId="25ED6091" w14:textId="77777777" w:rsidTr="000A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1A722A02" w14:textId="77777777" w:rsidR="0043602C" w:rsidRPr="00A5307F" w:rsidRDefault="0043602C"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Samuel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[42]</w:t>
            </w:r>
            <w:r w:rsidR="00580D3A">
              <w:rPr>
                <w:rFonts w:ascii="Book Antiqua" w:hAnsi="Book Antiqua" w:cs="Times New Roman"/>
                <w:b w:val="0"/>
                <w:bCs w:val="0"/>
              </w:rPr>
              <w:t xml:space="preserve">, </w:t>
            </w:r>
            <w:r w:rsidR="007C62BC" w:rsidRPr="00A5307F">
              <w:rPr>
                <w:rFonts w:ascii="Book Antiqua" w:hAnsi="Book Antiqua"/>
              </w:rPr>
              <w:fldChar w:fldCharType="begin">
                <w:fldData xml:space="preserve">PEVuZE5vdGU+PENpdGUgSGlkZGVuPSIxIj48QXV0aG9yPlNhbXVlbDwvQXV0aG9yPjxZZWFyPjIw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==
</w:fldData>
              </w:fldChar>
            </w:r>
            <w:r w:rsidRPr="00A5307F">
              <w:rPr>
                <w:rFonts w:ascii="Book Antiqua" w:hAnsi="Book Antiqua" w:cs="Times New Roman"/>
                <w:b w:val="0"/>
                <w:bCs w:val="0"/>
              </w:rPr>
              <w:instrText xml:space="preserve"> ADDIN EN.CITE </w:instrText>
            </w:r>
            <w:r w:rsidR="007C62BC" w:rsidRPr="00A5307F">
              <w:rPr>
                <w:rFonts w:ascii="Book Antiqua" w:hAnsi="Book Antiqua"/>
              </w:rPr>
              <w:fldChar w:fldCharType="begin">
                <w:fldData xml:space="preserve">PEVuZE5vdGU+PENpdGUgSGlkZGVuPSIxIj48QXV0aG9yPlNhbXVlbDwvQXV0aG9yPjxZZWFyPjIw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==
</w:fldData>
              </w:fldChar>
            </w:r>
            <w:r w:rsidRPr="00A5307F">
              <w:rPr>
                <w:rFonts w:ascii="Book Antiqua" w:hAnsi="Book Antiqua" w:cs="Times New Roman"/>
                <w:b w:val="0"/>
                <w:bCs w:val="0"/>
              </w:rPr>
              <w:instrText xml:space="preserve"> ADDIN EN.CITE.DATA </w:instrText>
            </w:r>
            <w:r w:rsidR="007C62BC" w:rsidRPr="00A5307F">
              <w:rPr>
                <w:rFonts w:ascii="Book Antiqua" w:hAnsi="Book Antiqua"/>
              </w:rPr>
            </w:r>
            <w:r w:rsidR="007C62BC" w:rsidRPr="00A5307F">
              <w:rPr>
                <w:rFonts w:ascii="Book Antiqua" w:hAnsi="Book Antiqua"/>
              </w:rPr>
              <w:fldChar w:fldCharType="end"/>
            </w:r>
            <w:r w:rsidR="007C62BC" w:rsidRPr="00A5307F">
              <w:rPr>
                <w:rFonts w:ascii="Book Antiqua" w:hAnsi="Book Antiqua"/>
              </w:rPr>
            </w:r>
            <w:r w:rsidR="007C62BC" w:rsidRPr="00A5307F">
              <w:rPr>
                <w:rFonts w:ascii="Book Antiqua" w:hAnsi="Book Antiqua"/>
              </w:rPr>
              <w:fldChar w:fldCharType="end"/>
            </w:r>
            <w:r w:rsidRPr="00A5307F">
              <w:rPr>
                <w:rFonts w:ascii="Book Antiqua" w:hAnsi="Book Antiqua" w:cs="Times New Roman"/>
                <w:b w:val="0"/>
                <w:bCs w:val="0"/>
                <w:i/>
                <w:iCs/>
              </w:rPr>
              <w:t xml:space="preserve">In vitro </w:t>
            </w:r>
            <w:r w:rsidRPr="00A5307F">
              <w:rPr>
                <w:rFonts w:ascii="Book Antiqua" w:hAnsi="Book Antiqua" w:cs="Times New Roman"/>
                <w:b w:val="0"/>
                <w:bCs w:val="0"/>
              </w:rPr>
              <w:t xml:space="preserve">stem cell lines and high </w:t>
            </w:r>
            <w:r w:rsidRPr="00A5307F">
              <w:rPr>
                <w:rFonts w:ascii="Book Antiqua" w:hAnsi="Book Antiqua" w:cs="Times New Roman"/>
                <w:b w:val="0"/>
                <w:bCs w:val="0"/>
              </w:rPr>
              <w:lastRenderedPageBreak/>
              <w:t>throughput drug screens</w:t>
            </w:r>
          </w:p>
        </w:tc>
        <w:tc>
          <w:tcPr>
            <w:tcW w:w="0" w:type="dxa"/>
            <w:tcBorders>
              <w:top w:val="none" w:sz="0" w:space="0" w:color="auto"/>
              <w:bottom w:val="none" w:sz="0" w:space="0" w:color="auto"/>
            </w:tcBorders>
          </w:tcPr>
          <w:p w14:paraId="28C255FC"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 xml:space="preserve">Established a screening strategy to identify drugs </w:t>
            </w:r>
            <w:r w:rsidRPr="00A5307F">
              <w:rPr>
                <w:rFonts w:ascii="Book Antiqua" w:hAnsi="Book Antiqua" w:cs="Times New Roman"/>
              </w:rPr>
              <w:lastRenderedPageBreak/>
              <w:t>that reduce ACE2 levels in human embryonic stem cell (hESC)-derived cardiac cells and lung organoids. Target analysis of hit compounds revealed androgen signaling as a key modulator of ACE2 levels</w:t>
            </w:r>
          </w:p>
        </w:tc>
        <w:tc>
          <w:tcPr>
            <w:tcW w:w="4647" w:type="dxa"/>
            <w:tcBorders>
              <w:top w:val="none" w:sz="0" w:space="0" w:color="auto"/>
              <w:bottom w:val="none" w:sz="0" w:space="0" w:color="auto"/>
            </w:tcBorders>
          </w:tcPr>
          <w:p w14:paraId="4269746C" w14:textId="14A5A94E"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-Inhibitors of 5</w:t>
            </w:r>
            <w:r w:rsidR="00E7444B">
              <w:rPr>
                <w:rFonts w:ascii="Book Antiqua" w:hAnsi="Book Antiqua" w:cs="Times New Roman"/>
              </w:rPr>
              <w:t>-</w:t>
            </w:r>
            <w:r w:rsidRPr="00A5307F">
              <w:rPr>
                <w:rFonts w:ascii="Book Antiqua" w:hAnsi="Book Antiqua" w:cs="Times New Roman"/>
              </w:rPr>
              <w:t>alpha reductase, which dampen androgen signaling reduced ACE2 levels in target cells.</w:t>
            </w:r>
          </w:p>
          <w:p w14:paraId="62A41ED6"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-Treatment with antiandrogenic drugs reduced ACE2 expression and protected hESC-derived lung organoids against COVID-19 infection.</w:t>
            </w:r>
          </w:p>
          <w:p w14:paraId="4D3FDC25"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-Study also found that clinical data on COVID-19 patients with prostate cancer, which is associated with elevated androgen levels, are significant risk factors and that genetic variants that are associated with higher androgen levels are associated with higher diseases severity</w:t>
            </w:r>
          </w:p>
        </w:tc>
      </w:tr>
    </w:tbl>
    <w:p w14:paraId="1E9E6E73" w14:textId="77777777" w:rsidR="0043602C" w:rsidRDefault="0043602C" w:rsidP="00E739A1">
      <w:pPr>
        <w:spacing w:line="360" w:lineRule="auto"/>
        <w:jc w:val="both"/>
      </w:pPr>
    </w:p>
    <w:p w14:paraId="3EFFE81A" w14:textId="77777777" w:rsidR="0043602C" w:rsidRDefault="0043602C" w:rsidP="000A5039">
      <w:pPr>
        <w:jc w:val="both"/>
      </w:pPr>
      <w:r>
        <w:br w:type="page"/>
      </w:r>
    </w:p>
    <w:p w14:paraId="7A77FB5E" w14:textId="24998134" w:rsidR="0043602C" w:rsidRPr="00A5307F" w:rsidRDefault="0043602C" w:rsidP="00E739A1">
      <w:pPr>
        <w:spacing w:line="360" w:lineRule="auto"/>
        <w:jc w:val="both"/>
        <w:rPr>
          <w:rFonts w:ascii="Book Antiqua" w:hAnsi="Book Antiqua"/>
          <w:b/>
          <w:bCs/>
        </w:rPr>
      </w:pPr>
      <w:r w:rsidRPr="00A5307F">
        <w:rPr>
          <w:rFonts w:ascii="Book Antiqua" w:hAnsi="Book Antiqua"/>
          <w:b/>
          <w:bCs/>
        </w:rPr>
        <w:lastRenderedPageBreak/>
        <w:t>Table 2 Current literature on hormone therapy and coronavirus disease</w:t>
      </w:r>
      <w:r w:rsidR="00E7444B">
        <w:rPr>
          <w:rFonts w:ascii="Book Antiqua" w:hAnsi="Book Antiqua"/>
          <w:b/>
          <w:bCs/>
        </w:rPr>
        <w:t>-</w:t>
      </w:r>
      <w:r w:rsidRPr="00A5307F">
        <w:rPr>
          <w:rFonts w:ascii="Book Antiqua" w:hAnsi="Book Antiqua"/>
          <w:b/>
          <w:bCs/>
        </w:rPr>
        <w:t>2019 clinical trials</w:t>
      </w:r>
    </w:p>
    <w:tbl>
      <w:tblPr>
        <w:tblStyle w:val="21"/>
        <w:tblW w:w="9455" w:type="dxa"/>
        <w:tblInd w:w="-5" w:type="dxa"/>
        <w:tblBorders>
          <w:top w:val="single" w:sz="4" w:space="0" w:color="auto"/>
          <w:bottom w:val="single" w:sz="4" w:space="0" w:color="auto"/>
        </w:tblBorders>
        <w:tblLook w:val="04A0" w:firstRow="1" w:lastRow="0" w:firstColumn="1" w:lastColumn="0" w:noHBand="0" w:noVBand="1"/>
      </w:tblPr>
      <w:tblGrid>
        <w:gridCol w:w="1677"/>
        <w:gridCol w:w="1905"/>
        <w:gridCol w:w="2082"/>
        <w:gridCol w:w="3791"/>
      </w:tblGrid>
      <w:tr w:rsidR="0043602C" w:rsidRPr="00A5307F" w14:paraId="6C40D168" w14:textId="77777777" w:rsidTr="000A5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single" w:sz="4" w:space="0" w:color="auto"/>
              <w:bottom w:val="single" w:sz="4" w:space="0" w:color="auto"/>
            </w:tcBorders>
          </w:tcPr>
          <w:p w14:paraId="67F341C1" w14:textId="77777777" w:rsidR="0043602C" w:rsidRPr="00A5307F" w:rsidRDefault="0043602C" w:rsidP="000A5039">
            <w:pPr>
              <w:spacing w:line="360" w:lineRule="auto"/>
              <w:jc w:val="both"/>
              <w:rPr>
                <w:rFonts w:ascii="Book Antiqua" w:hAnsi="Book Antiqua" w:cs="Times New Roman"/>
              </w:rPr>
            </w:pPr>
            <w:r w:rsidRPr="00A5307F">
              <w:rPr>
                <w:rFonts w:ascii="Book Antiqua" w:hAnsi="Book Antiqua" w:cs="Times New Roman"/>
              </w:rPr>
              <w:t>Reference &amp; Focus</w:t>
            </w:r>
          </w:p>
        </w:tc>
        <w:tc>
          <w:tcPr>
            <w:tcW w:w="1905" w:type="dxa"/>
            <w:tcBorders>
              <w:top w:val="single" w:sz="4" w:space="0" w:color="auto"/>
              <w:bottom w:val="single" w:sz="4" w:space="0" w:color="auto"/>
            </w:tcBorders>
          </w:tcPr>
          <w:p w14:paraId="7A2E65A6" w14:textId="77777777" w:rsidR="0043602C" w:rsidRPr="00A5307F" w:rsidRDefault="0043602C"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Predictors or conditions</w:t>
            </w:r>
          </w:p>
        </w:tc>
        <w:tc>
          <w:tcPr>
            <w:tcW w:w="2082" w:type="dxa"/>
            <w:tcBorders>
              <w:top w:val="single" w:sz="4" w:space="0" w:color="auto"/>
              <w:bottom w:val="single" w:sz="4" w:space="0" w:color="auto"/>
            </w:tcBorders>
          </w:tcPr>
          <w:p w14:paraId="60FE77A8" w14:textId="77777777" w:rsidR="0043602C" w:rsidRPr="00A5307F" w:rsidRDefault="0043602C"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Sample Population</w:t>
            </w:r>
          </w:p>
        </w:tc>
        <w:tc>
          <w:tcPr>
            <w:tcW w:w="3791" w:type="dxa"/>
            <w:tcBorders>
              <w:top w:val="single" w:sz="4" w:space="0" w:color="auto"/>
              <w:bottom w:val="single" w:sz="4" w:space="0" w:color="auto"/>
            </w:tcBorders>
          </w:tcPr>
          <w:p w14:paraId="1D4146AB" w14:textId="77777777" w:rsidR="0043602C" w:rsidRPr="00A5307F" w:rsidRDefault="0043602C"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Outcomes/Findings</w:t>
            </w:r>
          </w:p>
        </w:tc>
      </w:tr>
      <w:tr w:rsidR="0043602C" w:rsidRPr="00A5307F" w14:paraId="420F0130" w14:textId="77777777" w:rsidTr="000A5039">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677" w:type="dxa"/>
            <w:vMerge w:val="restart"/>
            <w:tcBorders>
              <w:top w:val="single" w:sz="4" w:space="0" w:color="auto"/>
              <w:bottom w:val="none" w:sz="0" w:space="0" w:color="auto"/>
            </w:tcBorders>
          </w:tcPr>
          <w:p w14:paraId="0DAE60F8" w14:textId="4B54DF94" w:rsidR="0043602C" w:rsidRPr="00A5307F" w:rsidRDefault="0043602C" w:rsidP="000A5039">
            <w:pPr>
              <w:spacing w:line="360" w:lineRule="auto"/>
              <w:jc w:val="both"/>
              <w:rPr>
                <w:rFonts w:ascii="Book Antiqua" w:hAnsi="Book Antiqua" w:cs="Times New Roman"/>
                <w:vertAlign w:val="superscript"/>
                <w:lang w:eastAsia="zh-CN"/>
              </w:rPr>
            </w:pPr>
            <w:r w:rsidRPr="00A5307F">
              <w:rPr>
                <w:rFonts w:ascii="Book Antiqua" w:hAnsi="Book Antiqua" w:cs="Times New Roman"/>
                <w:b w:val="0"/>
                <w:bCs w:val="0"/>
              </w:rPr>
              <w:t>Ghandehari</w:t>
            </w:r>
            <w:r w:rsidR="00021694">
              <w:rPr>
                <w:rFonts w:ascii="Book Antiqua" w:hAnsi="Book Antiqua" w:cs="Times New Roman"/>
                <w:b w:val="0"/>
                <w:bCs w:val="0"/>
              </w:rPr>
              <w:t xml:space="preserv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[36]</w:t>
            </w:r>
            <w:r w:rsidRPr="00580D3A">
              <w:rPr>
                <w:rFonts w:ascii="Book Antiqua" w:hAnsi="Book Antiqua" w:cs="Times New Roman"/>
                <w:b w:val="0"/>
                <w:bCs w:val="0"/>
              </w:rPr>
              <w:t>,</w:t>
            </w:r>
            <w:r w:rsidR="00021694">
              <w:rPr>
                <w:rFonts w:ascii="Book Antiqua" w:hAnsi="Book Antiqua" w:cs="Times New Roman"/>
                <w:b w:val="0"/>
                <w:bCs w:val="0"/>
              </w:rPr>
              <w:t xml:space="preserve"> </w:t>
            </w:r>
            <w:r w:rsidRPr="00A5307F">
              <w:rPr>
                <w:rFonts w:ascii="Book Antiqua" w:hAnsi="Book Antiqua" w:cs="Times New Roman"/>
                <w:b w:val="0"/>
                <w:bCs w:val="0"/>
              </w:rPr>
              <w:t>Los Angeles, California</w:t>
            </w:r>
            <w:r w:rsidRPr="00A5307F">
              <w:rPr>
                <w:rFonts w:ascii="Book Antiqua" w:hAnsi="Book Antiqua" w:cs="Times New Roman"/>
                <w:b w:val="0"/>
                <w:bCs w:val="0"/>
                <w:lang w:eastAsia="zh-CN"/>
              </w:rPr>
              <w:t>;</w:t>
            </w:r>
            <w:r w:rsidR="00021694">
              <w:rPr>
                <w:rFonts w:ascii="Book Antiqua" w:hAnsi="Book Antiqua" w:cs="Times New Roman"/>
                <w:b w:val="0"/>
                <w:bCs w:val="0"/>
                <w:lang w:eastAsia="zh-CN"/>
              </w:rPr>
              <w:t xml:space="preserve"> </w:t>
            </w:r>
            <w:r w:rsidRPr="00A5307F">
              <w:rPr>
                <w:rFonts w:ascii="Book Antiqua" w:hAnsi="Book Antiqua" w:cs="Times New Roman"/>
                <w:b w:val="0"/>
                <w:bCs w:val="0"/>
              </w:rPr>
              <w:t>Effect of progesterone therapy in men with moderate to severe COVID-19</w:t>
            </w:r>
          </w:p>
        </w:tc>
        <w:tc>
          <w:tcPr>
            <w:tcW w:w="1905" w:type="dxa"/>
            <w:vMerge w:val="restart"/>
            <w:tcBorders>
              <w:top w:val="single" w:sz="4" w:space="0" w:color="auto"/>
              <w:bottom w:val="none" w:sz="0" w:space="0" w:color="auto"/>
            </w:tcBorders>
          </w:tcPr>
          <w:p w14:paraId="75CACA01"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Randomized control trial</w:t>
            </w:r>
          </w:p>
        </w:tc>
        <w:tc>
          <w:tcPr>
            <w:tcW w:w="2082" w:type="dxa"/>
            <w:tcBorders>
              <w:top w:val="single" w:sz="4" w:space="0" w:color="auto"/>
              <w:bottom w:val="none" w:sz="0" w:space="0" w:color="auto"/>
            </w:tcBorders>
          </w:tcPr>
          <w:p w14:paraId="7FB4863D"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42 hospitalized men with confirmed moderate to severe COVID-19</w:t>
            </w:r>
          </w:p>
        </w:tc>
        <w:tc>
          <w:tcPr>
            <w:tcW w:w="3791" w:type="dxa"/>
            <w:vMerge w:val="restart"/>
            <w:tcBorders>
              <w:top w:val="single" w:sz="4" w:space="0" w:color="auto"/>
              <w:bottom w:val="none" w:sz="0" w:space="0" w:color="auto"/>
            </w:tcBorders>
          </w:tcPr>
          <w:p w14:paraId="4B8ED85B" w14:textId="2FFE797D"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There was a 1.5 point overall improvement in median clinical status score on a seven-point ordinal scale from baseline to day 7 in the progesterone group (</w:t>
            </w:r>
            <w:r w:rsidRPr="00A5307F">
              <w:rPr>
                <w:rFonts w:ascii="Book Antiqua" w:hAnsi="Book Antiqua" w:cs="Times New Roman"/>
                <w:i/>
                <w:iCs/>
              </w:rPr>
              <w:t>n</w:t>
            </w:r>
            <w:r w:rsidRPr="00A5307F">
              <w:rPr>
                <w:rFonts w:ascii="Book Antiqua" w:hAnsi="Book Antiqua" w:cs="Times New Roman"/>
              </w:rPr>
              <w:t xml:space="preserve"> = 18) </w:t>
            </w:r>
            <w:r w:rsidR="00E7444B">
              <w:rPr>
                <w:rFonts w:ascii="Book Antiqua" w:hAnsi="Book Antiqua" w:cs="Times New Roman"/>
              </w:rPr>
              <w:t>compared with</w:t>
            </w:r>
            <w:r w:rsidRPr="00A5307F">
              <w:rPr>
                <w:rFonts w:ascii="Book Antiqua" w:hAnsi="Book Antiqua" w:cs="Times New Roman"/>
              </w:rPr>
              <w:t xml:space="preserve"> the control group (</w:t>
            </w:r>
            <w:r w:rsidRPr="00A5307F">
              <w:rPr>
                <w:rFonts w:ascii="Book Antiqua" w:hAnsi="Book Antiqua" w:cs="Times New Roman"/>
                <w:i/>
                <w:iCs/>
              </w:rPr>
              <w:t>n</w:t>
            </w:r>
            <w:r w:rsidRPr="00A5307F">
              <w:rPr>
                <w:rFonts w:ascii="Book Antiqua" w:hAnsi="Book Antiqua" w:cs="Times New Roman"/>
              </w:rPr>
              <w:t xml:space="preserve"> = 22)</w:t>
            </w:r>
          </w:p>
        </w:tc>
      </w:tr>
      <w:tr w:rsidR="0043602C" w:rsidRPr="00A5307F" w14:paraId="3CE47297" w14:textId="77777777" w:rsidTr="000A5039">
        <w:trPr>
          <w:trHeight w:val="1473"/>
        </w:trPr>
        <w:tc>
          <w:tcPr>
            <w:cnfStyle w:val="001000000000" w:firstRow="0" w:lastRow="0" w:firstColumn="1" w:lastColumn="0" w:oddVBand="0" w:evenVBand="0" w:oddHBand="0" w:evenHBand="0" w:firstRowFirstColumn="0" w:firstRowLastColumn="0" w:lastRowFirstColumn="0" w:lastRowLastColumn="0"/>
            <w:tcW w:w="1677" w:type="dxa"/>
            <w:vMerge/>
          </w:tcPr>
          <w:p w14:paraId="54AD5804" w14:textId="77777777" w:rsidR="0043602C" w:rsidRPr="00A5307F" w:rsidRDefault="0043602C" w:rsidP="000A5039">
            <w:pPr>
              <w:spacing w:line="360" w:lineRule="auto"/>
              <w:jc w:val="both"/>
              <w:rPr>
                <w:rFonts w:ascii="Book Antiqua" w:hAnsi="Book Antiqua" w:cs="Times New Roman"/>
              </w:rPr>
            </w:pPr>
          </w:p>
        </w:tc>
        <w:tc>
          <w:tcPr>
            <w:tcW w:w="1905" w:type="dxa"/>
            <w:vMerge/>
          </w:tcPr>
          <w:p w14:paraId="19167988"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082" w:type="dxa"/>
            <w:vMerge w:val="restart"/>
          </w:tcPr>
          <w:p w14:paraId="0E411559" w14:textId="508782D5"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Experimental Cohort: re received 100 mg of progesterone subcutaneously twice a day for 5 d while hospitalized</w:t>
            </w:r>
          </w:p>
        </w:tc>
        <w:tc>
          <w:tcPr>
            <w:tcW w:w="3791" w:type="dxa"/>
            <w:vMerge/>
          </w:tcPr>
          <w:p w14:paraId="71DCC0FC"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43602C" w:rsidRPr="00A5307F" w14:paraId="23F2C2EB" w14:textId="77777777" w:rsidTr="000A50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77" w:type="dxa"/>
            <w:vMerge/>
            <w:tcBorders>
              <w:top w:val="none" w:sz="0" w:space="0" w:color="auto"/>
              <w:bottom w:val="none" w:sz="0" w:space="0" w:color="auto"/>
            </w:tcBorders>
          </w:tcPr>
          <w:p w14:paraId="230CEC30" w14:textId="77777777" w:rsidR="0043602C" w:rsidRPr="00A5307F" w:rsidRDefault="0043602C" w:rsidP="000A5039">
            <w:pPr>
              <w:spacing w:line="360" w:lineRule="auto"/>
              <w:jc w:val="both"/>
              <w:rPr>
                <w:rFonts w:ascii="Book Antiqua" w:hAnsi="Book Antiqua" w:cs="Times New Roman"/>
              </w:rPr>
            </w:pPr>
          </w:p>
        </w:tc>
        <w:tc>
          <w:tcPr>
            <w:tcW w:w="1905" w:type="dxa"/>
            <w:vMerge/>
            <w:tcBorders>
              <w:top w:val="none" w:sz="0" w:space="0" w:color="auto"/>
              <w:bottom w:val="none" w:sz="0" w:space="0" w:color="auto"/>
            </w:tcBorders>
          </w:tcPr>
          <w:p w14:paraId="41CDC567"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082" w:type="dxa"/>
            <w:vMerge/>
            <w:tcBorders>
              <w:top w:val="none" w:sz="0" w:space="0" w:color="auto"/>
              <w:bottom w:val="none" w:sz="0" w:space="0" w:color="auto"/>
            </w:tcBorders>
          </w:tcPr>
          <w:p w14:paraId="0E1AE3B4"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3791" w:type="dxa"/>
            <w:vMerge w:val="restart"/>
            <w:tcBorders>
              <w:top w:val="none" w:sz="0" w:space="0" w:color="auto"/>
              <w:bottom w:val="none" w:sz="0" w:space="0" w:color="auto"/>
            </w:tcBorders>
          </w:tcPr>
          <w:p w14:paraId="389E175B"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This study shows that the use of progesterone may help to lower the length of hospital stay, use of supplemental O2 and need for mechanical ventilation</w:t>
            </w:r>
          </w:p>
        </w:tc>
      </w:tr>
      <w:tr w:rsidR="0043602C" w:rsidRPr="00A5307F" w14:paraId="70358F21" w14:textId="77777777" w:rsidTr="000A5039">
        <w:trPr>
          <w:trHeight w:val="1371"/>
        </w:trPr>
        <w:tc>
          <w:tcPr>
            <w:cnfStyle w:val="001000000000" w:firstRow="0" w:lastRow="0" w:firstColumn="1" w:lastColumn="0" w:oddVBand="0" w:evenVBand="0" w:oddHBand="0" w:evenHBand="0" w:firstRowFirstColumn="0" w:firstRowLastColumn="0" w:lastRowFirstColumn="0" w:lastRowLastColumn="0"/>
            <w:tcW w:w="1677" w:type="dxa"/>
            <w:vMerge/>
          </w:tcPr>
          <w:p w14:paraId="332C8870" w14:textId="77777777" w:rsidR="0043602C" w:rsidRPr="00A5307F" w:rsidRDefault="0043602C" w:rsidP="000A5039">
            <w:pPr>
              <w:spacing w:line="360" w:lineRule="auto"/>
              <w:jc w:val="both"/>
              <w:rPr>
                <w:rFonts w:ascii="Book Antiqua" w:hAnsi="Book Antiqua" w:cs="Times New Roman"/>
              </w:rPr>
            </w:pPr>
          </w:p>
        </w:tc>
        <w:tc>
          <w:tcPr>
            <w:tcW w:w="1905" w:type="dxa"/>
            <w:vMerge/>
          </w:tcPr>
          <w:p w14:paraId="4E7B0D13"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082" w:type="dxa"/>
          </w:tcPr>
          <w:p w14:paraId="61B16A51"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Control Cohort: Standard of care</w:t>
            </w:r>
          </w:p>
        </w:tc>
        <w:tc>
          <w:tcPr>
            <w:tcW w:w="3791" w:type="dxa"/>
            <w:vMerge/>
          </w:tcPr>
          <w:p w14:paraId="6E488C26"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43602C" w:rsidRPr="00A5307F" w14:paraId="2DAAF9B9" w14:textId="77777777" w:rsidTr="000A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none" w:sz="0" w:space="0" w:color="auto"/>
              <w:bottom w:val="none" w:sz="0" w:space="0" w:color="auto"/>
            </w:tcBorders>
          </w:tcPr>
          <w:p w14:paraId="51C0D29C" w14:textId="51648724" w:rsidR="0043602C" w:rsidRPr="00A5307F" w:rsidRDefault="008A4B54" w:rsidP="000A5039">
            <w:pPr>
              <w:spacing w:line="360" w:lineRule="auto"/>
              <w:jc w:val="both"/>
              <w:rPr>
                <w:rFonts w:ascii="Book Antiqua" w:hAnsi="Book Antiqua" w:cs="Times New Roman"/>
                <w:b w:val="0"/>
                <w:bCs w:val="0"/>
              </w:rPr>
            </w:pPr>
            <w:r w:rsidRPr="008A4B54">
              <w:rPr>
                <w:rFonts w:ascii="Book Antiqua" w:hAnsi="Book Antiqua" w:cs="Times New Roman"/>
                <w:b w:val="0"/>
                <w:bCs w:val="0"/>
              </w:rPr>
              <w:t>Dhindsa</w:t>
            </w:r>
            <w:r w:rsidR="00021694">
              <w:rPr>
                <w:rFonts w:ascii="Book Antiqua" w:hAnsi="Book Antiqua" w:cs="Times New Roman"/>
                <w:b w:val="0"/>
                <w:bCs w:val="0"/>
              </w:rPr>
              <w:t xml:space="preserve"> </w:t>
            </w:r>
            <w:r w:rsidR="0043602C" w:rsidRPr="00A5307F">
              <w:rPr>
                <w:rFonts w:ascii="Book Antiqua" w:hAnsi="Book Antiqua" w:cs="Times New Roman"/>
                <w:b w:val="0"/>
                <w:bCs w:val="0"/>
                <w:i/>
                <w:iCs/>
              </w:rPr>
              <w:t>et al</w:t>
            </w:r>
            <w:r w:rsidR="0043602C" w:rsidRPr="00A5307F">
              <w:rPr>
                <w:rFonts w:ascii="Book Antiqua" w:hAnsi="Book Antiqua" w:cs="Times New Roman"/>
                <w:b w:val="0"/>
                <w:bCs w:val="0"/>
                <w:vertAlign w:val="superscript"/>
              </w:rPr>
              <w:t>[12]</w:t>
            </w:r>
            <w:r w:rsidR="0043602C" w:rsidRPr="00A5307F">
              <w:rPr>
                <w:rFonts w:ascii="Book Antiqua" w:hAnsi="Book Antiqua" w:cs="Times New Roman"/>
                <w:b w:val="0"/>
                <w:bCs w:val="0"/>
              </w:rPr>
              <w:t>,</w:t>
            </w:r>
          </w:p>
          <w:p w14:paraId="6D5C7A9E" w14:textId="77777777" w:rsidR="0043602C" w:rsidRPr="00A5307F" w:rsidRDefault="0043602C"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Association of concentration of serum sex hormones with COVID-19 Severity</w:t>
            </w:r>
          </w:p>
        </w:tc>
        <w:tc>
          <w:tcPr>
            <w:tcW w:w="1905" w:type="dxa"/>
            <w:tcBorders>
              <w:top w:val="none" w:sz="0" w:space="0" w:color="auto"/>
              <w:bottom w:val="none" w:sz="0" w:space="0" w:color="auto"/>
            </w:tcBorders>
          </w:tcPr>
          <w:p w14:paraId="0FD8F856"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Prospective cohort study</w:t>
            </w:r>
          </w:p>
        </w:tc>
        <w:tc>
          <w:tcPr>
            <w:tcW w:w="2082" w:type="dxa"/>
            <w:tcBorders>
              <w:top w:val="none" w:sz="0" w:space="0" w:color="auto"/>
              <w:bottom w:val="none" w:sz="0" w:space="0" w:color="auto"/>
            </w:tcBorders>
          </w:tcPr>
          <w:p w14:paraId="11BBB551" w14:textId="61D665F2"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152 consecutive patients (59% men and 40.8% women) presenting with COVID-19 to the hospital were recruited. Of the participants, 143 </w:t>
            </w:r>
            <w:r w:rsidRPr="00A5307F">
              <w:rPr>
                <w:rFonts w:ascii="Book Antiqua" w:hAnsi="Book Antiqua" w:cs="Times New Roman"/>
              </w:rPr>
              <w:lastRenderedPageBreak/>
              <w:t>(94.1%) were hospitalized. The mean age of participants was 63 yr</w:t>
            </w:r>
          </w:p>
        </w:tc>
        <w:tc>
          <w:tcPr>
            <w:tcW w:w="3791" w:type="dxa"/>
            <w:tcBorders>
              <w:top w:val="none" w:sz="0" w:space="0" w:color="auto"/>
              <w:bottom w:val="none" w:sz="0" w:space="0" w:color="auto"/>
            </w:tcBorders>
          </w:tcPr>
          <w:p w14:paraId="69278F22" w14:textId="7911EAEC"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 xml:space="preserve">Lower testosterone concentrations and increased estradiol to testosterone ratios during hospitalization are associated with disease severity, inflammation, and mortality in men with COVID-19. Men with severe COVID-19 had 65%-85% lower testosterone concentrations </w:t>
            </w:r>
            <w:r w:rsidR="00E7444B">
              <w:rPr>
                <w:rFonts w:ascii="Book Antiqua" w:hAnsi="Book Antiqua" w:cs="Times New Roman"/>
              </w:rPr>
              <w:lastRenderedPageBreak/>
              <w:t>compared with</w:t>
            </w:r>
            <w:r w:rsidRPr="00A5307F">
              <w:rPr>
                <w:rFonts w:ascii="Book Antiqua" w:hAnsi="Book Antiqua" w:cs="Times New Roman"/>
              </w:rPr>
              <w:t xml:space="preserve"> men with milder disease course, and was independent of other known risk factors associated with COVID-19 severity</w:t>
            </w:r>
          </w:p>
        </w:tc>
      </w:tr>
      <w:tr w:rsidR="0043602C" w:rsidRPr="00A5307F" w14:paraId="5AA3BBCE" w14:textId="77777777" w:rsidTr="000A5039">
        <w:trPr>
          <w:trHeight w:val="1776"/>
        </w:trPr>
        <w:tc>
          <w:tcPr>
            <w:cnfStyle w:val="001000000000" w:firstRow="0" w:lastRow="0" w:firstColumn="1" w:lastColumn="0" w:oddVBand="0" w:evenVBand="0" w:oddHBand="0" w:evenHBand="0" w:firstRowFirstColumn="0" w:firstRowLastColumn="0" w:lastRowFirstColumn="0" w:lastRowLastColumn="0"/>
            <w:tcW w:w="1677" w:type="dxa"/>
            <w:vMerge w:val="restart"/>
          </w:tcPr>
          <w:p w14:paraId="133AF70A" w14:textId="18A15323" w:rsidR="0043602C" w:rsidRPr="00A5307F" w:rsidRDefault="00021694" w:rsidP="000A5039">
            <w:pPr>
              <w:spacing w:line="360" w:lineRule="auto"/>
              <w:jc w:val="both"/>
              <w:rPr>
                <w:rFonts w:ascii="Book Antiqua" w:hAnsi="Book Antiqua" w:cs="Times New Roman"/>
                <w:b w:val="0"/>
                <w:bCs w:val="0"/>
                <w:vertAlign w:val="superscript"/>
              </w:rPr>
            </w:pPr>
            <w:r w:rsidRPr="00021694">
              <w:rPr>
                <w:rFonts w:ascii="Book Antiqua" w:hAnsi="Book Antiqua" w:cs="Times New Roman"/>
                <w:b w:val="0"/>
                <w:bCs w:val="0"/>
              </w:rPr>
              <w:lastRenderedPageBreak/>
              <w:t>van Zeggeren</w:t>
            </w:r>
            <w:r>
              <w:rPr>
                <w:rFonts w:ascii="Book Antiqua" w:hAnsi="Book Antiqua" w:cs="Times New Roman"/>
                <w:b w:val="0"/>
                <w:bCs w:val="0"/>
              </w:rPr>
              <w:t xml:space="preserve"> </w:t>
            </w:r>
            <w:r w:rsidR="0043602C" w:rsidRPr="00A5307F">
              <w:rPr>
                <w:rFonts w:ascii="Book Antiqua" w:hAnsi="Book Antiqua" w:cs="Times New Roman"/>
                <w:b w:val="0"/>
                <w:bCs w:val="0"/>
                <w:i/>
                <w:iCs/>
              </w:rPr>
              <w:t>et al</w:t>
            </w:r>
            <w:r w:rsidR="0043602C" w:rsidRPr="00A5307F">
              <w:rPr>
                <w:rFonts w:ascii="Book Antiqua" w:hAnsi="Book Antiqua" w:cs="Times New Roman"/>
                <w:b w:val="0"/>
                <w:bCs w:val="0"/>
                <w:vertAlign w:val="superscript"/>
              </w:rPr>
              <w:t>[25]</w:t>
            </w:r>
            <w:r w:rsidR="00580D3A">
              <w:rPr>
                <w:rFonts w:ascii="Book Antiqua" w:hAnsi="Book Antiqua" w:cs="Times New Roman"/>
                <w:b w:val="0"/>
                <w:bCs w:val="0"/>
              </w:rPr>
              <w:t xml:space="preserve">, </w:t>
            </w:r>
            <w:r w:rsidR="0043602C" w:rsidRPr="00A5307F">
              <w:rPr>
                <w:rFonts w:ascii="Book Antiqua" w:hAnsi="Book Antiqua" w:cs="Times New Roman"/>
                <w:b w:val="0"/>
                <w:bCs w:val="0"/>
              </w:rPr>
              <w:t>Assess the association between androgen levels and mortality in patients with severe COVID-19</w:t>
            </w:r>
          </w:p>
        </w:tc>
        <w:tc>
          <w:tcPr>
            <w:tcW w:w="1905" w:type="dxa"/>
            <w:vMerge w:val="restart"/>
          </w:tcPr>
          <w:p w14:paraId="58240363"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Observational Case-control study</w:t>
            </w:r>
          </w:p>
        </w:tc>
        <w:tc>
          <w:tcPr>
            <w:tcW w:w="2082" w:type="dxa"/>
            <w:vMerge w:val="restart"/>
          </w:tcPr>
          <w:p w14:paraId="78A2D51D"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16 postmenopausal women (age &gt; 55), and 24 age matched men</w:t>
            </w:r>
          </w:p>
        </w:tc>
        <w:tc>
          <w:tcPr>
            <w:tcW w:w="3791" w:type="dxa"/>
          </w:tcPr>
          <w:p w14:paraId="19D6A5CF" w14:textId="08DEE674"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Total and free testosterone were lower in deceased men than in survivors. Significantly lower SHBG levels were associated with in both deceased men and women </w:t>
            </w:r>
            <w:r w:rsidR="00E7444B">
              <w:rPr>
                <w:rFonts w:ascii="Book Antiqua" w:hAnsi="Book Antiqua" w:cs="Times New Roman"/>
              </w:rPr>
              <w:t>compared with</w:t>
            </w:r>
            <w:r w:rsidRPr="00A5307F">
              <w:rPr>
                <w:rFonts w:ascii="Book Antiqua" w:hAnsi="Book Antiqua" w:cs="Times New Roman"/>
              </w:rPr>
              <w:t xml:space="preserve"> survivors</w:t>
            </w:r>
          </w:p>
        </w:tc>
      </w:tr>
      <w:tr w:rsidR="0043602C" w:rsidRPr="00A5307F" w14:paraId="28BC5586" w14:textId="77777777" w:rsidTr="000A5039">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77" w:type="dxa"/>
            <w:vMerge/>
            <w:tcBorders>
              <w:top w:val="none" w:sz="0" w:space="0" w:color="auto"/>
              <w:bottom w:val="none" w:sz="0" w:space="0" w:color="auto"/>
            </w:tcBorders>
          </w:tcPr>
          <w:p w14:paraId="5668C439" w14:textId="77777777" w:rsidR="0043602C" w:rsidRPr="00A5307F" w:rsidRDefault="0043602C" w:rsidP="000A5039">
            <w:pPr>
              <w:spacing w:line="360" w:lineRule="auto"/>
              <w:jc w:val="both"/>
              <w:rPr>
                <w:rFonts w:ascii="Book Antiqua" w:hAnsi="Book Antiqua" w:cs="Times New Roman"/>
              </w:rPr>
            </w:pPr>
          </w:p>
        </w:tc>
        <w:tc>
          <w:tcPr>
            <w:tcW w:w="1905" w:type="dxa"/>
            <w:vMerge/>
            <w:tcBorders>
              <w:top w:val="none" w:sz="0" w:space="0" w:color="auto"/>
              <w:bottom w:val="none" w:sz="0" w:space="0" w:color="auto"/>
            </w:tcBorders>
          </w:tcPr>
          <w:p w14:paraId="0C3C9840"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082" w:type="dxa"/>
            <w:vMerge/>
            <w:tcBorders>
              <w:top w:val="none" w:sz="0" w:space="0" w:color="auto"/>
              <w:bottom w:val="none" w:sz="0" w:space="0" w:color="auto"/>
            </w:tcBorders>
          </w:tcPr>
          <w:p w14:paraId="0BA9850D"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3791" w:type="dxa"/>
            <w:tcBorders>
              <w:top w:val="none" w:sz="0" w:space="0" w:color="auto"/>
              <w:bottom w:val="none" w:sz="0" w:space="0" w:color="auto"/>
            </w:tcBorders>
          </w:tcPr>
          <w:p w14:paraId="0162073D"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Low SHBG levels were associated with mortality rate in patients with COVID-19 and low total and free testosterone levels were associated with mortality in men. However, whether these hormone levels influence the disease severity, or are a marker of disease severity needs elucidation</w:t>
            </w:r>
          </w:p>
        </w:tc>
      </w:tr>
      <w:tr w:rsidR="0043602C" w:rsidRPr="00A5307F" w14:paraId="5F341F88" w14:textId="77777777" w:rsidTr="000A5039">
        <w:tc>
          <w:tcPr>
            <w:cnfStyle w:val="001000000000" w:firstRow="0" w:lastRow="0" w:firstColumn="1" w:lastColumn="0" w:oddVBand="0" w:evenVBand="0" w:oddHBand="0" w:evenHBand="0" w:firstRowFirstColumn="0" w:firstRowLastColumn="0" w:lastRowFirstColumn="0" w:lastRowLastColumn="0"/>
            <w:tcW w:w="1677" w:type="dxa"/>
          </w:tcPr>
          <w:p w14:paraId="5C29CF85" w14:textId="6D1987DA" w:rsidR="0043602C" w:rsidRPr="00A5307F" w:rsidRDefault="0043602C"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Seeland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[31]</w:t>
            </w:r>
            <w:r w:rsidRPr="00A5307F">
              <w:rPr>
                <w:rFonts w:ascii="Book Antiqua" w:hAnsi="Book Antiqua" w:cs="Times New Roman"/>
                <w:b w:val="0"/>
                <w:bCs w:val="0"/>
              </w:rPr>
              <w:t>,</w:t>
            </w:r>
            <w:r w:rsidR="008A4B54">
              <w:rPr>
                <w:rFonts w:ascii="Book Antiqua" w:hAnsi="Book Antiqua" w:cs="Times New Roman"/>
                <w:b w:val="0"/>
                <w:bCs w:val="0"/>
              </w:rPr>
              <w:t xml:space="preserve"> </w:t>
            </w:r>
            <w:r w:rsidR="007C62BC" w:rsidRPr="00A5307F">
              <w:rPr>
                <w:rFonts w:ascii="Book Antiqua" w:hAnsi="Book Antiqua"/>
              </w:rPr>
              <w:fldChar w:fldCharType="begin">
                <w:fldData xml:space="preserve">PEVuZE5vdGU+PENpdGUgSGlkZGVuPSIxIj48QXV0aG9yPlNlZWxhbmQ8L0F1dGhvcj48WWVhcj4y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</w:fldData>
              </w:fldChar>
            </w:r>
            <w:r w:rsidRPr="00A5307F">
              <w:rPr>
                <w:rFonts w:ascii="Book Antiqua" w:hAnsi="Book Antiqua" w:cs="Times New Roman"/>
                <w:b w:val="0"/>
                <w:bCs w:val="0"/>
              </w:rPr>
              <w:instrText xml:space="preserve"> ADDIN EN.CITE </w:instrText>
            </w:r>
            <w:r w:rsidR="007C62BC" w:rsidRPr="00A5307F">
              <w:rPr>
                <w:rFonts w:ascii="Book Antiqua" w:hAnsi="Book Antiqua"/>
              </w:rPr>
              <w:fldChar w:fldCharType="begin">
                <w:fldData xml:space="preserve">PEVuZE5vdGU+PENpdGUgSGlkZGVuPSIxIj48QXV0aG9yPlNlZWxhbmQ8L0F1dGhvcj48WWVhcj4y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</w:fldData>
              </w:fldChar>
            </w:r>
            <w:r w:rsidRPr="00A5307F">
              <w:rPr>
                <w:rFonts w:ascii="Book Antiqua" w:hAnsi="Book Antiqua" w:cs="Times New Roman"/>
                <w:b w:val="0"/>
                <w:bCs w:val="0"/>
              </w:rPr>
              <w:instrText xml:space="preserve"> ADDIN EN.CITE.DATA </w:instrText>
            </w:r>
            <w:r w:rsidR="007C62BC" w:rsidRPr="00A5307F">
              <w:rPr>
                <w:rFonts w:ascii="Book Antiqua" w:hAnsi="Book Antiqua"/>
              </w:rPr>
            </w:r>
            <w:r w:rsidR="007C62BC" w:rsidRPr="00A5307F">
              <w:rPr>
                <w:rFonts w:ascii="Book Antiqua" w:hAnsi="Book Antiqua"/>
              </w:rPr>
              <w:fldChar w:fldCharType="end"/>
            </w:r>
            <w:r w:rsidR="007C62BC" w:rsidRPr="00A5307F">
              <w:rPr>
                <w:rFonts w:ascii="Book Antiqua" w:hAnsi="Book Antiqua"/>
              </w:rPr>
            </w:r>
            <w:r w:rsidR="007C62BC" w:rsidRPr="00A5307F">
              <w:rPr>
                <w:rFonts w:ascii="Book Antiqua" w:hAnsi="Book Antiqua"/>
              </w:rPr>
              <w:fldChar w:fldCharType="end"/>
            </w:r>
            <w:r w:rsidRPr="00A5307F">
              <w:rPr>
                <w:rFonts w:ascii="Book Antiqua" w:hAnsi="Book Antiqua" w:cs="Times New Roman"/>
                <w:b w:val="0"/>
                <w:bCs w:val="0"/>
              </w:rPr>
              <w:t>Evidence for treatment with estradiol for women with SARS-</w:t>
            </w:r>
            <w:r w:rsidRPr="00A5307F">
              <w:rPr>
                <w:rFonts w:ascii="Book Antiqua" w:hAnsi="Book Antiqua" w:cs="Times New Roman"/>
                <w:b w:val="0"/>
                <w:bCs w:val="0"/>
              </w:rPr>
              <w:lastRenderedPageBreak/>
              <w:t>COV2 infection</w:t>
            </w:r>
          </w:p>
        </w:tc>
        <w:tc>
          <w:tcPr>
            <w:tcW w:w="1905" w:type="dxa"/>
          </w:tcPr>
          <w:p w14:paraId="4B0AFE7D"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Retrospective cohort study</w:t>
            </w:r>
          </w:p>
        </w:tc>
        <w:tc>
          <w:tcPr>
            <w:tcW w:w="2082" w:type="dxa"/>
          </w:tcPr>
          <w:p w14:paraId="7FD1E968" w14:textId="6A3B9959"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Electronic health record for a large, 68,466 case international COVID-19 cohort</w:t>
            </w:r>
          </w:p>
        </w:tc>
        <w:tc>
          <w:tcPr>
            <w:tcW w:w="3791" w:type="dxa"/>
          </w:tcPr>
          <w:p w14:paraId="32F43F7B" w14:textId="083C8040"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Incidence of SARS-CoV-2 infection is </w:t>
            </w:r>
            <w:r w:rsidR="00E7444B">
              <w:rPr>
                <w:rFonts w:ascii="Book Antiqua" w:hAnsi="Book Antiqua" w:cs="Times New Roman"/>
              </w:rPr>
              <w:t xml:space="preserve">≥ 15% </w:t>
            </w:r>
            <w:r w:rsidRPr="00A5307F">
              <w:rPr>
                <w:rFonts w:ascii="Book Antiqua" w:hAnsi="Book Antiqua" w:cs="Times New Roman"/>
              </w:rPr>
              <w:t>higher in women th</w:t>
            </w:r>
            <w:r w:rsidR="00E7444B">
              <w:rPr>
                <w:rFonts w:ascii="Book Antiqua" w:hAnsi="Book Antiqua" w:cs="Times New Roman"/>
              </w:rPr>
              <w:t>a</w:t>
            </w:r>
            <w:r w:rsidRPr="00A5307F">
              <w:rPr>
                <w:rFonts w:ascii="Book Antiqua" w:hAnsi="Book Antiqua" w:cs="Times New Roman"/>
              </w:rPr>
              <w:t xml:space="preserve">n men, but fatality rate is higher is 50% higher in men. Age stratification showed, that while preadolescent men and women had same risk of infection and fatality rate, </w:t>
            </w:r>
            <w:r w:rsidR="00E7444B">
              <w:rPr>
                <w:rFonts w:ascii="Book Antiqua" w:hAnsi="Book Antiqua" w:cs="Times New Roman"/>
              </w:rPr>
              <w:t>compared with</w:t>
            </w:r>
            <w:r w:rsidRPr="00A5307F">
              <w:rPr>
                <w:rFonts w:ascii="Book Antiqua" w:hAnsi="Book Antiqua" w:cs="Times New Roman"/>
              </w:rPr>
              <w:t xml:space="preserve"> </w:t>
            </w:r>
            <w:r w:rsidRPr="00A5307F">
              <w:rPr>
                <w:rFonts w:ascii="Book Antiqua" w:hAnsi="Book Antiqua" w:cs="Times New Roman"/>
              </w:rPr>
              <w:lastRenderedPageBreak/>
              <w:t xml:space="preserve">men of the same age, premenopausal women had a higher risk of infection, but peri and </w:t>
            </w:r>
            <w:r w:rsidR="00274DAA" w:rsidRPr="00A5307F">
              <w:rPr>
                <w:rFonts w:ascii="Book Antiqua" w:hAnsi="Book Antiqua" w:cs="Times New Roman"/>
              </w:rPr>
              <w:t>post-menopausal</w:t>
            </w:r>
            <w:r w:rsidRPr="00A5307F">
              <w:rPr>
                <w:rFonts w:ascii="Book Antiqua" w:hAnsi="Book Antiqua" w:cs="Times New Roman"/>
              </w:rPr>
              <w:t xml:space="preserve"> infection rates were similar to men of the same age;</w:t>
            </w:r>
            <w:r w:rsidR="008A4B54">
              <w:rPr>
                <w:rFonts w:ascii="Book Antiqua" w:hAnsi="Book Antiqua" w:cs="Times New Roman"/>
              </w:rPr>
              <w:t xml:space="preserve"> </w:t>
            </w:r>
            <w:r w:rsidRPr="00A5307F">
              <w:rPr>
                <w:rFonts w:ascii="Book Antiqua" w:hAnsi="Book Antiqua" w:cs="Times New Roman"/>
              </w:rPr>
              <w:t xml:space="preserve">-fatality risk for women &gt; 50 yr receiving hormone therapy with estradiol was reduced by &gt; 50% (OR 0.33, HR 0.29) </w:t>
            </w:r>
            <w:r w:rsidR="00E7444B">
              <w:rPr>
                <w:rFonts w:ascii="Book Antiqua" w:hAnsi="Book Antiqua" w:cs="Times New Roman"/>
              </w:rPr>
              <w:t>compared with</w:t>
            </w:r>
            <w:r w:rsidRPr="00A5307F">
              <w:rPr>
                <w:rFonts w:ascii="Book Antiqua" w:hAnsi="Book Antiqua" w:cs="Times New Roman"/>
              </w:rPr>
              <w:t xml:space="preserve"> women not receiving HRT. For younger women, (15</w:t>
            </w:r>
            <w:r w:rsidR="00E7444B">
              <w:rPr>
                <w:rFonts w:ascii="Book Antiqua" w:hAnsi="Book Antiqua" w:cs="Times New Roman"/>
              </w:rPr>
              <w:t>–</w:t>
            </w:r>
            <w:r w:rsidRPr="00A5307F">
              <w:rPr>
                <w:rFonts w:ascii="Book Antiqua" w:hAnsi="Book Antiqua" w:cs="Times New Roman"/>
              </w:rPr>
              <w:t>49 yr</w:t>
            </w:r>
            <w:r w:rsidR="00E7444B">
              <w:rPr>
                <w:rFonts w:ascii="Book Antiqua" w:hAnsi="Book Antiqua" w:cs="Times New Roman"/>
              </w:rPr>
              <w:t xml:space="preserve"> of age</w:t>
            </w:r>
            <w:r w:rsidRPr="00A5307F">
              <w:rPr>
                <w:rFonts w:ascii="Book Antiqua" w:hAnsi="Book Antiqua" w:cs="Times New Roman"/>
              </w:rPr>
              <w:t>) risk of COVID-19 fatality was the same irrespective of estradiol treatment</w:t>
            </w:r>
          </w:p>
        </w:tc>
      </w:tr>
      <w:tr w:rsidR="0043602C" w:rsidRPr="00A5307F" w14:paraId="1A0F40EC" w14:textId="77777777" w:rsidTr="000A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none" w:sz="0" w:space="0" w:color="auto"/>
              <w:bottom w:val="none" w:sz="0" w:space="0" w:color="auto"/>
            </w:tcBorders>
          </w:tcPr>
          <w:p w14:paraId="6DAA9A0B" w14:textId="443BF08F" w:rsidR="0043602C" w:rsidRPr="00A5307F" w:rsidRDefault="0043602C"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lastRenderedPageBreak/>
              <w:t xml:space="preserve">Infante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[24]</w:t>
            </w:r>
            <w:r w:rsidR="007C62BC" w:rsidRPr="00A5307F">
              <w:rPr>
                <w:rFonts w:ascii="Book Antiqua" w:hAnsi="Book Antiqua"/>
              </w:rPr>
              <w:fldChar w:fldCharType="begin">
                <w:fldData xml:space="preserve">PEVuZE5vdGU+PENpdGUgSGlkZGVuPSIxIj48QXV0aG9yPkluZmFudGU8L0F1dGhvcj48WWVhcj4y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</w:fldData>
              </w:fldChar>
            </w:r>
            <w:r w:rsidRPr="00A5307F">
              <w:rPr>
                <w:rFonts w:ascii="Book Antiqua" w:hAnsi="Book Antiqua" w:cs="Times New Roman"/>
                <w:b w:val="0"/>
                <w:bCs w:val="0"/>
              </w:rPr>
              <w:instrText xml:space="preserve"> ADDIN EN.CITE </w:instrText>
            </w:r>
            <w:r w:rsidR="007C62BC" w:rsidRPr="00A5307F">
              <w:rPr>
                <w:rFonts w:ascii="Book Antiqua" w:hAnsi="Book Antiqua"/>
              </w:rPr>
              <w:fldChar w:fldCharType="begin">
                <w:fldData xml:space="preserve">PEVuZE5vdGU+PENpdGUgSGlkZGVuPSIxIj48QXV0aG9yPkluZmFudGU8L0F1dGhvcj48WWVhcj4y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</w:fldData>
              </w:fldChar>
            </w:r>
            <w:r w:rsidRPr="00A5307F">
              <w:rPr>
                <w:rFonts w:ascii="Book Antiqua" w:hAnsi="Book Antiqua" w:cs="Times New Roman"/>
                <w:b w:val="0"/>
                <w:bCs w:val="0"/>
              </w:rPr>
              <w:instrText xml:space="preserve"> ADDIN EN.CITE.DATA </w:instrText>
            </w:r>
            <w:r w:rsidR="007C62BC" w:rsidRPr="00A5307F">
              <w:rPr>
                <w:rFonts w:ascii="Book Antiqua" w:hAnsi="Book Antiqua"/>
              </w:rPr>
            </w:r>
            <w:r w:rsidR="007C62BC" w:rsidRPr="00A5307F">
              <w:rPr>
                <w:rFonts w:ascii="Book Antiqua" w:hAnsi="Book Antiqua"/>
              </w:rPr>
              <w:fldChar w:fldCharType="end"/>
            </w:r>
            <w:r w:rsidR="007C62BC" w:rsidRPr="00A5307F">
              <w:rPr>
                <w:rFonts w:ascii="Book Antiqua" w:hAnsi="Book Antiqua"/>
              </w:rPr>
            </w:r>
            <w:r w:rsidR="007C62BC" w:rsidRPr="00A5307F">
              <w:rPr>
                <w:rFonts w:ascii="Book Antiqua" w:hAnsi="Book Antiqua"/>
              </w:rPr>
              <w:fldChar w:fldCharType="end"/>
            </w:r>
            <w:r w:rsidRPr="00A5307F">
              <w:rPr>
                <w:rFonts w:ascii="Book Antiqua" w:hAnsi="Book Antiqua" w:cs="Times New Roman"/>
                <w:b w:val="0"/>
                <w:bCs w:val="0"/>
                <w:lang w:eastAsia="zh-CN"/>
              </w:rPr>
              <w:t>,</w:t>
            </w:r>
            <w:r w:rsidR="008A4B54">
              <w:rPr>
                <w:rFonts w:ascii="Book Antiqua" w:hAnsi="Book Antiqua" w:cs="Times New Roman"/>
                <w:b w:val="0"/>
                <w:bCs w:val="0"/>
                <w:lang w:eastAsia="zh-CN"/>
              </w:rPr>
              <w:t xml:space="preserve"> </w:t>
            </w:r>
            <w:r w:rsidRPr="00A5307F">
              <w:rPr>
                <w:rFonts w:ascii="Book Antiqua" w:hAnsi="Book Antiqua" w:cs="Times New Roman"/>
                <w:b w:val="0"/>
                <w:bCs w:val="0"/>
                <w:lang w:val="en-CA"/>
              </w:rPr>
              <w:t>Asses testosterone levels at time of admission with inflammatory state and in-hospital mortality rate</w:t>
            </w:r>
          </w:p>
        </w:tc>
        <w:tc>
          <w:tcPr>
            <w:tcW w:w="1905" w:type="dxa"/>
            <w:tcBorders>
              <w:top w:val="none" w:sz="0" w:space="0" w:color="auto"/>
              <w:bottom w:val="none" w:sz="0" w:space="0" w:color="auto"/>
            </w:tcBorders>
          </w:tcPr>
          <w:p w14:paraId="44E47894"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Retrospective cohort study</w:t>
            </w:r>
          </w:p>
        </w:tc>
        <w:tc>
          <w:tcPr>
            <w:tcW w:w="2082" w:type="dxa"/>
            <w:tcBorders>
              <w:top w:val="none" w:sz="0" w:space="0" w:color="auto"/>
              <w:bottom w:val="none" w:sz="0" w:space="0" w:color="auto"/>
            </w:tcBorders>
          </w:tcPr>
          <w:p w14:paraId="0BF2A4DA"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40 symptomatic men with confirmed COVID-19 infections admitted to hospital. Patients were divided into two groups, survivors (</w:t>
            </w:r>
            <w:r w:rsidRPr="00A5307F">
              <w:rPr>
                <w:rFonts w:ascii="Book Antiqua" w:hAnsi="Book Antiqua" w:cs="Times New Roman"/>
                <w:i/>
                <w:iCs/>
              </w:rPr>
              <w:t>n</w:t>
            </w:r>
            <w:r w:rsidRPr="00A5307F">
              <w:rPr>
                <w:rFonts w:ascii="Book Antiqua" w:hAnsi="Book Antiqua" w:cs="Times New Roman"/>
              </w:rPr>
              <w:t xml:space="preserve"> = 20), and non-survivors (</w:t>
            </w:r>
            <w:r w:rsidRPr="00A5307F">
              <w:rPr>
                <w:rFonts w:ascii="Book Antiqua" w:hAnsi="Book Antiqua" w:cs="Times New Roman"/>
                <w:i/>
                <w:iCs/>
              </w:rPr>
              <w:t>n</w:t>
            </w:r>
            <w:r w:rsidRPr="00A5307F">
              <w:rPr>
                <w:rFonts w:ascii="Book Antiqua" w:hAnsi="Book Antiqua" w:cs="Times New Roman"/>
              </w:rPr>
              <w:t xml:space="preserve"> = 39)</w:t>
            </w:r>
          </w:p>
        </w:tc>
        <w:tc>
          <w:tcPr>
            <w:tcW w:w="3791" w:type="dxa"/>
            <w:tcBorders>
              <w:top w:val="none" w:sz="0" w:space="0" w:color="auto"/>
              <w:bottom w:val="none" w:sz="0" w:space="0" w:color="auto"/>
            </w:tcBorders>
          </w:tcPr>
          <w:p w14:paraId="76AB05ED" w14:textId="1410D25F"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Low total testosterone levels and elevated E2/T ratios (a marker </w:t>
            </w:r>
            <w:r w:rsidR="00E7444B">
              <w:rPr>
                <w:rFonts w:ascii="Book Antiqua" w:hAnsi="Book Antiqua" w:cs="Times New Roman"/>
              </w:rPr>
              <w:t>of</w:t>
            </w:r>
            <w:r w:rsidR="00E7444B" w:rsidRPr="00A5307F">
              <w:rPr>
                <w:rFonts w:ascii="Book Antiqua" w:hAnsi="Book Antiqua" w:cs="Times New Roman"/>
              </w:rPr>
              <w:t xml:space="preserve"> </w:t>
            </w:r>
            <w:r w:rsidRPr="00A5307F">
              <w:rPr>
                <w:rFonts w:ascii="Book Antiqua" w:hAnsi="Book Antiqua" w:cs="Times New Roman"/>
              </w:rPr>
              <w:t>aromatase activity) were associated with a hyperinflammatory state. Low testosterone was an independent risk factor for in-hospital mortality</w:t>
            </w:r>
          </w:p>
        </w:tc>
      </w:tr>
      <w:tr w:rsidR="0043602C" w:rsidRPr="00A5307F" w14:paraId="61823A1B" w14:textId="77777777" w:rsidTr="000A5039">
        <w:tc>
          <w:tcPr>
            <w:cnfStyle w:val="001000000000" w:firstRow="0" w:lastRow="0" w:firstColumn="1" w:lastColumn="0" w:oddVBand="0" w:evenVBand="0" w:oddHBand="0" w:evenHBand="0" w:firstRowFirstColumn="0" w:firstRowLastColumn="0" w:lastRowFirstColumn="0" w:lastRowLastColumn="0"/>
            <w:tcW w:w="1677" w:type="dxa"/>
          </w:tcPr>
          <w:p w14:paraId="563A5FE5" w14:textId="327A4C3E" w:rsidR="0043602C" w:rsidRPr="00A5307F" w:rsidRDefault="0043602C"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Rambhatla</w:t>
            </w:r>
            <w:r w:rsidRPr="00A5307F">
              <w:rPr>
                <w:rFonts w:ascii="Book Antiqua" w:hAnsi="Book Antiqua" w:cs="Times New Roman"/>
                <w:b w:val="0"/>
                <w:bCs w:val="0"/>
                <w:i/>
                <w:iCs/>
              </w:rPr>
              <w:t xml:space="preserve"> et al</w:t>
            </w:r>
            <w:r w:rsidRPr="00A5307F">
              <w:rPr>
                <w:rFonts w:ascii="Book Antiqua" w:hAnsi="Book Antiqua" w:cs="Times New Roman"/>
                <w:b w:val="0"/>
                <w:bCs w:val="0"/>
                <w:vertAlign w:val="superscript"/>
              </w:rPr>
              <w:t>[27]</w:t>
            </w:r>
            <w:r w:rsidR="007C62BC" w:rsidRPr="00A5307F">
              <w:rPr>
                <w:rFonts w:ascii="Book Antiqua" w:hAnsi="Book Antiqua"/>
              </w:rPr>
              <w:fldChar w:fldCharType="begin">
                <w:fldData xml:space="preserve">PEVuZE5vdGU+PENpdGUgSGlkZGVuPSIxIj48QXV0aG9yPlJhbWJoYXRsYTwvQXV0aG9yPjxZZWFy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</w:fldData>
              </w:fldChar>
            </w:r>
            <w:r w:rsidRPr="00A5307F">
              <w:rPr>
                <w:rFonts w:ascii="Book Antiqua" w:hAnsi="Book Antiqua" w:cs="Times New Roman"/>
                <w:b w:val="0"/>
                <w:bCs w:val="0"/>
              </w:rPr>
              <w:instrText xml:space="preserve"> ADDIN EN.CITE </w:instrText>
            </w:r>
            <w:r w:rsidR="007C62BC" w:rsidRPr="00A5307F">
              <w:rPr>
                <w:rFonts w:ascii="Book Antiqua" w:hAnsi="Book Antiqua"/>
              </w:rPr>
              <w:fldChar w:fldCharType="begin">
                <w:fldData xml:space="preserve">PEVuZE5vdGU+PENpdGUgSGlkZGVuPSIxIj48QXV0aG9yPlJhbWJoYXRsYTwvQXV0aG9yPjxZZWFy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</w:fldData>
              </w:fldChar>
            </w:r>
            <w:r w:rsidRPr="00A5307F">
              <w:rPr>
                <w:rFonts w:ascii="Book Antiqua" w:hAnsi="Book Antiqua" w:cs="Times New Roman"/>
                <w:b w:val="0"/>
                <w:bCs w:val="0"/>
              </w:rPr>
              <w:instrText xml:space="preserve"> ADDIN EN.CITE.DATA </w:instrText>
            </w:r>
            <w:r w:rsidR="007C62BC" w:rsidRPr="00A5307F">
              <w:rPr>
                <w:rFonts w:ascii="Book Antiqua" w:hAnsi="Book Antiqua"/>
              </w:rPr>
            </w:r>
            <w:r w:rsidR="007C62BC" w:rsidRPr="00A5307F">
              <w:rPr>
                <w:rFonts w:ascii="Book Antiqua" w:hAnsi="Book Antiqua"/>
              </w:rPr>
              <w:fldChar w:fldCharType="end"/>
            </w:r>
            <w:r w:rsidR="007C62BC" w:rsidRPr="00A5307F">
              <w:rPr>
                <w:rFonts w:ascii="Book Antiqua" w:hAnsi="Book Antiqua"/>
              </w:rPr>
            </w:r>
            <w:r w:rsidR="007C62BC" w:rsidRPr="00A5307F">
              <w:rPr>
                <w:rFonts w:ascii="Book Antiqua" w:hAnsi="Book Antiqua"/>
              </w:rPr>
              <w:fldChar w:fldCharType="end"/>
            </w:r>
            <w:r w:rsidRPr="00A5307F">
              <w:rPr>
                <w:rFonts w:ascii="Book Antiqua" w:hAnsi="Book Antiqua" w:cs="Times New Roman"/>
                <w:b w:val="0"/>
                <w:bCs w:val="0"/>
                <w:lang w:eastAsia="zh-CN"/>
              </w:rPr>
              <w:t>,</w:t>
            </w:r>
            <w:r w:rsidR="008A4B54">
              <w:rPr>
                <w:rFonts w:ascii="Book Antiqua" w:hAnsi="Book Antiqua" w:cs="Times New Roman"/>
                <w:b w:val="0"/>
                <w:bCs w:val="0"/>
                <w:lang w:eastAsia="zh-CN"/>
              </w:rPr>
              <w:t xml:space="preserve"> </w:t>
            </w:r>
            <w:r w:rsidRPr="00A5307F">
              <w:rPr>
                <w:rFonts w:ascii="Book Antiqua" w:hAnsi="Book Antiqua" w:cs="Times New Roman"/>
                <w:b w:val="0"/>
                <w:bCs w:val="0"/>
              </w:rPr>
              <w:t>Assess</w:t>
            </w:r>
            <w:r w:rsidR="00E7444B">
              <w:rPr>
                <w:rFonts w:ascii="Book Antiqua" w:hAnsi="Book Antiqua" w:cs="Times New Roman"/>
                <w:b w:val="0"/>
                <w:bCs w:val="0"/>
              </w:rPr>
              <w:t>ed</w:t>
            </w:r>
            <w:r w:rsidRPr="00A5307F">
              <w:rPr>
                <w:rFonts w:ascii="Book Antiqua" w:hAnsi="Book Antiqua" w:cs="Times New Roman"/>
                <w:b w:val="0"/>
                <w:bCs w:val="0"/>
              </w:rPr>
              <w:t xml:space="preserve"> the </w:t>
            </w:r>
            <w:r w:rsidRPr="00A5307F">
              <w:rPr>
                <w:rFonts w:ascii="Book Antiqua" w:hAnsi="Book Antiqua" w:cs="Times New Roman"/>
                <w:b w:val="0"/>
                <w:bCs w:val="0"/>
              </w:rPr>
              <w:lastRenderedPageBreak/>
              <w:t>outcomes of COVID-19 infection in men on testosterone replacement therapy</w:t>
            </w:r>
          </w:p>
        </w:tc>
        <w:tc>
          <w:tcPr>
            <w:tcW w:w="1905" w:type="dxa"/>
          </w:tcPr>
          <w:p w14:paraId="187DBCF2"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Retrospective case control study</w:t>
            </w:r>
          </w:p>
        </w:tc>
        <w:tc>
          <w:tcPr>
            <w:tcW w:w="2082" w:type="dxa"/>
          </w:tcPr>
          <w:p w14:paraId="2AC640D8"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32 men diagnosed with COVID-19 on </w:t>
            </w:r>
            <w:r w:rsidRPr="00A5307F">
              <w:rPr>
                <w:rFonts w:ascii="Book Antiqua" w:hAnsi="Book Antiqua" w:cs="Times New Roman"/>
              </w:rPr>
              <w:lastRenderedPageBreak/>
              <w:t>testosterone replacement therapy (TRT) were matched to 63 men with COVID-19 diagnosis but not on TRT</w:t>
            </w:r>
          </w:p>
        </w:tc>
        <w:tc>
          <w:tcPr>
            <w:tcW w:w="3791" w:type="dxa"/>
          </w:tcPr>
          <w:p w14:paraId="12B26966"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 xml:space="preserve">No statistically significant difference in outcome endpoints (hospitalization, ICU admission, </w:t>
            </w:r>
            <w:r w:rsidRPr="00A5307F">
              <w:rPr>
                <w:rFonts w:ascii="Book Antiqua" w:hAnsi="Book Antiqua" w:cs="Times New Roman"/>
              </w:rPr>
              <w:lastRenderedPageBreak/>
              <w:t>ventilator utilizations, thrombotic event, death) between two groups.</w:t>
            </w:r>
            <w:r w:rsidR="00C6277F">
              <w:rPr>
                <w:rFonts w:ascii="Book Antiqua" w:hAnsi="Book Antiqua" w:cs="Times New Roman"/>
              </w:rPr>
              <w:t xml:space="preserve"> </w:t>
            </w:r>
            <w:r w:rsidRPr="00A5307F">
              <w:rPr>
                <w:rFonts w:ascii="Book Antiqua" w:hAnsi="Book Antiqua" w:cs="Times New Roman"/>
              </w:rPr>
              <w:t xml:space="preserve">Results suggest that no statistically significant difference in outcomes for men treated with TRT than men not on TRT. </w:t>
            </w:r>
          </w:p>
        </w:tc>
      </w:tr>
      <w:tr w:rsidR="0043602C" w:rsidRPr="00A5307F" w14:paraId="48EA9939" w14:textId="77777777" w:rsidTr="000A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none" w:sz="0" w:space="0" w:color="auto"/>
              <w:bottom w:val="none" w:sz="0" w:space="0" w:color="auto"/>
            </w:tcBorders>
          </w:tcPr>
          <w:p w14:paraId="5BFC05A8" w14:textId="6463460D" w:rsidR="0043602C" w:rsidRPr="00A5307F" w:rsidRDefault="0043602C"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lastRenderedPageBreak/>
              <w:t>Salonia</w:t>
            </w:r>
            <w:r w:rsidR="00021694">
              <w:rPr>
                <w:rFonts w:ascii="Book Antiqua" w:hAnsi="Book Antiqua" w:cs="Times New Roman"/>
                <w:b w:val="0"/>
                <w:bCs w:val="0"/>
              </w:rPr>
              <w:t xml:space="preserv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[26]</w:t>
            </w:r>
            <w:r w:rsidR="007C62BC" w:rsidRPr="00A5307F">
              <w:rPr>
                <w:rFonts w:ascii="Book Antiqua" w:hAnsi="Book Antiqua"/>
              </w:rPr>
              <w:fldChar w:fldCharType="begin">
                <w:fldData xml:space="preserve">PEVuZE5vdGU+PENpdGUgSGlkZGVuPSIxIj48QXV0aG9yPlNhbG9uaWE8L0F1dGhvcj48WWVhcj4y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==
</w:fldData>
              </w:fldChar>
            </w:r>
            <w:r w:rsidRPr="00A5307F">
              <w:rPr>
                <w:rFonts w:ascii="Book Antiqua" w:hAnsi="Book Antiqua" w:cs="Times New Roman"/>
                <w:b w:val="0"/>
                <w:bCs w:val="0"/>
              </w:rPr>
              <w:instrText xml:space="preserve"> ADDIN EN.CITE </w:instrText>
            </w:r>
            <w:r w:rsidR="007C62BC" w:rsidRPr="00A5307F">
              <w:rPr>
                <w:rFonts w:ascii="Book Antiqua" w:hAnsi="Book Antiqua"/>
              </w:rPr>
              <w:fldChar w:fldCharType="begin">
                <w:fldData xml:space="preserve">PEVuZE5vdGU+PENpdGUgSGlkZGVuPSIxIj48QXV0aG9yPlNhbG9uaWE8L0F1dGhvcj48WWVhcj4y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==
</w:fldData>
              </w:fldChar>
            </w:r>
            <w:r w:rsidRPr="00A5307F">
              <w:rPr>
                <w:rFonts w:ascii="Book Antiqua" w:hAnsi="Book Antiqua" w:cs="Times New Roman"/>
                <w:b w:val="0"/>
                <w:bCs w:val="0"/>
              </w:rPr>
              <w:instrText xml:space="preserve"> ADDIN EN.CITE.DATA </w:instrText>
            </w:r>
            <w:r w:rsidR="007C62BC" w:rsidRPr="00A5307F">
              <w:rPr>
                <w:rFonts w:ascii="Book Antiqua" w:hAnsi="Book Antiqua"/>
              </w:rPr>
            </w:r>
            <w:r w:rsidR="007C62BC" w:rsidRPr="00A5307F">
              <w:rPr>
                <w:rFonts w:ascii="Book Antiqua" w:hAnsi="Book Antiqua"/>
              </w:rPr>
              <w:fldChar w:fldCharType="end"/>
            </w:r>
            <w:r w:rsidR="007C62BC" w:rsidRPr="00A5307F">
              <w:rPr>
                <w:rFonts w:ascii="Book Antiqua" w:hAnsi="Book Antiqua"/>
              </w:rPr>
            </w:r>
            <w:r w:rsidR="007C62BC" w:rsidRPr="00A5307F">
              <w:rPr>
                <w:rFonts w:ascii="Book Antiqua" w:hAnsi="Book Antiqua"/>
              </w:rPr>
              <w:fldChar w:fldCharType="end"/>
            </w:r>
            <w:r w:rsidRPr="00A5307F">
              <w:rPr>
                <w:rFonts w:ascii="Book Antiqua" w:hAnsi="Book Antiqua" w:cs="Times New Roman"/>
                <w:b w:val="0"/>
                <w:bCs w:val="0"/>
                <w:lang w:eastAsia="zh-CN"/>
              </w:rPr>
              <w:t>,</w:t>
            </w:r>
            <w:r w:rsidR="00021694">
              <w:rPr>
                <w:rFonts w:ascii="Book Antiqua" w:hAnsi="Book Antiqua" w:cs="Times New Roman"/>
                <w:b w:val="0"/>
                <w:bCs w:val="0"/>
                <w:lang w:eastAsia="zh-CN"/>
              </w:rPr>
              <w:t xml:space="preserve"> </w:t>
            </w:r>
            <w:r w:rsidRPr="00A5307F">
              <w:rPr>
                <w:rFonts w:ascii="Book Antiqua" w:hAnsi="Book Antiqua" w:cs="Times New Roman"/>
                <w:b w:val="0"/>
                <w:bCs w:val="0"/>
              </w:rPr>
              <w:t>Evaluate</w:t>
            </w:r>
            <w:r w:rsidR="00E7444B">
              <w:rPr>
                <w:rFonts w:ascii="Book Antiqua" w:hAnsi="Book Antiqua" w:cs="Times New Roman"/>
                <w:b w:val="0"/>
                <w:bCs w:val="0"/>
              </w:rPr>
              <w:t>d</w:t>
            </w:r>
            <w:r w:rsidRPr="00A5307F">
              <w:rPr>
                <w:rFonts w:ascii="Book Antiqua" w:hAnsi="Book Antiqua" w:cs="Times New Roman"/>
                <w:b w:val="0"/>
                <w:bCs w:val="0"/>
              </w:rPr>
              <w:t xml:space="preserve"> testosterone levels in men with COVID-19 </w:t>
            </w:r>
            <w:r w:rsidR="00E7444B">
              <w:rPr>
                <w:rFonts w:ascii="Book Antiqua" w:hAnsi="Book Antiqua" w:cs="Times New Roman"/>
                <w:b w:val="0"/>
                <w:bCs w:val="0"/>
              </w:rPr>
              <w:t>compared with</w:t>
            </w:r>
            <w:r w:rsidRPr="00A5307F">
              <w:rPr>
                <w:rFonts w:ascii="Book Antiqua" w:hAnsi="Book Antiqua" w:cs="Times New Roman"/>
                <w:b w:val="0"/>
                <w:bCs w:val="0"/>
              </w:rPr>
              <w:t xml:space="preserve"> healthy men </w:t>
            </w:r>
          </w:p>
        </w:tc>
        <w:tc>
          <w:tcPr>
            <w:tcW w:w="1905" w:type="dxa"/>
            <w:tcBorders>
              <w:top w:val="none" w:sz="0" w:space="0" w:color="auto"/>
              <w:bottom w:val="none" w:sz="0" w:space="0" w:color="auto"/>
            </w:tcBorders>
          </w:tcPr>
          <w:p w14:paraId="6E71F4CA"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Retrospective case control study</w:t>
            </w:r>
          </w:p>
        </w:tc>
        <w:tc>
          <w:tcPr>
            <w:tcW w:w="2082" w:type="dxa"/>
            <w:tcBorders>
              <w:top w:val="none" w:sz="0" w:space="0" w:color="auto"/>
              <w:bottom w:val="none" w:sz="0" w:space="0" w:color="auto"/>
            </w:tcBorders>
          </w:tcPr>
          <w:p w14:paraId="24C8E5C4"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286 symptomatic men with COVID-19 requiring hospital admission Control group: 281 healthy men</w:t>
            </w:r>
          </w:p>
        </w:tc>
        <w:tc>
          <w:tcPr>
            <w:tcW w:w="3791" w:type="dxa"/>
            <w:tcBorders>
              <w:top w:val="none" w:sz="0" w:space="0" w:color="auto"/>
              <w:bottom w:val="none" w:sz="0" w:space="0" w:color="auto"/>
            </w:tcBorders>
          </w:tcPr>
          <w:p w14:paraId="4A2357C2"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-Men with COVID-19 had significantly lower serum testosterone levels than healthy men. Lower testosterone levels were independently associated with COVID-19 infection status, and lower levels of testosterone predicted more severe clinical outcomes</w:t>
            </w:r>
          </w:p>
        </w:tc>
      </w:tr>
      <w:tr w:rsidR="0043602C" w:rsidRPr="00A5307F" w14:paraId="4499C00C" w14:textId="77777777" w:rsidTr="000A5039">
        <w:tc>
          <w:tcPr>
            <w:cnfStyle w:val="001000000000" w:firstRow="0" w:lastRow="0" w:firstColumn="1" w:lastColumn="0" w:oddVBand="0" w:evenVBand="0" w:oddHBand="0" w:evenHBand="0" w:firstRowFirstColumn="0" w:firstRowLastColumn="0" w:lastRowFirstColumn="0" w:lastRowLastColumn="0"/>
            <w:tcW w:w="1677" w:type="dxa"/>
          </w:tcPr>
          <w:p w14:paraId="6B050130" w14:textId="27DB50E4" w:rsidR="0043602C" w:rsidRPr="00A5307F" w:rsidRDefault="0043602C"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Ding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[30]</w:t>
            </w:r>
            <w:r w:rsidR="007C62BC" w:rsidRPr="00A5307F">
              <w:rPr>
                <w:rFonts w:ascii="Book Antiqua" w:hAnsi="Book Antiqua"/>
              </w:rPr>
              <w:fldChar w:fldCharType="begin">
                <w:fldData xml:space="preserve">PEVuZE5vdGU+PENpdGUgSGlkZGVuPSIxIj48QXV0aG9yPkRpbmc8L0F1dGhvcj48WWVhcj4yMDIx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</w:fldData>
              </w:fldChar>
            </w:r>
            <w:r w:rsidRPr="00A5307F">
              <w:rPr>
                <w:rFonts w:ascii="Book Antiqua" w:hAnsi="Book Antiqua" w:cs="Times New Roman"/>
                <w:b w:val="0"/>
                <w:bCs w:val="0"/>
              </w:rPr>
              <w:instrText xml:space="preserve"> ADDIN EN.CITE </w:instrText>
            </w:r>
            <w:r w:rsidR="007C62BC" w:rsidRPr="00A5307F">
              <w:rPr>
                <w:rFonts w:ascii="Book Antiqua" w:hAnsi="Book Antiqua"/>
              </w:rPr>
              <w:fldChar w:fldCharType="begin">
                <w:fldData xml:space="preserve">PEVuZE5vdGU+PENpdGUgSGlkZGVuPSIxIj48QXV0aG9yPkRpbmc8L0F1dGhvcj48WWVhcj4yMDIx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</w:fldData>
              </w:fldChar>
            </w:r>
            <w:r w:rsidRPr="00A5307F">
              <w:rPr>
                <w:rFonts w:ascii="Book Antiqua" w:hAnsi="Book Antiqua" w:cs="Times New Roman"/>
                <w:b w:val="0"/>
                <w:bCs w:val="0"/>
              </w:rPr>
              <w:instrText xml:space="preserve"> ADDIN EN.CITE.DATA </w:instrText>
            </w:r>
            <w:r w:rsidR="007C62BC" w:rsidRPr="00A5307F">
              <w:rPr>
                <w:rFonts w:ascii="Book Antiqua" w:hAnsi="Book Antiqua"/>
              </w:rPr>
            </w:r>
            <w:r w:rsidR="007C62BC" w:rsidRPr="00A5307F">
              <w:rPr>
                <w:rFonts w:ascii="Book Antiqua" w:hAnsi="Book Antiqua"/>
              </w:rPr>
              <w:fldChar w:fldCharType="end"/>
            </w:r>
            <w:r w:rsidR="007C62BC" w:rsidRPr="00A5307F">
              <w:rPr>
                <w:rFonts w:ascii="Book Antiqua" w:hAnsi="Book Antiqua"/>
              </w:rPr>
            </w:r>
            <w:r w:rsidR="007C62BC" w:rsidRPr="00A5307F">
              <w:rPr>
                <w:rFonts w:ascii="Book Antiqua" w:hAnsi="Book Antiqua"/>
              </w:rPr>
              <w:fldChar w:fldCharType="end"/>
            </w:r>
            <w:r w:rsidRPr="00A5307F">
              <w:rPr>
                <w:rFonts w:ascii="Book Antiqua" w:hAnsi="Book Antiqua" w:cs="Times New Roman"/>
                <w:b w:val="0"/>
                <w:bCs w:val="0"/>
                <w:lang w:eastAsia="zh-CN"/>
              </w:rPr>
              <w:t>,</w:t>
            </w:r>
            <w:r w:rsidR="00021694">
              <w:rPr>
                <w:rFonts w:ascii="Book Antiqua" w:hAnsi="Book Antiqua" w:cs="Times New Roman"/>
                <w:b w:val="0"/>
                <w:bCs w:val="0"/>
                <w:lang w:eastAsia="zh-CN"/>
              </w:rPr>
              <w:t xml:space="preserve"> </w:t>
            </w:r>
            <w:r w:rsidRPr="00A5307F">
              <w:rPr>
                <w:rFonts w:ascii="Book Antiqua" w:hAnsi="Book Antiqua" w:cs="Times New Roman"/>
                <w:b w:val="0"/>
                <w:bCs w:val="0"/>
              </w:rPr>
              <w:t>Examine</w:t>
            </w:r>
            <w:r w:rsidR="00E7444B">
              <w:rPr>
                <w:rFonts w:ascii="Book Antiqua" w:hAnsi="Book Antiqua" w:cs="Times New Roman"/>
                <w:b w:val="0"/>
                <w:bCs w:val="0"/>
              </w:rPr>
              <w:t>d</w:t>
            </w:r>
            <w:r w:rsidRPr="00A5307F">
              <w:rPr>
                <w:rFonts w:ascii="Book Antiqua" w:hAnsi="Book Antiqua" w:cs="Times New Roman"/>
                <w:b w:val="0"/>
                <w:bCs w:val="0"/>
              </w:rPr>
              <w:t xml:space="preserve"> how menstrual status and sex hormones affect the progression and outcomes of COVID-19</w:t>
            </w:r>
          </w:p>
          <w:p w14:paraId="3A0B7457" w14:textId="77777777" w:rsidR="0043602C" w:rsidRPr="00A5307F" w:rsidRDefault="0043602C" w:rsidP="000A5039">
            <w:pPr>
              <w:spacing w:line="360" w:lineRule="auto"/>
              <w:jc w:val="both"/>
              <w:rPr>
                <w:rFonts w:ascii="Book Antiqua" w:hAnsi="Book Antiqua" w:cs="Times New Roman"/>
                <w:b w:val="0"/>
                <w:bCs w:val="0"/>
              </w:rPr>
            </w:pPr>
          </w:p>
        </w:tc>
        <w:tc>
          <w:tcPr>
            <w:tcW w:w="1905" w:type="dxa"/>
          </w:tcPr>
          <w:p w14:paraId="647B08A4"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Retrospective cohort study</w:t>
            </w:r>
          </w:p>
        </w:tc>
        <w:tc>
          <w:tcPr>
            <w:tcW w:w="2082" w:type="dxa"/>
          </w:tcPr>
          <w:p w14:paraId="5F077004" w14:textId="445FB67D"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All confirmed hospitalized COVID-19 patients from three hospitals (</w:t>
            </w:r>
            <w:r w:rsidRPr="00A5307F">
              <w:rPr>
                <w:rFonts w:ascii="Book Antiqua" w:hAnsi="Book Antiqua" w:cs="Times New Roman"/>
                <w:i/>
                <w:iCs/>
              </w:rPr>
              <w:t>N</w:t>
            </w:r>
            <w:r w:rsidRPr="00A5307F">
              <w:rPr>
                <w:rFonts w:ascii="Book Antiqua" w:hAnsi="Book Antiqua" w:cs="Times New Roman"/>
              </w:rPr>
              <w:t xml:space="preserve"> = 1902).</w:t>
            </w:r>
            <w:r w:rsidR="008A4B54">
              <w:rPr>
                <w:rFonts w:ascii="Book Antiqua" w:hAnsi="Book Antiqua" w:cs="Times New Roman"/>
              </w:rPr>
              <w:t xml:space="preserve"> </w:t>
            </w:r>
            <w:r w:rsidRPr="00A5307F">
              <w:rPr>
                <w:rFonts w:ascii="Book Antiqua" w:hAnsi="Book Antiqua" w:cs="Times New Roman"/>
              </w:rPr>
              <w:t>Cohort 1: Sex differences and disease severity (</w:t>
            </w:r>
            <w:r w:rsidRPr="00A5307F">
              <w:rPr>
                <w:rFonts w:ascii="Book Antiqua" w:hAnsi="Book Antiqua" w:cs="Times New Roman"/>
                <w:i/>
                <w:iCs/>
              </w:rPr>
              <w:t>N</w:t>
            </w:r>
            <w:r w:rsidRPr="00A5307F">
              <w:rPr>
                <w:rFonts w:ascii="Book Antiqua" w:hAnsi="Book Antiqua" w:cs="Times New Roman"/>
              </w:rPr>
              <w:t xml:space="preserve"> = 1902); Cohort 2:Women with </w:t>
            </w:r>
            <w:r w:rsidRPr="00A5307F">
              <w:rPr>
                <w:rFonts w:ascii="Book Antiqua" w:hAnsi="Book Antiqua" w:cs="Times New Roman"/>
              </w:rPr>
              <w:lastRenderedPageBreak/>
              <w:t>menstrual status (</w:t>
            </w:r>
            <w:r w:rsidRPr="00A5307F">
              <w:rPr>
                <w:rFonts w:ascii="Book Antiqua" w:hAnsi="Book Antiqua" w:cs="Times New Roman"/>
                <w:i/>
                <w:iCs/>
              </w:rPr>
              <w:t>N</w:t>
            </w:r>
            <w:r w:rsidRPr="00A5307F">
              <w:rPr>
                <w:rFonts w:ascii="Book Antiqua" w:hAnsi="Book Antiqua" w:cs="Times New Roman"/>
              </w:rPr>
              <w:t xml:space="preserve"> = 509)</w:t>
            </w:r>
          </w:p>
          <w:p w14:paraId="3B612DA2"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Cohort 3:Serum hormone levels (</w:t>
            </w:r>
            <w:r w:rsidRPr="00A5307F">
              <w:rPr>
                <w:rFonts w:ascii="Book Antiqua" w:hAnsi="Book Antiqua" w:cs="Times New Roman"/>
                <w:i/>
                <w:iCs/>
              </w:rPr>
              <w:t>N</w:t>
            </w:r>
            <w:r w:rsidRPr="00A5307F">
              <w:rPr>
                <w:rFonts w:ascii="Book Antiqua" w:hAnsi="Book Antiqua" w:cs="Times New Roman"/>
              </w:rPr>
              <w:t xml:space="preserve"> = 78)</w:t>
            </w:r>
            <w:r w:rsidRPr="00A5307F">
              <w:rPr>
                <w:rFonts w:ascii="Book Antiqua" w:hAnsi="Book Antiqua" w:cs="Times New Roman"/>
                <w:lang w:eastAsia="zh-CN"/>
              </w:rPr>
              <w:t xml:space="preserve">, </w:t>
            </w:r>
            <w:r w:rsidRPr="00A5307F">
              <w:rPr>
                <w:rFonts w:ascii="Book Antiqua" w:hAnsi="Book Antiqua" w:cs="Times New Roman"/>
              </w:rPr>
              <w:t>Cytokines levels (</w:t>
            </w:r>
            <w:r w:rsidRPr="00A5307F">
              <w:rPr>
                <w:rFonts w:ascii="Book Antiqua" w:hAnsi="Book Antiqua" w:cs="Times New Roman"/>
                <w:i/>
                <w:iCs/>
              </w:rPr>
              <w:t>N</w:t>
            </w:r>
            <w:r w:rsidRPr="00A5307F">
              <w:rPr>
                <w:rFonts w:ascii="Book Antiqua" w:hAnsi="Book Antiqua" w:cs="Times New Roman"/>
              </w:rPr>
              <w:t xml:space="preserve"> = 263)</w:t>
            </w:r>
          </w:p>
          <w:p w14:paraId="1A207413" w14:textId="77777777"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3791" w:type="dxa"/>
          </w:tcPr>
          <w:p w14:paraId="6A11B6AB" w14:textId="789875E9" w:rsidR="0043602C" w:rsidRPr="00A5307F" w:rsidRDefault="0043602C"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 xml:space="preserve">Non-menopausal (NM) women had milder severity and better outcomes </w:t>
            </w:r>
            <w:r w:rsidR="00E7444B">
              <w:rPr>
                <w:rFonts w:ascii="Book Antiqua" w:hAnsi="Book Antiqua" w:cs="Times New Roman"/>
              </w:rPr>
              <w:t>compared with</w:t>
            </w:r>
            <w:r w:rsidRPr="00A5307F">
              <w:rPr>
                <w:rFonts w:ascii="Book Antiqua" w:hAnsi="Book Antiqua" w:cs="Times New Roman"/>
              </w:rPr>
              <w:t xml:space="preserve"> age match males. Menopausal(M) patients had longer hospitalization times </w:t>
            </w:r>
            <w:r w:rsidR="00E7444B">
              <w:rPr>
                <w:rFonts w:ascii="Book Antiqua" w:hAnsi="Book Antiqua" w:cs="Times New Roman"/>
              </w:rPr>
              <w:t>compared with</w:t>
            </w:r>
            <w:r w:rsidRPr="00A5307F">
              <w:rPr>
                <w:rFonts w:ascii="Book Antiqua" w:hAnsi="Book Antiqua" w:cs="Times New Roman"/>
              </w:rPr>
              <w:t xml:space="preserve"> NM patients.</w:t>
            </w:r>
            <w:r w:rsidR="008A4B54">
              <w:rPr>
                <w:rFonts w:ascii="Book Antiqua" w:hAnsi="Book Antiqua" w:cs="Times New Roman"/>
              </w:rPr>
              <w:t xml:space="preserve"> </w:t>
            </w:r>
            <w:r w:rsidRPr="00A5307F">
              <w:rPr>
                <w:rFonts w:ascii="Book Antiqua" w:hAnsi="Book Antiqua" w:cs="Times New Roman"/>
              </w:rPr>
              <w:t>-Anti Mullerian hormone (AMH) and estradiol (E2) negatively correlated with infection severity.</w:t>
            </w:r>
            <w:r w:rsidR="008A4B54">
              <w:rPr>
                <w:rFonts w:ascii="Book Antiqua" w:hAnsi="Book Antiqua" w:cs="Times New Roman"/>
              </w:rPr>
              <w:t xml:space="preserve"> </w:t>
            </w:r>
            <w:r w:rsidRPr="00A5307F">
              <w:rPr>
                <w:rFonts w:ascii="Book Antiqua" w:hAnsi="Book Antiqua" w:cs="Times New Roman"/>
              </w:rPr>
              <w:t xml:space="preserve">Menopause is an independent risk factor for female COVID-19 </w:t>
            </w:r>
            <w:r w:rsidRPr="00A5307F">
              <w:rPr>
                <w:rFonts w:ascii="Book Antiqua" w:hAnsi="Book Antiqua" w:cs="Times New Roman"/>
              </w:rPr>
              <w:lastRenderedPageBreak/>
              <w:t>patients, AMH and E2 inversely corelated with COVID-19 severity. Thought to offer protective benefits, E2 specifically through regulation of cytokines related to immune inflammatory response</w:t>
            </w:r>
          </w:p>
        </w:tc>
      </w:tr>
      <w:tr w:rsidR="0043602C" w:rsidRPr="00A5307F" w14:paraId="38101EB2" w14:textId="77777777" w:rsidTr="000A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none" w:sz="0" w:space="0" w:color="auto"/>
              <w:bottom w:val="none" w:sz="0" w:space="0" w:color="auto"/>
            </w:tcBorders>
          </w:tcPr>
          <w:p w14:paraId="596964D9" w14:textId="509EE113" w:rsidR="0043602C" w:rsidRPr="00A5307F" w:rsidRDefault="0043602C"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lastRenderedPageBreak/>
              <w:t xml:space="preserve">Lee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[43]</w:t>
            </w:r>
            <w:r w:rsidR="007C62BC" w:rsidRPr="00A5307F">
              <w:rPr>
                <w:rFonts w:ascii="Book Antiqua" w:hAnsi="Book Antiqua"/>
              </w:rPr>
              <w:fldChar w:fldCharType="begin">
                <w:fldData xml:space="preserve">PEVuZE5vdGU+PENpdGUgSGlkZGVuPSIxIj48QXV0aG9yPkxlZTwvQXV0aG9yPjxZZWFyPjIwMjA8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</w:fldData>
              </w:fldChar>
            </w:r>
            <w:r w:rsidRPr="00A5307F">
              <w:rPr>
                <w:rFonts w:ascii="Book Antiqua" w:hAnsi="Book Antiqua" w:cs="Times New Roman"/>
                <w:b w:val="0"/>
                <w:bCs w:val="0"/>
              </w:rPr>
              <w:instrText xml:space="preserve"> ADDIN EN.CITE </w:instrText>
            </w:r>
            <w:r w:rsidR="007C62BC" w:rsidRPr="00A5307F">
              <w:rPr>
                <w:rFonts w:ascii="Book Antiqua" w:hAnsi="Book Antiqua"/>
              </w:rPr>
              <w:fldChar w:fldCharType="begin">
                <w:fldData xml:space="preserve">PEVuZE5vdGU+PENpdGUgSGlkZGVuPSIxIj48QXV0aG9yPkxlZTwvQXV0aG9yPjxZZWFyPjIwMjA8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</w:fldData>
              </w:fldChar>
            </w:r>
            <w:r w:rsidRPr="00A5307F">
              <w:rPr>
                <w:rFonts w:ascii="Book Antiqua" w:hAnsi="Book Antiqua" w:cs="Times New Roman"/>
                <w:b w:val="0"/>
                <w:bCs w:val="0"/>
              </w:rPr>
              <w:instrText xml:space="preserve"> ADDIN EN.CITE.DATA </w:instrText>
            </w:r>
            <w:r w:rsidR="007C62BC" w:rsidRPr="00A5307F">
              <w:rPr>
                <w:rFonts w:ascii="Book Antiqua" w:hAnsi="Book Antiqua"/>
              </w:rPr>
            </w:r>
            <w:r w:rsidR="007C62BC" w:rsidRPr="00A5307F">
              <w:rPr>
                <w:rFonts w:ascii="Book Antiqua" w:hAnsi="Book Antiqua"/>
              </w:rPr>
              <w:fldChar w:fldCharType="end"/>
            </w:r>
            <w:r w:rsidR="007C62BC" w:rsidRPr="00A5307F">
              <w:rPr>
                <w:rFonts w:ascii="Book Antiqua" w:hAnsi="Book Antiqua"/>
              </w:rPr>
            </w:r>
            <w:r w:rsidR="007C62BC" w:rsidRPr="00A5307F">
              <w:rPr>
                <w:rFonts w:ascii="Book Antiqua" w:hAnsi="Book Antiqua"/>
              </w:rPr>
              <w:fldChar w:fldCharType="end"/>
            </w:r>
            <w:r w:rsidRPr="00A5307F">
              <w:rPr>
                <w:rFonts w:ascii="Book Antiqua" w:hAnsi="Book Antiqua" w:cs="Times New Roman"/>
                <w:b w:val="0"/>
                <w:bCs w:val="0"/>
              </w:rPr>
              <w:t>,</w:t>
            </w:r>
            <w:r w:rsidR="00021694">
              <w:rPr>
                <w:rFonts w:ascii="Book Antiqua" w:hAnsi="Book Antiqua" w:cs="Times New Roman"/>
                <w:b w:val="0"/>
                <w:bCs w:val="0"/>
              </w:rPr>
              <w:t xml:space="preserve"> </w:t>
            </w:r>
            <w:r w:rsidRPr="00A5307F">
              <w:rPr>
                <w:rFonts w:ascii="Book Antiqua" w:hAnsi="Book Antiqua" w:cs="Times New Roman"/>
                <w:b w:val="0"/>
                <w:bCs w:val="0"/>
                <w:lang w:val="en-CA"/>
              </w:rPr>
              <w:t>Asses</w:t>
            </w:r>
            <w:r w:rsidR="00E7444B">
              <w:rPr>
                <w:rFonts w:ascii="Book Antiqua" w:hAnsi="Book Antiqua" w:cs="Times New Roman"/>
                <w:b w:val="0"/>
                <w:bCs w:val="0"/>
                <w:lang w:val="en-CA"/>
              </w:rPr>
              <w:t>sed</w:t>
            </w:r>
            <w:r w:rsidRPr="00A5307F">
              <w:rPr>
                <w:rFonts w:ascii="Book Antiqua" w:hAnsi="Book Antiqua" w:cs="Times New Roman"/>
                <w:b w:val="0"/>
                <w:bCs w:val="0"/>
                <w:lang w:val="en-CA"/>
              </w:rPr>
              <w:t xml:space="preserve"> the effects of female sex hormones on clinical outcomes of COVID-19 using national claims data</w:t>
            </w:r>
          </w:p>
        </w:tc>
        <w:tc>
          <w:tcPr>
            <w:tcW w:w="1905" w:type="dxa"/>
            <w:tcBorders>
              <w:top w:val="none" w:sz="0" w:space="0" w:color="auto"/>
              <w:bottom w:val="none" w:sz="0" w:space="0" w:color="auto"/>
            </w:tcBorders>
          </w:tcPr>
          <w:p w14:paraId="3B4EC687"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Retrospective cohort study </w:t>
            </w:r>
          </w:p>
        </w:tc>
        <w:tc>
          <w:tcPr>
            <w:tcW w:w="2082" w:type="dxa"/>
            <w:tcBorders>
              <w:top w:val="none" w:sz="0" w:space="0" w:color="auto"/>
              <w:bottom w:val="none" w:sz="0" w:space="0" w:color="auto"/>
            </w:tcBorders>
          </w:tcPr>
          <w:p w14:paraId="5822FFE2"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Adult patients with COVID-19 infection (</w:t>
            </w:r>
            <w:r w:rsidRPr="00A5307F">
              <w:rPr>
                <w:rFonts w:ascii="Book Antiqua" w:hAnsi="Book Antiqua" w:cs="Times New Roman"/>
                <w:i/>
                <w:iCs/>
              </w:rPr>
              <w:t>N</w:t>
            </w:r>
            <w:r w:rsidRPr="00A5307F">
              <w:rPr>
                <w:rFonts w:ascii="Book Antiqua" w:hAnsi="Book Antiqua" w:cs="Times New Roman"/>
              </w:rPr>
              <w:t xml:space="preserve"> = 5061). Subgroup analyses using aged matched case-control data</w:t>
            </w:r>
          </w:p>
        </w:tc>
        <w:tc>
          <w:tcPr>
            <w:tcW w:w="3791" w:type="dxa"/>
            <w:tcBorders>
              <w:top w:val="none" w:sz="0" w:space="0" w:color="auto"/>
              <w:bottom w:val="none" w:sz="0" w:space="0" w:color="auto"/>
            </w:tcBorders>
          </w:tcPr>
          <w:p w14:paraId="51BF6EF2" w14:textId="77777777" w:rsidR="0043602C" w:rsidRPr="00A5307F" w:rsidRDefault="0043602C"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There was no significant difference in mortality rate between males and females, and HRT was not associated with improved clinical outcomes</w:t>
            </w:r>
          </w:p>
        </w:tc>
      </w:tr>
    </w:tbl>
    <w:p w14:paraId="5D7651E7" w14:textId="77777777" w:rsidR="0043602C" w:rsidRDefault="0043602C" w:rsidP="00E739A1">
      <w:pPr>
        <w:spacing w:line="360" w:lineRule="auto"/>
        <w:jc w:val="both"/>
      </w:pPr>
    </w:p>
    <w:p w14:paraId="1F30F073" w14:textId="77777777" w:rsidR="0043602C" w:rsidRDefault="0043602C" w:rsidP="000A5039">
      <w:pPr>
        <w:jc w:val="both"/>
      </w:pPr>
      <w:r>
        <w:br w:type="page"/>
      </w:r>
    </w:p>
    <w:p w14:paraId="338523FA" w14:textId="0BF07631" w:rsidR="0043602C" w:rsidRPr="00A5307F" w:rsidRDefault="0043602C" w:rsidP="00E739A1">
      <w:pPr>
        <w:spacing w:line="360" w:lineRule="auto"/>
        <w:jc w:val="both"/>
        <w:rPr>
          <w:rFonts w:ascii="Book Antiqua" w:hAnsi="Book Antiqua"/>
          <w:b/>
          <w:bCs/>
        </w:rPr>
      </w:pPr>
      <w:r w:rsidRPr="00A5307F">
        <w:rPr>
          <w:rFonts w:ascii="Book Antiqua" w:hAnsi="Book Antiqua"/>
          <w:b/>
          <w:bCs/>
        </w:rPr>
        <w:lastRenderedPageBreak/>
        <w:t>Table 3 Transgender care and coronavirus disease 2019</w:t>
      </w:r>
    </w:p>
    <w:tbl>
      <w:tblPr>
        <w:tblStyle w:val="21"/>
        <w:tblW w:w="8621" w:type="dxa"/>
        <w:tblBorders>
          <w:top w:val="single" w:sz="4" w:space="0" w:color="auto"/>
          <w:bottom w:val="single" w:sz="4" w:space="0" w:color="auto"/>
        </w:tblBorders>
        <w:tblLook w:val="04A0" w:firstRow="1" w:lastRow="0" w:firstColumn="1" w:lastColumn="0" w:noHBand="0" w:noVBand="1"/>
      </w:tblPr>
      <w:tblGrid>
        <w:gridCol w:w="2269"/>
        <w:gridCol w:w="1843"/>
        <w:gridCol w:w="4509"/>
      </w:tblGrid>
      <w:tr w:rsidR="0043602C" w:rsidRPr="00A5307F" w14:paraId="01CAFA04" w14:textId="77777777" w:rsidTr="00580D3A">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tcBorders>
          </w:tcPr>
          <w:p w14:paraId="15C1EA24" w14:textId="22F2E3BC" w:rsidR="0043602C" w:rsidRPr="00A5307F" w:rsidRDefault="0043602C" w:rsidP="00E739A1">
            <w:pPr>
              <w:spacing w:line="360" w:lineRule="auto"/>
              <w:jc w:val="both"/>
              <w:rPr>
                <w:rFonts w:ascii="Book Antiqua" w:hAnsi="Book Antiqua" w:cs="Times New Roman"/>
                <w:b w:val="0"/>
                <w:bCs w:val="0"/>
              </w:rPr>
            </w:pPr>
            <w:r w:rsidRPr="00A5307F">
              <w:rPr>
                <w:rFonts w:ascii="Book Antiqua" w:hAnsi="Book Antiqua" w:cs="Times New Roman"/>
              </w:rPr>
              <w:t>Author, Yr</w:t>
            </w:r>
          </w:p>
        </w:tc>
        <w:tc>
          <w:tcPr>
            <w:tcW w:w="1843" w:type="dxa"/>
            <w:tcBorders>
              <w:top w:val="single" w:sz="4" w:space="0" w:color="auto"/>
              <w:bottom w:val="single" w:sz="4" w:space="0" w:color="auto"/>
            </w:tcBorders>
          </w:tcPr>
          <w:p w14:paraId="4B402305" w14:textId="77777777" w:rsidR="0043602C" w:rsidRPr="00A5307F" w:rsidRDefault="0043602C" w:rsidP="00E739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A5307F">
              <w:rPr>
                <w:rFonts w:ascii="Book Antiqua" w:hAnsi="Book Antiqua" w:cs="Times New Roman"/>
              </w:rPr>
              <w:t>Study type</w:t>
            </w:r>
          </w:p>
        </w:tc>
        <w:tc>
          <w:tcPr>
            <w:tcW w:w="4509" w:type="dxa"/>
            <w:tcBorders>
              <w:top w:val="single" w:sz="4" w:space="0" w:color="auto"/>
              <w:bottom w:val="single" w:sz="4" w:space="0" w:color="auto"/>
            </w:tcBorders>
          </w:tcPr>
          <w:p w14:paraId="768C5CA4" w14:textId="77777777" w:rsidR="0043602C" w:rsidRPr="00A5307F" w:rsidRDefault="0043602C" w:rsidP="00E739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A5307F">
              <w:rPr>
                <w:rFonts w:ascii="Book Antiqua" w:hAnsi="Book Antiqua" w:cs="Times New Roman"/>
              </w:rPr>
              <w:t>Findings</w:t>
            </w:r>
          </w:p>
        </w:tc>
      </w:tr>
      <w:tr w:rsidR="0043602C" w:rsidRPr="00A5307F" w14:paraId="41022C89" w14:textId="77777777" w:rsidTr="00580D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none" w:sz="0" w:space="0" w:color="auto"/>
            </w:tcBorders>
          </w:tcPr>
          <w:p w14:paraId="62E6176F" w14:textId="77777777" w:rsidR="0043602C" w:rsidRPr="00A5307F" w:rsidRDefault="0043602C" w:rsidP="00E739A1">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Masterson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[38]</w:t>
            </w:r>
            <w:r w:rsidR="007C62BC" w:rsidRPr="00A5307F">
              <w:rPr>
                <w:rFonts w:ascii="Book Antiqua" w:hAnsi="Book Antiqua"/>
              </w:rPr>
              <w:fldChar w:fldCharType="begin">
                <w:fldData xml:space="preserve">PEVuZE5vdGU+PENpdGUgSGlkZGVuPSIxIj48QXV0aG9yPk1hc3RlcnNvbjwvQXV0aG9yPjxZZWFy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</w:fldData>
              </w:fldChar>
            </w:r>
            <w:r w:rsidRPr="00A5307F">
              <w:rPr>
                <w:rFonts w:ascii="Book Antiqua" w:hAnsi="Book Antiqua" w:cs="Times New Roman"/>
                <w:b w:val="0"/>
                <w:bCs w:val="0"/>
              </w:rPr>
              <w:instrText xml:space="preserve"> ADDIN EN.CITE </w:instrText>
            </w:r>
            <w:r w:rsidR="007C62BC" w:rsidRPr="00A5307F">
              <w:rPr>
                <w:rFonts w:ascii="Book Antiqua" w:hAnsi="Book Antiqua"/>
              </w:rPr>
              <w:fldChar w:fldCharType="begin">
                <w:fldData xml:space="preserve">PEVuZE5vdGU+PENpdGUgSGlkZGVuPSIxIj48QXV0aG9yPk1hc3RlcnNvbjwvQXV0aG9yPjxZZWFy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</w:fldData>
              </w:fldChar>
            </w:r>
            <w:r w:rsidRPr="00A5307F">
              <w:rPr>
                <w:rFonts w:ascii="Book Antiqua" w:hAnsi="Book Antiqua" w:cs="Times New Roman"/>
                <w:b w:val="0"/>
                <w:bCs w:val="0"/>
              </w:rPr>
              <w:instrText xml:space="preserve"> ADDIN EN.CITE.DATA </w:instrText>
            </w:r>
            <w:r w:rsidR="007C62BC" w:rsidRPr="00A5307F">
              <w:rPr>
                <w:rFonts w:ascii="Book Antiqua" w:hAnsi="Book Antiqua"/>
              </w:rPr>
            </w:r>
            <w:r w:rsidR="007C62BC" w:rsidRPr="00A5307F">
              <w:rPr>
                <w:rFonts w:ascii="Book Antiqua" w:hAnsi="Book Antiqua"/>
              </w:rPr>
              <w:fldChar w:fldCharType="end"/>
            </w:r>
            <w:r w:rsidR="007C62BC" w:rsidRPr="00A5307F">
              <w:rPr>
                <w:rFonts w:ascii="Book Antiqua" w:hAnsi="Book Antiqua"/>
              </w:rPr>
            </w:r>
            <w:r w:rsidR="007C62BC" w:rsidRPr="00A5307F">
              <w:rPr>
                <w:rFonts w:ascii="Book Antiqua" w:hAnsi="Book Antiqua"/>
              </w:rPr>
              <w:fldChar w:fldCharType="end"/>
            </w:r>
          </w:p>
          <w:p w14:paraId="301DEF12" w14:textId="77777777" w:rsidR="0043602C" w:rsidRPr="00A5307F" w:rsidRDefault="0043602C" w:rsidP="00E739A1">
            <w:pPr>
              <w:spacing w:line="360" w:lineRule="auto"/>
              <w:jc w:val="both"/>
              <w:rPr>
                <w:rFonts w:ascii="Book Antiqua" w:hAnsi="Book Antiqua" w:cs="Times New Roman"/>
                <w:b w:val="0"/>
                <w:bCs w:val="0"/>
              </w:rPr>
            </w:pPr>
          </w:p>
        </w:tc>
        <w:tc>
          <w:tcPr>
            <w:tcW w:w="1843" w:type="dxa"/>
            <w:tcBorders>
              <w:top w:val="single" w:sz="4" w:space="0" w:color="auto"/>
              <w:bottom w:val="none" w:sz="0" w:space="0" w:color="auto"/>
            </w:tcBorders>
          </w:tcPr>
          <w:p w14:paraId="076945AE" w14:textId="77777777" w:rsidR="0043602C" w:rsidRPr="00A5307F" w:rsidRDefault="0043602C" w:rsidP="00E739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Prospective Case study</w:t>
            </w:r>
          </w:p>
        </w:tc>
        <w:tc>
          <w:tcPr>
            <w:tcW w:w="4509" w:type="dxa"/>
            <w:tcBorders>
              <w:top w:val="single" w:sz="4" w:space="0" w:color="auto"/>
              <w:bottom w:val="none" w:sz="0" w:space="0" w:color="auto"/>
            </w:tcBorders>
          </w:tcPr>
          <w:p w14:paraId="6CA2EA44" w14:textId="5B176409" w:rsidR="0043602C" w:rsidRPr="00A5307F" w:rsidRDefault="0043602C" w:rsidP="00E739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TW patients treated with E+P as part of feminizing GAHT showed reduced testicular ACE-2 R expression in testicular tissue. In comparison to control group (cis-gender males with no hormone therapy) and the TW cohort treated with E only, O+E cohort also had higher degree o</w:t>
            </w:r>
            <w:r w:rsidR="00274DAA">
              <w:rPr>
                <w:rFonts w:ascii="Book Antiqua" w:hAnsi="Book Antiqua" w:cs="Times New Roman"/>
              </w:rPr>
              <w:t>f</w:t>
            </w:r>
            <w:r w:rsidRPr="00A5307F">
              <w:rPr>
                <w:rFonts w:ascii="Book Antiqua" w:hAnsi="Book Antiqua" w:cs="Times New Roman"/>
              </w:rPr>
              <w:t xml:space="preserve"> tissue fibrosis. Significance: Support the possibility that short course of E+P or P alone could help protect men against COVID-19 infection through downregulation of ACE-2 Receptor</w:t>
            </w:r>
          </w:p>
        </w:tc>
      </w:tr>
      <w:tr w:rsidR="0043602C" w:rsidRPr="00A5307F" w14:paraId="2EC4ED7A" w14:textId="77777777" w:rsidTr="00580D3A">
        <w:trPr>
          <w:trHeight w:val="275"/>
        </w:trPr>
        <w:tc>
          <w:tcPr>
            <w:cnfStyle w:val="001000000000" w:firstRow="0" w:lastRow="0" w:firstColumn="1" w:lastColumn="0" w:oddVBand="0" w:evenVBand="0" w:oddHBand="0" w:evenHBand="0" w:firstRowFirstColumn="0" w:firstRowLastColumn="0" w:lastRowFirstColumn="0" w:lastRowLastColumn="0"/>
            <w:tcW w:w="2269" w:type="dxa"/>
          </w:tcPr>
          <w:p w14:paraId="0B736B19" w14:textId="77777777" w:rsidR="0043602C" w:rsidRPr="00A5307F" w:rsidRDefault="0043602C" w:rsidP="00E739A1">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Durcan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[39]</w:t>
            </w:r>
            <w:r w:rsidR="007C62BC" w:rsidRPr="00A5307F">
              <w:rPr>
                <w:rFonts w:ascii="Book Antiqua" w:hAnsi="Book Antiqua"/>
              </w:rPr>
              <w:fldChar w:fldCharType="begin"/>
            </w:r>
            <w:r w:rsidRPr="00A5307F">
              <w:rPr>
                <w:rFonts w:ascii="Book Antiqua" w:hAnsi="Book Antiqua" w:cs="Times New Roman"/>
                <w:b w:val="0"/>
                <w:bCs w:val="0"/>
              </w:rPr>
              <w:instrText xml:space="preserve"> ADDIN EN.CITE &lt;EndNote&gt;&lt;Cite Hidden="1"&gt;&lt;Author&gt;Durcan&lt;/Author&gt;&lt;Year&gt;2021&lt;/Year&gt;&lt;RecNum&gt;206&lt;/RecNum&gt;&lt;record&gt;&lt;rec-number&gt;206&lt;/rec-number&gt;&lt;foreign-keys&gt;&lt;key app="EN" db-id="2psd0rzemav05ueee9ax0xfyxwtpr0ft955p" timestamp="1649292639" guid="070edb91-067b-4467-b9a3-6383267979fc"&gt;206&lt;/key&gt;&lt;/foreign-keys&gt;&lt;ref-type name="Journal Article"&gt;17&lt;/ref-type&gt;&lt;contributors&gt;&lt;authors&gt;&lt;author&gt;Durcan, E.&lt;/author&gt;&lt;author&gt;Turan, S.&lt;/author&gt;&lt;author&gt;Bircan, B. E.&lt;/author&gt;&lt;author&gt;Yaylamaz, S.&lt;/author&gt;&lt;author&gt;Demirel, O.&lt;/author&gt;&lt;author&gt;Demir, A. N.&lt;/author&gt;&lt;author&gt;Sulu, C.&lt;/author&gt;&lt;author&gt;Kara, Z.&lt;/author&gt;&lt;author&gt;Sahin, S.&lt;/author&gt;&lt;author&gt;Taze, S. S.&lt;/author&gt;&lt;author&gt;Mefkure Ozkaya, H.&lt;/author&gt;&lt;author&gt;Kadioglu, P.&lt;/author&gt;&lt;/authors&gt;&lt;/contributors&gt;&lt;auth-address&gt;Division of Endocrinology and Metabolism, Department of Internal Medicine, Cerrahpasa Medical School, Istanbul University-Cerrahpasa, Istanbul, Turkey.&amp;#xD;Department of Psychiatry, Cerrahpasa Medical School, Istanbul University-Cerrahpasa, Istanbul, Turkey.&lt;/auth-address&gt;&lt;titles&gt;&lt;title&gt;TransCOVID: Does Gender-Affirming Hormone Therapy Play a Role in Contracting COVID-19?&lt;/title&gt;&lt;secondary-title&gt;J Sex Marital Ther&lt;/secondary-title&gt;&lt;/titles&gt;&lt;periodical&gt;&lt;full-title&gt;J Sex Marital Ther&lt;/full-title&gt;&lt;/periodical&gt;&lt;pages&gt;1-12&lt;/pages&gt;&lt;edition&gt;2021/11/23&lt;/edition&gt;&lt;dates&gt;&lt;year&gt;2021&lt;/year&gt;&lt;pub-dates&gt;&lt;date&gt;Nov 21&lt;/date&gt;&lt;/pub-dates&gt;&lt;/dates&gt;&lt;isbn&gt;0092-623x&lt;/isbn&gt;&lt;accession-num&gt;34806552&lt;/accession-num&gt;&lt;urls&gt;&lt;/urls&gt;&lt;electronic-resource-num&gt;10.1080/0092623x.2021.2000535&lt;/electronic-resource-num&gt;&lt;remote-database-provider&gt;NLM&lt;/remote-database-provider&gt;&lt;language&gt;eng&lt;/language&gt;&lt;/record&gt;&lt;/Cite&gt;&lt;/EndNote&gt;</w:instrText>
            </w:r>
            <w:r w:rsidR="007C62BC" w:rsidRPr="00A5307F">
              <w:rPr>
                <w:rFonts w:ascii="Book Antiqua" w:hAnsi="Book Antiqua"/>
              </w:rPr>
              <w:fldChar w:fldCharType="end"/>
            </w:r>
          </w:p>
          <w:p w14:paraId="65E06410" w14:textId="77777777" w:rsidR="0043602C" w:rsidRPr="00A5307F" w:rsidRDefault="0043602C" w:rsidP="00E739A1">
            <w:pPr>
              <w:spacing w:line="360" w:lineRule="auto"/>
              <w:jc w:val="both"/>
              <w:rPr>
                <w:rFonts w:ascii="Book Antiqua" w:hAnsi="Book Antiqua" w:cs="Times New Roman"/>
                <w:b w:val="0"/>
                <w:bCs w:val="0"/>
              </w:rPr>
            </w:pPr>
          </w:p>
        </w:tc>
        <w:tc>
          <w:tcPr>
            <w:tcW w:w="1843" w:type="dxa"/>
          </w:tcPr>
          <w:p w14:paraId="6C6BACAD" w14:textId="77777777" w:rsidR="0043602C" w:rsidRPr="00A5307F" w:rsidRDefault="0043602C" w:rsidP="00E739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Single center, cross-sectional web-based survey</w:t>
            </w:r>
          </w:p>
        </w:tc>
        <w:tc>
          <w:tcPr>
            <w:tcW w:w="4509" w:type="dxa"/>
          </w:tcPr>
          <w:p w14:paraId="79CC5424" w14:textId="770AAF21" w:rsidR="0043602C" w:rsidRPr="00A5307F" w:rsidRDefault="0043602C" w:rsidP="00E739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Of 238 participants (179 </w:t>
            </w:r>
            <w:r w:rsidR="00E809FB">
              <w:rPr>
                <w:rFonts w:ascii="Book Antiqua" w:hAnsi="Book Antiqua" w:cs="Times New Roman"/>
              </w:rPr>
              <w:t>FTM</w:t>
            </w:r>
            <w:r w:rsidRPr="00A5307F">
              <w:rPr>
                <w:rFonts w:ascii="Book Antiqua" w:hAnsi="Book Antiqua" w:cs="Times New Roman"/>
              </w:rPr>
              <w:t xml:space="preserve">, 59 </w:t>
            </w:r>
            <w:r w:rsidR="00E809FB">
              <w:rPr>
                <w:rFonts w:ascii="Book Antiqua" w:hAnsi="Book Antiqua" w:cs="Times New Roman"/>
              </w:rPr>
              <w:t>FTM</w:t>
            </w:r>
            <w:r w:rsidRPr="00A5307F">
              <w:rPr>
                <w:rFonts w:ascii="Book Antiqua" w:hAnsi="Book Antiqua" w:cs="Times New Roman"/>
              </w:rPr>
              <w:t xml:space="preserve">) with GD receiving hormone therapy, the risk of contracting COVID-19 was 3.46x higher in </w:t>
            </w:r>
            <w:r w:rsidR="00E809FB">
              <w:rPr>
                <w:rFonts w:ascii="Book Antiqua" w:hAnsi="Book Antiqua" w:cs="Times New Roman"/>
              </w:rPr>
              <w:t>FTM</w:t>
            </w:r>
            <w:r w:rsidRPr="00A5307F">
              <w:rPr>
                <w:rFonts w:ascii="Book Antiqua" w:hAnsi="Book Antiqua" w:cs="Times New Roman"/>
              </w:rPr>
              <w:t xml:space="preserve"> receiving testosterone therapy, compared </w:t>
            </w:r>
            <w:r w:rsidR="00E7444B">
              <w:rPr>
                <w:rFonts w:ascii="Book Antiqua" w:hAnsi="Book Antiqua" w:cs="Times New Roman"/>
              </w:rPr>
              <w:t>with</w:t>
            </w:r>
            <w:r w:rsidR="00E7444B" w:rsidRPr="00A5307F">
              <w:rPr>
                <w:rFonts w:ascii="Book Antiqua" w:hAnsi="Book Antiqua" w:cs="Times New Roman"/>
              </w:rPr>
              <w:t xml:space="preserve"> </w:t>
            </w:r>
            <w:r w:rsidR="00E809FB">
              <w:rPr>
                <w:rFonts w:ascii="Book Antiqua" w:hAnsi="Book Antiqua" w:cs="Times New Roman"/>
              </w:rPr>
              <w:t>FTM</w:t>
            </w:r>
            <w:r w:rsidRPr="00A5307F">
              <w:rPr>
                <w:rFonts w:ascii="Book Antiqua" w:hAnsi="Book Antiqua" w:cs="Times New Roman"/>
              </w:rPr>
              <w:t xml:space="preserve"> patients receiving estrogen and anti-androgen therapies. Furthermore, among the </w:t>
            </w:r>
            <w:r w:rsidR="00E809FB">
              <w:rPr>
                <w:rFonts w:ascii="Book Antiqua" w:hAnsi="Book Antiqua" w:cs="Times New Roman"/>
              </w:rPr>
              <w:t>FTM</w:t>
            </w:r>
            <w:r w:rsidRPr="00A5307F">
              <w:rPr>
                <w:rFonts w:ascii="Book Antiqua" w:hAnsi="Book Antiqua" w:cs="Times New Roman"/>
              </w:rPr>
              <w:t xml:space="preserve"> cohort, longer treatment periods with testosterone was associated with increased risk of contracting COVID-19</w:t>
            </w:r>
            <w:r w:rsidRPr="00A5307F">
              <w:rPr>
                <w:rFonts w:ascii="Book Antiqua" w:hAnsi="Book Antiqua" w:cs="Times New Roman"/>
                <w:lang w:eastAsia="zh-CN"/>
              </w:rPr>
              <w:t xml:space="preserve">; </w:t>
            </w:r>
            <w:r w:rsidRPr="00A5307F">
              <w:rPr>
                <w:rFonts w:ascii="Book Antiqua" w:hAnsi="Book Antiqua" w:cs="Times New Roman"/>
              </w:rPr>
              <w:t>Significance: TM receiving Testosterone as part of GAHT are at an increased risk for contracting COVID-19</w:t>
            </w:r>
          </w:p>
        </w:tc>
      </w:tr>
    </w:tbl>
    <w:p w14:paraId="53D739A9" w14:textId="77777777" w:rsidR="00A77B3E" w:rsidRDefault="00A77B3E" w:rsidP="00E739A1">
      <w:pPr>
        <w:spacing w:line="360" w:lineRule="auto"/>
        <w:jc w:val="both"/>
      </w:pPr>
    </w:p>
    <w:sectPr w:rsidR="00A77B3E" w:rsidSect="00683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8B58" w14:textId="77777777" w:rsidR="00912F65" w:rsidRDefault="00912F65" w:rsidP="00FC0188">
      <w:r>
        <w:separator/>
      </w:r>
    </w:p>
  </w:endnote>
  <w:endnote w:type="continuationSeparator" w:id="0">
    <w:p w14:paraId="3E47B519" w14:textId="77777777" w:rsidR="00912F65" w:rsidRDefault="00912F65" w:rsidP="00FC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2C86" w14:textId="77777777" w:rsidR="00FC0188" w:rsidRPr="00FC0188" w:rsidRDefault="007C62BC" w:rsidP="00FC0188">
    <w:pPr>
      <w:pStyle w:val="Footer"/>
      <w:jc w:val="right"/>
      <w:rPr>
        <w:rFonts w:ascii="Book Antiqua" w:hAnsi="Book Antiqua"/>
        <w:sz w:val="24"/>
        <w:szCs w:val="24"/>
      </w:rPr>
    </w:pPr>
    <w:r w:rsidRPr="00FC0188">
      <w:rPr>
        <w:rFonts w:ascii="Book Antiqua" w:hAnsi="Book Antiqua"/>
        <w:sz w:val="24"/>
        <w:szCs w:val="24"/>
      </w:rPr>
      <w:fldChar w:fldCharType="begin"/>
    </w:r>
    <w:r w:rsidR="00FC0188" w:rsidRPr="00FC0188">
      <w:rPr>
        <w:rFonts w:ascii="Book Antiqua" w:hAnsi="Book Antiqua"/>
        <w:sz w:val="24"/>
        <w:szCs w:val="24"/>
      </w:rPr>
      <w:instrText>PAGE  \* Arabic  \* MERGEFORMAT</w:instrText>
    </w:r>
    <w:r w:rsidRPr="00FC0188">
      <w:rPr>
        <w:rFonts w:ascii="Book Antiqua" w:hAnsi="Book Antiqua"/>
        <w:sz w:val="24"/>
        <w:szCs w:val="24"/>
      </w:rPr>
      <w:fldChar w:fldCharType="separate"/>
    </w:r>
    <w:r w:rsidR="00C6277F" w:rsidRPr="00C6277F">
      <w:rPr>
        <w:rFonts w:ascii="Book Antiqua" w:hAnsi="Book Antiqua"/>
        <w:noProof/>
        <w:sz w:val="24"/>
        <w:szCs w:val="24"/>
        <w:lang w:val="zh-CN" w:eastAsia="zh-CN"/>
      </w:rPr>
      <w:t>34</w:t>
    </w:r>
    <w:r w:rsidRPr="00FC0188">
      <w:rPr>
        <w:rFonts w:ascii="Book Antiqua" w:hAnsi="Book Antiqua"/>
        <w:sz w:val="24"/>
        <w:szCs w:val="24"/>
      </w:rPr>
      <w:fldChar w:fldCharType="end"/>
    </w:r>
    <w:r w:rsidR="00FC0188" w:rsidRPr="00FC0188">
      <w:rPr>
        <w:rFonts w:ascii="Book Antiqua" w:hAnsi="Book Antiqua"/>
        <w:sz w:val="24"/>
        <w:szCs w:val="24"/>
        <w:lang w:val="zh-CN" w:eastAsia="zh-CN"/>
      </w:rPr>
      <w:t xml:space="preserve"> / </w:t>
    </w:r>
    <w:fldSimple w:instr="NUMPAGES  \* Arabic  \* MERGEFORMAT">
      <w:r w:rsidR="00C6277F" w:rsidRPr="00C6277F">
        <w:rPr>
          <w:rFonts w:ascii="Book Antiqua" w:hAnsi="Book Antiqua"/>
          <w:noProof/>
          <w:sz w:val="24"/>
          <w:szCs w:val="24"/>
          <w:lang w:val="zh-CN" w:eastAsia="zh-CN"/>
        </w:rPr>
        <w:t>34</w:t>
      </w:r>
    </w:fldSimple>
  </w:p>
  <w:p w14:paraId="55121B5F" w14:textId="77777777" w:rsidR="00FC0188" w:rsidRDefault="00FC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2A34" w14:textId="77777777" w:rsidR="00912F65" w:rsidRDefault="00912F65" w:rsidP="00FC0188">
      <w:r>
        <w:separator/>
      </w:r>
    </w:p>
  </w:footnote>
  <w:footnote w:type="continuationSeparator" w:id="0">
    <w:p w14:paraId="67D8097C" w14:textId="77777777" w:rsidR="00912F65" w:rsidRDefault="00912F65" w:rsidP="00FC0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694"/>
    <w:rsid w:val="00022591"/>
    <w:rsid w:val="000373B1"/>
    <w:rsid w:val="00047786"/>
    <w:rsid w:val="000863B5"/>
    <w:rsid w:val="000A5039"/>
    <w:rsid w:val="000B5FAE"/>
    <w:rsid w:val="000C73F3"/>
    <w:rsid w:val="000E0D87"/>
    <w:rsid w:val="0011172D"/>
    <w:rsid w:val="00135816"/>
    <w:rsid w:val="001425ED"/>
    <w:rsid w:val="00151CAD"/>
    <w:rsid w:val="00197B80"/>
    <w:rsid w:val="001B280C"/>
    <w:rsid w:val="00235B70"/>
    <w:rsid w:val="00260021"/>
    <w:rsid w:val="00274DAA"/>
    <w:rsid w:val="002872BB"/>
    <w:rsid w:val="002D5AA2"/>
    <w:rsid w:val="002F3B0F"/>
    <w:rsid w:val="00307407"/>
    <w:rsid w:val="0033596E"/>
    <w:rsid w:val="00375E48"/>
    <w:rsid w:val="003A2F7B"/>
    <w:rsid w:val="003E328E"/>
    <w:rsid w:val="00406291"/>
    <w:rsid w:val="004148A9"/>
    <w:rsid w:val="00424E1E"/>
    <w:rsid w:val="00432598"/>
    <w:rsid w:val="0043602C"/>
    <w:rsid w:val="00450E01"/>
    <w:rsid w:val="00470649"/>
    <w:rsid w:val="004853C2"/>
    <w:rsid w:val="004A3E48"/>
    <w:rsid w:val="004B41DE"/>
    <w:rsid w:val="004D482E"/>
    <w:rsid w:val="004F3A00"/>
    <w:rsid w:val="005069B9"/>
    <w:rsid w:val="0052281E"/>
    <w:rsid w:val="00557DEB"/>
    <w:rsid w:val="00580D3A"/>
    <w:rsid w:val="00585A81"/>
    <w:rsid w:val="005C2B85"/>
    <w:rsid w:val="00623D81"/>
    <w:rsid w:val="00624877"/>
    <w:rsid w:val="006323CF"/>
    <w:rsid w:val="006461D8"/>
    <w:rsid w:val="00661691"/>
    <w:rsid w:val="00663FEE"/>
    <w:rsid w:val="006778AE"/>
    <w:rsid w:val="00683A17"/>
    <w:rsid w:val="0068472D"/>
    <w:rsid w:val="006853A4"/>
    <w:rsid w:val="00694190"/>
    <w:rsid w:val="006E1CEB"/>
    <w:rsid w:val="0074360A"/>
    <w:rsid w:val="00764924"/>
    <w:rsid w:val="007A222C"/>
    <w:rsid w:val="007C62BC"/>
    <w:rsid w:val="008048BD"/>
    <w:rsid w:val="0083332F"/>
    <w:rsid w:val="00860092"/>
    <w:rsid w:val="00876AD1"/>
    <w:rsid w:val="0088145F"/>
    <w:rsid w:val="00885C77"/>
    <w:rsid w:val="008A4B54"/>
    <w:rsid w:val="008B6298"/>
    <w:rsid w:val="00912F65"/>
    <w:rsid w:val="009228EF"/>
    <w:rsid w:val="00944C81"/>
    <w:rsid w:val="00975C9B"/>
    <w:rsid w:val="009960F5"/>
    <w:rsid w:val="009D5C0E"/>
    <w:rsid w:val="00A14B2F"/>
    <w:rsid w:val="00A16C1E"/>
    <w:rsid w:val="00A42675"/>
    <w:rsid w:val="00A77B3E"/>
    <w:rsid w:val="00AA7784"/>
    <w:rsid w:val="00AE4413"/>
    <w:rsid w:val="00B00EEE"/>
    <w:rsid w:val="00B07CB2"/>
    <w:rsid w:val="00B921F8"/>
    <w:rsid w:val="00BB12E2"/>
    <w:rsid w:val="00BD13C4"/>
    <w:rsid w:val="00C448EC"/>
    <w:rsid w:val="00C6277F"/>
    <w:rsid w:val="00C767B2"/>
    <w:rsid w:val="00C94C2A"/>
    <w:rsid w:val="00CA2A55"/>
    <w:rsid w:val="00CC2AF1"/>
    <w:rsid w:val="00CE1533"/>
    <w:rsid w:val="00CE6C1C"/>
    <w:rsid w:val="00D4186F"/>
    <w:rsid w:val="00D75500"/>
    <w:rsid w:val="00D90024"/>
    <w:rsid w:val="00D97BDA"/>
    <w:rsid w:val="00E05E16"/>
    <w:rsid w:val="00E40290"/>
    <w:rsid w:val="00E40614"/>
    <w:rsid w:val="00E624D6"/>
    <w:rsid w:val="00E739A1"/>
    <w:rsid w:val="00E7444B"/>
    <w:rsid w:val="00E809FB"/>
    <w:rsid w:val="00E86AEB"/>
    <w:rsid w:val="00EA5BC5"/>
    <w:rsid w:val="00EB0F38"/>
    <w:rsid w:val="00EE487C"/>
    <w:rsid w:val="00F70923"/>
    <w:rsid w:val="00FB483E"/>
    <w:rsid w:val="00FC0188"/>
    <w:rsid w:val="00FC1A2E"/>
    <w:rsid w:val="00FE7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1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960F5"/>
    <w:rPr>
      <w:sz w:val="24"/>
      <w:szCs w:val="24"/>
    </w:rPr>
  </w:style>
  <w:style w:type="paragraph" w:styleId="Header">
    <w:name w:val="header"/>
    <w:basedOn w:val="Normal"/>
    <w:link w:val="HeaderChar"/>
    <w:unhideWhenUsed/>
    <w:rsid w:val="00FC01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C0188"/>
    <w:rPr>
      <w:sz w:val="18"/>
      <w:szCs w:val="18"/>
    </w:rPr>
  </w:style>
  <w:style w:type="paragraph" w:styleId="Footer">
    <w:name w:val="footer"/>
    <w:basedOn w:val="Normal"/>
    <w:link w:val="FooterChar"/>
    <w:uiPriority w:val="99"/>
    <w:unhideWhenUsed/>
    <w:rsid w:val="00FC01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0188"/>
    <w:rPr>
      <w:sz w:val="18"/>
      <w:szCs w:val="18"/>
    </w:rPr>
  </w:style>
  <w:style w:type="character" w:styleId="CommentReference">
    <w:name w:val="annotation reference"/>
    <w:basedOn w:val="DefaultParagraphFont"/>
    <w:semiHidden/>
    <w:unhideWhenUsed/>
    <w:rsid w:val="00FC0188"/>
    <w:rPr>
      <w:sz w:val="21"/>
      <w:szCs w:val="21"/>
    </w:rPr>
  </w:style>
  <w:style w:type="paragraph" w:styleId="CommentText">
    <w:name w:val="annotation text"/>
    <w:basedOn w:val="Normal"/>
    <w:link w:val="CommentTextChar"/>
    <w:semiHidden/>
    <w:unhideWhenUsed/>
    <w:rsid w:val="00FC0188"/>
  </w:style>
  <w:style w:type="character" w:customStyle="1" w:styleId="CommentTextChar">
    <w:name w:val="Comment Text Char"/>
    <w:basedOn w:val="DefaultParagraphFont"/>
    <w:link w:val="CommentText"/>
    <w:semiHidden/>
    <w:rsid w:val="00FC0188"/>
    <w:rPr>
      <w:sz w:val="24"/>
      <w:szCs w:val="24"/>
    </w:rPr>
  </w:style>
  <w:style w:type="paragraph" w:styleId="CommentSubject">
    <w:name w:val="annotation subject"/>
    <w:basedOn w:val="CommentText"/>
    <w:next w:val="CommentText"/>
    <w:link w:val="CommentSubjectChar"/>
    <w:semiHidden/>
    <w:unhideWhenUsed/>
    <w:rsid w:val="00FC0188"/>
    <w:rPr>
      <w:b/>
      <w:bCs/>
    </w:rPr>
  </w:style>
  <w:style w:type="character" w:customStyle="1" w:styleId="CommentSubjectChar">
    <w:name w:val="Comment Subject Char"/>
    <w:basedOn w:val="CommentTextChar"/>
    <w:link w:val="CommentSubject"/>
    <w:semiHidden/>
    <w:rsid w:val="00FC0188"/>
    <w:rPr>
      <w:b/>
      <w:bCs/>
      <w:sz w:val="24"/>
      <w:szCs w:val="24"/>
    </w:rPr>
  </w:style>
  <w:style w:type="paragraph" w:styleId="NormalWeb">
    <w:name w:val="Normal (Web)"/>
    <w:basedOn w:val="Normal"/>
    <w:uiPriority w:val="99"/>
    <w:semiHidden/>
    <w:unhideWhenUsed/>
    <w:rsid w:val="001425ED"/>
    <w:pPr>
      <w:spacing w:before="100" w:beforeAutospacing="1" w:after="100" w:afterAutospacing="1"/>
    </w:pPr>
    <w:rPr>
      <w:rFonts w:ascii="SimSun" w:eastAsia="SimSun" w:hAnsi="SimSun" w:cs="SimSun"/>
      <w:lang w:eastAsia="zh-CN"/>
    </w:rPr>
  </w:style>
  <w:style w:type="table" w:customStyle="1" w:styleId="21">
    <w:name w:val="无格式表格 21"/>
    <w:basedOn w:val="TableNormal"/>
    <w:uiPriority w:val="42"/>
    <w:rsid w:val="0043602C"/>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CE1533"/>
    <w:rPr>
      <w:rFonts w:ascii="Tahoma" w:hAnsi="Tahoma" w:cs="Tahoma"/>
      <w:sz w:val="16"/>
      <w:szCs w:val="16"/>
    </w:rPr>
  </w:style>
  <w:style w:type="character" w:customStyle="1" w:styleId="BalloonTextChar">
    <w:name w:val="Balloon Text Char"/>
    <w:basedOn w:val="DefaultParagraphFont"/>
    <w:link w:val="BalloonText"/>
    <w:rsid w:val="00CE1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BEA2DF0F-B9C1-9849-9156-A3D08E35AF3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F1ABD7A-3883-9747-B21B-715A411D971A}">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32</Pages>
  <Words>7933</Words>
  <Characters>45223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2022-10-11T18:38:00Z</dcterms:created>
  <dcterms:modified xsi:type="dcterms:W3CDTF">2022-10-11T18:38:00Z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documentId_9570</vt:lpwstr>
  </property>
  <property fmtid="{D5CDD505-2E9C-101B-9397-08002B2CF9AE}" pid="3" name="grammarly_documentContext">
    <vt:lpwstr>{"goals":[],"domain":"general","emotions":[],"dialect":"american"}</vt:lpwstr>
  </property>
</Properties>
</file>