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39A0E"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Name of Journal: </w:t>
      </w:r>
      <w:r w:rsidRPr="00BA3C69">
        <w:rPr>
          <w:rFonts w:ascii="Book Antiqua" w:hAnsi="Book Antiqua"/>
          <w:i/>
          <w:iCs/>
          <w:color w:val="auto"/>
        </w:rPr>
        <w:t>World Journal of Gastrointestinal Surgery</w:t>
      </w:r>
    </w:p>
    <w:p w14:paraId="1A89E7A0"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Manuscript NO: </w:t>
      </w:r>
      <w:r w:rsidRPr="00BA3C69">
        <w:rPr>
          <w:rFonts w:ascii="Book Antiqua" w:hAnsi="Book Antiqua"/>
          <w:color w:val="auto"/>
        </w:rPr>
        <w:t>77145</w:t>
      </w:r>
    </w:p>
    <w:p w14:paraId="3787A51D"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Manuscript Type: </w:t>
      </w:r>
      <w:r w:rsidRPr="00BA3C69">
        <w:rPr>
          <w:rFonts w:ascii="Book Antiqua" w:hAnsi="Book Antiqua"/>
          <w:color w:val="auto"/>
        </w:rPr>
        <w:t>ORIGINAL ARTICLE</w:t>
      </w:r>
    </w:p>
    <w:p w14:paraId="69D62804" w14:textId="77777777" w:rsidR="00C543C7" w:rsidRPr="00BA3C69" w:rsidRDefault="00C543C7">
      <w:pPr>
        <w:spacing w:line="360" w:lineRule="auto"/>
        <w:jc w:val="both"/>
        <w:rPr>
          <w:rFonts w:ascii="Book Antiqua" w:hAnsi="Book Antiqua"/>
          <w:color w:val="auto"/>
        </w:rPr>
      </w:pPr>
    </w:p>
    <w:p w14:paraId="57CA2387"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rPr>
        <w:t>Observational Study</w:t>
      </w:r>
    </w:p>
    <w:p w14:paraId="00C1D879" w14:textId="77777777" w:rsidR="00C543C7" w:rsidRPr="00BA3C69" w:rsidRDefault="00000000">
      <w:pPr>
        <w:spacing w:line="360" w:lineRule="auto"/>
        <w:jc w:val="both"/>
        <w:rPr>
          <w:rFonts w:ascii="Book Antiqua" w:hAnsi="Book Antiqua"/>
          <w:b/>
          <w:bCs/>
          <w:color w:val="auto"/>
        </w:rPr>
      </w:pPr>
      <w:r w:rsidRPr="00BA3C69">
        <w:rPr>
          <w:rFonts w:ascii="Book Antiqua" w:hAnsi="Book Antiqua"/>
          <w:b/>
          <w:bCs/>
          <w:color w:val="auto"/>
        </w:rPr>
        <w:t>Can DKI-MRI predict recurrence and invasion of peritumoral zone of hepatocellular carcinoma after transcatheter arterial chemoembolization?</w:t>
      </w:r>
    </w:p>
    <w:p w14:paraId="279A590C" w14:textId="77777777" w:rsidR="00C543C7" w:rsidRPr="00BA3C69" w:rsidRDefault="00C543C7">
      <w:pPr>
        <w:spacing w:line="360" w:lineRule="auto"/>
        <w:jc w:val="both"/>
        <w:rPr>
          <w:rFonts w:ascii="Book Antiqua" w:hAnsi="Book Antiqua"/>
          <w:color w:val="auto"/>
        </w:rPr>
      </w:pPr>
    </w:p>
    <w:p w14:paraId="6756F8F3"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Cao X </w:t>
      </w:r>
      <w:r w:rsidRPr="00BA3C69">
        <w:rPr>
          <w:rFonts w:ascii="Book Antiqua" w:hAnsi="Book Antiqua"/>
          <w:i/>
          <w:color w:val="auto"/>
        </w:rPr>
        <w:t>et al</w:t>
      </w:r>
      <w:r w:rsidRPr="00BA3C69">
        <w:rPr>
          <w:rFonts w:ascii="Book Antiqua" w:hAnsi="Book Antiqua"/>
          <w:color w:val="auto"/>
        </w:rPr>
        <w:t>. Predictive function of DKI after TACE</w:t>
      </w:r>
    </w:p>
    <w:p w14:paraId="0E997495" w14:textId="77777777" w:rsidR="00C543C7" w:rsidRPr="00BA3C69" w:rsidRDefault="00C543C7">
      <w:pPr>
        <w:spacing w:line="360" w:lineRule="auto"/>
        <w:jc w:val="both"/>
        <w:rPr>
          <w:rFonts w:ascii="Book Antiqua" w:hAnsi="Book Antiqua"/>
          <w:color w:val="auto"/>
        </w:rPr>
      </w:pPr>
    </w:p>
    <w:p w14:paraId="301A424F"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Xin Cao, Hao Shi, Wei-Qiang Dou, Xin-Yao Zhao, Ying-Xin Zheng, Ya-Ping Ge, Hai-Chao Cheng, Dao-Ying Geng, Jun-Ying Wang</w:t>
      </w:r>
    </w:p>
    <w:p w14:paraId="7A6EA3CB" w14:textId="77777777" w:rsidR="00C543C7" w:rsidRPr="00BA3C69" w:rsidRDefault="00C543C7">
      <w:pPr>
        <w:spacing w:line="360" w:lineRule="auto"/>
        <w:jc w:val="both"/>
        <w:rPr>
          <w:rFonts w:ascii="Book Antiqua" w:hAnsi="Book Antiqua"/>
          <w:b/>
          <w:bCs/>
          <w:color w:val="auto"/>
        </w:rPr>
      </w:pPr>
    </w:p>
    <w:p w14:paraId="018E8D73"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Xin Cao, Hao Shi, Ya-Ping Ge, Hai-Chao Cheng, Jun-Ying Wang, </w:t>
      </w:r>
      <w:r w:rsidRPr="00BA3C69">
        <w:rPr>
          <w:rFonts w:ascii="Book Antiqua" w:hAnsi="Book Antiqua"/>
          <w:color w:val="auto"/>
        </w:rPr>
        <w:t>Department of Medical Imaging, The First Affiliated Hospital of Shandong First Medical University &amp; Shandong Province Qianfoshan Hospital, Jinan 250014, Shandong Province, China</w:t>
      </w:r>
    </w:p>
    <w:p w14:paraId="54D51B11" w14:textId="77777777" w:rsidR="00C543C7" w:rsidRPr="00BA3C69" w:rsidRDefault="00C543C7">
      <w:pPr>
        <w:spacing w:line="360" w:lineRule="auto"/>
        <w:jc w:val="both"/>
        <w:rPr>
          <w:rFonts w:ascii="Book Antiqua" w:hAnsi="Book Antiqua"/>
          <w:b/>
          <w:bCs/>
          <w:color w:val="auto"/>
        </w:rPr>
      </w:pPr>
    </w:p>
    <w:p w14:paraId="0E7C2E0D"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Xin Cao, Dao-Ying Geng, </w:t>
      </w:r>
      <w:r w:rsidRPr="00BA3C69">
        <w:rPr>
          <w:rFonts w:ascii="Book Antiqua" w:hAnsi="Book Antiqua"/>
          <w:color w:val="auto"/>
        </w:rPr>
        <w:t>Department of Radiology, Huashan Hospital, Fudan University, Shanghai 200040, China</w:t>
      </w:r>
    </w:p>
    <w:p w14:paraId="4CFF639E" w14:textId="77777777" w:rsidR="00C543C7" w:rsidRPr="00BA3C69" w:rsidRDefault="00C543C7">
      <w:pPr>
        <w:spacing w:line="360" w:lineRule="auto"/>
        <w:jc w:val="both"/>
        <w:rPr>
          <w:rFonts w:ascii="Book Antiqua" w:hAnsi="Book Antiqua"/>
          <w:color w:val="auto"/>
        </w:rPr>
      </w:pPr>
    </w:p>
    <w:p w14:paraId="7C9D7564"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Xin Cao, Dao-Ying Geng, </w:t>
      </w:r>
      <w:r w:rsidRPr="00BA3C69">
        <w:rPr>
          <w:rFonts w:ascii="Book Antiqua" w:hAnsi="Book Antiqua"/>
          <w:color w:val="auto"/>
        </w:rPr>
        <w:t>Center for Shanghai Intelligent Imaging for Critical Brain Diseases Engineering and Technology Research, Shanghai 200040, China</w:t>
      </w:r>
    </w:p>
    <w:p w14:paraId="3FAD8B18" w14:textId="77777777" w:rsidR="00C543C7" w:rsidRPr="00BA3C69" w:rsidRDefault="00C543C7">
      <w:pPr>
        <w:spacing w:line="360" w:lineRule="auto"/>
        <w:jc w:val="both"/>
        <w:rPr>
          <w:rFonts w:ascii="Book Antiqua" w:hAnsi="Book Antiqua"/>
          <w:color w:val="auto"/>
        </w:rPr>
      </w:pPr>
    </w:p>
    <w:p w14:paraId="7FBDE4AB"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Wei-Qiang Dou, </w:t>
      </w:r>
      <w:r w:rsidRPr="00BA3C69">
        <w:rPr>
          <w:rFonts w:ascii="Book Antiqua" w:hAnsi="Book Antiqua"/>
          <w:color w:val="auto"/>
        </w:rPr>
        <w:t>MR Research, GE Healthcare, Beijing 10076, China</w:t>
      </w:r>
    </w:p>
    <w:p w14:paraId="32FA62DE" w14:textId="77777777" w:rsidR="00C543C7" w:rsidRPr="00BA3C69" w:rsidRDefault="00C543C7">
      <w:pPr>
        <w:spacing w:line="360" w:lineRule="auto"/>
        <w:jc w:val="both"/>
        <w:rPr>
          <w:rFonts w:ascii="Book Antiqua" w:hAnsi="Book Antiqua"/>
          <w:color w:val="auto"/>
        </w:rPr>
      </w:pPr>
    </w:p>
    <w:p w14:paraId="4AAFA41B"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Xin-Yao Zhao, </w:t>
      </w:r>
      <w:r w:rsidRPr="00BA3C69">
        <w:rPr>
          <w:rFonts w:ascii="Book Antiqua" w:hAnsi="Book Antiqua"/>
          <w:color w:val="auto"/>
        </w:rPr>
        <w:t>Department of Radiology, Yantaishan Hospital, Yantai 264001, Shandong Province, China</w:t>
      </w:r>
    </w:p>
    <w:p w14:paraId="4F378842" w14:textId="77777777" w:rsidR="00C543C7" w:rsidRPr="00BA3C69" w:rsidRDefault="00C543C7">
      <w:pPr>
        <w:spacing w:line="360" w:lineRule="auto"/>
        <w:jc w:val="both"/>
        <w:rPr>
          <w:rFonts w:ascii="Book Antiqua" w:hAnsi="Book Antiqua"/>
          <w:color w:val="auto"/>
        </w:rPr>
      </w:pPr>
    </w:p>
    <w:p w14:paraId="20732DC3" w14:textId="2978C680"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lastRenderedPageBreak/>
        <w:t>Ying-Xin Zheng,</w:t>
      </w:r>
      <w:r w:rsidRPr="00BA3C69">
        <w:rPr>
          <w:rFonts w:ascii="Book Antiqua" w:hAnsi="Book Antiqua"/>
          <w:color w:val="auto"/>
        </w:rPr>
        <w:t xml:space="preserve"> Department of Magnetic Resonance Imaging, Zhangqiu District People's Hospital, Jinan 250200, Shandong Province, China</w:t>
      </w:r>
    </w:p>
    <w:p w14:paraId="7DAF46E3" w14:textId="77777777" w:rsidR="00C543C7" w:rsidRPr="00BA3C69" w:rsidRDefault="00C543C7">
      <w:pPr>
        <w:spacing w:line="360" w:lineRule="auto"/>
        <w:jc w:val="both"/>
        <w:rPr>
          <w:rFonts w:ascii="Book Antiqua" w:hAnsi="Book Antiqua"/>
          <w:color w:val="auto"/>
        </w:rPr>
      </w:pPr>
    </w:p>
    <w:p w14:paraId="483F6362"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Author contributions: </w:t>
      </w:r>
      <w:r w:rsidRPr="00BA3C69">
        <w:rPr>
          <w:rFonts w:ascii="Book Antiqua" w:hAnsi="Book Antiqua"/>
          <w:color w:val="auto"/>
        </w:rPr>
        <w:t>Cao X and Wang JY designed and performed the research, and wrote the paper; Shi H designed the research and supervised the report; Zheng YX, Ge YP, and Cheng HC contributed to the analysis; Dou WQ, Zhao XY, and Geng DY provided clinical advice.</w:t>
      </w:r>
    </w:p>
    <w:p w14:paraId="42D47640" w14:textId="77777777" w:rsidR="00C543C7" w:rsidRPr="00BA3C69" w:rsidRDefault="00C543C7">
      <w:pPr>
        <w:spacing w:line="360" w:lineRule="auto"/>
        <w:jc w:val="both"/>
        <w:rPr>
          <w:rFonts w:ascii="Book Antiqua" w:hAnsi="Book Antiqua"/>
          <w:color w:val="auto"/>
        </w:rPr>
      </w:pPr>
    </w:p>
    <w:p w14:paraId="6BC9524F"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Supported by </w:t>
      </w:r>
      <w:r w:rsidRPr="00BA3C69">
        <w:rPr>
          <w:rFonts w:ascii="Book Antiqua" w:hAnsi="Book Antiqua"/>
          <w:color w:val="auto"/>
        </w:rPr>
        <w:t>the Greater Bay Area Institute of Precision Medicine, No. KCH2310094; Shanghai Sailing Program, No. 22YF1405000; Research Startup Fund of Huashan Hospital Fudan University, No. 2021QD035; and Clinical Research Plan of SHDC, No. SHDC2020CR3020A.</w:t>
      </w:r>
    </w:p>
    <w:p w14:paraId="25679178" w14:textId="77777777" w:rsidR="00C543C7" w:rsidRPr="00BA3C69" w:rsidRDefault="00C543C7">
      <w:pPr>
        <w:spacing w:line="360" w:lineRule="auto"/>
        <w:jc w:val="both"/>
        <w:rPr>
          <w:rFonts w:ascii="Book Antiqua" w:hAnsi="Book Antiqua"/>
          <w:color w:val="auto"/>
        </w:rPr>
      </w:pPr>
    </w:p>
    <w:p w14:paraId="11446A4F"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Corresponding author: Jun-Ying Wang, MD, Doctor, </w:t>
      </w:r>
      <w:r w:rsidRPr="00BA3C69">
        <w:rPr>
          <w:rFonts w:ascii="Book Antiqua" w:hAnsi="Book Antiqua"/>
          <w:color w:val="auto"/>
        </w:rPr>
        <w:t>Department of Medical Imaging, The First Affiliated Hospital of Shandong First Medical University &amp; Shandong Province Qianfoshan Hospital, No. 66 Jingshi Road, Jinan 250014, Shandong Province, China. jywang1120@163.com</w:t>
      </w:r>
    </w:p>
    <w:p w14:paraId="08AF17A5" w14:textId="77777777" w:rsidR="00C543C7" w:rsidRPr="00BA3C69" w:rsidRDefault="00C543C7">
      <w:pPr>
        <w:spacing w:line="360" w:lineRule="auto"/>
        <w:jc w:val="both"/>
        <w:rPr>
          <w:rFonts w:ascii="Book Antiqua" w:hAnsi="Book Antiqua"/>
          <w:color w:val="auto"/>
        </w:rPr>
      </w:pPr>
    </w:p>
    <w:p w14:paraId="402AB83C"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Received: </w:t>
      </w:r>
      <w:r w:rsidRPr="00BA3C69">
        <w:rPr>
          <w:rFonts w:ascii="Book Antiqua" w:hAnsi="Book Antiqua"/>
          <w:color w:val="auto"/>
        </w:rPr>
        <w:t>April 18, 2022</w:t>
      </w:r>
    </w:p>
    <w:p w14:paraId="41EA9E7A" w14:textId="77777777" w:rsidR="00C543C7" w:rsidRPr="00BA3C69" w:rsidRDefault="00000000">
      <w:pPr>
        <w:spacing w:line="360" w:lineRule="auto"/>
        <w:jc w:val="both"/>
        <w:rPr>
          <w:rFonts w:ascii="Book Antiqua" w:hAnsi="Book Antiqua"/>
          <w:bCs/>
          <w:color w:val="auto"/>
        </w:rPr>
      </w:pPr>
      <w:r w:rsidRPr="00BA3C69">
        <w:rPr>
          <w:rFonts w:ascii="Book Antiqua" w:hAnsi="Book Antiqua"/>
          <w:b/>
          <w:bCs/>
          <w:color w:val="auto"/>
        </w:rPr>
        <w:t xml:space="preserve">Revised: </w:t>
      </w:r>
      <w:r w:rsidRPr="00BA3C69">
        <w:rPr>
          <w:rFonts w:ascii="Book Antiqua" w:hAnsi="Book Antiqua"/>
          <w:bCs/>
          <w:color w:val="auto"/>
        </w:rPr>
        <w:t>July 29, 2022</w:t>
      </w:r>
    </w:p>
    <w:p w14:paraId="60CE8F80"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Accepted: </w:t>
      </w:r>
      <w:r w:rsidRPr="00BA3C69">
        <w:rPr>
          <w:rFonts w:ascii="Book Antiqua" w:hAnsi="Book Antiqua"/>
          <w:color w:val="auto"/>
        </w:rPr>
        <w:t>September 21, 2022</w:t>
      </w:r>
    </w:p>
    <w:p w14:paraId="6F6411E4"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Published online:</w:t>
      </w:r>
      <w:r w:rsidRPr="00BA3C69">
        <w:t xml:space="preserve"> </w:t>
      </w:r>
      <w:r w:rsidRPr="00BA3C69">
        <w:rPr>
          <w:rFonts w:ascii="Book Antiqua" w:hAnsi="Book Antiqua"/>
          <w:color w:val="auto"/>
        </w:rPr>
        <w:t>October 27, 2022</w:t>
      </w:r>
    </w:p>
    <w:p w14:paraId="6D0F4359" w14:textId="77777777" w:rsidR="00C543C7" w:rsidRPr="00BA3C69" w:rsidRDefault="00C543C7">
      <w:pPr>
        <w:spacing w:line="360" w:lineRule="auto"/>
        <w:jc w:val="both"/>
        <w:rPr>
          <w:rFonts w:ascii="Book Antiqua" w:hAnsi="Book Antiqua"/>
          <w:color w:val="auto"/>
        </w:rPr>
        <w:sectPr w:rsidR="00C543C7" w:rsidRPr="00BA3C69">
          <w:footerReference w:type="default" r:id="rId7"/>
          <w:pgSz w:w="12240" w:h="15840"/>
          <w:pgMar w:top="1440" w:right="1440" w:bottom="1440" w:left="1440" w:header="720" w:footer="720" w:gutter="0"/>
          <w:cols w:space="720"/>
        </w:sectPr>
      </w:pPr>
    </w:p>
    <w:p w14:paraId="7D97A058"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lastRenderedPageBreak/>
        <w:t>Abstract</w:t>
      </w:r>
    </w:p>
    <w:p w14:paraId="3CEF4947"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BACKGROUND</w:t>
      </w:r>
    </w:p>
    <w:p w14:paraId="42DB05A1"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Hepatocellular carcinoma (HCC) is a major cause of cancer-related mortality worldwide. Transcatheter arterial chemoembolization (TACE) has been performed as a palliative treatment for patients with HCC. However, HCC is easy to recur after TACE. Magnetic resonance imaging (MRI) has clinical potential in evaluating the TACE treatment effect for patients with liver cancer. However, traditional MRI has some limitations.</w:t>
      </w:r>
    </w:p>
    <w:p w14:paraId="6773CD59" w14:textId="77777777" w:rsidR="00C543C7" w:rsidRPr="00BA3C69" w:rsidRDefault="00C543C7">
      <w:pPr>
        <w:spacing w:line="360" w:lineRule="auto"/>
        <w:jc w:val="both"/>
        <w:rPr>
          <w:rFonts w:ascii="Book Antiqua" w:hAnsi="Book Antiqua"/>
          <w:color w:val="auto"/>
        </w:rPr>
      </w:pPr>
    </w:p>
    <w:p w14:paraId="6099C3B2"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AIM</w:t>
      </w:r>
    </w:p>
    <w:p w14:paraId="05F560E1"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To explore the clinical potential of diffusion kurtosis imaging (DKI) in predicting recurrence and cellular invasion of the peritumoral liver zone of HCC after TACE.</w:t>
      </w:r>
    </w:p>
    <w:p w14:paraId="319249B7" w14:textId="77777777" w:rsidR="00C543C7" w:rsidRPr="00BA3C69" w:rsidRDefault="00C543C7">
      <w:pPr>
        <w:spacing w:line="360" w:lineRule="auto"/>
        <w:jc w:val="both"/>
        <w:rPr>
          <w:rFonts w:ascii="Book Antiqua" w:hAnsi="Book Antiqua"/>
          <w:color w:val="auto"/>
        </w:rPr>
      </w:pPr>
    </w:p>
    <w:p w14:paraId="5422D13D"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METHODS</w:t>
      </w:r>
    </w:p>
    <w:p w14:paraId="56C1F03E"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 xml:space="preserve">Seventy-six patients with 82 HCC nodules were recruited in this study and underwent DKI after TACE. According to pathological examinations or the overall </w:t>
      </w:r>
      <w:r w:rsidRPr="00BA3C69">
        <w:rPr>
          <w:rFonts w:ascii="Book Antiqua" w:hAnsi="Book Antiqua"/>
          <w:color w:val="auto"/>
        </w:rPr>
        <w:t>modified response evaluation criteria in solid tumors</w:t>
      </w:r>
      <w:r w:rsidRPr="00BA3C69">
        <w:rPr>
          <w:rFonts w:ascii="Book Antiqua" w:hAnsi="Book Antiqua"/>
          <w:color w:val="auto"/>
          <w:shd w:val="clear" w:color="auto" w:fill="FFFFFF"/>
        </w:rPr>
        <w:t xml:space="preserve"> (mRECIST) criterion, 48 and 34 nodules were divided into true progression and pseudo-progression groups, respectively. The TACE-treated area, peritumoral liver zone, and far-tumoral zone were evaluated on DKI-derived metric maps. Non-parametric </w:t>
      </w:r>
      <w:r w:rsidRPr="00BA3C69">
        <w:rPr>
          <w:rFonts w:ascii="Book Antiqua" w:hAnsi="Book Antiqua"/>
          <w:i/>
          <w:color w:val="auto"/>
          <w:shd w:val="clear" w:color="auto" w:fill="FFFFFF"/>
        </w:rPr>
        <w:t>U</w:t>
      </w:r>
      <w:r w:rsidRPr="00BA3C69">
        <w:rPr>
          <w:rFonts w:ascii="Book Antiqua" w:hAnsi="Book Antiqua"/>
          <w:color w:val="auto"/>
          <w:shd w:val="clear" w:color="auto" w:fill="FFFFFF"/>
        </w:rPr>
        <w:t xml:space="preserve"> test and receiver operating characteristic curve (ROC) analysis were used to evaluate the prediction performance of each DKI metric between the two groups. The independent </w:t>
      </w:r>
      <w:r w:rsidRPr="00BA3C69">
        <w:rPr>
          <w:rFonts w:ascii="Book Antiqua" w:hAnsi="Book Antiqua"/>
          <w:i/>
          <w:color w:val="auto"/>
          <w:shd w:val="clear" w:color="auto" w:fill="FFFFFF"/>
        </w:rPr>
        <w:t>t</w:t>
      </w:r>
      <w:r w:rsidRPr="00BA3C69">
        <w:rPr>
          <w:rFonts w:ascii="Book Antiqua" w:hAnsi="Book Antiqua"/>
          <w:color w:val="auto"/>
          <w:shd w:val="clear" w:color="auto" w:fill="FFFFFF"/>
        </w:rPr>
        <w:t>-test was used to compare each DKI metric between the peritumoral and far-tumoral zones of the true progression group.</w:t>
      </w:r>
    </w:p>
    <w:p w14:paraId="692A679E" w14:textId="77777777" w:rsidR="00C543C7" w:rsidRPr="00BA3C69" w:rsidRDefault="00C543C7">
      <w:pPr>
        <w:spacing w:line="360" w:lineRule="auto"/>
        <w:jc w:val="both"/>
        <w:rPr>
          <w:rFonts w:ascii="Book Antiqua" w:hAnsi="Book Antiqua"/>
          <w:color w:val="auto"/>
        </w:rPr>
      </w:pPr>
    </w:p>
    <w:p w14:paraId="1AD60439"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RESULTS</w:t>
      </w:r>
    </w:p>
    <w:p w14:paraId="1F6CC0CC"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DKI metrics, including mean diffusivity (MD), a</w:t>
      </w:r>
      <w:r w:rsidRPr="00BA3C69">
        <w:rPr>
          <w:rFonts w:ascii="Book Antiqua" w:hAnsi="Book Antiqua"/>
          <w:color w:val="auto"/>
        </w:rPr>
        <w:t>xial diffusivity (</w:t>
      </w:r>
      <w:r w:rsidRPr="00BA3C69">
        <w:rPr>
          <w:rFonts w:ascii="Book Antiqua" w:hAnsi="Book Antiqua"/>
          <w:color w:val="auto"/>
          <w:shd w:val="clear" w:color="auto" w:fill="FFFFFF"/>
        </w:rPr>
        <w:t>DA), r</w:t>
      </w:r>
      <w:r w:rsidRPr="00BA3C69">
        <w:rPr>
          <w:rFonts w:ascii="Book Antiqua" w:hAnsi="Book Antiqua"/>
          <w:color w:val="auto"/>
        </w:rPr>
        <w:t>adial diffusivity (</w:t>
      </w:r>
      <w:r w:rsidRPr="00BA3C69">
        <w:rPr>
          <w:rFonts w:ascii="Book Antiqua" w:hAnsi="Book Antiqua"/>
          <w:color w:val="auto"/>
          <w:shd w:val="clear" w:color="auto" w:fill="FFFFFF"/>
        </w:rPr>
        <w:t>DR), a</w:t>
      </w:r>
      <w:r w:rsidRPr="00BA3C69">
        <w:rPr>
          <w:rFonts w:ascii="Book Antiqua" w:hAnsi="Book Antiqua"/>
          <w:color w:val="auto"/>
        </w:rPr>
        <w:t>xial kurtosis (</w:t>
      </w:r>
      <w:r w:rsidRPr="00BA3C69">
        <w:rPr>
          <w:rFonts w:ascii="Book Antiqua" w:hAnsi="Book Antiqua"/>
          <w:color w:val="auto"/>
          <w:shd w:val="clear" w:color="auto" w:fill="FFFFFF"/>
        </w:rPr>
        <w:t xml:space="preserve">KA), and </w:t>
      </w:r>
      <w:r w:rsidRPr="00BA3C69">
        <w:rPr>
          <w:rFonts w:ascii="Book Antiqua" w:hAnsi="Book Antiqua"/>
          <w:color w:val="auto"/>
        </w:rPr>
        <w:t>anisotropy fraction of kurtosis</w:t>
      </w:r>
      <w:r w:rsidRPr="00BA3C69">
        <w:rPr>
          <w:rFonts w:ascii="Book Antiqua" w:hAnsi="Book Antiqua"/>
          <w:color w:val="auto"/>
          <w:shd w:val="clear" w:color="auto" w:fill="FFFFFF"/>
        </w:rPr>
        <w:t xml:space="preserve"> (Fak), showed statistically different values between the true progression and pseudo-progression groups (</w:t>
      </w:r>
      <w:r w:rsidRPr="00BA3C69">
        <w:rPr>
          <w:rFonts w:ascii="Book Antiqua" w:hAnsi="Book Antiqua"/>
          <w:i/>
          <w:iCs/>
          <w:color w:val="auto"/>
          <w:shd w:val="clear" w:color="auto" w:fill="FFFFFF"/>
        </w:rPr>
        <w:t>P</w:t>
      </w:r>
      <w:r w:rsidRPr="00BA3C69">
        <w:rPr>
          <w:rFonts w:ascii="Book Antiqua" w:hAnsi="Book Antiqua"/>
          <w:color w:val="auto"/>
          <w:shd w:val="clear" w:color="auto" w:fill="FFFFFF"/>
        </w:rPr>
        <w:t xml:space="preserve"> &lt; 0.05). Among these, MD, DA, and DR values were higher in pseudo-progression lesions than in true progression lesions, whereas KA and FAk values were higher in true progression </w:t>
      </w:r>
      <w:r w:rsidRPr="00BA3C69">
        <w:rPr>
          <w:rFonts w:ascii="Book Antiqua" w:hAnsi="Book Antiqua"/>
          <w:color w:val="auto"/>
          <w:shd w:val="clear" w:color="auto" w:fill="FFFFFF"/>
        </w:rPr>
        <w:lastRenderedPageBreak/>
        <w:t>lesions than in pseudo-progression lesions. Moreover, for the true progression group, the peritumoral zone showed significantly different DA, DR, KA, and FAk values from the far-tumoral zone. Furthermore, MD values of the liver parenchyma (peritumoral and far-tumoral zones) were significantly lower in the true progression group than in the pseudo-progression group (</w:t>
      </w:r>
      <w:r w:rsidRPr="00BA3C69">
        <w:rPr>
          <w:rFonts w:ascii="Book Antiqua" w:hAnsi="Book Antiqua"/>
          <w:i/>
          <w:iCs/>
          <w:color w:val="auto"/>
          <w:shd w:val="clear" w:color="auto" w:fill="FFFFFF"/>
        </w:rPr>
        <w:t>P</w:t>
      </w:r>
      <w:r w:rsidRPr="00BA3C69">
        <w:rPr>
          <w:rFonts w:ascii="Book Antiqua" w:hAnsi="Book Antiqua"/>
          <w:color w:val="auto"/>
          <w:shd w:val="clear" w:color="auto" w:fill="FFFFFF"/>
        </w:rPr>
        <w:t xml:space="preserve"> &lt; 0.05).</w:t>
      </w:r>
    </w:p>
    <w:p w14:paraId="2A2D0D87" w14:textId="77777777" w:rsidR="00C543C7" w:rsidRPr="00BA3C69" w:rsidRDefault="00C543C7">
      <w:pPr>
        <w:spacing w:line="360" w:lineRule="auto"/>
        <w:jc w:val="both"/>
        <w:rPr>
          <w:rFonts w:ascii="Book Antiqua" w:hAnsi="Book Antiqua"/>
          <w:color w:val="auto"/>
        </w:rPr>
      </w:pPr>
    </w:p>
    <w:p w14:paraId="1D6CCF75"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CONCLUSION</w:t>
      </w:r>
    </w:p>
    <w:p w14:paraId="725F860E"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DKI has been demonstrated with robust performance in predicting the therapeutic response of HCC to TACE. Moreover, DKI might reveal cellular invasion of the peritumoral zone by molecular diffusion-restricted change.</w:t>
      </w:r>
    </w:p>
    <w:p w14:paraId="55A6BD06" w14:textId="77777777" w:rsidR="00C543C7" w:rsidRPr="00BA3C69" w:rsidRDefault="00C543C7">
      <w:pPr>
        <w:spacing w:line="360" w:lineRule="auto"/>
        <w:jc w:val="both"/>
        <w:rPr>
          <w:rFonts w:ascii="Book Antiqua" w:hAnsi="Book Antiqua"/>
          <w:color w:val="auto"/>
        </w:rPr>
      </w:pPr>
    </w:p>
    <w:p w14:paraId="78AE656B"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Key Words: </w:t>
      </w:r>
      <w:r w:rsidRPr="00BA3C69">
        <w:rPr>
          <w:rFonts w:ascii="Book Antiqua" w:hAnsi="Book Antiqua"/>
          <w:color w:val="auto"/>
          <w:shd w:val="clear" w:color="auto" w:fill="FFFFFF"/>
        </w:rPr>
        <w:t>Diffusion kurtosis imaging; Hepatocellular carcinoma; Transcatheter arterial chemoembolization; Recurrence</w:t>
      </w:r>
    </w:p>
    <w:p w14:paraId="5575BCB2" w14:textId="77777777" w:rsidR="00C543C7" w:rsidRPr="00BA3C69" w:rsidRDefault="00C543C7">
      <w:pPr>
        <w:spacing w:line="360" w:lineRule="auto"/>
        <w:jc w:val="both"/>
        <w:rPr>
          <w:rFonts w:ascii="Book Antiqua" w:hAnsi="Book Antiqua"/>
          <w:color w:val="auto"/>
        </w:rPr>
      </w:pPr>
    </w:p>
    <w:p w14:paraId="57D98716" w14:textId="77777777" w:rsidR="00A72B7D" w:rsidRPr="00BA3C69" w:rsidRDefault="00A72B7D" w:rsidP="00A72B7D">
      <w:pPr>
        <w:spacing w:line="360" w:lineRule="auto"/>
        <w:jc w:val="both"/>
        <w:rPr>
          <w:rFonts w:ascii="Book Antiqua" w:hAnsi="Book Antiqua"/>
        </w:rPr>
      </w:pPr>
      <w:r w:rsidRPr="00BA3C69">
        <w:rPr>
          <w:rFonts w:ascii="Book Antiqua" w:eastAsia="Book Antiqua" w:hAnsi="Book Antiqua" w:cs="Book Antiqua"/>
          <w:b/>
        </w:rPr>
        <w:t>©The</w:t>
      </w:r>
      <w:r w:rsidRPr="00BA3C69">
        <w:rPr>
          <w:rFonts w:ascii="Book Antiqua" w:eastAsia="Book Antiqua" w:hAnsi="Book Antiqua" w:cs="Book Antiqua"/>
        </w:rPr>
        <w:t xml:space="preserve"> </w:t>
      </w:r>
      <w:r w:rsidRPr="00BA3C69">
        <w:rPr>
          <w:rFonts w:ascii="Book Antiqua" w:eastAsia="Book Antiqua" w:hAnsi="Book Antiqua" w:cs="Book Antiqua"/>
          <w:b/>
        </w:rPr>
        <w:t xml:space="preserve">Author(s) 2022. </w:t>
      </w:r>
      <w:r w:rsidRPr="00BA3C69">
        <w:rPr>
          <w:rFonts w:ascii="Book Antiqua" w:eastAsia="Book Antiqua" w:hAnsi="Book Antiqua" w:cs="Book Antiqua"/>
        </w:rPr>
        <w:t>Published by Baishideng Publishing Group Inc. All rights reserved.</w:t>
      </w:r>
    </w:p>
    <w:p w14:paraId="4F204E6D" w14:textId="77777777" w:rsidR="00A72B7D" w:rsidRPr="00BA3C69" w:rsidRDefault="00A72B7D" w:rsidP="00A72B7D">
      <w:pPr>
        <w:spacing w:line="360" w:lineRule="auto"/>
        <w:jc w:val="both"/>
        <w:rPr>
          <w:rFonts w:ascii="Book Antiqua" w:eastAsia="Book Antiqua" w:hAnsi="Book Antiqua" w:cs="Book Antiqua"/>
        </w:rPr>
      </w:pPr>
    </w:p>
    <w:p w14:paraId="6D565087" w14:textId="78F7BE02" w:rsidR="00B220EE" w:rsidRPr="00BA3C69" w:rsidRDefault="00A72B7D" w:rsidP="00A72B7D">
      <w:pPr>
        <w:spacing w:line="360" w:lineRule="auto"/>
        <w:jc w:val="both"/>
        <w:rPr>
          <w:rFonts w:ascii="Book Antiqua" w:hAnsi="Book Antiqua"/>
          <w:color w:val="auto"/>
        </w:rPr>
      </w:pPr>
      <w:bookmarkStart w:id="0" w:name="_Hlk86002783"/>
      <w:r w:rsidRPr="00BA3C69">
        <w:rPr>
          <w:rFonts w:ascii="Book Antiqua" w:hAnsi="Book Antiqua" w:cs="Book Antiqua"/>
          <w:b/>
        </w:rPr>
        <w:t>Citation:</w:t>
      </w:r>
      <w:bookmarkEnd w:id="0"/>
      <w:r w:rsidRPr="00BA3C69">
        <w:rPr>
          <w:rFonts w:ascii="Book Antiqua" w:hAnsi="Book Antiqua" w:cs="Book Antiqua"/>
          <w:b/>
        </w:rPr>
        <w:t xml:space="preserve"> </w:t>
      </w:r>
      <w:r w:rsidRPr="00BA3C69">
        <w:rPr>
          <w:rFonts w:ascii="Book Antiqua" w:hAnsi="Book Antiqua"/>
          <w:color w:val="auto"/>
        </w:rPr>
        <w:t xml:space="preserve">Cao X, Shi H, Dou WQ, Zhao XY, Zheng YX, Ge YP, Cheng HC, Geng DY, Wang JY. Can DKI-MRI predict recurrence and invasion of peritumoral zone of hepatocellular carcinoma after transcatheter arterial chemoembolization? </w:t>
      </w:r>
      <w:r w:rsidRPr="00BA3C69">
        <w:rPr>
          <w:rFonts w:ascii="Book Antiqua" w:hAnsi="Book Antiqua"/>
          <w:i/>
          <w:iCs/>
          <w:color w:val="auto"/>
        </w:rPr>
        <w:t>World J Gastrointest Surg</w:t>
      </w:r>
      <w:r w:rsidRPr="00BA3C69">
        <w:rPr>
          <w:rFonts w:ascii="Book Antiqua" w:hAnsi="Book Antiqua"/>
          <w:color w:val="auto"/>
        </w:rPr>
        <w:t xml:space="preserve"> 2022; 14(10):</w:t>
      </w:r>
      <w:r w:rsidR="00FB126C" w:rsidRPr="00BA3C69">
        <w:t xml:space="preserve"> </w:t>
      </w:r>
      <w:r w:rsidR="00FB126C" w:rsidRPr="00BA3C69">
        <w:rPr>
          <w:rFonts w:ascii="Book Antiqua" w:hAnsi="Book Antiqua"/>
          <w:color w:val="auto"/>
        </w:rPr>
        <w:t>1150-1160</w:t>
      </w:r>
      <w:r w:rsidRPr="00BA3C69">
        <w:rPr>
          <w:rFonts w:ascii="Book Antiqua" w:hAnsi="Book Antiqua"/>
          <w:color w:val="auto"/>
        </w:rPr>
        <w:t xml:space="preserve"> </w:t>
      </w:r>
    </w:p>
    <w:p w14:paraId="243B9E9B" w14:textId="3BA6DFDF" w:rsidR="00B220EE" w:rsidRPr="00BA3C69" w:rsidRDefault="00000000" w:rsidP="00A72B7D">
      <w:pPr>
        <w:spacing w:line="360" w:lineRule="auto"/>
        <w:jc w:val="both"/>
        <w:rPr>
          <w:rFonts w:ascii="Book Antiqua" w:hAnsi="Book Antiqua"/>
          <w:color w:val="auto"/>
        </w:rPr>
      </w:pPr>
      <w:r w:rsidRPr="00BA3C69">
        <w:rPr>
          <w:rFonts w:ascii="Book Antiqua" w:hAnsi="Book Antiqua"/>
          <w:b/>
          <w:bCs/>
          <w:color w:val="auto"/>
        </w:rPr>
        <w:t>URL</w:t>
      </w:r>
      <w:r w:rsidRPr="00BA3C69">
        <w:rPr>
          <w:rFonts w:ascii="Book Antiqua" w:hAnsi="Book Antiqua"/>
          <w:color w:val="auto"/>
        </w:rPr>
        <w:t xml:space="preserve">: </w:t>
      </w:r>
      <w:r w:rsidR="00B220EE" w:rsidRPr="00BA3C69">
        <w:rPr>
          <w:rFonts w:ascii="Book Antiqua" w:hAnsi="Book Antiqua"/>
          <w:color w:val="auto"/>
        </w:rPr>
        <w:t>https://www.wjgnet.com/1948-9366/full/v14/i10/</w:t>
      </w:r>
      <w:r w:rsidR="00FB126C" w:rsidRPr="00BA3C69">
        <w:rPr>
          <w:rFonts w:ascii="Book Antiqua" w:hAnsi="Book Antiqua"/>
          <w:color w:val="auto"/>
        </w:rPr>
        <w:t>1150</w:t>
      </w:r>
      <w:r w:rsidR="00B220EE" w:rsidRPr="00BA3C69">
        <w:rPr>
          <w:rFonts w:ascii="Book Antiqua" w:hAnsi="Book Antiqua"/>
          <w:color w:val="auto"/>
        </w:rPr>
        <w:t>.htm</w:t>
      </w:r>
      <w:r w:rsidRPr="00BA3C69">
        <w:rPr>
          <w:rFonts w:ascii="Book Antiqua" w:hAnsi="Book Antiqua"/>
          <w:color w:val="auto"/>
        </w:rPr>
        <w:t xml:space="preserve"> </w:t>
      </w:r>
    </w:p>
    <w:p w14:paraId="20D4D833" w14:textId="6385A6A7" w:rsidR="00C543C7" w:rsidRPr="00BA3C69" w:rsidRDefault="00000000" w:rsidP="00A72B7D">
      <w:pPr>
        <w:spacing w:line="360" w:lineRule="auto"/>
        <w:jc w:val="both"/>
        <w:rPr>
          <w:rFonts w:ascii="Book Antiqua" w:hAnsi="Book Antiqua"/>
          <w:color w:val="auto"/>
        </w:rPr>
      </w:pPr>
      <w:r w:rsidRPr="00BA3C69">
        <w:rPr>
          <w:rFonts w:ascii="Book Antiqua" w:hAnsi="Book Antiqua"/>
          <w:b/>
          <w:bCs/>
          <w:color w:val="auto"/>
        </w:rPr>
        <w:t>DOI</w:t>
      </w:r>
      <w:r w:rsidRPr="00BA3C69">
        <w:rPr>
          <w:rFonts w:ascii="Book Antiqua" w:hAnsi="Book Antiqua"/>
          <w:color w:val="auto"/>
        </w:rPr>
        <w:t>: https://dx.doi.org/10.4240/wjgs.v14.i10.</w:t>
      </w:r>
      <w:r w:rsidR="00FB126C" w:rsidRPr="00BA3C69">
        <w:rPr>
          <w:rFonts w:ascii="Book Antiqua" w:hAnsi="Book Antiqua"/>
          <w:color w:val="auto"/>
        </w:rPr>
        <w:t>1150</w:t>
      </w:r>
    </w:p>
    <w:p w14:paraId="2076E6B5" w14:textId="77777777" w:rsidR="00C543C7" w:rsidRPr="00BA3C69" w:rsidRDefault="00C543C7">
      <w:pPr>
        <w:spacing w:line="360" w:lineRule="auto"/>
        <w:jc w:val="both"/>
        <w:rPr>
          <w:rFonts w:ascii="Book Antiqua" w:hAnsi="Book Antiqua"/>
          <w:color w:val="auto"/>
        </w:rPr>
      </w:pPr>
    </w:p>
    <w:p w14:paraId="0C7D80DA"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Core Tip: </w:t>
      </w:r>
      <w:r w:rsidRPr="00BA3C69">
        <w:rPr>
          <w:rFonts w:ascii="Book Antiqua" w:hAnsi="Book Antiqua"/>
          <w:color w:val="auto"/>
        </w:rPr>
        <w:t>This study demonstrated feasible performance and advantages of diffusion kurtosis imaging metrics (</w:t>
      </w:r>
      <w:r w:rsidRPr="00BA3C69">
        <w:rPr>
          <w:rFonts w:ascii="Book Antiqua" w:hAnsi="Book Antiqua"/>
          <w:i/>
          <w:color w:val="auto"/>
        </w:rPr>
        <w:t>i.e.</w:t>
      </w:r>
      <w:r w:rsidRPr="00BA3C69">
        <w:rPr>
          <w:rFonts w:ascii="Book Antiqua" w:hAnsi="Book Antiqua"/>
          <w:color w:val="auto"/>
        </w:rPr>
        <w:t>, mean diffusivity, axial diffusivity, radial diffusivity, axial kurtosis, and anisotropy fraction of kurtosis) in evaluating liver cancer and tumoral cell invasion of peritumoral zone between hepatocellular carcinoma progressive group and pseudo-progressive group after transcatheter arterial chemoembolization treatment.</w:t>
      </w:r>
    </w:p>
    <w:p w14:paraId="45C4EF88" w14:textId="77777777" w:rsidR="00C543C7" w:rsidRPr="00BA3C69" w:rsidRDefault="00C543C7">
      <w:pPr>
        <w:spacing w:line="360" w:lineRule="auto"/>
        <w:jc w:val="both"/>
        <w:rPr>
          <w:rFonts w:ascii="Book Antiqua" w:hAnsi="Book Antiqua"/>
          <w:color w:val="auto"/>
        </w:rPr>
      </w:pPr>
    </w:p>
    <w:p w14:paraId="2F26010F"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aps/>
          <w:color w:val="auto"/>
          <w:u w:val="single"/>
        </w:rPr>
        <w:lastRenderedPageBreak/>
        <w:t>INTRODUCTION</w:t>
      </w:r>
    </w:p>
    <w:p w14:paraId="60036F51"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Hepatocellular carcinoma (HCC) is a major cause of cancer-related mortality worldwide</w:t>
      </w:r>
      <w:r w:rsidRPr="00BA3C69">
        <w:rPr>
          <w:rFonts w:ascii="Book Antiqua" w:hAnsi="Book Antiqua"/>
          <w:color w:val="auto"/>
          <w:shd w:val="clear" w:color="auto" w:fill="FFFFFF"/>
          <w:vertAlign w:val="superscript"/>
        </w:rPr>
        <w:t>[1]</w:t>
      </w:r>
      <w:r w:rsidRPr="00BA3C69">
        <w:rPr>
          <w:rFonts w:ascii="Book Antiqua" w:hAnsi="Book Antiqua"/>
          <w:color w:val="auto"/>
          <w:shd w:val="clear" w:color="auto" w:fill="FFFFFF"/>
        </w:rPr>
        <w:t>. Unfortunately, most patients with HCC are diagnosed at the advanced stage and thus lose the opportunity for surgical resection. Transcatheter arterial chemoembolization (TACE), which blocks local blood supply of cancerous lesions to induce ischemia and necrosis with a mixture of chemotherapeutic agents</w:t>
      </w:r>
      <w:r w:rsidRPr="00BA3C69">
        <w:rPr>
          <w:rFonts w:ascii="Book Antiqua" w:hAnsi="Book Antiqua"/>
          <w:color w:val="auto"/>
          <w:shd w:val="clear" w:color="auto" w:fill="FFFFFF"/>
          <w:vertAlign w:val="superscript"/>
        </w:rPr>
        <w:t>[2]</w:t>
      </w:r>
      <w:r w:rsidRPr="00BA3C69">
        <w:rPr>
          <w:rFonts w:ascii="Book Antiqua" w:hAnsi="Book Antiqua"/>
          <w:color w:val="auto"/>
          <w:shd w:val="clear" w:color="auto" w:fill="FFFFFF"/>
        </w:rPr>
        <w:t>, has been performed as a palliative treatment for patients with advanced stage HCC. With TACE, the survival rate and prognosis of patients with HCC could be significantly improved</w:t>
      </w:r>
      <w:r w:rsidRPr="00BA3C69">
        <w:rPr>
          <w:rFonts w:ascii="Book Antiqua" w:hAnsi="Book Antiqua"/>
          <w:color w:val="auto"/>
          <w:shd w:val="clear" w:color="auto" w:fill="FFFFFF"/>
          <w:vertAlign w:val="superscript"/>
        </w:rPr>
        <w:t>[3]</w:t>
      </w:r>
      <w:r w:rsidRPr="00BA3C69">
        <w:rPr>
          <w:rFonts w:ascii="Book Antiqua" w:hAnsi="Book Antiqua"/>
          <w:color w:val="auto"/>
          <w:shd w:val="clear" w:color="auto" w:fill="FFFFFF"/>
        </w:rPr>
        <w:t>. However, due to hypervascular feature and possibly established new collateral circulation</w:t>
      </w:r>
      <w:r w:rsidRPr="00BA3C69">
        <w:rPr>
          <w:rFonts w:ascii="Book Antiqua" w:hAnsi="Book Antiqua"/>
          <w:color w:val="auto"/>
          <w:shd w:val="clear" w:color="auto" w:fill="FFFFFF"/>
          <w:vertAlign w:val="superscript"/>
        </w:rPr>
        <w:t>[4]</w:t>
      </w:r>
      <w:r w:rsidRPr="00BA3C69">
        <w:rPr>
          <w:rFonts w:ascii="Book Antiqua" w:hAnsi="Book Antiqua"/>
          <w:color w:val="auto"/>
          <w:shd w:val="clear" w:color="auto" w:fill="FFFFFF"/>
        </w:rPr>
        <w:t>, HCC is prone to being recurrent after TACE treatment. Thus, an accurate evaluation method is essential to help guide subsequent therapeutic planning for patients with HCC after TACE in clinical practice. In addition, after TACE, there may be microscopic changes prior to morphological changes in the peritumoral liver parenchyma zone of the true progression. While, no related studies have been conducted regarding this.</w:t>
      </w:r>
    </w:p>
    <w:p w14:paraId="7ED27294" w14:textId="77777777" w:rsidR="00C543C7" w:rsidRPr="00BA3C69" w:rsidRDefault="00000000">
      <w:pPr>
        <w:spacing w:line="360" w:lineRule="auto"/>
        <w:ind w:firstLine="240"/>
        <w:jc w:val="both"/>
        <w:rPr>
          <w:rFonts w:ascii="Book Antiqua" w:hAnsi="Book Antiqua"/>
          <w:color w:val="auto"/>
        </w:rPr>
      </w:pPr>
      <w:r w:rsidRPr="00BA3C69">
        <w:rPr>
          <w:rFonts w:ascii="Book Antiqua" w:hAnsi="Book Antiqua"/>
          <w:color w:val="auto"/>
          <w:shd w:val="clear" w:color="auto" w:fill="FFFFFF"/>
        </w:rPr>
        <w:t>Magnetic resonance imaging (MRI) has clinical potential in evaluating the effect of TACE in patients with liver cancer</w:t>
      </w:r>
      <w:r w:rsidRPr="00BA3C69">
        <w:rPr>
          <w:rFonts w:ascii="Book Antiqua" w:hAnsi="Book Antiqua"/>
          <w:color w:val="auto"/>
          <w:shd w:val="clear" w:color="auto" w:fill="FFFFFF"/>
          <w:vertAlign w:val="superscript"/>
        </w:rPr>
        <w:t>[5]</w:t>
      </w:r>
      <w:r w:rsidRPr="00BA3C69">
        <w:rPr>
          <w:rFonts w:ascii="Book Antiqua" w:hAnsi="Book Antiqua"/>
          <w:color w:val="auto"/>
          <w:shd w:val="clear" w:color="auto" w:fill="FFFFFF"/>
        </w:rPr>
        <w:t>. However, anatomical MRI has some limitations. These include the following: (1) MRI signals are easily affected by various time points and different treatment methods; (2) paramagnetic substances, such as hemorrhage, granulation tissue, protein components, and steatosis, present high signal on T1-weighted imaging (T1WI) and may interfere with the enhancement of recurring lesions; and (3) disordered collateral circulation in TACE area can lead to false-negative diagnosis in arterial enhancement measurement.</w:t>
      </w:r>
    </w:p>
    <w:p w14:paraId="6A829724" w14:textId="77777777" w:rsidR="00C543C7" w:rsidRPr="00BA3C69" w:rsidRDefault="00000000">
      <w:pPr>
        <w:spacing w:line="360" w:lineRule="auto"/>
        <w:ind w:firstLine="240"/>
        <w:jc w:val="both"/>
        <w:rPr>
          <w:rFonts w:ascii="Book Antiqua" w:hAnsi="Book Antiqua"/>
          <w:color w:val="auto"/>
        </w:rPr>
      </w:pPr>
      <w:r w:rsidRPr="00BA3C69">
        <w:rPr>
          <w:rFonts w:ascii="Book Antiqua" w:hAnsi="Book Antiqua"/>
          <w:color w:val="auto"/>
          <w:shd w:val="clear" w:color="auto" w:fill="FFFFFF"/>
        </w:rPr>
        <w:t>Diffusion MRI, as a promising method of measuring the diffusion behavior of water molecules, sensitively reflects the physiological and morphological changes of tissues</w:t>
      </w:r>
      <w:r w:rsidRPr="00BA3C69">
        <w:rPr>
          <w:rFonts w:ascii="Book Antiqua" w:hAnsi="Book Antiqua"/>
          <w:color w:val="auto"/>
          <w:shd w:val="clear" w:color="auto" w:fill="FFFFFF"/>
          <w:vertAlign w:val="superscript"/>
        </w:rPr>
        <w:t>[6]</w:t>
      </w:r>
      <w:r w:rsidRPr="00BA3C69">
        <w:rPr>
          <w:rFonts w:ascii="Book Antiqua" w:hAnsi="Book Antiqua"/>
          <w:color w:val="auto"/>
          <w:shd w:val="clear" w:color="auto" w:fill="FFFFFF"/>
        </w:rPr>
        <w:t>. Diffusion-weighted imaging (DWI) has been relatively stable to different treatment methods</w:t>
      </w:r>
      <w:r w:rsidRPr="00BA3C69">
        <w:rPr>
          <w:rFonts w:ascii="Book Antiqua" w:hAnsi="Book Antiqua"/>
          <w:color w:val="auto"/>
          <w:shd w:val="clear" w:color="auto" w:fill="FFFFFF"/>
          <w:vertAlign w:val="superscript"/>
        </w:rPr>
        <w:t>[7]</w:t>
      </w:r>
      <w:r w:rsidRPr="00BA3C69">
        <w:rPr>
          <w:rFonts w:ascii="Book Antiqua" w:hAnsi="Book Antiqua"/>
          <w:color w:val="auto"/>
          <w:shd w:val="clear" w:color="auto" w:fill="FFFFFF"/>
        </w:rPr>
        <w:t xml:space="preserve"> and has shown higher diagnostic performance in liver cancer after TACE than contrast-enhanced MRI</w:t>
      </w:r>
      <w:r w:rsidRPr="00BA3C69">
        <w:rPr>
          <w:rFonts w:ascii="Book Antiqua" w:hAnsi="Book Antiqua"/>
          <w:color w:val="auto"/>
          <w:shd w:val="clear" w:color="auto" w:fill="FFFFFF"/>
          <w:vertAlign w:val="superscript"/>
        </w:rPr>
        <w:t>[8]</w:t>
      </w:r>
      <w:r w:rsidRPr="00BA3C69">
        <w:rPr>
          <w:rFonts w:ascii="Book Antiqua" w:hAnsi="Book Antiqua"/>
          <w:color w:val="auto"/>
          <w:shd w:val="clear" w:color="auto" w:fill="FFFFFF"/>
        </w:rPr>
        <w:t xml:space="preserve">. However, the DWI metric apparent diffusion coefficient, derived in mono-exponential model, tends to be affected by various factors, such as </w:t>
      </w:r>
      <w:r w:rsidRPr="00BA3C69">
        <w:rPr>
          <w:rFonts w:ascii="Book Antiqua" w:hAnsi="Book Antiqua"/>
          <w:color w:val="auto"/>
          <w:shd w:val="clear" w:color="auto" w:fill="FFFFFF"/>
        </w:rPr>
        <w:lastRenderedPageBreak/>
        <w:t>macromolecule concentration, viscosity, and capillary perfusion</w:t>
      </w:r>
      <w:r w:rsidRPr="00BA3C69">
        <w:rPr>
          <w:rFonts w:ascii="Book Antiqua" w:hAnsi="Book Antiqua"/>
          <w:color w:val="auto"/>
          <w:shd w:val="clear" w:color="auto" w:fill="FFFFFF"/>
          <w:vertAlign w:val="superscript"/>
        </w:rPr>
        <w:t>[9]</w:t>
      </w:r>
      <w:r w:rsidRPr="00BA3C69">
        <w:rPr>
          <w:rFonts w:ascii="Book Antiqua" w:hAnsi="Book Antiqua"/>
          <w:color w:val="auto"/>
          <w:shd w:val="clear" w:color="auto" w:fill="FFFFFF"/>
        </w:rPr>
        <w:t>. In contrast, diffusion kurtosis imaging (DKI),</w:t>
      </w:r>
      <w:r w:rsidRPr="00BA3C69">
        <w:rPr>
          <w:rFonts w:ascii="Book Antiqua" w:hAnsi="Book Antiqua"/>
          <w:color w:val="auto"/>
        </w:rPr>
        <w:t xml:space="preserve"> </w:t>
      </w:r>
      <w:r w:rsidRPr="00BA3C69">
        <w:rPr>
          <w:rFonts w:ascii="Book Antiqua" w:hAnsi="Book Antiqua"/>
          <w:color w:val="auto"/>
          <w:shd w:val="clear" w:color="auto" w:fill="FFFFFF"/>
        </w:rPr>
        <w:t>a relatively novel diffusion imaging technique describing the deviations of water molecules diffusing away from Gaussian distribution, enables the precise depiction of microstructural environment</w:t>
      </w:r>
      <w:r w:rsidRPr="00BA3C69">
        <w:rPr>
          <w:rFonts w:ascii="Book Antiqua" w:hAnsi="Book Antiqua"/>
          <w:color w:val="auto"/>
          <w:shd w:val="clear" w:color="auto" w:fill="FFFFFF"/>
          <w:vertAlign w:val="superscript"/>
        </w:rPr>
        <w:t>[10]</w:t>
      </w:r>
      <w:r w:rsidRPr="00BA3C69">
        <w:rPr>
          <w:rFonts w:ascii="Book Antiqua" w:hAnsi="Book Antiqua"/>
          <w:color w:val="auto"/>
          <w:shd w:val="clear" w:color="auto" w:fill="FFFFFF"/>
        </w:rPr>
        <w:t>. With the DKI-derived parameter mean kurtosis (MK), HCC lesions can be well distinguished between the true progression and pseudo-progression groups</w:t>
      </w:r>
      <w:r w:rsidRPr="00BA3C69">
        <w:rPr>
          <w:rFonts w:ascii="Book Antiqua" w:hAnsi="Book Antiqua"/>
          <w:color w:val="auto"/>
          <w:shd w:val="clear" w:color="auto" w:fill="FFFFFF"/>
          <w:vertAlign w:val="superscript"/>
        </w:rPr>
        <w:t>[11]</w:t>
      </w:r>
      <w:r w:rsidRPr="00BA3C69">
        <w:rPr>
          <w:rFonts w:ascii="Book Antiqua" w:hAnsi="Book Antiqua"/>
          <w:color w:val="auto"/>
          <w:shd w:val="clear" w:color="auto" w:fill="FFFFFF"/>
        </w:rPr>
        <w:t>. Moreover, together with another DKI metric, mean diffusivity (MD), MK can assess the therapeutic response to TACE in HCC</w:t>
      </w:r>
      <w:r w:rsidRPr="00BA3C69">
        <w:rPr>
          <w:rFonts w:ascii="Book Antiqua" w:hAnsi="Book Antiqua"/>
          <w:color w:val="auto"/>
          <w:shd w:val="clear" w:color="auto" w:fill="FFFFFF"/>
          <w:vertAlign w:val="superscript"/>
        </w:rPr>
        <w:t>[12]</w:t>
      </w:r>
      <w:r w:rsidRPr="00BA3C69">
        <w:rPr>
          <w:rFonts w:ascii="Book Antiqua" w:hAnsi="Book Antiqua"/>
          <w:color w:val="auto"/>
          <w:shd w:val="clear" w:color="auto" w:fill="FFFFFF"/>
        </w:rPr>
        <w:t>. Although the effectiveness of both MK and MD has been validated, the remaining DKI parameters including fractional anisotropy of kurtosis (FAk), axial and radial kurtosis (KA and KR), and axial and radial diffusivity (DA and DR) have not yet been investigated for their clinical potential on HCC diagnosis after TACE. In addition, whether there are microscopic or molecular level changes in the liver parenchyma around the surviving lesion needs to be investigated.</w:t>
      </w:r>
    </w:p>
    <w:p w14:paraId="2EED3831" w14:textId="77777777" w:rsidR="00C543C7" w:rsidRPr="00BA3C69" w:rsidRDefault="00000000">
      <w:pPr>
        <w:spacing w:line="360" w:lineRule="auto"/>
        <w:ind w:firstLine="240"/>
        <w:jc w:val="both"/>
        <w:rPr>
          <w:rFonts w:ascii="Book Antiqua" w:hAnsi="Book Antiqua"/>
          <w:color w:val="auto"/>
        </w:rPr>
      </w:pPr>
      <w:r w:rsidRPr="00BA3C69">
        <w:rPr>
          <w:rFonts w:ascii="Book Antiqua" w:hAnsi="Book Antiqua"/>
          <w:color w:val="auto"/>
          <w:shd w:val="clear" w:color="auto" w:fill="FFFFFF"/>
        </w:rPr>
        <w:t>Therefore, this study aimed to systematically explore the clinical feasibility of all DKI-derived metrics in predicting recurrence and cellular invasion of the peritumoral liver zone of HCC after TACE.</w:t>
      </w:r>
    </w:p>
    <w:p w14:paraId="5D9169CB" w14:textId="77777777" w:rsidR="00C543C7" w:rsidRPr="00BA3C69" w:rsidRDefault="00C543C7">
      <w:pPr>
        <w:spacing w:line="360" w:lineRule="auto"/>
        <w:ind w:firstLine="240"/>
        <w:jc w:val="both"/>
        <w:rPr>
          <w:rFonts w:ascii="Book Antiqua" w:hAnsi="Book Antiqua"/>
          <w:color w:val="auto"/>
        </w:rPr>
      </w:pPr>
    </w:p>
    <w:p w14:paraId="2E948137"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aps/>
          <w:color w:val="auto"/>
          <w:u w:val="single"/>
        </w:rPr>
        <w:t>MATERIALS AND METHODS</w:t>
      </w:r>
    </w:p>
    <w:p w14:paraId="122DE71C"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shd w:val="clear" w:color="auto" w:fill="FFFFFF"/>
        </w:rPr>
        <w:t>Subjects</w:t>
      </w:r>
    </w:p>
    <w:p w14:paraId="0607E5A2"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 xml:space="preserve">The local institutional review board approved this study, and each subject provided written informed consent. From January to May 2019, 76 patients (46 males </w:t>
      </w:r>
      <w:r w:rsidRPr="00BA3C69">
        <w:rPr>
          <w:rFonts w:ascii="Book Antiqua" w:hAnsi="Book Antiqua"/>
          <w:i/>
          <w:color w:val="auto"/>
          <w:shd w:val="clear" w:color="auto" w:fill="FFFFFF"/>
        </w:rPr>
        <w:t>vs</w:t>
      </w:r>
      <w:r w:rsidRPr="00BA3C69">
        <w:rPr>
          <w:rFonts w:ascii="Book Antiqua" w:hAnsi="Book Antiqua"/>
          <w:color w:val="auto"/>
          <w:shd w:val="clear" w:color="auto" w:fill="FFFFFF"/>
        </w:rPr>
        <w:t xml:space="preserve"> 30 females; mean age, 55 years ± 12 years) with 82 HCC nodules were recruited in this study after receiving TACE treatment (1.4 mo ± 0.8 mo). Based on the pathological examination or the overall modified response evaluation criteria in solid tumors (mRECIST) criteria, 48 relapse/residual lesions and 34 stable and inactive lesions were divided into true progression and pseudo-progression groups, respective. The true progression was pathologically manifested as viable tumor cells in the foci, including primary liver cancer among the incisions, necrotic material, and granulomatous inflammation. The pseudo-</w:t>
      </w:r>
      <w:r w:rsidRPr="00BA3C69">
        <w:rPr>
          <w:rFonts w:ascii="Book Antiqua" w:hAnsi="Book Antiqua"/>
          <w:color w:val="auto"/>
          <w:shd w:val="clear" w:color="auto" w:fill="FFFFFF"/>
        </w:rPr>
        <w:lastRenderedPageBreak/>
        <w:t>progression was manifested as absence of the cancer cell infiltration in the operation area, only liver cirrhosis nodules, and some fibrous necrosis components (Figure 1).</w:t>
      </w:r>
    </w:p>
    <w:p w14:paraId="78011DC3" w14:textId="77777777" w:rsidR="00C543C7" w:rsidRPr="00BA3C69" w:rsidRDefault="00000000">
      <w:pPr>
        <w:spacing w:line="360" w:lineRule="auto"/>
        <w:ind w:firstLine="240"/>
        <w:jc w:val="both"/>
        <w:rPr>
          <w:rFonts w:ascii="Book Antiqua" w:hAnsi="Book Antiqua"/>
          <w:color w:val="auto"/>
        </w:rPr>
      </w:pPr>
      <w:r w:rsidRPr="00BA3C69">
        <w:rPr>
          <w:rFonts w:ascii="Book Antiqua" w:hAnsi="Book Antiqua"/>
          <w:color w:val="auto"/>
          <w:shd w:val="clear" w:color="auto" w:fill="FFFFFF"/>
        </w:rPr>
        <w:t>According to the mRECIST criteria proposed by the American Association for the Study of Liver Diseases and European Association for the Study of th</w:t>
      </w:r>
      <w:r w:rsidRPr="00BA3C69">
        <w:rPr>
          <w:rFonts w:ascii="Book Antiqua" w:hAnsi="Book Antiqua"/>
          <w:color w:val="auto"/>
        </w:rPr>
        <w:t xml:space="preserve">e Liver and combined clinical indications, we considered the following lesions as true </w:t>
      </w:r>
      <w:r w:rsidRPr="00BA3C69">
        <w:rPr>
          <w:rFonts w:ascii="Book Antiqua" w:hAnsi="Book Antiqua"/>
          <w:color w:val="auto"/>
          <w:shd w:val="clear" w:color="auto" w:fill="FFFFFF"/>
        </w:rPr>
        <w:t>progression</w:t>
      </w:r>
      <w:r w:rsidRPr="00BA3C69">
        <w:rPr>
          <w:rFonts w:ascii="Book Antiqua" w:hAnsi="Book Antiqua"/>
          <w:color w:val="auto"/>
        </w:rPr>
        <w:t xml:space="preserve"> lesions</w:t>
      </w:r>
      <w:r w:rsidRPr="00BA3C69">
        <w:rPr>
          <w:rFonts w:ascii="Book Antiqua" w:hAnsi="Book Antiqua"/>
          <w:color w:val="auto"/>
          <w:shd w:val="clear" w:color="auto" w:fill="FFFFFF"/>
          <w:vertAlign w:val="superscript"/>
        </w:rPr>
        <w:t>[</w:t>
      </w:r>
      <w:r w:rsidRPr="00BA3C69">
        <w:rPr>
          <w:rFonts w:ascii="Book Antiqua" w:hAnsi="Book Antiqua"/>
          <w:color w:val="auto"/>
          <w:vertAlign w:val="superscript"/>
        </w:rPr>
        <w:t>13]</w:t>
      </w:r>
      <w:r w:rsidRPr="00BA3C69">
        <w:rPr>
          <w:rFonts w:ascii="Book Antiqua" w:hAnsi="Book Antiqua"/>
          <w:color w:val="auto"/>
        </w:rPr>
        <w:t>: (1) Progressive disease: Target lesion diameter increased by at least 20% on enhanced imaging compared with previous examination; (2) stable disease: Target lesion did not change; (3) partial response: The sum of initial lesion diameters in all target areas was reduced by at least 30%; (4) digital subtraction angiography (DSA): Lipiodol angiography found tumor staining in the focus area; and (5) alpha-fetoprotein (AFP) was significantly increased. However, if lesions met the following criteria, they were classified into the pseudo-progression group: (1) After TACE, DSA revealed that the focus was stable (no clear tumor blood vessels, tumor staining, clear arterial-venous/portal fistula, or vein-portal fistula); (2) after follow-up for a period of time (7.8 mo ± 0.5 mo), previous foci showed no signs of recurrence (all target lesions disappeared during the arterial enhancement phase of imaging); and (3) AFP was normal.</w:t>
      </w:r>
    </w:p>
    <w:p w14:paraId="5DDFBE98" w14:textId="77777777" w:rsidR="00C543C7" w:rsidRPr="00BA3C69" w:rsidRDefault="00C543C7">
      <w:pPr>
        <w:spacing w:line="360" w:lineRule="auto"/>
        <w:ind w:firstLine="240"/>
        <w:jc w:val="both"/>
        <w:rPr>
          <w:rFonts w:ascii="Book Antiqua" w:hAnsi="Book Antiqua"/>
          <w:color w:val="auto"/>
        </w:rPr>
      </w:pPr>
    </w:p>
    <w:p w14:paraId="6B9FB7B1"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rPr>
        <w:t>Imaging acquisition</w:t>
      </w:r>
    </w:p>
    <w:p w14:paraId="6956DF69" w14:textId="1B439804"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All MRI studies were performed using a 3T MRI scanner (Discovery MR750, GE, United States), with eight-channel abdomen coils employed. A respiratory-gated spin-echo echo-planar imaging DKI sequence was performed in the axial plane. The corresponding applied scan parameters were as follows: Repetition time (TR), 3333 ms; echo time (TE), 69.4 ms; slice thickness, 6 mm; slice spacing, 2.0 mm; field of view, 360 mm × 288 mm; and matrix size, 128 × 128. In addition, five </w:t>
      </w:r>
      <w:r w:rsidRPr="00BA3C69">
        <w:rPr>
          <w:rFonts w:ascii="Book Antiqua" w:hAnsi="Book Antiqua"/>
          <w:i/>
          <w:color w:val="auto"/>
        </w:rPr>
        <w:t>b</w:t>
      </w:r>
      <w:r w:rsidRPr="00BA3C69">
        <w:rPr>
          <w:rFonts w:ascii="Book Antiqua" w:hAnsi="Book Antiqua"/>
          <w:color w:val="auto"/>
        </w:rPr>
        <w:t xml:space="preserve"> values (400, 800, 1200, 1600, and 2000 s/mm</w:t>
      </w:r>
      <w:r w:rsidRPr="00BA3C69">
        <w:rPr>
          <w:rFonts w:ascii="Book Antiqua" w:hAnsi="Book Antiqua"/>
          <w:color w:val="auto"/>
          <w:vertAlign w:val="superscript"/>
        </w:rPr>
        <w:t>2</w:t>
      </w:r>
      <w:r w:rsidRPr="00BA3C69">
        <w:rPr>
          <w:rFonts w:ascii="Book Antiqua" w:hAnsi="Book Antiqua"/>
          <w:color w:val="auto"/>
        </w:rPr>
        <w:t xml:space="preserve">) and 15 directions at each </w:t>
      </w:r>
      <w:r w:rsidRPr="00BA3C69">
        <w:rPr>
          <w:rFonts w:ascii="Book Antiqua" w:hAnsi="Book Antiqua"/>
          <w:i/>
          <w:color w:val="auto"/>
        </w:rPr>
        <w:t>b</w:t>
      </w:r>
      <w:r w:rsidRPr="00BA3C69">
        <w:rPr>
          <w:rFonts w:ascii="Book Antiqua" w:hAnsi="Book Antiqua"/>
          <w:color w:val="auto"/>
        </w:rPr>
        <w:t xml:space="preserve"> value were used. The total scan time was 10 min. Conventional MRI was also performed, with the following parameters: T1WI: TR 3.7 ms, TE 1.1 ms, and slice thickness 6 mm; T2WI: TR 2319.5 ms, TE 68.0 ms, and slice thickness 6.0 mm; FS-T2WI: TR 9000.0 ms, TE 81.0 ms, and slice thickness 6.0 mm; and DWI sequence: TR 5000 ms and TE 50.8 ms. Dynamic-enhanced MRI with gadopentetate dimeglumine, captured </w:t>
      </w:r>
      <w:r w:rsidRPr="00BA3C69">
        <w:rPr>
          <w:rFonts w:ascii="Book Antiqua" w:hAnsi="Book Antiqua"/>
          <w:color w:val="auto"/>
        </w:rPr>
        <w:lastRenderedPageBreak/>
        <w:t>the arterial (20 s), venous (60 s), delayed (2 min) and hepatobiliary (45-120 min) phases. Gadolinium-diethylenetriamine penta-acetic acid of 15-20 mL was injected intravenously through the back of the hand at a rate of 2 mL/s.</w:t>
      </w:r>
    </w:p>
    <w:p w14:paraId="44C59E61" w14:textId="77777777" w:rsidR="00C543C7" w:rsidRPr="00BA3C69" w:rsidRDefault="00000000">
      <w:pPr>
        <w:spacing w:line="360" w:lineRule="auto"/>
        <w:ind w:firstLine="240"/>
        <w:jc w:val="both"/>
        <w:rPr>
          <w:rFonts w:ascii="Book Antiqua" w:hAnsi="Book Antiqua"/>
          <w:color w:val="auto"/>
        </w:rPr>
      </w:pPr>
      <w:r w:rsidRPr="00BA3C69">
        <w:rPr>
          <w:rFonts w:ascii="Book Antiqua" w:hAnsi="Book Antiqua"/>
          <w:color w:val="auto"/>
        </w:rPr>
        <w:t xml:space="preserve">DSA was performed under guidance on a Toshiba rotary DSA (GEIGS530, United States) machine. All patients were approached </w:t>
      </w:r>
      <w:r w:rsidRPr="00BA3C69">
        <w:rPr>
          <w:rFonts w:ascii="Book Antiqua" w:hAnsi="Book Antiqua"/>
          <w:i/>
          <w:iCs/>
          <w:color w:val="auto"/>
        </w:rPr>
        <w:t>via</w:t>
      </w:r>
      <w:r w:rsidRPr="00BA3C69">
        <w:rPr>
          <w:rFonts w:ascii="Book Antiqua" w:hAnsi="Book Antiqua"/>
          <w:color w:val="auto"/>
        </w:rPr>
        <w:t xml:space="preserve"> the femoral artery and routinely underwent skin preparation, disinfection, draping, and local anesthesia in the groin area. After the artery was successfully inserted, the guide wire and catheter sheath were sequentially inserted. The Cook 5-F RH tube was introduced to select the abdominal trunk or common hepatic angiography to observe the tumor staining.</w:t>
      </w:r>
    </w:p>
    <w:p w14:paraId="6C59C3E8" w14:textId="77777777" w:rsidR="00C543C7" w:rsidRPr="00BA3C69" w:rsidRDefault="00C543C7">
      <w:pPr>
        <w:spacing w:line="360" w:lineRule="auto"/>
        <w:jc w:val="both"/>
        <w:rPr>
          <w:rFonts w:ascii="Book Antiqua" w:hAnsi="Book Antiqua"/>
          <w:color w:val="auto"/>
        </w:rPr>
      </w:pPr>
    </w:p>
    <w:p w14:paraId="4ABD7EDC"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shd w:val="clear" w:color="auto" w:fill="FFFFFF"/>
        </w:rPr>
        <w:t>Data analysis</w:t>
      </w:r>
    </w:p>
    <w:p w14:paraId="62B8A732"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Two professional radiologists (Hansen and HC), with 30 and 10 years of experience in MRI assessment, respectively, independently recorded the imaging and clinical data of the true progression and pseudo-progression groups (Table 1). All acquired DKI images were examined on the workstation using vendor-supplied postprocessing software (GE AW4.6 advantage, United States). The corresponding mappings of DKI-derived parameters (</w:t>
      </w:r>
      <w:r w:rsidRPr="00BA3C69">
        <w:rPr>
          <w:rFonts w:ascii="Book Antiqua" w:hAnsi="Book Antiqua"/>
          <w:i/>
          <w:color w:val="auto"/>
        </w:rPr>
        <w:t>i.e.</w:t>
      </w:r>
      <w:r w:rsidRPr="00BA3C69">
        <w:rPr>
          <w:rFonts w:ascii="Book Antiqua" w:hAnsi="Book Antiqua"/>
          <w:color w:val="auto"/>
        </w:rPr>
        <w:t xml:space="preserve">, MD, DA, DR, MK, KA, KR, and FAk) were obtained. The two radiologists independently selected the regions of interest (ROIs) for TACE-treated area, peritumoral area (distance &lt; 2 cm to the tumor), and long-distance area (distance &gt; 5 cm) on anatomical DKI image at </w:t>
      </w:r>
      <w:r w:rsidRPr="00BA3C69">
        <w:rPr>
          <w:rFonts w:ascii="Book Antiqua" w:hAnsi="Book Antiqua"/>
          <w:i/>
          <w:color w:val="auto"/>
        </w:rPr>
        <w:t>b</w:t>
      </w:r>
      <w:r w:rsidRPr="00BA3C69">
        <w:rPr>
          <w:rFonts w:ascii="Book Antiqua" w:hAnsi="Book Antiqua"/>
          <w:color w:val="auto"/>
        </w:rPr>
        <w:t xml:space="preserve"> = 0 s/mm</w:t>
      </w:r>
      <w:r w:rsidRPr="00BA3C69">
        <w:rPr>
          <w:rFonts w:ascii="Book Antiqua" w:hAnsi="Book Antiqua"/>
          <w:color w:val="auto"/>
          <w:vertAlign w:val="superscript"/>
        </w:rPr>
        <w:t>2</w:t>
      </w:r>
      <w:r w:rsidRPr="00BA3C69">
        <w:rPr>
          <w:rFonts w:ascii="Book Antiqua" w:hAnsi="Book Antiqua"/>
          <w:color w:val="auto"/>
        </w:rPr>
        <w:t xml:space="preserve"> and then copied them on each of the DKI-derived parametric maps (Figure 2). Each expert selected two different ROIs and calculated the average value. All chosen ROIs of a circular or oval form were selected carefully to avoid necrotic area. Considering the inter-subject variation, all obtained values were standardized based on the following formulas: Std</w:t>
      </w:r>
      <w:r w:rsidRPr="00BA3C69">
        <w:rPr>
          <w:rFonts w:ascii="Book Antiqua" w:hAnsi="Book Antiqua"/>
          <w:color w:val="auto"/>
          <w:vertAlign w:val="subscript"/>
        </w:rPr>
        <w:t xml:space="preserve">pseudoprogression </w:t>
      </w:r>
      <w:r w:rsidRPr="00BA3C69">
        <w:rPr>
          <w:rFonts w:ascii="Book Antiqua" w:hAnsi="Book Antiqua"/>
          <w:color w:val="auto"/>
        </w:rPr>
        <w:t>= ROI (pseudo-progression lesion)/ROI (normal parenchyma) and Std</w:t>
      </w:r>
      <w:r w:rsidRPr="00BA3C69">
        <w:rPr>
          <w:rFonts w:ascii="Book Antiqua" w:hAnsi="Book Antiqua"/>
          <w:color w:val="auto"/>
          <w:vertAlign w:val="subscript"/>
        </w:rPr>
        <w:t xml:space="preserve">progression </w:t>
      </w:r>
      <w:r w:rsidRPr="00BA3C69">
        <w:rPr>
          <w:rFonts w:ascii="Book Antiqua" w:hAnsi="Book Antiqua"/>
          <w:color w:val="auto"/>
        </w:rPr>
        <w:t>= ROI (progression lesion)/ROI (normal parenchyma).</w:t>
      </w:r>
    </w:p>
    <w:p w14:paraId="60F30ADE" w14:textId="77777777" w:rsidR="00C543C7" w:rsidRPr="00BA3C69" w:rsidRDefault="00C543C7">
      <w:pPr>
        <w:spacing w:line="360" w:lineRule="auto"/>
        <w:jc w:val="both"/>
        <w:rPr>
          <w:rFonts w:ascii="Book Antiqua" w:hAnsi="Book Antiqua"/>
          <w:color w:val="auto"/>
        </w:rPr>
      </w:pPr>
    </w:p>
    <w:p w14:paraId="66F4E174"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rPr>
        <w:t>Statistical analysis</w:t>
      </w:r>
    </w:p>
    <w:p w14:paraId="5B7A142D"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lastRenderedPageBreak/>
        <w:t xml:space="preserve">All statistical analyses were performed using the Statistical Package for the Social Sciences version 22.0 statistical software. Intra-class correlation coefficient (ICC) analysis was performed to evaluate the inter-agreement of DKI parameter assessment by the two professional experts. The non-parametric </w:t>
      </w:r>
      <w:r w:rsidRPr="00BA3C69">
        <w:rPr>
          <w:rFonts w:ascii="Book Antiqua" w:hAnsi="Book Antiqua"/>
          <w:i/>
          <w:color w:val="auto"/>
        </w:rPr>
        <w:t>U</w:t>
      </w:r>
      <w:r w:rsidRPr="00BA3C69">
        <w:rPr>
          <w:rFonts w:ascii="Book Antiqua" w:hAnsi="Book Antiqua"/>
          <w:color w:val="auto"/>
        </w:rPr>
        <w:t xml:space="preserve"> test and receiver operating characteristic (ROC) curve analysis were used to evaluate the differences and </w:t>
      </w:r>
      <w:r w:rsidRPr="00BA3C69">
        <w:rPr>
          <w:rFonts w:ascii="Book Antiqua" w:hAnsi="Book Antiqua"/>
          <w:color w:val="auto"/>
          <w:shd w:val="clear" w:color="auto" w:fill="FFFFFF"/>
        </w:rPr>
        <w:t xml:space="preserve">prediction performance </w:t>
      </w:r>
      <w:r w:rsidRPr="00BA3C69">
        <w:rPr>
          <w:rFonts w:ascii="Book Antiqua" w:hAnsi="Book Antiqua"/>
          <w:color w:val="auto"/>
        </w:rPr>
        <w:t xml:space="preserve">of the DKI-derived parameters. The independent sample </w:t>
      </w:r>
      <w:r w:rsidRPr="00BA3C69">
        <w:rPr>
          <w:rFonts w:ascii="Book Antiqua" w:hAnsi="Book Antiqua"/>
          <w:i/>
          <w:color w:val="auto"/>
        </w:rPr>
        <w:t>t</w:t>
      </w:r>
      <w:r w:rsidRPr="00BA3C69">
        <w:rPr>
          <w:rFonts w:ascii="Book Antiqua" w:hAnsi="Book Antiqua"/>
          <w:color w:val="auto"/>
        </w:rPr>
        <w:t xml:space="preserve">-test was used to compare all DKI metrics in the peritumoral zone (distance &lt; 2 cm) and the far-tumoral zone (distance &gt; 5 cm) of the true progression group. </w:t>
      </w:r>
      <w:r w:rsidRPr="00BA3C69">
        <w:rPr>
          <w:rFonts w:ascii="Book Antiqua" w:hAnsi="Book Antiqua"/>
          <w:i/>
          <w:iCs/>
          <w:color w:val="auto"/>
        </w:rPr>
        <w:t>P</w:t>
      </w:r>
      <w:r w:rsidRPr="00BA3C69">
        <w:rPr>
          <w:rFonts w:ascii="Book Antiqua" w:hAnsi="Book Antiqua"/>
          <w:color w:val="auto"/>
        </w:rPr>
        <w:t xml:space="preserve"> &lt; 0.05 was considered statistically significant.</w:t>
      </w:r>
    </w:p>
    <w:p w14:paraId="7564F7E8" w14:textId="77777777" w:rsidR="00C543C7" w:rsidRPr="00BA3C69" w:rsidRDefault="00C543C7">
      <w:pPr>
        <w:spacing w:line="360" w:lineRule="auto"/>
        <w:jc w:val="both"/>
        <w:rPr>
          <w:rFonts w:ascii="Book Antiqua" w:hAnsi="Book Antiqua"/>
          <w:color w:val="auto"/>
        </w:rPr>
      </w:pPr>
    </w:p>
    <w:p w14:paraId="3D877F42"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aps/>
          <w:color w:val="auto"/>
          <w:u w:val="single"/>
        </w:rPr>
        <w:t>RESULTS</w:t>
      </w:r>
    </w:p>
    <w:p w14:paraId="1229EA1C"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shd w:val="clear" w:color="auto" w:fill="FFFFFF"/>
        </w:rPr>
        <w:t>Clinical data analysis</w:t>
      </w:r>
    </w:p>
    <w:p w14:paraId="6D06F38F"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Clinical data, including age, gender, and tumor-related characteristics, of patients in the true progression and pseudo-progression groups are summarized in Table 1. There were significantly more patients in the true progression group than in the pseudo-progression group. Moreover, the true progression group had higher serum AFP level (&gt; 200 ng/mL) (</w:t>
      </w:r>
      <w:r w:rsidRPr="00BA3C69">
        <w:rPr>
          <w:rFonts w:ascii="Book Antiqua" w:hAnsi="Book Antiqua"/>
          <w:i/>
          <w:color w:val="auto"/>
        </w:rPr>
        <w:t>P</w:t>
      </w:r>
      <w:r w:rsidRPr="00BA3C69">
        <w:rPr>
          <w:rFonts w:ascii="Book Antiqua" w:hAnsi="Book Antiqua"/>
          <w:color w:val="auto"/>
        </w:rPr>
        <w:t xml:space="preserve"> &lt; 0.05) than the pseudo-progression group. In addition, significantly greater proportions of patients in the progression group showed typical enhancement (95.8%) and more or less tumor staining in lipiodol angiography (95.5%). In contrast, tumor size and age range were similar between the two groups (</w:t>
      </w:r>
      <w:r w:rsidRPr="00BA3C69">
        <w:rPr>
          <w:rFonts w:ascii="Book Antiqua" w:hAnsi="Book Antiqua"/>
          <w:i/>
          <w:color w:val="auto"/>
        </w:rPr>
        <w:t>P</w:t>
      </w:r>
      <w:r w:rsidRPr="00BA3C69">
        <w:rPr>
          <w:rFonts w:ascii="Book Antiqua" w:hAnsi="Book Antiqua"/>
          <w:color w:val="auto"/>
        </w:rPr>
        <w:t xml:space="preserve"> &gt; 0.05). Among the 48 nodules in the progression group, 44 received repeated TACE, and the mean number of TACE sessions per nodule was 1-3. Four nodules underwent only a single course of TACE.</w:t>
      </w:r>
    </w:p>
    <w:p w14:paraId="3EBAA86A" w14:textId="77777777" w:rsidR="00C543C7" w:rsidRPr="00BA3C69" w:rsidRDefault="00C543C7">
      <w:pPr>
        <w:spacing w:line="360" w:lineRule="auto"/>
        <w:jc w:val="both"/>
        <w:rPr>
          <w:rFonts w:ascii="Book Antiqua" w:hAnsi="Book Antiqua"/>
          <w:color w:val="auto"/>
        </w:rPr>
      </w:pPr>
    </w:p>
    <w:p w14:paraId="19DBC0E7" w14:textId="77777777" w:rsidR="00C543C7" w:rsidRPr="00BA3C69" w:rsidRDefault="00000000">
      <w:pPr>
        <w:spacing w:line="360" w:lineRule="auto"/>
        <w:jc w:val="both"/>
        <w:rPr>
          <w:rFonts w:ascii="Book Antiqua" w:hAnsi="Book Antiqua"/>
          <w:b/>
          <w:i/>
          <w:color w:val="auto"/>
        </w:rPr>
      </w:pPr>
      <w:r w:rsidRPr="00BA3C69">
        <w:rPr>
          <w:rFonts w:ascii="Book Antiqua" w:hAnsi="Book Antiqua"/>
          <w:b/>
          <w:i/>
          <w:color w:val="auto"/>
        </w:rPr>
        <w:t>Inter-observer agreement analysis</w:t>
      </w:r>
    </w:p>
    <w:p w14:paraId="1E8421F5"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As shown in Table 2, ICC analysis was utilised by two radiologists to assess the inter-agreement of each DKI parameter measurement on the TACE-treated region, peritumoral zone, and far-tumoral zone, separately. General excellent inter-agreement was confirmed by high ICC values. Among these, optimal measurement consistency was obtained in TACE-treated area for DKI-derived parameter values showing the best consistency, whereas the worst measurement consistency was found in the far-tumoral zone.</w:t>
      </w:r>
    </w:p>
    <w:p w14:paraId="4E1764C8" w14:textId="77777777" w:rsidR="00C543C7" w:rsidRPr="00BA3C69" w:rsidRDefault="00C543C7">
      <w:pPr>
        <w:spacing w:line="360" w:lineRule="auto"/>
        <w:jc w:val="both"/>
        <w:rPr>
          <w:rFonts w:ascii="Book Antiqua" w:hAnsi="Book Antiqua"/>
          <w:color w:val="auto"/>
        </w:rPr>
      </w:pPr>
    </w:p>
    <w:p w14:paraId="72823002"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shd w:val="clear" w:color="auto" w:fill="FFFFFF"/>
        </w:rPr>
        <w:t>Diffusion kurtosis imaging-derived parameter analysis</w:t>
      </w:r>
    </w:p>
    <w:p w14:paraId="0778B763"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Compared to pseudo-progression inactive lesions, true progression recurrence lesions were associated with lower values of MD, DA, and DR (1.60 ± 0.45 × 10</w:t>
      </w:r>
      <w:r w:rsidRPr="00BA3C69">
        <w:rPr>
          <w:rFonts w:ascii="Book Antiqua" w:hAnsi="Book Antiqua"/>
          <w:color w:val="auto"/>
          <w:vertAlign w:val="superscript"/>
        </w:rPr>
        <w:t xml:space="preserve">-3 </w:t>
      </w:r>
      <w:r w:rsidRPr="00BA3C69">
        <w:rPr>
          <w:rFonts w:ascii="Book Antiqua" w:hAnsi="Book Antiqua"/>
          <w:color w:val="auto"/>
        </w:rPr>
        <w:t xml:space="preserve">mm/s </w:t>
      </w:r>
      <w:r w:rsidRPr="00BA3C69">
        <w:rPr>
          <w:rFonts w:ascii="Book Antiqua" w:hAnsi="Book Antiqua"/>
          <w:i/>
          <w:color w:val="auto"/>
        </w:rPr>
        <w:t>vs</w:t>
      </w:r>
      <w:r w:rsidRPr="00BA3C69">
        <w:rPr>
          <w:rFonts w:ascii="Book Antiqua" w:hAnsi="Book Antiqua"/>
          <w:color w:val="auto"/>
        </w:rPr>
        <w:t xml:space="preserve"> 1.90 ± 0.65 × 10</w:t>
      </w:r>
      <w:r w:rsidRPr="00BA3C69">
        <w:rPr>
          <w:rFonts w:ascii="Book Antiqua" w:hAnsi="Book Antiqua"/>
          <w:color w:val="auto"/>
          <w:vertAlign w:val="superscript"/>
        </w:rPr>
        <w:t>-3</w:t>
      </w:r>
      <w:r w:rsidRPr="00BA3C69">
        <w:rPr>
          <w:rFonts w:ascii="Book Antiqua" w:hAnsi="Book Antiqua"/>
          <w:color w:val="auto"/>
        </w:rPr>
        <w:t xml:space="preserve"> mm/s, 2.10 ± 0.60 × 10</w:t>
      </w:r>
      <w:r w:rsidRPr="00BA3C69">
        <w:rPr>
          <w:rFonts w:ascii="Book Antiqua" w:hAnsi="Book Antiqua"/>
          <w:color w:val="auto"/>
          <w:vertAlign w:val="superscript"/>
        </w:rPr>
        <w:t>-3</w:t>
      </w:r>
      <w:r w:rsidRPr="00BA3C69">
        <w:rPr>
          <w:rFonts w:ascii="Book Antiqua" w:hAnsi="Book Antiqua"/>
          <w:color w:val="auto"/>
        </w:rPr>
        <w:t xml:space="preserve"> mm/s </w:t>
      </w:r>
      <w:r w:rsidRPr="00BA3C69">
        <w:rPr>
          <w:rFonts w:ascii="Book Antiqua" w:hAnsi="Book Antiqua"/>
          <w:i/>
          <w:color w:val="auto"/>
        </w:rPr>
        <w:t>vs</w:t>
      </w:r>
      <w:r w:rsidRPr="00BA3C69">
        <w:rPr>
          <w:rFonts w:ascii="Book Antiqua" w:hAnsi="Book Antiqua"/>
          <w:color w:val="auto"/>
        </w:rPr>
        <w:t xml:space="preserve"> 2.29 ± 0.63 × 10</w:t>
      </w:r>
      <w:r w:rsidRPr="00BA3C69">
        <w:rPr>
          <w:rFonts w:ascii="Book Antiqua" w:hAnsi="Book Antiqua"/>
          <w:color w:val="auto"/>
          <w:vertAlign w:val="superscript"/>
        </w:rPr>
        <w:t xml:space="preserve">-3 </w:t>
      </w:r>
      <w:r w:rsidRPr="00BA3C69">
        <w:rPr>
          <w:rFonts w:ascii="Book Antiqua" w:hAnsi="Book Antiqua"/>
          <w:color w:val="auto"/>
        </w:rPr>
        <w:t>mm/s, and 1.40 ± 0.38 × 10</w:t>
      </w:r>
      <w:r w:rsidRPr="00BA3C69">
        <w:rPr>
          <w:rFonts w:ascii="Book Antiqua" w:hAnsi="Book Antiqua"/>
          <w:color w:val="auto"/>
          <w:vertAlign w:val="superscript"/>
        </w:rPr>
        <w:t>-3</w:t>
      </w:r>
      <w:r w:rsidRPr="00BA3C69">
        <w:rPr>
          <w:rFonts w:ascii="Book Antiqua" w:hAnsi="Book Antiqua"/>
          <w:color w:val="auto"/>
        </w:rPr>
        <w:t xml:space="preserve"> mm/s </w:t>
      </w:r>
      <w:r w:rsidRPr="00BA3C69">
        <w:rPr>
          <w:rFonts w:ascii="Book Antiqua" w:hAnsi="Book Antiqua"/>
          <w:i/>
          <w:color w:val="auto"/>
        </w:rPr>
        <w:t>vs</w:t>
      </w:r>
      <w:r w:rsidRPr="00BA3C69">
        <w:rPr>
          <w:rFonts w:ascii="Book Antiqua" w:hAnsi="Book Antiqua"/>
          <w:color w:val="auto"/>
        </w:rPr>
        <w:t xml:space="preserve"> 1.88 ± 0.55 × 10</w:t>
      </w:r>
      <w:r w:rsidRPr="00BA3C69">
        <w:rPr>
          <w:rFonts w:ascii="Book Antiqua" w:hAnsi="Book Antiqua"/>
          <w:color w:val="auto"/>
          <w:vertAlign w:val="superscript"/>
        </w:rPr>
        <w:t>-3</w:t>
      </w:r>
      <w:r w:rsidRPr="00BA3C69">
        <w:rPr>
          <w:rFonts w:ascii="Book Antiqua" w:hAnsi="Book Antiqua"/>
          <w:color w:val="auto"/>
        </w:rPr>
        <w:t xml:space="preserve"> mm/s, respectively; Table 3). However, higher KA and FA values were found in the foci area of true progression lesions than of </w:t>
      </w:r>
      <w:r w:rsidRPr="00BA3C69">
        <w:rPr>
          <w:rFonts w:ascii="Book Antiqua" w:hAnsi="Book Antiqua"/>
          <w:color w:val="auto"/>
          <w:shd w:val="clear" w:color="auto" w:fill="FFFFFF"/>
        </w:rPr>
        <w:t>pseudo-</w:t>
      </w:r>
      <w:r w:rsidRPr="00BA3C69">
        <w:rPr>
          <w:rFonts w:ascii="Book Antiqua" w:hAnsi="Book Antiqua"/>
          <w:color w:val="auto"/>
        </w:rPr>
        <w:t xml:space="preserve">progression lesions (0.70 ± 0.15 </w:t>
      </w:r>
      <w:r w:rsidRPr="00BA3C69">
        <w:rPr>
          <w:rFonts w:ascii="Book Antiqua" w:hAnsi="Book Antiqua"/>
          <w:i/>
          <w:color w:val="auto"/>
        </w:rPr>
        <w:t>vs</w:t>
      </w:r>
      <w:r w:rsidRPr="00BA3C69">
        <w:rPr>
          <w:rFonts w:ascii="Book Antiqua" w:hAnsi="Book Antiqua"/>
          <w:color w:val="auto"/>
        </w:rPr>
        <w:t xml:space="preserve"> 0.60 ± 0.13 and 0.32 ± 0.22 </w:t>
      </w:r>
      <w:r w:rsidRPr="00BA3C69">
        <w:rPr>
          <w:rFonts w:ascii="Book Antiqua" w:hAnsi="Book Antiqua"/>
          <w:i/>
          <w:color w:val="auto"/>
        </w:rPr>
        <w:t>vs</w:t>
      </w:r>
      <w:r w:rsidRPr="00BA3C69">
        <w:rPr>
          <w:rFonts w:ascii="Book Antiqua" w:hAnsi="Book Antiqua"/>
          <w:color w:val="auto"/>
        </w:rPr>
        <w:t xml:space="preserve"> 0.10 ± 0.09, respectively; Table 3). Moreover, ROC curve analysis was performed to compared the DKI-derived metrics in predicting recurrence performance (Figure 3). High AUC values were obtained for the parameters MD (0.80), FAk (0.78), KA (0.82), DA (0.82), and DR (0.80), whereas low ICC values were found in MK (0.6) and KR (0.54).</w:t>
      </w:r>
    </w:p>
    <w:p w14:paraId="3D2011C7" w14:textId="77777777" w:rsidR="00C543C7" w:rsidRPr="00BA3C69" w:rsidRDefault="00000000">
      <w:pPr>
        <w:spacing w:line="360" w:lineRule="auto"/>
        <w:ind w:firstLine="240"/>
        <w:jc w:val="both"/>
        <w:rPr>
          <w:rFonts w:ascii="Book Antiqua" w:hAnsi="Book Antiqua"/>
          <w:color w:val="auto"/>
        </w:rPr>
      </w:pPr>
      <w:r w:rsidRPr="00BA3C69">
        <w:rPr>
          <w:rFonts w:ascii="Book Antiqua" w:hAnsi="Book Antiqua"/>
          <w:color w:val="auto"/>
        </w:rPr>
        <w:t>For the true progression group, DA and DR values were lower in the peritumoral zone (distance &lt; 2 cm) than in the far-tumoral zone (distance &gt; 5 cm) (2.11 ± 0.52 × 10</w:t>
      </w:r>
      <w:r w:rsidRPr="00BA3C69">
        <w:rPr>
          <w:rFonts w:ascii="Book Antiqua" w:hAnsi="Book Antiqua"/>
          <w:color w:val="auto"/>
          <w:vertAlign w:val="superscript"/>
        </w:rPr>
        <w:t>-3</w:t>
      </w:r>
      <w:r w:rsidRPr="00BA3C69">
        <w:rPr>
          <w:rFonts w:ascii="Book Antiqua" w:hAnsi="Book Antiqua"/>
          <w:color w:val="auto"/>
        </w:rPr>
        <w:t xml:space="preserve"> mm/s </w:t>
      </w:r>
      <w:r w:rsidRPr="00BA3C69">
        <w:rPr>
          <w:rFonts w:ascii="Book Antiqua" w:hAnsi="Book Antiqua"/>
          <w:i/>
          <w:color w:val="auto"/>
        </w:rPr>
        <w:t>vs</w:t>
      </w:r>
      <w:r w:rsidRPr="00BA3C69">
        <w:rPr>
          <w:rFonts w:ascii="Book Antiqua" w:hAnsi="Book Antiqua"/>
          <w:color w:val="auto"/>
        </w:rPr>
        <w:t xml:space="preserve"> 2.44 ± 0.59 × 10</w:t>
      </w:r>
      <w:r w:rsidRPr="00BA3C69">
        <w:rPr>
          <w:rFonts w:ascii="Book Antiqua" w:hAnsi="Book Antiqua"/>
          <w:color w:val="auto"/>
          <w:vertAlign w:val="superscript"/>
        </w:rPr>
        <w:t>-3</w:t>
      </w:r>
      <w:r w:rsidRPr="00BA3C69">
        <w:rPr>
          <w:rFonts w:ascii="Book Antiqua" w:hAnsi="Book Antiqua"/>
          <w:color w:val="auto"/>
        </w:rPr>
        <w:t xml:space="preserve"> mm/s and 1.382 ± 0.440 × 10</w:t>
      </w:r>
      <w:r w:rsidRPr="00BA3C69">
        <w:rPr>
          <w:rFonts w:ascii="Book Antiqua" w:hAnsi="Book Antiqua"/>
          <w:color w:val="auto"/>
          <w:vertAlign w:val="superscript"/>
        </w:rPr>
        <w:t>-3</w:t>
      </w:r>
      <w:r w:rsidRPr="00BA3C69">
        <w:rPr>
          <w:rFonts w:ascii="Book Antiqua" w:hAnsi="Book Antiqua"/>
          <w:color w:val="auto"/>
        </w:rPr>
        <w:t xml:space="preserve"> mm/s </w:t>
      </w:r>
      <w:r w:rsidRPr="00BA3C69">
        <w:rPr>
          <w:rFonts w:ascii="Book Antiqua" w:hAnsi="Book Antiqua"/>
          <w:i/>
          <w:color w:val="auto"/>
        </w:rPr>
        <w:t>vs</w:t>
      </w:r>
      <w:r w:rsidRPr="00BA3C69">
        <w:rPr>
          <w:rFonts w:ascii="Book Antiqua" w:hAnsi="Book Antiqua"/>
          <w:color w:val="auto"/>
        </w:rPr>
        <w:t xml:space="preserve"> 1.647 ± 0.470 × 10</w:t>
      </w:r>
      <w:r w:rsidRPr="00BA3C69">
        <w:rPr>
          <w:rFonts w:ascii="Book Antiqua" w:hAnsi="Book Antiqua"/>
          <w:color w:val="auto"/>
          <w:vertAlign w:val="superscript"/>
        </w:rPr>
        <w:t>-3</w:t>
      </w:r>
      <w:r w:rsidRPr="00BA3C69">
        <w:rPr>
          <w:rFonts w:ascii="Book Antiqua" w:hAnsi="Book Antiqua"/>
          <w:color w:val="auto"/>
        </w:rPr>
        <w:t xml:space="preserve"> mm/s, respectively; Figure 4), whereas FAk and KA values showed opposite trends (0.309 ± 0.110 </w:t>
      </w:r>
      <w:r w:rsidRPr="00BA3C69">
        <w:rPr>
          <w:rFonts w:ascii="Book Antiqua" w:hAnsi="Book Antiqua"/>
          <w:i/>
          <w:color w:val="auto"/>
        </w:rPr>
        <w:t>vs</w:t>
      </w:r>
      <w:r w:rsidRPr="00BA3C69">
        <w:rPr>
          <w:rFonts w:ascii="Book Antiqua" w:hAnsi="Book Antiqua"/>
          <w:color w:val="auto"/>
        </w:rPr>
        <w:t xml:space="preserve"> 0.228 ± 0.060 and 0.809 ± 0.340 </w:t>
      </w:r>
      <w:r w:rsidRPr="00BA3C69">
        <w:rPr>
          <w:rFonts w:ascii="Book Antiqua" w:hAnsi="Book Antiqua"/>
          <w:i/>
          <w:color w:val="auto"/>
        </w:rPr>
        <w:t>vs</w:t>
      </w:r>
      <w:r w:rsidRPr="00BA3C69">
        <w:rPr>
          <w:rFonts w:ascii="Book Antiqua" w:hAnsi="Book Antiqua"/>
          <w:color w:val="auto"/>
        </w:rPr>
        <w:t xml:space="preserve"> 0.783 ± 0.120, respectively; Figure 3).</w:t>
      </w:r>
    </w:p>
    <w:p w14:paraId="1256DDB5" w14:textId="77777777" w:rsidR="00C543C7" w:rsidRPr="00BA3C69" w:rsidRDefault="00000000">
      <w:pPr>
        <w:spacing w:line="360" w:lineRule="auto"/>
        <w:ind w:firstLine="240"/>
        <w:jc w:val="both"/>
        <w:rPr>
          <w:rFonts w:ascii="Book Antiqua" w:hAnsi="Book Antiqua"/>
          <w:color w:val="auto"/>
        </w:rPr>
      </w:pPr>
      <w:r w:rsidRPr="00BA3C69">
        <w:rPr>
          <w:rFonts w:ascii="Book Antiqua" w:hAnsi="Book Antiqua"/>
          <w:color w:val="auto"/>
        </w:rPr>
        <w:t>In addition, the MD values of the liver parenchyma (peritumoral and far-tumoral zones) were significantly lower in the true progression group than in the pseudo-progression group (0.866 ± 0.330 × 10</w:t>
      </w:r>
      <w:r w:rsidRPr="00BA3C69">
        <w:rPr>
          <w:rFonts w:ascii="Book Antiqua" w:hAnsi="Book Antiqua"/>
          <w:color w:val="auto"/>
          <w:vertAlign w:val="superscript"/>
        </w:rPr>
        <w:t>-3</w:t>
      </w:r>
      <w:r w:rsidRPr="00BA3C69">
        <w:rPr>
          <w:rFonts w:ascii="Book Antiqua" w:hAnsi="Book Antiqua"/>
          <w:color w:val="auto"/>
        </w:rPr>
        <w:t xml:space="preserve"> mm/s </w:t>
      </w:r>
      <w:r w:rsidRPr="00BA3C69">
        <w:rPr>
          <w:rFonts w:ascii="Book Antiqua" w:hAnsi="Book Antiqua"/>
          <w:i/>
          <w:color w:val="auto"/>
        </w:rPr>
        <w:t>vs</w:t>
      </w:r>
      <w:r w:rsidRPr="00BA3C69">
        <w:rPr>
          <w:rFonts w:ascii="Book Antiqua" w:hAnsi="Book Antiqua"/>
          <w:color w:val="auto"/>
        </w:rPr>
        <w:t xml:space="preserve"> 1.677 ± 0.630 × 10</w:t>
      </w:r>
      <w:r w:rsidRPr="00BA3C69">
        <w:rPr>
          <w:rFonts w:ascii="Book Antiqua" w:hAnsi="Book Antiqua"/>
          <w:color w:val="auto"/>
          <w:vertAlign w:val="superscript"/>
        </w:rPr>
        <w:t>-3</w:t>
      </w:r>
      <w:r w:rsidRPr="00BA3C69">
        <w:rPr>
          <w:rFonts w:ascii="Book Antiqua" w:hAnsi="Book Antiqua"/>
          <w:color w:val="auto"/>
        </w:rPr>
        <w:t xml:space="preserve"> mm/s and 0.843 ± 0.170 × 10</w:t>
      </w:r>
      <w:r w:rsidRPr="00BA3C69">
        <w:rPr>
          <w:rFonts w:ascii="Book Antiqua" w:hAnsi="Book Antiqua"/>
          <w:color w:val="auto"/>
          <w:vertAlign w:val="superscript"/>
        </w:rPr>
        <w:t>-3</w:t>
      </w:r>
      <w:r w:rsidRPr="00BA3C69">
        <w:rPr>
          <w:rFonts w:ascii="Book Antiqua" w:hAnsi="Book Antiqua"/>
          <w:color w:val="auto"/>
        </w:rPr>
        <w:t xml:space="preserve"> mm/s </w:t>
      </w:r>
      <w:r w:rsidRPr="00BA3C69">
        <w:rPr>
          <w:rFonts w:ascii="Book Antiqua" w:hAnsi="Book Antiqua"/>
          <w:i/>
          <w:color w:val="auto"/>
        </w:rPr>
        <w:t>vs</w:t>
      </w:r>
      <w:r w:rsidRPr="00BA3C69">
        <w:rPr>
          <w:rFonts w:ascii="Book Antiqua" w:hAnsi="Book Antiqua"/>
          <w:color w:val="auto"/>
        </w:rPr>
        <w:t xml:space="preserve"> 1.569 ± 0.410 × 10</w:t>
      </w:r>
      <w:r w:rsidRPr="00BA3C69">
        <w:rPr>
          <w:rFonts w:ascii="Book Antiqua" w:hAnsi="Book Antiqua"/>
          <w:color w:val="auto"/>
          <w:vertAlign w:val="superscript"/>
        </w:rPr>
        <w:t>-3</w:t>
      </w:r>
      <w:r w:rsidRPr="00BA3C69">
        <w:rPr>
          <w:rFonts w:ascii="Book Antiqua" w:hAnsi="Book Antiqua"/>
          <w:color w:val="auto"/>
        </w:rPr>
        <w:t xml:space="preserve"> mm/s, respectively; Figure 4D).</w:t>
      </w:r>
    </w:p>
    <w:p w14:paraId="29841723" w14:textId="77777777" w:rsidR="00C543C7" w:rsidRPr="00BA3C69" w:rsidRDefault="00C543C7">
      <w:pPr>
        <w:spacing w:line="360" w:lineRule="auto"/>
        <w:ind w:firstLine="240"/>
        <w:jc w:val="both"/>
        <w:rPr>
          <w:rFonts w:ascii="Book Antiqua" w:hAnsi="Book Antiqua"/>
          <w:color w:val="auto"/>
        </w:rPr>
      </w:pPr>
    </w:p>
    <w:p w14:paraId="4B785DE6"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aps/>
          <w:color w:val="auto"/>
          <w:u w:val="single"/>
        </w:rPr>
        <w:t>DISCUSSION</w:t>
      </w:r>
    </w:p>
    <w:p w14:paraId="63B725A2"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In this study, we explored </w:t>
      </w:r>
      <w:r w:rsidRPr="00BA3C69">
        <w:rPr>
          <w:rFonts w:ascii="Book Antiqua" w:hAnsi="Book Antiqua"/>
          <w:color w:val="auto"/>
          <w:shd w:val="clear" w:color="auto" w:fill="FFFFFF"/>
        </w:rPr>
        <w:t xml:space="preserve">the prediction performance of DKI for </w:t>
      </w:r>
      <w:r w:rsidRPr="00BA3C69">
        <w:rPr>
          <w:rFonts w:ascii="Book Antiqua" w:hAnsi="Book Antiqua"/>
          <w:color w:val="auto"/>
        </w:rPr>
        <w:t>recurrence</w:t>
      </w:r>
      <w:r w:rsidRPr="00BA3C69">
        <w:rPr>
          <w:rFonts w:ascii="Book Antiqua" w:hAnsi="Book Antiqua"/>
          <w:color w:val="auto"/>
          <w:shd w:val="clear" w:color="auto" w:fill="FFFFFF"/>
        </w:rPr>
        <w:t xml:space="preserve"> and cellular invasion of the peritumoral liver zone of HCC after TACE and further investigated the characteristics of the DKI-derived metrics between the </w:t>
      </w:r>
      <w:r w:rsidRPr="00BA3C69">
        <w:rPr>
          <w:rFonts w:ascii="Book Antiqua" w:hAnsi="Book Antiqua"/>
          <w:color w:val="auto"/>
        </w:rPr>
        <w:t>true progression and pseudo-progression groups</w:t>
      </w:r>
      <w:r w:rsidRPr="00BA3C69">
        <w:rPr>
          <w:rFonts w:ascii="Book Antiqua" w:hAnsi="Book Antiqua"/>
          <w:color w:val="auto"/>
          <w:shd w:val="clear" w:color="auto" w:fill="FFFFFF"/>
        </w:rPr>
        <w:t xml:space="preserve">. Considering the high data </w:t>
      </w:r>
      <w:r w:rsidRPr="00BA3C69">
        <w:rPr>
          <w:rFonts w:ascii="Book Antiqua" w:hAnsi="Book Antiqua"/>
          <w:color w:val="auto"/>
        </w:rPr>
        <w:t>consistency between the two experts</w:t>
      </w:r>
      <w:r w:rsidRPr="00BA3C69">
        <w:rPr>
          <w:rFonts w:ascii="Book Antiqua" w:hAnsi="Book Antiqua"/>
          <w:color w:val="auto"/>
          <w:shd w:val="clear" w:color="auto" w:fill="FFFFFF"/>
        </w:rPr>
        <w:t>,</w:t>
      </w:r>
      <w:r w:rsidRPr="00BA3C69">
        <w:rPr>
          <w:rFonts w:ascii="Book Antiqua" w:hAnsi="Book Antiqua"/>
          <w:color w:val="auto"/>
        </w:rPr>
        <w:t xml:space="preserve"> </w:t>
      </w:r>
      <w:r w:rsidRPr="00BA3C69">
        <w:rPr>
          <w:rFonts w:ascii="Book Antiqua" w:hAnsi="Book Antiqua"/>
          <w:color w:val="auto"/>
          <w:shd w:val="clear" w:color="auto" w:fill="FFFFFF"/>
        </w:rPr>
        <w:t>we found that most DKI metrics, including MD, DA, DR, KA, and FAk, showed statistically different values between the true progression and pseudo-progression groups (</w:t>
      </w:r>
      <w:r w:rsidRPr="00BA3C69">
        <w:rPr>
          <w:rFonts w:ascii="Book Antiqua" w:hAnsi="Book Antiqua"/>
          <w:i/>
          <w:iCs/>
          <w:color w:val="auto"/>
          <w:shd w:val="clear" w:color="auto" w:fill="FFFFFF"/>
        </w:rPr>
        <w:t>P</w:t>
      </w:r>
      <w:r w:rsidRPr="00BA3C69">
        <w:rPr>
          <w:rFonts w:ascii="Book Antiqua" w:hAnsi="Book Antiqua"/>
          <w:color w:val="auto"/>
          <w:shd w:val="clear" w:color="auto" w:fill="FFFFFF"/>
        </w:rPr>
        <w:t xml:space="preserve"> &lt; 0.05)</w:t>
      </w:r>
      <w:r w:rsidRPr="00BA3C69">
        <w:rPr>
          <w:rFonts w:ascii="Book Antiqua" w:hAnsi="Book Antiqua"/>
          <w:color w:val="auto"/>
        </w:rPr>
        <w:t>.</w:t>
      </w:r>
      <w:r w:rsidRPr="00BA3C69">
        <w:rPr>
          <w:rFonts w:ascii="Book Antiqua" w:hAnsi="Book Antiqua"/>
          <w:color w:val="auto"/>
          <w:shd w:val="clear" w:color="auto" w:fill="FFFFFF"/>
        </w:rPr>
        <w:t xml:space="preserve"> </w:t>
      </w:r>
      <w:r w:rsidRPr="00BA3C69">
        <w:rPr>
          <w:rFonts w:ascii="Book Antiqua" w:hAnsi="Book Antiqua"/>
          <w:color w:val="auto"/>
          <w:shd w:val="clear" w:color="auto" w:fill="FFFFFF"/>
        </w:rPr>
        <w:lastRenderedPageBreak/>
        <w:t>Moreover, for the true progression group, except the metrics MK and KR, all other parameters of the peritumoral liver zone (distance &lt; 2 cm) were significantly different from those of the far-tumoral liver parenchyma (distance &gt; 5 cm). Therefore, we concluded that DKI with derived functional metrics showed advantages in assessing the therapeutic response of HCC to TACE and also provided robust performance in evaluating peritumoral zone invasion.</w:t>
      </w:r>
    </w:p>
    <w:p w14:paraId="042B92F8" w14:textId="77777777" w:rsidR="00C543C7" w:rsidRPr="00BA3C69" w:rsidRDefault="00000000">
      <w:pPr>
        <w:spacing w:line="360" w:lineRule="auto"/>
        <w:ind w:firstLine="240"/>
        <w:jc w:val="both"/>
        <w:rPr>
          <w:rFonts w:ascii="Book Antiqua" w:hAnsi="Book Antiqua"/>
          <w:color w:val="auto"/>
          <w:shd w:val="clear" w:color="auto" w:fill="FFFFFF"/>
        </w:rPr>
      </w:pPr>
      <w:r w:rsidRPr="00BA3C69">
        <w:rPr>
          <w:rFonts w:ascii="Book Antiqua" w:hAnsi="Book Antiqua"/>
          <w:color w:val="auto"/>
          <w:shd w:val="clear" w:color="auto" w:fill="FFFFFF"/>
        </w:rPr>
        <w:t>Except for FAk, especially in ROI (F) (far-tumoral zone, distance &gt; 5 cm), all other DKI metrics showed excellent consistency measured by two professional experts. FAk has been shown to have a significant benefit in the central nervous system, where the nerve fibre structure exhibits full fractional anisotropy</w:t>
      </w:r>
      <w:r w:rsidRPr="00BA3C69">
        <w:rPr>
          <w:rFonts w:ascii="Book Antiqua" w:hAnsi="Book Antiqua"/>
          <w:color w:val="auto"/>
          <w:shd w:val="clear" w:color="auto" w:fill="FFFFFF"/>
          <w:vertAlign w:val="superscript"/>
        </w:rPr>
        <w:t>[14]</w:t>
      </w:r>
      <w:r w:rsidRPr="00BA3C69">
        <w:rPr>
          <w:rFonts w:ascii="Book Antiqua" w:hAnsi="Book Antiqua"/>
          <w:color w:val="auto"/>
          <w:shd w:val="clear" w:color="auto" w:fill="FFFFFF"/>
        </w:rPr>
        <w:t xml:space="preserve">. Nevertheless, the fibre structure in the liver lacks a defined fractional anisotropy, making it difficult to identify the specificity of FAk. Furthermore, Nasu </w:t>
      </w:r>
      <w:r w:rsidRPr="00BA3C69">
        <w:rPr>
          <w:rFonts w:ascii="Book Antiqua" w:hAnsi="Book Antiqua"/>
          <w:i/>
          <w:color w:val="auto"/>
          <w:shd w:val="clear" w:color="auto" w:fill="FFFFFF"/>
        </w:rPr>
        <w:t>et al</w:t>
      </w:r>
      <w:r w:rsidRPr="00BA3C69">
        <w:rPr>
          <w:rFonts w:ascii="Book Antiqua" w:hAnsi="Book Antiqua"/>
          <w:color w:val="auto"/>
          <w:shd w:val="clear" w:color="auto" w:fill="FFFFFF"/>
          <w:vertAlign w:val="superscript"/>
        </w:rPr>
        <w:t>[15]</w:t>
      </w:r>
      <w:r w:rsidRPr="00BA3C69">
        <w:rPr>
          <w:rFonts w:ascii="Book Antiqua" w:hAnsi="Book Antiqua"/>
          <w:color w:val="auto"/>
          <w:shd w:val="clear" w:color="auto" w:fill="FFFFFF"/>
        </w:rPr>
        <w:t xml:space="preserve"> established the idea of "pseudo-fractional anisotropy artefact of the liver", which asserts that manual selection of ROI (F) is inherently subjective and can be influenced by heartbeat and breathing artifact. This artefact might be another explanation for low consistency of FAk.</w:t>
      </w:r>
    </w:p>
    <w:p w14:paraId="16B1E2C7" w14:textId="77777777" w:rsidR="00C543C7" w:rsidRPr="00BA3C69" w:rsidRDefault="00000000">
      <w:pPr>
        <w:spacing w:line="360" w:lineRule="auto"/>
        <w:ind w:firstLine="240"/>
        <w:jc w:val="both"/>
        <w:rPr>
          <w:rFonts w:ascii="Book Antiqua" w:hAnsi="Book Antiqua"/>
          <w:color w:val="auto"/>
        </w:rPr>
      </w:pPr>
      <w:r w:rsidRPr="00BA3C69">
        <w:rPr>
          <w:rFonts w:ascii="Book Antiqua" w:hAnsi="Book Antiqua"/>
          <w:color w:val="auto"/>
          <w:shd w:val="clear" w:color="auto" w:fill="FFFFFF"/>
        </w:rPr>
        <w:t>Important findings in this study were that DKI parameters, including MD, DA, DR, KA, and FAk, showed statistical differences between the true progression and pseudo-progression groups (</w:t>
      </w:r>
      <w:r w:rsidRPr="00BA3C69">
        <w:rPr>
          <w:rFonts w:ascii="Book Antiqua" w:hAnsi="Book Antiqua"/>
          <w:i/>
          <w:iCs/>
          <w:color w:val="auto"/>
          <w:shd w:val="clear" w:color="auto" w:fill="FFFFFF"/>
        </w:rPr>
        <w:t>P</w:t>
      </w:r>
      <w:r w:rsidRPr="00BA3C69">
        <w:rPr>
          <w:rFonts w:ascii="Book Antiqua" w:hAnsi="Book Antiqua"/>
          <w:color w:val="auto"/>
          <w:shd w:val="clear" w:color="auto" w:fill="FFFFFF"/>
        </w:rPr>
        <w:t xml:space="preserve"> &lt; 0.05). MD, DA, and DR values of pseudo-progression lesions were higher than those of true progression lesions, whereas KA and FAk values were higher in true progression lesions than in pseudo-progression lesions. Yuan </w:t>
      </w:r>
      <w:r w:rsidRPr="00BA3C69">
        <w:rPr>
          <w:rFonts w:ascii="Book Antiqua" w:hAnsi="Book Antiqua"/>
          <w:i/>
          <w:iCs/>
          <w:color w:val="auto"/>
          <w:shd w:val="clear" w:color="auto" w:fill="FFFFFF"/>
        </w:rPr>
        <w:t>et al</w:t>
      </w:r>
      <w:r w:rsidRPr="00BA3C69">
        <w:rPr>
          <w:rFonts w:ascii="Book Antiqua" w:hAnsi="Book Antiqua"/>
          <w:color w:val="auto"/>
          <w:shd w:val="clear" w:color="auto" w:fill="FFFFFF"/>
          <w:vertAlign w:val="superscript"/>
        </w:rPr>
        <w:t>[11]</w:t>
      </w:r>
      <w:r w:rsidRPr="00BA3C69">
        <w:rPr>
          <w:rFonts w:ascii="Book Antiqua" w:hAnsi="Book Antiqua"/>
          <w:color w:val="auto"/>
          <w:shd w:val="clear" w:color="auto" w:fill="FFFFFF"/>
        </w:rPr>
        <w:t xml:space="preserve"> showed significant potential of DKI in assessing the therapeutic response of HCC to TACE. Thus, they believed that MK is an effective biomarker in the assessment of HCC progression after TACE. This conclusion, however, is not fully consistent with our results. </w:t>
      </w:r>
      <w:r w:rsidRPr="00BA3C69">
        <w:rPr>
          <w:rFonts w:ascii="Book Antiqua" w:hAnsi="Book Antiqua"/>
          <w:color w:val="auto"/>
        </w:rPr>
        <w:t xml:space="preserve">Compared with the </w:t>
      </w:r>
      <w:r w:rsidRPr="00BA3C69">
        <w:rPr>
          <w:rFonts w:ascii="Book Antiqua" w:hAnsi="Book Antiqua"/>
          <w:color w:val="auto"/>
          <w:shd w:val="clear" w:color="auto" w:fill="FFFFFF"/>
        </w:rPr>
        <w:t>pseudo-progression</w:t>
      </w:r>
      <w:r w:rsidRPr="00BA3C69">
        <w:rPr>
          <w:rFonts w:ascii="Book Antiqua" w:hAnsi="Book Antiqua"/>
          <w:color w:val="auto"/>
        </w:rPr>
        <w:t xml:space="preserve"> group with inactive foci after TACE, the normalized MK value of the true </w:t>
      </w:r>
      <w:r w:rsidRPr="00BA3C69">
        <w:rPr>
          <w:rFonts w:ascii="Book Antiqua" w:hAnsi="Book Antiqua"/>
          <w:color w:val="auto"/>
          <w:shd w:val="clear" w:color="auto" w:fill="FFFFFF"/>
        </w:rPr>
        <w:t>progression</w:t>
      </w:r>
      <w:r w:rsidRPr="00BA3C69">
        <w:rPr>
          <w:rFonts w:ascii="Book Antiqua" w:hAnsi="Book Antiqua"/>
          <w:color w:val="auto"/>
        </w:rPr>
        <w:t xml:space="preserve"> group with residual/recurrent foci was not higher. Since MK can reflect the complexity and density of tissues</w:t>
      </w:r>
      <w:r w:rsidRPr="00BA3C69">
        <w:rPr>
          <w:rFonts w:ascii="Book Antiqua" w:hAnsi="Book Antiqua"/>
          <w:color w:val="auto"/>
          <w:shd w:val="clear" w:color="auto" w:fill="FFFFFF"/>
          <w:vertAlign w:val="superscript"/>
        </w:rPr>
        <w:t>[</w:t>
      </w:r>
      <w:r w:rsidRPr="00BA3C69">
        <w:rPr>
          <w:rFonts w:ascii="Book Antiqua" w:hAnsi="Book Antiqua"/>
          <w:color w:val="auto"/>
          <w:vertAlign w:val="superscript"/>
        </w:rPr>
        <w:t>16]</w:t>
      </w:r>
      <w:r w:rsidRPr="00BA3C69">
        <w:rPr>
          <w:rFonts w:ascii="Book Antiqua" w:hAnsi="Book Antiqua"/>
          <w:color w:val="auto"/>
        </w:rPr>
        <w:t xml:space="preserve">, high cell density usually shows high MK value. We hypothesized that after TACE, foci cells are swelling and experience degeneration or necrosis, while leads to a decreased cell density. Moreover, some low-activity tumor cells have been severely damaged in structure, but </w:t>
      </w:r>
      <w:r w:rsidRPr="00BA3C69">
        <w:rPr>
          <w:rFonts w:ascii="Book Antiqua" w:hAnsi="Book Antiqua"/>
          <w:color w:val="auto"/>
        </w:rPr>
        <w:lastRenderedPageBreak/>
        <w:t>still retain the ability to metastasize and recur. This type of condition cannot be effectively screened out based on the characteristics of tissue density, leading to the absence of statistical difference of the MK value between the true progression and pseudo-progression groups. It is worth mentioning that KA in this study revealed certain sensitivity in assessing tumor recurrence. Follow-up studies should be further conducted to explore the underlying mechanism.</w:t>
      </w:r>
    </w:p>
    <w:p w14:paraId="4155A5FD" w14:textId="77777777" w:rsidR="00C543C7" w:rsidRPr="00BA3C69" w:rsidRDefault="00000000">
      <w:pPr>
        <w:spacing w:line="360" w:lineRule="auto"/>
        <w:ind w:firstLine="240"/>
        <w:jc w:val="both"/>
        <w:rPr>
          <w:rFonts w:ascii="Book Antiqua" w:hAnsi="Book Antiqua"/>
          <w:color w:val="auto"/>
        </w:rPr>
      </w:pPr>
      <w:r w:rsidRPr="00BA3C69">
        <w:rPr>
          <w:rFonts w:ascii="Book Antiqua" w:hAnsi="Book Antiqua"/>
          <w:color w:val="auto"/>
        </w:rPr>
        <w:t xml:space="preserve">Additionally, the clinical potential of DKI in determining the invasion of peritumoral zone of the residual foci for the true progression group was assessed. We discovered that diffusion metrics (DA and DR) differed considerably between the far-tumoral zone (distance &gt; 5 cm) and the peritumoral zone (distance </w:t>
      </w:r>
      <w:r w:rsidRPr="00BA3C69">
        <w:rPr>
          <w:rFonts w:ascii="Book Antiqua" w:hAnsi="Book Antiqua"/>
          <w:color w:val="auto"/>
          <w:shd w:val="clear" w:color="auto" w:fill="FFFFFF"/>
        </w:rPr>
        <w:t xml:space="preserve">&lt; </w:t>
      </w:r>
      <w:r w:rsidRPr="00BA3C69">
        <w:rPr>
          <w:rFonts w:ascii="Book Antiqua" w:hAnsi="Book Antiqua"/>
          <w:color w:val="auto"/>
        </w:rPr>
        <w:t xml:space="preserve">2 cm). The peritumoral zone (distance </w:t>
      </w:r>
      <w:r w:rsidRPr="00BA3C69">
        <w:rPr>
          <w:rFonts w:ascii="Book Antiqua" w:hAnsi="Book Antiqua"/>
          <w:color w:val="auto"/>
          <w:shd w:val="clear" w:color="auto" w:fill="FFFFFF"/>
        </w:rPr>
        <w:t xml:space="preserve">&lt; </w:t>
      </w:r>
      <w:r w:rsidRPr="00BA3C69">
        <w:rPr>
          <w:rFonts w:ascii="Book Antiqua" w:hAnsi="Book Antiqua"/>
          <w:color w:val="auto"/>
        </w:rPr>
        <w:t>2 cm) had lower DA and DR values than the far-tumoral zone (distance &gt; 5 cm), indicating that microenvironmental alterations may occur in the peritumoral zone, which is close to residual/recurrent foci and may be sensitive in representing cancer cell infiltration. However, only KA revealed a larger value in the peritumoral zone than the far-tumoral zone among the three kurtosis coefficients (MK, KR, and KA).</w:t>
      </w:r>
    </w:p>
    <w:p w14:paraId="0DCDAF82" w14:textId="5B6D7DF0" w:rsidR="00C543C7" w:rsidRPr="00BA3C69" w:rsidRDefault="00000000">
      <w:pPr>
        <w:spacing w:line="360" w:lineRule="auto"/>
        <w:ind w:firstLine="240"/>
        <w:jc w:val="both"/>
        <w:rPr>
          <w:rFonts w:ascii="Book Antiqua" w:hAnsi="Book Antiqua"/>
          <w:color w:val="auto"/>
        </w:rPr>
      </w:pPr>
      <w:r w:rsidRPr="00BA3C69">
        <w:rPr>
          <w:rFonts w:ascii="Book Antiqua" w:hAnsi="Book Antiqua"/>
          <w:color w:val="auto"/>
        </w:rPr>
        <w:t>Despite the fact that a variety of DKI implementations have investigated the correlations of MK and MD with fibrosis or liver function</w:t>
      </w:r>
      <w:r w:rsidRPr="00BA3C69">
        <w:rPr>
          <w:rFonts w:ascii="Book Antiqua" w:hAnsi="Book Antiqua"/>
          <w:color w:val="auto"/>
          <w:vertAlign w:val="superscript"/>
        </w:rPr>
        <w:t>[17-20]</w:t>
      </w:r>
      <w:r w:rsidRPr="00BA3C69">
        <w:rPr>
          <w:rFonts w:ascii="Book Antiqua" w:hAnsi="Book Antiqua"/>
          <w:color w:val="auto"/>
        </w:rPr>
        <w:t xml:space="preserve">, no similar DKI findings have been published in these studies. Yoshimaru </w:t>
      </w:r>
      <w:r w:rsidRPr="00BA3C69">
        <w:rPr>
          <w:rFonts w:ascii="Book Antiqua" w:hAnsi="Book Antiqua"/>
          <w:i/>
          <w:color w:val="auto"/>
        </w:rPr>
        <w:t>et al</w:t>
      </w:r>
      <w:r w:rsidR="00F46C23" w:rsidRPr="00BA3C69">
        <w:rPr>
          <w:rFonts w:ascii="Book Antiqua" w:hAnsi="Book Antiqua"/>
          <w:color w:val="auto"/>
          <w:vertAlign w:val="superscript"/>
        </w:rPr>
        <w:t>[</w:t>
      </w:r>
      <w:r w:rsidRPr="00BA3C69">
        <w:rPr>
          <w:rFonts w:ascii="Book Antiqua" w:hAnsi="Book Antiqua"/>
          <w:color w:val="auto"/>
          <w:vertAlign w:val="superscript"/>
        </w:rPr>
        <w:t>17]</w:t>
      </w:r>
      <w:r w:rsidRPr="00BA3C69">
        <w:rPr>
          <w:rFonts w:ascii="Book Antiqua" w:hAnsi="Book Antiqua"/>
          <w:color w:val="auto"/>
        </w:rPr>
        <w:t xml:space="preserve"> investigated the relationship between MK and Child-Pugh score in 79 patients with varying degrees of hepatic decompensation and found a minor correlation. In comparison, Goshima </w:t>
      </w:r>
      <w:r w:rsidRPr="00BA3C69">
        <w:rPr>
          <w:rFonts w:ascii="Book Antiqua" w:hAnsi="Book Antiqua"/>
          <w:i/>
          <w:color w:val="auto"/>
        </w:rPr>
        <w:t>et al</w:t>
      </w:r>
      <w:r w:rsidRPr="00BA3C69">
        <w:rPr>
          <w:rFonts w:ascii="Book Antiqua" w:hAnsi="Book Antiqua"/>
          <w:color w:val="auto"/>
          <w:vertAlign w:val="superscript"/>
        </w:rPr>
        <w:t>[18]</w:t>
      </w:r>
      <w:r w:rsidRPr="00BA3C69">
        <w:rPr>
          <w:rFonts w:ascii="Book Antiqua" w:hAnsi="Book Antiqua"/>
          <w:color w:val="auto"/>
        </w:rPr>
        <w:t xml:space="preserve"> investigated the relationship between MK and Child-Pugh score but found no association. There was also disagreement about whether MK or MD had a superior diagnostic effectiveness for liver fibrosis. In another study, Hu </w:t>
      </w:r>
      <w:r w:rsidRPr="00BA3C69">
        <w:rPr>
          <w:rFonts w:ascii="Book Antiqua" w:hAnsi="Book Antiqua"/>
          <w:i/>
          <w:color w:val="auto"/>
        </w:rPr>
        <w:t>et al</w:t>
      </w:r>
      <w:r w:rsidRPr="00BA3C69">
        <w:rPr>
          <w:rFonts w:ascii="Book Antiqua" w:hAnsi="Book Antiqua"/>
          <w:color w:val="auto"/>
          <w:shd w:val="clear" w:color="auto" w:fill="FFFFFF"/>
          <w:vertAlign w:val="superscript"/>
        </w:rPr>
        <w:t>[</w:t>
      </w:r>
      <w:r w:rsidRPr="00BA3C69">
        <w:rPr>
          <w:rFonts w:ascii="Book Antiqua" w:hAnsi="Book Antiqua"/>
          <w:color w:val="auto"/>
          <w:vertAlign w:val="superscript"/>
        </w:rPr>
        <w:t>19]</w:t>
      </w:r>
      <w:r w:rsidRPr="00BA3C69">
        <w:rPr>
          <w:rFonts w:ascii="Book Antiqua" w:hAnsi="Book Antiqua"/>
          <w:color w:val="auto"/>
        </w:rPr>
        <w:t xml:space="preserve"> concluded that MD correlated strongly with the degrees of liver fibrosis, and the parameter MK may provide complementary information. In contrast, Li </w:t>
      </w:r>
      <w:r w:rsidRPr="00BA3C69">
        <w:rPr>
          <w:rFonts w:ascii="Book Antiqua" w:hAnsi="Book Antiqua"/>
          <w:i/>
          <w:iCs/>
          <w:color w:val="auto"/>
        </w:rPr>
        <w:t>et al</w:t>
      </w:r>
      <w:r w:rsidRPr="00BA3C69">
        <w:rPr>
          <w:rFonts w:ascii="Book Antiqua" w:hAnsi="Book Antiqua"/>
          <w:color w:val="auto"/>
          <w:shd w:val="clear" w:color="auto" w:fill="FFFFFF"/>
          <w:vertAlign w:val="superscript"/>
        </w:rPr>
        <w:t>[</w:t>
      </w:r>
      <w:r w:rsidRPr="00BA3C69">
        <w:rPr>
          <w:rFonts w:ascii="Book Antiqua" w:hAnsi="Book Antiqua"/>
          <w:color w:val="auto"/>
          <w:vertAlign w:val="superscript"/>
        </w:rPr>
        <w:t>20]</w:t>
      </w:r>
      <w:r w:rsidRPr="00BA3C69">
        <w:rPr>
          <w:rFonts w:ascii="Book Antiqua" w:hAnsi="Book Antiqua"/>
          <w:color w:val="auto"/>
        </w:rPr>
        <w:t xml:space="preserve"> claimed that MK could best predict the liver fibrosis stage. In this study, we did not analyze the relationship between DKI parameters and liver fibrosis or function. However, the MD value of the liver parenchyma (peritumoral and far-tumoral zones) was lower in the true </w:t>
      </w:r>
      <w:r w:rsidRPr="00BA3C69">
        <w:rPr>
          <w:rFonts w:ascii="Book Antiqua" w:hAnsi="Book Antiqua"/>
          <w:color w:val="auto"/>
          <w:shd w:val="clear" w:color="auto" w:fill="FFFFFF"/>
        </w:rPr>
        <w:t>progression group</w:t>
      </w:r>
      <w:r w:rsidRPr="00BA3C69">
        <w:rPr>
          <w:rFonts w:ascii="Book Antiqua" w:hAnsi="Book Antiqua"/>
          <w:color w:val="auto"/>
        </w:rPr>
        <w:t xml:space="preserve"> than in the </w:t>
      </w:r>
      <w:r w:rsidRPr="00BA3C69">
        <w:rPr>
          <w:rFonts w:ascii="Book Antiqua" w:hAnsi="Book Antiqua"/>
          <w:color w:val="auto"/>
          <w:shd w:val="clear" w:color="auto" w:fill="FFFFFF"/>
        </w:rPr>
        <w:t xml:space="preserve">pseudo-progression group. Moreover, the MK value did not show any </w:t>
      </w:r>
      <w:r w:rsidRPr="00BA3C69">
        <w:rPr>
          <w:rFonts w:ascii="Book Antiqua" w:hAnsi="Book Antiqua"/>
          <w:color w:val="auto"/>
          <w:shd w:val="clear" w:color="auto" w:fill="FFFFFF"/>
        </w:rPr>
        <w:lastRenderedPageBreak/>
        <w:t xml:space="preserve">difference between the two groups. The results obtained in this study </w:t>
      </w:r>
      <w:r w:rsidRPr="00BA3C69">
        <w:rPr>
          <w:rFonts w:ascii="Book Antiqua" w:hAnsi="Book Antiqua"/>
          <w:color w:val="auto"/>
        </w:rPr>
        <w:t xml:space="preserve">were more inclined to the view that MD has a higher sensitivity to detect the degree of fibrosis. </w:t>
      </w:r>
      <w:r w:rsidRPr="00BA3C69">
        <w:rPr>
          <w:rFonts w:ascii="Book Antiqua" w:hAnsi="Book Antiqua"/>
          <w:color w:val="auto"/>
          <w:shd w:val="clear" w:color="auto" w:fill="FFFFFF"/>
        </w:rPr>
        <w:t>We thus hypothesized that</w:t>
      </w:r>
      <w:r w:rsidRPr="00BA3C69">
        <w:rPr>
          <w:rFonts w:ascii="Book Antiqua" w:hAnsi="Book Antiqua"/>
          <w:color w:val="auto"/>
        </w:rPr>
        <w:t xml:space="preserve"> poor liver function and high grade of liver fibrosis may lead to poor prognosis and high recurrence rate.</w:t>
      </w:r>
    </w:p>
    <w:p w14:paraId="26D2C47A" w14:textId="77777777" w:rsidR="00C543C7" w:rsidRPr="00BA3C69" w:rsidRDefault="00000000">
      <w:pPr>
        <w:spacing w:line="360" w:lineRule="auto"/>
        <w:ind w:firstLine="240"/>
        <w:jc w:val="both"/>
        <w:rPr>
          <w:rFonts w:ascii="Book Antiqua" w:hAnsi="Book Antiqua"/>
          <w:color w:val="auto"/>
        </w:rPr>
      </w:pPr>
      <w:r w:rsidRPr="00BA3C69">
        <w:rPr>
          <w:rFonts w:ascii="Book Antiqua" w:hAnsi="Book Antiqua"/>
          <w:color w:val="auto"/>
        </w:rPr>
        <w:t xml:space="preserve">There are some limitations in the present study. First, manual selection of active ROIs is inevitably subjective. According to the results of dynamic enhancement and DSA imaging, independent measurement by two experienced radiologists can minimize measurement errors. Second, DKI with 5 </w:t>
      </w:r>
      <w:r w:rsidRPr="00BA3C69">
        <w:rPr>
          <w:rFonts w:ascii="Book Antiqua" w:hAnsi="Book Antiqua"/>
          <w:i/>
          <w:color w:val="auto"/>
        </w:rPr>
        <w:t>b</w:t>
      </w:r>
      <w:r w:rsidRPr="00BA3C69">
        <w:rPr>
          <w:rFonts w:ascii="Book Antiqua" w:hAnsi="Book Antiqua"/>
          <w:color w:val="auto"/>
        </w:rPr>
        <w:t xml:space="preserve"> values and 15 directions per </w:t>
      </w:r>
      <w:r w:rsidRPr="00BA3C69">
        <w:rPr>
          <w:rFonts w:ascii="Book Antiqua" w:hAnsi="Book Antiqua"/>
          <w:i/>
          <w:color w:val="auto"/>
        </w:rPr>
        <w:t>b</w:t>
      </w:r>
      <w:r w:rsidRPr="00BA3C69">
        <w:rPr>
          <w:rFonts w:ascii="Book Antiqua" w:hAnsi="Book Antiqua"/>
          <w:color w:val="auto"/>
        </w:rPr>
        <w:t xml:space="preserve"> value currently takes a long time of 10 min for imaging. Third, each patient showed different fibrosis state and liver function. To minimize this effect, we selected the liver parenchyma far away from the focus area for standardization. Fourth, there was a lack of pathological examination of tumor changes before and after TACE treatment. Further studies with more pathologically confirmed cases are required to be conducted. Fifth, it was difficult to obtain the histological results for each lesion after TACE. Therefore, no pathological support could determine whether the surrounding liver parenchyma was invaded. Relevant pathological study is requested to further explore the relationship among DKI parameters, liver fibrosis, and peripheral infiltration.</w:t>
      </w:r>
    </w:p>
    <w:p w14:paraId="7EC84346" w14:textId="77777777" w:rsidR="00C543C7" w:rsidRPr="00BA3C69" w:rsidRDefault="00C543C7">
      <w:pPr>
        <w:spacing w:line="360" w:lineRule="auto"/>
        <w:ind w:firstLine="240"/>
        <w:jc w:val="both"/>
        <w:rPr>
          <w:rFonts w:ascii="Book Antiqua" w:hAnsi="Book Antiqua"/>
          <w:color w:val="auto"/>
        </w:rPr>
      </w:pPr>
    </w:p>
    <w:p w14:paraId="63C9D528"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aps/>
          <w:color w:val="auto"/>
          <w:u w:val="single"/>
        </w:rPr>
        <w:t>CONCLUSION</w:t>
      </w:r>
    </w:p>
    <w:p w14:paraId="51033BC4"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In conclusion, DKI metrics (MD, DA, DR, KA, and FAk) have been demonstrated with robust performance in predicting the therapeutic response of HCC to TACE and evaluating cellular invasion of the peritumoral zone.</w:t>
      </w:r>
    </w:p>
    <w:p w14:paraId="0418BF0D" w14:textId="77777777" w:rsidR="00C543C7" w:rsidRPr="00BA3C69" w:rsidRDefault="00C543C7">
      <w:pPr>
        <w:spacing w:line="360" w:lineRule="auto"/>
        <w:jc w:val="both"/>
        <w:rPr>
          <w:rFonts w:ascii="Book Antiqua" w:hAnsi="Book Antiqua"/>
          <w:color w:val="auto"/>
        </w:rPr>
      </w:pPr>
    </w:p>
    <w:p w14:paraId="4465F7F7"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aps/>
          <w:color w:val="auto"/>
          <w:u w:val="single"/>
        </w:rPr>
        <w:t>ARTICLE HIGHLIGHTS</w:t>
      </w:r>
    </w:p>
    <w:p w14:paraId="16E698F2"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rPr>
        <w:t>Research background</w:t>
      </w:r>
    </w:p>
    <w:p w14:paraId="27864A11"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 xml:space="preserve">Transcatheter arterial chemoembolization (TACE) has been used to treat patients with hepatocellular carcinoma (HCC) as a palliative therapy. Nevertheless, HCC is prone to recur after TACE. Traditional anatomical MRI has certain limitations in assessing recurrence. Diffusion kurtosis imaging (DKI) provides a detailed depiction of the </w:t>
      </w:r>
      <w:r w:rsidRPr="00BA3C69">
        <w:rPr>
          <w:rFonts w:ascii="Book Antiqua" w:hAnsi="Book Antiqua"/>
          <w:color w:val="auto"/>
          <w:shd w:val="clear" w:color="auto" w:fill="FFFFFF"/>
        </w:rPr>
        <w:lastRenderedPageBreak/>
        <w:t>microstructural environment. Whether DKI-derived metrics can provide clinical feasibility in predicting HCC recurrence and cellular invasion of the peritumoral liver zone after TACE remains to be a concern.</w:t>
      </w:r>
    </w:p>
    <w:p w14:paraId="65D432F5" w14:textId="77777777" w:rsidR="00C543C7" w:rsidRPr="00BA3C69" w:rsidRDefault="00C543C7">
      <w:pPr>
        <w:spacing w:line="360" w:lineRule="auto"/>
        <w:jc w:val="both"/>
        <w:rPr>
          <w:rFonts w:ascii="Book Antiqua" w:hAnsi="Book Antiqua"/>
          <w:color w:val="auto"/>
        </w:rPr>
      </w:pPr>
    </w:p>
    <w:p w14:paraId="18B3D778"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rPr>
        <w:t>Research motivation</w:t>
      </w:r>
    </w:p>
    <w:p w14:paraId="465DD0BD"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To investigate the clinical use of DKI in predicting recurrence and cellular invasion of HCC in the peritumoral liver zone after TACE.</w:t>
      </w:r>
    </w:p>
    <w:p w14:paraId="181DBAB4" w14:textId="77777777" w:rsidR="00C543C7" w:rsidRPr="00BA3C69" w:rsidRDefault="00C543C7">
      <w:pPr>
        <w:spacing w:line="360" w:lineRule="auto"/>
        <w:jc w:val="both"/>
        <w:rPr>
          <w:rFonts w:ascii="Book Antiqua" w:hAnsi="Book Antiqua"/>
          <w:color w:val="auto"/>
        </w:rPr>
      </w:pPr>
    </w:p>
    <w:p w14:paraId="47904F47"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rPr>
        <w:t>Research objectives</w:t>
      </w:r>
    </w:p>
    <w:p w14:paraId="063E2000"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In this study, 76 patients with 82 hepatic cancer nodules were enrolled and underwent DKI after TACE. Forty-eight and 34 nodules were divided into two groups: True progression and pseudo-progression, respectively.</w:t>
      </w:r>
    </w:p>
    <w:p w14:paraId="185E653D" w14:textId="77777777" w:rsidR="00C543C7" w:rsidRPr="00BA3C69" w:rsidRDefault="00C543C7">
      <w:pPr>
        <w:spacing w:line="360" w:lineRule="auto"/>
        <w:jc w:val="both"/>
        <w:rPr>
          <w:rFonts w:ascii="Book Antiqua" w:hAnsi="Book Antiqua"/>
          <w:color w:val="auto"/>
        </w:rPr>
      </w:pPr>
    </w:p>
    <w:p w14:paraId="785E8257"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rPr>
        <w:t>Research methods</w:t>
      </w:r>
    </w:p>
    <w:p w14:paraId="5CBB31C0"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 xml:space="preserve">DKI-derived metric maps were used to assess the TACE-treated area, peritumoral liver zone, and far-tumoral zone. To compare the prediction performance of each DKI metric between the true progression and pseudo-progression groups, the non-parametric </w:t>
      </w:r>
      <w:r w:rsidRPr="00BA3C69">
        <w:rPr>
          <w:rFonts w:ascii="Book Antiqua" w:hAnsi="Book Antiqua"/>
          <w:i/>
          <w:color w:val="auto"/>
          <w:shd w:val="clear" w:color="auto" w:fill="FFFFFF"/>
        </w:rPr>
        <w:t>U</w:t>
      </w:r>
      <w:r w:rsidRPr="00BA3C69">
        <w:rPr>
          <w:rFonts w:ascii="Book Antiqua" w:hAnsi="Book Antiqua"/>
          <w:color w:val="auto"/>
          <w:shd w:val="clear" w:color="auto" w:fill="FFFFFF"/>
        </w:rPr>
        <w:t xml:space="preserve"> test and receiver operating characteristic curve (ROC) analysis were performed. The independent </w:t>
      </w:r>
      <w:r w:rsidRPr="00BA3C69">
        <w:rPr>
          <w:rFonts w:ascii="Book Antiqua" w:hAnsi="Book Antiqua"/>
          <w:i/>
          <w:color w:val="auto"/>
          <w:shd w:val="clear" w:color="auto" w:fill="FFFFFF"/>
        </w:rPr>
        <w:t>t</w:t>
      </w:r>
      <w:r w:rsidRPr="00BA3C69">
        <w:rPr>
          <w:rFonts w:ascii="Book Antiqua" w:hAnsi="Book Antiqua"/>
          <w:color w:val="auto"/>
          <w:shd w:val="clear" w:color="auto" w:fill="FFFFFF"/>
        </w:rPr>
        <w:t>-test was utilized to compare each DKI metric between the peritumoral and far-tumoral zones in the true progression group.</w:t>
      </w:r>
    </w:p>
    <w:p w14:paraId="14706D31" w14:textId="77777777" w:rsidR="00C543C7" w:rsidRPr="00BA3C69" w:rsidRDefault="00C543C7">
      <w:pPr>
        <w:spacing w:line="360" w:lineRule="auto"/>
        <w:jc w:val="both"/>
        <w:rPr>
          <w:rFonts w:ascii="Book Antiqua" w:hAnsi="Book Antiqua"/>
          <w:color w:val="auto"/>
        </w:rPr>
      </w:pPr>
    </w:p>
    <w:p w14:paraId="3819AD7E"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rPr>
        <w:t>Research results</w:t>
      </w:r>
    </w:p>
    <w:p w14:paraId="4C21998F"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DKI metrics, including mean diffusivity (MD), axial diffusivity (DA), radial diffusivity (DR), axial kurtosis (KA), and anisotropy fraction of kurtosis (Fak), exhibited significantly different values between the true progression and pseudo-progression groups, respectively (</w:t>
      </w:r>
      <w:r w:rsidRPr="00BA3C69">
        <w:rPr>
          <w:rFonts w:ascii="Book Antiqua" w:hAnsi="Book Antiqua"/>
          <w:i/>
          <w:iCs/>
          <w:color w:val="auto"/>
          <w:shd w:val="clear" w:color="auto" w:fill="FFFFFF"/>
        </w:rPr>
        <w:t>P</w:t>
      </w:r>
      <w:r w:rsidRPr="00BA3C69">
        <w:rPr>
          <w:rFonts w:ascii="Book Antiqua" w:hAnsi="Book Antiqua"/>
          <w:color w:val="auto"/>
          <w:shd w:val="clear" w:color="auto" w:fill="FFFFFF"/>
        </w:rPr>
        <w:t xml:space="preserve"> &lt; 0.05). Furthermore, the peritumoral zone had substantially different DA, DR, KA, and FAk values than the far-tumoral zone in the true progression group. Additionally, MD values of the liver parenchyma (peritumoral and far-tumoral zones) </w:t>
      </w:r>
      <w:r w:rsidRPr="00BA3C69">
        <w:rPr>
          <w:rFonts w:ascii="Book Antiqua" w:hAnsi="Book Antiqua"/>
          <w:color w:val="auto"/>
          <w:shd w:val="clear" w:color="auto" w:fill="FFFFFF"/>
        </w:rPr>
        <w:lastRenderedPageBreak/>
        <w:t>were substantially lower in the true progression group compared to the pseudo-progression group (</w:t>
      </w:r>
      <w:r w:rsidRPr="00BA3C69">
        <w:rPr>
          <w:rFonts w:ascii="Book Antiqua" w:hAnsi="Book Antiqua"/>
          <w:i/>
          <w:iCs/>
          <w:color w:val="auto"/>
          <w:shd w:val="clear" w:color="auto" w:fill="FFFFFF"/>
        </w:rPr>
        <w:t>P</w:t>
      </w:r>
      <w:r w:rsidRPr="00BA3C69">
        <w:rPr>
          <w:rFonts w:ascii="Book Antiqua" w:hAnsi="Book Antiqua"/>
          <w:color w:val="auto"/>
          <w:shd w:val="clear" w:color="auto" w:fill="FFFFFF"/>
        </w:rPr>
        <w:t xml:space="preserve"> &lt; 0.05).</w:t>
      </w:r>
    </w:p>
    <w:p w14:paraId="400CD42C" w14:textId="77777777" w:rsidR="00C543C7" w:rsidRPr="00BA3C69" w:rsidRDefault="00C543C7">
      <w:pPr>
        <w:spacing w:line="360" w:lineRule="auto"/>
        <w:jc w:val="both"/>
        <w:rPr>
          <w:rFonts w:ascii="Book Antiqua" w:hAnsi="Book Antiqua"/>
          <w:color w:val="auto"/>
        </w:rPr>
      </w:pPr>
    </w:p>
    <w:p w14:paraId="473471ED"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rPr>
        <w:t>Research conclusions</w:t>
      </w:r>
    </w:p>
    <w:p w14:paraId="4203780D"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DKI has been shown to predict the therapeutic response of HCC to TACE with high accuracy. Furthermore, DKI may indicate cellular invasion of the peritumoral zone by molecular diffusion-restricted change.</w:t>
      </w:r>
    </w:p>
    <w:p w14:paraId="1A21543B" w14:textId="77777777" w:rsidR="00C543C7" w:rsidRPr="00BA3C69" w:rsidRDefault="00C543C7">
      <w:pPr>
        <w:spacing w:line="360" w:lineRule="auto"/>
        <w:jc w:val="both"/>
        <w:rPr>
          <w:rFonts w:ascii="Book Antiqua" w:hAnsi="Book Antiqua"/>
          <w:color w:val="auto"/>
        </w:rPr>
      </w:pPr>
    </w:p>
    <w:p w14:paraId="0BA9162E"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i/>
          <w:iCs/>
          <w:color w:val="auto"/>
        </w:rPr>
        <w:t>Research perspectives</w:t>
      </w:r>
    </w:p>
    <w:p w14:paraId="70C4A5C5"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shd w:val="clear" w:color="auto" w:fill="FFFFFF"/>
        </w:rPr>
        <w:t>This study systematically investigated the clinical feasibility of all DKI-derived metrics in predicting recurrence and cellular invasion of the peritumoral liver zone of HCC after TACE, providing an accurate evaluation method to help guide subsequent therapeutic planning in clinical practice for patients with HCC after TACE.</w:t>
      </w:r>
    </w:p>
    <w:p w14:paraId="43186636" w14:textId="77777777" w:rsidR="00C543C7" w:rsidRPr="00BA3C69" w:rsidRDefault="00C543C7">
      <w:pPr>
        <w:spacing w:line="360" w:lineRule="auto"/>
        <w:jc w:val="both"/>
        <w:rPr>
          <w:rFonts w:ascii="Book Antiqua" w:hAnsi="Book Antiqua"/>
          <w:color w:val="auto"/>
        </w:rPr>
      </w:pPr>
    </w:p>
    <w:p w14:paraId="1A15F1F9"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REFERENCES</w:t>
      </w:r>
    </w:p>
    <w:p w14:paraId="56F09474" w14:textId="0B2B9651"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1 </w:t>
      </w:r>
      <w:r w:rsidRPr="00BA3C69">
        <w:rPr>
          <w:rFonts w:ascii="Book Antiqua" w:hAnsi="Book Antiqua"/>
          <w:b/>
          <w:bCs/>
          <w:color w:val="auto"/>
        </w:rPr>
        <w:t>European Association for the Study of the Liver</w:t>
      </w:r>
      <w:r w:rsidRPr="00BA3C69">
        <w:rPr>
          <w:rFonts w:ascii="Book Antiqua" w:hAnsi="Book Antiqua"/>
          <w:bCs/>
          <w:color w:val="auto"/>
        </w:rPr>
        <w:t>.</w:t>
      </w:r>
      <w:r w:rsidRPr="00BA3C69">
        <w:rPr>
          <w:rFonts w:ascii="Book Antiqua" w:hAnsi="Book Antiqua"/>
          <w:color w:val="auto"/>
        </w:rPr>
        <w:t xml:space="preserve"> EASL Clinical Practice Guidelines: Management of hepatocellular carcinoma. </w:t>
      </w:r>
      <w:r w:rsidRPr="00BA3C69">
        <w:rPr>
          <w:rFonts w:ascii="Book Antiqua" w:hAnsi="Book Antiqua"/>
          <w:i/>
          <w:iCs/>
          <w:color w:val="auto"/>
        </w:rPr>
        <w:t>J Hepatol</w:t>
      </w:r>
      <w:r w:rsidRPr="00BA3C69">
        <w:rPr>
          <w:rFonts w:ascii="Book Antiqua" w:hAnsi="Book Antiqua"/>
          <w:color w:val="auto"/>
        </w:rPr>
        <w:t xml:space="preserve"> 2018; </w:t>
      </w:r>
      <w:r w:rsidRPr="00BA3C69">
        <w:rPr>
          <w:rFonts w:ascii="Book Antiqua" w:hAnsi="Book Antiqua"/>
          <w:b/>
          <w:bCs/>
          <w:color w:val="auto"/>
        </w:rPr>
        <w:t>69</w:t>
      </w:r>
      <w:r w:rsidRPr="00BA3C69">
        <w:rPr>
          <w:rFonts w:ascii="Book Antiqua" w:hAnsi="Book Antiqua"/>
          <w:color w:val="auto"/>
        </w:rPr>
        <w:t>: 182-236 [PMID: 29628281 DOI: 10.1016/j.jhep.2018.03.019]</w:t>
      </w:r>
    </w:p>
    <w:p w14:paraId="667C0C6A"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2 </w:t>
      </w:r>
      <w:r w:rsidRPr="00BA3C69">
        <w:rPr>
          <w:rFonts w:ascii="Book Antiqua" w:hAnsi="Book Antiqua"/>
          <w:b/>
          <w:bCs/>
          <w:color w:val="auto"/>
        </w:rPr>
        <w:t>Rognoni C</w:t>
      </w:r>
      <w:r w:rsidRPr="00BA3C69">
        <w:rPr>
          <w:rFonts w:ascii="Book Antiqua" w:hAnsi="Book Antiqua"/>
          <w:color w:val="auto"/>
        </w:rPr>
        <w:t xml:space="preserve">, Ciani O, Sommariva S, Facciorusso A, Tarricone R, Bhoori S, Mazzaferro V. Trans-arterial radioembolization in intermediate-advanced hepatocellular carcinoma: systematic review and meta-analyses. </w:t>
      </w:r>
      <w:r w:rsidRPr="00BA3C69">
        <w:rPr>
          <w:rFonts w:ascii="Book Antiqua" w:hAnsi="Book Antiqua"/>
          <w:i/>
          <w:iCs/>
          <w:color w:val="auto"/>
        </w:rPr>
        <w:t>Oncotarget</w:t>
      </w:r>
      <w:r w:rsidRPr="00BA3C69">
        <w:rPr>
          <w:rFonts w:ascii="Book Antiqua" w:hAnsi="Book Antiqua"/>
          <w:color w:val="auto"/>
        </w:rPr>
        <w:t xml:space="preserve"> 2016; </w:t>
      </w:r>
      <w:r w:rsidRPr="00BA3C69">
        <w:rPr>
          <w:rFonts w:ascii="Book Antiqua" w:hAnsi="Book Antiqua"/>
          <w:b/>
          <w:bCs/>
          <w:color w:val="auto"/>
        </w:rPr>
        <w:t>7</w:t>
      </w:r>
      <w:r w:rsidRPr="00BA3C69">
        <w:rPr>
          <w:rFonts w:ascii="Book Antiqua" w:hAnsi="Book Antiqua"/>
          <w:color w:val="auto"/>
        </w:rPr>
        <w:t>: 72343-72355 [PMID: 27579537 DOI: 10.18632/oncotarget.11644]</w:t>
      </w:r>
    </w:p>
    <w:p w14:paraId="3FF53C63"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3 </w:t>
      </w:r>
      <w:r w:rsidRPr="00BA3C69">
        <w:rPr>
          <w:rFonts w:ascii="Book Antiqua" w:hAnsi="Book Antiqua"/>
          <w:b/>
          <w:bCs/>
          <w:color w:val="auto"/>
        </w:rPr>
        <w:t>Sacco R</w:t>
      </w:r>
      <w:r w:rsidRPr="00BA3C69">
        <w:rPr>
          <w:rFonts w:ascii="Book Antiqua" w:hAnsi="Book Antiqua"/>
          <w:color w:val="auto"/>
        </w:rPr>
        <w:t xml:space="preserve">, Bertini M, Petruzzi P, Bertoni M, Bargellini I, Bresci G, Federici G, Gambardella L, Metrangolo S, Parisi G, Romano A, Scaramuzzino A, Tumino E, Silvestri A, Altomare E, Vignali C, Capria A. Clinical impact of selective transarterial chemoembolization on hepatocellular carcinoma: a cohort study. </w:t>
      </w:r>
      <w:r w:rsidRPr="00BA3C69">
        <w:rPr>
          <w:rFonts w:ascii="Book Antiqua" w:hAnsi="Book Antiqua"/>
          <w:i/>
          <w:iCs/>
          <w:color w:val="auto"/>
        </w:rPr>
        <w:t>World J Gastroenterol</w:t>
      </w:r>
      <w:r w:rsidRPr="00BA3C69">
        <w:rPr>
          <w:rFonts w:ascii="Book Antiqua" w:hAnsi="Book Antiqua"/>
          <w:color w:val="auto"/>
        </w:rPr>
        <w:t xml:space="preserve"> 2009; </w:t>
      </w:r>
      <w:r w:rsidRPr="00BA3C69">
        <w:rPr>
          <w:rFonts w:ascii="Book Antiqua" w:hAnsi="Book Antiqua"/>
          <w:b/>
          <w:bCs/>
          <w:color w:val="auto"/>
        </w:rPr>
        <w:t>15</w:t>
      </w:r>
      <w:r w:rsidRPr="00BA3C69">
        <w:rPr>
          <w:rFonts w:ascii="Book Antiqua" w:hAnsi="Book Antiqua"/>
          <w:color w:val="auto"/>
        </w:rPr>
        <w:t>: 1843-1848 [PMID: 19370781 DOI: 10.3748/wjg.15.1843]</w:t>
      </w:r>
    </w:p>
    <w:p w14:paraId="3E1A81CC"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lastRenderedPageBreak/>
        <w:t xml:space="preserve">4 </w:t>
      </w:r>
      <w:r w:rsidRPr="00BA3C69">
        <w:rPr>
          <w:rFonts w:ascii="Book Antiqua" w:hAnsi="Book Antiqua"/>
          <w:b/>
          <w:bCs/>
          <w:color w:val="auto"/>
        </w:rPr>
        <w:t>Ramsey DE</w:t>
      </w:r>
      <w:r w:rsidRPr="00BA3C69">
        <w:rPr>
          <w:rFonts w:ascii="Book Antiqua" w:hAnsi="Book Antiqua"/>
          <w:color w:val="auto"/>
        </w:rPr>
        <w:t xml:space="preserve">, Geschwind JF. Chemoembolization of hepatocellular carcinoma--what to tell the skeptics: review and meta-analysis. </w:t>
      </w:r>
      <w:r w:rsidRPr="00BA3C69">
        <w:rPr>
          <w:rFonts w:ascii="Book Antiqua" w:hAnsi="Book Antiqua"/>
          <w:i/>
          <w:iCs/>
          <w:color w:val="auto"/>
        </w:rPr>
        <w:t>Tech Vasc Interv Radiol</w:t>
      </w:r>
      <w:r w:rsidRPr="00BA3C69">
        <w:rPr>
          <w:rFonts w:ascii="Book Antiqua" w:hAnsi="Book Antiqua"/>
          <w:color w:val="auto"/>
        </w:rPr>
        <w:t xml:space="preserve"> 2002; </w:t>
      </w:r>
      <w:r w:rsidRPr="00BA3C69">
        <w:rPr>
          <w:rFonts w:ascii="Book Antiqua" w:hAnsi="Book Antiqua"/>
          <w:b/>
          <w:bCs/>
          <w:color w:val="auto"/>
        </w:rPr>
        <w:t>5</w:t>
      </w:r>
      <w:r w:rsidRPr="00BA3C69">
        <w:rPr>
          <w:rFonts w:ascii="Book Antiqua" w:hAnsi="Book Antiqua"/>
          <w:color w:val="auto"/>
        </w:rPr>
        <w:t>: 122-126 [PMID: 12524642 DOI: 10.1053/tvir.2002.36418]</w:t>
      </w:r>
    </w:p>
    <w:p w14:paraId="19F2552A"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5 </w:t>
      </w:r>
      <w:r w:rsidRPr="00BA3C69">
        <w:rPr>
          <w:rFonts w:ascii="Book Antiqua" w:hAnsi="Book Antiqua"/>
          <w:b/>
          <w:bCs/>
          <w:color w:val="auto"/>
        </w:rPr>
        <w:t>Yu JS</w:t>
      </w:r>
      <w:r w:rsidRPr="00BA3C69">
        <w:rPr>
          <w:rFonts w:ascii="Book Antiqua" w:hAnsi="Book Antiqua"/>
          <w:color w:val="auto"/>
        </w:rPr>
        <w:t xml:space="preserve">, Kim JH, Chung JJ, Kim KW. Added value of diffusion-weighted imaging in the MRI assessment of perilesional tumor recurrence after chemoembolization of hepatocellular carcinomas. </w:t>
      </w:r>
      <w:r w:rsidRPr="00BA3C69">
        <w:rPr>
          <w:rFonts w:ascii="Book Antiqua" w:hAnsi="Book Antiqua"/>
          <w:i/>
          <w:iCs/>
          <w:color w:val="auto"/>
        </w:rPr>
        <w:t>J Magn Reson Imaging</w:t>
      </w:r>
      <w:r w:rsidRPr="00BA3C69">
        <w:rPr>
          <w:rFonts w:ascii="Book Antiqua" w:hAnsi="Book Antiqua"/>
          <w:color w:val="auto"/>
        </w:rPr>
        <w:t xml:space="preserve"> 2009; </w:t>
      </w:r>
      <w:r w:rsidRPr="00BA3C69">
        <w:rPr>
          <w:rFonts w:ascii="Book Antiqua" w:hAnsi="Book Antiqua"/>
          <w:b/>
          <w:bCs/>
          <w:color w:val="auto"/>
        </w:rPr>
        <w:t>30</w:t>
      </w:r>
      <w:r w:rsidRPr="00BA3C69">
        <w:rPr>
          <w:rFonts w:ascii="Book Antiqua" w:hAnsi="Book Antiqua"/>
          <w:color w:val="auto"/>
        </w:rPr>
        <w:t>: 153-160 [PMID: 19557734 DOI: 10.1002/jmri.21818]</w:t>
      </w:r>
    </w:p>
    <w:p w14:paraId="00B9EEE0"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6 </w:t>
      </w:r>
      <w:r w:rsidRPr="00BA3C69">
        <w:rPr>
          <w:rFonts w:ascii="Book Antiqua" w:hAnsi="Book Antiqua"/>
          <w:b/>
          <w:bCs/>
          <w:color w:val="auto"/>
        </w:rPr>
        <w:t>Labeur TA</w:t>
      </w:r>
      <w:r w:rsidRPr="00BA3C69">
        <w:rPr>
          <w:rFonts w:ascii="Book Antiqua" w:hAnsi="Book Antiqua"/>
          <w:color w:val="auto"/>
        </w:rPr>
        <w:t xml:space="preserve">, Runge JH, Klompenhouwer EG, Klümpen HJ, Takkenberg RB, van Delden OM. Diffusion-weighted imaging of hepatocellular carcinoma before and after transarterial chemoembolization: role in survival prediction and response evaluation. </w:t>
      </w:r>
      <w:r w:rsidRPr="00BA3C69">
        <w:rPr>
          <w:rFonts w:ascii="Book Antiqua" w:hAnsi="Book Antiqua"/>
          <w:i/>
          <w:iCs/>
          <w:color w:val="auto"/>
        </w:rPr>
        <w:t>Abdom Radiol (NY)</w:t>
      </w:r>
      <w:r w:rsidRPr="00BA3C69">
        <w:rPr>
          <w:rFonts w:ascii="Book Antiqua" w:hAnsi="Book Antiqua"/>
          <w:color w:val="auto"/>
        </w:rPr>
        <w:t xml:space="preserve"> 2019; </w:t>
      </w:r>
      <w:r w:rsidRPr="00BA3C69">
        <w:rPr>
          <w:rFonts w:ascii="Book Antiqua" w:hAnsi="Book Antiqua"/>
          <w:b/>
          <w:bCs/>
          <w:color w:val="auto"/>
        </w:rPr>
        <w:t>44</w:t>
      </w:r>
      <w:r w:rsidRPr="00BA3C69">
        <w:rPr>
          <w:rFonts w:ascii="Book Antiqua" w:hAnsi="Book Antiqua"/>
          <w:color w:val="auto"/>
        </w:rPr>
        <w:t>: 2740-2750 [PMID: 31069479 DOI: 10.1007/s00261-019-02030-2]</w:t>
      </w:r>
    </w:p>
    <w:p w14:paraId="780DA6D7"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7 </w:t>
      </w:r>
      <w:r w:rsidRPr="00BA3C69">
        <w:rPr>
          <w:rFonts w:ascii="Book Antiqua" w:hAnsi="Book Antiqua"/>
          <w:b/>
          <w:bCs/>
          <w:color w:val="auto"/>
        </w:rPr>
        <w:t>Yang K</w:t>
      </w:r>
      <w:r w:rsidRPr="00BA3C69">
        <w:rPr>
          <w:rFonts w:ascii="Book Antiqua" w:hAnsi="Book Antiqua"/>
          <w:color w:val="auto"/>
        </w:rPr>
        <w:t xml:space="preserve">, Zhang XM, Yang L, Xu H, Peng J. Advanced imaging techniques in the therapeutic response of transarterial chemoembolization for hepatocellular carcinoma. </w:t>
      </w:r>
      <w:r w:rsidRPr="00BA3C69">
        <w:rPr>
          <w:rFonts w:ascii="Book Antiqua" w:hAnsi="Book Antiqua"/>
          <w:i/>
          <w:iCs/>
          <w:color w:val="auto"/>
        </w:rPr>
        <w:t>World J Gastroenterol</w:t>
      </w:r>
      <w:r w:rsidRPr="00BA3C69">
        <w:rPr>
          <w:rFonts w:ascii="Book Antiqua" w:hAnsi="Book Antiqua"/>
          <w:color w:val="auto"/>
        </w:rPr>
        <w:t xml:space="preserve"> 2016; </w:t>
      </w:r>
      <w:r w:rsidRPr="00BA3C69">
        <w:rPr>
          <w:rFonts w:ascii="Book Antiqua" w:hAnsi="Book Antiqua"/>
          <w:b/>
          <w:bCs/>
          <w:color w:val="auto"/>
        </w:rPr>
        <w:t>22</w:t>
      </w:r>
      <w:r w:rsidRPr="00BA3C69">
        <w:rPr>
          <w:rFonts w:ascii="Book Antiqua" w:hAnsi="Book Antiqua"/>
          <w:color w:val="auto"/>
        </w:rPr>
        <w:t>: 4835-4847 [PMID: 27239110 DOI: 10.3748/wjg.v22.i20.4835]</w:t>
      </w:r>
    </w:p>
    <w:p w14:paraId="3EC69166"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8 </w:t>
      </w:r>
      <w:r w:rsidRPr="00BA3C69">
        <w:rPr>
          <w:rFonts w:ascii="Book Antiqua" w:hAnsi="Book Antiqua"/>
          <w:b/>
          <w:bCs/>
          <w:color w:val="auto"/>
        </w:rPr>
        <w:t>Kamel IR</w:t>
      </w:r>
      <w:r w:rsidRPr="00BA3C69">
        <w:rPr>
          <w:rFonts w:ascii="Book Antiqua" w:hAnsi="Book Antiqua"/>
          <w:color w:val="auto"/>
        </w:rPr>
        <w:t xml:space="preserve">, Bluemke DA, Ramsey D, Abusedera M, Torbenson M, Eng J, Szarf G, Geschwind JF. Role of diffusion-weighted imaging in estimating tumor necrosis after chemoembolization of hepatocellular carcinoma. </w:t>
      </w:r>
      <w:r w:rsidRPr="00BA3C69">
        <w:rPr>
          <w:rFonts w:ascii="Book Antiqua" w:hAnsi="Book Antiqua"/>
          <w:i/>
          <w:iCs/>
          <w:color w:val="auto"/>
        </w:rPr>
        <w:t>AJR Am J Roentgenol</w:t>
      </w:r>
      <w:r w:rsidRPr="00BA3C69">
        <w:rPr>
          <w:rFonts w:ascii="Book Antiqua" w:hAnsi="Book Antiqua"/>
          <w:color w:val="auto"/>
        </w:rPr>
        <w:t xml:space="preserve"> 2003; </w:t>
      </w:r>
      <w:r w:rsidRPr="00BA3C69">
        <w:rPr>
          <w:rFonts w:ascii="Book Antiqua" w:hAnsi="Book Antiqua"/>
          <w:b/>
          <w:bCs/>
          <w:color w:val="auto"/>
        </w:rPr>
        <w:t>181</w:t>
      </w:r>
      <w:r w:rsidRPr="00BA3C69">
        <w:rPr>
          <w:rFonts w:ascii="Book Antiqua" w:hAnsi="Book Antiqua"/>
          <w:color w:val="auto"/>
        </w:rPr>
        <w:t>: 708-710 [PMID: 12933464 DOI: 10.2214/ajr.181.3.1810708]</w:t>
      </w:r>
    </w:p>
    <w:p w14:paraId="62C4CED8"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9 </w:t>
      </w:r>
      <w:r w:rsidRPr="00BA3C69">
        <w:rPr>
          <w:rFonts w:ascii="Book Antiqua" w:hAnsi="Book Antiqua"/>
          <w:b/>
          <w:bCs/>
          <w:color w:val="auto"/>
        </w:rPr>
        <w:t>Taouli B</w:t>
      </w:r>
      <w:r w:rsidRPr="00BA3C69">
        <w:rPr>
          <w:rFonts w:ascii="Book Antiqua" w:hAnsi="Book Antiqua"/>
          <w:color w:val="auto"/>
        </w:rPr>
        <w:t xml:space="preserve">, Tolia AJ, Losada M, Babb JS, Chan ES, Bannan MA, Tobias H. Diffusion-weighted MRI for quantification of liver fibrosis: preliminary experience. </w:t>
      </w:r>
      <w:r w:rsidRPr="00BA3C69">
        <w:rPr>
          <w:rFonts w:ascii="Book Antiqua" w:hAnsi="Book Antiqua"/>
          <w:i/>
          <w:iCs/>
          <w:color w:val="auto"/>
        </w:rPr>
        <w:t>AJR Am J Roentgenol</w:t>
      </w:r>
      <w:r w:rsidRPr="00BA3C69">
        <w:rPr>
          <w:rFonts w:ascii="Book Antiqua" w:hAnsi="Book Antiqua"/>
          <w:color w:val="auto"/>
        </w:rPr>
        <w:t xml:space="preserve"> 2007; </w:t>
      </w:r>
      <w:r w:rsidRPr="00BA3C69">
        <w:rPr>
          <w:rFonts w:ascii="Book Antiqua" w:hAnsi="Book Antiqua"/>
          <w:b/>
          <w:bCs/>
          <w:color w:val="auto"/>
        </w:rPr>
        <w:t>189</w:t>
      </w:r>
      <w:r w:rsidRPr="00BA3C69">
        <w:rPr>
          <w:rFonts w:ascii="Book Antiqua" w:hAnsi="Book Antiqua"/>
          <w:color w:val="auto"/>
        </w:rPr>
        <w:t>: 799-806 [PMID: 17885048 DOI: 10.2214/AJR.07.2086]</w:t>
      </w:r>
    </w:p>
    <w:p w14:paraId="334017AD"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10 </w:t>
      </w:r>
      <w:r w:rsidRPr="00BA3C69">
        <w:rPr>
          <w:rFonts w:ascii="Book Antiqua" w:hAnsi="Book Antiqua"/>
          <w:b/>
          <w:bCs/>
          <w:color w:val="auto"/>
        </w:rPr>
        <w:t>Wang J</w:t>
      </w:r>
      <w:r w:rsidRPr="00BA3C69">
        <w:rPr>
          <w:rFonts w:ascii="Book Antiqua" w:hAnsi="Book Antiqua"/>
          <w:color w:val="auto"/>
        </w:rPr>
        <w:t xml:space="preserve">, Dou W, Shi H, He X, Wang H, Ge Y, Cheng H. Diffusion kurtosis imaging in liver: a preliminary reproducibility study in healthy volunteers. </w:t>
      </w:r>
      <w:r w:rsidRPr="00BA3C69">
        <w:rPr>
          <w:rFonts w:ascii="Book Antiqua" w:hAnsi="Book Antiqua"/>
          <w:i/>
          <w:iCs/>
          <w:color w:val="auto"/>
        </w:rPr>
        <w:t>MAGMA</w:t>
      </w:r>
      <w:r w:rsidRPr="00BA3C69">
        <w:rPr>
          <w:rFonts w:ascii="Book Antiqua" w:hAnsi="Book Antiqua"/>
          <w:color w:val="auto"/>
        </w:rPr>
        <w:t xml:space="preserve"> 2020; </w:t>
      </w:r>
      <w:r w:rsidRPr="00BA3C69">
        <w:rPr>
          <w:rFonts w:ascii="Book Antiqua" w:hAnsi="Book Antiqua"/>
          <w:b/>
          <w:bCs/>
          <w:color w:val="auto"/>
        </w:rPr>
        <w:t>33</w:t>
      </w:r>
      <w:r w:rsidRPr="00BA3C69">
        <w:rPr>
          <w:rFonts w:ascii="Book Antiqua" w:hAnsi="Book Antiqua"/>
          <w:color w:val="auto"/>
        </w:rPr>
        <w:t>: 877-883 [PMID: 32377906 DOI: 10.1007/s10334-020-00846-4]</w:t>
      </w:r>
    </w:p>
    <w:p w14:paraId="3CD90E35"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11 </w:t>
      </w:r>
      <w:r w:rsidRPr="00BA3C69">
        <w:rPr>
          <w:rFonts w:ascii="Book Antiqua" w:hAnsi="Book Antiqua"/>
          <w:b/>
          <w:bCs/>
          <w:color w:val="auto"/>
        </w:rPr>
        <w:t>Yuan ZG</w:t>
      </w:r>
      <w:r w:rsidRPr="00BA3C69">
        <w:rPr>
          <w:rFonts w:ascii="Book Antiqua" w:hAnsi="Book Antiqua"/>
          <w:color w:val="auto"/>
        </w:rPr>
        <w:t xml:space="preserve">, Wang ZY, Xia MY, Li FZ, Li Y, Shen Z, Wang XZ. Diffusion Kurtosis Imaging for Assessing the Therapeutic Response of Transcatheter Arterial Chemoembolization in Hepatocellular Carcinoma. </w:t>
      </w:r>
      <w:r w:rsidRPr="00BA3C69">
        <w:rPr>
          <w:rFonts w:ascii="Book Antiqua" w:hAnsi="Book Antiqua"/>
          <w:i/>
          <w:iCs/>
          <w:color w:val="auto"/>
        </w:rPr>
        <w:t>J Cancer</w:t>
      </w:r>
      <w:r w:rsidRPr="00BA3C69">
        <w:rPr>
          <w:rFonts w:ascii="Book Antiqua" w:hAnsi="Book Antiqua"/>
          <w:color w:val="auto"/>
        </w:rPr>
        <w:t xml:space="preserve"> 2020; </w:t>
      </w:r>
      <w:r w:rsidRPr="00BA3C69">
        <w:rPr>
          <w:rFonts w:ascii="Book Antiqua" w:hAnsi="Book Antiqua"/>
          <w:b/>
          <w:bCs/>
          <w:color w:val="auto"/>
        </w:rPr>
        <w:t>11</w:t>
      </w:r>
      <w:r w:rsidRPr="00BA3C69">
        <w:rPr>
          <w:rFonts w:ascii="Book Antiqua" w:hAnsi="Book Antiqua"/>
          <w:color w:val="auto"/>
        </w:rPr>
        <w:t>: 2339-2347 [PMID: 32127960 DOI: 10.7150/jca.32491]</w:t>
      </w:r>
    </w:p>
    <w:p w14:paraId="6E02D03B"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lastRenderedPageBreak/>
        <w:t xml:space="preserve">12 </w:t>
      </w:r>
      <w:r w:rsidRPr="00BA3C69">
        <w:rPr>
          <w:rFonts w:ascii="Book Antiqua" w:hAnsi="Book Antiqua"/>
          <w:b/>
          <w:bCs/>
          <w:color w:val="auto"/>
        </w:rPr>
        <w:t>Luo X</w:t>
      </w:r>
      <w:r w:rsidRPr="00BA3C69">
        <w:rPr>
          <w:rFonts w:ascii="Book Antiqua" w:hAnsi="Book Antiqua"/>
          <w:color w:val="auto"/>
        </w:rPr>
        <w:t xml:space="preserve">, Li Y, Shang Q, Liu H, Song L. Role of Diffusional Kurtosis Imaging in Evaluating the Efficacy of Transcatheter Arterial Chemoembolization in Patients with Liver Cancer. </w:t>
      </w:r>
      <w:r w:rsidRPr="00BA3C69">
        <w:rPr>
          <w:rFonts w:ascii="Book Antiqua" w:hAnsi="Book Antiqua"/>
          <w:i/>
          <w:iCs/>
          <w:color w:val="auto"/>
        </w:rPr>
        <w:t>Cancer Biother Radiopharm</w:t>
      </w:r>
      <w:r w:rsidRPr="00BA3C69">
        <w:rPr>
          <w:rFonts w:ascii="Book Antiqua" w:hAnsi="Book Antiqua"/>
          <w:color w:val="auto"/>
        </w:rPr>
        <w:t xml:space="preserve"> 2019; </w:t>
      </w:r>
      <w:r w:rsidRPr="00BA3C69">
        <w:rPr>
          <w:rFonts w:ascii="Book Antiqua" w:hAnsi="Book Antiqua"/>
          <w:b/>
          <w:bCs/>
          <w:color w:val="auto"/>
        </w:rPr>
        <w:t>34</w:t>
      </w:r>
      <w:r w:rsidRPr="00BA3C69">
        <w:rPr>
          <w:rFonts w:ascii="Book Antiqua" w:hAnsi="Book Antiqua"/>
          <w:color w:val="auto"/>
        </w:rPr>
        <w:t>: 614-620 [PMID: 31560562 DOI: 10.1089/cbr.2019.2878]</w:t>
      </w:r>
    </w:p>
    <w:p w14:paraId="7CFB647C"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13 </w:t>
      </w:r>
      <w:r w:rsidRPr="00BA3C69">
        <w:rPr>
          <w:rFonts w:ascii="Book Antiqua" w:hAnsi="Book Antiqua"/>
          <w:b/>
          <w:bCs/>
          <w:color w:val="auto"/>
        </w:rPr>
        <w:t>Lencioni R</w:t>
      </w:r>
      <w:r w:rsidRPr="00BA3C69">
        <w:rPr>
          <w:rFonts w:ascii="Book Antiqua" w:hAnsi="Book Antiqua"/>
          <w:color w:val="auto"/>
        </w:rPr>
        <w:t xml:space="preserve">, Llovet JM. Modified RECIST (mRECIST) assessment for hepatocellular carcinoma. </w:t>
      </w:r>
      <w:r w:rsidRPr="00BA3C69">
        <w:rPr>
          <w:rFonts w:ascii="Book Antiqua" w:hAnsi="Book Antiqua"/>
          <w:i/>
          <w:iCs/>
          <w:color w:val="auto"/>
        </w:rPr>
        <w:t>Semin Liver Dis</w:t>
      </w:r>
      <w:r w:rsidRPr="00BA3C69">
        <w:rPr>
          <w:rFonts w:ascii="Book Antiqua" w:hAnsi="Book Antiqua"/>
          <w:color w:val="auto"/>
        </w:rPr>
        <w:t xml:space="preserve"> 2010; </w:t>
      </w:r>
      <w:r w:rsidRPr="00BA3C69">
        <w:rPr>
          <w:rFonts w:ascii="Book Antiqua" w:hAnsi="Book Antiqua"/>
          <w:b/>
          <w:bCs/>
          <w:color w:val="auto"/>
        </w:rPr>
        <w:t>30</w:t>
      </w:r>
      <w:r w:rsidRPr="00BA3C69">
        <w:rPr>
          <w:rFonts w:ascii="Book Antiqua" w:hAnsi="Book Antiqua"/>
          <w:color w:val="auto"/>
        </w:rPr>
        <w:t>: 52-60 [PMID: 20175033 DOI: 10.1055/s-0030-1247132]</w:t>
      </w:r>
    </w:p>
    <w:p w14:paraId="534AEF64"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14 </w:t>
      </w:r>
      <w:r w:rsidRPr="00BA3C69">
        <w:rPr>
          <w:rFonts w:ascii="Book Antiqua" w:hAnsi="Book Antiqua"/>
          <w:b/>
          <w:bCs/>
          <w:color w:val="auto"/>
        </w:rPr>
        <w:t>Zhuo J</w:t>
      </w:r>
      <w:r w:rsidRPr="00BA3C69">
        <w:rPr>
          <w:rFonts w:ascii="Book Antiqua" w:hAnsi="Book Antiqua"/>
          <w:color w:val="auto"/>
        </w:rPr>
        <w:t xml:space="preserve">, Keledjian K, Xu S, Pampori A, Gerzanich V, Simard JM, Gullapalli RP. Changes in Diffusion Kurtosis Imaging and Magnetic Resonance Spectroscopy in a Direct Cranial Blast Traumatic Brain Injury (dc-bTBI) Model. </w:t>
      </w:r>
      <w:r w:rsidRPr="00BA3C69">
        <w:rPr>
          <w:rFonts w:ascii="Book Antiqua" w:hAnsi="Book Antiqua"/>
          <w:i/>
          <w:iCs/>
          <w:color w:val="auto"/>
        </w:rPr>
        <w:t>PLoS One</w:t>
      </w:r>
      <w:r w:rsidRPr="00BA3C69">
        <w:rPr>
          <w:rFonts w:ascii="Book Antiqua" w:hAnsi="Book Antiqua"/>
          <w:color w:val="auto"/>
        </w:rPr>
        <w:t xml:space="preserve"> 2015; </w:t>
      </w:r>
      <w:r w:rsidRPr="00BA3C69">
        <w:rPr>
          <w:rFonts w:ascii="Book Antiqua" w:hAnsi="Book Antiqua"/>
          <w:b/>
          <w:bCs/>
          <w:color w:val="auto"/>
        </w:rPr>
        <w:t>10</w:t>
      </w:r>
      <w:r w:rsidRPr="00BA3C69">
        <w:rPr>
          <w:rFonts w:ascii="Book Antiqua" w:hAnsi="Book Antiqua"/>
          <w:color w:val="auto"/>
        </w:rPr>
        <w:t>: e0136151 [PMID: 26301778 DOI: 10.1371/journal.pone.0136151]</w:t>
      </w:r>
    </w:p>
    <w:p w14:paraId="7CCEC363"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15 </w:t>
      </w:r>
      <w:r w:rsidRPr="00BA3C69">
        <w:rPr>
          <w:rFonts w:ascii="Book Antiqua" w:hAnsi="Book Antiqua"/>
          <w:b/>
          <w:bCs/>
          <w:color w:val="auto"/>
        </w:rPr>
        <w:t>Nasu K</w:t>
      </w:r>
      <w:r w:rsidRPr="00BA3C69">
        <w:rPr>
          <w:rFonts w:ascii="Book Antiqua" w:hAnsi="Book Antiqua"/>
          <w:color w:val="auto"/>
        </w:rPr>
        <w:t xml:space="preserve">, Kuroki Y, Fujii H, Minami M. Hepatic pseudo-anisotropy: a specific artifact in hepatic diffusion-weighted images obtained with respiratory triggering. </w:t>
      </w:r>
      <w:r w:rsidRPr="00BA3C69">
        <w:rPr>
          <w:rFonts w:ascii="Book Antiqua" w:hAnsi="Book Antiqua"/>
          <w:i/>
          <w:iCs/>
          <w:color w:val="auto"/>
        </w:rPr>
        <w:t>MAGMA</w:t>
      </w:r>
      <w:r w:rsidRPr="00BA3C69">
        <w:rPr>
          <w:rFonts w:ascii="Book Antiqua" w:hAnsi="Book Antiqua"/>
          <w:color w:val="auto"/>
        </w:rPr>
        <w:t xml:space="preserve"> 2007; </w:t>
      </w:r>
      <w:r w:rsidRPr="00BA3C69">
        <w:rPr>
          <w:rFonts w:ascii="Book Antiqua" w:hAnsi="Book Antiqua"/>
          <w:b/>
          <w:bCs/>
          <w:color w:val="auto"/>
        </w:rPr>
        <w:t>20</w:t>
      </w:r>
      <w:r w:rsidRPr="00BA3C69">
        <w:rPr>
          <w:rFonts w:ascii="Book Antiqua" w:hAnsi="Book Antiqua"/>
          <w:color w:val="auto"/>
        </w:rPr>
        <w:t>: 205-211 [PMID: 17960439 DOI: 10.1007/s10334-007-0084-0]</w:t>
      </w:r>
    </w:p>
    <w:p w14:paraId="232ABB08"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16 </w:t>
      </w:r>
      <w:r w:rsidRPr="00BA3C69">
        <w:rPr>
          <w:rFonts w:ascii="Book Antiqua" w:hAnsi="Book Antiqua"/>
          <w:b/>
          <w:bCs/>
          <w:color w:val="auto"/>
        </w:rPr>
        <w:t>Steven AJ</w:t>
      </w:r>
      <w:r w:rsidRPr="00BA3C69">
        <w:rPr>
          <w:rFonts w:ascii="Book Antiqua" w:hAnsi="Book Antiqua"/>
          <w:color w:val="auto"/>
        </w:rPr>
        <w:t xml:space="preserve">, Zhuo J, Melhem ER. Diffusion kurtosis imaging: an emerging technique for evaluating the microstructural environment of the brain. </w:t>
      </w:r>
      <w:r w:rsidRPr="00BA3C69">
        <w:rPr>
          <w:rFonts w:ascii="Book Antiqua" w:hAnsi="Book Antiqua"/>
          <w:i/>
          <w:iCs/>
          <w:color w:val="auto"/>
        </w:rPr>
        <w:t>AJR Am J Roentgenol</w:t>
      </w:r>
      <w:r w:rsidRPr="00BA3C69">
        <w:rPr>
          <w:rFonts w:ascii="Book Antiqua" w:hAnsi="Book Antiqua"/>
          <w:color w:val="auto"/>
        </w:rPr>
        <w:t xml:space="preserve"> 2014; </w:t>
      </w:r>
      <w:r w:rsidRPr="00BA3C69">
        <w:rPr>
          <w:rFonts w:ascii="Book Antiqua" w:hAnsi="Book Antiqua"/>
          <w:b/>
          <w:bCs/>
          <w:color w:val="auto"/>
        </w:rPr>
        <w:t>202</w:t>
      </w:r>
      <w:r w:rsidRPr="00BA3C69">
        <w:rPr>
          <w:rFonts w:ascii="Book Antiqua" w:hAnsi="Book Antiqua"/>
          <w:color w:val="auto"/>
        </w:rPr>
        <w:t>: W26-W33 [PMID: 24370162 DOI: 10.2214/AJR.13.11365]</w:t>
      </w:r>
    </w:p>
    <w:p w14:paraId="3955E45E"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17 </w:t>
      </w:r>
      <w:r w:rsidRPr="00BA3C69">
        <w:rPr>
          <w:rFonts w:ascii="Book Antiqua" w:hAnsi="Book Antiqua"/>
          <w:b/>
          <w:bCs/>
          <w:color w:val="auto"/>
        </w:rPr>
        <w:t>Yoshimaru D</w:t>
      </w:r>
      <w:r w:rsidRPr="00BA3C69">
        <w:rPr>
          <w:rFonts w:ascii="Book Antiqua" w:hAnsi="Book Antiqua"/>
          <w:color w:val="auto"/>
        </w:rPr>
        <w:t xml:space="preserve">, Takatsu Y, Suzuki Y, Miyati T, Hamada Y, Funaki A, Tabata A, Maruyama C, Shimada M, Tobari M, Nishino T. Diffusion kurtosis imaging in the assessment of liver function: Its potential as an effective predictor of liver function. </w:t>
      </w:r>
      <w:r w:rsidRPr="00BA3C69">
        <w:rPr>
          <w:rFonts w:ascii="Book Antiqua" w:hAnsi="Book Antiqua"/>
          <w:i/>
          <w:iCs/>
          <w:color w:val="auto"/>
        </w:rPr>
        <w:t>Br J Radiol</w:t>
      </w:r>
      <w:r w:rsidRPr="00BA3C69">
        <w:rPr>
          <w:rFonts w:ascii="Book Antiqua" w:hAnsi="Book Antiqua"/>
          <w:color w:val="auto"/>
        </w:rPr>
        <w:t xml:space="preserve"> 2019; </w:t>
      </w:r>
      <w:r w:rsidRPr="00BA3C69">
        <w:rPr>
          <w:rFonts w:ascii="Book Antiqua" w:hAnsi="Book Antiqua"/>
          <w:b/>
          <w:bCs/>
          <w:color w:val="auto"/>
        </w:rPr>
        <w:t>92</w:t>
      </w:r>
      <w:r w:rsidRPr="00BA3C69">
        <w:rPr>
          <w:rFonts w:ascii="Book Antiqua" w:hAnsi="Book Antiqua"/>
          <w:color w:val="auto"/>
        </w:rPr>
        <w:t>: 20170608 [PMID: 30358410 DOI: 10.1259/bjr.20170608]</w:t>
      </w:r>
    </w:p>
    <w:p w14:paraId="2F26C869"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18 </w:t>
      </w:r>
      <w:r w:rsidRPr="00BA3C69">
        <w:rPr>
          <w:rFonts w:ascii="Book Antiqua" w:hAnsi="Book Antiqua"/>
          <w:b/>
          <w:bCs/>
          <w:color w:val="auto"/>
        </w:rPr>
        <w:t>Goshima S</w:t>
      </w:r>
      <w:r w:rsidRPr="00BA3C69">
        <w:rPr>
          <w:rFonts w:ascii="Book Antiqua" w:hAnsi="Book Antiqua"/>
          <w:color w:val="auto"/>
        </w:rPr>
        <w:t xml:space="preserve">, Kanematsu M, Noda Y, Kondo H, Watanabe H, Bae KT. Diffusion kurtosis imaging to assess response to treatment in hypervascular hepatocellular carcinoma. </w:t>
      </w:r>
      <w:r w:rsidRPr="00BA3C69">
        <w:rPr>
          <w:rFonts w:ascii="Book Antiqua" w:hAnsi="Book Antiqua"/>
          <w:i/>
          <w:iCs/>
          <w:color w:val="auto"/>
        </w:rPr>
        <w:t>AJR Am J Roentgenol</w:t>
      </w:r>
      <w:r w:rsidRPr="00BA3C69">
        <w:rPr>
          <w:rFonts w:ascii="Book Antiqua" w:hAnsi="Book Antiqua"/>
          <w:color w:val="auto"/>
        </w:rPr>
        <w:t xml:space="preserve"> 2015; </w:t>
      </w:r>
      <w:r w:rsidRPr="00BA3C69">
        <w:rPr>
          <w:rFonts w:ascii="Book Antiqua" w:hAnsi="Book Antiqua"/>
          <w:b/>
          <w:bCs/>
          <w:color w:val="auto"/>
        </w:rPr>
        <w:t>204</w:t>
      </w:r>
      <w:r w:rsidRPr="00BA3C69">
        <w:rPr>
          <w:rFonts w:ascii="Book Antiqua" w:hAnsi="Book Antiqua"/>
          <w:color w:val="auto"/>
        </w:rPr>
        <w:t>: W543-W549 [PMID: 25905960 DOI: 10.2214/AJR.14.13235]</w:t>
      </w:r>
    </w:p>
    <w:p w14:paraId="7DE32AF3"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19 </w:t>
      </w:r>
      <w:r w:rsidRPr="00BA3C69">
        <w:rPr>
          <w:rFonts w:ascii="Book Antiqua" w:hAnsi="Book Antiqua"/>
          <w:b/>
          <w:bCs/>
          <w:color w:val="auto"/>
        </w:rPr>
        <w:t>Hu G</w:t>
      </w:r>
      <w:r w:rsidRPr="00BA3C69">
        <w:rPr>
          <w:rFonts w:ascii="Book Antiqua" w:hAnsi="Book Antiqua"/>
          <w:color w:val="auto"/>
        </w:rPr>
        <w:t xml:space="preserve">, Liang W, Wu M, Chan Q, Li Y, Xu J, Luo L, Quan X. Staging of rat liver fibrosis using monoexponential, stretched exponential and diffusion kurtosis models with diffusion weighted imaging- magnetic resonance. </w:t>
      </w:r>
      <w:r w:rsidRPr="00BA3C69">
        <w:rPr>
          <w:rFonts w:ascii="Book Antiqua" w:hAnsi="Book Antiqua"/>
          <w:i/>
          <w:iCs/>
          <w:color w:val="auto"/>
        </w:rPr>
        <w:t>Oncotarget</w:t>
      </w:r>
      <w:r w:rsidRPr="00BA3C69">
        <w:rPr>
          <w:rFonts w:ascii="Book Antiqua" w:hAnsi="Book Antiqua"/>
          <w:color w:val="auto"/>
        </w:rPr>
        <w:t xml:space="preserve"> 2018; </w:t>
      </w:r>
      <w:r w:rsidRPr="00BA3C69">
        <w:rPr>
          <w:rFonts w:ascii="Book Antiqua" w:hAnsi="Book Antiqua"/>
          <w:b/>
          <w:bCs/>
          <w:color w:val="auto"/>
        </w:rPr>
        <w:t>9</w:t>
      </w:r>
      <w:r w:rsidRPr="00BA3C69">
        <w:rPr>
          <w:rFonts w:ascii="Book Antiqua" w:hAnsi="Book Antiqua"/>
          <w:color w:val="auto"/>
        </w:rPr>
        <w:t>: 2357-2366 [PMID: 29416777 DOI: 10.18632/oncotarget.23413]</w:t>
      </w:r>
    </w:p>
    <w:p w14:paraId="0EF39F12"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20 </w:t>
      </w:r>
      <w:r w:rsidRPr="00BA3C69">
        <w:rPr>
          <w:rFonts w:ascii="Book Antiqua" w:hAnsi="Book Antiqua"/>
          <w:b/>
          <w:bCs/>
          <w:color w:val="auto"/>
        </w:rPr>
        <w:t>Li J</w:t>
      </w:r>
      <w:r w:rsidRPr="00BA3C69">
        <w:rPr>
          <w:rFonts w:ascii="Book Antiqua" w:hAnsi="Book Antiqua"/>
          <w:color w:val="auto"/>
        </w:rPr>
        <w:t xml:space="preserve">, Wang D, Chen TW, Xie F, Li R, Zhang XM, Jing ZL, Yang JQ, Ou J, Cao JM. Magnetic Resonance Diffusion Kurtosis Imaging for Evaluating Stage of Liver Fibrosis in </w:t>
      </w:r>
      <w:r w:rsidRPr="00BA3C69">
        <w:rPr>
          <w:rFonts w:ascii="Book Antiqua" w:hAnsi="Book Antiqua"/>
          <w:color w:val="auto"/>
        </w:rPr>
        <w:lastRenderedPageBreak/>
        <w:t xml:space="preserve">a Rabbit Model. </w:t>
      </w:r>
      <w:r w:rsidRPr="00BA3C69">
        <w:rPr>
          <w:rFonts w:ascii="Book Antiqua" w:hAnsi="Book Antiqua"/>
          <w:i/>
          <w:iCs/>
          <w:color w:val="auto"/>
        </w:rPr>
        <w:t>Acad Radiol</w:t>
      </w:r>
      <w:r w:rsidRPr="00BA3C69">
        <w:rPr>
          <w:rFonts w:ascii="Book Antiqua" w:hAnsi="Book Antiqua"/>
          <w:color w:val="auto"/>
        </w:rPr>
        <w:t xml:space="preserve"> 2019; </w:t>
      </w:r>
      <w:r w:rsidRPr="00BA3C69">
        <w:rPr>
          <w:rFonts w:ascii="Book Antiqua" w:hAnsi="Book Antiqua"/>
          <w:b/>
          <w:bCs/>
          <w:color w:val="auto"/>
        </w:rPr>
        <w:t>26</w:t>
      </w:r>
      <w:r w:rsidRPr="00BA3C69">
        <w:rPr>
          <w:rFonts w:ascii="Book Antiqua" w:hAnsi="Book Antiqua"/>
          <w:color w:val="auto"/>
        </w:rPr>
        <w:t>: e90-e97 [PMID: 30072289 DOI: 10.1016/j.acra.2018.06.018]</w:t>
      </w:r>
    </w:p>
    <w:p w14:paraId="332A3382" w14:textId="77777777" w:rsidR="00C543C7" w:rsidRPr="00BA3C69" w:rsidRDefault="00C543C7">
      <w:pPr>
        <w:spacing w:line="360" w:lineRule="auto"/>
        <w:jc w:val="both"/>
        <w:rPr>
          <w:rFonts w:ascii="Book Antiqua" w:hAnsi="Book Antiqua"/>
          <w:color w:val="auto"/>
        </w:rPr>
        <w:sectPr w:rsidR="00C543C7" w:rsidRPr="00BA3C69">
          <w:headerReference w:type="default" r:id="rId8"/>
          <w:pgSz w:w="12240" w:h="15840"/>
          <w:pgMar w:top="1440" w:right="1440" w:bottom="1440" w:left="1440" w:header="720" w:footer="720" w:gutter="0"/>
          <w:cols w:space="720"/>
        </w:sectPr>
      </w:pPr>
    </w:p>
    <w:p w14:paraId="7506BE04"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lastRenderedPageBreak/>
        <w:t>Footnotes</w:t>
      </w:r>
    </w:p>
    <w:p w14:paraId="1EB49DB6"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Institutional review board statement: </w:t>
      </w:r>
      <w:r w:rsidRPr="00BA3C69">
        <w:rPr>
          <w:rFonts w:ascii="Book Antiqua" w:hAnsi="Book Antiqua"/>
          <w:color w:val="auto"/>
        </w:rPr>
        <w:t>The study was conducted in accordance with the Declaration of Helsinki, and approved by the Institutional Review Board of Huashan Hospital and First Affiliated Hospital of Shandong First Medical University.</w:t>
      </w:r>
    </w:p>
    <w:p w14:paraId="12130525" w14:textId="77777777" w:rsidR="00C543C7" w:rsidRPr="00BA3C69" w:rsidRDefault="00C543C7">
      <w:pPr>
        <w:spacing w:line="360" w:lineRule="auto"/>
        <w:jc w:val="both"/>
        <w:rPr>
          <w:rFonts w:ascii="Book Antiqua" w:hAnsi="Book Antiqua"/>
          <w:color w:val="auto"/>
        </w:rPr>
      </w:pPr>
    </w:p>
    <w:p w14:paraId="7EB90E7D"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Conflict-of-interest statement: </w:t>
      </w:r>
      <w:r w:rsidRPr="00BA3C69">
        <w:rPr>
          <w:rFonts w:ascii="Book Antiqua" w:hAnsi="Book Antiqua"/>
          <w:color w:val="auto"/>
        </w:rPr>
        <w:t>The authors declare no conflicts of interest for this article.</w:t>
      </w:r>
    </w:p>
    <w:p w14:paraId="1C6DDE81" w14:textId="77777777" w:rsidR="00C543C7" w:rsidRPr="00BA3C69" w:rsidRDefault="00C543C7">
      <w:pPr>
        <w:spacing w:line="360" w:lineRule="auto"/>
        <w:jc w:val="both"/>
        <w:rPr>
          <w:rFonts w:ascii="Book Antiqua" w:hAnsi="Book Antiqua"/>
          <w:color w:val="auto"/>
        </w:rPr>
      </w:pPr>
    </w:p>
    <w:p w14:paraId="3DFDAF8A"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Data sharing statement: </w:t>
      </w:r>
      <w:r w:rsidRPr="00BA3C69">
        <w:rPr>
          <w:rFonts w:ascii="Book Antiqua" w:hAnsi="Book Antiqua"/>
          <w:color w:val="auto"/>
        </w:rPr>
        <w:t>The data presented in this study are available on request from the corresponding author. The data are not publicly available due to protecting patient privacy.</w:t>
      </w:r>
    </w:p>
    <w:p w14:paraId="48440F35" w14:textId="77777777" w:rsidR="00C543C7" w:rsidRPr="00BA3C69" w:rsidRDefault="00C543C7">
      <w:pPr>
        <w:spacing w:line="360" w:lineRule="auto"/>
        <w:jc w:val="both"/>
        <w:rPr>
          <w:rFonts w:ascii="Book Antiqua" w:hAnsi="Book Antiqua"/>
          <w:color w:val="auto"/>
        </w:rPr>
      </w:pPr>
    </w:p>
    <w:p w14:paraId="7608486E"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Open-Access: </w:t>
      </w:r>
      <w:r w:rsidRPr="00BA3C69">
        <w:rPr>
          <w:rFonts w:ascii="Book Antiqua" w:hAnsi="Book Antiqua"/>
          <w:color w:val="auto"/>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CF9E8B" w14:textId="77777777" w:rsidR="00C543C7" w:rsidRPr="00BA3C69" w:rsidRDefault="00C543C7">
      <w:pPr>
        <w:spacing w:line="360" w:lineRule="auto"/>
        <w:jc w:val="both"/>
        <w:rPr>
          <w:rFonts w:ascii="Book Antiqua" w:hAnsi="Book Antiqua"/>
          <w:color w:val="auto"/>
        </w:rPr>
      </w:pPr>
    </w:p>
    <w:p w14:paraId="56021AA1"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Provenance and peer review: </w:t>
      </w:r>
      <w:r w:rsidRPr="00BA3C69">
        <w:rPr>
          <w:rFonts w:ascii="Book Antiqua" w:hAnsi="Book Antiqua"/>
          <w:color w:val="auto"/>
        </w:rPr>
        <w:t>Invited article; Externally peer reviewed.</w:t>
      </w:r>
    </w:p>
    <w:p w14:paraId="29C46E0D"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Peer-review model: </w:t>
      </w:r>
      <w:r w:rsidRPr="00BA3C69">
        <w:rPr>
          <w:rFonts w:ascii="Book Antiqua" w:hAnsi="Book Antiqua"/>
          <w:color w:val="auto"/>
        </w:rPr>
        <w:t>Single blind</w:t>
      </w:r>
    </w:p>
    <w:p w14:paraId="6FBEC136" w14:textId="77777777" w:rsidR="00C543C7" w:rsidRPr="00BA3C69" w:rsidRDefault="00C543C7">
      <w:pPr>
        <w:spacing w:line="360" w:lineRule="auto"/>
        <w:jc w:val="both"/>
        <w:rPr>
          <w:rFonts w:ascii="Book Antiqua" w:hAnsi="Book Antiqua"/>
          <w:color w:val="auto"/>
        </w:rPr>
      </w:pPr>
    </w:p>
    <w:p w14:paraId="04072251"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Peer-review started: </w:t>
      </w:r>
      <w:r w:rsidRPr="00BA3C69">
        <w:rPr>
          <w:rFonts w:ascii="Book Antiqua" w:hAnsi="Book Antiqua"/>
          <w:color w:val="auto"/>
        </w:rPr>
        <w:t>April 18, 2022</w:t>
      </w:r>
    </w:p>
    <w:p w14:paraId="20BC2DE8"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First decision: </w:t>
      </w:r>
      <w:r w:rsidRPr="00BA3C69">
        <w:rPr>
          <w:rFonts w:ascii="Book Antiqua" w:hAnsi="Book Antiqua"/>
          <w:color w:val="auto"/>
        </w:rPr>
        <w:t>July 14, 2022</w:t>
      </w:r>
    </w:p>
    <w:p w14:paraId="6E39E4C3"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Article in press: </w:t>
      </w:r>
      <w:r w:rsidRPr="00BA3C69">
        <w:rPr>
          <w:rFonts w:ascii="Book Antiqua" w:hAnsi="Book Antiqua"/>
          <w:color w:val="auto"/>
        </w:rPr>
        <w:t>September 21, 2022</w:t>
      </w:r>
    </w:p>
    <w:p w14:paraId="3E09F19E" w14:textId="77777777" w:rsidR="00C543C7" w:rsidRPr="00BA3C69" w:rsidRDefault="00C543C7">
      <w:pPr>
        <w:spacing w:line="360" w:lineRule="auto"/>
        <w:jc w:val="both"/>
        <w:rPr>
          <w:rFonts w:ascii="Book Antiqua" w:hAnsi="Book Antiqua"/>
          <w:color w:val="auto"/>
        </w:rPr>
      </w:pPr>
    </w:p>
    <w:p w14:paraId="1E872014"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Specialty type: </w:t>
      </w:r>
      <w:r w:rsidRPr="00BA3C69">
        <w:rPr>
          <w:rFonts w:ascii="Book Antiqua" w:hAnsi="Book Antiqua"/>
          <w:color w:val="auto"/>
        </w:rPr>
        <w:t>Radiology, nuclear medicine and medical imaging</w:t>
      </w:r>
    </w:p>
    <w:p w14:paraId="40E66566"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Country/Territory of origin: </w:t>
      </w:r>
      <w:r w:rsidRPr="00BA3C69">
        <w:rPr>
          <w:rFonts w:ascii="Book Antiqua" w:hAnsi="Book Antiqua"/>
          <w:color w:val="auto"/>
        </w:rPr>
        <w:t>China</w:t>
      </w:r>
    </w:p>
    <w:p w14:paraId="61CCD47E"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Peer-review report’s scientific quality classification</w:t>
      </w:r>
    </w:p>
    <w:p w14:paraId="0A00C8D5"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Grade A (Excellent): A</w:t>
      </w:r>
    </w:p>
    <w:p w14:paraId="5B254BCC"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lastRenderedPageBreak/>
        <w:t>Grade B (Very good): B, B</w:t>
      </w:r>
    </w:p>
    <w:p w14:paraId="40D9C8B2"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Grade C (Good): 0</w:t>
      </w:r>
    </w:p>
    <w:p w14:paraId="7DF52A9A"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Grade D (Fair): 0</w:t>
      </w:r>
    </w:p>
    <w:p w14:paraId="41706343"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Grade E (Poor): 0</w:t>
      </w:r>
    </w:p>
    <w:p w14:paraId="0F9CCAFF" w14:textId="77777777" w:rsidR="00C543C7" w:rsidRPr="00BA3C69" w:rsidRDefault="00C543C7">
      <w:pPr>
        <w:spacing w:line="360" w:lineRule="auto"/>
        <w:jc w:val="both"/>
        <w:rPr>
          <w:rFonts w:ascii="Book Antiqua" w:hAnsi="Book Antiqua"/>
          <w:color w:val="auto"/>
        </w:rPr>
      </w:pPr>
    </w:p>
    <w:p w14:paraId="0D246152" w14:textId="77777777" w:rsidR="00C543C7" w:rsidRPr="00BA3C69" w:rsidRDefault="00000000">
      <w:pPr>
        <w:spacing w:line="360" w:lineRule="auto"/>
        <w:jc w:val="both"/>
        <w:rPr>
          <w:rFonts w:ascii="Book Antiqua" w:hAnsi="Book Antiqua"/>
          <w:color w:val="auto"/>
        </w:rPr>
        <w:sectPr w:rsidR="00C543C7" w:rsidRPr="00BA3C69">
          <w:headerReference w:type="default" r:id="rId9"/>
          <w:pgSz w:w="12240" w:h="15840"/>
          <w:pgMar w:top="1440" w:right="1440" w:bottom="1440" w:left="1440" w:header="720" w:footer="720" w:gutter="0"/>
          <w:cols w:space="720"/>
        </w:sectPr>
      </w:pPr>
      <w:r w:rsidRPr="00BA3C69">
        <w:rPr>
          <w:rFonts w:ascii="Book Antiqua" w:hAnsi="Book Antiqua"/>
          <w:b/>
          <w:bCs/>
          <w:color w:val="auto"/>
        </w:rPr>
        <w:t xml:space="preserve">P-Reviewer: </w:t>
      </w:r>
      <w:r w:rsidRPr="00BA3C69">
        <w:rPr>
          <w:rFonts w:ascii="Book Antiqua" w:hAnsi="Book Antiqua"/>
          <w:color w:val="auto"/>
        </w:rPr>
        <w:t>Elpek GO, Turkey; Pham TTT, Viet Nam; Shekouhi R, Iran</w:t>
      </w:r>
      <w:r w:rsidRPr="00BA3C69">
        <w:rPr>
          <w:rFonts w:ascii="Book Antiqua" w:hAnsi="Book Antiqua"/>
          <w:b/>
          <w:bCs/>
          <w:color w:val="auto"/>
        </w:rPr>
        <w:t xml:space="preserve"> S-Editor: </w:t>
      </w:r>
      <w:r w:rsidRPr="00BA3C69">
        <w:rPr>
          <w:rFonts w:ascii="Book Antiqua" w:hAnsi="Book Antiqua"/>
          <w:bCs/>
          <w:color w:val="auto"/>
        </w:rPr>
        <w:t>Chen YL</w:t>
      </w:r>
      <w:r w:rsidRPr="00BA3C69">
        <w:rPr>
          <w:rFonts w:ascii="Book Antiqua" w:hAnsi="Book Antiqua"/>
          <w:b/>
          <w:bCs/>
          <w:color w:val="auto"/>
        </w:rPr>
        <w:t xml:space="preserve"> L-Editor: </w:t>
      </w:r>
      <w:r w:rsidRPr="00BA3C69">
        <w:rPr>
          <w:rFonts w:ascii="Book Antiqua" w:hAnsi="Book Antiqua"/>
          <w:bCs/>
          <w:color w:val="auto"/>
        </w:rPr>
        <w:t>Wang TQ</w:t>
      </w:r>
      <w:r w:rsidRPr="00BA3C69">
        <w:rPr>
          <w:rFonts w:ascii="Book Antiqua" w:hAnsi="Book Antiqua"/>
          <w:b/>
          <w:bCs/>
          <w:color w:val="auto"/>
        </w:rPr>
        <w:t xml:space="preserve"> P-Editor:</w:t>
      </w:r>
      <w:bookmarkStart w:id="1" w:name="_Hlk114644201"/>
      <w:r w:rsidRPr="00BA3C69">
        <w:rPr>
          <w:rFonts w:hint="eastAsia"/>
        </w:rPr>
        <w:t xml:space="preserve"> Zhao</w:t>
      </w:r>
      <w:r w:rsidRPr="00BA3C69">
        <w:t xml:space="preserve"> S</w:t>
      </w:r>
      <w:bookmarkEnd w:id="1"/>
      <w:r w:rsidRPr="00BA3C69">
        <w:rPr>
          <w:rFonts w:ascii="Book Antiqua" w:hAnsi="Book Antiqua"/>
          <w:b/>
          <w:bCs/>
          <w:color w:val="auto"/>
        </w:rPr>
        <w:t xml:space="preserve"> </w:t>
      </w:r>
    </w:p>
    <w:p w14:paraId="47B6419C" w14:textId="77777777" w:rsidR="00C543C7" w:rsidRPr="00BA3C69" w:rsidRDefault="00000000">
      <w:pPr>
        <w:spacing w:line="360" w:lineRule="auto"/>
        <w:jc w:val="both"/>
        <w:rPr>
          <w:rFonts w:ascii="Book Antiqua" w:hAnsi="Book Antiqua"/>
          <w:b/>
          <w:bCs/>
          <w:color w:val="auto"/>
        </w:rPr>
      </w:pPr>
      <w:r w:rsidRPr="00BA3C69">
        <w:rPr>
          <w:rFonts w:ascii="Book Antiqua" w:hAnsi="Book Antiqua"/>
          <w:b/>
          <w:bCs/>
          <w:color w:val="auto"/>
        </w:rPr>
        <w:lastRenderedPageBreak/>
        <w:t>Figure Legends</w:t>
      </w:r>
    </w:p>
    <w:p w14:paraId="35FFC7B4" w14:textId="7E52EF0F" w:rsidR="00C543C7" w:rsidRPr="00BA3C69" w:rsidRDefault="002A2458">
      <w:pPr>
        <w:spacing w:line="360" w:lineRule="auto"/>
        <w:jc w:val="both"/>
        <w:rPr>
          <w:rFonts w:ascii="Book Antiqua" w:hAnsi="Book Antiqua"/>
          <w:color w:val="auto"/>
        </w:rPr>
      </w:pPr>
      <w:r w:rsidRPr="00BA3C69">
        <w:rPr>
          <w:noProof/>
        </w:rPr>
        <w:drawing>
          <wp:inline distT="0" distB="0" distL="0" distR="0" wp14:anchorId="10FD74B8" wp14:editId="2B71662E">
            <wp:extent cx="5943600" cy="34213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21380"/>
                    </a:xfrm>
                    <a:prstGeom prst="rect">
                      <a:avLst/>
                    </a:prstGeom>
                    <a:noFill/>
                    <a:ln>
                      <a:noFill/>
                    </a:ln>
                  </pic:spPr>
                </pic:pic>
              </a:graphicData>
            </a:graphic>
          </wp:inline>
        </w:drawing>
      </w:r>
    </w:p>
    <w:p w14:paraId="309D098D" w14:textId="77777777" w:rsidR="00C543C7" w:rsidRPr="00BA3C69" w:rsidRDefault="00000000">
      <w:pPr>
        <w:spacing w:line="360" w:lineRule="auto"/>
        <w:jc w:val="both"/>
        <w:rPr>
          <w:rFonts w:ascii="Book Antiqua" w:hAnsi="Book Antiqua"/>
          <w:color w:val="auto"/>
        </w:rPr>
      </w:pPr>
      <w:r w:rsidRPr="00BA3C69">
        <w:rPr>
          <w:rFonts w:ascii="Book Antiqua" w:hAnsi="Book Antiqua"/>
          <w:b/>
          <w:color w:val="auto"/>
        </w:rPr>
        <w:t>Figure 1 Flowchart of patient enrollment.</w:t>
      </w:r>
      <w:r w:rsidRPr="00BA3C69">
        <w:rPr>
          <w:rFonts w:ascii="Book Antiqua" w:hAnsi="Book Antiqua"/>
          <w:color w:val="auto"/>
        </w:rPr>
        <w:t xml:space="preserve"> </w:t>
      </w:r>
      <w:r w:rsidRPr="00BA3C69">
        <w:rPr>
          <w:rFonts w:ascii="Book Antiqua" w:hAnsi="Book Antiqua"/>
          <w:i/>
          <w:color w:val="auto"/>
        </w:rPr>
        <w:t>n</w:t>
      </w:r>
      <w:r w:rsidRPr="00BA3C69">
        <w:rPr>
          <w:rFonts w:ascii="Book Antiqua" w:hAnsi="Book Antiqua"/>
          <w:color w:val="auto"/>
        </w:rPr>
        <w:t>: Number of cases; TACE: Transcatheter arterial chemoembolization; mRECIST: Modified response evaluation criteria in solid tumors; DSA: Digital subtraction angiography.</w:t>
      </w:r>
    </w:p>
    <w:p w14:paraId="138432CD" w14:textId="77777777" w:rsidR="00C543C7" w:rsidRPr="00BA3C69" w:rsidRDefault="00C543C7">
      <w:pPr>
        <w:spacing w:line="360" w:lineRule="auto"/>
        <w:jc w:val="both"/>
        <w:rPr>
          <w:rFonts w:ascii="Book Antiqua" w:hAnsi="Book Antiqua"/>
          <w:color w:val="auto"/>
        </w:rPr>
      </w:pPr>
    </w:p>
    <w:p w14:paraId="519DAE60" w14:textId="195269D9" w:rsidR="00C543C7" w:rsidRPr="00BA3C69" w:rsidRDefault="002A2458">
      <w:pPr>
        <w:spacing w:line="360" w:lineRule="auto"/>
        <w:jc w:val="both"/>
        <w:rPr>
          <w:rFonts w:ascii="Book Antiqua" w:hAnsi="Book Antiqua"/>
          <w:color w:val="auto"/>
        </w:rPr>
      </w:pPr>
      <w:r w:rsidRPr="00BA3C69">
        <w:rPr>
          <w:noProof/>
        </w:rPr>
        <w:drawing>
          <wp:inline distT="0" distB="0" distL="0" distR="0" wp14:anchorId="5FBF91EB" wp14:editId="261C85D3">
            <wp:extent cx="5943600" cy="25095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9520"/>
                    </a:xfrm>
                    <a:prstGeom prst="rect">
                      <a:avLst/>
                    </a:prstGeom>
                    <a:noFill/>
                    <a:ln>
                      <a:noFill/>
                    </a:ln>
                  </pic:spPr>
                </pic:pic>
              </a:graphicData>
            </a:graphic>
          </wp:inline>
        </w:drawing>
      </w:r>
    </w:p>
    <w:p w14:paraId="293772CA" w14:textId="77777777" w:rsidR="00C543C7" w:rsidRPr="00BA3C69" w:rsidRDefault="00000000">
      <w:pPr>
        <w:spacing w:line="360" w:lineRule="auto"/>
        <w:jc w:val="both"/>
        <w:rPr>
          <w:rFonts w:ascii="Book Antiqua" w:hAnsi="Book Antiqua"/>
          <w:bCs/>
          <w:color w:val="auto"/>
        </w:rPr>
      </w:pPr>
      <w:r w:rsidRPr="00BA3C69">
        <w:rPr>
          <w:rFonts w:ascii="Book Antiqua" w:hAnsi="Book Antiqua"/>
          <w:b/>
          <w:bCs/>
          <w:color w:val="auto"/>
        </w:rPr>
        <w:t xml:space="preserve">Figure 2 Representative maps of transcatheter arterial chemoembolization-treated and recurrent hepatocellular carcinoma foci. </w:t>
      </w:r>
      <w:r w:rsidRPr="00BA3C69">
        <w:rPr>
          <w:rFonts w:ascii="Book Antiqua" w:hAnsi="Book Antiqua"/>
          <w:bCs/>
          <w:color w:val="auto"/>
        </w:rPr>
        <w:t xml:space="preserve">The patient was a 46-year-old man with </w:t>
      </w:r>
      <w:r w:rsidRPr="00BA3C69">
        <w:rPr>
          <w:rFonts w:ascii="Book Antiqua" w:hAnsi="Book Antiqua"/>
          <w:bCs/>
          <w:color w:val="auto"/>
        </w:rPr>
        <w:lastRenderedPageBreak/>
        <w:t xml:space="preserve">transcatheter arterial chemoembolization-treated and recurrent </w:t>
      </w:r>
      <w:r w:rsidRPr="00BA3C69">
        <w:rPr>
          <w:rFonts w:ascii="Book Antiqua" w:hAnsi="Book Antiqua" w:hint="eastAsia"/>
          <w:bCs/>
          <w:color w:val="auto"/>
        </w:rPr>
        <w:t>h</w:t>
      </w:r>
      <w:r w:rsidRPr="00BA3C69">
        <w:rPr>
          <w:rFonts w:ascii="Book Antiqua" w:hAnsi="Book Antiqua"/>
          <w:bCs/>
          <w:color w:val="auto"/>
        </w:rPr>
        <w:t>epatocellular carcinoma foci.</w:t>
      </w:r>
      <w:r w:rsidRPr="00BA3C69">
        <w:rPr>
          <w:rFonts w:ascii="Book Antiqua" w:hAnsi="Book Antiqua"/>
          <w:b/>
          <w:bCs/>
          <w:color w:val="auto"/>
        </w:rPr>
        <w:t xml:space="preserve"> </w:t>
      </w:r>
      <w:r w:rsidRPr="00BA3C69">
        <w:rPr>
          <w:rFonts w:ascii="Book Antiqua" w:hAnsi="Book Antiqua"/>
          <w:bCs/>
          <w:color w:val="auto"/>
        </w:rPr>
        <w:t xml:space="preserve">A: Diffusion map with </w:t>
      </w:r>
      <w:r w:rsidRPr="00BA3C69">
        <w:rPr>
          <w:rFonts w:ascii="Book Antiqua" w:hAnsi="Book Antiqua"/>
          <w:bCs/>
          <w:i/>
          <w:color w:val="auto"/>
        </w:rPr>
        <w:t>b</w:t>
      </w:r>
      <w:r w:rsidRPr="00BA3C69">
        <w:rPr>
          <w:rFonts w:ascii="Book Antiqua" w:hAnsi="Book Antiqua"/>
          <w:bCs/>
          <w:color w:val="auto"/>
        </w:rPr>
        <w:t xml:space="preserve"> = 0 s/mm</w:t>
      </w:r>
      <w:r w:rsidRPr="00BA3C69">
        <w:rPr>
          <w:rFonts w:ascii="Book Antiqua" w:hAnsi="Book Antiqua"/>
          <w:bCs/>
          <w:color w:val="auto"/>
          <w:vertAlign w:val="superscript"/>
        </w:rPr>
        <w:t>2</w:t>
      </w:r>
      <w:r w:rsidRPr="00BA3C69">
        <w:rPr>
          <w:rFonts w:ascii="Book Antiqua" w:hAnsi="Book Antiqua"/>
          <w:bCs/>
          <w:color w:val="auto"/>
        </w:rPr>
        <w:t xml:space="preserve">; B: </w:t>
      </w:r>
      <w:r w:rsidRPr="00BA3C69">
        <w:rPr>
          <w:rFonts w:ascii="Book Antiqua" w:hAnsi="Book Antiqua" w:hint="eastAsia"/>
          <w:bCs/>
          <w:color w:val="auto"/>
        </w:rPr>
        <w:t>M</w:t>
      </w:r>
      <w:r w:rsidRPr="00BA3C69">
        <w:rPr>
          <w:rFonts w:ascii="Book Antiqua" w:hAnsi="Book Antiqua"/>
          <w:bCs/>
          <w:color w:val="auto"/>
        </w:rPr>
        <w:t xml:space="preserve">aps of mean kurtosis (MK); C: </w:t>
      </w:r>
      <w:r w:rsidRPr="00BA3C69">
        <w:rPr>
          <w:rFonts w:ascii="Book Antiqua" w:hAnsi="Book Antiqua" w:hint="eastAsia"/>
          <w:bCs/>
          <w:color w:val="auto"/>
        </w:rPr>
        <w:t>M</w:t>
      </w:r>
      <w:r w:rsidRPr="00BA3C69">
        <w:rPr>
          <w:rFonts w:ascii="Book Antiqua" w:hAnsi="Book Antiqua"/>
          <w:bCs/>
          <w:color w:val="auto"/>
        </w:rPr>
        <w:t xml:space="preserve">aps of mean diffusivity (MD); D: </w:t>
      </w:r>
      <w:r w:rsidRPr="00BA3C69">
        <w:rPr>
          <w:rFonts w:ascii="Book Antiqua" w:hAnsi="Book Antiqua" w:hint="eastAsia"/>
          <w:bCs/>
          <w:color w:val="auto"/>
        </w:rPr>
        <w:t>M</w:t>
      </w:r>
      <w:r w:rsidRPr="00BA3C69">
        <w:rPr>
          <w:rFonts w:ascii="Book Antiqua" w:hAnsi="Book Antiqua"/>
          <w:bCs/>
          <w:color w:val="auto"/>
        </w:rPr>
        <w:t xml:space="preserve">aps of radial kurtosis (KR); E: </w:t>
      </w:r>
      <w:r w:rsidRPr="00BA3C69">
        <w:rPr>
          <w:rFonts w:ascii="Book Antiqua" w:hAnsi="Book Antiqua" w:hint="eastAsia"/>
          <w:bCs/>
          <w:color w:val="auto"/>
        </w:rPr>
        <w:t>M</w:t>
      </w:r>
      <w:r w:rsidRPr="00BA3C69">
        <w:rPr>
          <w:rFonts w:ascii="Book Antiqua" w:hAnsi="Book Antiqua"/>
          <w:bCs/>
          <w:color w:val="auto"/>
        </w:rPr>
        <w:t xml:space="preserve">aps of axial kurtosis (KA); F: </w:t>
      </w:r>
      <w:r w:rsidRPr="00BA3C69">
        <w:rPr>
          <w:rFonts w:ascii="Book Antiqua" w:hAnsi="Book Antiqua" w:hint="eastAsia"/>
          <w:bCs/>
          <w:color w:val="auto"/>
        </w:rPr>
        <w:t>M</w:t>
      </w:r>
      <w:r w:rsidRPr="00BA3C69">
        <w:rPr>
          <w:rFonts w:ascii="Book Antiqua" w:hAnsi="Book Antiqua"/>
          <w:bCs/>
          <w:color w:val="auto"/>
        </w:rPr>
        <w:t xml:space="preserve">aps of axial diffusivity (DA); G: </w:t>
      </w:r>
      <w:r w:rsidRPr="00BA3C69">
        <w:rPr>
          <w:rFonts w:ascii="Book Antiqua" w:hAnsi="Book Antiqua" w:hint="eastAsia"/>
          <w:bCs/>
          <w:color w:val="auto"/>
        </w:rPr>
        <w:t>M</w:t>
      </w:r>
      <w:r w:rsidRPr="00BA3C69">
        <w:rPr>
          <w:rFonts w:ascii="Book Antiqua" w:hAnsi="Book Antiqua"/>
          <w:bCs/>
          <w:color w:val="auto"/>
        </w:rPr>
        <w:t xml:space="preserve">aps of radial diffusivity (DR); H: </w:t>
      </w:r>
      <w:r w:rsidRPr="00BA3C69">
        <w:rPr>
          <w:rFonts w:ascii="Book Antiqua" w:hAnsi="Book Antiqua" w:hint="eastAsia"/>
          <w:bCs/>
          <w:color w:val="auto"/>
        </w:rPr>
        <w:t>M</w:t>
      </w:r>
      <w:r w:rsidRPr="00BA3C69">
        <w:rPr>
          <w:rFonts w:ascii="Book Antiqua" w:hAnsi="Book Antiqua"/>
          <w:bCs/>
          <w:color w:val="auto"/>
        </w:rPr>
        <w:t>aps of anisotropy coefficient of kurtosis (FAk). In the first map (A), the region of interest (ROI)</w:t>
      </w:r>
      <w:r w:rsidRPr="00BA3C69">
        <w:rPr>
          <w:rFonts w:ascii="Book Antiqua" w:eastAsia="宋体" w:hAnsi="Book Antiqua" w:cs="宋体"/>
          <w:bCs/>
          <w:color w:val="auto"/>
        </w:rPr>
        <w:t xml:space="preserve"> (1)</w:t>
      </w:r>
      <w:r w:rsidRPr="00BA3C69">
        <w:rPr>
          <w:rFonts w:ascii="Book Antiqua" w:hAnsi="Book Antiqua"/>
          <w:bCs/>
          <w:color w:val="auto"/>
        </w:rPr>
        <w:t xml:space="preserve"> corresponds to the arrow pointing to a new lesion. The peritumoral zone (distance &lt; 2 cm) refers to ROI</w:t>
      </w:r>
      <w:r w:rsidRPr="00BA3C69">
        <w:rPr>
          <w:rFonts w:ascii="Book Antiqua" w:hAnsi="Book Antiqua" w:hint="eastAsia"/>
          <w:bCs/>
          <w:color w:val="auto"/>
        </w:rPr>
        <w:t xml:space="preserve"> </w:t>
      </w:r>
      <w:r w:rsidRPr="00BA3C69">
        <w:rPr>
          <w:rFonts w:ascii="Book Antiqua" w:eastAsia="宋体" w:hAnsi="Book Antiqua" w:cs="宋体"/>
          <w:bCs/>
          <w:color w:val="auto"/>
        </w:rPr>
        <w:t>(</w:t>
      </w:r>
      <w:r w:rsidRPr="00BA3C69">
        <w:rPr>
          <w:rFonts w:ascii="Book Antiqua" w:eastAsia="宋体" w:hAnsi="Book Antiqua" w:cs="宋体" w:hint="eastAsia"/>
          <w:bCs/>
          <w:color w:val="auto"/>
        </w:rPr>
        <w:t>2</w:t>
      </w:r>
      <w:r w:rsidRPr="00BA3C69">
        <w:rPr>
          <w:rFonts w:ascii="Book Antiqua" w:eastAsia="宋体" w:hAnsi="Book Antiqua" w:cs="宋体"/>
          <w:bCs/>
          <w:color w:val="auto"/>
        </w:rPr>
        <w:t>)</w:t>
      </w:r>
      <w:r w:rsidRPr="00BA3C69">
        <w:rPr>
          <w:rFonts w:ascii="Book Antiqua" w:hAnsi="Book Antiqua"/>
          <w:bCs/>
          <w:color w:val="auto"/>
        </w:rPr>
        <w:t xml:space="preserve"> (red circle), and far-tumoral zone (diameter &gt; 5 cm) refers to ROI</w:t>
      </w:r>
      <w:r w:rsidRPr="00BA3C69">
        <w:rPr>
          <w:rFonts w:ascii="Book Antiqua" w:hAnsi="Book Antiqua" w:hint="eastAsia"/>
          <w:bCs/>
          <w:color w:val="auto"/>
        </w:rPr>
        <w:t xml:space="preserve"> </w:t>
      </w:r>
      <w:r w:rsidRPr="00BA3C69">
        <w:rPr>
          <w:rFonts w:ascii="Book Antiqua" w:eastAsia="宋体" w:hAnsi="Book Antiqua" w:cs="宋体"/>
          <w:bCs/>
          <w:color w:val="auto"/>
        </w:rPr>
        <w:t>(</w:t>
      </w:r>
      <w:r w:rsidRPr="00BA3C69">
        <w:rPr>
          <w:rFonts w:ascii="Book Antiqua" w:eastAsia="宋体" w:hAnsi="Book Antiqua" w:cs="宋体" w:hint="eastAsia"/>
          <w:bCs/>
          <w:color w:val="auto"/>
        </w:rPr>
        <w:t>3</w:t>
      </w:r>
      <w:r w:rsidRPr="00BA3C69">
        <w:rPr>
          <w:rFonts w:ascii="Book Antiqua" w:eastAsia="宋体" w:hAnsi="Book Antiqua" w:cs="宋体"/>
          <w:bCs/>
          <w:color w:val="auto"/>
        </w:rPr>
        <w:t>)</w:t>
      </w:r>
      <w:r w:rsidRPr="00BA3C69">
        <w:rPr>
          <w:rFonts w:ascii="Book Antiqua" w:hAnsi="Book Antiqua"/>
          <w:bCs/>
          <w:color w:val="auto"/>
        </w:rPr>
        <w:t xml:space="preserve"> (green square).</w:t>
      </w:r>
    </w:p>
    <w:p w14:paraId="4F3B8806" w14:textId="77777777" w:rsidR="00C543C7" w:rsidRPr="00BA3C69" w:rsidRDefault="00C543C7">
      <w:pPr>
        <w:spacing w:line="360" w:lineRule="auto"/>
        <w:jc w:val="both"/>
        <w:rPr>
          <w:rFonts w:ascii="Book Antiqua" w:hAnsi="Book Antiqua"/>
          <w:color w:val="auto"/>
        </w:rPr>
      </w:pPr>
    </w:p>
    <w:p w14:paraId="39DE2373" w14:textId="7E51A6CE" w:rsidR="00C543C7" w:rsidRPr="00BA3C69" w:rsidRDefault="00F628B0">
      <w:pPr>
        <w:spacing w:line="360" w:lineRule="auto"/>
        <w:jc w:val="both"/>
        <w:rPr>
          <w:rFonts w:ascii="Book Antiqua" w:hAnsi="Book Antiqua"/>
          <w:color w:val="auto"/>
        </w:rPr>
      </w:pPr>
      <w:r>
        <w:rPr>
          <w:noProof/>
        </w:rPr>
        <w:lastRenderedPageBreak/>
        <w:drawing>
          <wp:inline distT="0" distB="0" distL="0" distR="0" wp14:anchorId="79076CB2" wp14:editId="5E6C5DA7">
            <wp:extent cx="5259705" cy="60934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9705" cy="6093460"/>
                    </a:xfrm>
                    <a:prstGeom prst="rect">
                      <a:avLst/>
                    </a:prstGeom>
                    <a:noFill/>
                    <a:ln>
                      <a:noFill/>
                    </a:ln>
                  </pic:spPr>
                </pic:pic>
              </a:graphicData>
            </a:graphic>
          </wp:inline>
        </w:drawing>
      </w:r>
    </w:p>
    <w:p w14:paraId="1A02C161"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Figure 3 Receiver operating characteristic curves of diffusion kurtosis imaging metric in predicting recurrence.</w:t>
      </w:r>
      <w:r w:rsidRPr="00BA3C69">
        <w:rPr>
          <w:rFonts w:ascii="Book Antiqua" w:hAnsi="Book Antiqua"/>
          <w:color w:val="auto"/>
        </w:rPr>
        <w:t xml:space="preserve"> AUC value greater than 0.7 indicates a higher diagnostic value. A: Mean diffusivity; B: Mean kurtosis; C: Anisotropy coefficient of kurtosis; D: Axial kurtosis; E: Radial kurtosis; F: Axial diffusivity; G: Radial diffusivity. FAk: Anisotropy coefficient of kurtosis; ROC: </w:t>
      </w:r>
      <w:r w:rsidRPr="00BA3C69">
        <w:rPr>
          <w:rFonts w:ascii="Book Antiqua" w:hAnsi="Book Antiqua"/>
          <w:color w:val="auto"/>
          <w:shd w:val="clear" w:color="auto" w:fill="FFFFFF"/>
        </w:rPr>
        <w:t xml:space="preserve">Receiver operating characteristic curve; </w:t>
      </w:r>
      <w:r w:rsidRPr="00BA3C69">
        <w:rPr>
          <w:rFonts w:ascii="Book Antiqua" w:hAnsi="Book Antiqua"/>
          <w:color w:val="auto"/>
        </w:rPr>
        <w:t>MD: Mean diffusivity; MK: Mean kurtosis; KA: Axial kurtosis; KR: Radial kurtosis; DA: Axial diffusivity; DR: Radial diffusivity.</w:t>
      </w:r>
    </w:p>
    <w:p w14:paraId="76C16E77" w14:textId="77777777" w:rsidR="00C543C7" w:rsidRPr="00BA3C69" w:rsidRDefault="00C543C7">
      <w:pPr>
        <w:spacing w:line="360" w:lineRule="auto"/>
        <w:jc w:val="both"/>
        <w:rPr>
          <w:rFonts w:ascii="Book Antiqua" w:hAnsi="Book Antiqua"/>
          <w:color w:val="auto"/>
        </w:rPr>
      </w:pPr>
    </w:p>
    <w:p w14:paraId="75B7CF53" w14:textId="413AF889" w:rsidR="00C543C7" w:rsidRPr="00BA3C69" w:rsidRDefault="003B3AFB">
      <w:pPr>
        <w:spacing w:line="360" w:lineRule="auto"/>
        <w:jc w:val="both"/>
        <w:rPr>
          <w:rFonts w:ascii="Book Antiqua" w:hAnsi="Book Antiqua"/>
          <w:color w:val="auto"/>
        </w:rPr>
      </w:pPr>
      <w:r w:rsidRPr="00BA3C69">
        <w:rPr>
          <w:noProof/>
        </w:rPr>
        <w:drawing>
          <wp:inline distT="0" distB="0" distL="0" distR="0" wp14:anchorId="741AA7E3" wp14:editId="03C1EA02">
            <wp:extent cx="4673600" cy="4914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600" cy="4914900"/>
                    </a:xfrm>
                    <a:prstGeom prst="rect">
                      <a:avLst/>
                    </a:prstGeom>
                    <a:noFill/>
                    <a:ln>
                      <a:noFill/>
                    </a:ln>
                  </pic:spPr>
                </pic:pic>
              </a:graphicData>
            </a:graphic>
          </wp:inline>
        </w:drawing>
      </w:r>
    </w:p>
    <w:p w14:paraId="2799AC59"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 xml:space="preserve">Figure 4 Box plots showing diffusion kurtosis imaging derived metrics of peritumoral zones between true and pseudo-progressing groups. </w:t>
      </w:r>
      <w:r w:rsidRPr="00BA3C69">
        <w:rPr>
          <w:rFonts w:ascii="Book Antiqua" w:hAnsi="Book Antiqua"/>
          <w:bCs/>
          <w:color w:val="auto"/>
        </w:rPr>
        <w:t xml:space="preserve">A: </w:t>
      </w:r>
      <w:r w:rsidRPr="00BA3C69">
        <w:rPr>
          <w:rFonts w:ascii="Book Antiqua" w:hAnsi="Book Antiqua"/>
          <w:color w:val="auto"/>
        </w:rPr>
        <w:t xml:space="preserve">Mean kurtosis (MK); B: Axial kurtosis (KA); C: Radial kurtosis (KR); D: Mean diffusivity (MD); E: Axial diffusivity (DA); F: Radial diffusivity (DR); G: Anisotropy coefficient of kurtosis (FAk). </w:t>
      </w:r>
      <w:r w:rsidRPr="00BA3C69">
        <w:rPr>
          <w:rFonts w:ascii="Book Antiqua" w:hAnsi="Book Antiqua"/>
          <w:color w:val="auto"/>
          <w:vertAlign w:val="superscript"/>
        </w:rPr>
        <w:t>a</w:t>
      </w:r>
      <w:r w:rsidRPr="00BA3C69">
        <w:rPr>
          <w:rFonts w:ascii="Book Antiqua" w:hAnsi="Book Antiqua"/>
          <w:i/>
          <w:color w:val="auto"/>
        </w:rPr>
        <w:t>P</w:t>
      </w:r>
      <w:r w:rsidRPr="00BA3C69">
        <w:rPr>
          <w:rFonts w:ascii="Book Antiqua" w:hAnsi="Book Antiqua"/>
          <w:color w:val="auto"/>
        </w:rPr>
        <w:t xml:space="preserve"> &lt; 0.05; the unit of MD, DA, and DR is 10</w:t>
      </w:r>
      <w:r w:rsidRPr="00BA3C69">
        <w:rPr>
          <w:rFonts w:ascii="Book Antiqua" w:hAnsi="Book Antiqua"/>
          <w:color w:val="auto"/>
          <w:vertAlign w:val="superscript"/>
        </w:rPr>
        <w:t>-3</w:t>
      </w:r>
      <w:r w:rsidRPr="00BA3C69">
        <w:rPr>
          <w:rFonts w:ascii="Book Antiqua" w:hAnsi="Book Antiqua"/>
          <w:color w:val="auto"/>
        </w:rPr>
        <w:t xml:space="preserve"> mm</w:t>
      </w:r>
      <w:r w:rsidRPr="00BA3C69">
        <w:rPr>
          <w:rFonts w:ascii="Book Antiqua" w:hAnsi="Book Antiqua"/>
          <w:color w:val="auto"/>
          <w:vertAlign w:val="superscript"/>
        </w:rPr>
        <w:t>2</w:t>
      </w:r>
      <w:r w:rsidRPr="00BA3C69">
        <w:rPr>
          <w:rFonts w:ascii="Book Antiqua" w:hAnsi="Book Antiqua"/>
          <w:color w:val="auto"/>
        </w:rPr>
        <w:t>/s. N = pseudo-progressing group; Y = true progressing group. FAk: Anisotropy coefficient of kurtosis; MD: Mean diffusivity; MK: Mean kurtosis; KA: Axial kurtosis; KR: Radial kurtosis; DA: Axial diffusivity; DR: Radial diffusivity.</w:t>
      </w:r>
    </w:p>
    <w:p w14:paraId="4D759C49" w14:textId="77777777" w:rsidR="00C543C7" w:rsidRPr="00BA3C69" w:rsidRDefault="00C543C7">
      <w:pPr>
        <w:spacing w:line="360" w:lineRule="auto"/>
        <w:jc w:val="both"/>
        <w:rPr>
          <w:rFonts w:ascii="Book Antiqua" w:hAnsi="Book Antiqua"/>
          <w:color w:val="auto"/>
        </w:rPr>
        <w:sectPr w:rsidR="00C543C7" w:rsidRPr="00BA3C69">
          <w:headerReference w:type="default" r:id="rId14"/>
          <w:pgSz w:w="12240" w:h="15840"/>
          <w:pgMar w:top="1440" w:right="1440" w:bottom="1440" w:left="1440" w:header="720" w:footer="720" w:gutter="0"/>
          <w:cols w:space="720"/>
        </w:sectPr>
      </w:pPr>
    </w:p>
    <w:p w14:paraId="33F98113"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lastRenderedPageBreak/>
        <w:t>Table 1 Summary of clinical data of patients in true and pseudo-progressing groups</w:t>
      </w:r>
    </w:p>
    <w:tbl>
      <w:tblPr>
        <w:tblW w:w="0" w:type="auto"/>
        <w:tblLook w:val="04A0" w:firstRow="1" w:lastRow="0" w:firstColumn="1" w:lastColumn="0" w:noHBand="0" w:noVBand="1"/>
      </w:tblPr>
      <w:tblGrid>
        <w:gridCol w:w="2300"/>
        <w:gridCol w:w="1360"/>
        <w:gridCol w:w="1306"/>
        <w:gridCol w:w="1763"/>
        <w:gridCol w:w="1213"/>
      </w:tblGrid>
      <w:tr w:rsidR="00C543C7" w:rsidRPr="00BA3C69" w14:paraId="7DC36D0E" w14:textId="77777777">
        <w:trPr>
          <w:trHeight w:val="951"/>
        </w:trPr>
        <w:tc>
          <w:tcPr>
            <w:tcW w:w="2300" w:type="dxa"/>
            <w:tcBorders>
              <w:top w:val="single" w:sz="8" w:space="0" w:color="000000"/>
              <w:left w:val="nil"/>
              <w:bottom w:val="single" w:sz="8" w:space="0" w:color="000000"/>
              <w:right w:val="nil"/>
            </w:tcBorders>
            <w:shd w:val="clear" w:color="auto" w:fill="auto"/>
          </w:tcPr>
          <w:p w14:paraId="05D9869B" w14:textId="77777777" w:rsidR="00C543C7" w:rsidRPr="00BA3C69" w:rsidRDefault="00000000">
            <w:pPr>
              <w:jc w:val="both"/>
              <w:textAlignment w:val="top"/>
              <w:rPr>
                <w:rFonts w:ascii="Book Antiqua" w:eastAsia="Book Antiqua" w:hAnsi="Book Antiqua" w:cs="Book Antiqua"/>
                <w:b/>
                <w:bCs/>
              </w:rPr>
            </w:pPr>
            <w:r w:rsidRPr="00BA3C69">
              <w:rPr>
                <w:rFonts w:ascii="Book Antiqua" w:eastAsia="Book Antiqua" w:hAnsi="Book Antiqua" w:cs="Book Antiqua"/>
                <w:b/>
                <w:bCs/>
                <w:lang w:bidi="ar"/>
              </w:rPr>
              <w:t>Characteristic</w:t>
            </w:r>
          </w:p>
        </w:tc>
        <w:tc>
          <w:tcPr>
            <w:tcW w:w="1360" w:type="dxa"/>
            <w:tcBorders>
              <w:top w:val="single" w:sz="8" w:space="0" w:color="000000"/>
              <w:left w:val="nil"/>
              <w:bottom w:val="single" w:sz="8" w:space="0" w:color="000000"/>
              <w:right w:val="nil"/>
            </w:tcBorders>
            <w:shd w:val="clear" w:color="auto" w:fill="auto"/>
          </w:tcPr>
          <w:p w14:paraId="050D8D7A" w14:textId="77777777" w:rsidR="00C543C7" w:rsidRPr="00BA3C69" w:rsidRDefault="00000000">
            <w:pPr>
              <w:jc w:val="both"/>
              <w:textAlignment w:val="top"/>
              <w:rPr>
                <w:rFonts w:ascii="Book Antiqua" w:eastAsia="Book Antiqua" w:hAnsi="Book Antiqua" w:cs="Book Antiqua"/>
                <w:b/>
                <w:bCs/>
              </w:rPr>
            </w:pPr>
            <w:r w:rsidRPr="00BA3C69">
              <w:rPr>
                <w:rFonts w:ascii="Book Antiqua" w:eastAsia="Book Antiqua" w:hAnsi="Book Antiqua" w:cs="Book Antiqua"/>
                <w:b/>
                <w:bCs/>
                <w:lang w:bidi="ar"/>
              </w:rPr>
              <w:t>All cases (</w:t>
            </w:r>
            <w:r w:rsidRPr="00BA3C69">
              <w:rPr>
                <w:rStyle w:val="font01"/>
                <w:lang w:bidi="ar"/>
              </w:rPr>
              <w:t>n</w:t>
            </w:r>
            <w:r w:rsidRPr="00BA3C69">
              <w:rPr>
                <w:rStyle w:val="font31"/>
                <w:lang w:bidi="ar"/>
              </w:rPr>
              <w:t xml:space="preserve"> = 82)</w:t>
            </w:r>
          </w:p>
        </w:tc>
        <w:tc>
          <w:tcPr>
            <w:tcW w:w="1306" w:type="dxa"/>
            <w:tcBorders>
              <w:top w:val="single" w:sz="8" w:space="0" w:color="000000"/>
              <w:left w:val="nil"/>
              <w:bottom w:val="single" w:sz="8" w:space="0" w:color="000000"/>
              <w:right w:val="nil"/>
            </w:tcBorders>
            <w:shd w:val="clear" w:color="auto" w:fill="auto"/>
          </w:tcPr>
          <w:p w14:paraId="73F93864" w14:textId="77777777" w:rsidR="00C543C7" w:rsidRPr="00BA3C69" w:rsidRDefault="00000000">
            <w:pPr>
              <w:jc w:val="both"/>
              <w:textAlignment w:val="top"/>
              <w:rPr>
                <w:rFonts w:ascii="Book Antiqua" w:eastAsia="Book Antiqua" w:hAnsi="Book Antiqua" w:cs="Book Antiqua"/>
                <w:b/>
                <w:bCs/>
              </w:rPr>
            </w:pPr>
            <w:r w:rsidRPr="00BA3C69">
              <w:rPr>
                <w:rFonts w:ascii="Book Antiqua" w:eastAsia="Book Antiqua" w:hAnsi="Book Antiqua" w:cs="Book Antiqua"/>
                <w:b/>
                <w:bCs/>
                <w:lang w:bidi="ar"/>
              </w:rPr>
              <w:t>True group</w:t>
            </w:r>
            <w:r w:rsidRPr="00BA3C69">
              <w:rPr>
                <w:rStyle w:val="font21"/>
                <w:lang w:bidi="ar"/>
              </w:rPr>
              <w:t xml:space="preserve"> </w:t>
            </w:r>
            <w:r w:rsidRPr="00BA3C69">
              <w:rPr>
                <w:rStyle w:val="font31"/>
                <w:lang w:bidi="ar"/>
              </w:rPr>
              <w:t>(</w:t>
            </w:r>
            <w:r w:rsidRPr="00BA3C69">
              <w:rPr>
                <w:rStyle w:val="font01"/>
                <w:lang w:bidi="ar"/>
              </w:rPr>
              <w:t>n</w:t>
            </w:r>
            <w:r w:rsidRPr="00BA3C69">
              <w:rPr>
                <w:rStyle w:val="font31"/>
                <w:lang w:bidi="ar"/>
              </w:rPr>
              <w:t xml:space="preserve"> = 48)</w:t>
            </w:r>
          </w:p>
        </w:tc>
        <w:tc>
          <w:tcPr>
            <w:tcW w:w="1763" w:type="dxa"/>
            <w:tcBorders>
              <w:top w:val="single" w:sz="8" w:space="0" w:color="000000"/>
              <w:left w:val="nil"/>
              <w:bottom w:val="single" w:sz="8" w:space="0" w:color="000000"/>
              <w:right w:val="nil"/>
            </w:tcBorders>
            <w:shd w:val="clear" w:color="auto" w:fill="auto"/>
          </w:tcPr>
          <w:p w14:paraId="3AF54193" w14:textId="77777777" w:rsidR="00C543C7" w:rsidRPr="00BA3C69" w:rsidRDefault="00000000">
            <w:pPr>
              <w:jc w:val="both"/>
              <w:textAlignment w:val="top"/>
              <w:rPr>
                <w:rFonts w:ascii="Book Antiqua" w:eastAsia="Book Antiqua" w:hAnsi="Book Antiqua" w:cs="Book Antiqua"/>
                <w:b/>
                <w:bCs/>
              </w:rPr>
            </w:pPr>
            <w:r w:rsidRPr="00BA3C69">
              <w:rPr>
                <w:rFonts w:ascii="Book Antiqua" w:eastAsia="Book Antiqua" w:hAnsi="Book Antiqua" w:cs="Book Antiqua"/>
                <w:b/>
                <w:bCs/>
                <w:lang w:bidi="ar"/>
              </w:rPr>
              <w:t>Pseudo-group</w:t>
            </w:r>
            <w:r w:rsidRPr="00BA3C69">
              <w:rPr>
                <w:rStyle w:val="font21"/>
                <w:lang w:bidi="ar"/>
              </w:rPr>
              <w:t xml:space="preserve"> </w:t>
            </w:r>
            <w:r w:rsidRPr="00BA3C69">
              <w:rPr>
                <w:rStyle w:val="font31"/>
                <w:lang w:bidi="ar"/>
              </w:rPr>
              <w:t>(</w:t>
            </w:r>
            <w:r w:rsidRPr="00BA3C69">
              <w:rPr>
                <w:rStyle w:val="font01"/>
                <w:lang w:bidi="ar"/>
              </w:rPr>
              <w:t>n</w:t>
            </w:r>
            <w:r w:rsidRPr="00BA3C69">
              <w:rPr>
                <w:rStyle w:val="font31"/>
                <w:lang w:bidi="ar"/>
              </w:rPr>
              <w:t xml:space="preserve"> = 34)</w:t>
            </w:r>
          </w:p>
        </w:tc>
        <w:tc>
          <w:tcPr>
            <w:tcW w:w="1213" w:type="dxa"/>
            <w:tcBorders>
              <w:top w:val="single" w:sz="8" w:space="0" w:color="000000"/>
              <w:left w:val="nil"/>
              <w:bottom w:val="single" w:sz="8" w:space="0" w:color="000000"/>
              <w:right w:val="nil"/>
            </w:tcBorders>
            <w:shd w:val="clear" w:color="auto" w:fill="auto"/>
          </w:tcPr>
          <w:p w14:paraId="6DE177F2" w14:textId="77777777" w:rsidR="00C543C7" w:rsidRPr="00BA3C69" w:rsidRDefault="00000000">
            <w:pPr>
              <w:jc w:val="both"/>
              <w:textAlignment w:val="top"/>
              <w:rPr>
                <w:rFonts w:ascii="Book Antiqua" w:eastAsia="Book Antiqua" w:hAnsi="Book Antiqua" w:cs="Book Antiqua"/>
                <w:b/>
                <w:bCs/>
                <w:i/>
                <w:iCs/>
              </w:rPr>
            </w:pPr>
            <w:r w:rsidRPr="00BA3C69">
              <w:rPr>
                <w:rFonts w:ascii="Book Antiqua" w:eastAsia="Book Antiqua" w:hAnsi="Book Antiqua" w:cs="Book Antiqua"/>
                <w:b/>
                <w:bCs/>
                <w:i/>
                <w:iCs/>
                <w:lang w:bidi="ar"/>
              </w:rPr>
              <w:t xml:space="preserve">P </w:t>
            </w:r>
            <w:r w:rsidRPr="00BA3C69">
              <w:rPr>
                <w:rStyle w:val="font31"/>
                <w:lang w:bidi="ar"/>
              </w:rPr>
              <w:t>value</w:t>
            </w:r>
          </w:p>
        </w:tc>
      </w:tr>
      <w:tr w:rsidR="00C543C7" w:rsidRPr="00BA3C69" w14:paraId="76B02A13" w14:textId="77777777">
        <w:trPr>
          <w:trHeight w:val="936"/>
        </w:trPr>
        <w:tc>
          <w:tcPr>
            <w:tcW w:w="2300" w:type="dxa"/>
            <w:tcBorders>
              <w:top w:val="nil"/>
              <w:left w:val="nil"/>
              <w:bottom w:val="nil"/>
              <w:right w:val="nil"/>
            </w:tcBorders>
            <w:shd w:val="clear" w:color="auto" w:fill="auto"/>
          </w:tcPr>
          <w:p w14:paraId="4D3BB2E3"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Age range (yr)</w:t>
            </w:r>
          </w:p>
        </w:tc>
        <w:tc>
          <w:tcPr>
            <w:tcW w:w="1360" w:type="dxa"/>
            <w:tcBorders>
              <w:top w:val="nil"/>
              <w:left w:val="nil"/>
              <w:bottom w:val="nil"/>
              <w:right w:val="nil"/>
            </w:tcBorders>
            <w:shd w:val="clear" w:color="auto" w:fill="auto"/>
          </w:tcPr>
          <w:p w14:paraId="064A9199"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55 ± 12</w:t>
            </w:r>
          </w:p>
        </w:tc>
        <w:tc>
          <w:tcPr>
            <w:tcW w:w="1306" w:type="dxa"/>
            <w:tcBorders>
              <w:top w:val="nil"/>
              <w:left w:val="nil"/>
              <w:bottom w:val="nil"/>
              <w:right w:val="nil"/>
            </w:tcBorders>
            <w:shd w:val="clear" w:color="auto" w:fill="auto"/>
          </w:tcPr>
          <w:p w14:paraId="75C059F8"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50 ± 16</w:t>
            </w:r>
          </w:p>
        </w:tc>
        <w:tc>
          <w:tcPr>
            <w:tcW w:w="1763" w:type="dxa"/>
            <w:tcBorders>
              <w:top w:val="nil"/>
              <w:left w:val="nil"/>
              <w:bottom w:val="nil"/>
              <w:right w:val="nil"/>
            </w:tcBorders>
            <w:shd w:val="clear" w:color="auto" w:fill="auto"/>
          </w:tcPr>
          <w:p w14:paraId="6F48728E"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53 ± 14</w:t>
            </w:r>
          </w:p>
        </w:tc>
        <w:tc>
          <w:tcPr>
            <w:tcW w:w="1213" w:type="dxa"/>
            <w:tcBorders>
              <w:top w:val="nil"/>
              <w:left w:val="nil"/>
              <w:bottom w:val="nil"/>
              <w:right w:val="nil"/>
            </w:tcBorders>
            <w:shd w:val="clear" w:color="auto" w:fill="auto"/>
          </w:tcPr>
          <w:p w14:paraId="495FAE57"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0.745</w:t>
            </w:r>
          </w:p>
        </w:tc>
      </w:tr>
      <w:tr w:rsidR="00C543C7" w:rsidRPr="00BA3C69" w14:paraId="23EAC6AB" w14:textId="77777777">
        <w:trPr>
          <w:trHeight w:val="936"/>
        </w:trPr>
        <w:tc>
          <w:tcPr>
            <w:tcW w:w="2300" w:type="dxa"/>
            <w:tcBorders>
              <w:top w:val="nil"/>
              <w:left w:val="nil"/>
              <w:bottom w:val="nil"/>
              <w:right w:val="nil"/>
            </w:tcBorders>
            <w:shd w:val="clear" w:color="auto" w:fill="auto"/>
          </w:tcPr>
          <w:p w14:paraId="5F4B1F60"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Male/female (</w:t>
            </w:r>
            <w:r w:rsidRPr="00BA3C69">
              <w:rPr>
                <w:rStyle w:val="font41"/>
                <w:lang w:bidi="ar"/>
              </w:rPr>
              <w:t>n</w:t>
            </w:r>
            <w:r w:rsidRPr="00BA3C69">
              <w:rPr>
                <w:rStyle w:val="font21"/>
                <w:lang w:bidi="ar"/>
              </w:rPr>
              <w:t>)</w:t>
            </w:r>
          </w:p>
        </w:tc>
        <w:tc>
          <w:tcPr>
            <w:tcW w:w="1360" w:type="dxa"/>
            <w:tcBorders>
              <w:top w:val="nil"/>
              <w:left w:val="nil"/>
              <w:bottom w:val="nil"/>
              <w:right w:val="nil"/>
            </w:tcBorders>
            <w:shd w:val="clear" w:color="auto" w:fill="auto"/>
          </w:tcPr>
          <w:p w14:paraId="5FFF851B"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46/30</w:t>
            </w:r>
          </w:p>
        </w:tc>
        <w:tc>
          <w:tcPr>
            <w:tcW w:w="1306" w:type="dxa"/>
            <w:tcBorders>
              <w:top w:val="nil"/>
              <w:left w:val="nil"/>
              <w:bottom w:val="nil"/>
              <w:right w:val="nil"/>
            </w:tcBorders>
            <w:shd w:val="clear" w:color="auto" w:fill="auto"/>
          </w:tcPr>
          <w:p w14:paraId="68A257D7"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26/18</w:t>
            </w:r>
          </w:p>
        </w:tc>
        <w:tc>
          <w:tcPr>
            <w:tcW w:w="1763" w:type="dxa"/>
            <w:tcBorders>
              <w:top w:val="nil"/>
              <w:left w:val="nil"/>
              <w:bottom w:val="nil"/>
              <w:right w:val="nil"/>
            </w:tcBorders>
            <w:shd w:val="clear" w:color="auto" w:fill="auto"/>
          </w:tcPr>
          <w:p w14:paraId="3710B6B0"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20/12</w:t>
            </w:r>
          </w:p>
        </w:tc>
        <w:tc>
          <w:tcPr>
            <w:tcW w:w="1213" w:type="dxa"/>
            <w:tcBorders>
              <w:top w:val="nil"/>
              <w:left w:val="nil"/>
              <w:bottom w:val="nil"/>
              <w:right w:val="nil"/>
            </w:tcBorders>
            <w:shd w:val="clear" w:color="auto" w:fill="auto"/>
          </w:tcPr>
          <w:p w14:paraId="173D40C7"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0.402</w:t>
            </w:r>
          </w:p>
        </w:tc>
      </w:tr>
      <w:tr w:rsidR="00C543C7" w:rsidRPr="00BA3C69" w14:paraId="451E1D80" w14:textId="77777777">
        <w:trPr>
          <w:trHeight w:val="936"/>
        </w:trPr>
        <w:tc>
          <w:tcPr>
            <w:tcW w:w="2300" w:type="dxa"/>
            <w:tcBorders>
              <w:top w:val="nil"/>
              <w:left w:val="nil"/>
              <w:bottom w:val="nil"/>
              <w:right w:val="nil"/>
            </w:tcBorders>
            <w:shd w:val="clear" w:color="auto" w:fill="auto"/>
          </w:tcPr>
          <w:p w14:paraId="00D466B1"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AFP (ng/mL) (+/-)</w:t>
            </w:r>
          </w:p>
        </w:tc>
        <w:tc>
          <w:tcPr>
            <w:tcW w:w="1360" w:type="dxa"/>
            <w:tcBorders>
              <w:top w:val="nil"/>
              <w:left w:val="nil"/>
              <w:bottom w:val="nil"/>
              <w:right w:val="nil"/>
            </w:tcBorders>
            <w:shd w:val="clear" w:color="auto" w:fill="auto"/>
          </w:tcPr>
          <w:p w14:paraId="6F743C3C"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49/33</w:t>
            </w:r>
          </w:p>
        </w:tc>
        <w:tc>
          <w:tcPr>
            <w:tcW w:w="1306" w:type="dxa"/>
            <w:tcBorders>
              <w:top w:val="nil"/>
              <w:left w:val="nil"/>
              <w:bottom w:val="nil"/>
              <w:right w:val="nil"/>
            </w:tcBorders>
            <w:shd w:val="clear" w:color="auto" w:fill="auto"/>
          </w:tcPr>
          <w:p w14:paraId="5937C2E2"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47/1</w:t>
            </w:r>
          </w:p>
        </w:tc>
        <w:tc>
          <w:tcPr>
            <w:tcW w:w="1763" w:type="dxa"/>
            <w:tcBorders>
              <w:top w:val="nil"/>
              <w:left w:val="nil"/>
              <w:bottom w:val="nil"/>
              <w:right w:val="nil"/>
            </w:tcBorders>
            <w:shd w:val="clear" w:color="auto" w:fill="auto"/>
          </w:tcPr>
          <w:p w14:paraId="4B3C2B7F"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2/32</w:t>
            </w:r>
          </w:p>
        </w:tc>
        <w:tc>
          <w:tcPr>
            <w:tcW w:w="1213" w:type="dxa"/>
            <w:tcBorders>
              <w:top w:val="nil"/>
              <w:left w:val="nil"/>
              <w:bottom w:val="nil"/>
              <w:right w:val="nil"/>
            </w:tcBorders>
            <w:shd w:val="clear" w:color="auto" w:fill="auto"/>
          </w:tcPr>
          <w:p w14:paraId="5E5D8758"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0.001</w:t>
            </w:r>
          </w:p>
        </w:tc>
      </w:tr>
      <w:tr w:rsidR="00C543C7" w:rsidRPr="00BA3C69" w14:paraId="0936B32B" w14:textId="77777777">
        <w:trPr>
          <w:trHeight w:val="512"/>
        </w:trPr>
        <w:tc>
          <w:tcPr>
            <w:tcW w:w="2300" w:type="dxa"/>
            <w:tcBorders>
              <w:top w:val="nil"/>
              <w:left w:val="nil"/>
              <w:bottom w:val="nil"/>
              <w:right w:val="nil"/>
            </w:tcBorders>
            <w:shd w:val="clear" w:color="auto" w:fill="auto"/>
            <w:noWrap/>
            <w:vAlign w:val="center"/>
          </w:tcPr>
          <w:p w14:paraId="2F5E8BDF" w14:textId="77777777" w:rsidR="00C543C7" w:rsidRPr="00BA3C69" w:rsidRDefault="00C543C7">
            <w:pPr>
              <w:jc w:val="both"/>
              <w:rPr>
                <w:rFonts w:ascii="宋体" w:eastAsia="宋体" w:hAnsi="宋体" w:cs="宋体"/>
              </w:rPr>
            </w:pPr>
          </w:p>
        </w:tc>
        <w:tc>
          <w:tcPr>
            <w:tcW w:w="5642" w:type="dxa"/>
            <w:gridSpan w:val="4"/>
            <w:tcBorders>
              <w:top w:val="nil"/>
              <w:left w:val="nil"/>
              <w:bottom w:val="nil"/>
              <w:right w:val="nil"/>
            </w:tcBorders>
            <w:shd w:val="clear" w:color="auto" w:fill="auto"/>
          </w:tcPr>
          <w:p w14:paraId="5928B1B8"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Tumor-related characteristics</w:t>
            </w:r>
          </w:p>
        </w:tc>
      </w:tr>
      <w:tr w:rsidR="00C543C7" w:rsidRPr="00BA3C69" w14:paraId="0F2D76CB" w14:textId="77777777">
        <w:trPr>
          <w:trHeight w:val="936"/>
        </w:trPr>
        <w:tc>
          <w:tcPr>
            <w:tcW w:w="2300" w:type="dxa"/>
            <w:tcBorders>
              <w:top w:val="nil"/>
              <w:left w:val="nil"/>
              <w:bottom w:val="nil"/>
              <w:right w:val="nil"/>
            </w:tcBorders>
            <w:shd w:val="clear" w:color="auto" w:fill="auto"/>
          </w:tcPr>
          <w:p w14:paraId="12842B80"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Tumor size (cm)</w:t>
            </w:r>
          </w:p>
        </w:tc>
        <w:tc>
          <w:tcPr>
            <w:tcW w:w="1360" w:type="dxa"/>
            <w:tcBorders>
              <w:top w:val="nil"/>
              <w:left w:val="nil"/>
              <w:bottom w:val="nil"/>
              <w:right w:val="nil"/>
            </w:tcBorders>
            <w:shd w:val="clear" w:color="auto" w:fill="auto"/>
          </w:tcPr>
          <w:p w14:paraId="73858DC9"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4.0 ± 1.8</w:t>
            </w:r>
          </w:p>
        </w:tc>
        <w:tc>
          <w:tcPr>
            <w:tcW w:w="1306" w:type="dxa"/>
            <w:tcBorders>
              <w:top w:val="nil"/>
              <w:left w:val="nil"/>
              <w:bottom w:val="nil"/>
              <w:right w:val="nil"/>
            </w:tcBorders>
            <w:shd w:val="clear" w:color="auto" w:fill="auto"/>
          </w:tcPr>
          <w:p w14:paraId="659D5260"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4.2 ± 1.6</w:t>
            </w:r>
          </w:p>
        </w:tc>
        <w:tc>
          <w:tcPr>
            <w:tcW w:w="1763" w:type="dxa"/>
            <w:tcBorders>
              <w:top w:val="nil"/>
              <w:left w:val="nil"/>
              <w:bottom w:val="nil"/>
              <w:right w:val="nil"/>
            </w:tcBorders>
            <w:shd w:val="clear" w:color="auto" w:fill="auto"/>
          </w:tcPr>
          <w:p w14:paraId="5F6E1E8A"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2.7 ± 1.3</w:t>
            </w:r>
          </w:p>
        </w:tc>
        <w:tc>
          <w:tcPr>
            <w:tcW w:w="1213" w:type="dxa"/>
            <w:tcBorders>
              <w:top w:val="nil"/>
              <w:left w:val="nil"/>
              <w:bottom w:val="nil"/>
              <w:right w:val="nil"/>
            </w:tcBorders>
            <w:shd w:val="clear" w:color="auto" w:fill="auto"/>
          </w:tcPr>
          <w:p w14:paraId="1E968307"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0.142</w:t>
            </w:r>
          </w:p>
        </w:tc>
      </w:tr>
      <w:tr w:rsidR="00C543C7" w:rsidRPr="00BA3C69" w14:paraId="09EEB919" w14:textId="77777777">
        <w:trPr>
          <w:trHeight w:val="936"/>
        </w:trPr>
        <w:tc>
          <w:tcPr>
            <w:tcW w:w="2300" w:type="dxa"/>
            <w:tcBorders>
              <w:top w:val="nil"/>
              <w:left w:val="nil"/>
              <w:bottom w:val="nil"/>
              <w:right w:val="nil"/>
            </w:tcBorders>
            <w:shd w:val="clear" w:color="auto" w:fill="auto"/>
          </w:tcPr>
          <w:p w14:paraId="5E32F5A7"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Enhancement (+/-)</w:t>
            </w:r>
          </w:p>
        </w:tc>
        <w:tc>
          <w:tcPr>
            <w:tcW w:w="1360" w:type="dxa"/>
            <w:tcBorders>
              <w:top w:val="nil"/>
              <w:left w:val="nil"/>
              <w:bottom w:val="nil"/>
              <w:right w:val="nil"/>
            </w:tcBorders>
            <w:shd w:val="clear" w:color="auto" w:fill="auto"/>
          </w:tcPr>
          <w:p w14:paraId="6406F270"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50/32</w:t>
            </w:r>
          </w:p>
        </w:tc>
        <w:tc>
          <w:tcPr>
            <w:tcW w:w="1306" w:type="dxa"/>
            <w:tcBorders>
              <w:top w:val="nil"/>
              <w:left w:val="nil"/>
              <w:bottom w:val="nil"/>
              <w:right w:val="nil"/>
            </w:tcBorders>
            <w:shd w:val="clear" w:color="auto" w:fill="auto"/>
          </w:tcPr>
          <w:p w14:paraId="798FACAB"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46/2</w:t>
            </w:r>
          </w:p>
        </w:tc>
        <w:tc>
          <w:tcPr>
            <w:tcW w:w="1763" w:type="dxa"/>
            <w:tcBorders>
              <w:top w:val="nil"/>
              <w:left w:val="nil"/>
              <w:bottom w:val="nil"/>
              <w:right w:val="nil"/>
            </w:tcBorders>
            <w:shd w:val="clear" w:color="auto" w:fill="auto"/>
          </w:tcPr>
          <w:p w14:paraId="17E0113D"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4/30</w:t>
            </w:r>
          </w:p>
        </w:tc>
        <w:tc>
          <w:tcPr>
            <w:tcW w:w="1213" w:type="dxa"/>
            <w:tcBorders>
              <w:top w:val="nil"/>
              <w:left w:val="nil"/>
              <w:bottom w:val="nil"/>
              <w:right w:val="nil"/>
            </w:tcBorders>
            <w:shd w:val="clear" w:color="auto" w:fill="auto"/>
          </w:tcPr>
          <w:p w14:paraId="0A02010B"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0.006</w:t>
            </w:r>
          </w:p>
        </w:tc>
      </w:tr>
      <w:tr w:rsidR="00C543C7" w:rsidRPr="00BA3C69" w14:paraId="135ED95D" w14:textId="77777777">
        <w:trPr>
          <w:trHeight w:val="624"/>
        </w:trPr>
        <w:tc>
          <w:tcPr>
            <w:tcW w:w="2300" w:type="dxa"/>
            <w:tcBorders>
              <w:top w:val="nil"/>
              <w:left w:val="nil"/>
              <w:bottom w:val="nil"/>
              <w:right w:val="nil"/>
            </w:tcBorders>
            <w:shd w:val="clear" w:color="auto" w:fill="auto"/>
          </w:tcPr>
          <w:p w14:paraId="263FAD1B"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DSA (+/-)</w:t>
            </w:r>
          </w:p>
        </w:tc>
        <w:tc>
          <w:tcPr>
            <w:tcW w:w="1360" w:type="dxa"/>
            <w:tcBorders>
              <w:top w:val="nil"/>
              <w:left w:val="nil"/>
              <w:bottom w:val="nil"/>
              <w:right w:val="nil"/>
            </w:tcBorders>
            <w:shd w:val="clear" w:color="auto" w:fill="auto"/>
          </w:tcPr>
          <w:p w14:paraId="73E0A10C"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42/27</w:t>
            </w:r>
          </w:p>
        </w:tc>
        <w:tc>
          <w:tcPr>
            <w:tcW w:w="1306" w:type="dxa"/>
            <w:tcBorders>
              <w:top w:val="nil"/>
              <w:left w:val="nil"/>
              <w:bottom w:val="nil"/>
              <w:right w:val="nil"/>
            </w:tcBorders>
            <w:shd w:val="clear" w:color="auto" w:fill="auto"/>
          </w:tcPr>
          <w:p w14:paraId="0B8F4B10"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42/2</w:t>
            </w:r>
          </w:p>
        </w:tc>
        <w:tc>
          <w:tcPr>
            <w:tcW w:w="1763" w:type="dxa"/>
            <w:tcBorders>
              <w:top w:val="nil"/>
              <w:left w:val="nil"/>
              <w:bottom w:val="nil"/>
              <w:right w:val="nil"/>
            </w:tcBorders>
            <w:shd w:val="clear" w:color="auto" w:fill="auto"/>
          </w:tcPr>
          <w:p w14:paraId="133F687A"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0/25</w:t>
            </w:r>
          </w:p>
        </w:tc>
        <w:tc>
          <w:tcPr>
            <w:tcW w:w="1213" w:type="dxa"/>
            <w:tcBorders>
              <w:top w:val="nil"/>
              <w:left w:val="nil"/>
              <w:bottom w:val="nil"/>
              <w:right w:val="nil"/>
            </w:tcBorders>
            <w:shd w:val="clear" w:color="auto" w:fill="auto"/>
          </w:tcPr>
          <w:p w14:paraId="0297C4A0"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&lt; 0.010</w:t>
            </w:r>
          </w:p>
        </w:tc>
      </w:tr>
      <w:tr w:rsidR="00C543C7" w:rsidRPr="00BA3C69" w14:paraId="245DE5A7" w14:textId="77777777">
        <w:trPr>
          <w:trHeight w:val="624"/>
        </w:trPr>
        <w:tc>
          <w:tcPr>
            <w:tcW w:w="2300" w:type="dxa"/>
            <w:tcBorders>
              <w:top w:val="nil"/>
              <w:left w:val="nil"/>
              <w:bottom w:val="nil"/>
              <w:right w:val="nil"/>
            </w:tcBorders>
            <w:shd w:val="clear" w:color="auto" w:fill="auto"/>
          </w:tcPr>
          <w:p w14:paraId="38C570D9"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Resection (+/-)</w:t>
            </w:r>
          </w:p>
        </w:tc>
        <w:tc>
          <w:tcPr>
            <w:tcW w:w="1360" w:type="dxa"/>
            <w:tcBorders>
              <w:top w:val="nil"/>
              <w:left w:val="nil"/>
              <w:bottom w:val="nil"/>
              <w:right w:val="nil"/>
            </w:tcBorders>
            <w:shd w:val="clear" w:color="auto" w:fill="auto"/>
          </w:tcPr>
          <w:p w14:paraId="0986F7D2"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10</w:t>
            </w:r>
          </w:p>
        </w:tc>
        <w:tc>
          <w:tcPr>
            <w:tcW w:w="1306" w:type="dxa"/>
            <w:tcBorders>
              <w:top w:val="nil"/>
              <w:left w:val="nil"/>
              <w:bottom w:val="nil"/>
              <w:right w:val="nil"/>
            </w:tcBorders>
            <w:shd w:val="clear" w:color="auto" w:fill="auto"/>
          </w:tcPr>
          <w:p w14:paraId="19DDF59A"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9</w:t>
            </w:r>
          </w:p>
        </w:tc>
        <w:tc>
          <w:tcPr>
            <w:tcW w:w="1763" w:type="dxa"/>
            <w:tcBorders>
              <w:top w:val="nil"/>
              <w:left w:val="nil"/>
              <w:bottom w:val="nil"/>
              <w:right w:val="nil"/>
            </w:tcBorders>
            <w:shd w:val="clear" w:color="auto" w:fill="auto"/>
          </w:tcPr>
          <w:p w14:paraId="7323E544"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1</w:t>
            </w:r>
          </w:p>
        </w:tc>
        <w:tc>
          <w:tcPr>
            <w:tcW w:w="1213" w:type="dxa"/>
            <w:tcBorders>
              <w:top w:val="nil"/>
              <w:left w:val="nil"/>
              <w:bottom w:val="nil"/>
              <w:right w:val="nil"/>
            </w:tcBorders>
            <w:shd w:val="clear" w:color="auto" w:fill="auto"/>
          </w:tcPr>
          <w:p w14:paraId="431F571E"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w:t>
            </w:r>
          </w:p>
        </w:tc>
      </w:tr>
      <w:tr w:rsidR="00C543C7" w:rsidRPr="00BA3C69" w14:paraId="68FD48AA" w14:textId="77777777">
        <w:trPr>
          <w:trHeight w:val="1560"/>
        </w:trPr>
        <w:tc>
          <w:tcPr>
            <w:tcW w:w="2300" w:type="dxa"/>
            <w:tcBorders>
              <w:top w:val="nil"/>
              <w:left w:val="nil"/>
              <w:bottom w:val="nil"/>
              <w:right w:val="nil"/>
            </w:tcBorders>
            <w:shd w:val="clear" w:color="auto" w:fill="auto"/>
          </w:tcPr>
          <w:p w14:paraId="414003A5"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TACE times (single/repeated)</w:t>
            </w:r>
          </w:p>
        </w:tc>
        <w:tc>
          <w:tcPr>
            <w:tcW w:w="1360" w:type="dxa"/>
            <w:tcBorders>
              <w:top w:val="nil"/>
              <w:left w:val="nil"/>
              <w:bottom w:val="nil"/>
              <w:right w:val="nil"/>
            </w:tcBorders>
            <w:shd w:val="clear" w:color="auto" w:fill="auto"/>
          </w:tcPr>
          <w:p w14:paraId="4FD8B1D3"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26/56</w:t>
            </w:r>
          </w:p>
        </w:tc>
        <w:tc>
          <w:tcPr>
            <w:tcW w:w="1306" w:type="dxa"/>
            <w:tcBorders>
              <w:top w:val="nil"/>
              <w:left w:val="nil"/>
              <w:bottom w:val="nil"/>
              <w:right w:val="nil"/>
            </w:tcBorders>
            <w:shd w:val="clear" w:color="auto" w:fill="auto"/>
          </w:tcPr>
          <w:p w14:paraId="472AC02C"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4/44</w:t>
            </w:r>
          </w:p>
        </w:tc>
        <w:tc>
          <w:tcPr>
            <w:tcW w:w="1763" w:type="dxa"/>
            <w:tcBorders>
              <w:top w:val="nil"/>
              <w:left w:val="nil"/>
              <w:bottom w:val="nil"/>
              <w:right w:val="nil"/>
            </w:tcBorders>
            <w:shd w:val="clear" w:color="auto" w:fill="auto"/>
          </w:tcPr>
          <w:p w14:paraId="4E1B2DA0"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22/12</w:t>
            </w:r>
          </w:p>
        </w:tc>
        <w:tc>
          <w:tcPr>
            <w:tcW w:w="1213" w:type="dxa"/>
            <w:tcBorders>
              <w:top w:val="nil"/>
              <w:left w:val="nil"/>
              <w:bottom w:val="nil"/>
              <w:right w:val="nil"/>
            </w:tcBorders>
            <w:shd w:val="clear" w:color="auto" w:fill="auto"/>
          </w:tcPr>
          <w:p w14:paraId="03B24492"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&lt; 0.011</w:t>
            </w:r>
          </w:p>
        </w:tc>
      </w:tr>
      <w:tr w:rsidR="00C543C7" w:rsidRPr="00BA3C69" w14:paraId="0A37DD73" w14:textId="77777777">
        <w:trPr>
          <w:trHeight w:val="1248"/>
        </w:trPr>
        <w:tc>
          <w:tcPr>
            <w:tcW w:w="2300" w:type="dxa"/>
            <w:tcBorders>
              <w:top w:val="nil"/>
              <w:left w:val="nil"/>
              <w:bottom w:val="single" w:sz="8" w:space="0" w:color="000000"/>
              <w:right w:val="nil"/>
            </w:tcBorders>
            <w:shd w:val="clear" w:color="auto" w:fill="auto"/>
          </w:tcPr>
          <w:p w14:paraId="57D9815D"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Follow-up for &gt; 6 mo (+/-)</w:t>
            </w:r>
          </w:p>
        </w:tc>
        <w:tc>
          <w:tcPr>
            <w:tcW w:w="1360" w:type="dxa"/>
            <w:tcBorders>
              <w:top w:val="nil"/>
              <w:left w:val="nil"/>
              <w:bottom w:val="single" w:sz="8" w:space="0" w:color="000000"/>
              <w:right w:val="nil"/>
            </w:tcBorders>
            <w:shd w:val="clear" w:color="auto" w:fill="auto"/>
          </w:tcPr>
          <w:p w14:paraId="4E44C44C"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39/33</w:t>
            </w:r>
          </w:p>
        </w:tc>
        <w:tc>
          <w:tcPr>
            <w:tcW w:w="1306" w:type="dxa"/>
            <w:tcBorders>
              <w:top w:val="nil"/>
              <w:left w:val="nil"/>
              <w:bottom w:val="single" w:sz="8" w:space="0" w:color="000000"/>
              <w:right w:val="nil"/>
            </w:tcBorders>
            <w:shd w:val="clear" w:color="auto" w:fill="auto"/>
          </w:tcPr>
          <w:p w14:paraId="3F2B6696"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39/0</w:t>
            </w:r>
          </w:p>
        </w:tc>
        <w:tc>
          <w:tcPr>
            <w:tcW w:w="1763" w:type="dxa"/>
            <w:tcBorders>
              <w:top w:val="nil"/>
              <w:left w:val="nil"/>
              <w:bottom w:val="single" w:sz="8" w:space="0" w:color="000000"/>
              <w:right w:val="nil"/>
            </w:tcBorders>
            <w:shd w:val="clear" w:color="auto" w:fill="auto"/>
          </w:tcPr>
          <w:p w14:paraId="7F0B4D33"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0/33</w:t>
            </w:r>
          </w:p>
        </w:tc>
        <w:tc>
          <w:tcPr>
            <w:tcW w:w="1213" w:type="dxa"/>
            <w:tcBorders>
              <w:top w:val="nil"/>
              <w:left w:val="nil"/>
              <w:bottom w:val="single" w:sz="8" w:space="0" w:color="000000"/>
              <w:right w:val="nil"/>
            </w:tcBorders>
            <w:shd w:val="clear" w:color="auto" w:fill="auto"/>
          </w:tcPr>
          <w:p w14:paraId="6F9D8D05" w14:textId="77777777" w:rsidR="00C543C7" w:rsidRPr="00BA3C69" w:rsidRDefault="00000000">
            <w:pPr>
              <w:jc w:val="both"/>
              <w:textAlignment w:val="top"/>
              <w:rPr>
                <w:rFonts w:ascii="Book Antiqua" w:eastAsia="Book Antiqua" w:hAnsi="Book Antiqua" w:cs="Book Antiqua"/>
              </w:rPr>
            </w:pPr>
            <w:r w:rsidRPr="00BA3C69">
              <w:rPr>
                <w:rFonts w:ascii="Book Antiqua" w:eastAsia="Book Antiqua" w:hAnsi="Book Antiqua" w:cs="Book Antiqua"/>
                <w:lang w:bidi="ar"/>
              </w:rPr>
              <w:t>&lt; 0.001</w:t>
            </w:r>
          </w:p>
        </w:tc>
      </w:tr>
    </w:tbl>
    <w:p w14:paraId="1C373628" w14:textId="77777777" w:rsidR="00C543C7" w:rsidRPr="00BA3C69" w:rsidRDefault="00000000">
      <w:pPr>
        <w:spacing w:line="360" w:lineRule="auto"/>
        <w:jc w:val="both"/>
        <w:rPr>
          <w:rStyle w:val="NoneA"/>
          <w:rFonts w:ascii="Book Antiqua" w:hAnsi="Book Antiqua"/>
          <w:color w:val="auto"/>
        </w:rPr>
      </w:pPr>
      <w:r w:rsidRPr="00BA3C69">
        <w:rPr>
          <w:rFonts w:ascii="Book Antiqua" w:hAnsi="Book Antiqua"/>
          <w:color w:val="auto"/>
        </w:rPr>
        <w:t>AFP:</w:t>
      </w:r>
      <w:r w:rsidRPr="00BA3C69">
        <w:rPr>
          <w:rStyle w:val="NoneA"/>
          <w:rFonts w:ascii="Book Antiqua" w:hAnsi="Book Antiqua"/>
          <w:color w:val="auto"/>
        </w:rPr>
        <w:t xml:space="preserve"> </w:t>
      </w:r>
      <w:r w:rsidRPr="00BA3C69">
        <w:rPr>
          <w:rFonts w:ascii="Book Antiqua" w:hAnsi="Book Antiqua"/>
          <w:color w:val="auto"/>
        </w:rPr>
        <w:t xml:space="preserve">Alpha-fetoprotein; DSA: Digital subtraction angiography; TACE: </w:t>
      </w:r>
      <w:r w:rsidRPr="00BA3C69">
        <w:rPr>
          <w:rFonts w:ascii="Book Antiqua" w:hAnsi="Book Antiqua"/>
          <w:color w:val="auto"/>
          <w:shd w:val="clear" w:color="auto" w:fill="FFFFFF"/>
        </w:rPr>
        <w:t>Transcatheter arterial chemoembolization</w:t>
      </w:r>
      <w:r w:rsidRPr="00BA3C69">
        <w:rPr>
          <w:rStyle w:val="NoneA"/>
          <w:rFonts w:ascii="Book Antiqua" w:hAnsi="Book Antiqua"/>
          <w:color w:val="auto"/>
        </w:rPr>
        <w:t>.</w:t>
      </w:r>
    </w:p>
    <w:p w14:paraId="0D256AE9" w14:textId="77777777" w:rsidR="00C543C7" w:rsidRPr="00BA3C69" w:rsidRDefault="00C543C7">
      <w:pPr>
        <w:spacing w:line="360" w:lineRule="auto"/>
        <w:jc w:val="both"/>
        <w:rPr>
          <w:rStyle w:val="NoneA"/>
          <w:rFonts w:ascii="Book Antiqua" w:hAnsi="Book Antiqua"/>
          <w:color w:val="auto"/>
        </w:rPr>
        <w:sectPr w:rsidR="00C543C7" w:rsidRPr="00BA3C69">
          <w:pgSz w:w="12240" w:h="15840"/>
          <w:pgMar w:top="1440" w:right="1440" w:bottom="1440" w:left="1440" w:header="720" w:footer="720" w:gutter="0"/>
          <w:cols w:space="720"/>
        </w:sectPr>
      </w:pPr>
    </w:p>
    <w:p w14:paraId="6F831FF8"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lastRenderedPageBreak/>
        <w:t>Table 2 Evaluation of inter-observer agreement using intra-class correlation coefficient analysis</w:t>
      </w:r>
    </w:p>
    <w:tbl>
      <w:tblPr>
        <w:tblStyle w:val="TableNormal1"/>
        <w:tblW w:w="9360" w:type="dxa"/>
        <w:tblInd w:w="108" w:type="dxa"/>
        <w:shd w:val="clear" w:color="auto" w:fill="CED7E7"/>
        <w:tblLayout w:type="fixed"/>
        <w:tblLook w:val="04A0" w:firstRow="1" w:lastRow="0" w:firstColumn="1" w:lastColumn="0" w:noHBand="0" w:noVBand="1"/>
      </w:tblPr>
      <w:tblGrid>
        <w:gridCol w:w="1176"/>
        <w:gridCol w:w="1169"/>
        <w:gridCol w:w="1170"/>
        <w:gridCol w:w="1169"/>
        <w:gridCol w:w="1169"/>
        <w:gridCol w:w="1169"/>
        <w:gridCol w:w="1169"/>
        <w:gridCol w:w="1169"/>
      </w:tblGrid>
      <w:tr w:rsidR="00C543C7" w:rsidRPr="00BA3C69" w14:paraId="1414D2DD" w14:textId="77777777">
        <w:trPr>
          <w:trHeight w:val="319"/>
        </w:trPr>
        <w:tc>
          <w:tcPr>
            <w:tcW w:w="1176" w:type="dxa"/>
            <w:tcBorders>
              <w:top w:val="single" w:sz="4" w:space="0" w:color="auto"/>
              <w:bottom w:val="single" w:sz="4" w:space="0" w:color="auto"/>
            </w:tcBorders>
            <w:shd w:val="clear" w:color="auto" w:fill="auto"/>
            <w:tcMar>
              <w:top w:w="80" w:type="dxa"/>
              <w:left w:w="80" w:type="dxa"/>
              <w:bottom w:w="80" w:type="dxa"/>
              <w:right w:w="80" w:type="dxa"/>
            </w:tcMar>
          </w:tcPr>
          <w:p w14:paraId="146E5732" w14:textId="77777777" w:rsidR="00C543C7" w:rsidRPr="00BA3C69" w:rsidRDefault="00C543C7">
            <w:pPr>
              <w:spacing w:line="360" w:lineRule="auto"/>
              <w:jc w:val="both"/>
              <w:rPr>
                <w:rFonts w:ascii="Book Antiqua" w:hAnsi="Book Antiqua"/>
                <w:color w:val="auto"/>
              </w:rPr>
            </w:pPr>
          </w:p>
        </w:tc>
        <w:tc>
          <w:tcPr>
            <w:tcW w:w="1169" w:type="dxa"/>
            <w:tcBorders>
              <w:top w:val="single" w:sz="4" w:space="0" w:color="auto"/>
              <w:bottom w:val="single" w:sz="4" w:space="0" w:color="auto"/>
            </w:tcBorders>
            <w:shd w:val="clear" w:color="auto" w:fill="auto"/>
            <w:tcMar>
              <w:top w:w="80" w:type="dxa"/>
              <w:left w:w="80" w:type="dxa"/>
              <w:bottom w:w="80" w:type="dxa"/>
              <w:right w:w="80" w:type="dxa"/>
            </w:tcMar>
          </w:tcPr>
          <w:p w14:paraId="6813D46E"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MK</w:t>
            </w:r>
          </w:p>
        </w:tc>
        <w:tc>
          <w:tcPr>
            <w:tcW w:w="1170" w:type="dxa"/>
            <w:tcBorders>
              <w:top w:val="single" w:sz="4" w:space="0" w:color="auto"/>
              <w:bottom w:val="single" w:sz="4" w:space="0" w:color="auto"/>
            </w:tcBorders>
            <w:shd w:val="clear" w:color="auto" w:fill="auto"/>
            <w:tcMar>
              <w:top w:w="80" w:type="dxa"/>
              <w:left w:w="80" w:type="dxa"/>
              <w:bottom w:w="80" w:type="dxa"/>
              <w:right w:w="80" w:type="dxa"/>
            </w:tcMar>
          </w:tcPr>
          <w:p w14:paraId="5BC973CC"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MD</w:t>
            </w:r>
          </w:p>
        </w:tc>
        <w:tc>
          <w:tcPr>
            <w:tcW w:w="1169" w:type="dxa"/>
            <w:tcBorders>
              <w:top w:val="single" w:sz="4" w:space="0" w:color="auto"/>
              <w:bottom w:val="single" w:sz="4" w:space="0" w:color="auto"/>
            </w:tcBorders>
            <w:shd w:val="clear" w:color="auto" w:fill="auto"/>
            <w:tcMar>
              <w:top w:w="80" w:type="dxa"/>
              <w:left w:w="80" w:type="dxa"/>
              <w:bottom w:w="80" w:type="dxa"/>
              <w:right w:w="80" w:type="dxa"/>
            </w:tcMar>
          </w:tcPr>
          <w:p w14:paraId="5A6C5244"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KA</w:t>
            </w:r>
          </w:p>
        </w:tc>
        <w:tc>
          <w:tcPr>
            <w:tcW w:w="1169" w:type="dxa"/>
            <w:tcBorders>
              <w:top w:val="single" w:sz="4" w:space="0" w:color="auto"/>
              <w:bottom w:val="single" w:sz="4" w:space="0" w:color="auto"/>
            </w:tcBorders>
            <w:shd w:val="clear" w:color="auto" w:fill="auto"/>
            <w:tcMar>
              <w:top w:w="80" w:type="dxa"/>
              <w:left w:w="80" w:type="dxa"/>
              <w:bottom w:w="80" w:type="dxa"/>
              <w:right w:w="80" w:type="dxa"/>
            </w:tcMar>
          </w:tcPr>
          <w:p w14:paraId="089CEFE5"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KR</w:t>
            </w:r>
          </w:p>
        </w:tc>
        <w:tc>
          <w:tcPr>
            <w:tcW w:w="1169" w:type="dxa"/>
            <w:tcBorders>
              <w:top w:val="single" w:sz="4" w:space="0" w:color="auto"/>
              <w:bottom w:val="single" w:sz="4" w:space="0" w:color="auto"/>
            </w:tcBorders>
            <w:shd w:val="clear" w:color="auto" w:fill="auto"/>
            <w:tcMar>
              <w:top w:w="80" w:type="dxa"/>
              <w:left w:w="80" w:type="dxa"/>
              <w:bottom w:w="80" w:type="dxa"/>
              <w:right w:w="80" w:type="dxa"/>
            </w:tcMar>
          </w:tcPr>
          <w:p w14:paraId="07ABDAF8"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DA</w:t>
            </w:r>
          </w:p>
        </w:tc>
        <w:tc>
          <w:tcPr>
            <w:tcW w:w="1169" w:type="dxa"/>
            <w:tcBorders>
              <w:top w:val="single" w:sz="4" w:space="0" w:color="auto"/>
              <w:bottom w:val="single" w:sz="4" w:space="0" w:color="auto"/>
            </w:tcBorders>
            <w:shd w:val="clear" w:color="auto" w:fill="auto"/>
            <w:tcMar>
              <w:top w:w="80" w:type="dxa"/>
              <w:left w:w="80" w:type="dxa"/>
              <w:bottom w:w="80" w:type="dxa"/>
              <w:right w:w="80" w:type="dxa"/>
            </w:tcMar>
          </w:tcPr>
          <w:p w14:paraId="66FC071A"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DR</w:t>
            </w:r>
          </w:p>
        </w:tc>
        <w:tc>
          <w:tcPr>
            <w:tcW w:w="1169" w:type="dxa"/>
            <w:tcBorders>
              <w:top w:val="single" w:sz="4" w:space="0" w:color="auto"/>
              <w:bottom w:val="single" w:sz="4" w:space="0" w:color="auto"/>
            </w:tcBorders>
            <w:shd w:val="clear" w:color="auto" w:fill="auto"/>
            <w:tcMar>
              <w:top w:w="80" w:type="dxa"/>
              <w:left w:w="80" w:type="dxa"/>
              <w:bottom w:w="80" w:type="dxa"/>
              <w:right w:w="80" w:type="dxa"/>
            </w:tcMar>
          </w:tcPr>
          <w:p w14:paraId="6DA95452" w14:textId="77777777" w:rsidR="00C543C7" w:rsidRPr="00BA3C69" w:rsidRDefault="00000000">
            <w:pPr>
              <w:spacing w:line="360" w:lineRule="auto"/>
              <w:jc w:val="both"/>
              <w:rPr>
                <w:rFonts w:ascii="Book Antiqua" w:hAnsi="Book Antiqua"/>
                <w:color w:val="auto"/>
              </w:rPr>
            </w:pPr>
            <w:r w:rsidRPr="00BA3C69">
              <w:rPr>
                <w:rFonts w:ascii="Book Antiqua" w:hAnsi="Book Antiqua"/>
                <w:b/>
                <w:bCs/>
                <w:color w:val="auto"/>
              </w:rPr>
              <w:t>FAk</w:t>
            </w:r>
          </w:p>
        </w:tc>
      </w:tr>
      <w:tr w:rsidR="00C543C7" w:rsidRPr="00BA3C69" w14:paraId="30C2BD0D" w14:textId="77777777">
        <w:trPr>
          <w:trHeight w:val="331"/>
        </w:trPr>
        <w:tc>
          <w:tcPr>
            <w:tcW w:w="1176" w:type="dxa"/>
            <w:tcBorders>
              <w:top w:val="single" w:sz="4" w:space="0" w:color="auto"/>
            </w:tcBorders>
            <w:shd w:val="clear" w:color="auto" w:fill="auto"/>
            <w:tcMar>
              <w:top w:w="80" w:type="dxa"/>
              <w:left w:w="80" w:type="dxa"/>
              <w:bottom w:w="80" w:type="dxa"/>
              <w:right w:w="80" w:type="dxa"/>
            </w:tcMar>
          </w:tcPr>
          <w:p w14:paraId="7DEA3289" w14:textId="77777777" w:rsidR="00C543C7" w:rsidRPr="00BA3C69" w:rsidRDefault="00000000">
            <w:pPr>
              <w:spacing w:line="360" w:lineRule="auto"/>
              <w:jc w:val="both"/>
              <w:rPr>
                <w:rFonts w:ascii="Book Antiqua" w:hAnsi="Book Antiqua"/>
                <w:color w:val="auto"/>
              </w:rPr>
            </w:pPr>
            <w:r w:rsidRPr="00BA3C69">
              <w:rPr>
                <w:rFonts w:ascii="Book Antiqua" w:hAnsi="Book Antiqua"/>
                <w:bCs/>
                <w:color w:val="auto"/>
              </w:rPr>
              <w:t>ROI (T)</w:t>
            </w:r>
          </w:p>
        </w:tc>
        <w:tc>
          <w:tcPr>
            <w:tcW w:w="1169" w:type="dxa"/>
            <w:tcBorders>
              <w:top w:val="single" w:sz="4" w:space="0" w:color="auto"/>
            </w:tcBorders>
            <w:shd w:val="clear" w:color="auto" w:fill="auto"/>
            <w:tcMar>
              <w:top w:w="80" w:type="dxa"/>
              <w:left w:w="80" w:type="dxa"/>
              <w:bottom w:w="80" w:type="dxa"/>
              <w:right w:w="80" w:type="dxa"/>
            </w:tcMar>
          </w:tcPr>
          <w:p w14:paraId="1CA1B233"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0.86</w:t>
            </w:r>
          </w:p>
        </w:tc>
        <w:tc>
          <w:tcPr>
            <w:tcW w:w="1170" w:type="dxa"/>
            <w:tcBorders>
              <w:top w:val="single" w:sz="4" w:space="0" w:color="auto"/>
            </w:tcBorders>
            <w:shd w:val="clear" w:color="auto" w:fill="auto"/>
            <w:tcMar>
              <w:top w:w="80" w:type="dxa"/>
              <w:left w:w="80" w:type="dxa"/>
              <w:bottom w:w="80" w:type="dxa"/>
              <w:right w:w="80" w:type="dxa"/>
            </w:tcMar>
          </w:tcPr>
          <w:p w14:paraId="023E0EE5"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0.85</w:t>
            </w:r>
          </w:p>
        </w:tc>
        <w:tc>
          <w:tcPr>
            <w:tcW w:w="1169" w:type="dxa"/>
            <w:tcBorders>
              <w:top w:val="single" w:sz="4" w:space="0" w:color="auto"/>
            </w:tcBorders>
            <w:shd w:val="clear" w:color="auto" w:fill="auto"/>
            <w:tcMar>
              <w:top w:w="80" w:type="dxa"/>
              <w:left w:w="80" w:type="dxa"/>
              <w:bottom w:w="80" w:type="dxa"/>
              <w:right w:w="80" w:type="dxa"/>
            </w:tcMar>
          </w:tcPr>
          <w:p w14:paraId="21CE1BCB"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0.80</w:t>
            </w:r>
          </w:p>
        </w:tc>
        <w:tc>
          <w:tcPr>
            <w:tcW w:w="1169" w:type="dxa"/>
            <w:tcBorders>
              <w:top w:val="single" w:sz="4" w:space="0" w:color="auto"/>
            </w:tcBorders>
            <w:shd w:val="clear" w:color="auto" w:fill="auto"/>
            <w:tcMar>
              <w:top w:w="80" w:type="dxa"/>
              <w:left w:w="80" w:type="dxa"/>
              <w:bottom w:w="80" w:type="dxa"/>
              <w:right w:w="80" w:type="dxa"/>
            </w:tcMar>
          </w:tcPr>
          <w:p w14:paraId="7B0D01DA"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0.83</w:t>
            </w:r>
          </w:p>
        </w:tc>
        <w:tc>
          <w:tcPr>
            <w:tcW w:w="1169" w:type="dxa"/>
            <w:tcBorders>
              <w:top w:val="single" w:sz="4" w:space="0" w:color="auto"/>
            </w:tcBorders>
            <w:shd w:val="clear" w:color="auto" w:fill="auto"/>
            <w:tcMar>
              <w:top w:w="80" w:type="dxa"/>
              <w:left w:w="80" w:type="dxa"/>
              <w:bottom w:w="80" w:type="dxa"/>
              <w:right w:w="80" w:type="dxa"/>
            </w:tcMar>
          </w:tcPr>
          <w:p w14:paraId="3D0D0780"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0.76</w:t>
            </w:r>
          </w:p>
        </w:tc>
        <w:tc>
          <w:tcPr>
            <w:tcW w:w="1169" w:type="dxa"/>
            <w:tcBorders>
              <w:top w:val="single" w:sz="4" w:space="0" w:color="auto"/>
            </w:tcBorders>
            <w:shd w:val="clear" w:color="auto" w:fill="auto"/>
            <w:tcMar>
              <w:top w:w="80" w:type="dxa"/>
              <w:left w:w="80" w:type="dxa"/>
              <w:bottom w:w="80" w:type="dxa"/>
              <w:right w:w="80" w:type="dxa"/>
            </w:tcMar>
          </w:tcPr>
          <w:p w14:paraId="37E5845B"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0.78</w:t>
            </w:r>
          </w:p>
        </w:tc>
        <w:tc>
          <w:tcPr>
            <w:tcW w:w="1169" w:type="dxa"/>
            <w:tcBorders>
              <w:top w:val="single" w:sz="4" w:space="0" w:color="auto"/>
            </w:tcBorders>
            <w:shd w:val="clear" w:color="auto" w:fill="auto"/>
            <w:tcMar>
              <w:top w:w="80" w:type="dxa"/>
              <w:left w:w="80" w:type="dxa"/>
              <w:bottom w:w="80" w:type="dxa"/>
              <w:right w:w="80" w:type="dxa"/>
            </w:tcMar>
          </w:tcPr>
          <w:p w14:paraId="7B135C24"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0.62</w:t>
            </w:r>
          </w:p>
        </w:tc>
      </w:tr>
      <w:tr w:rsidR="00C543C7" w:rsidRPr="00BA3C69" w14:paraId="6C24826B" w14:textId="77777777">
        <w:trPr>
          <w:trHeight w:val="310"/>
        </w:trPr>
        <w:tc>
          <w:tcPr>
            <w:tcW w:w="1176" w:type="dxa"/>
            <w:shd w:val="clear" w:color="auto" w:fill="auto"/>
            <w:tcMar>
              <w:top w:w="80" w:type="dxa"/>
              <w:left w:w="80" w:type="dxa"/>
              <w:bottom w:w="80" w:type="dxa"/>
              <w:right w:w="80" w:type="dxa"/>
            </w:tcMar>
          </w:tcPr>
          <w:p w14:paraId="39DB6BD2" w14:textId="77777777" w:rsidR="00C543C7" w:rsidRPr="00BA3C69" w:rsidRDefault="00000000">
            <w:pPr>
              <w:spacing w:line="360" w:lineRule="auto"/>
              <w:jc w:val="both"/>
              <w:rPr>
                <w:rFonts w:ascii="Book Antiqua" w:hAnsi="Book Antiqua"/>
                <w:color w:val="auto"/>
              </w:rPr>
            </w:pPr>
            <w:r w:rsidRPr="00BA3C69">
              <w:rPr>
                <w:rFonts w:ascii="Book Antiqua" w:hAnsi="Book Antiqua"/>
                <w:bCs/>
                <w:color w:val="auto"/>
              </w:rPr>
              <w:t>ROI (N)</w:t>
            </w:r>
          </w:p>
        </w:tc>
        <w:tc>
          <w:tcPr>
            <w:tcW w:w="1169" w:type="dxa"/>
            <w:shd w:val="clear" w:color="auto" w:fill="auto"/>
            <w:tcMar>
              <w:top w:w="80" w:type="dxa"/>
              <w:left w:w="80" w:type="dxa"/>
              <w:bottom w:w="80" w:type="dxa"/>
              <w:right w:w="80" w:type="dxa"/>
            </w:tcMar>
          </w:tcPr>
          <w:p w14:paraId="31C437CC"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0.79</w:t>
            </w:r>
          </w:p>
        </w:tc>
        <w:tc>
          <w:tcPr>
            <w:tcW w:w="1170" w:type="dxa"/>
            <w:shd w:val="clear" w:color="auto" w:fill="auto"/>
            <w:tcMar>
              <w:top w:w="80" w:type="dxa"/>
              <w:left w:w="80" w:type="dxa"/>
              <w:bottom w:w="80" w:type="dxa"/>
              <w:right w:w="80" w:type="dxa"/>
            </w:tcMar>
          </w:tcPr>
          <w:p w14:paraId="4F9D6526"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0.74</w:t>
            </w:r>
          </w:p>
        </w:tc>
        <w:tc>
          <w:tcPr>
            <w:tcW w:w="1169" w:type="dxa"/>
            <w:shd w:val="clear" w:color="auto" w:fill="auto"/>
            <w:tcMar>
              <w:top w:w="80" w:type="dxa"/>
              <w:left w:w="80" w:type="dxa"/>
              <w:bottom w:w="80" w:type="dxa"/>
              <w:right w:w="80" w:type="dxa"/>
            </w:tcMar>
          </w:tcPr>
          <w:p w14:paraId="643E4D0D"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0.71</w:t>
            </w:r>
          </w:p>
        </w:tc>
        <w:tc>
          <w:tcPr>
            <w:tcW w:w="1169" w:type="dxa"/>
            <w:shd w:val="clear" w:color="auto" w:fill="auto"/>
            <w:tcMar>
              <w:top w:w="80" w:type="dxa"/>
              <w:left w:w="80" w:type="dxa"/>
              <w:bottom w:w="80" w:type="dxa"/>
              <w:right w:w="80" w:type="dxa"/>
            </w:tcMar>
          </w:tcPr>
          <w:p w14:paraId="451EDB4A"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0.76</w:t>
            </w:r>
          </w:p>
        </w:tc>
        <w:tc>
          <w:tcPr>
            <w:tcW w:w="1169" w:type="dxa"/>
            <w:shd w:val="clear" w:color="auto" w:fill="auto"/>
            <w:tcMar>
              <w:top w:w="80" w:type="dxa"/>
              <w:left w:w="80" w:type="dxa"/>
              <w:bottom w:w="80" w:type="dxa"/>
              <w:right w:w="80" w:type="dxa"/>
            </w:tcMar>
          </w:tcPr>
          <w:p w14:paraId="4BCF917B"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0.72</w:t>
            </w:r>
          </w:p>
        </w:tc>
        <w:tc>
          <w:tcPr>
            <w:tcW w:w="1169" w:type="dxa"/>
            <w:shd w:val="clear" w:color="auto" w:fill="auto"/>
            <w:tcMar>
              <w:top w:w="80" w:type="dxa"/>
              <w:left w:w="80" w:type="dxa"/>
              <w:bottom w:w="80" w:type="dxa"/>
              <w:right w:w="80" w:type="dxa"/>
            </w:tcMar>
          </w:tcPr>
          <w:p w14:paraId="750CEF3A"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0.75</w:t>
            </w:r>
          </w:p>
        </w:tc>
        <w:tc>
          <w:tcPr>
            <w:tcW w:w="1169" w:type="dxa"/>
            <w:shd w:val="clear" w:color="auto" w:fill="auto"/>
            <w:tcMar>
              <w:top w:w="80" w:type="dxa"/>
              <w:left w:w="80" w:type="dxa"/>
              <w:bottom w:w="80" w:type="dxa"/>
              <w:right w:w="80" w:type="dxa"/>
            </w:tcMar>
          </w:tcPr>
          <w:p w14:paraId="0C427238"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0.54</w:t>
            </w:r>
          </w:p>
        </w:tc>
      </w:tr>
      <w:tr w:rsidR="00C543C7" w:rsidRPr="00BA3C69" w14:paraId="1B774D70" w14:textId="77777777">
        <w:trPr>
          <w:trHeight w:val="338"/>
        </w:trPr>
        <w:tc>
          <w:tcPr>
            <w:tcW w:w="1176" w:type="dxa"/>
            <w:tcBorders>
              <w:bottom w:val="single" w:sz="4" w:space="0" w:color="auto"/>
            </w:tcBorders>
            <w:shd w:val="clear" w:color="auto" w:fill="auto"/>
            <w:tcMar>
              <w:top w:w="80" w:type="dxa"/>
              <w:left w:w="80" w:type="dxa"/>
              <w:bottom w:w="80" w:type="dxa"/>
              <w:right w:w="80" w:type="dxa"/>
            </w:tcMar>
          </w:tcPr>
          <w:p w14:paraId="4FAC25ED" w14:textId="77777777" w:rsidR="00C543C7" w:rsidRPr="00BA3C69" w:rsidRDefault="00000000">
            <w:pPr>
              <w:spacing w:line="360" w:lineRule="auto"/>
              <w:jc w:val="both"/>
              <w:rPr>
                <w:rFonts w:ascii="Book Antiqua" w:hAnsi="Book Antiqua"/>
                <w:color w:val="auto"/>
              </w:rPr>
            </w:pPr>
            <w:r w:rsidRPr="00BA3C69">
              <w:rPr>
                <w:rFonts w:ascii="Book Antiqua" w:hAnsi="Book Antiqua"/>
                <w:bCs/>
                <w:color w:val="auto"/>
              </w:rPr>
              <w:t>ROI (F)</w:t>
            </w:r>
          </w:p>
        </w:tc>
        <w:tc>
          <w:tcPr>
            <w:tcW w:w="1169" w:type="dxa"/>
            <w:tcBorders>
              <w:bottom w:val="single" w:sz="4" w:space="0" w:color="auto"/>
            </w:tcBorders>
            <w:shd w:val="clear" w:color="auto" w:fill="auto"/>
            <w:tcMar>
              <w:top w:w="80" w:type="dxa"/>
              <w:left w:w="80" w:type="dxa"/>
              <w:bottom w:w="80" w:type="dxa"/>
              <w:right w:w="80" w:type="dxa"/>
            </w:tcMar>
          </w:tcPr>
          <w:p w14:paraId="1A37D409"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0.70</w:t>
            </w:r>
          </w:p>
        </w:tc>
        <w:tc>
          <w:tcPr>
            <w:tcW w:w="1170" w:type="dxa"/>
            <w:tcBorders>
              <w:bottom w:val="single" w:sz="4" w:space="0" w:color="auto"/>
            </w:tcBorders>
            <w:shd w:val="clear" w:color="auto" w:fill="auto"/>
            <w:tcMar>
              <w:top w:w="80" w:type="dxa"/>
              <w:left w:w="80" w:type="dxa"/>
              <w:bottom w:w="80" w:type="dxa"/>
              <w:right w:w="80" w:type="dxa"/>
            </w:tcMar>
          </w:tcPr>
          <w:p w14:paraId="6ACE1610"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0.73</w:t>
            </w:r>
          </w:p>
        </w:tc>
        <w:tc>
          <w:tcPr>
            <w:tcW w:w="1169" w:type="dxa"/>
            <w:tcBorders>
              <w:bottom w:val="single" w:sz="4" w:space="0" w:color="auto"/>
            </w:tcBorders>
            <w:shd w:val="clear" w:color="auto" w:fill="auto"/>
            <w:tcMar>
              <w:top w:w="80" w:type="dxa"/>
              <w:left w:w="80" w:type="dxa"/>
              <w:bottom w:w="80" w:type="dxa"/>
              <w:right w:w="80" w:type="dxa"/>
            </w:tcMar>
          </w:tcPr>
          <w:p w14:paraId="7F3157DF"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0.69</w:t>
            </w:r>
          </w:p>
        </w:tc>
        <w:tc>
          <w:tcPr>
            <w:tcW w:w="1169" w:type="dxa"/>
            <w:tcBorders>
              <w:bottom w:val="single" w:sz="4" w:space="0" w:color="auto"/>
            </w:tcBorders>
            <w:shd w:val="clear" w:color="auto" w:fill="auto"/>
            <w:tcMar>
              <w:top w:w="80" w:type="dxa"/>
              <w:left w:w="80" w:type="dxa"/>
              <w:bottom w:w="80" w:type="dxa"/>
              <w:right w:w="80" w:type="dxa"/>
            </w:tcMar>
          </w:tcPr>
          <w:p w14:paraId="23051427"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0.68</w:t>
            </w:r>
          </w:p>
        </w:tc>
        <w:tc>
          <w:tcPr>
            <w:tcW w:w="1169" w:type="dxa"/>
            <w:tcBorders>
              <w:bottom w:val="single" w:sz="4" w:space="0" w:color="auto"/>
            </w:tcBorders>
            <w:shd w:val="clear" w:color="auto" w:fill="auto"/>
            <w:tcMar>
              <w:top w:w="80" w:type="dxa"/>
              <w:left w:w="80" w:type="dxa"/>
              <w:bottom w:w="80" w:type="dxa"/>
              <w:right w:w="80" w:type="dxa"/>
            </w:tcMar>
          </w:tcPr>
          <w:p w14:paraId="14E2E5AD"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0.64</w:t>
            </w:r>
          </w:p>
        </w:tc>
        <w:tc>
          <w:tcPr>
            <w:tcW w:w="1169" w:type="dxa"/>
            <w:tcBorders>
              <w:bottom w:val="single" w:sz="4" w:space="0" w:color="auto"/>
            </w:tcBorders>
            <w:shd w:val="clear" w:color="auto" w:fill="auto"/>
            <w:tcMar>
              <w:top w:w="80" w:type="dxa"/>
              <w:left w:w="80" w:type="dxa"/>
              <w:bottom w:w="80" w:type="dxa"/>
              <w:right w:w="80" w:type="dxa"/>
            </w:tcMar>
          </w:tcPr>
          <w:p w14:paraId="5F91D897"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0.70</w:t>
            </w:r>
          </w:p>
        </w:tc>
        <w:tc>
          <w:tcPr>
            <w:tcW w:w="1169" w:type="dxa"/>
            <w:tcBorders>
              <w:bottom w:val="single" w:sz="4" w:space="0" w:color="auto"/>
            </w:tcBorders>
            <w:shd w:val="clear" w:color="auto" w:fill="auto"/>
            <w:tcMar>
              <w:top w:w="80" w:type="dxa"/>
              <w:left w:w="80" w:type="dxa"/>
              <w:bottom w:w="80" w:type="dxa"/>
              <w:right w:w="80" w:type="dxa"/>
            </w:tcMar>
          </w:tcPr>
          <w:p w14:paraId="792F0247"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0.50</w:t>
            </w:r>
          </w:p>
        </w:tc>
      </w:tr>
    </w:tbl>
    <w:p w14:paraId="4AE28E0A"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FAk: Anisotropy coefficient of kurtosis; ROC: </w:t>
      </w:r>
      <w:r w:rsidRPr="00BA3C69">
        <w:rPr>
          <w:rFonts w:ascii="Book Antiqua" w:hAnsi="Book Antiqua"/>
          <w:color w:val="auto"/>
          <w:shd w:val="clear" w:color="auto" w:fill="FFFFFF"/>
        </w:rPr>
        <w:t xml:space="preserve">Receiver operating characteristic curve; </w:t>
      </w:r>
      <w:r w:rsidRPr="00BA3C69">
        <w:rPr>
          <w:rFonts w:ascii="Book Antiqua" w:hAnsi="Book Antiqua"/>
          <w:color w:val="auto"/>
        </w:rPr>
        <w:t>MD: Mean diffusivity; MK: Mean kurtosis; KA: Axial kurtosis; KR: Radial kurtosis; DA: Axial diffusivity; DR: Radial diffusivity.</w:t>
      </w:r>
    </w:p>
    <w:p w14:paraId="706FF2FE" w14:textId="77777777" w:rsidR="00C543C7" w:rsidRPr="00BA3C69" w:rsidRDefault="00C543C7">
      <w:pPr>
        <w:spacing w:line="360" w:lineRule="auto"/>
        <w:jc w:val="both"/>
        <w:rPr>
          <w:rFonts w:ascii="Book Antiqua" w:hAnsi="Book Antiqua"/>
          <w:color w:val="auto"/>
        </w:rPr>
        <w:sectPr w:rsidR="00C543C7" w:rsidRPr="00BA3C69">
          <w:pgSz w:w="12240" w:h="15840"/>
          <w:pgMar w:top="1440" w:right="1440" w:bottom="1440" w:left="1440" w:header="720" w:footer="720" w:gutter="0"/>
          <w:cols w:space="720"/>
        </w:sectPr>
      </w:pPr>
    </w:p>
    <w:p w14:paraId="11C9E08E" w14:textId="77777777" w:rsidR="00C543C7" w:rsidRPr="00BA3C69" w:rsidRDefault="00000000">
      <w:pPr>
        <w:spacing w:line="360" w:lineRule="auto"/>
        <w:jc w:val="both"/>
        <w:rPr>
          <w:rStyle w:val="NoneA"/>
          <w:rFonts w:ascii="Book Antiqua" w:hAnsi="Book Antiqua"/>
          <w:color w:val="auto"/>
        </w:rPr>
      </w:pPr>
      <w:r w:rsidRPr="00BA3C69">
        <w:rPr>
          <w:rFonts w:ascii="Book Antiqua" w:hAnsi="Book Antiqua"/>
          <w:b/>
          <w:bCs/>
          <w:color w:val="auto"/>
        </w:rPr>
        <w:lastRenderedPageBreak/>
        <w:t>Table 3 Diffusion kurtosis imaging derived metrics in true and pseudo-progressing lesions</w:t>
      </w:r>
    </w:p>
    <w:tbl>
      <w:tblPr>
        <w:tblStyle w:val="TableNormal1"/>
        <w:tblW w:w="5472"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077"/>
        <w:gridCol w:w="1222"/>
        <w:gridCol w:w="1326"/>
        <w:gridCol w:w="1270"/>
        <w:gridCol w:w="1305"/>
        <w:gridCol w:w="1235"/>
        <w:gridCol w:w="1358"/>
        <w:gridCol w:w="1451"/>
      </w:tblGrid>
      <w:tr w:rsidR="00C543C7" w:rsidRPr="00BA3C69" w14:paraId="37CAEBD5" w14:textId="77777777">
        <w:trPr>
          <w:trHeight w:val="318"/>
        </w:trPr>
        <w:tc>
          <w:tcPr>
            <w:tcW w:w="525" w:type="pct"/>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08B858D1" w14:textId="77777777" w:rsidR="00C543C7" w:rsidRPr="00BA3C69" w:rsidRDefault="00C543C7">
            <w:pPr>
              <w:spacing w:line="360" w:lineRule="auto"/>
              <w:jc w:val="both"/>
              <w:rPr>
                <w:rFonts w:ascii="Book Antiqua" w:hAnsi="Book Antiqua"/>
                <w:b/>
                <w:color w:val="auto"/>
              </w:rPr>
            </w:pPr>
          </w:p>
        </w:tc>
        <w:tc>
          <w:tcPr>
            <w:tcW w:w="596" w:type="pct"/>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23340A5E" w14:textId="77777777" w:rsidR="00C543C7" w:rsidRPr="00BA3C69" w:rsidRDefault="00000000">
            <w:pPr>
              <w:spacing w:line="360" w:lineRule="auto"/>
              <w:jc w:val="both"/>
              <w:rPr>
                <w:rFonts w:ascii="Book Antiqua" w:hAnsi="Book Antiqua"/>
                <w:b/>
                <w:color w:val="auto"/>
              </w:rPr>
            </w:pPr>
            <w:r w:rsidRPr="00BA3C69">
              <w:rPr>
                <w:rFonts w:ascii="Book Antiqua" w:hAnsi="Book Antiqua"/>
                <w:b/>
                <w:color w:val="auto"/>
              </w:rPr>
              <w:t>MK</w:t>
            </w:r>
          </w:p>
        </w:tc>
        <w:tc>
          <w:tcPr>
            <w:tcW w:w="647" w:type="pct"/>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1E7E73B8" w14:textId="77777777" w:rsidR="00C543C7" w:rsidRPr="00BA3C69" w:rsidRDefault="00000000">
            <w:pPr>
              <w:spacing w:line="360" w:lineRule="auto"/>
              <w:jc w:val="both"/>
              <w:rPr>
                <w:rFonts w:ascii="Book Antiqua" w:hAnsi="Book Antiqua"/>
                <w:b/>
                <w:color w:val="auto"/>
              </w:rPr>
            </w:pPr>
            <w:r w:rsidRPr="00BA3C69">
              <w:rPr>
                <w:rFonts w:ascii="Book Antiqua" w:hAnsi="Book Antiqua"/>
                <w:b/>
                <w:color w:val="auto"/>
              </w:rPr>
              <w:t>MD</w:t>
            </w:r>
          </w:p>
        </w:tc>
        <w:tc>
          <w:tcPr>
            <w:tcW w:w="620" w:type="pct"/>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742A1CD4" w14:textId="77777777" w:rsidR="00C543C7" w:rsidRPr="00BA3C69" w:rsidRDefault="00000000">
            <w:pPr>
              <w:spacing w:line="360" w:lineRule="auto"/>
              <w:jc w:val="both"/>
              <w:rPr>
                <w:rFonts w:ascii="Book Antiqua" w:hAnsi="Book Antiqua"/>
                <w:b/>
                <w:color w:val="auto"/>
              </w:rPr>
            </w:pPr>
            <w:r w:rsidRPr="00BA3C69">
              <w:rPr>
                <w:rFonts w:ascii="Book Antiqua" w:hAnsi="Book Antiqua"/>
                <w:b/>
                <w:color w:val="auto"/>
              </w:rPr>
              <w:t>KR</w:t>
            </w:r>
          </w:p>
        </w:tc>
        <w:tc>
          <w:tcPr>
            <w:tcW w:w="637" w:type="pct"/>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0EA0D9B2" w14:textId="77777777" w:rsidR="00C543C7" w:rsidRPr="00BA3C69" w:rsidRDefault="00000000">
            <w:pPr>
              <w:spacing w:line="360" w:lineRule="auto"/>
              <w:jc w:val="both"/>
              <w:rPr>
                <w:rFonts w:ascii="Book Antiqua" w:hAnsi="Book Antiqua"/>
                <w:b/>
                <w:color w:val="auto"/>
              </w:rPr>
            </w:pPr>
            <w:r w:rsidRPr="00BA3C69">
              <w:rPr>
                <w:rFonts w:ascii="Book Antiqua" w:hAnsi="Book Antiqua"/>
                <w:b/>
                <w:color w:val="auto"/>
              </w:rPr>
              <w:t>KA</w:t>
            </w:r>
          </w:p>
        </w:tc>
        <w:tc>
          <w:tcPr>
            <w:tcW w:w="603" w:type="pct"/>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4BCC2BB3" w14:textId="77777777" w:rsidR="00C543C7" w:rsidRPr="00BA3C69" w:rsidRDefault="00000000">
            <w:pPr>
              <w:spacing w:line="360" w:lineRule="auto"/>
              <w:jc w:val="both"/>
              <w:rPr>
                <w:rFonts w:ascii="Book Antiqua" w:hAnsi="Book Antiqua"/>
                <w:b/>
                <w:color w:val="auto"/>
              </w:rPr>
            </w:pPr>
            <w:r w:rsidRPr="00BA3C69">
              <w:rPr>
                <w:rFonts w:ascii="Book Antiqua" w:hAnsi="Book Antiqua"/>
                <w:b/>
                <w:color w:val="auto"/>
              </w:rPr>
              <w:t>DR</w:t>
            </w:r>
          </w:p>
        </w:tc>
        <w:tc>
          <w:tcPr>
            <w:tcW w:w="663" w:type="pct"/>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72B5480B" w14:textId="77777777" w:rsidR="00C543C7" w:rsidRPr="00BA3C69" w:rsidRDefault="00000000">
            <w:pPr>
              <w:spacing w:line="360" w:lineRule="auto"/>
              <w:jc w:val="both"/>
              <w:rPr>
                <w:rFonts w:ascii="Book Antiqua" w:hAnsi="Book Antiqua"/>
                <w:b/>
                <w:color w:val="auto"/>
              </w:rPr>
            </w:pPr>
            <w:r w:rsidRPr="00BA3C69">
              <w:rPr>
                <w:rFonts w:ascii="Book Antiqua" w:hAnsi="Book Antiqua"/>
                <w:b/>
                <w:color w:val="auto"/>
              </w:rPr>
              <w:t>DA</w:t>
            </w:r>
          </w:p>
        </w:tc>
        <w:tc>
          <w:tcPr>
            <w:tcW w:w="708" w:type="pct"/>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2F99BBEB" w14:textId="77777777" w:rsidR="00C543C7" w:rsidRPr="00BA3C69" w:rsidRDefault="00000000">
            <w:pPr>
              <w:spacing w:line="360" w:lineRule="auto"/>
              <w:jc w:val="both"/>
              <w:rPr>
                <w:rFonts w:ascii="Book Antiqua" w:hAnsi="Book Antiqua"/>
                <w:b/>
                <w:color w:val="auto"/>
              </w:rPr>
            </w:pPr>
            <w:r w:rsidRPr="00BA3C69">
              <w:rPr>
                <w:rFonts w:ascii="Book Antiqua" w:hAnsi="Book Antiqua"/>
                <w:b/>
                <w:color w:val="auto"/>
              </w:rPr>
              <w:t>FAk</w:t>
            </w:r>
          </w:p>
        </w:tc>
      </w:tr>
      <w:tr w:rsidR="00C543C7" w:rsidRPr="00BA3C69" w14:paraId="5D1990EB" w14:textId="77777777">
        <w:trPr>
          <w:trHeight w:val="776"/>
        </w:trPr>
        <w:tc>
          <w:tcPr>
            <w:tcW w:w="525" w:type="pct"/>
            <w:tcBorders>
              <w:top w:val="single" w:sz="4" w:space="0" w:color="auto"/>
              <w:left w:val="nil"/>
              <w:bottom w:val="nil"/>
              <w:right w:val="nil"/>
            </w:tcBorders>
            <w:shd w:val="clear" w:color="auto" w:fill="auto"/>
            <w:tcMar>
              <w:top w:w="80" w:type="dxa"/>
              <w:left w:w="80" w:type="dxa"/>
              <w:bottom w:w="80" w:type="dxa"/>
              <w:right w:w="80" w:type="dxa"/>
            </w:tcMar>
          </w:tcPr>
          <w:p w14:paraId="7EC60C76"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N</w:t>
            </w:r>
          </w:p>
        </w:tc>
        <w:tc>
          <w:tcPr>
            <w:tcW w:w="596" w:type="pct"/>
            <w:tcBorders>
              <w:top w:val="single" w:sz="4" w:space="0" w:color="auto"/>
              <w:left w:val="nil"/>
              <w:bottom w:val="nil"/>
              <w:right w:val="nil"/>
            </w:tcBorders>
            <w:shd w:val="clear" w:color="auto" w:fill="auto"/>
            <w:tcMar>
              <w:top w:w="80" w:type="dxa"/>
              <w:left w:w="80" w:type="dxa"/>
              <w:bottom w:w="80" w:type="dxa"/>
              <w:right w:w="80" w:type="dxa"/>
            </w:tcMar>
          </w:tcPr>
          <w:p w14:paraId="0ED91304"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0.60 ± 0.15</w:t>
            </w:r>
          </w:p>
        </w:tc>
        <w:tc>
          <w:tcPr>
            <w:tcW w:w="647" w:type="pct"/>
            <w:tcBorders>
              <w:top w:val="single" w:sz="4" w:space="0" w:color="auto"/>
              <w:left w:val="nil"/>
              <w:bottom w:val="nil"/>
              <w:right w:val="nil"/>
            </w:tcBorders>
            <w:shd w:val="clear" w:color="auto" w:fill="auto"/>
            <w:tcMar>
              <w:top w:w="80" w:type="dxa"/>
              <w:left w:w="80" w:type="dxa"/>
              <w:bottom w:w="80" w:type="dxa"/>
              <w:right w:w="80" w:type="dxa"/>
            </w:tcMar>
          </w:tcPr>
          <w:p w14:paraId="38BB3594"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1.90 ± 0.65</w:t>
            </w:r>
          </w:p>
        </w:tc>
        <w:tc>
          <w:tcPr>
            <w:tcW w:w="620" w:type="pct"/>
            <w:tcBorders>
              <w:top w:val="single" w:sz="4" w:space="0" w:color="auto"/>
              <w:left w:val="nil"/>
              <w:bottom w:val="nil"/>
              <w:right w:val="nil"/>
            </w:tcBorders>
            <w:shd w:val="clear" w:color="auto" w:fill="auto"/>
            <w:tcMar>
              <w:top w:w="80" w:type="dxa"/>
              <w:left w:w="80" w:type="dxa"/>
              <w:bottom w:w="80" w:type="dxa"/>
              <w:right w:w="80" w:type="dxa"/>
            </w:tcMar>
          </w:tcPr>
          <w:p w14:paraId="0103404B"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0.55 ± 0.16</w:t>
            </w:r>
          </w:p>
        </w:tc>
        <w:tc>
          <w:tcPr>
            <w:tcW w:w="637" w:type="pct"/>
            <w:tcBorders>
              <w:top w:val="single" w:sz="4" w:space="0" w:color="auto"/>
              <w:left w:val="nil"/>
              <w:bottom w:val="nil"/>
              <w:right w:val="nil"/>
            </w:tcBorders>
            <w:shd w:val="clear" w:color="auto" w:fill="auto"/>
            <w:tcMar>
              <w:top w:w="80" w:type="dxa"/>
              <w:left w:w="80" w:type="dxa"/>
              <w:bottom w:w="80" w:type="dxa"/>
              <w:right w:w="80" w:type="dxa"/>
            </w:tcMar>
          </w:tcPr>
          <w:p w14:paraId="74C62255"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0.60 ± 0.13</w:t>
            </w:r>
          </w:p>
        </w:tc>
        <w:tc>
          <w:tcPr>
            <w:tcW w:w="603" w:type="pct"/>
            <w:tcBorders>
              <w:top w:val="single" w:sz="4" w:space="0" w:color="auto"/>
              <w:left w:val="nil"/>
              <w:bottom w:val="nil"/>
              <w:right w:val="nil"/>
            </w:tcBorders>
            <w:shd w:val="clear" w:color="auto" w:fill="auto"/>
            <w:tcMar>
              <w:top w:w="80" w:type="dxa"/>
              <w:left w:w="80" w:type="dxa"/>
              <w:bottom w:w="80" w:type="dxa"/>
              <w:right w:w="80" w:type="dxa"/>
            </w:tcMar>
          </w:tcPr>
          <w:p w14:paraId="702013B5"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1.88 ± 0.55</w:t>
            </w:r>
          </w:p>
        </w:tc>
        <w:tc>
          <w:tcPr>
            <w:tcW w:w="663" w:type="pct"/>
            <w:tcBorders>
              <w:top w:val="single" w:sz="4" w:space="0" w:color="auto"/>
              <w:left w:val="nil"/>
              <w:bottom w:val="nil"/>
              <w:right w:val="nil"/>
            </w:tcBorders>
            <w:shd w:val="clear" w:color="auto" w:fill="auto"/>
            <w:tcMar>
              <w:top w:w="80" w:type="dxa"/>
              <w:left w:w="80" w:type="dxa"/>
              <w:bottom w:w="80" w:type="dxa"/>
              <w:right w:w="80" w:type="dxa"/>
            </w:tcMar>
          </w:tcPr>
          <w:p w14:paraId="19A103A9"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2.20 ± 0.63</w:t>
            </w:r>
          </w:p>
        </w:tc>
        <w:tc>
          <w:tcPr>
            <w:tcW w:w="708" w:type="pct"/>
            <w:tcBorders>
              <w:top w:val="single" w:sz="4" w:space="0" w:color="auto"/>
              <w:left w:val="nil"/>
              <w:bottom w:val="nil"/>
              <w:right w:val="nil"/>
            </w:tcBorders>
            <w:shd w:val="clear" w:color="auto" w:fill="auto"/>
            <w:tcMar>
              <w:top w:w="80" w:type="dxa"/>
              <w:left w:w="80" w:type="dxa"/>
              <w:bottom w:w="80" w:type="dxa"/>
              <w:right w:w="80" w:type="dxa"/>
            </w:tcMar>
          </w:tcPr>
          <w:p w14:paraId="51163C71"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0.10 ± 0.09</w:t>
            </w:r>
          </w:p>
        </w:tc>
      </w:tr>
      <w:tr w:rsidR="00C543C7" w:rsidRPr="00BA3C69" w14:paraId="2DE0CCE7" w14:textId="77777777">
        <w:trPr>
          <w:trHeight w:val="776"/>
        </w:trPr>
        <w:tc>
          <w:tcPr>
            <w:tcW w:w="525" w:type="pct"/>
            <w:tcBorders>
              <w:top w:val="nil"/>
              <w:left w:val="nil"/>
              <w:bottom w:val="nil"/>
              <w:right w:val="nil"/>
            </w:tcBorders>
            <w:shd w:val="clear" w:color="auto" w:fill="auto"/>
            <w:tcMar>
              <w:top w:w="80" w:type="dxa"/>
              <w:left w:w="80" w:type="dxa"/>
              <w:bottom w:w="80" w:type="dxa"/>
              <w:right w:w="80" w:type="dxa"/>
            </w:tcMar>
          </w:tcPr>
          <w:p w14:paraId="38D9675B"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Y</w:t>
            </w:r>
          </w:p>
        </w:tc>
        <w:tc>
          <w:tcPr>
            <w:tcW w:w="596" w:type="pct"/>
            <w:tcBorders>
              <w:top w:val="nil"/>
              <w:left w:val="nil"/>
              <w:bottom w:val="nil"/>
              <w:right w:val="nil"/>
            </w:tcBorders>
            <w:shd w:val="clear" w:color="auto" w:fill="auto"/>
            <w:tcMar>
              <w:top w:w="80" w:type="dxa"/>
              <w:left w:w="80" w:type="dxa"/>
              <w:bottom w:w="80" w:type="dxa"/>
              <w:right w:w="80" w:type="dxa"/>
            </w:tcMar>
          </w:tcPr>
          <w:p w14:paraId="075EDBB0"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0.71 ± 0.24 </w:t>
            </w:r>
          </w:p>
        </w:tc>
        <w:tc>
          <w:tcPr>
            <w:tcW w:w="647" w:type="pct"/>
            <w:tcBorders>
              <w:top w:val="nil"/>
              <w:left w:val="nil"/>
              <w:bottom w:val="nil"/>
              <w:right w:val="nil"/>
            </w:tcBorders>
            <w:shd w:val="clear" w:color="auto" w:fill="auto"/>
            <w:tcMar>
              <w:top w:w="80" w:type="dxa"/>
              <w:left w:w="80" w:type="dxa"/>
              <w:bottom w:w="80" w:type="dxa"/>
              <w:right w:w="80" w:type="dxa"/>
            </w:tcMar>
          </w:tcPr>
          <w:p w14:paraId="5D1EA94E" w14:textId="00C42C3E" w:rsidR="00C543C7" w:rsidRPr="00BA3C69" w:rsidRDefault="00000000">
            <w:pPr>
              <w:spacing w:line="360" w:lineRule="auto"/>
              <w:jc w:val="both"/>
              <w:rPr>
                <w:rFonts w:ascii="Book Antiqua" w:hAnsi="Book Antiqua"/>
                <w:color w:val="auto"/>
              </w:rPr>
            </w:pPr>
            <w:r w:rsidRPr="00BA3C69">
              <w:rPr>
                <w:rFonts w:ascii="Book Antiqua" w:hAnsi="Book Antiqua"/>
                <w:color w:val="auto"/>
              </w:rPr>
              <w:t>1.60 ± 0.45</w:t>
            </w:r>
          </w:p>
        </w:tc>
        <w:tc>
          <w:tcPr>
            <w:tcW w:w="620" w:type="pct"/>
            <w:tcBorders>
              <w:top w:val="nil"/>
              <w:left w:val="nil"/>
              <w:bottom w:val="nil"/>
              <w:right w:val="nil"/>
            </w:tcBorders>
            <w:shd w:val="clear" w:color="auto" w:fill="auto"/>
            <w:tcMar>
              <w:top w:w="80" w:type="dxa"/>
              <w:left w:w="80" w:type="dxa"/>
              <w:bottom w:w="80" w:type="dxa"/>
              <w:right w:w="80" w:type="dxa"/>
            </w:tcMar>
          </w:tcPr>
          <w:p w14:paraId="7C520247"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0.65 ± 0.29</w:t>
            </w:r>
          </w:p>
        </w:tc>
        <w:tc>
          <w:tcPr>
            <w:tcW w:w="637" w:type="pct"/>
            <w:tcBorders>
              <w:top w:val="nil"/>
              <w:left w:val="nil"/>
              <w:bottom w:val="nil"/>
              <w:right w:val="nil"/>
            </w:tcBorders>
            <w:shd w:val="clear" w:color="auto" w:fill="auto"/>
            <w:tcMar>
              <w:top w:w="80" w:type="dxa"/>
              <w:left w:w="80" w:type="dxa"/>
              <w:bottom w:w="80" w:type="dxa"/>
              <w:right w:w="80" w:type="dxa"/>
            </w:tcMar>
          </w:tcPr>
          <w:p w14:paraId="712E620A"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0.70 ± 0.15</w:t>
            </w:r>
          </w:p>
        </w:tc>
        <w:tc>
          <w:tcPr>
            <w:tcW w:w="603" w:type="pct"/>
            <w:tcBorders>
              <w:top w:val="nil"/>
              <w:left w:val="nil"/>
              <w:bottom w:val="nil"/>
              <w:right w:val="nil"/>
            </w:tcBorders>
            <w:shd w:val="clear" w:color="auto" w:fill="auto"/>
            <w:tcMar>
              <w:top w:w="80" w:type="dxa"/>
              <w:left w:w="80" w:type="dxa"/>
              <w:bottom w:w="80" w:type="dxa"/>
              <w:right w:w="80" w:type="dxa"/>
            </w:tcMar>
          </w:tcPr>
          <w:p w14:paraId="1B740A67"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1.4 ± 0.38</w:t>
            </w:r>
          </w:p>
        </w:tc>
        <w:tc>
          <w:tcPr>
            <w:tcW w:w="663" w:type="pct"/>
            <w:tcBorders>
              <w:top w:val="nil"/>
              <w:left w:val="nil"/>
              <w:bottom w:val="nil"/>
              <w:right w:val="nil"/>
            </w:tcBorders>
            <w:shd w:val="clear" w:color="auto" w:fill="auto"/>
            <w:tcMar>
              <w:top w:w="80" w:type="dxa"/>
              <w:left w:w="80" w:type="dxa"/>
              <w:bottom w:w="80" w:type="dxa"/>
              <w:right w:w="80" w:type="dxa"/>
            </w:tcMar>
          </w:tcPr>
          <w:p w14:paraId="4DBFD321"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2.10 ± 0.60</w:t>
            </w:r>
          </w:p>
        </w:tc>
        <w:tc>
          <w:tcPr>
            <w:tcW w:w="708" w:type="pct"/>
            <w:tcBorders>
              <w:top w:val="nil"/>
              <w:left w:val="nil"/>
              <w:bottom w:val="nil"/>
              <w:right w:val="nil"/>
            </w:tcBorders>
            <w:shd w:val="clear" w:color="auto" w:fill="auto"/>
            <w:tcMar>
              <w:top w:w="80" w:type="dxa"/>
              <w:left w:w="80" w:type="dxa"/>
              <w:bottom w:w="80" w:type="dxa"/>
              <w:right w:w="80" w:type="dxa"/>
            </w:tcMar>
          </w:tcPr>
          <w:p w14:paraId="53137E4A" w14:textId="5F028196" w:rsidR="00C543C7" w:rsidRPr="00BA3C69" w:rsidRDefault="00000000">
            <w:pPr>
              <w:spacing w:line="360" w:lineRule="auto"/>
              <w:jc w:val="both"/>
              <w:rPr>
                <w:rFonts w:ascii="Book Antiqua" w:hAnsi="Book Antiqua"/>
                <w:color w:val="auto"/>
              </w:rPr>
            </w:pPr>
            <w:r w:rsidRPr="00BA3C69">
              <w:rPr>
                <w:rFonts w:ascii="Book Antiqua" w:hAnsi="Book Antiqua"/>
                <w:color w:val="auto"/>
              </w:rPr>
              <w:t>0.32 ± 0.22</w:t>
            </w:r>
          </w:p>
        </w:tc>
      </w:tr>
      <w:tr w:rsidR="00C543C7" w:rsidRPr="00BA3C69" w14:paraId="0D2CD1BC" w14:textId="77777777">
        <w:trPr>
          <w:trHeight w:val="776"/>
        </w:trPr>
        <w:tc>
          <w:tcPr>
            <w:tcW w:w="525" w:type="pct"/>
            <w:tcBorders>
              <w:top w:val="nil"/>
              <w:left w:val="nil"/>
              <w:bottom w:val="nil"/>
              <w:right w:val="nil"/>
            </w:tcBorders>
            <w:shd w:val="clear" w:color="auto" w:fill="auto"/>
            <w:tcMar>
              <w:top w:w="80" w:type="dxa"/>
              <w:left w:w="80" w:type="dxa"/>
              <w:bottom w:w="80" w:type="dxa"/>
              <w:right w:w="80" w:type="dxa"/>
            </w:tcMar>
          </w:tcPr>
          <w:p w14:paraId="2421829A"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Std-N</w:t>
            </w:r>
          </w:p>
        </w:tc>
        <w:tc>
          <w:tcPr>
            <w:tcW w:w="596" w:type="pct"/>
            <w:tcBorders>
              <w:top w:val="nil"/>
              <w:left w:val="nil"/>
              <w:bottom w:val="nil"/>
              <w:right w:val="nil"/>
            </w:tcBorders>
            <w:shd w:val="clear" w:color="auto" w:fill="auto"/>
            <w:tcMar>
              <w:top w:w="80" w:type="dxa"/>
              <w:left w:w="80" w:type="dxa"/>
              <w:bottom w:w="80" w:type="dxa"/>
              <w:right w:w="80" w:type="dxa"/>
            </w:tcMar>
          </w:tcPr>
          <w:p w14:paraId="349C08C4"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0.68 ± 0.27 </w:t>
            </w:r>
          </w:p>
        </w:tc>
        <w:tc>
          <w:tcPr>
            <w:tcW w:w="647" w:type="pct"/>
            <w:tcBorders>
              <w:top w:val="nil"/>
              <w:left w:val="nil"/>
              <w:bottom w:val="nil"/>
              <w:right w:val="nil"/>
            </w:tcBorders>
            <w:shd w:val="clear" w:color="auto" w:fill="auto"/>
            <w:tcMar>
              <w:top w:w="80" w:type="dxa"/>
              <w:left w:w="80" w:type="dxa"/>
              <w:bottom w:w="80" w:type="dxa"/>
              <w:right w:w="80" w:type="dxa"/>
            </w:tcMar>
          </w:tcPr>
          <w:p w14:paraId="6109113B"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1.89 ± 0.58</w:t>
            </w:r>
          </w:p>
        </w:tc>
        <w:tc>
          <w:tcPr>
            <w:tcW w:w="620" w:type="pct"/>
            <w:tcBorders>
              <w:top w:val="nil"/>
              <w:left w:val="nil"/>
              <w:bottom w:val="nil"/>
              <w:right w:val="nil"/>
            </w:tcBorders>
            <w:shd w:val="clear" w:color="auto" w:fill="auto"/>
            <w:tcMar>
              <w:top w:w="80" w:type="dxa"/>
              <w:left w:w="80" w:type="dxa"/>
              <w:bottom w:w="80" w:type="dxa"/>
              <w:right w:w="80" w:type="dxa"/>
            </w:tcMar>
          </w:tcPr>
          <w:p w14:paraId="33E6EFF5"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0.70 ± 0.31</w:t>
            </w:r>
          </w:p>
        </w:tc>
        <w:tc>
          <w:tcPr>
            <w:tcW w:w="637" w:type="pct"/>
            <w:tcBorders>
              <w:top w:val="nil"/>
              <w:left w:val="nil"/>
              <w:bottom w:val="nil"/>
              <w:right w:val="nil"/>
            </w:tcBorders>
            <w:shd w:val="clear" w:color="auto" w:fill="auto"/>
            <w:tcMar>
              <w:top w:w="80" w:type="dxa"/>
              <w:left w:w="80" w:type="dxa"/>
              <w:bottom w:w="80" w:type="dxa"/>
              <w:right w:w="80" w:type="dxa"/>
            </w:tcMar>
          </w:tcPr>
          <w:p w14:paraId="3D905695" w14:textId="092B9893" w:rsidR="00C543C7" w:rsidRPr="00BA3C69" w:rsidRDefault="00000000">
            <w:pPr>
              <w:spacing w:line="360" w:lineRule="auto"/>
              <w:jc w:val="both"/>
              <w:rPr>
                <w:rFonts w:ascii="Book Antiqua" w:hAnsi="Book Antiqua"/>
                <w:color w:val="auto"/>
              </w:rPr>
            </w:pPr>
            <w:r w:rsidRPr="00BA3C69">
              <w:rPr>
                <w:rFonts w:ascii="Book Antiqua" w:hAnsi="Book Antiqua"/>
                <w:color w:val="auto"/>
              </w:rPr>
              <w:t>0.61 ± 0.16</w:t>
            </w:r>
          </w:p>
        </w:tc>
        <w:tc>
          <w:tcPr>
            <w:tcW w:w="603" w:type="pct"/>
            <w:tcBorders>
              <w:top w:val="nil"/>
              <w:left w:val="nil"/>
              <w:bottom w:val="nil"/>
              <w:right w:val="nil"/>
            </w:tcBorders>
            <w:shd w:val="clear" w:color="auto" w:fill="auto"/>
            <w:tcMar>
              <w:top w:w="80" w:type="dxa"/>
              <w:left w:w="80" w:type="dxa"/>
              <w:bottom w:w="80" w:type="dxa"/>
              <w:right w:w="80" w:type="dxa"/>
            </w:tcMar>
          </w:tcPr>
          <w:p w14:paraId="65565E08"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2.01 ± 0.54</w:t>
            </w:r>
          </w:p>
        </w:tc>
        <w:tc>
          <w:tcPr>
            <w:tcW w:w="663" w:type="pct"/>
            <w:tcBorders>
              <w:top w:val="nil"/>
              <w:left w:val="nil"/>
              <w:bottom w:val="nil"/>
              <w:right w:val="nil"/>
            </w:tcBorders>
            <w:shd w:val="clear" w:color="auto" w:fill="auto"/>
            <w:tcMar>
              <w:top w:w="80" w:type="dxa"/>
              <w:left w:w="80" w:type="dxa"/>
              <w:bottom w:w="80" w:type="dxa"/>
              <w:right w:w="80" w:type="dxa"/>
            </w:tcMar>
          </w:tcPr>
          <w:p w14:paraId="3D6232D2"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1.60 ± 0.42</w:t>
            </w:r>
          </w:p>
        </w:tc>
        <w:tc>
          <w:tcPr>
            <w:tcW w:w="708" w:type="pct"/>
            <w:tcBorders>
              <w:top w:val="nil"/>
              <w:left w:val="nil"/>
              <w:bottom w:val="nil"/>
              <w:right w:val="nil"/>
            </w:tcBorders>
            <w:shd w:val="clear" w:color="auto" w:fill="auto"/>
            <w:tcMar>
              <w:top w:w="80" w:type="dxa"/>
              <w:left w:w="80" w:type="dxa"/>
              <w:bottom w:w="80" w:type="dxa"/>
              <w:right w:w="80" w:type="dxa"/>
            </w:tcMar>
          </w:tcPr>
          <w:p w14:paraId="7B447AED"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0.54 ± 0.32</w:t>
            </w:r>
          </w:p>
        </w:tc>
      </w:tr>
      <w:tr w:rsidR="00C543C7" w:rsidRPr="00BA3C69" w14:paraId="523696A6" w14:textId="77777777">
        <w:trPr>
          <w:trHeight w:val="776"/>
        </w:trPr>
        <w:tc>
          <w:tcPr>
            <w:tcW w:w="525" w:type="pct"/>
            <w:tcBorders>
              <w:top w:val="nil"/>
              <w:left w:val="nil"/>
              <w:bottom w:val="nil"/>
              <w:right w:val="nil"/>
            </w:tcBorders>
            <w:shd w:val="clear" w:color="auto" w:fill="auto"/>
            <w:tcMar>
              <w:top w:w="80" w:type="dxa"/>
              <w:left w:w="80" w:type="dxa"/>
              <w:bottom w:w="80" w:type="dxa"/>
              <w:right w:w="80" w:type="dxa"/>
            </w:tcMar>
          </w:tcPr>
          <w:p w14:paraId="0B76C1B0"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Std-Y</w:t>
            </w:r>
          </w:p>
        </w:tc>
        <w:tc>
          <w:tcPr>
            <w:tcW w:w="596" w:type="pct"/>
            <w:tcBorders>
              <w:top w:val="nil"/>
              <w:left w:val="nil"/>
              <w:bottom w:val="nil"/>
              <w:right w:val="nil"/>
            </w:tcBorders>
            <w:shd w:val="clear" w:color="auto" w:fill="auto"/>
            <w:tcMar>
              <w:top w:w="80" w:type="dxa"/>
              <w:left w:w="80" w:type="dxa"/>
              <w:bottom w:w="80" w:type="dxa"/>
              <w:right w:w="80" w:type="dxa"/>
            </w:tcMar>
          </w:tcPr>
          <w:p w14:paraId="65F12CBD"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 xml:space="preserve">0.81 ± 0.23 </w:t>
            </w:r>
          </w:p>
        </w:tc>
        <w:tc>
          <w:tcPr>
            <w:tcW w:w="647" w:type="pct"/>
            <w:tcBorders>
              <w:top w:val="nil"/>
              <w:left w:val="nil"/>
              <w:bottom w:val="nil"/>
              <w:right w:val="nil"/>
            </w:tcBorders>
            <w:shd w:val="clear" w:color="auto" w:fill="auto"/>
            <w:tcMar>
              <w:top w:w="80" w:type="dxa"/>
              <w:left w:w="80" w:type="dxa"/>
              <w:bottom w:w="80" w:type="dxa"/>
              <w:right w:w="80" w:type="dxa"/>
            </w:tcMar>
          </w:tcPr>
          <w:p w14:paraId="704E4A84"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0.91 ± 0.18</w:t>
            </w:r>
          </w:p>
        </w:tc>
        <w:tc>
          <w:tcPr>
            <w:tcW w:w="620" w:type="pct"/>
            <w:tcBorders>
              <w:top w:val="nil"/>
              <w:left w:val="nil"/>
              <w:bottom w:val="nil"/>
              <w:right w:val="nil"/>
            </w:tcBorders>
            <w:shd w:val="clear" w:color="auto" w:fill="auto"/>
            <w:tcMar>
              <w:top w:w="80" w:type="dxa"/>
              <w:left w:w="80" w:type="dxa"/>
              <w:bottom w:w="80" w:type="dxa"/>
              <w:right w:w="80" w:type="dxa"/>
            </w:tcMar>
          </w:tcPr>
          <w:p w14:paraId="068D8D76"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0.75 ± 0.24</w:t>
            </w:r>
          </w:p>
        </w:tc>
        <w:tc>
          <w:tcPr>
            <w:tcW w:w="637" w:type="pct"/>
            <w:tcBorders>
              <w:top w:val="nil"/>
              <w:left w:val="nil"/>
              <w:bottom w:val="nil"/>
              <w:right w:val="nil"/>
            </w:tcBorders>
            <w:shd w:val="clear" w:color="auto" w:fill="auto"/>
            <w:tcMar>
              <w:top w:w="80" w:type="dxa"/>
              <w:left w:w="80" w:type="dxa"/>
              <w:bottom w:w="80" w:type="dxa"/>
              <w:right w:w="80" w:type="dxa"/>
            </w:tcMar>
          </w:tcPr>
          <w:p w14:paraId="7F78A3BB"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1.03 ± 0.20</w:t>
            </w:r>
          </w:p>
        </w:tc>
        <w:tc>
          <w:tcPr>
            <w:tcW w:w="603" w:type="pct"/>
            <w:tcBorders>
              <w:top w:val="nil"/>
              <w:left w:val="nil"/>
              <w:bottom w:val="nil"/>
              <w:right w:val="nil"/>
            </w:tcBorders>
            <w:shd w:val="clear" w:color="auto" w:fill="auto"/>
            <w:tcMar>
              <w:top w:w="80" w:type="dxa"/>
              <w:left w:w="80" w:type="dxa"/>
              <w:bottom w:w="80" w:type="dxa"/>
              <w:right w:w="80" w:type="dxa"/>
            </w:tcMar>
          </w:tcPr>
          <w:p w14:paraId="522E4228"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0.88 ± 0.22</w:t>
            </w:r>
          </w:p>
        </w:tc>
        <w:tc>
          <w:tcPr>
            <w:tcW w:w="663" w:type="pct"/>
            <w:tcBorders>
              <w:top w:val="nil"/>
              <w:left w:val="nil"/>
              <w:bottom w:val="nil"/>
              <w:right w:val="nil"/>
            </w:tcBorders>
            <w:shd w:val="clear" w:color="auto" w:fill="auto"/>
            <w:tcMar>
              <w:top w:w="80" w:type="dxa"/>
              <w:left w:w="80" w:type="dxa"/>
              <w:bottom w:w="80" w:type="dxa"/>
              <w:right w:w="80" w:type="dxa"/>
            </w:tcMar>
          </w:tcPr>
          <w:p w14:paraId="53ACD0DF"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0.92 ± 0.22</w:t>
            </w:r>
          </w:p>
        </w:tc>
        <w:tc>
          <w:tcPr>
            <w:tcW w:w="708" w:type="pct"/>
            <w:tcBorders>
              <w:top w:val="nil"/>
              <w:left w:val="nil"/>
              <w:bottom w:val="nil"/>
              <w:right w:val="nil"/>
            </w:tcBorders>
            <w:shd w:val="clear" w:color="auto" w:fill="auto"/>
            <w:tcMar>
              <w:top w:w="80" w:type="dxa"/>
              <w:left w:w="80" w:type="dxa"/>
              <w:bottom w:w="80" w:type="dxa"/>
              <w:right w:w="80" w:type="dxa"/>
            </w:tcMar>
          </w:tcPr>
          <w:p w14:paraId="27D5DAC6"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1.07 ± 0.78</w:t>
            </w:r>
          </w:p>
        </w:tc>
      </w:tr>
      <w:tr w:rsidR="00C543C7" w:rsidRPr="00BA3C69" w14:paraId="7CAAFDBB" w14:textId="77777777">
        <w:trPr>
          <w:trHeight w:val="318"/>
        </w:trPr>
        <w:tc>
          <w:tcPr>
            <w:tcW w:w="525" w:type="pct"/>
            <w:tcBorders>
              <w:top w:val="nil"/>
              <w:left w:val="nil"/>
              <w:bottom w:val="single" w:sz="4" w:space="0" w:color="auto"/>
              <w:right w:val="nil"/>
            </w:tcBorders>
            <w:shd w:val="clear" w:color="auto" w:fill="auto"/>
            <w:tcMar>
              <w:top w:w="80" w:type="dxa"/>
              <w:left w:w="80" w:type="dxa"/>
              <w:bottom w:w="80" w:type="dxa"/>
              <w:right w:w="80" w:type="dxa"/>
            </w:tcMar>
          </w:tcPr>
          <w:p w14:paraId="133E4B67" w14:textId="77777777" w:rsidR="00C543C7" w:rsidRPr="00BA3C69" w:rsidRDefault="00000000">
            <w:pPr>
              <w:spacing w:line="360" w:lineRule="auto"/>
              <w:jc w:val="both"/>
              <w:rPr>
                <w:rFonts w:ascii="Book Antiqua" w:hAnsi="Book Antiqua"/>
                <w:color w:val="auto"/>
              </w:rPr>
            </w:pPr>
            <w:r w:rsidRPr="00BA3C69">
              <w:rPr>
                <w:rFonts w:ascii="Book Antiqua" w:hAnsi="Book Antiqua"/>
                <w:i/>
                <w:iCs/>
                <w:color w:val="auto"/>
              </w:rPr>
              <w:t xml:space="preserve">P </w:t>
            </w:r>
            <w:r w:rsidRPr="00BA3C69">
              <w:rPr>
                <w:rFonts w:ascii="Book Antiqua" w:hAnsi="Book Antiqua"/>
                <w:iCs/>
                <w:color w:val="auto"/>
              </w:rPr>
              <w:t>value</w:t>
            </w:r>
          </w:p>
        </w:tc>
        <w:tc>
          <w:tcPr>
            <w:tcW w:w="596" w:type="pct"/>
            <w:tcBorders>
              <w:top w:val="nil"/>
              <w:left w:val="nil"/>
              <w:bottom w:val="single" w:sz="4" w:space="0" w:color="auto"/>
              <w:right w:val="nil"/>
            </w:tcBorders>
            <w:shd w:val="clear" w:color="auto" w:fill="auto"/>
            <w:tcMar>
              <w:top w:w="80" w:type="dxa"/>
              <w:left w:w="80" w:type="dxa"/>
              <w:bottom w:w="80" w:type="dxa"/>
              <w:right w:w="80" w:type="dxa"/>
            </w:tcMar>
          </w:tcPr>
          <w:p w14:paraId="57DF73E0"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0.270</w:t>
            </w:r>
          </w:p>
        </w:tc>
        <w:tc>
          <w:tcPr>
            <w:tcW w:w="647" w:type="pct"/>
            <w:tcBorders>
              <w:top w:val="nil"/>
              <w:left w:val="nil"/>
              <w:bottom w:val="single" w:sz="4" w:space="0" w:color="auto"/>
              <w:right w:val="nil"/>
            </w:tcBorders>
            <w:shd w:val="clear" w:color="auto" w:fill="auto"/>
            <w:tcMar>
              <w:top w:w="80" w:type="dxa"/>
              <w:left w:w="80" w:type="dxa"/>
              <w:bottom w:w="80" w:type="dxa"/>
              <w:right w:w="80" w:type="dxa"/>
            </w:tcMar>
          </w:tcPr>
          <w:p w14:paraId="326D40D4"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0.009</w:t>
            </w:r>
          </w:p>
        </w:tc>
        <w:tc>
          <w:tcPr>
            <w:tcW w:w="620" w:type="pct"/>
            <w:tcBorders>
              <w:top w:val="nil"/>
              <w:left w:val="nil"/>
              <w:bottom w:val="single" w:sz="4" w:space="0" w:color="auto"/>
              <w:right w:val="nil"/>
            </w:tcBorders>
            <w:shd w:val="clear" w:color="auto" w:fill="auto"/>
            <w:tcMar>
              <w:top w:w="80" w:type="dxa"/>
              <w:left w:w="80" w:type="dxa"/>
              <w:bottom w:w="80" w:type="dxa"/>
              <w:right w:w="80" w:type="dxa"/>
            </w:tcMar>
          </w:tcPr>
          <w:p w14:paraId="245CC070"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0.679</w:t>
            </w:r>
          </w:p>
        </w:tc>
        <w:tc>
          <w:tcPr>
            <w:tcW w:w="637" w:type="pct"/>
            <w:tcBorders>
              <w:top w:val="nil"/>
              <w:left w:val="nil"/>
              <w:bottom w:val="single" w:sz="4" w:space="0" w:color="auto"/>
              <w:right w:val="nil"/>
            </w:tcBorders>
            <w:shd w:val="clear" w:color="auto" w:fill="auto"/>
            <w:tcMar>
              <w:top w:w="80" w:type="dxa"/>
              <w:left w:w="80" w:type="dxa"/>
              <w:bottom w:w="80" w:type="dxa"/>
              <w:right w:w="80" w:type="dxa"/>
            </w:tcMar>
          </w:tcPr>
          <w:p w14:paraId="154F3DBD"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0.000</w:t>
            </w:r>
          </w:p>
        </w:tc>
        <w:tc>
          <w:tcPr>
            <w:tcW w:w="603" w:type="pct"/>
            <w:tcBorders>
              <w:top w:val="nil"/>
              <w:left w:val="nil"/>
              <w:bottom w:val="single" w:sz="4" w:space="0" w:color="auto"/>
              <w:right w:val="nil"/>
            </w:tcBorders>
            <w:shd w:val="clear" w:color="auto" w:fill="auto"/>
            <w:tcMar>
              <w:top w:w="80" w:type="dxa"/>
              <w:left w:w="80" w:type="dxa"/>
              <w:bottom w:w="80" w:type="dxa"/>
              <w:right w:w="80" w:type="dxa"/>
            </w:tcMar>
          </w:tcPr>
          <w:p w14:paraId="1C004637"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0.003</w:t>
            </w:r>
          </w:p>
        </w:tc>
        <w:tc>
          <w:tcPr>
            <w:tcW w:w="663" w:type="pct"/>
            <w:tcBorders>
              <w:top w:val="nil"/>
              <w:left w:val="nil"/>
              <w:bottom w:val="single" w:sz="4" w:space="0" w:color="auto"/>
              <w:right w:val="nil"/>
            </w:tcBorders>
            <w:shd w:val="clear" w:color="auto" w:fill="auto"/>
            <w:tcMar>
              <w:top w:w="80" w:type="dxa"/>
              <w:left w:w="80" w:type="dxa"/>
              <w:bottom w:w="80" w:type="dxa"/>
              <w:right w:w="80" w:type="dxa"/>
            </w:tcMar>
          </w:tcPr>
          <w:p w14:paraId="51927B8E"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0.000</w:t>
            </w:r>
          </w:p>
        </w:tc>
        <w:tc>
          <w:tcPr>
            <w:tcW w:w="708" w:type="pct"/>
            <w:tcBorders>
              <w:top w:val="nil"/>
              <w:left w:val="nil"/>
              <w:bottom w:val="single" w:sz="4" w:space="0" w:color="auto"/>
              <w:right w:val="nil"/>
            </w:tcBorders>
            <w:shd w:val="clear" w:color="auto" w:fill="auto"/>
            <w:tcMar>
              <w:top w:w="80" w:type="dxa"/>
              <w:left w:w="80" w:type="dxa"/>
              <w:bottom w:w="80" w:type="dxa"/>
              <w:right w:w="80" w:type="dxa"/>
            </w:tcMar>
          </w:tcPr>
          <w:p w14:paraId="7B9ACCAD" w14:textId="77777777" w:rsidR="00C543C7" w:rsidRPr="00BA3C69" w:rsidRDefault="00000000">
            <w:pPr>
              <w:spacing w:line="360" w:lineRule="auto"/>
              <w:jc w:val="both"/>
              <w:rPr>
                <w:rFonts w:ascii="Book Antiqua" w:hAnsi="Book Antiqua"/>
                <w:color w:val="auto"/>
              </w:rPr>
            </w:pPr>
            <w:r w:rsidRPr="00BA3C69">
              <w:rPr>
                <w:rFonts w:ascii="Book Antiqua" w:hAnsi="Book Antiqua"/>
                <w:color w:val="auto"/>
              </w:rPr>
              <w:t>0.000</w:t>
            </w:r>
          </w:p>
        </w:tc>
      </w:tr>
    </w:tbl>
    <w:p w14:paraId="710CF500" w14:textId="77777777" w:rsidR="005A016F" w:rsidRPr="00BA3C69" w:rsidRDefault="00000000">
      <w:pPr>
        <w:spacing w:line="360" w:lineRule="auto"/>
        <w:jc w:val="both"/>
        <w:rPr>
          <w:rFonts w:ascii="Book Antiqua" w:hAnsi="Book Antiqua"/>
          <w:color w:val="auto"/>
        </w:rPr>
        <w:sectPr w:rsidR="005A016F" w:rsidRPr="00BA3C69">
          <w:pgSz w:w="12240" w:h="15840"/>
          <w:pgMar w:top="1440" w:right="1440" w:bottom="1440" w:left="1440" w:header="720" w:footer="720" w:gutter="0"/>
          <w:cols w:space="720"/>
        </w:sectPr>
      </w:pPr>
      <w:r w:rsidRPr="00BA3C69">
        <w:rPr>
          <w:rFonts w:ascii="Book Antiqua" w:hAnsi="Book Antiqua"/>
          <w:color w:val="auto"/>
        </w:rPr>
        <w:t>N = pseudo-progressing group; Y = true progressing group. FAk: Anisotropy coefficient of kurtosis; MD: Mean diffusivity; MK: Mean kurtosis; KA: Axial kurtosis; KR: Radial kurtosis; DA: Axial diffusivity; DR: Radial diffusivity.</w:t>
      </w:r>
    </w:p>
    <w:p w14:paraId="191FFF8E" w14:textId="77777777" w:rsidR="005A016F" w:rsidRPr="00BA3C69" w:rsidRDefault="005A016F" w:rsidP="005A016F">
      <w:pPr>
        <w:jc w:val="center"/>
        <w:rPr>
          <w:rFonts w:ascii="Book Antiqua" w:hAnsi="Book Antiqua"/>
        </w:rPr>
      </w:pPr>
    </w:p>
    <w:p w14:paraId="7B9BBC7B" w14:textId="77777777" w:rsidR="005A016F" w:rsidRPr="00BA3C69" w:rsidRDefault="005A016F" w:rsidP="005A016F">
      <w:pPr>
        <w:jc w:val="center"/>
        <w:rPr>
          <w:rFonts w:ascii="Book Antiqua" w:hAnsi="Book Antiqua"/>
        </w:rPr>
      </w:pPr>
    </w:p>
    <w:p w14:paraId="209AA8FB" w14:textId="77777777" w:rsidR="005A016F" w:rsidRPr="00BA3C69" w:rsidRDefault="005A016F" w:rsidP="005A016F">
      <w:pPr>
        <w:jc w:val="center"/>
        <w:rPr>
          <w:rFonts w:ascii="Book Antiqua" w:hAnsi="Book Antiqua"/>
        </w:rPr>
      </w:pPr>
    </w:p>
    <w:p w14:paraId="6851670B" w14:textId="77777777" w:rsidR="005A016F" w:rsidRPr="00BA3C69" w:rsidRDefault="005A016F" w:rsidP="005A016F">
      <w:pPr>
        <w:jc w:val="center"/>
        <w:rPr>
          <w:rFonts w:ascii="Book Antiqua" w:hAnsi="Book Antiqua"/>
        </w:rPr>
      </w:pPr>
    </w:p>
    <w:p w14:paraId="15EB043D" w14:textId="77777777" w:rsidR="005A016F" w:rsidRPr="00BA3C69" w:rsidRDefault="005A016F" w:rsidP="005A016F">
      <w:pPr>
        <w:jc w:val="center"/>
        <w:rPr>
          <w:rFonts w:ascii="Book Antiqua" w:hAnsi="Book Antiqua"/>
        </w:rPr>
      </w:pPr>
    </w:p>
    <w:p w14:paraId="740E5992" w14:textId="77777777" w:rsidR="005A016F" w:rsidRPr="00BA3C69" w:rsidRDefault="005A016F" w:rsidP="005A016F">
      <w:pPr>
        <w:jc w:val="center"/>
        <w:rPr>
          <w:rFonts w:ascii="Book Antiqua" w:hAnsi="Book Antiqua"/>
        </w:rPr>
      </w:pPr>
      <w:r w:rsidRPr="00BA3C69">
        <w:rPr>
          <w:rFonts w:ascii="Book Antiqua" w:hAnsi="Book Antiqua"/>
          <w:noProof/>
        </w:rPr>
        <w:drawing>
          <wp:inline distT="0" distB="0" distL="0" distR="0" wp14:anchorId="2B2DEE11" wp14:editId="1C12C8B0">
            <wp:extent cx="25019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658F25D5" w14:textId="77777777" w:rsidR="005A016F" w:rsidRPr="00BA3C69" w:rsidRDefault="005A016F" w:rsidP="005A016F">
      <w:pPr>
        <w:jc w:val="center"/>
        <w:rPr>
          <w:rFonts w:ascii="Book Antiqua" w:hAnsi="Book Antiqua"/>
        </w:rPr>
      </w:pPr>
    </w:p>
    <w:p w14:paraId="3FAB3685" w14:textId="77777777" w:rsidR="005A016F" w:rsidRPr="00BA3C69" w:rsidRDefault="005A016F" w:rsidP="005A016F">
      <w:pPr>
        <w:autoSpaceDE w:val="0"/>
        <w:autoSpaceDN w:val="0"/>
        <w:adjustRightInd w:val="0"/>
        <w:jc w:val="center"/>
        <w:rPr>
          <w:rFonts w:ascii="Book Antiqua" w:eastAsia="Garamond-Bold" w:hAnsi="Book Antiqua" w:cs="Garamond-Bold"/>
          <w:b/>
          <w:bCs/>
          <w:sz w:val="28"/>
          <w:szCs w:val="28"/>
        </w:rPr>
      </w:pPr>
      <w:r w:rsidRPr="00BA3C69">
        <w:rPr>
          <w:rFonts w:ascii="Book Antiqua" w:eastAsia="TimesNewRomanPSMT" w:hAnsi="Book Antiqua" w:cs="TimesNewRomanPSMT"/>
          <w:sz w:val="28"/>
          <w:szCs w:val="28"/>
        </w:rPr>
        <w:t xml:space="preserve">Published by </w:t>
      </w:r>
      <w:r w:rsidRPr="00BA3C69">
        <w:rPr>
          <w:rFonts w:ascii="Book Antiqua" w:eastAsia="Garamond-Bold" w:hAnsi="Book Antiqua" w:cs="Garamond-Bold"/>
          <w:b/>
          <w:bCs/>
          <w:sz w:val="28"/>
          <w:szCs w:val="28"/>
        </w:rPr>
        <w:t>Baishideng Publishing Group Inc</w:t>
      </w:r>
    </w:p>
    <w:p w14:paraId="26575380" w14:textId="77777777" w:rsidR="005A016F" w:rsidRPr="00BA3C69" w:rsidRDefault="005A016F" w:rsidP="005A016F">
      <w:pPr>
        <w:autoSpaceDE w:val="0"/>
        <w:autoSpaceDN w:val="0"/>
        <w:adjustRightInd w:val="0"/>
        <w:jc w:val="center"/>
        <w:rPr>
          <w:rFonts w:ascii="Book Antiqua" w:eastAsia="TimesNewRomanPSMT" w:hAnsi="Book Antiqua" w:cs="Garamond"/>
          <w:sz w:val="28"/>
          <w:szCs w:val="28"/>
        </w:rPr>
      </w:pPr>
      <w:r w:rsidRPr="00BA3C69">
        <w:rPr>
          <w:rFonts w:ascii="Book Antiqua" w:eastAsia="TimesNewRomanPSMT" w:hAnsi="Book Antiqua" w:cs="Garamond"/>
          <w:sz w:val="28"/>
          <w:szCs w:val="28"/>
        </w:rPr>
        <w:t>7041 Koll Center Parkway, Suite 160, Pleasanton, CA 94566, USA</w:t>
      </w:r>
    </w:p>
    <w:p w14:paraId="7F2B1E67" w14:textId="77777777" w:rsidR="005A016F" w:rsidRPr="00BA3C69" w:rsidRDefault="005A016F" w:rsidP="005A016F">
      <w:pPr>
        <w:autoSpaceDE w:val="0"/>
        <w:autoSpaceDN w:val="0"/>
        <w:adjustRightInd w:val="0"/>
        <w:jc w:val="center"/>
        <w:rPr>
          <w:rFonts w:ascii="Book Antiqua" w:eastAsia="TimesNewRomanPSMT" w:hAnsi="Book Antiqua" w:cs="Garamond"/>
          <w:sz w:val="28"/>
          <w:szCs w:val="28"/>
        </w:rPr>
      </w:pPr>
      <w:r w:rsidRPr="00BA3C69">
        <w:rPr>
          <w:rFonts w:ascii="Book Antiqua" w:eastAsia="Garamond-Bold" w:hAnsi="Book Antiqua" w:cs="Garamond-Bold"/>
          <w:b/>
          <w:bCs/>
          <w:sz w:val="28"/>
          <w:szCs w:val="28"/>
        </w:rPr>
        <w:t xml:space="preserve">Telephone: </w:t>
      </w:r>
      <w:r w:rsidRPr="00BA3C69">
        <w:rPr>
          <w:rFonts w:ascii="Book Antiqua" w:eastAsia="TimesNewRomanPSMT" w:hAnsi="Book Antiqua" w:cs="Garamond"/>
          <w:sz w:val="28"/>
          <w:szCs w:val="28"/>
        </w:rPr>
        <w:t>+1-925-3991568</w:t>
      </w:r>
    </w:p>
    <w:p w14:paraId="343A4B82" w14:textId="77777777" w:rsidR="005A016F" w:rsidRPr="00BA3C69" w:rsidRDefault="005A016F" w:rsidP="005A016F">
      <w:pPr>
        <w:autoSpaceDE w:val="0"/>
        <w:autoSpaceDN w:val="0"/>
        <w:adjustRightInd w:val="0"/>
        <w:jc w:val="center"/>
        <w:rPr>
          <w:rFonts w:ascii="Book Antiqua" w:eastAsia="TimesNewRomanPSMT" w:hAnsi="Book Antiqua" w:cs="Garamond"/>
          <w:color w:val="D56400"/>
          <w:sz w:val="28"/>
          <w:szCs w:val="28"/>
        </w:rPr>
      </w:pPr>
      <w:r w:rsidRPr="00BA3C69">
        <w:rPr>
          <w:rFonts w:ascii="Book Antiqua" w:eastAsia="Garamond-Bold" w:hAnsi="Book Antiqua" w:cs="Garamond-Bold"/>
          <w:b/>
          <w:bCs/>
          <w:sz w:val="28"/>
          <w:szCs w:val="28"/>
        </w:rPr>
        <w:t xml:space="preserve">E-mail: </w:t>
      </w:r>
      <w:r w:rsidRPr="00BA3C69">
        <w:rPr>
          <w:rFonts w:ascii="Book Antiqua" w:eastAsia="TimesNewRomanPSMT" w:hAnsi="Book Antiqua" w:cs="Garamond"/>
          <w:color w:val="D56400"/>
          <w:sz w:val="28"/>
          <w:szCs w:val="28"/>
        </w:rPr>
        <w:t>bpgoffice@wjgnet.com</w:t>
      </w:r>
    </w:p>
    <w:p w14:paraId="3B6F77E5" w14:textId="77777777" w:rsidR="005A016F" w:rsidRPr="00BA3C69" w:rsidRDefault="005A016F" w:rsidP="005A016F">
      <w:pPr>
        <w:autoSpaceDE w:val="0"/>
        <w:autoSpaceDN w:val="0"/>
        <w:adjustRightInd w:val="0"/>
        <w:jc w:val="center"/>
        <w:rPr>
          <w:rFonts w:ascii="Book Antiqua" w:eastAsia="TimesNewRomanPSMT" w:hAnsi="Book Antiqua" w:cs="Garamond"/>
          <w:color w:val="D56400"/>
          <w:sz w:val="28"/>
          <w:szCs w:val="28"/>
        </w:rPr>
      </w:pPr>
      <w:r w:rsidRPr="00BA3C69">
        <w:rPr>
          <w:rFonts w:ascii="Book Antiqua" w:eastAsia="Garamond-Bold" w:hAnsi="Book Antiqua" w:cs="Garamond-Bold"/>
          <w:b/>
          <w:bCs/>
          <w:sz w:val="28"/>
          <w:szCs w:val="28"/>
        </w:rPr>
        <w:t xml:space="preserve">Help Desk: </w:t>
      </w:r>
      <w:r w:rsidRPr="00BA3C69">
        <w:rPr>
          <w:rFonts w:ascii="Book Antiqua" w:eastAsia="TimesNewRomanPSMT" w:hAnsi="Book Antiqua" w:cs="Garamond"/>
          <w:color w:val="D56400"/>
          <w:sz w:val="28"/>
          <w:szCs w:val="28"/>
        </w:rPr>
        <w:t>https://www.f6publishing.com/helpdesk</w:t>
      </w:r>
    </w:p>
    <w:p w14:paraId="3E575279" w14:textId="77777777" w:rsidR="005A016F" w:rsidRPr="00BA3C69" w:rsidRDefault="005A016F" w:rsidP="005A016F">
      <w:pPr>
        <w:jc w:val="center"/>
        <w:rPr>
          <w:rFonts w:ascii="Book Antiqua" w:hAnsi="Book Antiqua"/>
        </w:rPr>
      </w:pPr>
      <w:r w:rsidRPr="00BA3C69">
        <w:rPr>
          <w:rFonts w:ascii="Book Antiqua" w:eastAsia="TimesNewRomanPSMT" w:hAnsi="Book Antiqua" w:cs="Garamond"/>
          <w:color w:val="D56400"/>
          <w:sz w:val="28"/>
          <w:szCs w:val="28"/>
        </w:rPr>
        <w:t>https://www.wjgnet.com</w:t>
      </w:r>
    </w:p>
    <w:p w14:paraId="3703D455" w14:textId="77777777" w:rsidR="005A016F" w:rsidRPr="00BA3C69" w:rsidRDefault="005A016F" w:rsidP="005A016F">
      <w:pPr>
        <w:jc w:val="center"/>
        <w:rPr>
          <w:rFonts w:ascii="Book Antiqua" w:hAnsi="Book Antiqua"/>
        </w:rPr>
      </w:pPr>
    </w:p>
    <w:p w14:paraId="28F59BB2" w14:textId="77777777" w:rsidR="005A016F" w:rsidRPr="00BA3C69" w:rsidRDefault="005A016F" w:rsidP="005A016F">
      <w:pPr>
        <w:jc w:val="center"/>
        <w:rPr>
          <w:rFonts w:ascii="Book Antiqua" w:hAnsi="Book Antiqua"/>
        </w:rPr>
      </w:pPr>
    </w:p>
    <w:p w14:paraId="7162B4D5" w14:textId="77777777" w:rsidR="005A016F" w:rsidRPr="00BA3C69" w:rsidRDefault="005A016F" w:rsidP="005A016F">
      <w:pPr>
        <w:jc w:val="center"/>
        <w:rPr>
          <w:rFonts w:ascii="Book Antiqua" w:hAnsi="Book Antiqua"/>
        </w:rPr>
      </w:pPr>
    </w:p>
    <w:p w14:paraId="72C03FEB" w14:textId="77777777" w:rsidR="005A016F" w:rsidRPr="00BA3C69" w:rsidRDefault="005A016F" w:rsidP="005A016F">
      <w:pPr>
        <w:jc w:val="center"/>
        <w:rPr>
          <w:rFonts w:ascii="Book Antiqua" w:hAnsi="Book Antiqua"/>
        </w:rPr>
      </w:pPr>
      <w:r w:rsidRPr="00BA3C69">
        <w:rPr>
          <w:rFonts w:ascii="Book Antiqua" w:hAnsi="Book Antiqua"/>
          <w:noProof/>
        </w:rPr>
        <w:drawing>
          <wp:inline distT="0" distB="0" distL="0" distR="0" wp14:anchorId="17A9B87E" wp14:editId="65178839">
            <wp:extent cx="1447800" cy="1435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546113FB" w14:textId="77777777" w:rsidR="005A016F" w:rsidRPr="00BA3C69" w:rsidRDefault="005A016F" w:rsidP="005A016F">
      <w:pPr>
        <w:jc w:val="center"/>
        <w:rPr>
          <w:rFonts w:ascii="Book Antiqua" w:hAnsi="Book Antiqua"/>
        </w:rPr>
      </w:pPr>
    </w:p>
    <w:p w14:paraId="2B485688" w14:textId="77777777" w:rsidR="005A016F" w:rsidRPr="00BA3C69" w:rsidRDefault="005A016F" w:rsidP="005A016F">
      <w:pPr>
        <w:jc w:val="center"/>
        <w:rPr>
          <w:rFonts w:ascii="Book Antiqua" w:hAnsi="Book Antiqua"/>
        </w:rPr>
      </w:pPr>
    </w:p>
    <w:p w14:paraId="112C6ACA" w14:textId="77777777" w:rsidR="005A016F" w:rsidRPr="00BA3C69" w:rsidRDefault="005A016F" w:rsidP="005A016F">
      <w:pPr>
        <w:jc w:val="center"/>
        <w:rPr>
          <w:rFonts w:ascii="Book Antiqua" w:hAnsi="Book Antiqua"/>
        </w:rPr>
      </w:pPr>
    </w:p>
    <w:p w14:paraId="70097084" w14:textId="77777777" w:rsidR="005A016F" w:rsidRPr="00BA3C69" w:rsidRDefault="005A016F" w:rsidP="005A016F">
      <w:pPr>
        <w:rPr>
          <w:rFonts w:ascii="Book Antiqua" w:hAnsi="Book Antiqua"/>
        </w:rPr>
      </w:pPr>
    </w:p>
    <w:p w14:paraId="352E6D71" w14:textId="77777777" w:rsidR="005A016F" w:rsidRPr="00BA3C69" w:rsidRDefault="005A016F" w:rsidP="005A016F">
      <w:pPr>
        <w:jc w:val="center"/>
        <w:rPr>
          <w:rFonts w:ascii="Book Antiqua" w:hAnsi="Book Antiqua"/>
        </w:rPr>
      </w:pPr>
    </w:p>
    <w:p w14:paraId="51295AB2" w14:textId="77777777" w:rsidR="005A016F" w:rsidRPr="00BA3C69" w:rsidRDefault="005A016F" w:rsidP="005A016F">
      <w:pPr>
        <w:jc w:val="center"/>
        <w:rPr>
          <w:rFonts w:ascii="Book Antiqua" w:hAnsi="Book Antiqua"/>
        </w:rPr>
      </w:pPr>
    </w:p>
    <w:p w14:paraId="3A8945EA" w14:textId="77777777" w:rsidR="005A016F" w:rsidRPr="00BA3C69" w:rsidRDefault="005A016F" w:rsidP="005A016F">
      <w:pPr>
        <w:jc w:val="center"/>
        <w:rPr>
          <w:rFonts w:ascii="Book Antiqua" w:hAnsi="Book Antiqua"/>
        </w:rPr>
      </w:pPr>
    </w:p>
    <w:p w14:paraId="3F4C0763" w14:textId="77777777" w:rsidR="005A016F" w:rsidRPr="00BA3C69" w:rsidRDefault="005A016F" w:rsidP="005A016F">
      <w:pPr>
        <w:jc w:val="center"/>
        <w:rPr>
          <w:rFonts w:ascii="Book Antiqua" w:hAnsi="Book Antiqua"/>
        </w:rPr>
      </w:pPr>
    </w:p>
    <w:p w14:paraId="62C43196" w14:textId="77777777" w:rsidR="005A016F" w:rsidRPr="00BA3C69" w:rsidRDefault="005A016F" w:rsidP="005A016F">
      <w:pPr>
        <w:jc w:val="right"/>
        <w:rPr>
          <w:rFonts w:ascii="Book Antiqua" w:hAnsi="Book Antiqua"/>
          <w:color w:val="000000" w:themeColor="text1"/>
        </w:rPr>
      </w:pPr>
    </w:p>
    <w:p w14:paraId="1BAF326B" w14:textId="77777777" w:rsidR="005A016F" w:rsidRDefault="005A016F" w:rsidP="005A016F">
      <w:pPr>
        <w:spacing w:line="360" w:lineRule="auto"/>
        <w:jc w:val="center"/>
        <w:rPr>
          <w:lang w:val="en-GB"/>
        </w:rPr>
      </w:pPr>
      <w:r w:rsidRPr="00BA3C69">
        <w:rPr>
          <w:rFonts w:ascii="Book Antiqua" w:eastAsia="BookAntiqua-Bold" w:hAnsi="Book Antiqua" w:cs="BookAntiqua-Bold"/>
          <w:b/>
          <w:bCs/>
          <w:color w:val="000000" w:themeColor="text1"/>
        </w:rPr>
        <w:t>© 2022 Baishideng Publishing Group Inc. All rights reserved.</w:t>
      </w:r>
    </w:p>
    <w:p w14:paraId="46D4FCEC" w14:textId="77777777" w:rsidR="00C543C7" w:rsidRPr="005A016F" w:rsidRDefault="00C543C7">
      <w:pPr>
        <w:spacing w:line="360" w:lineRule="auto"/>
        <w:jc w:val="both"/>
        <w:rPr>
          <w:rFonts w:ascii="Book Antiqua" w:hAnsi="Book Antiqua"/>
          <w:color w:val="auto"/>
          <w:lang w:val="en-GB"/>
        </w:rPr>
      </w:pPr>
    </w:p>
    <w:sectPr w:rsidR="00C543C7" w:rsidRPr="005A016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C7679" w14:textId="77777777" w:rsidR="00034269" w:rsidRDefault="00034269">
      <w:r>
        <w:separator/>
      </w:r>
    </w:p>
  </w:endnote>
  <w:endnote w:type="continuationSeparator" w:id="0">
    <w:p w14:paraId="6ADECB13" w14:textId="77777777" w:rsidR="00034269" w:rsidRDefault="00034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S PGothic"/>
    <w:panose1 w:val="020B0604020202020204"/>
    <w:charset w:val="80"/>
    <w:family w:val="swiss"/>
    <w:pitch w:val="default"/>
    <w:sig w:usb0="00000000" w:usb1="00000000" w:usb2="0000003F" w:usb3="00000000" w:csb0="003F01FF" w:csb1="00000000"/>
  </w:font>
  <w:font w:name="Helvetica Neue">
    <w:altName w:val="Sylfaen"/>
    <w:charset w:val="00"/>
    <w:family w:val="auto"/>
    <w:pitch w:val="default"/>
    <w:sig w:usb0="00000000" w:usb1="00000000"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86856"/>
      <w:docPartObj>
        <w:docPartGallery w:val="AutoText"/>
      </w:docPartObj>
    </w:sdtPr>
    <w:sdtContent>
      <w:sdt>
        <w:sdtPr>
          <w:id w:val="860082579"/>
          <w:docPartObj>
            <w:docPartGallery w:val="AutoText"/>
          </w:docPartObj>
        </w:sdtPr>
        <w:sdtContent>
          <w:p w14:paraId="28B30581" w14:textId="77777777" w:rsidR="00C543C7" w:rsidRDefault="00000000">
            <w:pPr>
              <w:pStyle w:val="a7"/>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22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26</w:t>
            </w:r>
            <w:r>
              <w:rPr>
                <w:b/>
                <w:bCs/>
                <w:sz w:val="24"/>
                <w:szCs w:val="24"/>
              </w:rPr>
              <w:fldChar w:fldCharType="end"/>
            </w:r>
          </w:p>
        </w:sdtContent>
      </w:sdt>
    </w:sdtContent>
  </w:sdt>
  <w:p w14:paraId="76E6E9F8" w14:textId="77777777" w:rsidR="00C543C7" w:rsidRDefault="00C543C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0D18A" w14:textId="77777777" w:rsidR="00034269" w:rsidRDefault="00034269">
      <w:r>
        <w:separator/>
      </w:r>
    </w:p>
  </w:footnote>
  <w:footnote w:type="continuationSeparator" w:id="0">
    <w:p w14:paraId="4690B967" w14:textId="77777777" w:rsidR="00034269" w:rsidRDefault="00034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40EA" w14:textId="77777777" w:rsidR="00C543C7" w:rsidRDefault="00C543C7">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83A4" w14:textId="77777777" w:rsidR="00C543C7" w:rsidRDefault="00C543C7">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9408" w14:textId="77777777" w:rsidR="00C543C7" w:rsidRDefault="00C543C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xsjQ3MjW0NDYysjBR0lEKTi0uzszPAykwrAUAjlZzfywAAAA="/>
    <w:docVar w:name="commondata" w:val="eyJoZGlkIjoiNzQxMjQ0YTQ0ZmU3OTI5ZWNhNzI4MzQxYjA4YWJlOTIifQ=="/>
  </w:docVars>
  <w:rsids>
    <w:rsidRoot w:val="00736AD0"/>
    <w:rsid w:val="000165B4"/>
    <w:rsid w:val="00017D06"/>
    <w:rsid w:val="00034269"/>
    <w:rsid w:val="00066175"/>
    <w:rsid w:val="00077350"/>
    <w:rsid w:val="000D06DA"/>
    <w:rsid w:val="000D1003"/>
    <w:rsid w:val="000E3EA0"/>
    <w:rsid w:val="00132881"/>
    <w:rsid w:val="001462C2"/>
    <w:rsid w:val="00151179"/>
    <w:rsid w:val="00185E18"/>
    <w:rsid w:val="001B2251"/>
    <w:rsid w:val="001E2B79"/>
    <w:rsid w:val="002106B5"/>
    <w:rsid w:val="002307AB"/>
    <w:rsid w:val="00294BA7"/>
    <w:rsid w:val="002A2458"/>
    <w:rsid w:val="00315BCE"/>
    <w:rsid w:val="00337941"/>
    <w:rsid w:val="00346081"/>
    <w:rsid w:val="0038714F"/>
    <w:rsid w:val="003905F0"/>
    <w:rsid w:val="003B3AFB"/>
    <w:rsid w:val="003D1054"/>
    <w:rsid w:val="0042573F"/>
    <w:rsid w:val="00457335"/>
    <w:rsid w:val="00481B33"/>
    <w:rsid w:val="004B47E8"/>
    <w:rsid w:val="005002C0"/>
    <w:rsid w:val="005466D0"/>
    <w:rsid w:val="00555FB1"/>
    <w:rsid w:val="00573818"/>
    <w:rsid w:val="005A016F"/>
    <w:rsid w:val="0060269A"/>
    <w:rsid w:val="00614563"/>
    <w:rsid w:val="0062356C"/>
    <w:rsid w:val="0064549B"/>
    <w:rsid w:val="006654FF"/>
    <w:rsid w:val="00670BB7"/>
    <w:rsid w:val="006863FE"/>
    <w:rsid w:val="007310FF"/>
    <w:rsid w:val="00736AD0"/>
    <w:rsid w:val="007761E1"/>
    <w:rsid w:val="00782421"/>
    <w:rsid w:val="007960CA"/>
    <w:rsid w:val="007B74BE"/>
    <w:rsid w:val="007C1DCF"/>
    <w:rsid w:val="007D72DE"/>
    <w:rsid w:val="007F5D0E"/>
    <w:rsid w:val="00801B5D"/>
    <w:rsid w:val="00810EEA"/>
    <w:rsid w:val="00826441"/>
    <w:rsid w:val="00847F18"/>
    <w:rsid w:val="008A1F6A"/>
    <w:rsid w:val="008C2809"/>
    <w:rsid w:val="00902442"/>
    <w:rsid w:val="00904A09"/>
    <w:rsid w:val="009103E4"/>
    <w:rsid w:val="0091455A"/>
    <w:rsid w:val="00932535"/>
    <w:rsid w:val="009A65CC"/>
    <w:rsid w:val="009A7492"/>
    <w:rsid w:val="009D3535"/>
    <w:rsid w:val="009D43D9"/>
    <w:rsid w:val="009E1448"/>
    <w:rsid w:val="00A72B7D"/>
    <w:rsid w:val="00A86D11"/>
    <w:rsid w:val="00AB5B2E"/>
    <w:rsid w:val="00AC4D41"/>
    <w:rsid w:val="00AD51F3"/>
    <w:rsid w:val="00B220EE"/>
    <w:rsid w:val="00B416E7"/>
    <w:rsid w:val="00B51B68"/>
    <w:rsid w:val="00B56187"/>
    <w:rsid w:val="00B56DA3"/>
    <w:rsid w:val="00B74F7F"/>
    <w:rsid w:val="00B81967"/>
    <w:rsid w:val="00BA3C69"/>
    <w:rsid w:val="00BD1CE3"/>
    <w:rsid w:val="00BD2FFC"/>
    <w:rsid w:val="00BE59F8"/>
    <w:rsid w:val="00BF659E"/>
    <w:rsid w:val="00C01C14"/>
    <w:rsid w:val="00C04775"/>
    <w:rsid w:val="00C43231"/>
    <w:rsid w:val="00C543C7"/>
    <w:rsid w:val="00C960F1"/>
    <w:rsid w:val="00CD2438"/>
    <w:rsid w:val="00D33DE4"/>
    <w:rsid w:val="00D43A3E"/>
    <w:rsid w:val="00E27B2E"/>
    <w:rsid w:val="00E322A7"/>
    <w:rsid w:val="00E700DB"/>
    <w:rsid w:val="00EE53D2"/>
    <w:rsid w:val="00EF6E06"/>
    <w:rsid w:val="00F35E95"/>
    <w:rsid w:val="00F46C23"/>
    <w:rsid w:val="00F52ACA"/>
    <w:rsid w:val="00F6119A"/>
    <w:rsid w:val="00F628B0"/>
    <w:rsid w:val="00FB126C"/>
    <w:rsid w:val="00FC6C60"/>
    <w:rsid w:val="65EA3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F33E1"/>
  <w15:docId w15:val="{A3910067-ACA7-40FB-8CD5-458EB7A4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character" w:styleId="ad">
    <w:name w:val="Hyperlink"/>
    <w:rPr>
      <w:u w:val="single"/>
    </w:rPr>
  </w:style>
  <w:style w:type="character" w:styleId="ae">
    <w:name w:val="annotation reference"/>
    <w:basedOn w:val="a0"/>
    <w:uiPriority w:val="99"/>
    <w:semiHidden/>
    <w:unhideWhenUsed/>
    <w:qFormat/>
    <w:rPr>
      <w:sz w:val="21"/>
      <w:szCs w:val="21"/>
    </w:rPr>
  </w:style>
  <w:style w:type="table" w:customStyle="1" w:styleId="TableNormal1">
    <w:name w:val="Table Normal1"/>
    <w:tblPr>
      <w:tblCellMar>
        <w:top w:w="0" w:type="dxa"/>
        <w:left w:w="0" w:type="dxa"/>
        <w:bottom w:w="0" w:type="dxa"/>
        <w:right w:w="0" w:type="dxa"/>
      </w:tblCellMar>
    </w:tblPr>
  </w:style>
  <w:style w:type="paragraph" w:customStyle="1" w:styleId="HeaderFooter">
    <w:name w:val="Header &amp; Footer"/>
    <w:qFormat/>
    <w:pPr>
      <w:tabs>
        <w:tab w:val="right" w:pos="9020"/>
      </w:tabs>
    </w:pPr>
    <w:rPr>
      <w:rFonts w:ascii="Helvetica Neue" w:eastAsia="Arial Unicode MS" w:hAnsi="Helvetica Neue" w:cs="Arial Unicode MS"/>
      <w:color w:val="000000"/>
      <w:sz w:val="24"/>
      <w:szCs w:val="24"/>
    </w:rPr>
  </w:style>
  <w:style w:type="character" w:customStyle="1" w:styleId="NoneA">
    <w:name w:val="None A"/>
    <w:qFormat/>
  </w:style>
  <w:style w:type="character" w:customStyle="1" w:styleId="aa">
    <w:name w:val="页眉 字符"/>
    <w:basedOn w:val="a0"/>
    <w:link w:val="a9"/>
    <w:uiPriority w:val="99"/>
    <w:qFormat/>
    <w:rPr>
      <w:rFonts w:eastAsia="Arial Unicode MS" w:cs="Arial Unicode MS"/>
      <w:color w:val="000000"/>
      <w:sz w:val="18"/>
      <w:szCs w:val="18"/>
      <w:u w:color="000000"/>
    </w:rPr>
  </w:style>
  <w:style w:type="character" w:customStyle="1" w:styleId="a8">
    <w:name w:val="页脚 字符"/>
    <w:basedOn w:val="a0"/>
    <w:link w:val="a7"/>
    <w:uiPriority w:val="99"/>
    <w:qFormat/>
    <w:rPr>
      <w:rFonts w:eastAsia="Arial Unicode MS" w:cs="Arial Unicode MS"/>
      <w:color w:val="000000"/>
      <w:sz w:val="18"/>
      <w:szCs w:val="18"/>
      <w:u w:color="000000"/>
    </w:rPr>
  </w:style>
  <w:style w:type="character" w:customStyle="1" w:styleId="a4">
    <w:name w:val="批注文字 字符"/>
    <w:basedOn w:val="a0"/>
    <w:link w:val="a3"/>
    <w:uiPriority w:val="99"/>
    <w:qFormat/>
    <w:rPr>
      <w:rFonts w:eastAsia="Arial Unicode MS" w:cs="Arial Unicode MS"/>
      <w:color w:val="000000"/>
      <w:sz w:val="24"/>
      <w:szCs w:val="24"/>
      <w:u w:color="000000"/>
    </w:rPr>
  </w:style>
  <w:style w:type="character" w:customStyle="1" w:styleId="ac">
    <w:name w:val="批注主题 字符"/>
    <w:basedOn w:val="a4"/>
    <w:link w:val="ab"/>
    <w:uiPriority w:val="99"/>
    <w:semiHidden/>
    <w:qFormat/>
    <w:rPr>
      <w:rFonts w:eastAsia="Arial Unicode MS" w:cs="Arial Unicode MS"/>
      <w:b/>
      <w:bCs/>
      <w:color w:val="000000"/>
      <w:sz w:val="24"/>
      <w:szCs w:val="24"/>
      <w:u w:color="000000"/>
    </w:rPr>
  </w:style>
  <w:style w:type="character" w:customStyle="1" w:styleId="a6">
    <w:name w:val="批注框文本 字符"/>
    <w:basedOn w:val="a0"/>
    <w:link w:val="a5"/>
    <w:uiPriority w:val="99"/>
    <w:semiHidden/>
    <w:rPr>
      <w:rFonts w:eastAsia="Arial Unicode MS" w:cs="Arial Unicode MS"/>
      <w:color w:val="000000"/>
      <w:sz w:val="18"/>
      <w:szCs w:val="18"/>
      <w:u w:color="000000"/>
    </w:rPr>
  </w:style>
  <w:style w:type="paragraph" w:customStyle="1" w:styleId="1">
    <w:name w:val="修订1"/>
    <w:hidden/>
    <w:uiPriority w:val="99"/>
    <w:semiHidden/>
    <w:qFormat/>
    <w:rPr>
      <w:rFonts w:eastAsia="Arial Unicode MS" w:cs="Arial Unicode MS"/>
      <w:color w:val="000000"/>
      <w:sz w:val="24"/>
      <w:szCs w:val="24"/>
      <w:u w:color="000000"/>
    </w:rPr>
  </w:style>
  <w:style w:type="character" w:customStyle="1" w:styleId="font01">
    <w:name w:val="font01"/>
    <w:basedOn w:val="a0"/>
    <w:rPr>
      <w:rFonts w:ascii="Book Antiqua" w:eastAsia="Book Antiqua" w:hAnsi="Book Antiqua" w:cs="Book Antiqua" w:hint="default"/>
      <w:b/>
      <w:bCs/>
      <w:i/>
      <w:iCs/>
      <w:color w:val="000000"/>
      <w:sz w:val="24"/>
      <w:szCs w:val="24"/>
      <w:u w:val="none"/>
    </w:rPr>
  </w:style>
  <w:style w:type="character" w:customStyle="1" w:styleId="font31">
    <w:name w:val="font31"/>
    <w:basedOn w:val="a0"/>
    <w:rPr>
      <w:rFonts w:ascii="Book Antiqua" w:eastAsia="Book Antiqua" w:hAnsi="Book Antiqua" w:cs="Book Antiqua" w:hint="default"/>
      <w:b/>
      <w:bCs/>
      <w:color w:val="000000"/>
      <w:sz w:val="24"/>
      <w:szCs w:val="24"/>
      <w:u w:val="none"/>
    </w:rPr>
  </w:style>
  <w:style w:type="character" w:customStyle="1" w:styleId="font21">
    <w:name w:val="font21"/>
    <w:basedOn w:val="a0"/>
    <w:rPr>
      <w:rFonts w:ascii="Book Antiqua" w:eastAsia="Book Antiqua" w:hAnsi="Book Antiqua" w:cs="Book Antiqua" w:hint="default"/>
      <w:color w:val="000000"/>
      <w:sz w:val="24"/>
      <w:szCs w:val="24"/>
      <w:u w:val="none"/>
    </w:rPr>
  </w:style>
  <w:style w:type="character" w:customStyle="1" w:styleId="font41">
    <w:name w:val="font41"/>
    <w:basedOn w:val="a0"/>
    <w:rPr>
      <w:rFonts w:ascii="Book Antiqua" w:eastAsia="Book Antiqua" w:hAnsi="Book Antiqua" w:cs="Book Antiqua" w:hint="default"/>
      <w:i/>
      <w:iCs/>
      <w:color w:val="000000"/>
      <w:sz w:val="24"/>
      <w:szCs w:val="24"/>
      <w:u w:val="none"/>
    </w:rPr>
  </w:style>
  <w:style w:type="paragraph" w:styleId="af">
    <w:name w:val="Revision"/>
    <w:hidden/>
    <w:uiPriority w:val="99"/>
    <w:semiHidden/>
    <w:rsid w:val="0042573F"/>
    <w:rPr>
      <w:rFonts w:eastAsia="Arial Unicode MS" w:cs="Arial Unicode MS"/>
      <w:color w:val="000000"/>
      <w:sz w:val="24"/>
      <w:szCs w:val="24"/>
      <w:u w:color="000000"/>
    </w:rPr>
  </w:style>
  <w:style w:type="character" w:styleId="af0">
    <w:name w:val="Unresolved Mention"/>
    <w:basedOn w:val="a0"/>
    <w:uiPriority w:val="99"/>
    <w:semiHidden/>
    <w:unhideWhenUsed/>
    <w:rsid w:val="00B22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73599-FC68-4440-AE6A-C93FE107A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28</Pages>
  <Words>5819</Words>
  <Characters>33172</Characters>
  <Application>Microsoft Office Word</Application>
  <DocSecurity>0</DocSecurity>
  <Lines>276</Lines>
  <Paragraphs>77</Paragraphs>
  <ScaleCrop>false</ScaleCrop>
  <Company/>
  <LinksUpToDate>false</LinksUpToDate>
  <CharactersWithSpaces>38914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王哈哈哈</dc:creator>
  <cp:lastModifiedBy>Wu ruirui</cp:lastModifiedBy>
  <cp:revision>51</cp:revision>
  <dcterms:created xsi:type="dcterms:W3CDTF">2022-09-21T18:50:00Z</dcterms:created>
  <dcterms:modified xsi:type="dcterms:W3CDTF">2022-10-25T11:14:00Z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96545C162AB74CCA9E08019AECD88BE7</vt:lpwstr>
  </property>
</Properties>
</file>