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77317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bookmarkStart w:id="0" w:name="OLE_LINK4847"/>
      <w:bookmarkStart w:id="1" w:name="OLE_LINK4846"/>
      <w:r>
        <w:rPr>
          <w:rFonts w:ascii="Book Antiqua" w:hAnsi="Book Antiqua" w:eastAsia="Book Antiqua" w:cs="Book Antiqua"/>
          <w:b/>
          <w:bCs/>
          <w:i/>
          <w:iCs/>
          <w:color w:val="000000" w:themeColor="text1"/>
          <w14:textFill>
            <w14:solidFill>
              <w14:schemeClr w14:val="tx1"/>
            </w14:solidFill>
          </w14:textFill>
        </w:rPr>
        <w:t>CCNO</w:t>
      </w:r>
      <w:r>
        <w:rPr>
          <w:rFonts w:ascii="Book Antiqua" w:hAnsi="Book Antiqua" w:eastAsia="Book Antiqua" w:cs="Book Antiqua"/>
          <w:b/>
          <w:bCs/>
          <w:color w:val="000000" w:themeColor="text1"/>
          <w14:textFill>
            <w14:solidFill>
              <w14:schemeClr w14:val="tx1"/>
            </w14:solidFill>
          </w14:textFill>
        </w:rPr>
        <w:t xml:space="preserve"> mutation as a cause of primary ciliary dyskinesia: A case report</w:t>
      </w:r>
    </w:p>
    <w:bookmarkEnd w:id="0"/>
    <w:bookmarkEnd w:id="1"/>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Zhang </w:t>
      </w:r>
      <w:r>
        <w:rPr>
          <w:rFonts w:hint="eastAsia" w:ascii="Book Antiqua" w:hAnsi="Book Antiqua" w:eastAsia="Book Antiqua" w:cs="Book Antiqua"/>
          <w:color w:val="000000" w:themeColor="text1"/>
          <w:lang w:eastAsia="zh-CN"/>
          <w14:textFill>
            <w14:solidFill>
              <w14:schemeClr w14:val="tx1"/>
            </w14:solidFill>
          </w14:textFill>
        </w:rPr>
        <w:t>YY</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xml:space="preserve">. </w:t>
      </w:r>
      <w:bookmarkStart w:id="2" w:name="OLE_LINK4848"/>
      <w:bookmarkStart w:id="3" w:name="OLE_LINK4849"/>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mutation in a woman with P</w:t>
      </w:r>
      <w:r>
        <w:rPr>
          <w:rFonts w:ascii="Book Antiqua" w:hAnsi="Book Antiqua" w:eastAsia="Book Antiqua" w:cs="Book Antiqua"/>
          <w:color w:val="000000" w:themeColor="text1"/>
          <w:lang w:eastAsia="zh-CN"/>
          <w14:textFill>
            <w14:solidFill>
              <w14:schemeClr w14:val="tx1"/>
            </w14:solidFill>
          </w14:textFill>
        </w:rPr>
        <w:t>CD</w:t>
      </w:r>
      <w:bookmarkEnd w:id="2"/>
      <w:bookmarkEnd w:id="3"/>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Yun-Yan Zhang, Yan Lou, Han Yan, Hao Tang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Yun-Yan Zhang, Hao Tang, </w:t>
      </w:r>
      <w:r>
        <w:rPr>
          <w:rFonts w:ascii="Book Antiqua" w:hAnsi="Book Antiqua" w:eastAsia="Book Antiqua" w:cs="Book Antiqua"/>
          <w:color w:val="000000" w:themeColor="text1"/>
          <w14:textFill>
            <w14:solidFill>
              <w14:schemeClr w14:val="tx1"/>
            </w14:solidFill>
          </w14:textFill>
        </w:rPr>
        <w:t>Department of Respiratory and Critical Care Medicine, Changzheng Hospital, Naval Military Medical University, Shanghai 200003,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Yan Lou, </w:t>
      </w:r>
      <w:r>
        <w:rPr>
          <w:rFonts w:ascii="Book Antiqua" w:hAnsi="Book Antiqua" w:eastAsia="Book Antiqua" w:cs="Book Antiqua"/>
          <w:color w:val="000000" w:themeColor="text1"/>
          <w14:textFill>
            <w14:solidFill>
              <w14:schemeClr w14:val="tx1"/>
            </w14:solidFill>
          </w14:textFill>
        </w:rPr>
        <w:t>Department of Orthopedic Oncology, Spine Tumor Center, Changzheng Hospital, Naval Military Medical University, Shanghai 200003,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Han Yan, </w:t>
      </w:r>
      <w:r>
        <w:rPr>
          <w:rFonts w:ascii="Book Antiqua" w:hAnsi="Book Antiqua" w:eastAsia="Book Antiqua" w:cs="Book Antiqua"/>
          <w:color w:val="000000" w:themeColor="text1"/>
          <w14:textFill>
            <w14:solidFill>
              <w14:schemeClr w14:val="tx1"/>
            </w14:solidFill>
          </w14:textFill>
        </w:rPr>
        <w:t>Department of Nephrology, 905</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Hospital of PLA Navy, Naval Military Medical University, Shanghai 200050,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Zhang YY and Lou Y contributed to manuscript writing and editing; Yan H analyzed the data; Tang H designed the research study and revised the manuscript; all authors have read and approved the final manuscript.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Hao Tang, MD, PhD, Chief Doctor, </w:t>
      </w:r>
      <w:r>
        <w:rPr>
          <w:rFonts w:ascii="Book Antiqua" w:hAnsi="Book Antiqua" w:eastAsia="Book Antiqua" w:cs="Book Antiqua"/>
          <w:color w:val="000000" w:themeColor="text1"/>
          <w14:textFill>
            <w14:solidFill>
              <w14:schemeClr w14:val="tx1"/>
            </w14:solidFill>
          </w14:textFill>
        </w:rPr>
        <w:t xml:space="preserve">Department of Respiratory and Critical Care Medicine, Changzheng Hospital, Naval Military Medical University, </w:t>
      </w:r>
      <w:bookmarkStart w:id="4" w:name="OLE_LINK4629"/>
      <w:bookmarkStart w:id="5" w:name="OLE_LINK4630"/>
      <w:r>
        <w:rPr>
          <w:rFonts w:ascii="Book Antiqua" w:hAnsi="Book Antiqua" w:eastAsia="Book Antiqua" w:cs="Book Antiqua"/>
          <w:color w:val="000000" w:themeColor="text1"/>
          <w14:textFill>
            <w14:solidFill>
              <w14:schemeClr w14:val="tx1"/>
            </w14:solidFill>
          </w14:textFill>
        </w:rPr>
        <w:t>No. 415 Fengyang Road</w:t>
      </w:r>
      <w:bookmarkEnd w:id="4"/>
      <w:bookmarkEnd w:id="5"/>
      <w:r>
        <w:rPr>
          <w:rFonts w:ascii="Book Antiqua" w:hAnsi="Book Antiqua" w:eastAsia="Book Antiqua" w:cs="Book Antiqua"/>
          <w:color w:val="000000" w:themeColor="text1"/>
          <w14:textFill>
            <w14:solidFill>
              <w14:schemeClr w14:val="tx1"/>
            </w14:solidFill>
          </w14:textFill>
        </w:rPr>
        <w:t>, Shanghai 200003, China.</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tanghao_0921@126.com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April 24,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May 25,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b w:val="0"/>
          <w:bCs w:val="0"/>
          <w:color w:val="000000" w:themeColor="text1"/>
          <w14:textFill>
            <w14:solidFill>
              <w14:schemeClr w14:val="tx1"/>
            </w14:solidFill>
          </w14:textFill>
        </w:rPr>
        <w:t>July 20,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eastAsia="Book Antiqua" w:cs="Book Antiqua"/>
          <w:b w:val="0"/>
          <w:bCs w:val="0"/>
          <w:color w:val="000000"/>
        </w:rPr>
        <w:t>September 6, 2022</w:t>
      </w: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eastAsia="Book Antiqua" w:cs="Book Antiqua"/>
          <w:color w:val="000000" w:themeColor="text1"/>
          <w:lang w:eastAsia="zh-CN"/>
          <w14:textFill>
            <w14:solidFill>
              <w14:schemeClr w14:val="tx1"/>
            </w14:solidFill>
          </w14:textFill>
        </w:rPr>
      </w:pPr>
      <w:bookmarkStart w:id="6" w:name="OLE_LINK4642"/>
      <w:bookmarkStart w:id="7" w:name="OLE_LINK4641"/>
      <w:bookmarkStart w:id="8" w:name="OLE_LINK4637"/>
      <w:bookmarkStart w:id="9" w:name="OLE_LINK4638"/>
      <w:r>
        <w:rPr>
          <w:rFonts w:ascii="Book Antiqua" w:hAnsi="Book Antiqua" w:eastAsia="Book Antiqua" w:cs="Book Antiqua"/>
          <w:color w:val="000000" w:themeColor="text1"/>
          <w14:textFill>
            <w14:solidFill>
              <w14:schemeClr w14:val="tx1"/>
            </w14:solidFill>
          </w14:textFill>
        </w:rPr>
        <w:t>Primary ciliary dyskinesia</w:t>
      </w:r>
      <w:bookmarkEnd w:id="6"/>
      <w:bookmarkEnd w:id="7"/>
      <w:r>
        <w:rPr>
          <w:rFonts w:ascii="Book Antiqua" w:hAnsi="Book Antiqua" w:eastAsia="Book Antiqua" w:cs="Book Antiqua"/>
          <w:color w:val="000000" w:themeColor="text1"/>
          <w14:textFill>
            <w14:solidFill>
              <w14:schemeClr w14:val="tx1"/>
            </w14:solidFill>
          </w14:textFill>
        </w:rPr>
        <w:t xml:space="preserve"> (PCD) is an uncommon and genetically diverse condition. According to reports, most patients had more than 50 visits before being diagnosed with PCD, and the age at diagnosis was mostly in preschool, with an average age of about (10.9 ± 14.4) years old.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is a pathogenic gene that regulates the cell cycle, and its mutation is linked to the uncommon human genetic disorder PCD. Although the prevalence of the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mutation is regarded to be exceptionally low, new reports of this mutation have increased in comparison to prior ones. PCD patients with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are rare, and the incidence rate is no more than 2% in whole PCD patients.</w:t>
      </w:r>
    </w:p>
    <w:bookmarkEnd w:id="8"/>
    <w:bookmarkEnd w:id="9"/>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Here, we report a case of a young Chinese woman diagnosed with PCD, who was found to carry the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gene by whole exon gene sequencing. In this case, a young non-smoking Chinese female exhibiting recurrent cough and sputum at birth. Chest </w:t>
      </w:r>
      <w:r>
        <w:rPr>
          <w:rFonts w:ascii="Book Antiqua" w:hAnsi="Book Antiqua"/>
          <w:color w:val="000000" w:themeColor="text1"/>
          <w14:textFill>
            <w14:solidFill>
              <w14:schemeClr w14:val="tx1"/>
            </w14:solidFill>
          </w14:textFill>
        </w:rPr>
        <w:t>computed tomography</w:t>
      </w:r>
      <w:r>
        <w:rPr>
          <w:rFonts w:ascii="Book Antiqua" w:hAnsi="Book Antiqua" w:eastAsia="Book Antiqua" w:cs="Book Antiqua"/>
          <w:color w:val="000000" w:themeColor="text1"/>
          <w14:textFill>
            <w14:solidFill>
              <w14:schemeClr w14:val="tx1"/>
            </w14:solidFill>
          </w14:textFill>
        </w:rPr>
        <w:t xml:space="preserve"> (CT) showed bronchiectasis with infection, and sinus CT showed chronic sinusitis. However, the patient had no visceral transposition and no history of infertility. Under electron microscope, it was found that cilia were short and reduced in number, and no power arm of cilia was observed. Whole exon sequencing analysis of the genome of the patient showed that the patient carried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pathogenic gene, exon c.303C&gt;A nonsense mutation and c.248_252dup frameshift mutation. Her clinical symptoms and CT images were improved after two months of treatment with aerosol inhalation and oral azithromycin.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results showed that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is an important cause of PCD. More mutant genes that may contribute to genetically diverse disorders like PCD have been discovered as sequencing technology has advanced. Furthermore, the increase of genetic information makes it easier to diagnose uncommon diseases in clinical practice.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 xml:space="preserve">Primary ciliary immobility disorder;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gene; Whole exon gene sequencing; Clinical profiles; Review of literature; 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themeColor="text1"/>
          <w14:textFill>
            <w14:solidFill>
              <w14:schemeClr w14:val="tx1"/>
            </w14:solidFill>
          </w14:textFill>
        </w:rPr>
        <w:t xml:space="preserve">Zhang YY, Lou Y, Han Y, Tang H. </w:t>
      </w:r>
      <w:bookmarkStart w:id="10" w:name="OLE_LINK4649"/>
      <w:bookmarkStart w:id="11" w:name="OLE_LINK4648"/>
      <w:r>
        <w:rPr>
          <w:rFonts w:ascii="Book Antiqua" w:hAnsi="Book Antiqua" w:eastAsia="Book Antiqua" w:cs="Book Antiqua"/>
          <w:i/>
          <w:iCs/>
          <w:color w:val="000000" w:themeColor="text1"/>
          <w14:textFill>
            <w14:solidFill>
              <w14:schemeClr w14:val="tx1"/>
            </w14:solidFill>
          </w14:textFill>
        </w:rPr>
        <w:t>CCNO</w:t>
      </w:r>
      <w:bookmarkEnd w:id="10"/>
      <w:bookmarkEnd w:id="11"/>
      <w:r>
        <w:rPr>
          <w:rFonts w:ascii="Book Antiqua" w:hAnsi="Book Antiqua" w:eastAsia="Book Antiqua" w:cs="Book Antiqua"/>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mutation as a cause of primary ciliary dyskinesia: A case report.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9148-9155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9148</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9148</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bookmarkStart w:id="12" w:name="OLE_LINK4633"/>
      <w:bookmarkStart w:id="13" w:name="OLE_LINK4634"/>
      <w:r>
        <w:rPr>
          <w:rFonts w:ascii="Book Antiqua" w:hAnsi="Book Antiqua" w:eastAsia="Book Antiqua" w:cs="Book Antiqua"/>
          <w:color w:val="000000" w:themeColor="text1"/>
          <w14:textFill>
            <w14:solidFill>
              <w14:schemeClr w14:val="tx1"/>
            </w14:solidFill>
          </w14:textFill>
        </w:rPr>
        <w:t xml:space="preserve">Primary ciliary dyskinesia (PCD) is a disease that is genetically diverse. Despite the discovery of more than 40 pathogenic genes, there are still insufficient case reports to help clinical diagnosis and treatment. We describe a case of primary ciliary immobility dysfunction caused by mutations in the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w:t>
      </w:r>
      <w:bookmarkStart w:id="14" w:name="OLE_LINK4646"/>
      <w:bookmarkStart w:id="15" w:name="OLE_LINK4645"/>
      <w:bookmarkStart w:id="16" w:name="OLE_LINK4647"/>
      <w:r>
        <w:rPr>
          <w:rFonts w:ascii="Book Antiqua" w:hAnsi="Book Antiqua" w:eastAsia="Book Antiqua" w:cs="Book Antiqua"/>
          <w:color w:val="000000" w:themeColor="text1"/>
          <w14:textFill>
            <w14:solidFill>
              <w14:schemeClr w14:val="tx1"/>
            </w14:solidFill>
          </w14:textFill>
        </w:rPr>
        <w:t>encoding cyclin O</w:t>
      </w:r>
      <w:bookmarkEnd w:id="14"/>
      <w:bookmarkEnd w:id="15"/>
      <w:bookmarkEnd w:id="16"/>
      <w:r>
        <w:rPr>
          <w:rFonts w:ascii="Book Antiqua" w:hAnsi="Book Antiqua" w:eastAsia="Book Antiqua" w:cs="Book Antiqua"/>
          <w:color w:val="000000" w:themeColor="text1"/>
          <w14:textFill>
            <w14:solidFill>
              <w14:schemeClr w14:val="tx1"/>
            </w14:solidFill>
          </w14:textFill>
        </w:rPr>
        <w:t>) gene. The patient lacked the classic PCD triad and was readily overlooked. We require further genetic research and particular case reports.</w:t>
      </w:r>
      <w:bookmarkEnd w:id="12"/>
      <w:bookmarkEnd w:id="13"/>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eastAsia="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Primary ciliary dyskinesia (PCD) is an uncommon and genetically diverse condition. According to reports, most patients had more than 50 visits before being diagnosed with PCD, and the age at diagnosis was mostly in preschool</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with an average age of about (10.9 ± 14.4) years old</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More than 40 PCD pathogenic genes have been discovered to date</w:t>
      </w:r>
      <w:r>
        <w:rPr>
          <w:rFonts w:ascii="Book Antiqua" w:hAnsi="Book Antiqua" w:eastAsia="Book Antiqua" w:cs="Book Antiqua"/>
          <w:color w:val="000000" w:themeColor="text1"/>
          <w:vertAlign w:val="superscript"/>
          <w14:textFill>
            <w14:solidFill>
              <w14:schemeClr w14:val="tx1"/>
            </w14:solidFill>
          </w14:textFill>
        </w:rPr>
        <w:t>[4,5]</w:t>
      </w:r>
      <w:r>
        <w:rPr>
          <w:rFonts w:ascii="Book Antiqua" w:hAnsi="Book Antiqua" w:eastAsia="Book Antiqua" w:cs="Book Antiqua"/>
          <w:color w:val="000000" w:themeColor="text1"/>
          <w14:textFill>
            <w14:solidFill>
              <w14:schemeClr w14:val="tx1"/>
            </w14:solidFill>
          </w14:textFill>
        </w:rPr>
        <w:t>, and the genetic cause may be found in around 70% of individuals with primary ciliary motility disorder</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is a pathogenic gene that regulates the cell cycle, and its mutation is linked to the uncommon human genetic disorder PCD. Although the prevalence of the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mutation is regarded to be exceptionally low, new reports of this mutation have increased in comparison to prior ones</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xml:space="preserve">. PCD patients with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are rare, and the incidence rate is no more than 2% in whole PCD patients</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PCD is a genetic condition that mainly affects the upper and lower respiratory tract. In 1904, Siewert was the first to identify the association of varus, chronic sinusitis, and bronchiectasis. In 1933, </w:t>
      </w:r>
      <w:bookmarkStart w:id="17" w:name="OLE_LINK4652"/>
      <w:bookmarkStart w:id="18" w:name="OLE_LINK4653"/>
      <w:r>
        <w:rPr>
          <w:rFonts w:ascii="Book Antiqua" w:hAnsi="Book Antiqua" w:eastAsia="Book Antiqua" w:cs="Book Antiqua"/>
          <w:color w:val="000000" w:themeColor="text1"/>
          <w14:textFill>
            <w14:solidFill>
              <w14:schemeClr w14:val="tx1"/>
            </w14:solidFill>
          </w14:textFill>
        </w:rPr>
        <w:t>Kartagener</w:t>
      </w:r>
      <w:bookmarkEnd w:id="17"/>
      <w:bookmarkEnd w:id="18"/>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xml:space="preserve"> defined this clinical trio as a distinct congenital disease. Recessive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mutations have been detected in individuals with chronic destructive lung disease due to poor airway clearance, owing to the advantage of gene sequencing technology</w:t>
      </w:r>
      <w:r>
        <w:rPr>
          <w:rFonts w:ascii="Book Antiqua" w:hAnsi="Book Antiqua" w:eastAsia="Book Antiqua" w:cs="Book Antiqua"/>
          <w:color w:val="000000" w:themeColor="text1"/>
          <w:vertAlign w:val="superscript"/>
          <w14:textFill>
            <w14:solidFill>
              <w14:schemeClr w14:val="tx1"/>
            </w14:solidFill>
          </w14:textFill>
        </w:rPr>
        <w:t>[9,10]</w:t>
      </w:r>
      <w:r>
        <w:rPr>
          <w:rFonts w:ascii="Book Antiqua" w:hAnsi="Book Antiqua" w:eastAsia="Book Antiqua" w:cs="Book Antiqua"/>
          <w:color w:val="000000" w:themeColor="text1"/>
          <w14:textFill>
            <w14:solidFill>
              <w14:schemeClr w14:val="tx1"/>
            </w14:solidFill>
          </w14:textFill>
        </w:rPr>
        <w:t xml:space="preserve">. In this paper, we presented a case of a young Chinese woman with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who was diagnosed with PCD without visceral transposition.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spacing w:line="360" w:lineRule="auto"/>
        <w:jc w:val="both"/>
        <w:rPr>
          <w:rFonts w:ascii="Book Antiqua" w:hAnsi="Book Antiqua" w:eastAsia="Book Antiqua" w:cs="Book Antiqua"/>
          <w:bCs/>
          <w:iCs/>
          <w:color w:val="000000" w:themeColor="text1"/>
          <w14:textFill>
            <w14:solidFill>
              <w14:schemeClr w14:val="tx1"/>
            </w14:solidFill>
          </w14:textFill>
        </w:rPr>
      </w:pPr>
      <w:r>
        <w:rPr>
          <w:rFonts w:ascii="Book Antiqua" w:hAnsi="Book Antiqua" w:eastAsia="Book Antiqua" w:cs="Book Antiqua"/>
          <w:bCs/>
          <w:iCs/>
          <w:color w:val="000000" w:themeColor="text1"/>
          <w14:textFill>
            <w14:solidFill>
              <w14:schemeClr w14:val="tx1"/>
            </w14:solidFill>
          </w14:textFill>
        </w:rPr>
        <w:t>A 22-year-old unmarried female patient was hospitalized due to recurrent cough and expectoration for more than 20 years.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presented case was a young non-smoking Chinese female with recurrent cough and expectoration at birth and occasional dyspnea, which continued into adulthood. Repeated use of antibiotics, antivirals and small doses of hormone anti-inflammatory could not alleviate the symptoms.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had no previous medical history.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rFonts w:ascii="Book Antiqua" w:hAnsi="Book Antiqua" w:eastAsia="Book Antiqua" w:cs="Book Antiqua"/>
          <w:bCs/>
          <w:iCs/>
          <w:color w:val="000000" w:themeColor="text1"/>
          <w14:textFill>
            <w14:solidFill>
              <w14:schemeClr w14:val="tx1"/>
            </w14:solidFill>
          </w14:textFill>
        </w:rPr>
      </w:pPr>
      <w:r>
        <w:rPr>
          <w:rFonts w:ascii="Book Antiqua" w:hAnsi="Book Antiqua" w:eastAsia="Book Antiqua" w:cs="Book Antiqua"/>
          <w:bCs/>
          <w:iCs/>
          <w:color w:val="000000" w:themeColor="text1"/>
          <w14:textFill>
            <w14:solidFill>
              <w14:schemeClr w14:val="tx1"/>
            </w14:solidFill>
          </w14:textFill>
        </w:rPr>
        <w:t>Her uncle had a history of recurrent cough and expectoration at birth, but he did not seek medical assistance or formal medical treatment.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spacing w:line="360" w:lineRule="auto"/>
        <w:jc w:val="both"/>
        <w:rPr>
          <w:rFonts w:ascii="Book Antiqua" w:hAnsi="Book Antiqua" w:eastAsia="Book Antiqua" w:cs="Book Antiqua"/>
          <w:bCs/>
          <w:iCs/>
          <w:color w:val="000000" w:themeColor="text1"/>
          <w14:textFill>
            <w14:solidFill>
              <w14:schemeClr w14:val="tx1"/>
            </w14:solidFill>
          </w14:textFill>
        </w:rPr>
      </w:pPr>
      <w:r>
        <w:rPr>
          <w:rFonts w:ascii="Book Antiqua" w:hAnsi="Book Antiqua" w:eastAsia="Book Antiqua" w:cs="Book Antiqua"/>
          <w:bCs/>
          <w:iCs/>
          <w:color w:val="000000" w:themeColor="text1"/>
          <w14:textFill>
            <w14:solidFill>
              <w14:schemeClr w14:val="tx1"/>
            </w14:solidFill>
          </w14:textFill>
        </w:rPr>
        <w:t>The patient’s vital signs were stable on admission. Bilateral lung percussion was clear, and auscultation reduces respiratory sounds in both lungs.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i/>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rFonts w:ascii="Book Antiqua" w:hAnsi="Book Antiqua" w:eastAsia="Book Antiqua" w:cs="Book Antiqua"/>
          <w:bCs/>
          <w:iCs/>
          <w:color w:val="000000" w:themeColor="text1"/>
          <w14:textFill>
            <w14:solidFill>
              <w14:schemeClr w14:val="tx1"/>
            </w14:solidFill>
          </w14:textFill>
        </w:rPr>
      </w:pPr>
      <w:r>
        <w:rPr>
          <w:rFonts w:ascii="Book Antiqua" w:hAnsi="Book Antiqua" w:eastAsia="Book Antiqua" w:cs="Book Antiqua"/>
          <w:bCs/>
          <w:iCs/>
          <w:color w:val="000000" w:themeColor="text1"/>
          <w14:textFill>
            <w14:solidFill>
              <w14:schemeClr w14:val="tx1"/>
            </w14:solidFill>
          </w14:textFill>
        </w:rPr>
        <w:t xml:space="preserve">Laboratory markers were white blood cell 13.4 </w:t>
      </w:r>
      <w:bookmarkStart w:id="19" w:name="OLE_LINK4693"/>
      <w:bookmarkStart w:id="20" w:name="OLE_LINK4694"/>
      <w:r>
        <w:rPr>
          <w:rFonts w:ascii="Book Antiqua" w:hAnsi="Book Antiqua" w:eastAsia="Book Antiqua" w:cs="Book Antiqua"/>
          <w:bCs/>
          <w:iCs/>
          <w:color w:val="000000" w:themeColor="text1"/>
          <w14:textFill>
            <w14:solidFill>
              <w14:schemeClr w14:val="tx1"/>
            </w14:solidFill>
          </w14:textFill>
        </w:rPr>
        <w:t>×</w:t>
      </w:r>
      <w:bookmarkEnd w:id="19"/>
      <w:bookmarkEnd w:id="20"/>
      <w:r>
        <w:rPr>
          <w:rFonts w:ascii="Book Antiqua" w:hAnsi="Book Antiqua" w:eastAsia="Book Antiqua" w:cs="Book Antiqua"/>
          <w:bCs/>
          <w:iCs/>
          <w:color w:val="000000" w:themeColor="text1"/>
          <w14:textFill>
            <w14:solidFill>
              <w14:schemeClr w14:val="tx1"/>
            </w14:solidFill>
          </w14:textFill>
        </w:rPr>
        <w:t xml:space="preserve"> 109/L and neutrophil ratio 78.4%, inflammatory indicators were normal, fungal culture and bacterial culture were negative, and acid-fast staining and T-SPOT were negative. Hepatitis B, syphilis, and HIV testing were all negative.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Chest </w:t>
      </w:r>
      <w:r>
        <w:rPr>
          <w:rFonts w:ascii="Book Antiqua" w:hAnsi="Book Antiqua"/>
          <w:color w:val="000000" w:themeColor="text1"/>
          <w14:textFill>
            <w14:solidFill>
              <w14:schemeClr w14:val="tx1"/>
            </w14:solidFill>
          </w14:textFill>
        </w:rPr>
        <w:t>computed tomography</w:t>
      </w:r>
      <w:r>
        <w:rPr>
          <w:rFonts w:ascii="Book Antiqua" w:hAnsi="Book Antiqua" w:eastAsia="Book Antiqua" w:cs="Book Antiqua"/>
          <w:color w:val="000000" w:themeColor="text1"/>
          <w14:textFill>
            <w14:solidFill>
              <w14:schemeClr w14:val="tx1"/>
            </w14:solidFill>
          </w14:textFill>
        </w:rPr>
        <w:t xml:space="preserve"> (CT) showed marked bronchiectasis with infection, typical "tree bud sign", and miliary nodules in the lower left lung (Figure 1). Sinus CT scans showed bilateral maxillary and ethmoid sinusitis (Figure 2). Abdominal ultrasound and cardiac ultrasound did not suggest visceral transposition (Figure 3). We collected a tissue biopsy from Carina with flexible fiberoptic bronchoscopy to confirm the disease, and electron microscopy revealed that some epithelial cells had few cilia, with missing and short cilia. There was no ciliated power arm after 1000 magnification (Figure 4).</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diagnosed with PCD based on clinical characteristics, imaging, electron microscopic</w:t>
      </w:r>
    </w:p>
    <w:p>
      <w:pPr>
        <w:spacing w:line="360" w:lineRule="auto"/>
        <w:jc w:val="both"/>
        <w:rPr>
          <w:rFonts w:ascii="Book Antiqua" w:hAnsi="Book Antiqua" w:eastAsia="Book Antiqua" w:cs="Book Antiqua"/>
          <w:b/>
          <w:caps/>
          <w:color w:val="000000" w:themeColor="text1"/>
          <w:u w:val="single"/>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given aerosol sputum elimination for respiratory symptoms, followed by oral azithromycin for two months.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After two months of oral azithromycin, the lung lesion in the lower left was less than before, according to a reexamination of the chest CT scan (Figure 5).</w:t>
      </w:r>
    </w:p>
    <w:p>
      <w:pPr>
        <w:spacing w:line="360" w:lineRule="auto"/>
        <w:jc w:val="both"/>
        <w:rPr>
          <w:rFonts w:ascii="Book Antiqua" w:hAnsi="Book Antiqua" w:eastAsia="Book Antiqua" w:cs="Book Antiqua"/>
          <w:b/>
          <w:caps/>
          <w:color w:val="000000" w:themeColor="text1"/>
          <w:u w:val="single"/>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PCD is an autosomal recessive genetic illness due to X-linked double-allele mutation, which causes aberrant ciliary movement and clearance function caused by defective ciliary ultrastructure and function</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In severe circumstances, at least 50% of patients may experience unexplained newborn respiratory distress, necessitating the use of a ventilator. The most prevalent symptoms are respiratory bronchiectasis, cardiovascular visceral transposition, infertility in men due to sperm motility abnormalities, and ectopic pregnancy or infertility in women due to fallopian tube cilium malfunction. This clinical trio was first identified as a unique congenital syndrome by Kartagener</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However, because PCD is a rare and underdiagnosed disease, reported series are typically small, with the pediatric cohort accounting for the majority of cases</w:t>
      </w:r>
      <w:r>
        <w:rPr>
          <w:rFonts w:ascii="Book Antiqua" w:hAnsi="Book Antiqua" w:eastAsia="Book Antiqua" w:cs="Book Antiqua"/>
          <w:color w:val="000000" w:themeColor="text1"/>
          <w:vertAlign w:val="superscript"/>
          <w14:textFill>
            <w14:solidFill>
              <w14:schemeClr w14:val="tx1"/>
            </w14:solidFill>
          </w14:textFill>
        </w:rPr>
        <w:t>[12-14]</w:t>
      </w:r>
      <w:r>
        <w:rPr>
          <w:rFonts w:ascii="Book Antiqua" w:hAnsi="Book Antiqua" w:eastAsia="Book Antiqua" w:cs="Book Antiqua"/>
          <w:color w:val="000000" w:themeColor="text1"/>
          <w14:textFill>
            <w14:solidFill>
              <w14:schemeClr w14:val="tx1"/>
            </w14:solidFill>
          </w14:textFill>
        </w:rPr>
        <w:t>, and adult PCD cases are scarce. The reported prevalence rate of PCD in the general population ranges from 1/2000 to 1/40000</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However, the incidence of PCD in Chinese population is unknown. Furthermore, we discovered that a small percentage of PCD patients did not exhibit visceral transposition or infertility but only had respiratory symptoms. As a result, clinicians frequently missed diagnosis of PCD in these patients. In this study, the young female patient has been suffering from recurring respiratory tract infection symptoms from childhood. Clinical consequences include chronic sinusitis, bronchiectasis, and bronchiolitis. Furthermore, short and absent cilia was found under electron microscopy of tracheoscopic biopsy tissue. All of these fulfilled the PCD diagnostic criteria. However, the patient was not diagnosed as PCD in the last two decades, because she had no indications of visceral transposition and no oppotunity of infertility.</w:t>
      </w:r>
    </w:p>
    <w:p>
      <w:pPr>
        <w:spacing w:line="360" w:lineRule="auto"/>
        <w:ind w:firstLine="240" w:firstLineChars="1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Cilia is an important accessory structure of cells, and the core structure of cilia is ciliary axoneme. Normal cilia are composed of a pair of central microtubules, surrounded by a set of peripheral microtubules which form a conventional (9 + 2) structure, and the connection between the central microtubules and the peripheral microtubules is completed by radial bonds. Among them, the direction of cilia is controlled by the change of the moving angle of the radiation arm which is responsible for the connection between the inner power arm and the central microtubule</w:t>
      </w:r>
      <w:r>
        <w:rPr>
          <w:rFonts w:ascii="Book Antiqua" w:hAnsi="Book Antiqua" w:eastAsia="Book Antiqua" w:cs="Book Antiqua"/>
          <w:color w:val="000000" w:themeColor="text1"/>
          <w:vertAlign w:val="superscript"/>
          <w14:textFill>
            <w14:solidFill>
              <w14:schemeClr w14:val="tx1"/>
            </w14:solidFill>
          </w14:textFill>
        </w:rPr>
        <w:t>[16,17]</w:t>
      </w:r>
      <w:r>
        <w:rPr>
          <w:rFonts w:ascii="Book Antiqua" w:hAnsi="Book Antiqua" w:eastAsia="Book Antiqua" w:cs="Book Antiqua"/>
          <w:color w:val="000000" w:themeColor="text1"/>
          <w14:textFill>
            <w14:solidFill>
              <w14:schemeClr w14:val="tx1"/>
            </w14:solidFill>
          </w14:textFill>
        </w:rPr>
        <w:t>. Under normal circumstances, hundreds of millions of cilia in respiratory mucosa act as "scavengers". The normal oscillation of cilia causes dust and bacteria sucked into bronchi to be discharged together with cell fragments and mucus secreted by respiratory tract. However, once the cilia beat is damaged, it will lead to chronic airway infection. In pathology, the most common phenomenon is the loss or shortening of the external and/or internal dynamin arms. Ultrastructural defect, decrease of cilia or ciliary movement disorder are that root cause of PCD. When mucus is unusually viscous and ciliary movement decreases, it will lead to mucociliary clearance disorder, resulting in primary ciliary movement disorder (PCD)</w:t>
      </w:r>
      <w:r>
        <w:rPr>
          <w:rFonts w:ascii="Book Antiqua" w:hAnsi="Book Antiqua" w:eastAsia="Book Antiqua" w:cs="Book Antiqua"/>
          <w:color w:val="000000" w:themeColor="text1"/>
          <w:vertAlign w:val="superscript"/>
          <w14:textFill>
            <w14:solidFill>
              <w14:schemeClr w14:val="tx1"/>
            </w14:solidFill>
          </w14:textFill>
        </w:rPr>
        <w:t>[2,5,18]</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PCD is a genetically heterogeneous illness caused by mutations in a variety of genes</w:t>
      </w:r>
      <w:r>
        <w:rPr>
          <w:rFonts w:ascii="Book Antiqua" w:hAnsi="Book Antiqua" w:eastAsia="Book Antiqua" w:cs="Book Antiqua"/>
          <w:color w:val="000000" w:themeColor="text1"/>
          <w:vertAlign w:val="superscript"/>
          <w14:textFill>
            <w14:solidFill>
              <w14:schemeClr w14:val="tx1"/>
            </w14:solidFill>
          </w14:textFill>
        </w:rPr>
        <w:t>[19-22]</w:t>
      </w:r>
      <w:r>
        <w:rPr>
          <w:rFonts w:ascii="Book Antiqua" w:hAnsi="Book Antiqua" w:eastAsia="Book Antiqua" w:cs="Book Antiqua"/>
          <w:color w:val="000000" w:themeColor="text1"/>
          <w14:textFill>
            <w14:solidFill>
              <w14:schemeClr w14:val="tx1"/>
            </w14:solidFill>
          </w14:textFill>
        </w:rPr>
        <w:t>. Primary ciliary dyskinesia is caused by mutations in more than 40 genes, and with breakthroughs in detection techniques, more genes may be identified in the future</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xml:space="preserve">. One of the pathogenic genes is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is made up of three exons on chromosome 5q11 that code for a 1053 BP cDNA and a 350 amino acid protein.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is a cyclin-like protein with two cyclin-box folds and protein-binding domains that are regarded to be involved in cell cycle and transcriptional regulation. Recessive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(encoding cyclin O) mutations have been detected in individuals with chronic destructive lung disease due to poor airway clearance, thanks to rapid development of sequencing technology</w:t>
      </w:r>
      <w:r>
        <w:rPr>
          <w:rFonts w:ascii="Book Antiqua" w:hAnsi="Book Antiqua" w:eastAsia="Book Antiqua" w:cs="Book Antiqua"/>
          <w:color w:val="000000" w:themeColor="text1"/>
          <w:vertAlign w:val="superscript"/>
          <w14:textFill>
            <w14:solidFill>
              <w14:schemeClr w14:val="tx1"/>
            </w14:solidFill>
          </w14:textFill>
        </w:rPr>
        <w:t>[9,10,23]</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mutations was linked to chronic respiratory disorders and progressive loss of respiratory function</w:t>
      </w:r>
      <w:r>
        <w:rPr>
          <w:rFonts w:ascii="Book Antiqua" w:hAnsi="Book Antiqua" w:eastAsia="Book Antiqua" w:cs="Book Antiqua"/>
          <w:color w:val="000000" w:themeColor="text1"/>
          <w:vertAlign w:val="superscript"/>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xml:space="preserve">, with all affected people experiencing recurrent upper and lower respiratory tract infections as well as bronchiectasis. This is due to the fact that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mutants have a significantly reduced number of cilia, and their MMC is insufficient to clear cell debris, inhaled particles, and germs from the upper and lower respiratory tracts, resulting in recurring respiratory tract infections. According to the literature, PCD cases with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mutation had early onset respiratory symptoms as the first symptom</w:t>
      </w:r>
      <w:r>
        <w:rPr>
          <w:rFonts w:ascii="Book Antiqua" w:hAnsi="Book Antiqua" w:eastAsia="Book Antiqua" w:cs="Book Antiqua"/>
          <w:color w:val="000000" w:themeColor="text1"/>
          <w:vertAlign w:val="superscript"/>
          <w14:textFill>
            <w14:solidFill>
              <w14:schemeClr w14:val="tx1"/>
            </w14:solidFill>
          </w14:textFill>
        </w:rPr>
        <w:t>[4,11]</w:t>
      </w:r>
      <w:r>
        <w:rPr>
          <w:rFonts w:ascii="Book Antiqua" w:hAnsi="Book Antiqua" w:eastAsia="Book Antiqua" w:cs="Book Antiqua"/>
          <w:color w:val="000000" w:themeColor="text1"/>
          <w14:textFill>
            <w14:solidFill>
              <w14:schemeClr w14:val="tx1"/>
            </w14:solidFill>
          </w14:textFill>
        </w:rPr>
        <w:t xml:space="preserve">, resulting in recurring respiratory symptoms in patients. In the complete genome, heterozygous variation of the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gene c.303C&gt;A and heterozygous variation of c.248_252dup were discovered, which were also found in the female case described in this study. According to ACMG pathogenicity evidence, the heterozygous mutation was nonfunctional (LOF) variation, which could result in translation-produced proteins being truncated or degraded</w:t>
      </w:r>
      <w:r>
        <w:rPr>
          <w:rFonts w:ascii="Book Antiqua" w:hAnsi="Book Antiqua" w:eastAsia="Book Antiqua" w:cs="Book Antiqua"/>
          <w:color w:val="000000" w:themeColor="text1"/>
          <w:vertAlign w:val="superscript"/>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most prevalent clinical sign of PCD is recurrent respiratory tract infection. PCD lung disease can progress slowly if not managed effectively. Early intervention is critical for better symptom control. According to earlier findings,</w:t>
      </w:r>
      <w:r>
        <w:rPr>
          <w:rFonts w:ascii="Book Antiqua" w:hAnsi="Book Antiqua" w:eastAsia="Book Antiqua" w:cs="Book Antiqua"/>
          <w:i/>
          <w:iCs/>
          <w:color w:val="000000" w:themeColor="text1"/>
          <w14:textFill>
            <w14:solidFill>
              <w14:schemeClr w14:val="tx1"/>
            </w14:solidFill>
          </w14:textFill>
        </w:rPr>
        <w:t xml:space="preserve"> Haemophilus influenzae</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Pseudomonas aeruginosa</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Streptococcus pneumoniae</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Staphylococcus aureus</w:t>
      </w:r>
      <w:r>
        <w:rPr>
          <w:rFonts w:ascii="Book Antiqua" w:hAnsi="Book Antiqua" w:eastAsia="Book Antiqua" w:cs="Book Antiqua"/>
          <w:color w:val="000000" w:themeColor="text1"/>
          <w14:textFill>
            <w14:solidFill>
              <w14:schemeClr w14:val="tx1"/>
            </w14:solidFill>
          </w14:textFill>
        </w:rPr>
        <w:t>, and non-tuberculous mycobacteria are the most prevalent PCD infection microorganisms</w:t>
      </w:r>
      <w:r>
        <w:rPr>
          <w:rFonts w:ascii="Book Antiqua" w:hAnsi="Book Antiqua" w:eastAsia="Book Antiqua" w:cs="Book Antiqua"/>
          <w:color w:val="000000" w:themeColor="text1"/>
          <w:vertAlign w:val="superscript"/>
          <w14:textFill>
            <w14:solidFill>
              <w14:schemeClr w14:val="tx1"/>
            </w14:solidFill>
          </w14:textFill>
        </w:rPr>
        <w:t>[25]</w:t>
      </w:r>
      <w:r>
        <w:rPr>
          <w:rFonts w:ascii="Book Antiqua" w:hAnsi="Book Antiqua" w:eastAsia="Book Antiqua" w:cs="Book Antiqua"/>
          <w:color w:val="000000" w:themeColor="text1"/>
          <w14:textFill>
            <w14:solidFill>
              <w14:schemeClr w14:val="tx1"/>
            </w14:solidFill>
          </w14:textFill>
        </w:rPr>
        <w:t>. Macrolides can relieve respiratory symptoms of PCD patients and improve their prognosis to some extent, while the specific mechanism is yet unknown. Macrolides were utilized in several studies in Japan for PCD patients, and the immunomodulatory impact of macrolides was partly responsible for the relief of respiratory symptoms in PCD patients</w:t>
      </w:r>
      <w:r>
        <w:rPr>
          <w:rFonts w:ascii="Book Antiqua" w:hAnsi="Book Antiqua" w:eastAsia="Book Antiqua" w:cs="Book Antiqua"/>
          <w:color w:val="000000" w:themeColor="text1"/>
          <w:vertAlign w:val="superscript"/>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 Sputum symptoms and chest CT results improved dramatically after 2 mo of azithromycin treatment, which was also found in the female patient in this study.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In conclusion, we reported a young female patient with repeated respiratory symptoms, who was diagnosed as PCD after the whole exon gene detection of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CCNO</w:t>
      </w:r>
      <w:r>
        <w:rPr>
          <w:rFonts w:ascii="Book Antiqua" w:hAnsi="Book Antiqua" w:eastAsia="Book Antiqua" w:cs="Book Antiqua"/>
          <w:color w:val="000000" w:themeColor="text1"/>
          <w14:textFill>
            <w14:solidFill>
              <w14:schemeClr w14:val="tx1"/>
            </w14:solidFill>
          </w14:textFill>
        </w:rPr>
        <w:t xml:space="preserve"> carrier is a relatively rare condition, and it is difficult to differentiate it from respiratory diseases. We believed that the diagnosis of primary ciliary dyskinesia still depended on the combination of various tests. In the past five years, certain genes have been reported to be associated with mild respiratory diseases</w:t>
      </w:r>
      <w:r>
        <w:rPr>
          <w:rFonts w:ascii="Book Antiqua" w:hAnsi="Book Antiqua" w:eastAsia="Book Antiqua" w:cs="Book Antiqua"/>
          <w:color w:val="000000" w:themeColor="text1"/>
          <w:vertAlign w:val="superscript"/>
          <w14:textFill>
            <w14:solidFill>
              <w14:schemeClr w14:val="tx1"/>
            </w14:solidFill>
          </w14:textFill>
        </w:rPr>
        <w:t>[9,10]</w:t>
      </w:r>
      <w:r>
        <w:rPr>
          <w:rFonts w:ascii="Book Antiqua" w:hAnsi="Book Antiqua" w:eastAsia="Book Antiqua" w:cs="Book Antiqua"/>
          <w:color w:val="000000" w:themeColor="text1"/>
          <w14:textFill>
            <w14:solidFill>
              <w14:schemeClr w14:val="tx1"/>
            </w14:solidFill>
          </w14:textFill>
        </w:rPr>
        <w:t>. The development of gene sequencing technology promotes the improvement of ciliary gene knowledge, which promotes the progress of clinical phenotype analysis. In addition, despite recent breakthroughs in understanding the underlying genetics and disease mechanisms, there is still a lack of evidence to treat this rare and under-diagnosed disease, which requires further research in the future.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ACKNOWLEDGEMENTS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are grateful to the patient and her parents for their cooperation and willingness to participate in this study.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color w:val="000000" w:themeColor="text1"/>
          <w14:textFill>
            <w14:solidFill>
              <w14:schemeClr w14:val="tx1"/>
            </w14:solidFill>
          </w14:textFill>
        </w:rPr>
      </w:pPr>
      <w:bookmarkStart w:id="21" w:name="OLE_LINK4677"/>
      <w:bookmarkStart w:id="22" w:name="OLE_LINK4676"/>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Popatia R</w:t>
      </w:r>
      <w:r>
        <w:rPr>
          <w:rFonts w:ascii="Book Antiqua" w:hAnsi="Book Antiqua" w:eastAsia="Book Antiqua" w:cs="Book Antiqua"/>
          <w:color w:val="000000" w:themeColor="text1"/>
          <w14:textFill>
            <w14:solidFill>
              <w14:schemeClr w14:val="tx1"/>
            </w14:solidFill>
          </w14:textFill>
        </w:rPr>
        <w:t xml:space="preserve">, Haver K, Casey A. Primary Ciliary Dyskinesia: An Update on New Diagnostic Modalities and Review of the Literature. </w:t>
      </w:r>
      <w:r>
        <w:rPr>
          <w:rFonts w:ascii="Book Antiqua" w:hAnsi="Book Antiqua" w:eastAsia="Book Antiqua" w:cs="Book Antiqua"/>
          <w:i/>
          <w:iCs/>
          <w:color w:val="000000" w:themeColor="text1"/>
          <w14:textFill>
            <w14:solidFill>
              <w14:schemeClr w14:val="tx1"/>
            </w14:solidFill>
          </w14:textFill>
        </w:rPr>
        <w:t>Pediatr Allergy Immunol Pulmonol</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27</w:t>
      </w:r>
      <w:r>
        <w:rPr>
          <w:rFonts w:ascii="Book Antiqua" w:hAnsi="Book Antiqua" w:eastAsia="Book Antiqua" w:cs="Book Antiqua"/>
          <w:color w:val="000000" w:themeColor="text1"/>
          <w14:textFill>
            <w14:solidFill>
              <w14:schemeClr w14:val="tx1"/>
            </w14:solidFill>
          </w14:textFill>
        </w:rPr>
        <w:t>: 51-59 [PMID: 24963453 DOI: 10.1089/ped.2013.0314]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Kurkowiak M</w:t>
      </w:r>
      <w:r>
        <w:rPr>
          <w:rFonts w:ascii="Book Antiqua" w:hAnsi="Book Antiqua" w:eastAsia="Book Antiqua" w:cs="Book Antiqua"/>
          <w:color w:val="000000" w:themeColor="text1"/>
          <w14:textFill>
            <w14:solidFill>
              <w14:schemeClr w14:val="tx1"/>
            </w14:solidFill>
          </w14:textFill>
        </w:rPr>
        <w:t xml:space="preserve">, Ziętkiewicz E, Witt M. Recent advances in primary ciliary dyskinesia genetics. </w:t>
      </w:r>
      <w:r>
        <w:rPr>
          <w:rFonts w:ascii="Book Antiqua" w:hAnsi="Book Antiqua" w:eastAsia="Book Antiqua" w:cs="Book Antiqua"/>
          <w:i/>
          <w:iCs/>
          <w:color w:val="000000" w:themeColor="text1"/>
          <w14:textFill>
            <w14:solidFill>
              <w14:schemeClr w14:val="tx1"/>
            </w14:solidFill>
          </w14:textFill>
        </w:rPr>
        <w:t>J Med Genet</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52</w:t>
      </w:r>
      <w:r>
        <w:rPr>
          <w:rFonts w:ascii="Book Antiqua" w:hAnsi="Book Antiqua" w:eastAsia="Book Antiqua" w:cs="Book Antiqua"/>
          <w:color w:val="000000" w:themeColor="text1"/>
          <w14:textFill>
            <w14:solidFill>
              <w14:schemeClr w14:val="tx1"/>
            </w14:solidFill>
          </w14:textFill>
        </w:rPr>
        <w:t>: 1-9 [PMID: 25351953 DOI: 10.1136/jmedgenet-2014-102755]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Sommer JU</w:t>
      </w:r>
      <w:r>
        <w:rPr>
          <w:rFonts w:ascii="Book Antiqua" w:hAnsi="Book Antiqua" w:eastAsia="Book Antiqua" w:cs="Book Antiqua"/>
          <w:color w:val="000000" w:themeColor="text1"/>
          <w14:textFill>
            <w14:solidFill>
              <w14:schemeClr w14:val="tx1"/>
            </w14:solidFill>
          </w14:textFill>
        </w:rPr>
        <w:t xml:space="preserve">, Schäfer K, Omran H, Olbrich H, Wallmeier J, Blum A, Hörmann K, Stuck BA. ENT manifestations in patients with primary ciliary dyskinesia: prevalence and significance of otorhinolaryngologic co-morbidities. </w:t>
      </w:r>
      <w:r>
        <w:rPr>
          <w:rFonts w:ascii="Book Antiqua" w:hAnsi="Book Antiqua" w:eastAsia="Book Antiqua" w:cs="Book Antiqua"/>
          <w:i/>
          <w:iCs/>
          <w:color w:val="000000" w:themeColor="text1"/>
          <w14:textFill>
            <w14:solidFill>
              <w14:schemeClr w14:val="tx1"/>
            </w14:solidFill>
          </w14:textFill>
        </w:rPr>
        <w:t>Eur Arch Otorhinolaryngol</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268</w:t>
      </w:r>
      <w:r>
        <w:rPr>
          <w:rFonts w:ascii="Book Antiqua" w:hAnsi="Book Antiqua" w:eastAsia="Book Antiqua" w:cs="Book Antiqua"/>
          <w:color w:val="000000" w:themeColor="text1"/>
          <w14:textFill>
            <w14:solidFill>
              <w14:schemeClr w14:val="tx1"/>
            </w14:solidFill>
          </w14:textFill>
        </w:rPr>
        <w:t>: 383-388 [PMID: 20652291 DOI: 10.1007/s00405-010-1341-9]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Henriques AR</w:t>
      </w:r>
      <w:r>
        <w:rPr>
          <w:rFonts w:ascii="Book Antiqua" w:hAnsi="Book Antiqua" w:eastAsia="Book Antiqua" w:cs="Book Antiqua"/>
          <w:color w:val="000000" w:themeColor="text1"/>
          <w14:textFill>
            <w14:solidFill>
              <w14:schemeClr w14:val="tx1"/>
            </w14:solidFill>
          </w14:textFill>
        </w:rPr>
        <w:t xml:space="preserve">, Constant C, Descalço A, Pinto A, Moura Nunes J, Sampaio P, Lopes SS, Pereira L, Bandeira T. Primary ciliary dyskinesia due to CCNO mutations-A genotype-phenotype correlation contribution. </w:t>
      </w:r>
      <w:r>
        <w:rPr>
          <w:rFonts w:ascii="Book Antiqua" w:hAnsi="Book Antiqua" w:eastAsia="Book Antiqua" w:cs="Book Antiqua"/>
          <w:i/>
          <w:iCs/>
          <w:color w:val="000000" w:themeColor="text1"/>
          <w14:textFill>
            <w14:solidFill>
              <w14:schemeClr w14:val="tx1"/>
            </w14:solidFill>
          </w14:textFill>
        </w:rPr>
        <w:t>Pediatr Pulmonol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56</w:t>
      </w:r>
      <w:r>
        <w:rPr>
          <w:rFonts w:ascii="Book Antiqua" w:hAnsi="Book Antiqua" w:eastAsia="Book Antiqua" w:cs="Book Antiqua"/>
          <w:color w:val="000000" w:themeColor="text1"/>
          <w14:textFill>
            <w14:solidFill>
              <w14:schemeClr w14:val="tx1"/>
            </w14:solidFill>
          </w14:textFill>
        </w:rPr>
        <w:t>: 2776-2779 [PMID: 34102041 DOI: 10.1002/ppul.25440]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Guan Y</w:t>
      </w:r>
      <w:r>
        <w:rPr>
          <w:rFonts w:ascii="Book Antiqua" w:hAnsi="Book Antiqua" w:eastAsia="Book Antiqua" w:cs="Book Antiqua"/>
          <w:color w:val="000000" w:themeColor="text1"/>
          <w14:textFill>
            <w14:solidFill>
              <w14:schemeClr w14:val="tx1"/>
            </w14:solidFill>
          </w14:textFill>
        </w:rPr>
        <w:t xml:space="preserve">, Yang H, Yao X, Xu H, Liu H, Tang X, Hao C, Zhang X, Zhao S, Ge W, Ni X. Clinical and Genetic Spectrum of Children With Primary Ciliary Dyskinesia in China. </w:t>
      </w:r>
      <w:r>
        <w:rPr>
          <w:rFonts w:ascii="Book Antiqua" w:hAnsi="Book Antiqua" w:eastAsia="Book Antiqua" w:cs="Book Antiqua"/>
          <w:i/>
          <w:iCs/>
          <w:color w:val="000000" w:themeColor="text1"/>
          <w14:textFill>
            <w14:solidFill>
              <w14:schemeClr w14:val="tx1"/>
            </w14:solidFill>
          </w14:textFill>
        </w:rPr>
        <w:t>Chest</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159</w:t>
      </w:r>
      <w:r>
        <w:rPr>
          <w:rFonts w:ascii="Book Antiqua" w:hAnsi="Book Antiqua" w:eastAsia="Book Antiqua" w:cs="Book Antiqua"/>
          <w:color w:val="000000" w:themeColor="text1"/>
          <w14:textFill>
            <w14:solidFill>
              <w14:schemeClr w14:val="tx1"/>
            </w14:solidFill>
          </w14:textFill>
        </w:rPr>
        <w:t>: 1768-1781 [PMID: 33577779 DOI: 10.1016/j.chest.2021.02.006]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Lucas JS</w:t>
      </w:r>
      <w:r>
        <w:rPr>
          <w:rFonts w:ascii="Book Antiqua" w:hAnsi="Book Antiqua" w:eastAsia="Book Antiqua" w:cs="Book Antiqua"/>
          <w:color w:val="000000" w:themeColor="text1"/>
          <w14:textFill>
            <w14:solidFill>
              <w14:schemeClr w14:val="tx1"/>
            </w14:solidFill>
          </w14:textFill>
        </w:rPr>
        <w:t xml:space="preserve">, Davis SD, Omran H, Shoemark A. Primary ciliary dyskinesia in the genomics age. </w:t>
      </w:r>
      <w:r>
        <w:rPr>
          <w:rFonts w:ascii="Book Antiqua" w:hAnsi="Book Antiqua" w:eastAsia="Book Antiqua" w:cs="Book Antiqua"/>
          <w:i/>
          <w:iCs/>
          <w:color w:val="000000" w:themeColor="text1"/>
          <w14:textFill>
            <w14:solidFill>
              <w14:schemeClr w14:val="tx1"/>
            </w14:solidFill>
          </w14:textFill>
        </w:rPr>
        <w:t>Lancet Respir Med</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202-216 [PMID: 31624012 DOI: 10.1016/S2213-2600(19)30374-1]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Zariwala MA</w:t>
      </w:r>
      <w:r>
        <w:rPr>
          <w:rFonts w:ascii="Book Antiqua" w:hAnsi="Book Antiqua" w:eastAsia="Book Antiqua" w:cs="Book Antiqua"/>
          <w:color w:val="000000" w:themeColor="text1"/>
          <w14:textFill>
            <w14:solidFill>
              <w14:schemeClr w14:val="tx1"/>
            </w14:solidFill>
          </w14:textFill>
        </w:rPr>
        <w:t xml:space="preserve">, Knowles MR, Leigh MW. </w:t>
      </w:r>
      <w:bookmarkStart w:id="23" w:name="OLE_LINK4673"/>
      <w:bookmarkStart w:id="24" w:name="OLE_LINK4672"/>
      <w:r>
        <w:rPr>
          <w:rFonts w:ascii="Book Antiqua" w:hAnsi="Book Antiqua" w:eastAsia="Book Antiqua" w:cs="Book Antiqua"/>
          <w:color w:val="000000" w:themeColor="text1"/>
          <w14:textFill>
            <w14:solidFill>
              <w14:schemeClr w14:val="tx1"/>
            </w14:solidFill>
          </w14:textFill>
        </w:rPr>
        <w:t>Primary Ciliary Dyskinesia</w:t>
      </w:r>
      <w:bookmarkEnd w:id="23"/>
      <w:bookmarkEnd w:id="24"/>
      <w:r>
        <w:rPr>
          <w:rFonts w:ascii="Book Antiqua" w:hAnsi="Book Antiqua" w:eastAsia="Book Antiqua" w:cs="Book Antiqua"/>
          <w:color w:val="000000" w:themeColor="text1"/>
          <w14:textFill>
            <w14:solidFill>
              <w14:schemeClr w14:val="tx1"/>
            </w14:solidFill>
          </w14:textFill>
        </w:rPr>
        <w:t>. Gene reviews. In: Adam MP, Ardinger HH, Pagon RA. GeneReviews: University of Washington, 2007: 1-20</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Kartagener M</w:t>
      </w:r>
      <w:r>
        <w:rPr>
          <w:rFonts w:ascii="Book Antiqua" w:hAnsi="Book Antiqua" w:eastAsia="Book Antiqua" w:cs="Book Antiqua"/>
          <w:color w:val="000000" w:themeColor="text1"/>
          <w14:textFill>
            <w14:solidFill>
              <w14:schemeClr w14:val="tx1"/>
            </w14:solidFill>
          </w14:textFill>
        </w:rPr>
        <w:t xml:space="preserve">. Zur pathogenese der bronchiectasien. I Mitteilung: bronchiectasien bei situs viscerum inversus. </w:t>
      </w:r>
      <w:r>
        <w:rPr>
          <w:rFonts w:ascii="Book Antiqua" w:hAnsi="Book Antiqua" w:eastAsia="Book Antiqua" w:cs="Book Antiqua"/>
          <w:i/>
          <w:iCs/>
          <w:color w:val="000000" w:themeColor="text1"/>
          <w14:textFill>
            <w14:solidFill>
              <w14:schemeClr w14:val="tx1"/>
            </w14:solidFill>
          </w14:textFill>
        </w:rPr>
        <w:t>Betr Klin Tuberk</w:t>
      </w:r>
      <w:r>
        <w:rPr>
          <w:rFonts w:ascii="Book Antiqua" w:hAnsi="Book Antiqua" w:eastAsia="Book Antiqua" w:cs="Book Antiqua"/>
          <w:color w:val="000000" w:themeColor="text1"/>
          <w14:textFill>
            <w14:solidFill>
              <w14:schemeClr w14:val="tx1"/>
            </w14:solidFill>
          </w14:textFill>
        </w:rPr>
        <w:t xml:space="preserve"> 1933; </w:t>
      </w:r>
      <w:r>
        <w:rPr>
          <w:rFonts w:ascii="Book Antiqua" w:hAnsi="Book Antiqua" w:eastAsia="Book Antiqua" w:cs="Book Antiqua"/>
          <w:b/>
          <w:bCs/>
          <w:color w:val="000000" w:themeColor="text1"/>
          <w14:textFill>
            <w14:solidFill>
              <w14:schemeClr w14:val="tx1"/>
            </w14:solidFill>
          </w14:textFill>
        </w:rPr>
        <w:t>83</w:t>
      </w:r>
      <w:r>
        <w:rPr>
          <w:rFonts w:ascii="Book Antiqua" w:hAnsi="Book Antiqua" w:eastAsia="Book Antiqua" w:cs="Book Antiqua"/>
          <w:color w:val="000000" w:themeColor="text1"/>
          <w14:textFill>
            <w14:solidFill>
              <w14:schemeClr w14:val="tx1"/>
            </w14:solidFill>
          </w14:textFill>
        </w:rPr>
        <w:t>: 498-501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Wallmeier J</w:t>
      </w:r>
      <w:r>
        <w:rPr>
          <w:rFonts w:ascii="Book Antiqua" w:hAnsi="Book Antiqua" w:eastAsia="Book Antiqua" w:cs="Book Antiqua"/>
          <w:color w:val="000000" w:themeColor="text1"/>
          <w14:textFill>
            <w14:solidFill>
              <w14:schemeClr w14:val="tx1"/>
            </w14:solidFill>
          </w14:textFill>
        </w:rPr>
        <w:t xml:space="preserve">, Al-Mutairi DA, Chen CT, Loges NT, Pennekamp P, Menchen T, Ma L, Shamseldin HE, Olbrich H, Dougherty GW, Werner C, Alsabah BH, Köhler G, Jaspers M, Boon M, Griese M, Schmitt-Grohé S, Zimmermann T, Koerner-Rettberg C, Horak E, Kintner C, Alkuraya FS, Omran H. Mutations in CCNO result in congenital mucociliary clearance disorder with reduced generation of multiple motile cilia. </w:t>
      </w:r>
      <w:r>
        <w:rPr>
          <w:rFonts w:ascii="Book Antiqua" w:hAnsi="Book Antiqua" w:eastAsia="Book Antiqua" w:cs="Book Antiqua"/>
          <w:i/>
          <w:iCs/>
          <w:color w:val="000000" w:themeColor="text1"/>
          <w14:textFill>
            <w14:solidFill>
              <w14:schemeClr w14:val="tx1"/>
            </w14:solidFill>
          </w14:textFill>
        </w:rPr>
        <w:t>Nat Genet</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46</w:t>
      </w:r>
      <w:r>
        <w:rPr>
          <w:rFonts w:ascii="Book Antiqua" w:hAnsi="Book Antiqua" w:eastAsia="Book Antiqua" w:cs="Book Antiqua"/>
          <w:color w:val="000000" w:themeColor="text1"/>
          <w14:textFill>
            <w14:solidFill>
              <w14:schemeClr w14:val="tx1"/>
            </w14:solidFill>
          </w14:textFill>
        </w:rPr>
        <w:t>: 646-651 [PMID: 24747639 DOI: 10.1038/ng.2961]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Amirav I</w:t>
      </w:r>
      <w:r>
        <w:rPr>
          <w:rFonts w:ascii="Book Antiqua" w:hAnsi="Book Antiqua" w:eastAsia="Book Antiqua" w:cs="Book Antiqua"/>
          <w:color w:val="000000" w:themeColor="text1"/>
          <w14:textFill>
            <w14:solidFill>
              <w14:schemeClr w14:val="tx1"/>
            </w14:solidFill>
          </w14:textFill>
        </w:rPr>
        <w:t xml:space="preserve">, Wallmeier J, Loges NT, Menchen T, Pennekamp P, Mussaffi H, Abitbul R, Avital A, Bentur L, Dougherty GW, Nael E, Lavie M, Olbrich H, Werner C, Kintner C, Omran H; Israeli PCD Consortium Investigators. Systematic Analysis of CCNO Variants in a Defined Population: Implications for Clinical Phenotype and Differential Diagnosis. </w:t>
      </w:r>
      <w:r>
        <w:rPr>
          <w:rFonts w:ascii="Book Antiqua" w:hAnsi="Book Antiqua" w:eastAsia="Book Antiqua" w:cs="Book Antiqua"/>
          <w:i/>
          <w:iCs/>
          <w:color w:val="000000" w:themeColor="text1"/>
          <w14:textFill>
            <w14:solidFill>
              <w14:schemeClr w14:val="tx1"/>
            </w14:solidFill>
          </w14:textFill>
        </w:rPr>
        <w:t>Hum Mutat</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37</w:t>
      </w:r>
      <w:r>
        <w:rPr>
          <w:rFonts w:ascii="Book Antiqua" w:hAnsi="Book Antiqua" w:eastAsia="Book Antiqua" w:cs="Book Antiqua"/>
          <w:color w:val="000000" w:themeColor="text1"/>
          <w14:textFill>
            <w14:solidFill>
              <w14:schemeClr w14:val="tx1"/>
            </w14:solidFill>
          </w14:textFill>
        </w:rPr>
        <w:t>: 396-405 [PMID: 26777464 DOI: 10.1002/humu.22957]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Honoré I</w:t>
      </w:r>
      <w:r>
        <w:rPr>
          <w:rFonts w:ascii="Book Antiqua" w:hAnsi="Book Antiqua" w:eastAsia="Book Antiqua" w:cs="Book Antiqua"/>
          <w:color w:val="000000" w:themeColor="text1"/>
          <w14:textFill>
            <w14:solidFill>
              <w14:schemeClr w14:val="tx1"/>
            </w14:solidFill>
          </w14:textFill>
        </w:rPr>
        <w:t xml:space="preserve">, Burgel PR. Primary ciliary dyskinesia in adults. </w:t>
      </w:r>
      <w:r>
        <w:rPr>
          <w:rFonts w:ascii="Book Antiqua" w:hAnsi="Book Antiqua" w:eastAsia="Book Antiqua" w:cs="Book Antiqua"/>
          <w:i/>
          <w:iCs/>
          <w:color w:val="000000" w:themeColor="text1"/>
          <w14:textFill>
            <w14:solidFill>
              <w14:schemeClr w14:val="tx1"/>
            </w14:solidFill>
          </w14:textFill>
        </w:rPr>
        <w:t>Rev Mal Respir</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33</w:t>
      </w:r>
      <w:r>
        <w:rPr>
          <w:rFonts w:ascii="Book Antiqua" w:hAnsi="Book Antiqua" w:eastAsia="Book Antiqua" w:cs="Book Antiqua"/>
          <w:color w:val="000000" w:themeColor="text1"/>
          <w14:textFill>
            <w14:solidFill>
              <w14:schemeClr w14:val="tx1"/>
            </w14:solidFill>
          </w14:textFill>
        </w:rPr>
        <w:t>: 165-189 [PMID: 26654126 DOI: 10.1016/j.rmr.2015.10.743]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Strippoli MP</w:t>
      </w:r>
      <w:r>
        <w:rPr>
          <w:rFonts w:ascii="Book Antiqua" w:hAnsi="Book Antiqua" w:eastAsia="Book Antiqua" w:cs="Book Antiqua"/>
          <w:color w:val="000000" w:themeColor="text1"/>
          <w14:textFill>
            <w14:solidFill>
              <w14:schemeClr w14:val="tx1"/>
            </w14:solidFill>
          </w14:textFill>
        </w:rPr>
        <w:t xml:space="preserve">, Frischer T, Barbato A, Snijders D, Maurer E, Lucas JS, Eber E, Karadag B, Pohunek P, Zivkovic Z, Escribano A, O'Callaghan C, Bush A, Kuehni CE; ERS Task Force onPrimary Ciliary Dyskinesia in Children. Management of primary ciliary dyskinesia in European children: recommendations and clinical practice. </w:t>
      </w:r>
      <w:r>
        <w:rPr>
          <w:rFonts w:ascii="Book Antiqua" w:hAnsi="Book Antiqua" w:eastAsia="Book Antiqua" w:cs="Book Antiqua"/>
          <w:i/>
          <w:iCs/>
          <w:color w:val="000000" w:themeColor="text1"/>
          <w14:textFill>
            <w14:solidFill>
              <w14:schemeClr w14:val="tx1"/>
            </w14:solidFill>
          </w14:textFill>
        </w:rPr>
        <w:t>Eur Respir J</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39</w:t>
      </w:r>
      <w:r>
        <w:rPr>
          <w:rFonts w:ascii="Book Antiqua" w:hAnsi="Book Antiqua" w:eastAsia="Book Antiqua" w:cs="Book Antiqua"/>
          <w:color w:val="000000" w:themeColor="text1"/>
          <w14:textFill>
            <w14:solidFill>
              <w14:schemeClr w14:val="tx1"/>
            </w14:solidFill>
          </w14:textFill>
        </w:rPr>
        <w:t>: 1482-1491 [PMID: 22282549 DOI: 10.1183/09031936.00073911]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Barbato A</w:t>
      </w:r>
      <w:r>
        <w:rPr>
          <w:rFonts w:ascii="Book Antiqua" w:hAnsi="Book Antiqua" w:eastAsia="Book Antiqua" w:cs="Book Antiqua"/>
          <w:color w:val="000000" w:themeColor="text1"/>
          <w14:textFill>
            <w14:solidFill>
              <w14:schemeClr w14:val="tx1"/>
            </w14:solidFill>
          </w14:textFill>
        </w:rPr>
        <w:t xml:space="preserve">, Frischer T, Kuehni CE, Snijders D, Azevedo I, Baktai G, Bartoloni L, Eber E, Escribano A, Haarman E, Hesselmar B, Hogg C, Jorissen M, Lucas J, Nielsen KG, O'Callaghan C, Omran H, Pohunek P, Strippoli MP, Bush A. Primary ciliary dyskinesia: a consensus statement on diagnostic and treatment approaches in children. </w:t>
      </w:r>
      <w:r>
        <w:rPr>
          <w:rFonts w:ascii="Book Antiqua" w:hAnsi="Book Antiqua" w:eastAsia="Book Antiqua" w:cs="Book Antiqua"/>
          <w:i/>
          <w:iCs/>
          <w:color w:val="000000" w:themeColor="text1"/>
          <w14:textFill>
            <w14:solidFill>
              <w14:schemeClr w14:val="tx1"/>
            </w14:solidFill>
          </w14:textFill>
        </w:rPr>
        <w:t>Eur Respir J</w:t>
      </w:r>
      <w:r>
        <w:rPr>
          <w:rFonts w:ascii="Book Antiqua" w:hAnsi="Book Antiqua" w:eastAsia="Book Antiqua" w:cs="Book Antiqua"/>
          <w:color w:val="000000" w:themeColor="text1"/>
          <w14:textFill>
            <w14:solidFill>
              <w14:schemeClr w14:val="tx1"/>
            </w14:solidFill>
          </w14:textFill>
        </w:rPr>
        <w:t xml:space="preserve"> 2009; </w:t>
      </w:r>
      <w:r>
        <w:rPr>
          <w:rFonts w:ascii="Book Antiqua" w:hAnsi="Book Antiqua" w:eastAsia="Book Antiqua" w:cs="Book Antiqua"/>
          <w:b/>
          <w:bCs/>
          <w:color w:val="000000" w:themeColor="text1"/>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1264-1276 [PMID: 19948909 DOI: 10.1183/09031936.00176608]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Lucas JS</w:t>
      </w:r>
      <w:r>
        <w:rPr>
          <w:rFonts w:ascii="Book Antiqua" w:hAnsi="Book Antiqua" w:eastAsia="Book Antiqua" w:cs="Book Antiqua"/>
          <w:color w:val="000000" w:themeColor="text1"/>
          <w14:textFill>
            <w14:solidFill>
              <w14:schemeClr w14:val="tx1"/>
            </w14:solidFill>
          </w14:textFill>
        </w:rPr>
        <w:t xml:space="preserve">, Barbato A, Collins SA, Goutaki M, Behan L, Caudri D, Dell S, Eber E, Escudier E, Hirst RA, Hogg C, Jorissen M, Latzin P, Legendre M, Leigh MW, Midulla F, Nielsen KG, Omran H, Papon JF, Pohunek P, Redfern B, Rigau D, Rindlisbacher B, Santamaria F, Shoemark A, Snijders D, Tonia T, Titieni A, Walker WT, Werner C, Bush A, Kuehni CE. European Respiratory Society guidelines for the diagnosis of primary ciliary dyskinesia. </w:t>
      </w:r>
      <w:r>
        <w:rPr>
          <w:rFonts w:ascii="Book Antiqua" w:hAnsi="Book Antiqua" w:eastAsia="Book Antiqua" w:cs="Book Antiqua"/>
          <w:i/>
          <w:iCs/>
          <w:color w:val="000000" w:themeColor="text1"/>
          <w14:textFill>
            <w14:solidFill>
              <w14:schemeClr w14:val="tx1"/>
            </w14:solidFill>
          </w14:textFill>
        </w:rPr>
        <w:t>Eur Respir J</w:t>
      </w:r>
      <w:r>
        <w:rPr>
          <w:rFonts w:ascii="Book Antiqua" w:hAnsi="Book Antiqua" w:eastAsia="Book Antiqua" w:cs="Book Antiqua"/>
          <w:color w:val="000000" w:themeColor="text1"/>
          <w14:textFill>
            <w14:solidFill>
              <w14:schemeClr w14:val="tx1"/>
            </w14:solidFill>
          </w14:textFill>
        </w:rPr>
        <w:t xml:space="preserve"> 2017; </w:t>
      </w:r>
      <w:r>
        <w:rPr>
          <w:rFonts w:ascii="Book Antiqua" w:hAnsi="Book Antiqua" w:eastAsia="Book Antiqua" w:cs="Book Antiqua"/>
          <w:b/>
          <w:bCs/>
          <w:color w:val="000000" w:themeColor="text1"/>
          <w14:textFill>
            <w14:solidFill>
              <w14:schemeClr w14:val="tx1"/>
            </w14:solidFill>
          </w14:textFill>
        </w:rPr>
        <w:t>49</w:t>
      </w:r>
      <w:r>
        <w:rPr>
          <w:rFonts w:ascii="Book Antiqua" w:hAnsi="Book Antiqua" w:eastAsia="Book Antiqua" w:cs="Book Antiqua"/>
          <w:color w:val="000000" w:themeColor="text1"/>
          <w14:textFill>
            <w14:solidFill>
              <w14:schemeClr w14:val="tx1"/>
            </w14:solidFill>
          </w14:textFill>
        </w:rPr>
        <w:t xml:space="preserve"> [PMID: 27836958 DOI: 10.1183/13993003.01090-2016]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bCs/>
          <w:color w:val="000000" w:themeColor="text1"/>
          <w14:textFill>
            <w14:solidFill>
              <w14:schemeClr w14:val="tx1"/>
            </w14:solidFill>
          </w14:textFill>
        </w:rPr>
        <w:t>Goutaki M</w:t>
      </w:r>
      <w:r>
        <w:rPr>
          <w:rFonts w:ascii="Book Antiqua" w:hAnsi="Book Antiqua" w:eastAsia="Book Antiqua" w:cs="Book Antiqua"/>
          <w:color w:val="000000" w:themeColor="text1"/>
          <w14:textFill>
            <w14:solidFill>
              <w14:schemeClr w14:val="tx1"/>
            </w14:solidFill>
          </w14:textFill>
        </w:rPr>
        <w:t xml:space="preserve">, Meier AB, Halbeisen FS, Lucas JS, Dell SD, Maurer E, Casaulta C, Jurca M, Spycher BD, Kuehni CE. Clinical manifestations in primary ciliary dyskinesia: systematic review and meta-analysis. </w:t>
      </w:r>
      <w:r>
        <w:rPr>
          <w:rFonts w:ascii="Book Antiqua" w:hAnsi="Book Antiqua" w:eastAsia="Book Antiqua" w:cs="Book Antiqua"/>
          <w:i/>
          <w:iCs/>
          <w:color w:val="000000" w:themeColor="text1"/>
          <w14:textFill>
            <w14:solidFill>
              <w14:schemeClr w14:val="tx1"/>
            </w14:solidFill>
          </w14:textFill>
        </w:rPr>
        <w:t>Eur Respir J</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48</w:t>
      </w:r>
      <w:r>
        <w:rPr>
          <w:rFonts w:ascii="Book Antiqua" w:hAnsi="Book Antiqua" w:eastAsia="Book Antiqua" w:cs="Book Antiqua"/>
          <w:color w:val="000000" w:themeColor="text1"/>
          <w14:textFill>
            <w14:solidFill>
              <w14:schemeClr w14:val="tx1"/>
            </w14:solidFill>
          </w14:textFill>
        </w:rPr>
        <w:t>: 1081-1095 [PMID: 27492829 DOI: 10.1183/13993003.00736-2016]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16 </w:t>
      </w:r>
      <w:r>
        <w:rPr>
          <w:rFonts w:ascii="Book Antiqua" w:hAnsi="Book Antiqua" w:eastAsia="Book Antiqua" w:cs="Book Antiqua"/>
          <w:b/>
          <w:bCs/>
          <w:color w:val="000000" w:themeColor="text1"/>
          <w14:textFill>
            <w14:solidFill>
              <w14:schemeClr w14:val="tx1"/>
            </w14:solidFill>
          </w14:textFill>
        </w:rPr>
        <w:t>Leigh MW</w:t>
      </w:r>
      <w:r>
        <w:rPr>
          <w:rFonts w:ascii="Book Antiqua" w:hAnsi="Book Antiqua" w:eastAsia="Book Antiqua" w:cs="Book Antiqua"/>
          <w:color w:val="000000" w:themeColor="text1"/>
          <w14:textFill>
            <w14:solidFill>
              <w14:schemeClr w14:val="tx1"/>
            </w14:solidFill>
          </w14:textFill>
        </w:rPr>
        <w:t xml:space="preserve">, Hazucha MJ, Chawla KK, Baker BR, Shapiro AJ, Brown DE, Lavange LM, Horton BJ, Qaqish B, Carson JL, Davis SD, Dell SD, Ferkol TW, Atkinson JJ, Olivier KN, Sagel SD, Rosenfeld M, Milla C, Lee HS, Krischer J, Zariwala MA, Knowles MR. Standardizing nasal nitric oxide measurement as a test for primary ciliary dyskinesia. </w:t>
      </w:r>
      <w:r>
        <w:rPr>
          <w:rFonts w:ascii="Book Antiqua" w:hAnsi="Book Antiqua" w:eastAsia="Book Antiqua" w:cs="Book Antiqua"/>
          <w:i/>
          <w:iCs/>
          <w:color w:val="000000" w:themeColor="text1"/>
          <w14:textFill>
            <w14:solidFill>
              <w14:schemeClr w14:val="tx1"/>
            </w14:solidFill>
          </w14:textFill>
        </w:rPr>
        <w:t>Ann Am Thorac Soc</w:t>
      </w:r>
      <w:r>
        <w:rPr>
          <w:rFonts w:ascii="Book Antiqua" w:hAnsi="Book Antiqua" w:eastAsia="Book Antiqua" w:cs="Book Antiqua"/>
          <w:color w:val="000000" w:themeColor="text1"/>
          <w14:textFill>
            <w14:solidFill>
              <w14:schemeClr w14:val="tx1"/>
            </w14:solidFill>
          </w14:textFill>
        </w:rPr>
        <w:t xml:space="preserve"> 2013;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574-581 [PMID: 24024753 DOI: 10.1513/AnnalsATS.201305-110OC]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Moore A</w:t>
      </w:r>
      <w:r>
        <w:rPr>
          <w:rFonts w:ascii="Book Antiqua" w:hAnsi="Book Antiqua" w:eastAsia="Book Antiqua" w:cs="Book Antiqua"/>
          <w:color w:val="000000" w:themeColor="text1"/>
          <w14:textFill>
            <w14:solidFill>
              <w14:schemeClr w14:val="tx1"/>
            </w14:solidFill>
          </w14:textFill>
        </w:rPr>
        <w:t>, Amselem S, Duriez B, E</w:t>
      </w:r>
      <w:r>
        <w:rPr>
          <w:rFonts w:ascii="Book Antiqua" w:hAnsi="Book Antiqua" w:eastAsia="Book Antiqua" w:cs="Book Antiqua"/>
          <w:color w:val="000000" w:themeColor="text1"/>
          <w:lang w:eastAsia="zh-CN"/>
          <w14:textFill>
            <w14:solidFill>
              <w14:schemeClr w14:val="tx1"/>
            </w14:solidFill>
          </w14:textFill>
        </w:rPr>
        <w:t xml:space="preserve">scudier E. </w:t>
      </w:r>
      <w:r>
        <w:rPr>
          <w:rFonts w:ascii="Book Antiqua" w:hAnsi="Book Antiqua" w:eastAsia="Book Antiqua" w:cs="Book Antiqua"/>
          <w:color w:val="000000" w:themeColor="text1"/>
          <w14:textFill>
            <w14:solidFill>
              <w14:schemeClr w14:val="tx1"/>
            </w14:solidFill>
          </w14:textFill>
        </w:rPr>
        <w:t xml:space="preserve">Bases molécu- laires des dyskinésies ciliaires primitives. </w:t>
      </w:r>
      <w:r>
        <w:rPr>
          <w:rFonts w:ascii="Book Antiqua" w:hAnsi="Book Antiqua" w:eastAsia="Book Antiqua" w:cs="Book Antiqua"/>
          <w:i/>
          <w:iCs/>
          <w:color w:val="000000" w:themeColor="text1"/>
          <w14:textFill>
            <w14:solidFill>
              <w14:schemeClr w14:val="tx1"/>
            </w14:solidFill>
          </w14:textFill>
        </w:rPr>
        <w:t>Rev Mal Respir</w:t>
      </w:r>
      <w:r>
        <w:rPr>
          <w:rFonts w:ascii="Book Antiqua" w:hAnsi="Book Antiqua" w:eastAsia="Book Antiqua" w:cs="Book Antiqua"/>
          <w:color w:val="000000" w:themeColor="text1"/>
          <w14:textFill>
            <w14:solidFill>
              <w14:schemeClr w14:val="tx1"/>
            </w14:solidFill>
          </w14:textFill>
        </w:rPr>
        <w:t xml:space="preserve"> 2004, </w:t>
      </w:r>
      <w:r>
        <w:rPr>
          <w:rFonts w:ascii="Book Antiqua" w:hAnsi="Book Antiqua" w:eastAsia="Book Antiqua" w:cs="Book Antiqua"/>
          <w:b/>
          <w:bCs/>
          <w:color w:val="000000" w:themeColor="text1"/>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521-526 [DOI: 10.1016/S0761-8425(04)71356-X]</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Werner C</w:t>
      </w:r>
      <w:r>
        <w:rPr>
          <w:rFonts w:ascii="Book Antiqua" w:hAnsi="Book Antiqua" w:eastAsia="Book Antiqua" w:cs="Book Antiqua"/>
          <w:color w:val="000000" w:themeColor="text1"/>
          <w14:textFill>
            <w14:solidFill>
              <w14:schemeClr w14:val="tx1"/>
            </w14:solidFill>
          </w14:textFill>
        </w:rPr>
        <w:t xml:space="preserve">, Onnebrink JG, Omran H. Diagnosis and management of primary ciliary dyskinesia. </w:t>
      </w:r>
      <w:r>
        <w:rPr>
          <w:rFonts w:ascii="Book Antiqua" w:hAnsi="Book Antiqua" w:eastAsia="Book Antiqua" w:cs="Book Antiqua"/>
          <w:i/>
          <w:iCs/>
          <w:color w:val="000000" w:themeColor="text1"/>
          <w14:textFill>
            <w14:solidFill>
              <w14:schemeClr w14:val="tx1"/>
            </w14:solidFill>
          </w14:textFill>
        </w:rPr>
        <w:t>Cilia</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2 [PMID: 25610612 DOI: 10.1186/s13630-014-0011-8]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eastAsia="Book Antiqua" w:cs="Book Antiqua"/>
          <w:b/>
          <w:bCs/>
          <w:color w:val="000000" w:themeColor="text1"/>
          <w14:textFill>
            <w14:solidFill>
              <w14:schemeClr w14:val="tx1"/>
            </w14:solidFill>
          </w14:textFill>
        </w:rPr>
        <w:t>Chen W</w:t>
      </w:r>
      <w:r>
        <w:rPr>
          <w:rFonts w:ascii="Book Antiqua" w:hAnsi="Book Antiqua" w:eastAsia="Book Antiqua" w:cs="Book Antiqua"/>
          <w:color w:val="000000" w:themeColor="text1"/>
          <w14:textFill>
            <w14:solidFill>
              <w14:schemeClr w14:val="tx1"/>
            </w14:solidFill>
          </w14:textFill>
        </w:rPr>
        <w:t xml:space="preserve">, Shao C, Song Y, Bai C. Primary ciliary dyskinesia complicated with diffuse panbronchiolitis: a case report and literature review. </w:t>
      </w:r>
      <w:r>
        <w:rPr>
          <w:rFonts w:ascii="Book Antiqua" w:hAnsi="Book Antiqua" w:eastAsia="Book Antiqua" w:cs="Book Antiqua"/>
          <w:i/>
          <w:iCs/>
          <w:color w:val="000000" w:themeColor="text1"/>
          <w14:textFill>
            <w14:solidFill>
              <w14:schemeClr w14:val="tx1"/>
            </w14:solidFill>
          </w14:textFill>
        </w:rPr>
        <w:t>Clin Respir J</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425-430 [PMID: 24308375 DOI: 10.1111/crj.12089]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Geremek M</w:t>
      </w:r>
      <w:r>
        <w:rPr>
          <w:rFonts w:ascii="Book Antiqua" w:hAnsi="Book Antiqua" w:eastAsia="Book Antiqua" w:cs="Book Antiqua"/>
          <w:color w:val="000000" w:themeColor="text1"/>
          <w14:textFill>
            <w14:solidFill>
              <w14:schemeClr w14:val="tx1"/>
            </w14:solidFill>
          </w14:textFill>
        </w:rPr>
        <w:t xml:space="preserve">, Witt M. </w:t>
      </w:r>
      <w:bookmarkStart w:id="25" w:name="OLE_LINK4674"/>
      <w:bookmarkStart w:id="26" w:name="OLE_LINK4675"/>
      <w:r>
        <w:rPr>
          <w:rFonts w:ascii="Book Antiqua" w:hAnsi="Book Antiqua" w:eastAsia="Book Antiqua" w:cs="Book Antiqua"/>
          <w:color w:val="000000" w:themeColor="text1"/>
          <w14:textFill>
            <w14:solidFill>
              <w14:schemeClr w14:val="tx1"/>
            </w14:solidFill>
          </w14:textFill>
        </w:rPr>
        <w:t>Primary ciliary dyskinesia: genes, candidate genes and chromosomal regions</w:t>
      </w:r>
      <w:bookmarkEnd w:id="25"/>
      <w:bookmarkEnd w:id="26"/>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J Appl Genet</w:t>
      </w:r>
      <w:r>
        <w:rPr>
          <w:rFonts w:ascii="Book Antiqua" w:hAnsi="Book Antiqua" w:eastAsia="Book Antiqua" w:cs="Book Antiqua"/>
          <w:color w:val="000000" w:themeColor="text1"/>
          <w14:textFill>
            <w14:solidFill>
              <w14:schemeClr w14:val="tx1"/>
            </w14:solidFill>
          </w14:textFill>
        </w:rPr>
        <w:t xml:space="preserve"> 2004; </w:t>
      </w:r>
      <w:r>
        <w:rPr>
          <w:rFonts w:ascii="Book Antiqua" w:hAnsi="Book Antiqua" w:eastAsia="Book Antiqua" w:cs="Book Antiqua"/>
          <w:b/>
          <w:bCs/>
          <w:color w:val="000000" w:themeColor="text1"/>
          <w14:textFill>
            <w14:solidFill>
              <w14:schemeClr w14:val="tx1"/>
            </w14:solidFill>
          </w14:textFill>
        </w:rPr>
        <w:t>45</w:t>
      </w:r>
      <w:r>
        <w:rPr>
          <w:rFonts w:ascii="Book Antiqua" w:hAnsi="Book Antiqua" w:eastAsia="Book Antiqua" w:cs="Book Antiqua"/>
          <w:color w:val="000000" w:themeColor="text1"/>
          <w14:textFill>
            <w14:solidFill>
              <w14:schemeClr w14:val="tx1"/>
            </w14:solidFill>
          </w14:textFill>
        </w:rPr>
        <w:t>: 347-361 [PMID: 15306728]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Chodhari R</w:t>
      </w:r>
      <w:r>
        <w:rPr>
          <w:rFonts w:ascii="Book Antiqua" w:hAnsi="Book Antiqua" w:eastAsia="Book Antiqua" w:cs="Book Antiqua"/>
          <w:color w:val="000000" w:themeColor="text1"/>
          <w14:textFill>
            <w14:solidFill>
              <w14:schemeClr w14:val="tx1"/>
            </w14:solidFill>
          </w14:textFill>
        </w:rPr>
        <w:t xml:space="preserve">, Mitchison HM, Meeks M. Cilia, primary ciliary dyskinesia and molecular genetics. </w:t>
      </w:r>
      <w:r>
        <w:rPr>
          <w:rFonts w:ascii="Book Antiqua" w:hAnsi="Book Antiqua" w:eastAsia="Book Antiqua" w:cs="Book Antiqua"/>
          <w:i/>
          <w:iCs/>
          <w:color w:val="000000" w:themeColor="text1"/>
          <w14:textFill>
            <w14:solidFill>
              <w14:schemeClr w14:val="tx1"/>
            </w14:solidFill>
          </w14:textFill>
        </w:rPr>
        <w:t>Paediatr Respir Rev</w:t>
      </w:r>
      <w:r>
        <w:rPr>
          <w:rFonts w:ascii="Book Antiqua" w:hAnsi="Book Antiqua" w:eastAsia="Book Antiqua" w:cs="Book Antiqua"/>
          <w:color w:val="000000" w:themeColor="text1"/>
          <w14:textFill>
            <w14:solidFill>
              <w14:schemeClr w14:val="tx1"/>
            </w14:solidFill>
          </w14:textFill>
        </w:rPr>
        <w:t xml:space="preserve"> 2004; </w:t>
      </w:r>
      <w:r>
        <w:rPr>
          <w:rFonts w:ascii="Book Antiqua" w:hAnsi="Book Antiqua" w:eastAsia="Book Antiqua" w:cs="Book Antiqua"/>
          <w:b/>
          <w:bCs/>
          <w:color w:val="000000" w:themeColor="text1"/>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69-76 [PMID: 15222957 DOI: 10.1016/j.prrv.2003.09.005]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22 </w:t>
      </w:r>
      <w:r>
        <w:rPr>
          <w:rFonts w:ascii="Book Antiqua" w:hAnsi="Book Antiqua" w:eastAsia="Book Antiqua" w:cs="Book Antiqua"/>
          <w:b/>
          <w:bCs/>
          <w:color w:val="000000" w:themeColor="text1"/>
          <w14:textFill>
            <w14:solidFill>
              <w14:schemeClr w14:val="tx1"/>
            </w14:solidFill>
          </w14:textFill>
        </w:rPr>
        <w:t>Blouin JL</w:t>
      </w:r>
      <w:r>
        <w:rPr>
          <w:rFonts w:ascii="Book Antiqua" w:hAnsi="Book Antiqua" w:eastAsia="Book Antiqua" w:cs="Book Antiqua"/>
          <w:color w:val="000000" w:themeColor="text1"/>
          <w14:textFill>
            <w14:solidFill>
              <w14:schemeClr w14:val="tx1"/>
            </w14:solidFill>
          </w14:textFill>
        </w:rPr>
        <w:t xml:space="preserve">, Meeks M, Radhakrishna U, Sainsbury A, Gehring C, Saïl GD, Bartoloni L, Dombi V, O'Rawe A, Walne A, Chung E, Afzelius BA, Armengot M, Jorissen M, Schidlow DV, van Maldergem L, Walt H, Gardiner RM, Probst D, Guerne PA, Delozier-Blanchet CD, Antonarakis SE. Primary ciliary dyskinesia: a genome-wide linkage analysis reveals extensive locus heterogeneity. </w:t>
      </w:r>
      <w:r>
        <w:rPr>
          <w:rFonts w:ascii="Book Antiqua" w:hAnsi="Book Antiqua" w:eastAsia="Book Antiqua" w:cs="Book Antiqua"/>
          <w:i/>
          <w:iCs/>
          <w:color w:val="000000" w:themeColor="text1"/>
          <w14:textFill>
            <w14:solidFill>
              <w14:schemeClr w14:val="tx1"/>
            </w14:solidFill>
          </w14:textFill>
        </w:rPr>
        <w:t>Eur J Hum Genet</w:t>
      </w:r>
      <w:r>
        <w:rPr>
          <w:rFonts w:ascii="Book Antiqua" w:hAnsi="Book Antiqua" w:eastAsia="Book Antiqua" w:cs="Book Antiqua"/>
          <w:color w:val="000000" w:themeColor="text1"/>
          <w14:textFill>
            <w14:solidFill>
              <w14:schemeClr w14:val="tx1"/>
            </w14:solidFill>
          </w14:textFill>
        </w:rPr>
        <w:t xml:space="preserve"> 2000; </w:t>
      </w:r>
      <w:r>
        <w:rPr>
          <w:rFonts w:ascii="Book Antiqua" w:hAnsi="Book Antiqua" w:eastAsia="Book Antiqua" w:cs="Book Antiqua"/>
          <w:b/>
          <w:bCs/>
          <w:color w:val="000000" w:themeColor="text1"/>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109-118 [PMID: 10757642 DOI: 10.1038/sj.ejhg.5200429]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23 </w:t>
      </w:r>
      <w:r>
        <w:rPr>
          <w:rFonts w:ascii="Book Antiqua" w:hAnsi="Book Antiqua" w:eastAsia="Book Antiqua" w:cs="Book Antiqua"/>
          <w:b/>
          <w:bCs/>
          <w:color w:val="000000" w:themeColor="text1"/>
          <w14:textFill>
            <w14:solidFill>
              <w14:schemeClr w14:val="tx1"/>
            </w14:solidFill>
          </w14:textFill>
        </w:rPr>
        <w:t>Funk MC</w:t>
      </w:r>
      <w:r>
        <w:rPr>
          <w:rFonts w:ascii="Book Antiqua" w:hAnsi="Book Antiqua" w:eastAsia="Book Antiqua" w:cs="Book Antiqua"/>
          <w:color w:val="000000" w:themeColor="text1"/>
          <w14:textFill>
            <w14:solidFill>
              <w14:schemeClr w14:val="tx1"/>
            </w14:solidFill>
          </w14:textFill>
        </w:rPr>
        <w:t xml:space="preserve">, Bera AN, Menchen T, Kuales G, Thriene K, Lienkamp SS, Dengjel J, Omran H, Frank M, Arnold SJ. Cyclin O (Ccno) functions during deuterosome-mediated centriole amplification of multiciliated cells. </w:t>
      </w:r>
      <w:r>
        <w:rPr>
          <w:rFonts w:ascii="Book Antiqua" w:hAnsi="Book Antiqua" w:eastAsia="Book Antiqua" w:cs="Book Antiqua"/>
          <w:i/>
          <w:iCs/>
          <w:color w:val="000000" w:themeColor="text1"/>
          <w14:textFill>
            <w14:solidFill>
              <w14:schemeClr w14:val="tx1"/>
            </w14:solidFill>
          </w14:textFill>
        </w:rPr>
        <w:t>EMBO J</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1078-1089 [PMID: 25712475 DOI: 10.15252/embj.201490805]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24 </w:t>
      </w:r>
      <w:r>
        <w:rPr>
          <w:rFonts w:ascii="Book Antiqua" w:hAnsi="Book Antiqua" w:eastAsia="Book Antiqua" w:cs="Book Antiqua"/>
          <w:b/>
          <w:bCs/>
          <w:color w:val="000000" w:themeColor="text1"/>
          <w14:textFill>
            <w14:solidFill>
              <w14:schemeClr w14:val="tx1"/>
            </w14:solidFill>
          </w14:textFill>
        </w:rPr>
        <w:t>Dahlmann J</w:t>
      </w:r>
      <w:r>
        <w:rPr>
          <w:rFonts w:ascii="Book Antiqua" w:hAnsi="Book Antiqua" w:eastAsia="Book Antiqua" w:cs="Book Antiqua"/>
          <w:color w:val="000000" w:themeColor="text1"/>
          <w14:textFill>
            <w14:solidFill>
              <w14:schemeClr w14:val="tx1"/>
            </w14:solidFill>
          </w14:textFill>
        </w:rPr>
        <w:t xml:space="preserve">, Sahabian A, Drick N, Haase A, Göhring G, Lachmann N, Ringshausen FC, Welte T, Martin U, Olmer R. Generation of two hiPSC lines (MHHi016-A, MHHi016-B) from a primary ciliary dyskinesia patient carrying a homozygous 5 bp duplication (c.248_252dup (p.Gly85Cysfs*11)) in exon 1 of the CCNO gene. </w:t>
      </w:r>
      <w:r>
        <w:rPr>
          <w:rFonts w:ascii="Book Antiqua" w:hAnsi="Book Antiqua" w:eastAsia="Book Antiqua" w:cs="Book Antiqua"/>
          <w:i/>
          <w:iCs/>
          <w:color w:val="000000" w:themeColor="text1"/>
          <w14:textFill>
            <w14:solidFill>
              <w14:schemeClr w14:val="tx1"/>
            </w14:solidFill>
          </w14:textFill>
        </w:rPr>
        <w:t>Stem Cell Res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46</w:t>
      </w:r>
      <w:r>
        <w:rPr>
          <w:rFonts w:ascii="Book Antiqua" w:hAnsi="Book Antiqua" w:eastAsia="Book Antiqua" w:cs="Book Antiqua"/>
          <w:color w:val="000000" w:themeColor="text1"/>
          <w14:textFill>
            <w14:solidFill>
              <w14:schemeClr w14:val="tx1"/>
            </w14:solidFill>
          </w14:textFill>
        </w:rPr>
        <w:t>: 101850 [PMID: 32464346 DOI: 10.1016/j.scr.2020.101850]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25 </w:t>
      </w:r>
      <w:r>
        <w:rPr>
          <w:rFonts w:ascii="Book Antiqua" w:hAnsi="Book Antiqua" w:eastAsia="Book Antiqua" w:cs="Book Antiqua"/>
          <w:b/>
          <w:bCs/>
          <w:color w:val="000000" w:themeColor="text1"/>
          <w14:textFill>
            <w14:solidFill>
              <w14:schemeClr w14:val="tx1"/>
            </w14:solidFill>
          </w14:textFill>
        </w:rPr>
        <w:t>Bush A</w:t>
      </w:r>
      <w:r>
        <w:rPr>
          <w:rFonts w:ascii="Book Antiqua" w:hAnsi="Book Antiqua" w:eastAsia="Book Antiqua" w:cs="Book Antiqua"/>
          <w:color w:val="000000" w:themeColor="text1"/>
          <w14:textFill>
            <w14:solidFill>
              <w14:schemeClr w14:val="tx1"/>
            </w14:solidFill>
          </w14:textFill>
        </w:rPr>
        <w:t xml:space="preserve">, Chodhari R, Collins N, Copeland F, Hall P, Harcourt J, Hariri M, Hogg C, Lucas J, Mitchison HM, O'Callaghan C, Phillips G. Primary ciliary dyskinesia: current state of the art. </w:t>
      </w:r>
      <w:r>
        <w:rPr>
          <w:rFonts w:ascii="Book Antiqua" w:hAnsi="Book Antiqua" w:eastAsia="Book Antiqua" w:cs="Book Antiqua"/>
          <w:i/>
          <w:iCs/>
          <w:color w:val="000000" w:themeColor="text1"/>
          <w14:textFill>
            <w14:solidFill>
              <w14:schemeClr w14:val="tx1"/>
            </w14:solidFill>
          </w14:textFill>
        </w:rPr>
        <w:t>Arch Dis Child</w:t>
      </w:r>
      <w:r>
        <w:rPr>
          <w:rFonts w:ascii="Book Antiqua" w:hAnsi="Book Antiqua" w:eastAsia="Book Antiqua" w:cs="Book Antiqua"/>
          <w:color w:val="000000" w:themeColor="text1"/>
          <w14:textFill>
            <w14:solidFill>
              <w14:schemeClr w14:val="tx1"/>
            </w14:solidFill>
          </w14:textFill>
        </w:rPr>
        <w:t xml:space="preserve"> 2007; </w:t>
      </w:r>
      <w:r>
        <w:rPr>
          <w:rFonts w:ascii="Book Antiqua" w:hAnsi="Book Antiqua" w:eastAsia="Book Antiqua" w:cs="Book Antiqua"/>
          <w:b/>
          <w:bCs/>
          <w:color w:val="000000" w:themeColor="text1"/>
          <w14:textFill>
            <w14:solidFill>
              <w14:schemeClr w14:val="tx1"/>
            </w14:solidFill>
          </w14:textFill>
        </w:rPr>
        <w:t>92</w:t>
      </w:r>
      <w:r>
        <w:rPr>
          <w:rFonts w:ascii="Book Antiqua" w:hAnsi="Book Antiqua" w:eastAsia="Book Antiqua" w:cs="Book Antiqua"/>
          <w:color w:val="000000" w:themeColor="text1"/>
          <w14:textFill>
            <w14:solidFill>
              <w14:schemeClr w14:val="tx1"/>
            </w14:solidFill>
          </w14:textFill>
        </w:rPr>
        <w:t>: 1136-1140 [PMID: 17634184 DOI: 10.1136/adc.2006.096958]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26 </w:t>
      </w:r>
      <w:r>
        <w:rPr>
          <w:rFonts w:ascii="Book Antiqua" w:hAnsi="Book Antiqua" w:eastAsia="Book Antiqua" w:cs="Book Antiqua"/>
          <w:b/>
          <w:bCs/>
          <w:color w:val="000000" w:themeColor="text1"/>
          <w14:textFill>
            <w14:solidFill>
              <w14:schemeClr w14:val="tx1"/>
            </w14:solidFill>
          </w14:textFill>
        </w:rPr>
        <w:t>Kido T</w:t>
      </w:r>
      <w:r>
        <w:rPr>
          <w:rFonts w:ascii="Book Antiqua" w:hAnsi="Book Antiqua" w:eastAsia="Book Antiqua" w:cs="Book Antiqua"/>
          <w:color w:val="000000" w:themeColor="text1"/>
          <w14:textFill>
            <w14:solidFill>
              <w14:schemeClr w14:val="tx1"/>
            </w14:solidFill>
          </w14:textFill>
        </w:rPr>
        <w:t xml:space="preserve">, Yatera K, Yamasaki K, Nagata S, Choujin Y, Yamaga C, Hara K, Ishimoto H, Hisaoka M, Mukae H. Two cases of primary ciliary dyskinesia with different responses to macrolide treatment. </w:t>
      </w:r>
      <w:r>
        <w:rPr>
          <w:rFonts w:ascii="Book Antiqua" w:hAnsi="Book Antiqua" w:eastAsia="Book Antiqua" w:cs="Book Antiqua"/>
          <w:i/>
          <w:iCs/>
          <w:color w:val="000000" w:themeColor="text1"/>
          <w14:textFill>
            <w14:solidFill>
              <w14:schemeClr w14:val="tx1"/>
            </w14:solidFill>
          </w14:textFill>
        </w:rPr>
        <w:t>Intern Med</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51</w:t>
      </w:r>
      <w:r>
        <w:rPr>
          <w:rFonts w:ascii="Book Antiqua" w:hAnsi="Book Antiqua" w:eastAsia="Book Antiqua" w:cs="Book Antiqua"/>
          <w:color w:val="000000" w:themeColor="text1"/>
          <w14:textFill>
            <w14:solidFill>
              <w14:schemeClr w14:val="tx1"/>
            </w14:solidFill>
          </w14:textFill>
        </w:rPr>
        <w:t>: 1093-1098 [PMID: 22576394 DOI: 10.2169/internalmedicine.51.6617]</w:t>
      </w:r>
      <w:bookmarkEnd w:id="21"/>
      <w:bookmarkEnd w:id="22"/>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The patient and her parents have provided the signed consent.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Zhang YY, Tang H</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are worked in Department of Respiratory and Critical Care Medicine, Changzheng Hospital, Naval Military Medical University; Lou Y is worked in Department of Orthopedic Oncology, Spine Tumor Center, Changzheng Hospital, Naval Military Medical University;</w:t>
      </w:r>
      <w:r>
        <w:rPr>
          <w:rFonts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Yan H is worked in Department of Nephrology, 905</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Hospital of PLA NAVY, Naval Military Medical University.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eastAsia="Book Antiqua" w:cs="Book Antiqua"/>
          <w:color w:val="000000" w:themeColor="text1"/>
          <w14:textFill>
            <w14:solidFill>
              <w14:schemeClr w14:val="tx1"/>
            </w14:solidFill>
          </w14:textFill>
        </w:rPr>
        <w:t>The authors have read the CARE Checklist (2016), and the manuscript was prepared and revised according to the CARE Checklist (2016).</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April 24,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May 12,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b w:val="0"/>
          <w:bCs w:val="0"/>
          <w:color w:val="000000" w:themeColor="text1"/>
          <w14:textFill>
            <w14:solidFill>
              <w14:schemeClr w14:val="tx1"/>
            </w14:solidFill>
          </w14:textFill>
        </w:rPr>
        <w:t>July 20,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Respiratory system</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 B</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Aldiansyah D, Indonesia; Ullah K, Pakistan</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bCs/>
          <w:color w:val="000000" w:themeColor="text1"/>
          <w14:textFill>
            <w14:solidFill>
              <w14:schemeClr w14:val="tx1"/>
            </w14:solidFill>
          </w14:textFill>
        </w:rPr>
        <w:t>Y</w:t>
      </w:r>
      <w:r>
        <w:rPr>
          <w:rFonts w:ascii="Book Antiqua" w:hAnsi="Book Antiqua" w:eastAsia="Book Antiqua" w:cs="Book Antiqua"/>
          <w:bCs/>
          <w:color w:val="000000" w:themeColor="text1"/>
          <w:lang w:eastAsia="zh-CN"/>
          <w14:textFill>
            <w14:solidFill>
              <w14:schemeClr w14:val="tx1"/>
            </w14:solidFill>
          </w14:textFill>
        </w:rPr>
        <w:t>an JP</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bCs/>
          <w:color w:val="000000" w:themeColor="text1"/>
          <w14:textFill>
            <w14:solidFill>
              <w14:schemeClr w14:val="tx1"/>
            </w14:solidFill>
          </w14:textFill>
        </w:rPr>
        <w:t>Y</w:t>
      </w:r>
      <w:r>
        <w:rPr>
          <w:rFonts w:ascii="Book Antiqua" w:hAnsi="Book Antiqua" w:eastAsia="Book Antiqua" w:cs="Book Antiqua"/>
          <w:bCs/>
          <w:color w:val="000000" w:themeColor="text1"/>
          <w:lang w:eastAsia="zh-CN"/>
          <w14:textFill>
            <w14:solidFill>
              <w14:schemeClr w14:val="tx1"/>
            </w14:solidFill>
          </w14:textFill>
        </w:rPr>
        <w:t>an JP</w:t>
      </w:r>
    </w:p>
    <w:p>
      <w:pPr>
        <w:spacing w:line="360" w:lineRule="auto"/>
        <w:jc w:val="both"/>
        <w:rPr>
          <w:rFonts w:ascii="Book Antiqua" w:hAnsi="Book Antiqua" w:eastAsia="Book Antiqua" w:cs="Book Antiqua"/>
          <w:b/>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themeColor="text1"/>
          <w14:textFill>
            <w14:solidFill>
              <w14:schemeClr w14:val="tx1"/>
            </w14:solidFill>
          </w14:textFill>
        </w:rPr>
      </w:pPr>
      <w:bookmarkStart w:id="27" w:name="OLE_LINK4681"/>
      <w:bookmarkStart w:id="28" w:name="OLE_LINK4682"/>
      <w:r>
        <w:rPr>
          <w:rFonts w:ascii="Book Antiqua" w:hAnsi="Book Antiqua" w:eastAsia="Book Antiqua" w:cs="Book Antiqua"/>
          <w:b/>
          <w:color w:val="000000" w:themeColor="text1"/>
          <w14:textFill>
            <w14:solidFill>
              <w14:schemeClr w14:val="tx1"/>
            </w14:solidFill>
          </w14:textFill>
        </w:rPr>
        <w:t>Figure Legends</w:t>
      </w:r>
      <w:bookmarkEnd w:id="27"/>
      <w:bookmarkEnd w:id="28"/>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drawing>
          <wp:inline distT="0" distB="0" distL="114300" distR="114300">
            <wp:extent cx="5723890" cy="1560830"/>
            <wp:effectExtent l="0" t="0" r="6350" b="8890"/>
            <wp:docPr id="8" name="图片 8" descr="WJCC-10-914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9148-g001"/>
                    <pic:cNvPicPr>
                      <a:picLocks noChangeAspect="1"/>
                    </pic:cNvPicPr>
                  </pic:nvPicPr>
                  <pic:blipFill>
                    <a:blip r:embed="rId5"/>
                    <a:stretch>
                      <a:fillRect/>
                    </a:stretch>
                  </pic:blipFill>
                  <pic:spPr>
                    <a:xfrm>
                      <a:off x="0" y="0"/>
                      <a:ext cx="5723890" cy="1560830"/>
                    </a:xfrm>
                    <a:prstGeom prst="rect">
                      <a:avLst/>
                    </a:prstGeom>
                  </pic:spPr>
                </pic:pic>
              </a:graphicData>
            </a:graphic>
          </wp:inline>
        </w:drawing>
      </w:r>
    </w:p>
    <w:p>
      <w:pPr>
        <w:spacing w:line="360" w:lineRule="auto"/>
        <w:jc w:val="both"/>
        <w:rPr>
          <w:rFonts w:ascii="Book Antiqua" w:hAnsi="Book Antiqua"/>
          <w:b/>
          <w:bCs/>
          <w:color w:val="000000" w:themeColor="text1"/>
          <w14:textFill>
            <w14:solidFill>
              <w14:schemeClr w14:val="tx1"/>
            </w14:solidFill>
          </w14:textFill>
        </w:rPr>
      </w:pPr>
      <w:bookmarkStart w:id="29" w:name="OLE_LINK4683"/>
      <w:bookmarkStart w:id="30" w:name="OLE_LINK4684"/>
      <w:r>
        <w:rPr>
          <w:rFonts w:ascii="Book Antiqua" w:hAnsi="Book Antiqua"/>
          <w:b/>
          <w:bCs/>
          <w:color w:val="000000" w:themeColor="text1"/>
          <w14:textFill>
            <w14:solidFill>
              <w14:schemeClr w14:val="tx1"/>
            </w14:solidFill>
          </w14:textFill>
        </w:rPr>
        <w:t>Figure 1 Computed tomography image of the chest showing bronchiectasis with multiple miliary nodules.</w:t>
      </w:r>
    </w:p>
    <w:p>
      <w:pPr>
        <w:spacing w:line="360" w:lineRule="auto"/>
        <w:jc w:val="both"/>
        <w:rPr>
          <w:rFonts w:ascii="Book Antiqua" w:hAnsi="Book Antiqua"/>
          <w:b/>
          <w:bCs/>
          <w:color w:val="000000" w:themeColor="text1"/>
          <w14:textFill>
            <w14:solidFill>
              <w14:schemeClr w14:val="tx1"/>
            </w14:solidFill>
          </w14:textFill>
        </w:rPr>
      </w:pPr>
    </w:p>
    <w:p>
      <w:pPr>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3669665" cy="1929130"/>
            <wp:effectExtent l="0" t="0" r="3175" b="6350"/>
            <wp:docPr id="9" name="图片 9" descr="WJCC-10-914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9148-g002"/>
                    <pic:cNvPicPr>
                      <a:picLocks noChangeAspect="1"/>
                    </pic:cNvPicPr>
                  </pic:nvPicPr>
                  <pic:blipFill>
                    <a:blip r:embed="rId6"/>
                    <a:stretch>
                      <a:fillRect/>
                    </a:stretch>
                  </pic:blipFill>
                  <pic:spPr>
                    <a:xfrm>
                      <a:off x="0" y="0"/>
                      <a:ext cx="3669665" cy="1929130"/>
                    </a:xfrm>
                    <a:prstGeom prst="rect">
                      <a:avLst/>
                    </a:prstGeom>
                  </pic:spPr>
                </pic:pic>
              </a:graphicData>
            </a:graphic>
          </wp:inline>
        </w:drawing>
      </w:r>
    </w:p>
    <w:p>
      <w:pPr>
        <w:spacing w:line="360" w:lineRule="auto"/>
        <w:jc w:val="both"/>
        <w:rPr>
          <w:rFonts w:ascii="Book Antiqua" w:hAnsi="Book Antiqua"/>
          <w:b/>
          <w:bCs/>
          <w:color w:val="000000" w:themeColor="text1"/>
          <w14:textFill>
            <w14:solidFill>
              <w14:schemeClr w14:val="tx1"/>
            </w14:solidFill>
          </w14:textFill>
        </w:rPr>
      </w:pPr>
    </w:p>
    <w:bookmarkEnd w:id="29"/>
    <w:bookmarkEnd w:id="30"/>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Figure 2 Computed tomography image of the sinus showing the mucosa of bilateral ethmoid sinus and maxillary sinus was thickened and edematous, and the lesion of the right sinus cavity was more serious than that of the left.</w:t>
      </w:r>
    </w:p>
    <w:p>
      <w:pPr>
        <w:spacing w:line="360" w:lineRule="auto"/>
        <w:jc w:val="both"/>
        <w:rPr>
          <w:rFonts w:ascii="Book Antiqua" w:hAnsi="Book Antiqua"/>
          <w:b/>
          <w:bCs/>
          <w:color w:val="000000" w:themeColor="text1"/>
          <w:lang w:eastAsia="zh-CN"/>
          <w14:textFill>
            <w14:solidFill>
              <w14:schemeClr w14:val="tx1"/>
            </w14:solidFill>
          </w14:textFill>
        </w:rPr>
      </w:pPr>
    </w:p>
    <w:p>
      <w:pPr>
        <w:spacing w:line="360" w:lineRule="auto"/>
        <w:jc w:val="both"/>
        <w:rPr>
          <w:rFonts w:ascii="Book Antiqua" w:hAnsi="Book Antiqua"/>
          <w:b/>
          <w:bCs/>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drawing>
          <wp:inline distT="0" distB="0" distL="114300" distR="114300">
            <wp:extent cx="5510530" cy="1929130"/>
            <wp:effectExtent l="0" t="0" r="6350" b="6350"/>
            <wp:docPr id="10" name="图片 10" descr="WJCC-10-914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9148-g003"/>
                    <pic:cNvPicPr>
                      <a:picLocks noChangeAspect="1"/>
                    </pic:cNvPicPr>
                  </pic:nvPicPr>
                  <pic:blipFill>
                    <a:blip r:embed="rId7"/>
                    <a:stretch>
                      <a:fillRect/>
                    </a:stretch>
                  </pic:blipFill>
                  <pic:spPr>
                    <a:xfrm>
                      <a:off x="0" y="0"/>
                      <a:ext cx="5510530" cy="1929130"/>
                    </a:xfrm>
                    <a:prstGeom prst="rect">
                      <a:avLst/>
                    </a:prstGeom>
                  </pic:spPr>
                </pic:pic>
              </a:graphicData>
            </a:graphic>
          </wp:inline>
        </w:drawing>
      </w: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Figure 3 Abdominal ultrasound and cardiac ultrasound images showing that the position of all organs and all atrial ventricles was normal.</w:t>
      </w:r>
    </w:p>
    <w:p>
      <w:pPr>
        <w:spacing w:line="360" w:lineRule="auto"/>
        <w:jc w:val="both"/>
        <w:rPr>
          <w:rFonts w:ascii="Book Antiqua" w:hAnsi="Book Antiqua"/>
          <w:b/>
          <w:bCs/>
          <w:color w:val="000000" w:themeColor="text1"/>
          <w:lang w:eastAsia="zh-CN"/>
          <w14:textFill>
            <w14:solidFill>
              <w14:schemeClr w14:val="tx1"/>
            </w14:solidFill>
          </w14:textFill>
        </w:rPr>
      </w:pP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drawing>
          <wp:inline distT="0" distB="0" distL="114300" distR="114300">
            <wp:extent cx="2883535" cy="3035935"/>
            <wp:effectExtent l="0" t="0" r="12065" b="12065"/>
            <wp:docPr id="11" name="图片 11" descr="WJCC-10-914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9148-g004"/>
                    <pic:cNvPicPr>
                      <a:picLocks noChangeAspect="1"/>
                    </pic:cNvPicPr>
                  </pic:nvPicPr>
                  <pic:blipFill>
                    <a:blip r:embed="rId8"/>
                    <a:stretch>
                      <a:fillRect/>
                    </a:stretch>
                  </pic:blipFill>
                  <pic:spPr>
                    <a:xfrm>
                      <a:off x="0" y="0"/>
                      <a:ext cx="2883535" cy="3035935"/>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 xml:space="preserve">Figure 4 Electron microscopic examination of tracheoscopic biopsy showed that cilia were short and no cilia power arm was found. </w:t>
      </w:r>
      <w:r>
        <w:rPr>
          <w:rFonts w:ascii="Book Antiqua" w:hAnsi="Book Antiqua"/>
          <w:color w:val="000000" w:themeColor="text1"/>
          <w:lang w:eastAsia="zh-CN"/>
          <w14:textFill>
            <w14:solidFill>
              <w14:schemeClr w14:val="tx1"/>
            </w14:solidFill>
          </w14:textFill>
        </w:rPr>
        <w:t xml:space="preserve">Transmission electron microscope, 1000 </w:t>
      </w:r>
      <w:r>
        <w:rPr>
          <w:rFonts w:ascii="Book Antiqua" w:hAnsi="Book Antiqua" w:eastAsia="Book Antiqua" w:cs="Book Antiqua"/>
          <w:iCs/>
          <w:color w:val="000000" w:themeColor="text1"/>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magnification.</w:t>
      </w:r>
    </w:p>
    <w:p>
      <w:pPr>
        <w:spacing w:line="360" w:lineRule="auto"/>
        <w:jc w:val="both"/>
        <w:rPr>
          <w:rFonts w:ascii="Book Antiqua" w:hAnsi="Book Antiqua"/>
          <w:b/>
          <w:bCs/>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color w:val="000000" w:themeColor="text1"/>
          <w:lang w:eastAsia="zh-CN"/>
          <w14:textFill>
            <w14:solidFill>
              <w14:schemeClr w14:val="tx1"/>
            </w14:solidFill>
          </w14:textFill>
        </w:rPr>
      </w:pPr>
      <w:bookmarkStart w:id="33" w:name="_GoBack"/>
      <w:r>
        <w:rPr>
          <w:rFonts w:ascii="Book Antiqua" w:hAnsi="Book Antiqua"/>
          <w:b/>
          <w:bCs/>
          <w:color w:val="000000" w:themeColor="text1"/>
          <w:lang w:eastAsia="zh-CN"/>
          <w14:textFill>
            <w14:solidFill>
              <w14:schemeClr w14:val="tx1"/>
            </w14:solidFill>
          </w14:textFill>
        </w:rPr>
        <w:drawing>
          <wp:inline distT="0" distB="0" distL="114300" distR="114300">
            <wp:extent cx="5723890" cy="1560830"/>
            <wp:effectExtent l="0" t="0" r="6350" b="8890"/>
            <wp:docPr id="12" name="图片 12" descr="WJCC-10-914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9148-g005"/>
                    <pic:cNvPicPr>
                      <a:picLocks noChangeAspect="1"/>
                    </pic:cNvPicPr>
                  </pic:nvPicPr>
                  <pic:blipFill>
                    <a:blip r:embed="rId9"/>
                    <a:stretch>
                      <a:fillRect/>
                    </a:stretch>
                  </pic:blipFill>
                  <pic:spPr>
                    <a:xfrm>
                      <a:off x="0" y="0"/>
                      <a:ext cx="5723890" cy="1560830"/>
                    </a:xfrm>
                    <a:prstGeom prst="rect">
                      <a:avLst/>
                    </a:prstGeom>
                  </pic:spPr>
                </pic:pic>
              </a:graphicData>
            </a:graphic>
          </wp:inline>
        </w:drawing>
      </w:r>
      <w:bookmarkEnd w:id="33"/>
    </w:p>
    <w:p>
      <w:pPr>
        <w:spacing w:line="360" w:lineRule="auto"/>
        <w:jc w:val="both"/>
        <w:rPr>
          <w:rFonts w:ascii="Book Antiqua" w:hAnsi="Book Antiqu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bookmarkStart w:id="31" w:name="OLE_LINK4631"/>
      <w:bookmarkStart w:id="32" w:name="OLE_LINK4632"/>
      <w:r>
        <w:rPr>
          <w:rFonts w:ascii="Book Antiqua" w:hAnsi="Book Antiqua"/>
          <w:b/>
          <w:bCs/>
          <w:color w:val="000000" w:themeColor="text1"/>
          <w:lang w:eastAsia="zh-CN"/>
          <w14:textFill>
            <w14:solidFill>
              <w14:schemeClr w14:val="tx1"/>
            </w14:solidFill>
          </w14:textFill>
        </w:rPr>
        <w:t xml:space="preserve">Figure 5 Computed tomography image of the chest 2 mo after azithromycin treatment. </w:t>
      </w:r>
      <w:r>
        <w:rPr>
          <w:rFonts w:ascii="Book Antiqua" w:hAnsi="Book Antiqua"/>
          <w:color w:val="000000" w:themeColor="text1"/>
          <w:lang w:eastAsia="zh-CN"/>
          <w14:textFill>
            <w14:solidFill>
              <w14:schemeClr w14:val="tx1"/>
            </w14:solidFill>
          </w14:textFill>
        </w:rPr>
        <w:t>Nodular shadow was obviously weakened, but signs of bronchiectasis didn’t change.</w:t>
      </w:r>
      <w:bookmarkEnd w:id="31"/>
      <w:bookmarkEnd w:id="32"/>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110115"/>
    <w:rsid w:val="00217FA2"/>
    <w:rsid w:val="00240AB7"/>
    <w:rsid w:val="003615CF"/>
    <w:rsid w:val="004758DE"/>
    <w:rsid w:val="00520DBE"/>
    <w:rsid w:val="00541D4C"/>
    <w:rsid w:val="005A6D28"/>
    <w:rsid w:val="005B6F79"/>
    <w:rsid w:val="00691975"/>
    <w:rsid w:val="00743D2F"/>
    <w:rsid w:val="007566DD"/>
    <w:rsid w:val="007F4637"/>
    <w:rsid w:val="009E18B2"/>
    <w:rsid w:val="009E2DB7"/>
    <w:rsid w:val="00A15DDF"/>
    <w:rsid w:val="00A77B3E"/>
    <w:rsid w:val="00AB3BA6"/>
    <w:rsid w:val="00B2376A"/>
    <w:rsid w:val="00BB3CDA"/>
    <w:rsid w:val="00CA2A55"/>
    <w:rsid w:val="00CD799E"/>
    <w:rsid w:val="00D0651C"/>
    <w:rsid w:val="00D61CF6"/>
    <w:rsid w:val="00DF371F"/>
    <w:rsid w:val="00E1156C"/>
    <w:rsid w:val="00E20C28"/>
    <w:rsid w:val="00E8023E"/>
    <w:rsid w:val="00F231ED"/>
    <w:rsid w:val="00F907D6"/>
    <w:rsid w:val="2D286441"/>
    <w:rsid w:val="45FB5D50"/>
    <w:rsid w:val="7B8518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3"/>
    <w:semiHidden/>
    <w:unhideWhenUsed/>
    <w:qFormat/>
    <w:uiPriority w:val="0"/>
    <w:rPr>
      <w:b/>
      <w:bCs/>
    </w:rPr>
  </w:style>
  <w:style w:type="character" w:styleId="8">
    <w:name w:val="annotation reference"/>
    <w:basedOn w:val="7"/>
    <w:semiHidden/>
    <w:unhideWhenUsed/>
    <w:uiPriority w:val="0"/>
    <w:rPr>
      <w:sz w:val="21"/>
      <w:szCs w:val="21"/>
    </w:rPr>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批注文字 字符"/>
    <w:basedOn w:val="7"/>
    <w:link w:val="2"/>
    <w:semiHidden/>
    <w:qFormat/>
    <w:uiPriority w:val="0"/>
    <w:rPr>
      <w:sz w:val="24"/>
      <w:szCs w:val="24"/>
    </w:rPr>
  </w:style>
  <w:style w:type="character" w:customStyle="1" w:styleId="13">
    <w:name w:val="批注主题 字符"/>
    <w:basedOn w:val="12"/>
    <w:link w:val="5"/>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3679</Words>
  <Characters>21196</Characters>
  <Lines>172</Lines>
  <Paragraphs>48</Paragraphs>
  <TotalTime>0</TotalTime>
  <ScaleCrop>false</ScaleCrop>
  <LinksUpToDate>false</LinksUpToDate>
  <CharactersWithSpaces>24757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2022-07-20T04:59:00Z</dcterms:created>
  <dc:creator>Lian-Sheng Ma</dc:creator>
  <cp:lastModifiedBy>晓晨</cp:lastModifiedBy>
  <dcterms:modified xsi:type="dcterms:W3CDTF">2022-08-26T06:15:10Z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86881FE1805C454B85FF06015759D71F</vt:lpwstr>
  </property>
</Properties>
</file>