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77361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bCs/>
          <w:iCs/>
          <w:color w:val="000000"/>
        </w:rPr>
        <w:t>Relationship between lipids and sleep apnea: Mendelian randomization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LP </w:t>
      </w:r>
      <w:r>
        <w:rPr>
          <w:rFonts w:ascii="Book Antiqua" w:hAnsi="Book Antiqua" w:eastAsia="Book Antiqua" w:cs="Book Antiqua"/>
          <w:i/>
          <w:color w:val="000000"/>
        </w:rPr>
        <w:t>et al</w:t>
      </w:r>
      <w:r>
        <w:rPr>
          <w:rFonts w:ascii="Book Antiqua" w:hAnsi="Book Antiqua" w:eastAsia="Book Antiqua" w:cs="Book Antiqua"/>
          <w:color w:val="000000"/>
        </w:rPr>
        <w:t>. Relationship between lipids and sleep apnea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Lian-Peng Zhang, Xiao-Xia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Lian-Peng Zhang, </w:t>
      </w:r>
      <w:r>
        <w:rPr>
          <w:rFonts w:ascii="Book Antiqua" w:hAnsi="Book Antiqua" w:eastAsia="Book Antiqua" w:cs="Book Antiqua"/>
          <w:color w:val="000000"/>
        </w:rPr>
        <w:t>Department of Respiratory Medicine, Qingzhou Hospital Affiliated to Shandong First Medical University, Qingzhou People's Hospital, Qingzhou 262500,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Xiao-Xia Zhang, </w:t>
      </w:r>
      <w:r>
        <w:rPr>
          <w:rFonts w:ascii="Book Antiqua" w:hAnsi="Book Antiqua" w:eastAsia="Book Antiqua" w:cs="Book Antiqua"/>
          <w:color w:val="000000"/>
        </w:rPr>
        <w:t>Department of AIDS Voluntary Counseling and Testing, Qingzhou Center for Disease Control and Prevention, Qingzhou 262500,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Zhang LP contributed to conceptualization, methodology, software, writing-review, and editing; Zhang XX contributed to formal analysis, writing-review, and editing.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Lian-Peng Zhang, Doctor, MM, Doctor, </w:t>
      </w:r>
      <w:r>
        <w:rPr>
          <w:rFonts w:ascii="Book Antiqua" w:hAnsi="Book Antiqua" w:eastAsia="Book Antiqua" w:cs="Book Antiqua"/>
          <w:color w:val="000000"/>
        </w:rPr>
        <w:t>Department of Respiratory Medicine, Qingzhou Hospital Affiliated to Shandong First Medical University, Qingzhou People's Hospital, No. 1726 Linglongshan Middle Road, Qingzhou 262500, Shandong Province, China. hxzlp2013@126.com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8,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July 26,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Lipids increase the risk of sleep apnea; however, the causality between them is still inconclusive.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explore the causal relationship between serum lipids and sleep apnea using two-sample Mendelian randomization (MR)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Single nucleotide polymorphism (SNP) data related to serum lipids were obtained from the Global Lipids Genetics Consortium study, which included 188578 individuals of European ancestry. Additionally, sleep apnea-related SNP data were collected from the United Kingdom Biobank study, which comprised 463005 individuals of European ancestry. Two-sample MR analysis was performed to assess the causality between serum lipids and sleep apnea based on the above public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Genetically predicted low-density lipoprotein [odds ratio (OR) = 0.99, 95% confidence interval (CI)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0.58), high-density lipoprotein (OR = 0.99,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0.91), triglyceride (OR = 1.00,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0.92), and total cholesterol (OR = 0.99,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0.33) were causally unrelated to sleep apnea.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Our MR analysis suggests that genetically predicted serum lipids are not risk factors of sleep apnea.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Lipid; Sleep apnea; Mendelian randomization; Single nucleotide polymorphism; Risk factor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Zhang LP, Zhang XX. Relationship between lipids and sleep apnea: Mendelian randomization analysis.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10(31): </w:t>
      </w:r>
      <w:r>
        <w:rPr>
          <w:rFonts w:hint="default" w:ascii="Book Antiqua" w:hAnsi="Book Antiqua" w:eastAsia="宋体" w:cs="Book Antiqua"/>
          <w:i w:val="0"/>
          <w:iCs w:val="0"/>
          <w:color w:val="000000"/>
          <w:kern w:val="0"/>
          <w:sz w:val="24"/>
          <w:szCs w:val="24"/>
          <w:u w:val="none"/>
          <w:lang w:val="en-US" w:eastAsia="zh-CN" w:bidi="ar"/>
        </w:rPr>
        <w:t>11403-11410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11403</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11403</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had a couple of key advantages. First, compared with other observational studies, the genetic variants can be obtained from different sample of individuals, and genetic associations can be obtained from large genome-wide association studies, which can greatly improve the statistical ability to detect small effects of complex phenotypes. Second, the study excluded more confounding factors, heterogeneity and level pleiotropy, and conducted sensitivity tests to make our results more convincing.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Snoring during sleep is accompanied by apnea and shallow breathing, resulting in intermittent hypoxemia. Sleep apnea (SA) is a complex disease complicated by cardiovascular diseases such as coronary syndrome, hypertension, congestive heart failure, arrhythmia, and pulmonary hypertension, and neuropsychiatric dysfunction such as inattention, memory, and cognitive impairment. In addition, the incidence of insulin resistance and metabolic disorder is also higher in patients with than without SA</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1-5</w:t>
      </w:r>
      <w:r>
        <w:rPr>
          <w:rFonts w:ascii="Book Antiqua" w:hAnsi="Book Antiqua" w:eastAsia="Book Antiqua" w:cs="Book Antiqua"/>
          <w:color w:val="000000"/>
          <w:vertAlign w:val="superscript"/>
        </w:rPr>
        <w:t>]</w:t>
      </w:r>
      <w:r>
        <w:rPr>
          <w:rFonts w:ascii="Book Antiqua" w:hAnsi="Book Antiqua" w:eastAsia="Book Antiqua" w:cs="Book Antiqua"/>
          <w:color w:val="000000"/>
        </w:rPr>
        <w:t>. As reported, SA can lead to dyslipidemia, obesity, and metabolic syndrome</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Traditional studies believe that SA is mainly linked to the anatomical structure of the upper airway</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Recent epidemiological studies have demonstrated that male and obesity are the main risk factors for SA</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In the past, there has been discussion about how SA affects serum lipids, and several studies have shown that the levels of dyslipidemia including low-density lipoprotein (LDL), high-density lipoprotein (HDL), triglyceride (TG), and total cholesterol (TC) increase in patients with obstructive SA (OSA)</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8-10</w:t>
      </w:r>
      <w:r>
        <w:rPr>
          <w:rFonts w:ascii="Book Antiqua" w:hAnsi="Book Antiqua" w:eastAsia="Book Antiqua" w:cs="Book Antiqua"/>
          <w:color w:val="000000"/>
          <w:vertAlign w:val="superscript"/>
        </w:rPr>
        <w:t>]</w:t>
      </w:r>
      <w:r>
        <w:rPr>
          <w:rFonts w:ascii="Book Antiqua" w:hAnsi="Book Antiqua" w:eastAsia="Book Antiqua" w:cs="Book Antiqua"/>
          <w:color w:val="000000"/>
        </w:rPr>
        <w:t>. Nevertheless, it is rarely discussed whether serum lipids can be risk factors for SA. Understanding the effect of serum lipids on SA may assist in reducing relevant risk factors and providing novel ideas for the intervention of SA.</w:t>
      </w:r>
    </w:p>
    <w:p>
      <w:pPr>
        <w:spacing w:line="360" w:lineRule="auto"/>
        <w:ind w:firstLine="268" w:firstLineChars="112"/>
        <w:jc w:val="both"/>
        <w:rPr>
          <w:rFonts w:ascii="Book Antiqua" w:hAnsi="Book Antiqua" w:eastAsia="Book Antiqua" w:cs="Book Antiqua"/>
          <w:color w:val="000000"/>
        </w:rPr>
      </w:pPr>
      <w:r>
        <w:rPr>
          <w:rFonts w:ascii="Book Antiqua" w:hAnsi="Book Antiqua" w:eastAsia="Book Antiqua" w:cs="Book Antiqua"/>
          <w:color w:val="000000"/>
        </w:rPr>
        <w:t>The critical risk factors of OSA are obesity and high body mass index (BMI), which are both associated with abnormal lipid metabolism. However, it remains unclear whether lipids may be directly correlated with OSA. We assumed that there is a correlation between them and analyzed their correlation using the Mendelian randomization (MR) method. MR, a newly developed research method,</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uses genetic variants as instrumental variables to investigate whether a risk factor causally afflicts a health outcome and is possible to avoid confounding factors in observational studies and clinical trials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11</w:t>
      </w:r>
      <w:r>
        <w:rPr>
          <w:rFonts w:ascii="Book Antiqua" w:hAnsi="Book Antiqua" w:eastAsia="宋体" w:cs="宋体"/>
          <w:color w:val="000000"/>
          <w:vertAlign w:val="superscript"/>
          <w:lang w:eastAsia="zh-CN"/>
        </w:rPr>
        <w:t>,12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In our research, LDL, HDL, TG, and TC were utilized as representative lipid markers to probe the causal relationship between lipids and 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Data resources and study design</w:t>
      </w:r>
    </w:p>
    <w:p>
      <w:pPr>
        <w:spacing w:line="360" w:lineRule="auto"/>
        <w:jc w:val="both"/>
        <w:rPr>
          <w:rFonts w:ascii="Book Antiqua" w:hAnsi="Book Antiqua"/>
        </w:rPr>
      </w:pPr>
      <w:r>
        <w:rPr>
          <w:rFonts w:ascii="Book Antiqua" w:hAnsi="Book Antiqua" w:eastAsia="Book Antiqua" w:cs="Book Antiqua"/>
          <w:color w:val="000000"/>
        </w:rPr>
        <w:t>Our data were sourced from published data. The statistical data for genetically predicted LDL (</w:t>
      </w:r>
      <w:r>
        <w:rPr>
          <w:rFonts w:ascii="Book Antiqua" w:hAnsi="Book Antiqua" w:eastAsia="Book Antiqua" w:cs="Book Antiqua"/>
          <w:i/>
          <w:iCs/>
          <w:color w:val="000000"/>
        </w:rPr>
        <w:t>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1730820), HDL (</w:t>
      </w:r>
      <w:r>
        <w:rPr>
          <w:rFonts w:ascii="Book Antiqua" w:hAnsi="Book Antiqua" w:eastAsia="Book Antiqua" w:cs="Book Antiqua"/>
          <w:i/>
          <w:iCs/>
          <w:color w:val="000000"/>
        </w:rPr>
        <w:t xml:space="preserve">n </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187167), TG (</w:t>
      </w:r>
      <w:r>
        <w:rPr>
          <w:rFonts w:ascii="Book Antiqua" w:hAnsi="Book Antiqua" w:eastAsia="Book Antiqua" w:cs="Book Antiqua"/>
          <w:i/>
          <w:iCs/>
          <w:color w:val="000000"/>
        </w:rPr>
        <w:t>n</w:t>
      </w:r>
      <w:r>
        <w:rPr>
          <w:rFonts w:ascii="Book Antiqua" w:hAnsi="Book Antiqua" w:eastAsia="Book Antiqua" w:cs="Book Antiqua"/>
          <w:color w:val="000000"/>
        </w:rPr>
        <w:t xml:space="preserve"> = 177861), and TC (</w:t>
      </w:r>
      <w:r>
        <w:rPr>
          <w:rFonts w:ascii="Book Antiqua" w:hAnsi="Book Antiqua" w:eastAsia="Book Antiqua" w:cs="Book Antiqua"/>
          <w:i/>
          <w:iCs/>
          <w:color w:val="000000"/>
        </w:rPr>
        <w:t>n</w:t>
      </w:r>
      <w:r>
        <w:rPr>
          <w:rFonts w:ascii="Book Antiqua" w:hAnsi="Book Antiqua" w:eastAsia="Book Antiqua" w:cs="Book Antiqua"/>
          <w:color w:val="000000"/>
        </w:rPr>
        <w:t xml:space="preserve"> = 187365) were obtained from the Global Lipids Genetics Consortium study that summarized 45 studies and incorporated 188578 individuals of European ancestry</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outcome data for genetically predicted SA (</w:t>
      </w:r>
      <w:r>
        <w:rPr>
          <w:rFonts w:ascii="Book Antiqua" w:hAnsi="Book Antiqua" w:eastAsia="Book Antiqua" w:cs="Book Antiqua"/>
          <w:i/>
          <w:iCs/>
          <w:color w:val="000000"/>
        </w:rPr>
        <w:t>n</w:t>
      </w:r>
      <w:r>
        <w:rPr>
          <w:rFonts w:ascii="Book Antiqua" w:hAnsi="Book Antiqua" w:eastAsia="Book Antiqua" w:cs="Book Antiqua"/>
          <w:color w:val="000000"/>
        </w:rPr>
        <w:t xml:space="preserve"> = 463010) were harvested from the United Kingdom Biobank study (Table 1). Afterwards, a two-sample MR analysis was conducted to investigate the causal relationship of serum lipids with SA</w:t>
      </w:r>
      <w:r>
        <w:rPr>
          <w:rFonts w:ascii="Book Antiqua" w:hAnsi="Book Antiqua" w:eastAsia="Book Antiqua" w:cs="Book Antiqua"/>
          <w:color w:val="000000"/>
          <w:shd w:val="clear" w:color="auto" w:fill="FFFFFF"/>
        </w:rPr>
        <w:t xml:space="preserve">. The complete experimental design is shown in Figure 1.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Selection of genetic instrumental variables</w:t>
      </w:r>
    </w:p>
    <w:p>
      <w:pPr>
        <w:spacing w:line="360" w:lineRule="auto"/>
        <w:jc w:val="both"/>
        <w:rPr>
          <w:rFonts w:ascii="Book Antiqua" w:hAnsi="Book Antiqua"/>
        </w:rPr>
      </w:pPr>
      <w:r>
        <w:rPr>
          <w:rFonts w:ascii="Book Antiqua" w:hAnsi="Book Antiqua" w:eastAsia="Book Antiqua" w:cs="Book Antiqua"/>
          <w:color w:val="000000"/>
        </w:rPr>
        <w:t>To select appropriate instrumental variables, assumption 1 that instrumental variables are strongly correlated with exposure was first satisfied according to our experimental design. Subsequent to separate extraction of SNPs associated with LDL, HDL, TG, and TC with genome-wide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&lt;</w:t>
      </w:r>
      <w:r>
        <w:rPr>
          <w:rFonts w:eastAsia="Book Antiqua"/>
          <w:color w:val="000000"/>
        </w:rPr>
        <w:t> </w:t>
      </w:r>
      <w:r>
        <w:rPr>
          <w:rFonts w:ascii="Book Antiqua" w:hAnsi="Book Antiqua" w:eastAsia="Book Antiqua" w:cs="Book Antiqua"/>
          <w:color w:val="000000"/>
        </w:rPr>
        <w:t>5</w:t>
      </w:r>
      <w:r>
        <w:rPr>
          <w:rFonts w:eastAsia="Book Antiqua"/>
          <w:color w:val="000000"/>
        </w:rPr>
        <w:t> </w:t>
      </w:r>
      <w:r>
        <w:rPr>
          <w:rFonts w:ascii="Book Antiqua" w:hAnsi="Book Antiqua" w:eastAsia="Book Antiqua" w:cs="Book Antiqua"/>
          <w:color w:val="000000"/>
        </w:rPr>
        <w:t>×</w:t>
      </w:r>
      <w:r>
        <w:rPr>
          <w:rFonts w:eastAsia="Book Antiqua"/>
          <w:color w:val="000000"/>
        </w:rPr>
        <w:t> </w:t>
      </w:r>
      <w:r>
        <w:rPr>
          <w:rFonts w:ascii="Book Antiqua" w:hAnsi="Book Antiqua" w:eastAsia="Book Antiqua" w:cs="Book Antiqua"/>
          <w:color w:val="000000"/>
        </w:rPr>
        <w:t>10</w:t>
      </w:r>
      <w:r>
        <w:rPr>
          <w:rFonts w:ascii="Book Antiqua" w:hAnsi="Book Antiqua" w:eastAsia="Book Antiqua" w:cs="Book Antiqua"/>
          <w:color w:val="000000"/>
          <w:vertAlign w:val="superscript"/>
        </w:rPr>
        <w:t>−8</w:t>
      </w:r>
      <w:r>
        <w:rPr>
          <w:rFonts w:ascii="Book Antiqua" w:hAnsi="Book Antiqua" w:eastAsia="Book Antiqua" w:cs="Book Antiqua"/>
          <w:color w:val="000000"/>
        </w:rPr>
        <w:t>), the clumping process (</w:t>
      </w:r>
      <w:r>
        <w:rPr>
          <w:rFonts w:ascii="Book Antiqua" w:hAnsi="Book Antiqua" w:eastAsia="Book Antiqua" w:cs="Book Antiqua"/>
          <w:i/>
          <w:color w:val="000000"/>
        </w:rPr>
        <w:t>R</w:t>
      </w:r>
      <w:r>
        <w:rPr>
          <w:rFonts w:ascii="Book Antiqua" w:hAnsi="Book Antiqua" w:eastAsia="Book Antiqua" w:cs="Book Antiqua"/>
          <w:color w:val="000000"/>
          <w:vertAlign w:val="superscript"/>
        </w:rPr>
        <w:t>2</w:t>
      </w:r>
      <w:r>
        <w:rPr>
          <w:rFonts w:ascii="Book Antiqua" w:hAnsi="Book Antiqua" w:eastAsia="Book Antiqua" w:cs="MS Mincho"/>
          <w:color w:val="000000"/>
        </w:rPr>
        <w:t xml:space="preserve"> </w:t>
      </w:r>
      <w:r>
        <w:rPr>
          <w:rFonts w:ascii="Book Antiqua" w:hAnsi="Book Antiqua" w:eastAsia="Book Antiqua" w:cs="Book Antiqua"/>
          <w:color w:val="000000"/>
        </w:rPr>
        <w:t>&lt;</w:t>
      </w:r>
      <w:r>
        <w:rPr>
          <w:rFonts w:eastAsia="Book Antiqua"/>
          <w:color w:val="000000"/>
        </w:rPr>
        <w:t> </w:t>
      </w:r>
      <w:r>
        <w:rPr>
          <w:rFonts w:ascii="Book Antiqua" w:hAnsi="Book Antiqua" w:eastAsia="Book Antiqua" w:cs="Book Antiqua"/>
          <w:color w:val="000000"/>
        </w:rPr>
        <w:t>0.001, window size</w:t>
      </w:r>
      <w:r>
        <w:rPr>
          <w:rFonts w:ascii="Book Antiqua" w:hAnsi="Book Antiqua" w:eastAsia="Book Antiqua" w:cs="MS Mincho"/>
          <w:color w:val="000000"/>
        </w:rPr>
        <w:t xml:space="preserve"> </w:t>
      </w:r>
      <w:r>
        <w:rPr>
          <w:rFonts w:ascii="Book Antiqua" w:hAnsi="Book Antiqua" w:eastAsia="Book Antiqua" w:cs="Book Antiqua"/>
          <w:color w:val="000000"/>
        </w:rPr>
        <w:t>=</w:t>
      </w:r>
      <w:r>
        <w:rPr>
          <w:rFonts w:ascii="Book Antiqua" w:hAnsi="Book Antiqua" w:eastAsia="Book Antiqua" w:cs="MS Mincho"/>
          <w:color w:val="000000"/>
        </w:rPr>
        <w:t xml:space="preserve"> </w:t>
      </w:r>
      <w:r>
        <w:rPr>
          <w:rFonts w:ascii="Book Antiqua" w:hAnsi="Book Antiqua" w:eastAsia="Book Antiqua" w:cs="Book Antiqua"/>
          <w:color w:val="000000"/>
        </w:rPr>
        <w:t>10000</w:t>
      </w:r>
      <w:r>
        <w:rPr>
          <w:rFonts w:ascii="Book Antiqua" w:hAnsi="Book Antiqua" w:eastAsia="Book Antiqua" w:cs="MS Mincho"/>
          <w:color w:val="000000"/>
        </w:rPr>
        <w:t xml:space="preserve"> </w:t>
      </w:r>
      <w:r>
        <w:rPr>
          <w:rFonts w:ascii="Book Antiqua" w:hAnsi="Book Antiqua" w:eastAsia="Book Antiqua" w:cs="Book Antiqua"/>
          <w:color w:val="000000"/>
        </w:rPr>
        <w:t>kb) was conducted to remove the linkage disequilibrium</w:t>
      </w:r>
      <w:r>
        <w:rPr>
          <w:rFonts w:ascii="Book Antiqua" w:hAnsi="Book Antiqua" w:eastAsia="Book Antiqua" w:cs="Book Antiqua"/>
          <w:color w:val="000000"/>
          <w:vertAlign w:val="superscript"/>
        </w:rPr>
        <w:t>[14]</w:t>
      </w:r>
      <w:r>
        <w:rPr>
          <w:rFonts w:ascii="Book Antiqua" w:hAnsi="Book Antiqua" w:eastAsia="Book Antiqua" w:cs="Book Antiqua"/>
          <w:color w:val="000000"/>
        </w:rPr>
        <w:t>. Second, assumption 2 was fulfilled to ensure no association between the instrumental SNPs and confounding factors (BMI, male sex, and obesity were identified as confounders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in this study). SNPs related to confounding factors were excluded using a website (</w:t>
      </w:r>
      <w:r>
        <w:fldChar w:fldCharType="begin"/>
      </w:r>
      <w:r>
        <w:instrText xml:space="preserve"> HYPERLINK "http://www.phenoscanner.medschl.cam.ac.uk/" </w:instrText>
      </w:r>
      <w:r>
        <w:fldChar w:fldCharType="separate"/>
      </w:r>
      <w:r>
        <w:rPr>
          <w:rFonts w:ascii="Book Antiqua" w:hAnsi="Book Antiqua" w:eastAsia="Book Antiqua" w:cs="Book Antiqua"/>
          <w:color w:val="000000"/>
        </w:rPr>
        <w:t>http://www.phenoscanner.medschl.cam.ac.uk/</w:t>
      </w:r>
      <w:r>
        <w:rPr>
          <w:rFonts w:ascii="Book Antiqua" w:hAnsi="Book Antiqua" w:eastAsia="Book Antiqua" w:cs="Book Antiqua"/>
          <w:color w:val="000000"/>
        </w:rPr>
        <w:fldChar w:fldCharType="end"/>
      </w:r>
      <w:r>
        <w:rPr>
          <w:rFonts w:ascii="Book Antiqua" w:hAnsi="Book Antiqua" w:eastAsia="Book Antiqua" w:cs="Book Antiqua"/>
          <w:color w:val="000000"/>
        </w:rPr>
        <w:t>). Last, SNPs related to outcomes were also eliminated by the aforementioned website to meet assumption 3.</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 xml:space="preserve">Statistical analyses </w:t>
      </w:r>
    </w:p>
    <w:p>
      <w:pPr>
        <w:spacing w:line="360" w:lineRule="auto"/>
        <w:jc w:val="both"/>
        <w:rPr>
          <w:rFonts w:ascii="Book Antiqua" w:hAnsi="Book Antiqua"/>
        </w:rPr>
      </w:pPr>
      <w:r>
        <w:rPr>
          <w:rFonts w:ascii="Book Antiqua" w:hAnsi="Book Antiqua" w:eastAsia="Book Antiqua" w:cs="Book Antiqua"/>
          <w:color w:val="000000"/>
        </w:rPr>
        <w:t xml:space="preserve">An inverse variance weighted (IVW) meta-analysis was carried out to obtain an MR estimate. To enable a more reliable IVW approach, there was no evidence of targeted pleiotropy in the selected IVs (MR-Egger,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r>
        <w:rPr>
          <w:rFonts w:ascii="Book Antiqua" w:hAnsi="Book Antiqua" w:eastAsia="Book Antiqua" w:cs="Book Antiqua"/>
          <w:color w:val="000000"/>
          <w:vertAlign w:val="superscript"/>
        </w:rPr>
        <w:t>[16,17]</w:t>
      </w:r>
      <w:r>
        <w:rPr>
          <w:rFonts w:ascii="Book Antiqua" w:hAnsi="Book Antiqua" w:eastAsia="Book Antiqua" w:cs="Book Antiqua"/>
          <w:color w:val="000000"/>
        </w:rPr>
        <w:t>. Other methods, including MR-Egger method, weighted median method, simple mode method, and weighted mode method, were also conducted to evaluate the stability of the results</w:t>
      </w:r>
      <w:r>
        <w:rPr>
          <w:rFonts w:ascii="Book Antiqua" w:hAnsi="Book Antiqua" w:eastAsia="Book Antiqua" w:cs="Book Antiqua"/>
          <w:color w:val="000000"/>
          <w:vertAlign w:val="superscript"/>
        </w:rPr>
        <w:t>[18,19]</w:t>
      </w:r>
      <w:r>
        <w:rPr>
          <w:rFonts w:ascii="Book Antiqua" w:hAnsi="Book Antiqua" w:eastAsia="Book Antiqua" w:cs="Book Antiqua"/>
          <w:color w:val="000000"/>
        </w:rPr>
        <w:t>. The weighted median method has the advantage that the results are consistent even when up to 50% of the information comes from invalid instrumental variables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Sensitivity analysis</w:t>
      </w:r>
    </w:p>
    <w:p>
      <w:pPr>
        <w:spacing w:line="360" w:lineRule="auto"/>
        <w:jc w:val="both"/>
        <w:rPr>
          <w:rFonts w:ascii="Book Antiqua" w:hAnsi="Book Antiqua"/>
        </w:rPr>
      </w:pPr>
      <w:r>
        <w:rPr>
          <w:rFonts w:ascii="Book Antiqua" w:hAnsi="Book Antiqua" w:eastAsia="Book Antiqua" w:cs="Book Antiqua"/>
          <w:color w:val="000000"/>
        </w:rPr>
        <w:t xml:space="preserve">The Cochran’s Q test was utilized to assess the heterogeneity of individual genetic variability we estimated.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less than</w:t>
      </w:r>
      <w:r>
        <w:rPr>
          <w:rFonts w:ascii="Book Antiqua" w:hAnsi="Book Antiqua" w:eastAsia="Book Antiqua" w:cs="MS Mincho"/>
          <w:color w:val="000000"/>
        </w:rPr>
        <w:t xml:space="preserve"> </w:t>
      </w:r>
      <w:r>
        <w:rPr>
          <w:rFonts w:ascii="Book Antiqua" w:hAnsi="Book Antiqua" w:eastAsia="Book Antiqua" w:cs="Book Antiqua"/>
          <w:color w:val="000000"/>
        </w:rPr>
        <w:t>0.05 was regarded as significant heterogeneity. The stability of the results was evaluated using the funnel diagram. Pleiotropy was not found by MR-Egger test. The leave-one-out sensitivity analysis was performed to observe whether the results changed after each SNP was eliminated. The results are presented in</w:t>
      </w:r>
      <w:r>
        <w:rPr>
          <w:rFonts w:ascii="Book Antiqua" w:hAnsi="Book Antiqua" w:eastAsia="Book Antiqua" w:cs="Book Antiqua"/>
          <w:color w:val="000000"/>
          <w:shd w:val="clear" w:color="auto" w:fill="FFFFFF"/>
        </w:rPr>
        <w:t xml:space="preserve"> Supplementary Figures </w:t>
      </w:r>
      <w:r>
        <w:rPr>
          <w:rFonts w:ascii="Book Antiqua" w:hAnsi="Book Antiqua" w:cs="Book Antiqua"/>
          <w:color w:val="000000"/>
          <w:shd w:val="clear" w:color="auto" w:fill="FFFFFF"/>
          <w:lang w:eastAsia="zh-CN"/>
        </w:rPr>
        <w:t>1</w:t>
      </w:r>
      <w:r>
        <w:rPr>
          <w:rFonts w:ascii="Book Antiqua" w:hAnsi="Book Antiqua" w:eastAsia="Book Antiqua" w:cs="Book Antiqua"/>
          <w:color w:val="000000"/>
          <w:shd w:val="clear" w:color="auto" w:fill="FFFFFF"/>
        </w:rPr>
        <w:t>-</w:t>
      </w:r>
      <w:r>
        <w:rPr>
          <w:rFonts w:ascii="Book Antiqua" w:hAnsi="Book Antiqua" w:cs="Book Antiqua"/>
          <w:color w:val="000000"/>
          <w:shd w:val="clear" w:color="auto" w:fill="FFFFFF"/>
          <w:lang w:eastAsia="zh-CN"/>
        </w:rPr>
        <w:t>4</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 package “two-sample-MR” (version 0.5.6; Bristol, United Kingdom) in R (version 4.1.2; Vienna, Austria) was utilized in our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Association of serum lipid levels with the risk of SA</w:t>
      </w:r>
    </w:p>
    <w:p>
      <w:pPr>
        <w:spacing w:line="360" w:lineRule="auto"/>
        <w:jc w:val="both"/>
        <w:rPr>
          <w:rFonts w:ascii="Book Antiqua" w:hAnsi="Book Antiqua"/>
        </w:rPr>
      </w:pPr>
      <w:r>
        <w:rPr>
          <w:rFonts w:ascii="Book Antiqua" w:hAnsi="Book Antiqua" w:eastAsia="Book Antiqua" w:cs="Book Antiqua"/>
          <w:color w:val="000000"/>
        </w:rPr>
        <w:t xml:space="preserve">In MR, the IVW method manifested that the level of serum lipids including LDL [odds ratio (OR) = 0.99, 95% confidence interval (CI)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0.58], HDL (OR = 0.99,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0.91), TG (OR = 1.00,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0.92), and TC (OR = 0.99,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0.33) was not causally associated with SA. Another four approaches were also applied including MR Egger, weighted median, simple mode, and weighted mode. No obvious heterogeneity and horizontal pleiotropy was observed. The detailed results are displayed in Tables 2 and 3. </w:t>
      </w:r>
      <w:r>
        <w:rPr>
          <w:rFonts w:ascii="Book Antiqua" w:hAnsi="Book Antiqua" w:eastAsia="Book Antiqua" w:cs="Book Antiqua"/>
          <w:color w:val="000000"/>
          <w:shd w:val="clear" w:color="auto" w:fill="FFFFFF"/>
        </w:rPr>
        <w:t xml:space="preserve">There was no evidence of heterogeneity in the IVW analysis as demonstrated by funnel plots (Supplementary Figures </w:t>
      </w:r>
      <w:r>
        <w:rPr>
          <w:rFonts w:ascii="Book Antiqua" w:hAnsi="Book Antiqua" w:cs="Book Antiqua"/>
          <w:color w:val="000000"/>
          <w:shd w:val="clear" w:color="auto" w:fill="FFFFFF"/>
          <w:lang w:eastAsia="zh-CN"/>
        </w:rPr>
        <w:t>5</w:t>
      </w:r>
      <w:r>
        <w:rPr>
          <w:rFonts w:ascii="Book Antiqua" w:hAnsi="Book Antiqua" w:eastAsia="Book Antiqua" w:cs="Book Antiqua"/>
          <w:color w:val="000000"/>
          <w:shd w:val="clear" w:color="auto" w:fill="FFFFFF"/>
        </w:rPr>
        <w:t>-</w:t>
      </w:r>
      <w:r>
        <w:rPr>
          <w:rFonts w:ascii="Book Antiqua" w:hAnsi="Book Antiqua" w:cs="Book Antiqua"/>
          <w:color w:val="000000"/>
          <w:shd w:val="clear" w:color="auto" w:fill="FFFFFF"/>
          <w:lang w:eastAsia="zh-CN"/>
        </w:rPr>
        <w:t>8</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w:t>
      </w:r>
      <w:r>
        <w:rPr>
          <w:rFonts w:ascii="Book Antiqua" w:hAnsi="Book Antiqua" w:eastAsia="Book Antiqua" w:cs="Book Antiqua"/>
          <w:color w:val="000000"/>
          <w:shd w:val="clear" w:color="auto" w:fill="FFFFFF"/>
        </w:rPr>
        <w:t xml:space="preserve"> effect size </w:t>
      </w:r>
      <w:r>
        <w:rPr>
          <w:rFonts w:ascii="Book Antiqua" w:hAnsi="Book Antiqua" w:eastAsia="Book Antiqua" w:cs="Book Antiqua"/>
          <w:color w:val="000000"/>
        </w:rPr>
        <w:t xml:space="preserve">of SNPs on exposure (serum lipids) and outcome (SA) was found in </w:t>
      </w:r>
      <w:r>
        <w:rPr>
          <w:rFonts w:ascii="Book Antiqua" w:hAnsi="Book Antiqua" w:eastAsia="Book Antiqua" w:cs="Book Antiqua"/>
          <w:color w:val="000000"/>
          <w:shd w:val="clear" w:color="auto" w:fill="FFFFFF"/>
        </w:rPr>
        <w:t xml:space="preserve">scatter plots (Supplementary </w:t>
      </w:r>
      <w:r>
        <w:rPr>
          <w:rFonts w:ascii="Book Antiqua" w:hAnsi="Book Antiqua" w:eastAsia="Book Antiqua" w:cs="Book Antiqua"/>
          <w:color w:val="000000"/>
        </w:rPr>
        <w:t xml:space="preserve">Figures </w:t>
      </w:r>
      <w:r>
        <w:rPr>
          <w:rFonts w:ascii="Book Antiqua" w:hAnsi="Book Antiqua" w:cs="Book Antiqua"/>
          <w:color w:val="000000"/>
          <w:lang w:eastAsia="zh-CN"/>
        </w:rPr>
        <w:t>9</w:t>
      </w:r>
      <w:r>
        <w:rPr>
          <w:rFonts w:ascii="Book Antiqua" w:hAnsi="Book Antiqua" w:eastAsia="Book Antiqua" w:cs="Book Antiqua"/>
          <w:color w:val="000000"/>
        </w:rPr>
        <w:t>-</w:t>
      </w:r>
      <w:r>
        <w:rPr>
          <w:rFonts w:ascii="Book Antiqua" w:hAnsi="Book Antiqua" w:cs="Book Antiqua"/>
          <w:color w:val="000000"/>
          <w:lang w:eastAsia="zh-CN"/>
        </w:rPr>
        <w:t>12</w:t>
      </w:r>
      <w:r>
        <w:rPr>
          <w:rFonts w:ascii="Book Antiqua" w:hAnsi="Book Antiqua" w:eastAsia="Book Antiqua" w:cs="Book Antiqua"/>
          <w:color w:val="000000"/>
        </w:rPr>
        <w:t xml:space="preserve">). The effect of every single SNP on the outcomes is manifested in forest plots (Supplementary </w:t>
      </w:r>
      <w:r>
        <w:rPr>
          <w:rFonts w:ascii="Book Antiqua" w:hAnsi="Book Antiqua" w:eastAsia="Book Antiqua" w:cs="Book Antiqua"/>
          <w:color w:val="000000"/>
          <w:shd w:val="clear" w:color="auto" w:fill="FFFFFF"/>
        </w:rPr>
        <w:t xml:space="preserve">Figures </w:t>
      </w:r>
      <w:r>
        <w:rPr>
          <w:rFonts w:ascii="Book Antiqua" w:hAnsi="Book Antiqua" w:cs="Book Antiqua"/>
          <w:color w:val="000000"/>
          <w:shd w:val="clear" w:color="auto" w:fill="FFFFFF"/>
          <w:lang w:eastAsia="zh-CN"/>
        </w:rPr>
        <w:t>13</w:t>
      </w:r>
      <w:r>
        <w:rPr>
          <w:rFonts w:ascii="Book Antiqua" w:hAnsi="Book Antiqua" w:eastAsia="Book Antiqua" w:cs="Book Antiqua"/>
          <w:color w:val="000000"/>
          <w:shd w:val="clear" w:color="auto" w:fill="FFFFFF"/>
        </w:rPr>
        <w:t>-</w:t>
      </w:r>
      <w:r>
        <w:rPr>
          <w:rFonts w:ascii="Book Antiqua" w:hAnsi="Book Antiqua" w:cs="Book Antiqua"/>
          <w:color w:val="000000"/>
          <w:shd w:val="clear" w:color="auto" w:fill="FFFFFF"/>
          <w:lang w:eastAsia="zh-CN"/>
        </w:rPr>
        <w:t>16</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study carefully selected SNPs as effective instrumental variables and excluded known risk factors (obesity and high BMI, as well as other known risk factors including male neck circumference greater than 17 inches [43 cm], female neck circumference greater than 15 inches [38 cm], male sex, age over 50 years, and smoking</w:t>
      </w:r>
      <w:r>
        <w:rPr>
          <w:rFonts w:ascii="Book Antiqua" w:hAnsi="Book Antiqua" w:eastAsia="Book Antiqua" w:cs="Book Antiqua"/>
          <w:color w:val="000000"/>
          <w:vertAlign w:val="superscript"/>
        </w:rPr>
        <w:t>[15]</w:t>
      </w:r>
      <w:r>
        <w:rPr>
          <w:rFonts w:ascii="Book Antiqua" w:hAnsi="Book Antiqua" w:eastAsia="Book Antiqua" w:cs="Book Antiqua"/>
          <w:color w:val="000000"/>
        </w:rPr>
        <w:t>). MR analysis showed that genetically predicted LDL, HDL, TG, and TC had no causal relationship with SA.</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Numerous studies have dissected the relationship between serum lipids and SA, but the results have been varied. Can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showed the higher levels of TC, LDL, TG, and apolipoprotein B in the OSA group than in the control group. A study of Japanese working men elucidated a positive correlation between the respiratory disorder index and TG</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noted that HDL was diminished and oxidized LDL was elevated in patients with OSA. In a study of patients in eastern China, the authors observed that LDL was independently associated with OSA</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inconsistency of the above results may be related to the small sample size and the involvement of confounding factors.</w:t>
      </w:r>
    </w:p>
    <w:p>
      <w:pPr>
        <w:spacing w:line="360" w:lineRule="auto"/>
        <w:ind w:firstLine="268" w:firstLineChars="112"/>
        <w:jc w:val="both"/>
        <w:rPr>
          <w:rFonts w:ascii="Book Antiqua" w:hAnsi="Book Antiqua"/>
        </w:rPr>
      </w:pPr>
      <w:r>
        <w:rPr>
          <w:rFonts w:ascii="Book Antiqua" w:hAnsi="Book Antiqua" w:eastAsia="Book Antiqua" w:cs="Book Antiqua"/>
          <w:color w:val="000000"/>
        </w:rPr>
        <w:t>Our results revealed that genetically predicted LDL, HDL, TG, and TC were not causally correlated with SA. This result can be explained by the following mechanisms. First, the deposition of excessive fat in the neck may increase airway resistance and resultant susceptibility to SA. Nonetheless, the study comparing the distribution of neck soft tissues and fat between normal men and women by magnetic resonance imaging elaborated that the difference of fat deposition might not substantially damage the anatomical structure of the airway</w:t>
      </w:r>
      <w:r>
        <w:rPr>
          <w:rFonts w:ascii="Book Antiqua" w:hAnsi="Book Antiqua" w:eastAsia="Book Antiqua" w:cs="Book Antiqua"/>
          <w:color w:val="000000"/>
          <w:vertAlign w:val="superscript"/>
        </w:rPr>
        <w:t>[24]</w:t>
      </w:r>
      <w:r>
        <w:rPr>
          <w:rFonts w:ascii="Book Antiqua" w:hAnsi="Book Antiqua" w:eastAsia="Book Antiqua" w:cs="Book Antiqua"/>
          <w:color w:val="000000"/>
        </w:rPr>
        <w:t>. Second, SA is a complex disease and not simple pathogenesis of mechanical load. The factors involved also consist of the neurohumoral and metabolic inflammatory environment</w:t>
      </w:r>
      <w:r>
        <w:rPr>
          <w:rFonts w:ascii="Book Antiqua" w:hAnsi="Book Antiqua" w:eastAsia="Book Antiqua" w:cs="Book Antiqua"/>
          <w:color w:val="000000"/>
          <w:vertAlign w:val="superscript"/>
        </w:rPr>
        <w:t>[25,26]</w:t>
      </w:r>
      <w:r>
        <w:rPr>
          <w:rFonts w:ascii="Book Antiqua" w:hAnsi="Book Antiqua" w:eastAsia="Book Antiqua" w:cs="Book Antiqua"/>
          <w:color w:val="000000"/>
        </w:rPr>
        <w:t>. Apneas and hypopneas are classified into obstructive or central types</w:t>
      </w:r>
      <w:r>
        <w:rPr>
          <w:rFonts w:ascii="Book Antiqua" w:hAnsi="Book Antiqua" w:eastAsia="Book Antiqua" w:cs="Book Antiqua"/>
          <w:color w:val="000000"/>
          <w:vertAlign w:val="superscript"/>
        </w:rPr>
        <w:t>[27]</w:t>
      </w:r>
      <w:r>
        <w:rPr>
          <w:rFonts w:ascii="Book Antiqua" w:hAnsi="Book Antiqua" w:eastAsia="Book Antiqua" w:cs="Book Antiqua"/>
          <w:color w:val="000000"/>
        </w:rPr>
        <w:t>, with OSA as the most common type. In OSA, airway anatomy is critically implicated in the influence of airway collapsing pressure in patients with the hypotonic airway. However, some evidence illustrated that neuromuscular factors are a pivotal cause of airway collapse during sleep, including upper airway dilator dysfunction, increased chemical sensitivity, and low arousal threshold (premature sleep arousal contributes to unstable ventilation control)</w:t>
      </w:r>
      <w:r>
        <w:rPr>
          <w:rFonts w:ascii="Book Antiqua" w:hAnsi="Book Antiqua" w:eastAsia="Book Antiqua" w:cs="Book Antiqua"/>
          <w:color w:val="000000"/>
          <w:vertAlign w:val="superscript"/>
        </w:rPr>
        <w:t>[28,29]</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Dong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shd w:val="clear" w:color="auto" w:fill="FFFFFF"/>
        </w:rPr>
        <w:t xml:space="preserve"> delved into the relationship between lipid accumulation products (LAPs) and OSA in patients with type 2 diabetes mellitus, which revealed that </w:t>
      </w:r>
      <w:r>
        <w:rPr>
          <w:rFonts w:ascii="Book Antiqua" w:hAnsi="Book Antiqua" w:eastAsia="Book Antiqua" w:cs="Book Antiqua"/>
          <w:color w:val="000000"/>
        </w:rPr>
        <w:t>after the same confounding factors were adjusted, neither TG nor waist circumference, as constituents of LAPs, was signally associated with apnea-hypopnea indexes and OSA. BMI, visceral fat, and neck circumference are the principal predictors of clinical expression in OSA. After exclusion of these known risk factors, our calculated results unveiled that genetically predicted lipids did not directly correlate to SA. Multiple studies have concluded lipids as a risk factor for SA, most likely because dyslipidemia metabolism may cause obesity and obesity is the primary risk factor for OSA.</w:t>
      </w:r>
      <w:r>
        <w:rPr>
          <w:rFonts w:ascii="Book Antiqua" w:hAnsi="Book Antiqua" w:eastAsia="Book Antiqua" w:cs="Book Antiqua"/>
          <w:color w:val="000000"/>
          <w:shd w:val="clear" w:color="auto" w:fill="FFFFFF"/>
        </w:rPr>
        <w:t xml:space="preserve"> However, the direct correlation between lipids and SA was discussed in our study based on big data research, not the real world. </w:t>
      </w:r>
      <w:r>
        <w:rPr>
          <w:rFonts w:ascii="Book Antiqua" w:hAnsi="Book Antiqua" w:eastAsia="Book Antiqua" w:cs="Book Antiqua"/>
          <w:color w:val="000000"/>
        </w:rPr>
        <w:t>For the aforementioned reasons, there might not be a causal relationship between serum lipids and SA.</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This study had several advantages. First, different from other observational studies, genetic variants can be collected from different samples of individuals and genetic associations can be attained from large genome-wide association studies, which can remarkably improve the statistical ability to detect the small effects of complex phenotypes</w:t>
      </w:r>
      <w:r>
        <w:rPr>
          <w:rFonts w:ascii="Book Antiqua" w:hAnsi="Book Antiqua" w:eastAsia="Book Antiqua" w:cs="Book Antiqua"/>
          <w:color w:val="000000"/>
          <w:vertAlign w:val="superscript"/>
        </w:rPr>
        <w:t>[31]</w:t>
      </w:r>
      <w:r>
        <w:rPr>
          <w:rFonts w:ascii="Book Antiqua" w:hAnsi="Book Antiqua" w:eastAsia="Book Antiqua" w:cs="Book Antiqua"/>
          <w:color w:val="000000"/>
        </w:rPr>
        <w:t>. Second, the present study excluded more confounding factors, heterogeneity and level pleiotropy, and conducted sensitivity tests to strengthen the conviction of our results.</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This study also has limitations. First, the sample population included in our study was all from Europe. In this context, it cannot be confirmed that the same conclusion is obtained from non-European populations. In addition, in terms of the selection of serum lipid markers, only four markers were included in our research. It remains unknown whether other biomarkers are causally related to 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Genetically predicted LDL, HDL, TG, and TC may not have a causal relationship with SA. More pathogenesis of SA needs to be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Obstructive sleep apnea (OSA) has a negative effect on serum lipids, but the relationship between serum lipids and OSA is still uncertain.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We explored the direct effect of serum lipids on OSA.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observed that lipids are not related to OSA, and we need to further look for other markers to predict OSA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First, compared with other observational studies, the genetic variants can be obtained from different sample of individuals, and genetic associations can be obtained from large genome-wide association studies, which can greatly improve the statistical ability to detect small effects of complex phenotypes. Second, the study excluded more confounding factors, excluded heterogeneity and level pleiotropy, and conducted sensitivity tests to make our results more convincing.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In Mendelian randomization, the inverse variance weighted method manifested that the level of serum lipids including low-density lipoprotein [odds ratio (OR) = 0.99, 95% confidence interval (CI)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0.58], high-density lipoprotein (OR = 0.99,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0.91), triglyceride (OR = 1.00,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0.92), and total cholesterol (OR = 0.99, 95%CI = 0.99 to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0.33) was not causally associated with sleep apnea (SA).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Through MR analysis, this study concludes that serum lipids are not associated with 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We need to find other markers to predict SA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0" w:name="OLE_LINK1"/>
      <w:bookmarkStart w:id="1" w:name="OLE_LINK2"/>
      <w:r>
        <w:rPr>
          <w:rFonts w:ascii="Book Antiqua" w:hAnsi="Book Antiqua"/>
          <w:lang w:eastAsia="zh-CN"/>
        </w:rPr>
        <w:t>1</w:t>
      </w:r>
      <w:r>
        <w:rPr>
          <w:rFonts w:ascii="Book Antiqua" w:hAnsi="Book Antiqua"/>
        </w:rPr>
        <w:t xml:space="preserve"> </w:t>
      </w:r>
      <w:r>
        <w:rPr>
          <w:rFonts w:ascii="Book Antiqua" w:hAnsi="Book Antiqua"/>
          <w:b/>
          <w:bCs/>
        </w:rPr>
        <w:t>Wheaton AG</w:t>
      </w:r>
      <w:r>
        <w:rPr>
          <w:rFonts w:ascii="Book Antiqua" w:hAnsi="Book Antiqua"/>
        </w:rPr>
        <w:t xml:space="preserve">, Perry GS, Chapman DP, Croft JB. Sleep disordered breathing and depression among U.S. adults: National Health and Nutrition Examination Survey, 2005-2008. </w:t>
      </w:r>
      <w:r>
        <w:rPr>
          <w:rFonts w:ascii="Book Antiqua" w:hAnsi="Book Antiqua"/>
          <w:i/>
          <w:iCs/>
        </w:rPr>
        <w:t>Sleep</w:t>
      </w:r>
      <w:r>
        <w:rPr>
          <w:rFonts w:ascii="Book Antiqua" w:hAnsi="Book Antiqua"/>
        </w:rPr>
        <w:t xml:space="preserve"> 2012; </w:t>
      </w:r>
      <w:r>
        <w:rPr>
          <w:rFonts w:ascii="Book Antiqua" w:hAnsi="Book Antiqua"/>
          <w:b/>
          <w:bCs/>
        </w:rPr>
        <w:t>35</w:t>
      </w:r>
      <w:r>
        <w:rPr>
          <w:rFonts w:ascii="Book Antiqua" w:hAnsi="Book Antiqua"/>
        </w:rPr>
        <w:t>: 461-467 [PMID: 22467983 DOI: 10.5665/sleep.1724]</w:t>
      </w:r>
    </w:p>
    <w:p>
      <w:pPr>
        <w:spacing w:line="360" w:lineRule="auto"/>
        <w:jc w:val="both"/>
        <w:rPr>
          <w:rFonts w:ascii="Book Antiqua" w:hAnsi="Book Antiqua"/>
        </w:rPr>
      </w:pPr>
      <w:r>
        <w:rPr>
          <w:rFonts w:ascii="Book Antiqua" w:hAnsi="Book Antiqua"/>
          <w:lang w:eastAsia="zh-CN"/>
        </w:rPr>
        <w:t>2</w:t>
      </w:r>
      <w:r>
        <w:rPr>
          <w:rFonts w:ascii="Book Antiqua" w:hAnsi="Book Antiqua"/>
        </w:rPr>
        <w:t xml:space="preserve"> </w:t>
      </w:r>
      <w:r>
        <w:rPr>
          <w:rFonts w:ascii="Book Antiqua" w:hAnsi="Book Antiqua"/>
          <w:b/>
          <w:bCs/>
        </w:rPr>
        <w:t>Chen YH</w:t>
      </w:r>
      <w:r>
        <w:rPr>
          <w:rFonts w:ascii="Book Antiqua" w:hAnsi="Book Antiqua"/>
        </w:rPr>
        <w:t xml:space="preserve">, Keller JK, Kang JH, Hsieh HJ, Lin HC. Obstructive sleep apnea and the subsequent risk of depressive disorder: a population-based follow-up study. </w:t>
      </w:r>
      <w:r>
        <w:rPr>
          <w:rFonts w:ascii="Book Antiqua" w:hAnsi="Book Antiqua"/>
          <w:i/>
          <w:iCs/>
        </w:rPr>
        <w:t>J Clin Sleep Med</w:t>
      </w:r>
      <w:r>
        <w:rPr>
          <w:rFonts w:ascii="Book Antiqua" w:hAnsi="Book Antiqua"/>
        </w:rPr>
        <w:t xml:space="preserve"> 2013; </w:t>
      </w:r>
      <w:r>
        <w:rPr>
          <w:rFonts w:ascii="Book Antiqua" w:hAnsi="Book Antiqua"/>
          <w:b/>
          <w:bCs/>
        </w:rPr>
        <w:t>9</w:t>
      </w:r>
      <w:r>
        <w:rPr>
          <w:rFonts w:ascii="Book Antiqua" w:hAnsi="Book Antiqua"/>
        </w:rPr>
        <w:t>: 417-423 [PMID: 23674930 DOI: 10.5664/jcsm.2652]</w:t>
      </w:r>
    </w:p>
    <w:p>
      <w:pPr>
        <w:spacing w:line="360" w:lineRule="auto"/>
        <w:jc w:val="both"/>
        <w:rPr>
          <w:rFonts w:ascii="Book Antiqua" w:hAnsi="Book Antiqua"/>
        </w:rPr>
      </w:pPr>
      <w:r>
        <w:rPr>
          <w:rFonts w:ascii="Book Antiqua" w:hAnsi="Book Antiqua"/>
          <w:lang w:eastAsia="zh-CN"/>
        </w:rPr>
        <w:t>3</w:t>
      </w:r>
      <w:r>
        <w:rPr>
          <w:rFonts w:ascii="Book Antiqua" w:hAnsi="Book Antiqua"/>
        </w:rPr>
        <w:t xml:space="preserve"> </w:t>
      </w:r>
      <w:r>
        <w:rPr>
          <w:rFonts w:ascii="Book Antiqua" w:hAnsi="Book Antiqua"/>
          <w:b/>
          <w:bCs/>
        </w:rPr>
        <w:t>Peppard PE</w:t>
      </w:r>
      <w:r>
        <w:rPr>
          <w:rFonts w:ascii="Book Antiqua" w:hAnsi="Book Antiqua"/>
        </w:rPr>
        <w:t xml:space="preserve">, Szklo-Coxe M, Hla KM, Young T. Longitudinal association of sleep-related breathing disorder and depression. </w:t>
      </w:r>
      <w:r>
        <w:rPr>
          <w:rFonts w:ascii="Book Antiqua" w:hAnsi="Book Antiqua"/>
          <w:i/>
          <w:iCs/>
        </w:rPr>
        <w:t>Arch Intern Med</w:t>
      </w:r>
      <w:r>
        <w:rPr>
          <w:rFonts w:ascii="Book Antiqua" w:hAnsi="Book Antiqua"/>
        </w:rPr>
        <w:t xml:space="preserve"> 2006; </w:t>
      </w:r>
      <w:r>
        <w:rPr>
          <w:rFonts w:ascii="Book Antiqua" w:hAnsi="Book Antiqua"/>
          <w:b/>
          <w:bCs/>
        </w:rPr>
        <w:t>166</w:t>
      </w:r>
      <w:r>
        <w:rPr>
          <w:rFonts w:ascii="Book Antiqua" w:hAnsi="Book Antiqua"/>
        </w:rPr>
        <w:t>: 1709-1715 [PMID: 16983048 DOI: 10.1001/archinte.166.16.1709]</w:t>
      </w:r>
    </w:p>
    <w:p>
      <w:pPr>
        <w:spacing w:line="360" w:lineRule="auto"/>
        <w:jc w:val="both"/>
        <w:rPr>
          <w:rFonts w:ascii="Book Antiqua" w:hAnsi="Book Antiqua"/>
        </w:rPr>
      </w:pPr>
      <w:r>
        <w:rPr>
          <w:rFonts w:ascii="Book Antiqua" w:hAnsi="Book Antiqua"/>
          <w:lang w:eastAsia="zh-CN"/>
        </w:rPr>
        <w:t>4</w:t>
      </w:r>
      <w:r>
        <w:rPr>
          <w:rFonts w:ascii="Book Antiqua" w:hAnsi="Book Antiqua"/>
        </w:rPr>
        <w:t xml:space="preserve"> </w:t>
      </w:r>
      <w:r>
        <w:rPr>
          <w:rFonts w:ascii="Book Antiqua" w:hAnsi="Book Antiqua"/>
          <w:b/>
          <w:bCs/>
        </w:rPr>
        <w:t>Gonzaga C</w:t>
      </w:r>
      <w:r>
        <w:rPr>
          <w:rFonts w:ascii="Book Antiqua" w:hAnsi="Book Antiqua"/>
        </w:rPr>
        <w:t xml:space="preserve">, Bertolami A, Bertolami M, Amodeo C, Calhoun D. Obstructive sleep apnea, hypertension and cardiovascular diseases. </w:t>
      </w:r>
      <w:r>
        <w:rPr>
          <w:rFonts w:ascii="Book Antiqua" w:hAnsi="Book Antiqua"/>
          <w:i/>
          <w:iCs/>
        </w:rPr>
        <w:t>J Hum Hypertens</w:t>
      </w:r>
      <w:r>
        <w:rPr>
          <w:rFonts w:ascii="Book Antiqua" w:hAnsi="Book Antiqua"/>
        </w:rPr>
        <w:t xml:space="preserve"> 2015; </w:t>
      </w:r>
      <w:r>
        <w:rPr>
          <w:rFonts w:ascii="Book Antiqua" w:hAnsi="Book Antiqua"/>
          <w:b/>
          <w:bCs/>
        </w:rPr>
        <w:t>29</w:t>
      </w:r>
      <w:r>
        <w:rPr>
          <w:rFonts w:ascii="Book Antiqua" w:hAnsi="Book Antiqua"/>
        </w:rPr>
        <w:t>: 705-712 [PMID: 25761667 DOI: 10.1038/jhh.2015.15]</w:t>
      </w:r>
    </w:p>
    <w:p>
      <w:pPr>
        <w:spacing w:line="360" w:lineRule="auto"/>
        <w:jc w:val="both"/>
        <w:rPr>
          <w:rFonts w:ascii="Book Antiqua" w:hAnsi="Book Antiqua"/>
        </w:rPr>
      </w:pPr>
      <w:r>
        <w:rPr>
          <w:rFonts w:ascii="Book Antiqua" w:hAnsi="Book Antiqua"/>
          <w:lang w:eastAsia="zh-CN"/>
        </w:rPr>
        <w:t>5</w:t>
      </w:r>
      <w:r>
        <w:rPr>
          <w:rFonts w:ascii="Book Antiqua" w:hAnsi="Book Antiqua"/>
        </w:rPr>
        <w:t xml:space="preserve"> </w:t>
      </w:r>
      <w:r>
        <w:rPr>
          <w:rFonts w:ascii="Book Antiqua" w:hAnsi="Book Antiqua"/>
          <w:b/>
          <w:bCs/>
        </w:rPr>
        <w:t>Botros N</w:t>
      </w:r>
      <w:r>
        <w:rPr>
          <w:rFonts w:ascii="Book Antiqua" w:hAnsi="Book Antiqua"/>
        </w:rPr>
        <w:t xml:space="preserve">, Concato J, Mohsenin V, Selim B, Doctor K, Yaggi HK. Obstructive sleep apnea as a risk factor for type 2 diabetes. </w:t>
      </w:r>
      <w:r>
        <w:rPr>
          <w:rFonts w:ascii="Book Antiqua" w:hAnsi="Book Antiqua"/>
          <w:i/>
          <w:iCs/>
        </w:rPr>
        <w:t>Am J Med</w:t>
      </w:r>
      <w:r>
        <w:rPr>
          <w:rFonts w:ascii="Book Antiqua" w:hAnsi="Book Antiqua"/>
        </w:rPr>
        <w:t xml:space="preserve"> 2009; </w:t>
      </w:r>
      <w:r>
        <w:rPr>
          <w:rFonts w:ascii="Book Antiqua" w:hAnsi="Book Antiqua"/>
          <w:b/>
          <w:bCs/>
        </w:rPr>
        <w:t>122</w:t>
      </w:r>
      <w:r>
        <w:rPr>
          <w:rFonts w:ascii="Book Antiqua" w:hAnsi="Book Antiqua"/>
        </w:rPr>
        <w:t>: 1122-1127 [PMID: 19958890 DOI: 10.1016/j.amjmed.2009.04.026]</w:t>
      </w:r>
    </w:p>
    <w:p>
      <w:pPr>
        <w:spacing w:line="360" w:lineRule="auto"/>
        <w:jc w:val="both"/>
        <w:rPr>
          <w:rFonts w:ascii="Book Antiqua" w:hAnsi="Book Antiqua"/>
        </w:rPr>
      </w:pPr>
      <w:r>
        <w:rPr>
          <w:rFonts w:ascii="Book Antiqua" w:hAnsi="Book Antiqua"/>
          <w:lang w:eastAsia="zh-CN"/>
        </w:rPr>
        <w:t>6</w:t>
      </w:r>
      <w:r>
        <w:rPr>
          <w:rFonts w:ascii="Book Antiqua" w:hAnsi="Book Antiqua"/>
        </w:rPr>
        <w:t xml:space="preserve"> </w:t>
      </w:r>
      <w:r>
        <w:rPr>
          <w:rFonts w:ascii="Book Antiqua" w:hAnsi="Book Antiqua"/>
          <w:b/>
          <w:bCs/>
        </w:rPr>
        <w:t>Nadeem R</w:t>
      </w:r>
      <w:r>
        <w:rPr>
          <w:rFonts w:ascii="Book Antiqua" w:hAnsi="Book Antiqua"/>
        </w:rPr>
        <w:t xml:space="preserve">, Singh M, Nida M, Waheed I, Khan A, Ahmed S, Naseem J, Champeau D. Effect of obstructive sleep apnea hypopnea syndrome on lipid profile: a meta-regression analysis. </w:t>
      </w:r>
      <w:r>
        <w:rPr>
          <w:rFonts w:ascii="Book Antiqua" w:hAnsi="Book Antiqua"/>
          <w:i/>
          <w:iCs/>
        </w:rPr>
        <w:t>J Clin Sleep Med</w:t>
      </w:r>
      <w:r>
        <w:rPr>
          <w:rFonts w:ascii="Book Antiqua" w:hAnsi="Book Antiqua"/>
        </w:rPr>
        <w:t xml:space="preserve"> 2014; </w:t>
      </w:r>
      <w:r>
        <w:rPr>
          <w:rFonts w:ascii="Book Antiqua" w:hAnsi="Book Antiqua"/>
          <w:b/>
          <w:bCs/>
        </w:rPr>
        <w:t>10</w:t>
      </w:r>
      <w:r>
        <w:rPr>
          <w:rFonts w:ascii="Book Antiqua" w:hAnsi="Book Antiqua"/>
        </w:rPr>
        <w:t>: 475-489 [PMID: 24910548 DOI: 10.5664/jcsm.3690]</w:t>
      </w:r>
    </w:p>
    <w:p>
      <w:pPr>
        <w:spacing w:line="360" w:lineRule="auto"/>
        <w:jc w:val="both"/>
        <w:rPr>
          <w:rFonts w:ascii="Book Antiqua" w:hAnsi="Book Antiqua"/>
        </w:rPr>
      </w:pPr>
      <w:r>
        <w:rPr>
          <w:rFonts w:ascii="Book Antiqua" w:hAnsi="Book Antiqua"/>
          <w:lang w:eastAsia="zh-CN"/>
        </w:rPr>
        <w:t>7</w:t>
      </w:r>
      <w:r>
        <w:rPr>
          <w:rFonts w:ascii="Book Antiqua" w:hAnsi="Book Antiqua"/>
        </w:rPr>
        <w:t xml:space="preserve"> </w:t>
      </w:r>
      <w:r>
        <w:rPr>
          <w:rFonts w:ascii="Book Antiqua" w:hAnsi="Book Antiqua"/>
          <w:b/>
          <w:bCs/>
        </w:rPr>
        <w:t>Schwab RJ</w:t>
      </w:r>
      <w:r>
        <w:rPr>
          <w:rFonts w:ascii="Book Antiqua" w:hAnsi="Book Antiqua"/>
        </w:rPr>
        <w:t xml:space="preserve">, Pasirstein M, Pierson R, Mackley A, Hachadoorian R, Arens R, Maislin G, Pack AI. Identification of upper airway anatomic risk factors for obstructive sleep apnea with volumetric magnetic resonance imaging. </w:t>
      </w:r>
      <w:r>
        <w:rPr>
          <w:rFonts w:ascii="Book Antiqua" w:hAnsi="Book Antiqua"/>
          <w:i/>
          <w:iCs/>
        </w:rPr>
        <w:t>Am J Respir Crit Care Med</w:t>
      </w:r>
      <w:r>
        <w:rPr>
          <w:rFonts w:ascii="Book Antiqua" w:hAnsi="Book Antiqua"/>
        </w:rPr>
        <w:t xml:space="preserve"> 2003; </w:t>
      </w:r>
      <w:r>
        <w:rPr>
          <w:rFonts w:ascii="Book Antiqua" w:hAnsi="Book Antiqua"/>
          <w:b/>
          <w:bCs/>
        </w:rPr>
        <w:t>168</w:t>
      </w:r>
      <w:r>
        <w:rPr>
          <w:rFonts w:ascii="Book Antiqua" w:hAnsi="Book Antiqua"/>
        </w:rPr>
        <w:t>: 522-530 [PMID: 12746251 DOI: 10.1164/rccm.200208-866OC]</w:t>
      </w:r>
    </w:p>
    <w:p>
      <w:pPr>
        <w:spacing w:line="360" w:lineRule="auto"/>
        <w:jc w:val="both"/>
        <w:rPr>
          <w:rFonts w:ascii="Book Antiqua" w:hAnsi="Book Antiqua"/>
        </w:rPr>
      </w:pPr>
      <w:r>
        <w:rPr>
          <w:rFonts w:ascii="Book Antiqua" w:hAnsi="Book Antiqua"/>
        </w:rPr>
        <w:t xml:space="preserve">8 </w:t>
      </w:r>
      <w:r>
        <w:rPr>
          <w:rFonts w:ascii="Book Antiqua" w:hAnsi="Book Antiqua"/>
          <w:b/>
          <w:bCs/>
        </w:rPr>
        <w:t>Barceló A</w:t>
      </w:r>
      <w:r>
        <w:rPr>
          <w:rFonts w:ascii="Book Antiqua" w:hAnsi="Book Antiqua"/>
        </w:rPr>
        <w:t xml:space="preserve">, Barbé F, Llompart E, Mayoralas LR, Ladaria A, Bosch M, Agustí AG. Effects of obesity on C-reactive protein level and metabolic disturbances in male patients with obstructive sleep apnea. </w:t>
      </w:r>
      <w:r>
        <w:rPr>
          <w:rFonts w:ascii="Book Antiqua" w:hAnsi="Book Antiqua"/>
          <w:i/>
          <w:iCs/>
        </w:rPr>
        <w:t>Am J Med</w:t>
      </w:r>
      <w:r>
        <w:rPr>
          <w:rFonts w:ascii="Book Antiqua" w:hAnsi="Book Antiqua"/>
        </w:rPr>
        <w:t xml:space="preserve"> 2004; </w:t>
      </w:r>
      <w:r>
        <w:rPr>
          <w:rFonts w:ascii="Book Antiqua" w:hAnsi="Book Antiqua"/>
          <w:b/>
          <w:bCs/>
        </w:rPr>
        <w:t>117</w:t>
      </w:r>
      <w:r>
        <w:rPr>
          <w:rFonts w:ascii="Book Antiqua" w:hAnsi="Book Antiqua"/>
        </w:rPr>
        <w:t>: 118-121 [PMID: 15234648 DOI: 10.1016/j.amjmed.2004.01.025]</w:t>
      </w:r>
    </w:p>
    <w:p>
      <w:pPr>
        <w:spacing w:line="360" w:lineRule="auto"/>
        <w:jc w:val="both"/>
        <w:rPr>
          <w:rFonts w:ascii="Book Antiqua" w:hAnsi="Book Antiqua"/>
        </w:rPr>
      </w:pPr>
      <w:r>
        <w:rPr>
          <w:rFonts w:ascii="Book Antiqua" w:hAnsi="Book Antiqua"/>
        </w:rPr>
        <w:t xml:space="preserve">9 </w:t>
      </w:r>
      <w:r>
        <w:rPr>
          <w:rFonts w:ascii="Book Antiqua" w:hAnsi="Book Antiqua"/>
          <w:b/>
          <w:bCs/>
        </w:rPr>
        <w:t>McArdle N</w:t>
      </w:r>
      <w:r>
        <w:rPr>
          <w:rFonts w:ascii="Book Antiqua" w:hAnsi="Book Antiqua"/>
        </w:rPr>
        <w:t xml:space="preserve">, Hillman D, Beilin L, Watts G. Metabolic risk factors for vascular disease in obstructive sleep apnea: a matched controlled study. </w:t>
      </w:r>
      <w:r>
        <w:rPr>
          <w:rFonts w:ascii="Book Antiqua" w:hAnsi="Book Antiqua"/>
          <w:i/>
          <w:iCs/>
        </w:rPr>
        <w:t>Am J Respir Crit Care Med</w:t>
      </w:r>
      <w:r>
        <w:rPr>
          <w:rFonts w:ascii="Book Antiqua" w:hAnsi="Book Antiqua"/>
        </w:rPr>
        <w:t xml:space="preserve"> 2007; </w:t>
      </w:r>
      <w:r>
        <w:rPr>
          <w:rFonts w:ascii="Book Antiqua" w:hAnsi="Book Antiqua"/>
          <w:b/>
          <w:bCs/>
        </w:rPr>
        <w:t>175</w:t>
      </w:r>
      <w:r>
        <w:rPr>
          <w:rFonts w:ascii="Book Antiqua" w:hAnsi="Book Antiqua"/>
        </w:rPr>
        <w:t>: 190-195 [PMID: 17068329 DOI: 10.1164/rccm.200602-270OC]</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Trakada G</w:t>
      </w:r>
      <w:r>
        <w:rPr>
          <w:rFonts w:ascii="Book Antiqua" w:hAnsi="Book Antiqua"/>
        </w:rPr>
        <w:t xml:space="preserve">, Steiropoulos P, Nena E, Gkioka T, Kouliatsis G, Pataka A, Sotiriou I, Anevlavis S, Papanas N, Bouros D. Plasma visfatin levels in severe obstructive sleep apnea-hypopnea syndrome. </w:t>
      </w:r>
      <w:r>
        <w:rPr>
          <w:rFonts w:ascii="Book Antiqua" w:hAnsi="Book Antiqua"/>
          <w:i/>
          <w:iCs/>
        </w:rPr>
        <w:t>Sleep Breath</w:t>
      </w:r>
      <w:r>
        <w:rPr>
          <w:rFonts w:ascii="Book Antiqua" w:hAnsi="Book Antiqua"/>
        </w:rPr>
        <w:t xml:space="preserve"> 2009; </w:t>
      </w:r>
      <w:r>
        <w:rPr>
          <w:rFonts w:ascii="Book Antiqua" w:hAnsi="Book Antiqua"/>
          <w:b/>
          <w:bCs/>
        </w:rPr>
        <w:t>13</w:t>
      </w:r>
      <w:r>
        <w:rPr>
          <w:rFonts w:ascii="Book Antiqua" w:hAnsi="Book Antiqua"/>
        </w:rPr>
        <w:t>: 349-355 [PMID: 19360446 DOI: 10.1007/s11325-009-0254-6]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Bowden J</w:t>
      </w:r>
      <w:r>
        <w:rPr>
          <w:rFonts w:ascii="Book Antiqua" w:hAnsi="Book Antiqua"/>
        </w:rPr>
        <w:t xml:space="preserve">, Holmes MV. Meta-analysis and Mendelian randomization: A review. </w:t>
      </w:r>
      <w:r>
        <w:rPr>
          <w:rFonts w:ascii="Book Antiqua" w:hAnsi="Book Antiqua"/>
          <w:i/>
          <w:iCs/>
        </w:rPr>
        <w:t>Res Synth Methods</w:t>
      </w:r>
      <w:r>
        <w:rPr>
          <w:rFonts w:ascii="Book Antiqua" w:hAnsi="Book Antiqua"/>
        </w:rPr>
        <w:t xml:space="preserve"> 2019; </w:t>
      </w:r>
      <w:r>
        <w:rPr>
          <w:rFonts w:ascii="Book Antiqua" w:hAnsi="Book Antiqua"/>
          <w:b/>
          <w:bCs/>
        </w:rPr>
        <w:t>10</w:t>
      </w:r>
      <w:r>
        <w:rPr>
          <w:rFonts w:ascii="Book Antiqua" w:hAnsi="Book Antiqua"/>
        </w:rPr>
        <w:t>: 486-496 [PMID: 30861319 DOI: 10.1002/jrsm.1346]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Smith GD</w:t>
      </w:r>
      <w:r>
        <w:rPr>
          <w:rFonts w:ascii="Book Antiqua" w:hAnsi="Book Antiqua"/>
        </w:rPr>
        <w:t xml:space="preserve">, Ebrahim S. 'Mendelian randomization': can genetic epidemiology contribute to understanding environmental determinants of disease? </w:t>
      </w:r>
      <w:r>
        <w:rPr>
          <w:rFonts w:ascii="Book Antiqua" w:hAnsi="Book Antiqua"/>
          <w:i/>
          <w:iCs/>
        </w:rPr>
        <w:t>Int J Epidemiol</w:t>
      </w:r>
      <w:r>
        <w:rPr>
          <w:rFonts w:ascii="Book Antiqua" w:hAnsi="Book Antiqua"/>
        </w:rPr>
        <w:t xml:space="preserve"> 2003; </w:t>
      </w:r>
      <w:r>
        <w:rPr>
          <w:rFonts w:ascii="Book Antiqua" w:hAnsi="Book Antiqua"/>
          <w:b/>
          <w:bCs/>
        </w:rPr>
        <w:t>32</w:t>
      </w:r>
      <w:r>
        <w:rPr>
          <w:rFonts w:ascii="Book Antiqua" w:hAnsi="Book Antiqua"/>
        </w:rPr>
        <w:t>: 1-22 [PMID: 12689998 DOI: 10.1093/ije/dyg070]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Willer CJ</w:t>
      </w:r>
      <w:r>
        <w:rPr>
          <w:rFonts w:ascii="Book Antiqua" w:hAnsi="Book Antiqua"/>
        </w:rPr>
        <w:t xml:space="preserve">, Schmidt EM, Sengupta S, Peloso GM, Gustafsson S, Kanoni S, Ganna A, Chen J, Buchkovich ML, Mora S, Beckmann JS, Bragg-Gresham JL, Chang HY, Demirkan A, Den Hertog HM, Do R, Donnelly LA, Ehret GB, Esko T, Feitosa MF, Ferreira T, Fischer K, Fontanillas P, Fraser RM, Freitag DF, Gurdasani D, Heikkilä K, Hyppönen E, Isaacs A, Jackson AU, Johansson Å, Johnson T, Kaakinen M, Kettunen J, Kleber ME, Li X, Luan J, Lyytikäinen LP, Magnusson PKE, Mangino M, Mihailov E, Montasser ME, Müller-Nurasyid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ASF, Döring A, Elliott P, Epstein SE, Ingi Eyjolfsson G, Gigante B, Goodarzi MO, Grallert H, Gravito ML, Groves CJ, Hallmans G, Hartikainen AL, Hayward C, Hernandez D, Hicks AA, Holm H, Hung YJ, Illig T, Jones MR, Kaleebu P, Kastelein JJP, Khaw KT, Kim E, Klopp N, Komulainen P, Kumari M, Langenberg C, Lehtimäki T, Lin SY, Lindström J, Loos RJF, Mach F, McArdle WL, Meisinger C, Mitchell BD, Müller G, Nagaraja R, Narisu N, Nieminen TVM, Nsubuga RN, Olafsson I, Ong KK, Palotie A, Papamarkou T, Pomilla C, Pouta A, Rader DJ, Reilly MP, Ridker PM, Rivadeneira F, Rudan I, Ruokonen A, Samani N, Scharnagl H, Seeley J, Silander K, Stančáková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YI, Collins FS, Cooper RS, Danesh J, Dedoussis G, de Faire U, Feranil AB, Ferrières J, Ferrucci L, Freimer NB, Gieger C, Groop LC, Gudnason V, Gyllensten U, Hamsten A, Harris TB, Hingorani A, Hirschhorn JN, Hofman A, Hovingh GK, Hsiung CA, Humphries SE, Hunt SC, Hveem K, Iribarren C, Järvelin MR, Jula A, Kähönen M, Kaprio J, Kesäniemi A, Kivimaki M, Kooner JS, Koudstaal PJ, Krauss RM, Kuh D, Kuusisto J, Kyvik KO, Laakso M, Lakka TA, Lind L, Lindgren CM, Martin NG, März W, McCarthy MI, McKenzie CA, Meneton P, Metspalu A, Moilanen L, Morris AD, Munroe PB, Njølstad I, Pedersen NL, Power C, Pramstaller PP, Price JF, Psaty BM, Quertermous T, Rauramaa R, Saleheen D, Salomaa V, Sanghera DK, Saramies J, Schwarz PEH, Sheu WH, Shuldiner AR, Siegbahn A, Spector TD, Stefansson K, Strachan DP, Tayo BO, Tremoli E, Tuomilehto J, Uusitupa M, van Duijn CM, Vollenweider P, Wallentin L, Wareham NJ, Whitfield JB, Wolffenbuttel BHR, Ordovas JM, Boerwinkle E, Palmer CNA, Thorsteinsdottir U, Chasman DI, Rotter JI, Franks PW, Ripatti S, Cupples LA, Sandhu MS, Rich SS, Boehnke M, Deloukas P, Kathiresan S, Mohlke KL, Ingelsson E, Abecasis GR; Global Lipids Genetics Consortium. Discovery and refinement of loci associated with lipid levels. </w:t>
      </w:r>
      <w:r>
        <w:rPr>
          <w:rFonts w:ascii="Book Antiqua" w:hAnsi="Book Antiqua"/>
          <w:i/>
          <w:iCs/>
        </w:rPr>
        <w:t>Nat Genet</w:t>
      </w:r>
      <w:r>
        <w:rPr>
          <w:rFonts w:ascii="Book Antiqua" w:hAnsi="Book Antiqua"/>
        </w:rPr>
        <w:t xml:space="preserve"> 2013; </w:t>
      </w:r>
      <w:r>
        <w:rPr>
          <w:rFonts w:ascii="Book Antiqua" w:hAnsi="Book Antiqua"/>
          <w:b/>
          <w:bCs/>
        </w:rPr>
        <w:t>45</w:t>
      </w:r>
      <w:r>
        <w:rPr>
          <w:rFonts w:ascii="Book Antiqua" w:hAnsi="Book Antiqua"/>
        </w:rPr>
        <w:t>: 1274-1283 [PMID: 24097068 DOI: 10.1038/ng.2797]</w:t>
      </w:r>
    </w:p>
    <w:p>
      <w:pPr>
        <w:spacing w:line="360" w:lineRule="auto"/>
        <w:jc w:val="both"/>
        <w:rPr>
          <w:rFonts w:ascii="Book Antiqua" w:hAnsi="Book Antiqua"/>
        </w:rPr>
      </w:pPr>
      <w:r>
        <w:rPr>
          <w:rFonts w:ascii="Book Antiqua" w:hAnsi="Book Antiqua"/>
          <w:b w:val="0"/>
          <w:bCs w:val="0"/>
        </w:rPr>
        <w:t>14</w:t>
      </w:r>
      <w:r>
        <w:rPr>
          <w:rFonts w:ascii="Book Antiqua" w:hAnsi="Book Antiqua"/>
          <w:b/>
          <w:bCs/>
        </w:rPr>
        <w:t xml:space="preserve"> Park S</w:t>
      </w:r>
      <w:r>
        <w:rPr>
          <w:rFonts w:ascii="Book Antiqua" w:hAnsi="Book Antiqua"/>
        </w:rPr>
        <w:t xml:space="preserve">, Lee S, Kim Y, Lee Y, Kang MW, Kim K, Kim YC, Han SS, Lee H, Lee JP, Joo KW, Lim CS, Kim YS, Kim DK. Atrial fibrillation and kidney function: a bidirectional Mendelian randomization study. </w:t>
      </w:r>
      <w:r>
        <w:rPr>
          <w:rFonts w:ascii="Book Antiqua" w:hAnsi="Book Antiqua"/>
          <w:i/>
          <w:iCs/>
        </w:rPr>
        <w:t>Eur Heart J</w:t>
      </w:r>
      <w:r>
        <w:rPr>
          <w:rFonts w:ascii="Book Antiqua" w:hAnsi="Book Antiqua"/>
        </w:rPr>
        <w:t xml:space="preserve"> 2021; </w:t>
      </w:r>
      <w:r>
        <w:rPr>
          <w:rFonts w:ascii="Book Antiqua" w:hAnsi="Book Antiqua"/>
          <w:b/>
          <w:bCs/>
        </w:rPr>
        <w:t>42</w:t>
      </w:r>
      <w:r>
        <w:rPr>
          <w:rFonts w:ascii="Book Antiqua" w:hAnsi="Book Antiqua"/>
        </w:rPr>
        <w:t>: 2816-2823 [PMID: 34023889 DOI: 10.1093/eurheartj/ehab291]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Abbasi A</w:t>
      </w:r>
      <w:r>
        <w:rPr>
          <w:rFonts w:ascii="Book Antiqua" w:hAnsi="Book Antiqua"/>
        </w:rPr>
        <w:t xml:space="preserve">, Gupta SS, Sabharwal N, Meghrajani V, Sharma S, Kamholz S, Kupfer Y. A comprehensive review of obstructive sleep apnea. </w:t>
      </w:r>
      <w:r>
        <w:rPr>
          <w:rFonts w:ascii="Book Antiqua" w:hAnsi="Book Antiqua"/>
          <w:i/>
          <w:iCs/>
        </w:rPr>
        <w:t>Sleep Sci</w:t>
      </w:r>
      <w:r>
        <w:rPr>
          <w:rFonts w:ascii="Book Antiqua" w:hAnsi="Book Antiqua"/>
        </w:rPr>
        <w:t xml:space="preserve"> 2021; </w:t>
      </w:r>
      <w:r>
        <w:rPr>
          <w:rFonts w:ascii="Book Antiqua" w:hAnsi="Book Antiqua"/>
          <w:b/>
          <w:bCs/>
        </w:rPr>
        <w:t>14</w:t>
      </w:r>
      <w:r>
        <w:rPr>
          <w:rFonts w:ascii="Book Antiqua" w:hAnsi="Book Antiqua"/>
        </w:rPr>
        <w:t>: 142-154 [PMID: 34381578 DOI: 10.5935/1984-0063.20200056]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Yang J</w:t>
      </w:r>
      <w:r>
        <w:rPr>
          <w:rFonts w:ascii="Book Antiqua" w:hAnsi="Book Antiqua"/>
        </w:rPr>
        <w:t xml:space="preserve">, Ferreira T, Morris AP, Medland SE; Genetic Investigation of ANthropometric Traits (GIANT) Consortium; DIAbetes Genetics Replication And Meta-analysis (DIAGRAM) Consortium, Madden PA, Heath AC, Martin NG, Montgomery GW, Weedon MN, Loos RJ, Frayling TM, McCarthy MI, Hirschhorn JN, Goddard ME, Visscher PM. Conditional and joint multiple-SNP analysis of GWAS summary statistics identifies additional variants influencing complex traits. </w:t>
      </w:r>
      <w:r>
        <w:rPr>
          <w:rFonts w:ascii="Book Antiqua" w:hAnsi="Book Antiqua"/>
          <w:i/>
          <w:iCs/>
        </w:rPr>
        <w:t>Nat Genet</w:t>
      </w:r>
      <w:r>
        <w:rPr>
          <w:rFonts w:ascii="Book Antiqua" w:hAnsi="Book Antiqua"/>
        </w:rPr>
        <w:t xml:space="preserve"> 2012; </w:t>
      </w:r>
      <w:r>
        <w:rPr>
          <w:rFonts w:ascii="Book Antiqua" w:hAnsi="Book Antiqua"/>
          <w:b/>
          <w:bCs/>
        </w:rPr>
        <w:t>44</w:t>
      </w:r>
      <w:r>
        <w:rPr>
          <w:rFonts w:ascii="Book Antiqua" w:hAnsi="Book Antiqua"/>
        </w:rPr>
        <w:t>: 369-375, S1-S3 [PMID: 22426310 DOI: 10.1038/ng.2213]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Holmes MV</w:t>
      </w:r>
      <w:r>
        <w:rPr>
          <w:rFonts w:ascii="Book Antiqua" w:hAnsi="Book Antiqua"/>
        </w:rPr>
        <w:t xml:space="preserve">, Ala-Korpela M, Smith GD. Mendelian randomization in cardiometabolic disease: challenges in evaluating causality. </w:t>
      </w:r>
      <w:r>
        <w:rPr>
          <w:rFonts w:ascii="Book Antiqua" w:hAnsi="Book Antiqua"/>
          <w:i/>
          <w:iCs/>
        </w:rPr>
        <w:t>Nat Rev Cardiol</w:t>
      </w:r>
      <w:r>
        <w:rPr>
          <w:rFonts w:ascii="Book Antiqua" w:hAnsi="Book Antiqua"/>
        </w:rPr>
        <w:t xml:space="preserve"> 2017; </w:t>
      </w:r>
      <w:r>
        <w:rPr>
          <w:rFonts w:ascii="Book Antiqua" w:hAnsi="Book Antiqua"/>
          <w:b/>
          <w:bCs/>
        </w:rPr>
        <w:t>14</w:t>
      </w:r>
      <w:r>
        <w:rPr>
          <w:rFonts w:ascii="Book Antiqua" w:hAnsi="Book Antiqua"/>
        </w:rPr>
        <w:t>: 577-590 [PMID: 28569269 DOI: 10.1038/nrcardio.2017.78]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Bowden J</w:t>
      </w:r>
      <w:r>
        <w:rPr>
          <w:rFonts w:ascii="Book Antiqua" w:hAnsi="Book Antiqua"/>
        </w:rPr>
        <w:t xml:space="preserve">, Davey Smith G, Haycock PC, Burgess S. Consistent Estimation in Mendelian Randomization with Some Invalid Instruments Using a Weighted Median Estimator. </w:t>
      </w:r>
      <w:r>
        <w:rPr>
          <w:rFonts w:ascii="Book Antiqua" w:hAnsi="Book Antiqua"/>
          <w:i/>
          <w:iCs/>
        </w:rPr>
        <w:t>Genet Epidemiol</w:t>
      </w:r>
      <w:r>
        <w:rPr>
          <w:rFonts w:ascii="Book Antiqua" w:hAnsi="Book Antiqua"/>
        </w:rPr>
        <w:t xml:space="preserve"> 2016; </w:t>
      </w:r>
      <w:r>
        <w:rPr>
          <w:rFonts w:ascii="Book Antiqua" w:hAnsi="Book Antiqua"/>
          <w:b/>
          <w:bCs/>
        </w:rPr>
        <w:t>40</w:t>
      </w:r>
      <w:r>
        <w:rPr>
          <w:rFonts w:ascii="Book Antiqua" w:hAnsi="Book Antiqua"/>
        </w:rPr>
        <w:t>: 304-314 [PMID: 27061298 DOI: 10.1002/gepi.21965]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Hartwig FP</w:t>
      </w:r>
      <w:r>
        <w:rPr>
          <w:rFonts w:ascii="Book Antiqua" w:hAnsi="Book Antiqua"/>
        </w:rPr>
        <w:t xml:space="preserve">, Davey Smith G, Bowden J. Robust inference in summary data Mendelian randomization via the zero modal pleiotropy assumption. </w:t>
      </w:r>
      <w:r>
        <w:rPr>
          <w:rFonts w:ascii="Book Antiqua" w:hAnsi="Book Antiqua"/>
          <w:i/>
          <w:iCs/>
        </w:rPr>
        <w:t>Int J Epidemiol</w:t>
      </w:r>
      <w:r>
        <w:rPr>
          <w:rFonts w:ascii="Book Antiqua" w:hAnsi="Book Antiqua"/>
        </w:rPr>
        <w:t xml:space="preserve"> 2017; </w:t>
      </w:r>
      <w:r>
        <w:rPr>
          <w:rFonts w:ascii="Book Antiqua" w:hAnsi="Book Antiqua"/>
          <w:b/>
          <w:bCs/>
        </w:rPr>
        <w:t>46</w:t>
      </w:r>
      <w:r>
        <w:rPr>
          <w:rFonts w:ascii="Book Antiqua" w:hAnsi="Book Antiqua"/>
        </w:rPr>
        <w:t>: 1985-1998 [PMID: 29040600 DOI: 10.1093/ije/dyx102]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Can M</w:t>
      </w:r>
      <w:r>
        <w:rPr>
          <w:rFonts w:ascii="Book Antiqua" w:hAnsi="Book Antiqua"/>
        </w:rPr>
        <w:t xml:space="preserve">, Açikgöz Ş, Mungan G, Bayraktaroğlu T, Koçak E, Güven B, Demirtas S. Serum cardiovascular risk factors in obstructive sleep apnea. </w:t>
      </w:r>
      <w:r>
        <w:rPr>
          <w:rFonts w:ascii="Book Antiqua" w:hAnsi="Book Antiqua"/>
          <w:i/>
          <w:iCs/>
        </w:rPr>
        <w:t>Chest</w:t>
      </w:r>
      <w:r>
        <w:rPr>
          <w:rFonts w:ascii="Book Antiqua" w:hAnsi="Book Antiqua"/>
        </w:rPr>
        <w:t xml:space="preserve"> 2006; </w:t>
      </w:r>
      <w:r>
        <w:rPr>
          <w:rFonts w:ascii="Book Antiqua" w:hAnsi="Book Antiqua"/>
          <w:b/>
          <w:bCs/>
        </w:rPr>
        <w:t>129</w:t>
      </w:r>
      <w:r>
        <w:rPr>
          <w:rFonts w:ascii="Book Antiqua" w:hAnsi="Book Antiqua"/>
        </w:rPr>
        <w:t>: 233-237 [PMID: 16478836 DOI: 10.1378/chest.129.2.233]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Toyama Y</w:t>
      </w:r>
      <w:r>
        <w:rPr>
          <w:rFonts w:ascii="Book Antiqua" w:hAnsi="Book Antiqua"/>
        </w:rPr>
        <w:t xml:space="preserve">, Chin K, Chihara Y, Takegami M, Takahashi KI, Sumi K, Nakamura T, Nakayama-Ashida Y, Minami I, Horita S, Oka Y, Wakamura T, Fukuhara SI, Mishima M, Kadotani H. Association between sleep apnea, sleep duration, and serum lipid profile in an urban, male, working population in Japan. </w:t>
      </w:r>
      <w:r>
        <w:rPr>
          <w:rFonts w:ascii="Book Antiqua" w:hAnsi="Book Antiqua"/>
          <w:i/>
          <w:iCs/>
        </w:rPr>
        <w:t>Chest</w:t>
      </w:r>
      <w:r>
        <w:rPr>
          <w:rFonts w:ascii="Book Antiqua" w:hAnsi="Book Antiqua"/>
        </w:rPr>
        <w:t xml:space="preserve"> 2013; </w:t>
      </w:r>
      <w:r>
        <w:rPr>
          <w:rFonts w:ascii="Book Antiqua" w:hAnsi="Book Antiqua"/>
          <w:b/>
          <w:bCs/>
        </w:rPr>
        <w:t>143</w:t>
      </w:r>
      <w:r>
        <w:rPr>
          <w:rFonts w:ascii="Book Antiqua" w:hAnsi="Book Antiqua"/>
        </w:rPr>
        <w:t>: 720-728 [PMID: 23081691 DOI: 10.1378/chest.12-0338]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Tan KC</w:t>
      </w:r>
      <w:r>
        <w:rPr>
          <w:rFonts w:ascii="Book Antiqua" w:hAnsi="Book Antiqua"/>
        </w:rPr>
        <w:t xml:space="preserve">, Chow WS, Lam JC, Lam B, Wong WK, Tam S, Ip MS. HDL dysfunction in obstructive sleep apnea. </w:t>
      </w:r>
      <w:r>
        <w:rPr>
          <w:rFonts w:ascii="Book Antiqua" w:hAnsi="Book Antiqua"/>
          <w:i/>
          <w:iCs/>
        </w:rPr>
        <w:t>Atherosclerosis</w:t>
      </w:r>
      <w:r>
        <w:rPr>
          <w:rFonts w:ascii="Book Antiqua" w:hAnsi="Book Antiqua"/>
        </w:rPr>
        <w:t xml:space="preserve"> 2006; </w:t>
      </w:r>
      <w:r>
        <w:rPr>
          <w:rFonts w:ascii="Book Antiqua" w:hAnsi="Book Antiqua"/>
          <w:b/>
          <w:bCs/>
        </w:rPr>
        <w:t>184</w:t>
      </w:r>
      <w:r>
        <w:rPr>
          <w:rFonts w:ascii="Book Antiqua" w:hAnsi="Book Antiqua"/>
        </w:rPr>
        <w:t>: 377-382 [PMID: 15975582 DOI: 10.1016/j.atherosclerosis.2005.04.024]</w:t>
      </w:r>
    </w:p>
    <w:p>
      <w:pPr>
        <w:spacing w:line="360" w:lineRule="auto"/>
        <w:jc w:val="both"/>
        <w:rPr>
          <w:rFonts w:ascii="Book Antiqua" w:hAnsi="Book Antiqua"/>
        </w:rPr>
      </w:pPr>
      <w:r>
        <w:rPr>
          <w:rFonts w:ascii="Book Antiqua" w:hAnsi="Book Antiqua"/>
        </w:rPr>
        <w:t xml:space="preserve">23 </w:t>
      </w:r>
      <w:r>
        <w:rPr>
          <w:rFonts w:ascii="Book Antiqua" w:hAnsi="Book Antiqua"/>
          <w:b/>
          <w:bCs/>
        </w:rPr>
        <w:t>Xu H</w:t>
      </w:r>
      <w:r>
        <w:rPr>
          <w:rFonts w:ascii="Book Antiqua" w:hAnsi="Book Antiqua"/>
        </w:rPr>
        <w:t xml:space="preserve">, Guan J, Yi H, Zou J, Meng L, Tang X, Zhu H, Yu D, Zhou H, Su K, Wang Y, Wang J, Yin S; Shanghai Sleep Health Study Research Group. Elevated low-density lipoprotein cholesterol is independently associated with obstructive sleep apnea: evidence from a large-scale cross-sectional study. </w:t>
      </w:r>
      <w:r>
        <w:rPr>
          <w:rFonts w:ascii="Book Antiqua" w:hAnsi="Book Antiqua"/>
          <w:i/>
          <w:iCs/>
        </w:rPr>
        <w:t>Sleep Breath</w:t>
      </w:r>
      <w:r>
        <w:rPr>
          <w:rFonts w:ascii="Book Antiqua" w:hAnsi="Book Antiqua"/>
        </w:rPr>
        <w:t xml:space="preserve"> 2016; </w:t>
      </w:r>
      <w:r>
        <w:rPr>
          <w:rFonts w:ascii="Book Antiqua" w:hAnsi="Book Antiqua"/>
          <w:b/>
          <w:bCs/>
        </w:rPr>
        <w:t>20</w:t>
      </w:r>
      <w:r>
        <w:rPr>
          <w:rFonts w:ascii="Book Antiqua" w:hAnsi="Book Antiqua"/>
        </w:rPr>
        <w:t>: 627-634 [PMID: 26424733 DOI: 10.1007/s11325-015-1262-3]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Whittle AT</w:t>
      </w:r>
      <w:r>
        <w:rPr>
          <w:rFonts w:ascii="Book Antiqua" w:hAnsi="Book Antiqua"/>
        </w:rPr>
        <w:t xml:space="preserve">, Marshall I, Mortimore IL, Wraith PK, Sellar RJ, Douglas NJ. Neck soft tissue and fat distribution: comparison between normal men and women by magnetic resonance imaging. </w:t>
      </w:r>
      <w:r>
        <w:rPr>
          <w:rFonts w:ascii="Book Antiqua" w:hAnsi="Book Antiqua"/>
          <w:i/>
          <w:iCs/>
        </w:rPr>
        <w:t>Thorax</w:t>
      </w:r>
      <w:r>
        <w:rPr>
          <w:rFonts w:ascii="Book Antiqua" w:hAnsi="Book Antiqua"/>
        </w:rPr>
        <w:t xml:space="preserve"> 1999; </w:t>
      </w:r>
      <w:r>
        <w:rPr>
          <w:rFonts w:ascii="Book Antiqua" w:hAnsi="Book Antiqua"/>
          <w:b/>
          <w:bCs/>
        </w:rPr>
        <w:t>54</w:t>
      </w:r>
      <w:r>
        <w:rPr>
          <w:rFonts w:ascii="Book Antiqua" w:hAnsi="Book Antiqua"/>
        </w:rPr>
        <w:t>: 323-328 [PMID: 10092693 DOI: 10.1136/thx.54.4.323]</w:t>
      </w:r>
    </w:p>
    <w:p>
      <w:pPr>
        <w:spacing w:line="360" w:lineRule="auto"/>
        <w:jc w:val="both"/>
        <w:rPr>
          <w:rFonts w:ascii="Book Antiqua" w:hAnsi="Book Antiqua"/>
        </w:rPr>
      </w:pPr>
      <w:r>
        <w:rPr>
          <w:rFonts w:ascii="Book Antiqua" w:hAnsi="Book Antiqua"/>
        </w:rPr>
        <w:t xml:space="preserve">25 </w:t>
      </w:r>
      <w:r>
        <w:rPr>
          <w:rFonts w:ascii="Book Antiqua" w:hAnsi="Book Antiqua"/>
          <w:b/>
          <w:bCs/>
        </w:rPr>
        <w:t>Patil SP</w:t>
      </w:r>
      <w:r>
        <w:rPr>
          <w:rFonts w:ascii="Book Antiqua" w:hAnsi="Book Antiqua"/>
        </w:rPr>
        <w:t xml:space="preserve">, Schneider H, Schwartz AR, Smith PL. Adult obstructive sleep apnea: pathophysiology and diagnosis. </w:t>
      </w:r>
      <w:r>
        <w:rPr>
          <w:rFonts w:ascii="Book Antiqua" w:hAnsi="Book Antiqua"/>
          <w:i/>
          <w:iCs/>
        </w:rPr>
        <w:t>Chest</w:t>
      </w:r>
      <w:r>
        <w:rPr>
          <w:rFonts w:ascii="Book Antiqua" w:hAnsi="Book Antiqua"/>
        </w:rPr>
        <w:t xml:space="preserve"> 2007; </w:t>
      </w:r>
      <w:r>
        <w:rPr>
          <w:rFonts w:ascii="Book Antiqua" w:hAnsi="Book Antiqua"/>
          <w:b/>
          <w:bCs/>
        </w:rPr>
        <w:t>132</w:t>
      </w:r>
      <w:r>
        <w:rPr>
          <w:rFonts w:ascii="Book Antiqua" w:hAnsi="Book Antiqua"/>
        </w:rPr>
        <w:t>: 325-337 [PMID: 17625094 DOI: 10.1378/chest.07-0040]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Schwartz AR</w:t>
      </w:r>
      <w:r>
        <w:rPr>
          <w:rFonts w:ascii="Book Antiqua" w:hAnsi="Book Antiqua"/>
        </w:rPr>
        <w:t xml:space="preserve">, Patil SP, Laffan AM, Polotsky V, Schneider H, Smith PL. Obesity and obstructive sleep apnea: pathogenic mechanisms and therapeutic approaches. </w:t>
      </w:r>
      <w:r>
        <w:rPr>
          <w:rFonts w:ascii="Book Antiqua" w:hAnsi="Book Antiqua"/>
          <w:i/>
          <w:iCs/>
        </w:rPr>
        <w:t>Proc Am Thorac Soc</w:t>
      </w:r>
      <w:r>
        <w:rPr>
          <w:rFonts w:ascii="Book Antiqua" w:hAnsi="Book Antiqua"/>
        </w:rPr>
        <w:t xml:space="preserve"> 2008; </w:t>
      </w:r>
      <w:r>
        <w:rPr>
          <w:rFonts w:ascii="Book Antiqua" w:hAnsi="Book Antiqua"/>
          <w:b/>
          <w:bCs/>
        </w:rPr>
        <w:t>5</w:t>
      </w:r>
      <w:r>
        <w:rPr>
          <w:rFonts w:ascii="Book Antiqua" w:hAnsi="Book Antiqua"/>
        </w:rPr>
        <w:t>: 185-192 [PMID: 18250211 DOI: 10.1513/pats.200708-137MG]</w:t>
      </w:r>
    </w:p>
    <w:p>
      <w:pPr>
        <w:spacing w:line="360" w:lineRule="auto"/>
        <w:jc w:val="both"/>
        <w:rPr>
          <w:rFonts w:ascii="Book Antiqua" w:hAnsi="Book Antiqua"/>
        </w:rPr>
      </w:pPr>
      <w:r>
        <w:rPr>
          <w:rFonts w:ascii="Book Antiqua" w:hAnsi="Book Antiqua"/>
        </w:rPr>
        <w:t xml:space="preserve">27 </w:t>
      </w:r>
      <w:r>
        <w:rPr>
          <w:rFonts w:ascii="Book Antiqua" w:hAnsi="Book Antiqua"/>
          <w:b/>
          <w:bCs/>
        </w:rPr>
        <w:t>Javaheri S</w:t>
      </w:r>
      <w:r>
        <w:rPr>
          <w:rFonts w:ascii="Book Antiqua" w:hAnsi="Book Antiqua"/>
        </w:rPr>
        <w:t xml:space="preserve">, Barbe F, Campos-Rodriguez F, Dempsey JA, Khayat R, Javaheri S, Malhotra A, Martinez-Garcia MA, Mehra R, Pack AI, Polotsky VY, Redline S, Somers VK. Sleep Apnea: Types, Mechanisms, and Clinical Cardiovascular Consequences. </w:t>
      </w:r>
      <w:r>
        <w:rPr>
          <w:rFonts w:ascii="Book Antiqua" w:hAnsi="Book Antiqua"/>
          <w:i/>
          <w:iCs/>
        </w:rPr>
        <w:t>J Am Coll Cardiol</w:t>
      </w:r>
      <w:r>
        <w:rPr>
          <w:rFonts w:ascii="Book Antiqua" w:hAnsi="Book Antiqua"/>
        </w:rPr>
        <w:t xml:space="preserve"> 2017; </w:t>
      </w:r>
      <w:r>
        <w:rPr>
          <w:rFonts w:ascii="Book Antiqua" w:hAnsi="Book Antiqua"/>
          <w:b/>
          <w:bCs/>
        </w:rPr>
        <w:t>69</w:t>
      </w:r>
      <w:r>
        <w:rPr>
          <w:rFonts w:ascii="Book Antiqua" w:hAnsi="Book Antiqua"/>
        </w:rPr>
        <w:t>: 841-858 [PMID: 28209226 DOI: 10.1016/j.jacc.2016.11.069]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Dempsey JA</w:t>
      </w:r>
      <w:r>
        <w:rPr>
          <w:rFonts w:ascii="Book Antiqua" w:hAnsi="Book Antiqua"/>
        </w:rPr>
        <w:t xml:space="preserve">, Veasey SC, Morgan BJ, O'Donnell CP. Pathophysiology of sleep apnea. </w:t>
      </w:r>
      <w:r>
        <w:rPr>
          <w:rFonts w:ascii="Book Antiqua" w:hAnsi="Book Antiqua"/>
          <w:i/>
          <w:iCs/>
        </w:rPr>
        <w:t>Physiol Rev</w:t>
      </w:r>
      <w:r>
        <w:rPr>
          <w:rFonts w:ascii="Book Antiqua" w:hAnsi="Book Antiqua"/>
        </w:rPr>
        <w:t xml:space="preserve"> 2010; </w:t>
      </w:r>
      <w:r>
        <w:rPr>
          <w:rFonts w:ascii="Book Antiqua" w:hAnsi="Book Antiqua"/>
          <w:b/>
          <w:bCs/>
        </w:rPr>
        <w:t>90</w:t>
      </w:r>
      <w:r>
        <w:rPr>
          <w:rFonts w:ascii="Book Antiqua" w:hAnsi="Book Antiqua"/>
        </w:rPr>
        <w:t>: 47-112 [PMID: 20086074 DOI: 10.1152/physrev.00043.2008]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Jordan AS</w:t>
      </w:r>
      <w:r>
        <w:rPr>
          <w:rFonts w:ascii="Book Antiqua" w:hAnsi="Book Antiqua"/>
        </w:rPr>
        <w:t xml:space="preserve">, McSharry DG, Malhotra A. Adult obstructive sleep apnoea. </w:t>
      </w:r>
      <w:r>
        <w:rPr>
          <w:rFonts w:ascii="Book Antiqua" w:hAnsi="Book Antiqua"/>
          <w:i/>
          <w:iCs/>
        </w:rPr>
        <w:t>Lancet</w:t>
      </w:r>
      <w:r>
        <w:rPr>
          <w:rFonts w:ascii="Book Antiqua" w:hAnsi="Book Antiqua"/>
        </w:rPr>
        <w:t xml:space="preserve"> 2014; </w:t>
      </w:r>
      <w:r>
        <w:rPr>
          <w:rFonts w:ascii="Book Antiqua" w:hAnsi="Book Antiqua"/>
          <w:b/>
          <w:bCs/>
        </w:rPr>
        <w:t>383</w:t>
      </w:r>
      <w:r>
        <w:rPr>
          <w:rFonts w:ascii="Book Antiqua" w:hAnsi="Book Antiqua"/>
        </w:rPr>
        <w:t>: 736-747 [PMID: 23910433 DOI: 10.1016/S0140-6736(13)60734-5]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Dong L</w:t>
      </w:r>
      <w:r>
        <w:rPr>
          <w:rFonts w:ascii="Book Antiqua" w:hAnsi="Book Antiqua"/>
        </w:rPr>
        <w:t xml:space="preserve">, Lin M, Wang W, Ma D, Chen Y, Su W, Chen Z, Wang S, Li X, Li Z, Liu C. Lipid accumulation product (LAP) was independently associatedwith obstructive sleep apnea in patients with type 2 diabetes mellitus. </w:t>
      </w:r>
      <w:r>
        <w:rPr>
          <w:rFonts w:ascii="Book Antiqua" w:hAnsi="Book Antiqua"/>
          <w:i/>
          <w:iCs/>
        </w:rPr>
        <w:t>BMC Endocr Disord</w:t>
      </w:r>
      <w:r>
        <w:rPr>
          <w:rFonts w:ascii="Book Antiqua" w:hAnsi="Book Antiqua"/>
        </w:rPr>
        <w:t xml:space="preserve"> 2020; </w:t>
      </w:r>
      <w:r>
        <w:rPr>
          <w:rFonts w:ascii="Book Antiqua" w:hAnsi="Book Antiqua"/>
          <w:b/>
          <w:bCs/>
        </w:rPr>
        <w:t>20</w:t>
      </w:r>
      <w:r>
        <w:rPr>
          <w:rFonts w:ascii="Book Antiqua" w:hAnsi="Book Antiqua"/>
        </w:rPr>
        <w:t>: 179 [PMID: 33298050 DOI: 10.1186/s12902-020-00661-x]</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Lawlor DA</w:t>
      </w:r>
      <w:r>
        <w:rPr>
          <w:rFonts w:ascii="Book Antiqua" w:hAnsi="Book Antiqua"/>
        </w:rPr>
        <w:t xml:space="preserve">. Commentary: Two-sample Mendelian randomization: opportunities and challenges. </w:t>
      </w:r>
      <w:r>
        <w:rPr>
          <w:rFonts w:ascii="Book Antiqua" w:hAnsi="Book Antiqua"/>
          <w:i/>
          <w:iCs/>
        </w:rPr>
        <w:t>Int J Epidemiol</w:t>
      </w:r>
      <w:r>
        <w:rPr>
          <w:rFonts w:ascii="Book Antiqua" w:hAnsi="Book Antiqua"/>
        </w:rPr>
        <w:t xml:space="preserve"> 2016; </w:t>
      </w:r>
      <w:r>
        <w:rPr>
          <w:rFonts w:ascii="Book Antiqua" w:hAnsi="Book Antiqua"/>
          <w:b/>
          <w:bCs/>
        </w:rPr>
        <w:t>45</w:t>
      </w:r>
      <w:r>
        <w:rPr>
          <w:rFonts w:ascii="Book Antiqua" w:hAnsi="Book Antiqua"/>
        </w:rPr>
        <w:t>: 908-915 [PMID: 27427429 DOI: 10.1093/ije/dyw127]</w:t>
      </w:r>
    </w:p>
    <w:bookmarkEnd w:id="0"/>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conducted in accordance with the Declaration of Helsinki (as revised in 2013). All data base were from public research. No patients were participated in the design or study. Thus, ethical approval was not needed for our study.</w:t>
      </w:r>
    </w:p>
    <w:p>
      <w:pPr>
        <w:adjustRightInd w:val="0"/>
        <w:snapToGrid w:val="0"/>
        <w:spacing w:line="360" w:lineRule="auto"/>
        <w:jc w:val="both"/>
        <w:rPr>
          <w:rFonts w:ascii="Book Antiqua" w:hAnsi="Book Antiqua"/>
          <w:b/>
          <w:color w:val="000000"/>
        </w:rPr>
      </w:pPr>
    </w:p>
    <w:p>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Since this study does not involve human participation, it is not necessary to sign an informed document.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 xml:space="preserve">The data used in this study are all from published materials, dataset available from </w:t>
      </w:r>
      <w:r>
        <w:rPr>
          <w:rFonts w:ascii="Book Antiqua" w:hAnsi="Book Antiqua" w:eastAsia="Book Antiqua" w:cs="Book Antiqua"/>
          <w:color w:val="000000"/>
        </w:rPr>
        <w:t>https://gwas.mrcieu.ac.uk/</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bookmarkStart w:id="2" w:name="OLE_LINK507"/>
      <w:bookmarkStart w:id="3" w:name="OLE_LINK479"/>
      <w:bookmarkStart w:id="4" w:name="OLE_LINK496"/>
      <w:bookmarkStart w:id="5" w:name="OLE_LINK506"/>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Respiratory system</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Dziegielewska-Gesiak S, Poland; Papadopoulos VP, Greece</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drawing>
          <wp:inline distT="0" distB="0" distL="114300" distR="114300">
            <wp:extent cx="5941695" cy="2528570"/>
            <wp:effectExtent l="0" t="0" r="1905" b="1270"/>
            <wp:docPr id="2" name="图片 2" descr="WJCC-10-1140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403-g001"/>
                    <pic:cNvPicPr>
                      <a:picLocks noChangeAspect="1"/>
                    </pic:cNvPicPr>
                  </pic:nvPicPr>
                  <pic:blipFill>
                    <a:blip r:embed="rId5"/>
                    <a:stretch>
                      <a:fillRect/>
                    </a:stretch>
                  </pic:blipFill>
                  <pic:spPr>
                    <a:xfrm>
                      <a:off x="0" y="0"/>
                      <a:ext cx="5941695" cy="2528570"/>
                    </a:xfrm>
                    <a:prstGeom prst="rect">
                      <a:avLst/>
                    </a:prstGeom>
                  </pic:spPr>
                </pic:pic>
              </a:graphicData>
            </a:graphic>
          </wp:inline>
        </w:drawing>
      </w:r>
      <w:r>
        <w:rPr>
          <w:rFonts w:ascii="Book Antiqua" w:hAnsi="Book Antiqua" w:eastAsia="Book Antiqua" w:cs="Book Antiqua"/>
          <w:b/>
          <w:color w:val="000000"/>
        </w:rPr>
        <w:t>Figure 1 Overall design of Mendelian randomization analysis in this study.</w:t>
      </w:r>
      <w:r>
        <w:t xml:space="preserve"> </w:t>
      </w:r>
      <w:r>
        <w:rPr>
          <w:rFonts w:ascii="Book Antiqua" w:hAnsi="Book Antiqua" w:eastAsia="Book Antiqua" w:cs="Book Antiqua"/>
          <w:color w:val="000000"/>
        </w:rPr>
        <w:t>LDL:</w:t>
      </w:r>
      <w:r>
        <w:t xml:space="preserve"> </w:t>
      </w:r>
      <w:r>
        <w:rPr>
          <w:rFonts w:ascii="Book Antiqua" w:hAnsi="Book Antiqua" w:eastAsia="Book Antiqua" w:cs="Book Antiqua"/>
          <w:color w:val="000000"/>
        </w:rPr>
        <w:t>Low-density lipoprotein; HDL: High-density lipoprotein; TG: Triglyceride; TC: Total cholesterol.</w:t>
      </w:r>
    </w:p>
    <w:p>
      <w:pPr>
        <w:rPr>
          <w:rFonts w:ascii="Book Antiqua" w:hAnsi="Book Antiqua"/>
        </w:rPr>
      </w:pPr>
      <w:r>
        <w:rPr>
          <w:rFonts w:ascii="Book Antiqua" w:hAnsi="Book Antiqua"/>
        </w:rPr>
        <w:br w:type="page"/>
      </w:r>
    </w:p>
    <w:p>
      <w:pPr>
        <w:spacing w:line="360" w:lineRule="auto"/>
        <w:jc w:val="both"/>
        <w:rPr>
          <w:rFonts w:ascii="Book Antiqua" w:hAnsi="Book Antiqua"/>
        </w:rPr>
      </w:pPr>
      <w:bookmarkStart w:id="6" w:name="_GoBack"/>
      <w:bookmarkEnd w:id="6"/>
    </w:p>
    <w:p>
      <w:pPr>
        <w:spacing w:line="360" w:lineRule="auto"/>
        <w:jc w:val="both"/>
        <w:rPr>
          <w:rFonts w:ascii="Book Antiqua" w:hAnsi="Book Antiqua" w:cs="Calibri"/>
          <w:b/>
        </w:rPr>
      </w:pPr>
      <w:r>
        <w:rPr>
          <w:rFonts w:ascii="Book Antiqua" w:hAnsi="Book Antiqua" w:cs="Calibri"/>
          <w:b/>
        </w:rPr>
        <w:t>Table 1 Detailed data of Mendelian randomization</w:t>
      </w:r>
    </w:p>
    <w:tbl>
      <w:tblPr>
        <w:tblStyle w:val="8"/>
        <w:tblW w:w="86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8"/>
        <w:gridCol w:w="1630"/>
        <w:gridCol w:w="1556"/>
        <w:gridCol w:w="1610"/>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8" w:type="dxa"/>
            <w:tcBorders>
              <w:top w:val="single" w:color="auto" w:sz="4" w:space="0"/>
              <w:bottom w:val="single" w:color="auto" w:sz="4" w:space="0"/>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Variable</w:t>
            </w:r>
          </w:p>
        </w:tc>
        <w:tc>
          <w:tcPr>
            <w:tcW w:w="1630" w:type="dxa"/>
            <w:tcBorders>
              <w:top w:val="single" w:color="auto" w:sz="4" w:space="0"/>
              <w:bottom w:val="single" w:color="auto" w:sz="4" w:space="0"/>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Consortium</w:t>
            </w:r>
          </w:p>
        </w:tc>
        <w:tc>
          <w:tcPr>
            <w:tcW w:w="1556" w:type="dxa"/>
            <w:tcBorders>
              <w:top w:val="single" w:color="auto" w:sz="4" w:space="0"/>
              <w:bottom w:val="single" w:color="auto" w:sz="4" w:space="0"/>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PMID</w:t>
            </w:r>
          </w:p>
        </w:tc>
        <w:tc>
          <w:tcPr>
            <w:tcW w:w="1610" w:type="dxa"/>
            <w:tcBorders>
              <w:top w:val="single" w:color="auto" w:sz="4" w:space="0"/>
              <w:bottom w:val="single" w:color="auto" w:sz="4" w:space="0"/>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Population</w:t>
            </w:r>
          </w:p>
        </w:tc>
        <w:tc>
          <w:tcPr>
            <w:tcW w:w="1808" w:type="dxa"/>
            <w:tcBorders>
              <w:top w:val="single" w:color="auto" w:sz="4" w:space="0"/>
              <w:bottom w:val="single" w:color="auto" w:sz="4" w:space="0"/>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Sex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8" w:type="dxa"/>
            <w:tcBorders>
              <w:top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Sleep apnea</w:t>
            </w:r>
          </w:p>
        </w:tc>
        <w:tc>
          <w:tcPr>
            <w:tcW w:w="1630" w:type="dxa"/>
            <w:tcBorders>
              <w:top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UKB</w:t>
            </w:r>
          </w:p>
        </w:tc>
        <w:tc>
          <w:tcPr>
            <w:tcW w:w="1556" w:type="dxa"/>
            <w:tcBorders>
              <w:top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t>
            </w:r>
          </w:p>
        </w:tc>
        <w:tc>
          <w:tcPr>
            <w:tcW w:w="1610" w:type="dxa"/>
            <w:tcBorders>
              <w:top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European</w:t>
            </w:r>
          </w:p>
        </w:tc>
        <w:tc>
          <w:tcPr>
            <w:tcW w:w="1808" w:type="dxa"/>
            <w:tcBorders>
              <w:top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Males and Females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8" w:type="dxa"/>
          </w:tcPr>
          <w:p>
            <w:pPr>
              <w:spacing w:line="360" w:lineRule="auto"/>
              <w:jc w:val="both"/>
              <w:rPr>
                <w:rFonts w:ascii="Book Antiqua" w:hAnsi="Book Antiqua" w:cs="Calibri"/>
                <w:kern w:val="2"/>
                <w:lang w:eastAsia="zh-CN"/>
              </w:rPr>
            </w:pPr>
            <w:r>
              <w:rPr>
                <w:rFonts w:ascii="Book Antiqua" w:hAnsi="Book Antiqua" w:cs="Calibri"/>
                <w:kern w:val="2"/>
                <w:lang w:eastAsia="zh-CN"/>
              </w:rPr>
              <w:t>LDL-C</w:t>
            </w:r>
          </w:p>
        </w:tc>
        <w:tc>
          <w:tcPr>
            <w:tcW w:w="1630" w:type="dxa"/>
          </w:tcPr>
          <w:p>
            <w:pPr>
              <w:spacing w:line="360" w:lineRule="auto"/>
              <w:jc w:val="both"/>
              <w:rPr>
                <w:rFonts w:ascii="Book Antiqua" w:hAnsi="Book Antiqua" w:cs="Calibri"/>
                <w:kern w:val="2"/>
                <w:lang w:eastAsia="zh-CN"/>
              </w:rPr>
            </w:pPr>
            <w:r>
              <w:rPr>
                <w:rFonts w:ascii="Book Antiqua" w:hAnsi="Book Antiqua" w:cs="Calibri"/>
                <w:kern w:val="2"/>
                <w:lang w:eastAsia="zh-CN"/>
              </w:rPr>
              <w:t>GLGC</w:t>
            </w:r>
          </w:p>
        </w:tc>
        <w:tc>
          <w:tcPr>
            <w:tcW w:w="1556" w:type="dxa"/>
          </w:tcPr>
          <w:p>
            <w:pPr>
              <w:spacing w:line="360" w:lineRule="auto"/>
              <w:jc w:val="both"/>
              <w:rPr>
                <w:rFonts w:ascii="Book Antiqua" w:hAnsi="Book Antiqua" w:cs="Calibri"/>
                <w:kern w:val="2"/>
                <w:lang w:eastAsia="zh-CN"/>
              </w:rPr>
            </w:pPr>
            <w:r>
              <w:rPr>
                <w:rFonts w:ascii="Book Antiqua" w:hAnsi="Book Antiqua" w:cs="Calibri"/>
                <w:kern w:val="2"/>
                <w:lang w:eastAsia="zh-CN"/>
              </w:rPr>
              <w:t>24097068</w:t>
            </w:r>
          </w:p>
        </w:tc>
        <w:tc>
          <w:tcPr>
            <w:tcW w:w="1610" w:type="dxa"/>
          </w:tcPr>
          <w:p>
            <w:pPr>
              <w:spacing w:line="360" w:lineRule="auto"/>
              <w:jc w:val="both"/>
              <w:rPr>
                <w:rFonts w:ascii="Book Antiqua" w:hAnsi="Book Antiqua" w:cs="Calibri"/>
                <w:kern w:val="2"/>
                <w:lang w:eastAsia="zh-CN"/>
              </w:rPr>
            </w:pPr>
            <w:r>
              <w:rPr>
                <w:rFonts w:ascii="Book Antiqua" w:hAnsi="Book Antiqua" w:cs="Calibri"/>
                <w:kern w:val="2"/>
                <w:lang w:eastAsia="zh-CN"/>
              </w:rPr>
              <w:t>European</w:t>
            </w:r>
          </w:p>
        </w:tc>
        <w:tc>
          <w:tcPr>
            <w:tcW w:w="1808" w:type="dxa"/>
          </w:tcPr>
          <w:p>
            <w:pPr>
              <w:spacing w:line="360" w:lineRule="auto"/>
              <w:jc w:val="both"/>
              <w:rPr>
                <w:rFonts w:ascii="Book Antiqua" w:hAnsi="Book Antiqua" w:cs="Calibri"/>
                <w:kern w:val="2"/>
                <w:lang w:eastAsia="zh-CN"/>
              </w:rPr>
            </w:pPr>
            <w:r>
              <w:rPr>
                <w:rFonts w:ascii="Book Antiqua" w:hAnsi="Book Antiqua" w:cs="Calibri"/>
                <w:kern w:val="2"/>
                <w:lang w:eastAsia="zh-CN"/>
              </w:rPr>
              <w:t>Males and Females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8" w:type="dxa"/>
          </w:tcPr>
          <w:p>
            <w:pPr>
              <w:spacing w:line="360" w:lineRule="auto"/>
              <w:jc w:val="both"/>
              <w:rPr>
                <w:rFonts w:ascii="Book Antiqua" w:hAnsi="Book Antiqua" w:cs="Calibri"/>
                <w:kern w:val="2"/>
                <w:lang w:eastAsia="zh-CN"/>
              </w:rPr>
            </w:pPr>
            <w:r>
              <w:rPr>
                <w:rFonts w:ascii="Book Antiqua" w:hAnsi="Book Antiqua" w:cs="Calibri"/>
                <w:kern w:val="2"/>
                <w:lang w:eastAsia="zh-CN"/>
              </w:rPr>
              <w:t>HDL-C</w:t>
            </w:r>
          </w:p>
        </w:tc>
        <w:tc>
          <w:tcPr>
            <w:tcW w:w="1630" w:type="dxa"/>
          </w:tcPr>
          <w:p>
            <w:pPr>
              <w:spacing w:line="360" w:lineRule="auto"/>
              <w:jc w:val="both"/>
              <w:rPr>
                <w:rFonts w:ascii="Book Antiqua" w:hAnsi="Book Antiqua" w:cs="Calibri"/>
                <w:kern w:val="2"/>
                <w:lang w:eastAsia="zh-CN"/>
              </w:rPr>
            </w:pPr>
            <w:r>
              <w:rPr>
                <w:rFonts w:ascii="Book Antiqua" w:hAnsi="Book Antiqua" w:cs="Calibri"/>
                <w:kern w:val="2"/>
                <w:lang w:eastAsia="zh-CN"/>
              </w:rPr>
              <w:t>GLGC</w:t>
            </w:r>
          </w:p>
        </w:tc>
        <w:tc>
          <w:tcPr>
            <w:tcW w:w="1556" w:type="dxa"/>
          </w:tcPr>
          <w:p>
            <w:pPr>
              <w:spacing w:line="360" w:lineRule="auto"/>
              <w:jc w:val="both"/>
              <w:rPr>
                <w:rFonts w:ascii="Book Antiqua" w:hAnsi="Book Antiqua" w:cs="Calibri"/>
                <w:kern w:val="2"/>
                <w:lang w:eastAsia="zh-CN"/>
              </w:rPr>
            </w:pPr>
            <w:r>
              <w:rPr>
                <w:rFonts w:ascii="Book Antiqua" w:hAnsi="Book Antiqua" w:cs="Calibri"/>
                <w:kern w:val="2"/>
                <w:lang w:eastAsia="zh-CN"/>
              </w:rPr>
              <w:t>24097068</w:t>
            </w:r>
          </w:p>
        </w:tc>
        <w:tc>
          <w:tcPr>
            <w:tcW w:w="1610" w:type="dxa"/>
          </w:tcPr>
          <w:p>
            <w:pPr>
              <w:spacing w:line="360" w:lineRule="auto"/>
              <w:jc w:val="both"/>
              <w:rPr>
                <w:rFonts w:ascii="Book Antiqua" w:hAnsi="Book Antiqua" w:cs="Calibri"/>
                <w:kern w:val="2"/>
                <w:lang w:eastAsia="zh-CN"/>
              </w:rPr>
            </w:pPr>
            <w:r>
              <w:rPr>
                <w:rFonts w:ascii="Book Antiqua" w:hAnsi="Book Antiqua" w:cs="Calibri"/>
                <w:kern w:val="2"/>
                <w:lang w:eastAsia="zh-CN"/>
              </w:rPr>
              <w:t>European</w:t>
            </w:r>
          </w:p>
        </w:tc>
        <w:tc>
          <w:tcPr>
            <w:tcW w:w="1808" w:type="dxa"/>
          </w:tcPr>
          <w:p>
            <w:pPr>
              <w:spacing w:line="360" w:lineRule="auto"/>
              <w:jc w:val="both"/>
              <w:rPr>
                <w:rFonts w:ascii="Book Antiqua" w:hAnsi="Book Antiqua" w:cs="Calibri"/>
                <w:kern w:val="2"/>
                <w:lang w:eastAsia="zh-CN"/>
              </w:rPr>
            </w:pPr>
            <w:r>
              <w:rPr>
                <w:rFonts w:ascii="Book Antiqua" w:hAnsi="Book Antiqua" w:cs="Calibri"/>
                <w:kern w:val="2"/>
                <w:lang w:eastAsia="zh-CN"/>
              </w:rPr>
              <w:t>Males and Females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8" w:type="dxa"/>
          </w:tcPr>
          <w:p>
            <w:pPr>
              <w:spacing w:line="360" w:lineRule="auto"/>
              <w:jc w:val="both"/>
              <w:rPr>
                <w:rFonts w:ascii="Book Antiqua" w:hAnsi="Book Antiqua" w:cs="Calibri"/>
                <w:kern w:val="2"/>
                <w:lang w:eastAsia="zh-CN"/>
              </w:rPr>
            </w:pPr>
            <w:r>
              <w:rPr>
                <w:rFonts w:ascii="Book Antiqua" w:hAnsi="Book Antiqua" w:cs="Calibri"/>
                <w:kern w:val="2"/>
                <w:lang w:eastAsia="zh-CN"/>
              </w:rPr>
              <w:t>TG</w:t>
            </w:r>
          </w:p>
        </w:tc>
        <w:tc>
          <w:tcPr>
            <w:tcW w:w="1630" w:type="dxa"/>
          </w:tcPr>
          <w:p>
            <w:pPr>
              <w:spacing w:line="360" w:lineRule="auto"/>
              <w:jc w:val="both"/>
              <w:rPr>
                <w:rFonts w:ascii="Book Antiqua" w:hAnsi="Book Antiqua" w:cs="Calibri"/>
                <w:kern w:val="2"/>
                <w:lang w:eastAsia="zh-CN"/>
              </w:rPr>
            </w:pPr>
            <w:r>
              <w:rPr>
                <w:rFonts w:ascii="Book Antiqua" w:hAnsi="Book Antiqua" w:cs="Calibri"/>
                <w:kern w:val="2"/>
                <w:lang w:eastAsia="zh-CN"/>
              </w:rPr>
              <w:t>GLGC</w:t>
            </w:r>
          </w:p>
        </w:tc>
        <w:tc>
          <w:tcPr>
            <w:tcW w:w="1556" w:type="dxa"/>
          </w:tcPr>
          <w:p>
            <w:pPr>
              <w:spacing w:line="360" w:lineRule="auto"/>
              <w:jc w:val="both"/>
              <w:rPr>
                <w:rFonts w:ascii="Book Antiqua" w:hAnsi="Book Antiqua" w:cs="Calibri"/>
                <w:kern w:val="2"/>
                <w:lang w:eastAsia="zh-CN"/>
              </w:rPr>
            </w:pPr>
            <w:r>
              <w:rPr>
                <w:rFonts w:ascii="Book Antiqua" w:hAnsi="Book Antiqua" w:cs="Calibri"/>
                <w:kern w:val="2"/>
                <w:lang w:eastAsia="zh-CN"/>
              </w:rPr>
              <w:t>24097068</w:t>
            </w:r>
          </w:p>
        </w:tc>
        <w:tc>
          <w:tcPr>
            <w:tcW w:w="1610" w:type="dxa"/>
          </w:tcPr>
          <w:p>
            <w:pPr>
              <w:spacing w:line="360" w:lineRule="auto"/>
              <w:jc w:val="both"/>
              <w:rPr>
                <w:rFonts w:ascii="Book Antiqua" w:hAnsi="Book Antiqua" w:cs="Calibri"/>
                <w:kern w:val="2"/>
                <w:lang w:eastAsia="zh-CN"/>
              </w:rPr>
            </w:pPr>
            <w:r>
              <w:rPr>
                <w:rFonts w:ascii="Book Antiqua" w:hAnsi="Book Antiqua" w:cs="Calibri"/>
                <w:kern w:val="2"/>
                <w:lang w:eastAsia="zh-CN"/>
              </w:rPr>
              <w:t>European</w:t>
            </w:r>
          </w:p>
        </w:tc>
        <w:tc>
          <w:tcPr>
            <w:tcW w:w="1808" w:type="dxa"/>
          </w:tcPr>
          <w:p>
            <w:pPr>
              <w:spacing w:line="360" w:lineRule="auto"/>
              <w:jc w:val="both"/>
              <w:rPr>
                <w:rFonts w:ascii="Book Antiqua" w:hAnsi="Book Antiqua" w:cs="Calibri"/>
                <w:kern w:val="2"/>
                <w:lang w:eastAsia="zh-CN"/>
              </w:rPr>
            </w:pPr>
            <w:r>
              <w:rPr>
                <w:rFonts w:ascii="Book Antiqua" w:hAnsi="Book Antiqua" w:cs="Calibri"/>
                <w:kern w:val="2"/>
                <w:lang w:eastAsia="zh-CN"/>
              </w:rPr>
              <w:t>Males and Females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8" w:type="dxa"/>
            <w:tcBorders>
              <w:bottom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TC</w:t>
            </w:r>
          </w:p>
        </w:tc>
        <w:tc>
          <w:tcPr>
            <w:tcW w:w="1630" w:type="dxa"/>
            <w:tcBorders>
              <w:bottom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GLGC</w:t>
            </w:r>
          </w:p>
        </w:tc>
        <w:tc>
          <w:tcPr>
            <w:tcW w:w="1556" w:type="dxa"/>
            <w:tcBorders>
              <w:bottom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24097068</w:t>
            </w:r>
          </w:p>
        </w:tc>
        <w:tc>
          <w:tcPr>
            <w:tcW w:w="1610" w:type="dxa"/>
            <w:tcBorders>
              <w:bottom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European</w:t>
            </w:r>
          </w:p>
        </w:tc>
        <w:tc>
          <w:tcPr>
            <w:tcW w:w="1808" w:type="dxa"/>
            <w:tcBorders>
              <w:bottom w:val="single" w:color="auto" w:sz="4" w:space="0"/>
            </w:tcBorders>
          </w:tcPr>
          <w:p>
            <w:pPr>
              <w:spacing w:line="360" w:lineRule="auto"/>
              <w:jc w:val="both"/>
              <w:rPr>
                <w:rFonts w:ascii="Book Antiqua" w:hAnsi="Book Antiqua" w:cs="Calibri"/>
                <w:kern w:val="2"/>
                <w:lang w:eastAsia="zh-CN"/>
              </w:rPr>
            </w:pPr>
            <w:r>
              <w:rPr>
                <w:rFonts w:ascii="Book Antiqua" w:hAnsi="Book Antiqua" w:cs="Calibri"/>
                <w:kern w:val="2"/>
                <w:lang w:eastAsia="zh-CN"/>
              </w:rPr>
              <w:t>Males and Females</w:t>
            </w:r>
          </w:p>
        </w:tc>
      </w:tr>
    </w:tbl>
    <w:p>
      <w:pPr>
        <w:spacing w:line="360" w:lineRule="auto"/>
        <w:jc w:val="both"/>
        <w:rPr>
          <w:rFonts w:ascii="Book Antiqua" w:hAnsi="Book Antiqua" w:cs="Calibri"/>
        </w:rPr>
      </w:pPr>
      <w:r>
        <w:rPr>
          <w:rFonts w:ascii="Book Antiqua" w:hAnsi="Book Antiqua" w:cs="Calibri"/>
        </w:rPr>
        <w:t xml:space="preserve">GLGC: </w:t>
      </w:r>
      <w:r>
        <w:rPr>
          <w:rFonts w:ascii="Book Antiqua" w:hAnsi="Book Antiqua" w:eastAsia="Book Antiqua" w:cs="Book Antiqua"/>
          <w:color w:val="000000"/>
        </w:rPr>
        <w:t xml:space="preserve">Global Lipid Genetics Consortium; HDL-C: High-density lipoprotein cholesterol; </w:t>
      </w:r>
      <w:r>
        <w:rPr>
          <w:rFonts w:ascii="Book Antiqua" w:hAnsi="Book Antiqua" w:cs="Calibri"/>
        </w:rPr>
        <w:t>LDL-C</w:t>
      </w:r>
      <w:r>
        <w:rPr>
          <w:rFonts w:ascii="Book Antiqua" w:hAnsi="Book Antiqua" w:eastAsia="Book Antiqua" w:cs="Book Antiqua"/>
          <w:color w:val="000000"/>
        </w:rPr>
        <w:t>: Low-density lipoprotein cholesterol; TC: Total cholesterol; TG: Triglyceride; UKB: United Kingdom Biobank.</w:t>
      </w:r>
    </w:p>
    <w:p>
      <w:pPr>
        <w:spacing w:line="360" w:lineRule="auto"/>
        <w:jc w:val="both"/>
        <w:rPr>
          <w:rFonts w:ascii="Book Antiqua" w:hAnsi="Book Antiqua"/>
        </w:rPr>
      </w:pPr>
    </w:p>
    <w:p>
      <w:pPr>
        <w:spacing w:line="360" w:lineRule="auto"/>
        <w:jc w:val="both"/>
        <w:rPr>
          <w:rFonts w:ascii="Book Antiqua" w:hAnsi="Book Antiqua" w:cs="Calibri"/>
          <w:b/>
        </w:rPr>
      </w:pPr>
      <w:r>
        <w:rPr>
          <w:rFonts w:ascii="Book Antiqua" w:hAnsi="Book Antiqua" w:cs="Calibri"/>
          <w:b/>
        </w:rPr>
        <w:t xml:space="preserve">Table 2 Results from two sample </w:t>
      </w:r>
      <w:r>
        <w:rPr>
          <w:rFonts w:ascii="Book Antiqua" w:hAnsi="Book Antiqua" w:eastAsia="Book Antiqua" w:cs="Book Antiqua"/>
          <w:b/>
          <w:color w:val="000000"/>
        </w:rPr>
        <w:t>Mendelian randomization</w:t>
      </w:r>
      <w:r>
        <w:rPr>
          <w:rFonts w:ascii="Book Antiqua" w:hAnsi="Book Antiqua" w:cs="Calibri"/>
          <w:b/>
        </w:rPr>
        <w:t xml:space="preserve"> analysis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2291"/>
        <w:gridCol w:w="1838"/>
        <w:gridCol w:w="849"/>
        <w:gridCol w:w="70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Lipid</w:t>
            </w:r>
          </w:p>
        </w:tc>
        <w:tc>
          <w:tcPr>
            <w:tcW w:w="2291"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Method</w:t>
            </w:r>
          </w:p>
        </w:tc>
        <w:tc>
          <w:tcPr>
            <w:tcW w:w="1838"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Number of SNPs</w:t>
            </w:r>
          </w:p>
        </w:tc>
        <w:tc>
          <w:tcPr>
            <w:tcW w:w="849"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i/>
                <w:kern w:val="2"/>
                <w:lang w:eastAsia="zh-CN"/>
              </w:rPr>
              <w:t xml:space="preserve">P </w:t>
            </w:r>
            <w:r>
              <w:rPr>
                <w:rFonts w:ascii="Book Antiqua" w:hAnsi="Book Antiqua" w:cs="Calibri"/>
                <w:b/>
                <w:kern w:val="2"/>
                <w:lang w:eastAsia="zh-CN"/>
              </w:rPr>
              <w:t>value</w:t>
            </w:r>
          </w:p>
        </w:tc>
        <w:tc>
          <w:tcPr>
            <w:tcW w:w="708"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OR</w:t>
            </w:r>
          </w:p>
        </w:tc>
        <w:tc>
          <w:tcPr>
            <w:tcW w:w="1211"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95%CI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Borders>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LDL and Sleep apnea</w:t>
            </w:r>
          </w:p>
        </w:tc>
        <w:tc>
          <w:tcPr>
            <w:tcW w:w="2291" w:type="dxa"/>
            <w:tcBorders>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MR Egger</w:t>
            </w:r>
          </w:p>
        </w:tc>
        <w:tc>
          <w:tcPr>
            <w:tcW w:w="1838" w:type="dxa"/>
            <w:tcBorders>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42</w:t>
            </w:r>
          </w:p>
        </w:tc>
        <w:tc>
          <w:tcPr>
            <w:tcW w:w="849" w:type="dxa"/>
            <w:tcBorders>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0.58</w:t>
            </w:r>
          </w:p>
        </w:tc>
        <w:tc>
          <w:tcPr>
            <w:tcW w:w="708" w:type="dxa"/>
            <w:tcBorders>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median</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42</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0.97</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Inverse variance weighted</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42</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0.85</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Simple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42</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0.31</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42</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0.74</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HDL and sleep apnea</w:t>
            </w: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MR Egger</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0.91</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median</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0.35</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Inverse variance weighted</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0.29</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Simple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0.22</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0.33</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TG and Sleep apnea</w:t>
            </w: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MR Egger</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0.92</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median</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0.82</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Inverse variance weighted</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0.57</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Simple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0.59</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35</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0.94</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restart"/>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TC and Sleep apnea</w:t>
            </w: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MR Egger</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51</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0.33</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median</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51</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0.68</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Inverse variance weighted</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51</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0.82</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bottom w:val="nil"/>
              <w:right w:val="nil"/>
            </w:tcBorders>
          </w:tcPr>
          <w:p>
            <w:pPr>
              <w:spacing w:line="360" w:lineRule="auto"/>
              <w:jc w:val="both"/>
              <w:rPr>
                <w:rFonts w:ascii="Book Antiqua" w:hAnsi="Book Antiqua" w:cs="Calibri"/>
                <w:kern w:val="2"/>
                <w:lang w:eastAsia="zh-CN"/>
              </w:rPr>
            </w:pPr>
          </w:p>
        </w:tc>
        <w:tc>
          <w:tcPr>
            <w:tcW w:w="229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Simple mode</w:t>
            </w:r>
          </w:p>
        </w:tc>
        <w:tc>
          <w:tcPr>
            <w:tcW w:w="183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51</w:t>
            </w:r>
          </w:p>
        </w:tc>
        <w:tc>
          <w:tcPr>
            <w:tcW w:w="84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0.20</w:t>
            </w:r>
          </w:p>
        </w:tc>
        <w:tc>
          <w:tcPr>
            <w:tcW w:w="708"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9" w:type="dxa"/>
            <w:vMerge w:val="continue"/>
            <w:tcBorders>
              <w:top w:val="nil"/>
              <w:left w:val="nil"/>
              <w:right w:val="nil"/>
            </w:tcBorders>
          </w:tcPr>
          <w:p>
            <w:pPr>
              <w:spacing w:line="360" w:lineRule="auto"/>
              <w:jc w:val="both"/>
              <w:rPr>
                <w:rFonts w:ascii="Book Antiqua" w:hAnsi="Book Antiqua" w:cs="Calibri"/>
                <w:kern w:val="2"/>
                <w:lang w:eastAsia="zh-CN"/>
              </w:rPr>
            </w:pPr>
          </w:p>
        </w:tc>
        <w:tc>
          <w:tcPr>
            <w:tcW w:w="2291"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Weighted mode</w:t>
            </w:r>
          </w:p>
        </w:tc>
        <w:tc>
          <w:tcPr>
            <w:tcW w:w="1838"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51</w:t>
            </w:r>
          </w:p>
        </w:tc>
        <w:tc>
          <w:tcPr>
            <w:tcW w:w="849"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0.70</w:t>
            </w:r>
          </w:p>
        </w:tc>
        <w:tc>
          <w:tcPr>
            <w:tcW w:w="708"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1.00</w:t>
            </w:r>
          </w:p>
        </w:tc>
        <w:tc>
          <w:tcPr>
            <w:tcW w:w="1211"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0.99-1.00</w:t>
            </w:r>
          </w:p>
        </w:tc>
      </w:tr>
    </w:tbl>
    <w:p>
      <w:pPr>
        <w:spacing w:line="360" w:lineRule="auto"/>
        <w:jc w:val="both"/>
        <w:rPr>
          <w:rFonts w:ascii="Book Antiqua" w:hAnsi="Book Antiqua"/>
        </w:rPr>
      </w:pPr>
      <w:r>
        <w:rPr>
          <w:rFonts w:ascii="Book Antiqua" w:hAnsi="Book Antiqua" w:cs="Calibri"/>
        </w:rPr>
        <w:t xml:space="preserve">HDL: </w:t>
      </w:r>
      <w:r>
        <w:rPr>
          <w:rFonts w:ascii="Book Antiqua" w:hAnsi="Book Antiqua" w:eastAsia="Book Antiqua" w:cs="Book Antiqua"/>
          <w:color w:val="000000"/>
        </w:rPr>
        <w:t xml:space="preserve">High-density lipoprotein; </w:t>
      </w:r>
      <w:r>
        <w:rPr>
          <w:rFonts w:ascii="Book Antiqua" w:hAnsi="Book Antiqua" w:cs="Calibri"/>
        </w:rPr>
        <w:t>LDL</w:t>
      </w:r>
      <w:r>
        <w:rPr>
          <w:rFonts w:ascii="Book Antiqua" w:hAnsi="Book Antiqua" w:eastAsia="Book Antiqua" w:cs="Book Antiqua"/>
          <w:color w:val="000000"/>
        </w:rPr>
        <w:t>: Low-density lipoprotein; MR: Mendelian randomization; OR: Odds ratio; SNPs: Single nucleotide polymorphisms; TC: Total cholesterol; TG: Triglyceride.</w:t>
      </w:r>
    </w:p>
    <w:p>
      <w:pPr>
        <w:spacing w:line="360" w:lineRule="auto"/>
        <w:jc w:val="both"/>
        <w:rPr>
          <w:rFonts w:ascii="Book Antiqua" w:hAnsi="Book Antiqua"/>
        </w:rPr>
      </w:pPr>
    </w:p>
    <w:p>
      <w:pPr>
        <w:spacing w:line="360" w:lineRule="auto"/>
        <w:jc w:val="both"/>
        <w:rPr>
          <w:rFonts w:ascii="Book Antiqua" w:hAnsi="Book Antiqua" w:cs="Calibri"/>
          <w:b/>
        </w:rPr>
      </w:pPr>
      <w:r>
        <w:rPr>
          <w:rFonts w:ascii="Book Antiqua" w:hAnsi="Book Antiqua" w:cs="Calibri"/>
          <w:b/>
        </w:rPr>
        <w:t>Table 3 Heterogeneity test and level pleiotropy test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255"/>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Lipid</w:t>
            </w:r>
          </w:p>
        </w:tc>
        <w:tc>
          <w:tcPr>
            <w:tcW w:w="4573" w:type="dxa"/>
            <w:gridSpan w:val="3"/>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Heterogeneity test, inverse variance weighted</w:t>
            </w:r>
          </w:p>
        </w:tc>
        <w:tc>
          <w:tcPr>
            <w:tcW w:w="2064"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Level pleiotropy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left w:val="nil"/>
              <w:bottom w:val="single" w:color="auto" w:sz="4" w:space="0"/>
              <w:right w:val="nil"/>
            </w:tcBorders>
          </w:tcPr>
          <w:p>
            <w:pPr>
              <w:spacing w:line="360" w:lineRule="auto"/>
              <w:jc w:val="both"/>
              <w:rPr>
                <w:rFonts w:ascii="Book Antiqua" w:hAnsi="Book Antiqua" w:cs="Calibri"/>
                <w:b/>
                <w:kern w:val="2"/>
                <w:lang w:eastAsia="zh-CN"/>
              </w:rPr>
            </w:pPr>
          </w:p>
        </w:tc>
        <w:tc>
          <w:tcPr>
            <w:tcW w:w="1659"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Q</w:t>
            </w:r>
          </w:p>
        </w:tc>
        <w:tc>
          <w:tcPr>
            <w:tcW w:w="1659"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kern w:val="2"/>
                <w:lang w:eastAsia="zh-CN"/>
              </w:rPr>
              <w:t>df</w:t>
            </w:r>
          </w:p>
        </w:tc>
        <w:tc>
          <w:tcPr>
            <w:tcW w:w="1255"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i/>
                <w:kern w:val="2"/>
                <w:lang w:eastAsia="zh-CN"/>
              </w:rPr>
              <w:t>P</w:t>
            </w:r>
            <w:r>
              <w:rPr>
                <w:rFonts w:ascii="Book Antiqua" w:hAnsi="Book Antiqua" w:cs="Calibri"/>
                <w:b/>
                <w:kern w:val="2"/>
                <w:lang w:eastAsia="zh-CN"/>
              </w:rPr>
              <w:t xml:space="preserve"> value</w:t>
            </w:r>
          </w:p>
        </w:tc>
        <w:tc>
          <w:tcPr>
            <w:tcW w:w="2064" w:type="dxa"/>
            <w:tcBorders>
              <w:left w:val="nil"/>
              <w:bottom w:val="single" w:color="auto" w:sz="4" w:space="0"/>
              <w:right w:val="nil"/>
            </w:tcBorders>
          </w:tcPr>
          <w:p>
            <w:pPr>
              <w:spacing w:line="360" w:lineRule="auto"/>
              <w:jc w:val="both"/>
              <w:rPr>
                <w:rFonts w:ascii="Book Antiqua" w:hAnsi="Book Antiqua" w:cs="Calibri"/>
                <w:b/>
                <w:kern w:val="2"/>
                <w:lang w:eastAsia="zh-CN"/>
              </w:rPr>
            </w:pPr>
            <w:r>
              <w:rPr>
                <w:rFonts w:ascii="Book Antiqua" w:hAnsi="Book Antiqua" w:cs="Calibri"/>
                <w:b/>
                <w:i/>
                <w:kern w:val="2"/>
                <w:lang w:eastAsia="zh-CN"/>
              </w:rPr>
              <w:t>P</w:t>
            </w:r>
            <w:r>
              <w:rPr>
                <w:rFonts w:ascii="Book Antiqua" w:hAnsi="Book Antiqua" w:cs="Calibri"/>
                <w:b/>
                <w:kern w:val="2"/>
                <w:lang w:eastAsia="zh-CN"/>
              </w:rPr>
              <w:t xml:space="preser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single" w:color="auto" w:sz="4" w:space="0"/>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LDL</w:t>
            </w:r>
          </w:p>
        </w:tc>
        <w:tc>
          <w:tcPr>
            <w:tcW w:w="1659" w:type="dxa"/>
            <w:tcBorders>
              <w:top w:val="single" w:color="auto" w:sz="4" w:space="0"/>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33.04</w:t>
            </w:r>
          </w:p>
        </w:tc>
        <w:tc>
          <w:tcPr>
            <w:tcW w:w="1659" w:type="dxa"/>
            <w:tcBorders>
              <w:top w:val="single" w:color="auto" w:sz="4" w:space="0"/>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41</w:t>
            </w:r>
          </w:p>
        </w:tc>
        <w:tc>
          <w:tcPr>
            <w:tcW w:w="1255" w:type="dxa"/>
            <w:tcBorders>
              <w:top w:val="single" w:color="auto" w:sz="4" w:space="0"/>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0.807</w:t>
            </w:r>
          </w:p>
        </w:tc>
        <w:tc>
          <w:tcPr>
            <w:tcW w:w="2064" w:type="dxa"/>
            <w:tcBorders>
              <w:top w:val="single" w:color="auto" w:sz="4" w:space="0"/>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HDL</w:t>
            </w:r>
          </w:p>
        </w:tc>
        <w:tc>
          <w:tcPr>
            <w:tcW w:w="165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67.98</w:t>
            </w:r>
          </w:p>
        </w:tc>
        <w:tc>
          <w:tcPr>
            <w:tcW w:w="165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54</w:t>
            </w:r>
          </w:p>
        </w:tc>
        <w:tc>
          <w:tcPr>
            <w:tcW w:w="1255"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0.096</w:t>
            </w:r>
          </w:p>
        </w:tc>
        <w:tc>
          <w:tcPr>
            <w:tcW w:w="2064"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TG</w:t>
            </w:r>
          </w:p>
        </w:tc>
        <w:tc>
          <w:tcPr>
            <w:tcW w:w="165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34.87</w:t>
            </w:r>
          </w:p>
        </w:tc>
        <w:tc>
          <w:tcPr>
            <w:tcW w:w="1659"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34</w:t>
            </w:r>
          </w:p>
        </w:tc>
        <w:tc>
          <w:tcPr>
            <w:tcW w:w="1255"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0.427</w:t>
            </w:r>
          </w:p>
        </w:tc>
        <w:tc>
          <w:tcPr>
            <w:tcW w:w="2064" w:type="dxa"/>
            <w:tcBorders>
              <w:top w:val="nil"/>
              <w:left w:val="nil"/>
              <w:bottom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TC</w:t>
            </w:r>
          </w:p>
        </w:tc>
        <w:tc>
          <w:tcPr>
            <w:tcW w:w="1659"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48.34</w:t>
            </w:r>
          </w:p>
        </w:tc>
        <w:tc>
          <w:tcPr>
            <w:tcW w:w="1659"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50</w:t>
            </w:r>
          </w:p>
        </w:tc>
        <w:tc>
          <w:tcPr>
            <w:tcW w:w="1255"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0.540</w:t>
            </w:r>
          </w:p>
        </w:tc>
        <w:tc>
          <w:tcPr>
            <w:tcW w:w="2064" w:type="dxa"/>
            <w:tcBorders>
              <w:top w:val="nil"/>
              <w:left w:val="nil"/>
              <w:right w:val="nil"/>
            </w:tcBorders>
          </w:tcPr>
          <w:p>
            <w:pPr>
              <w:spacing w:line="360" w:lineRule="auto"/>
              <w:jc w:val="both"/>
              <w:rPr>
                <w:rFonts w:ascii="Book Antiqua" w:hAnsi="Book Antiqua" w:cs="Calibri"/>
                <w:kern w:val="2"/>
                <w:lang w:eastAsia="zh-CN"/>
              </w:rPr>
            </w:pPr>
            <w:r>
              <w:rPr>
                <w:rFonts w:ascii="Book Antiqua" w:hAnsi="Book Antiqua" w:cs="Calibri"/>
                <w:kern w:val="2"/>
                <w:lang w:eastAsia="zh-CN"/>
              </w:rPr>
              <w:t>0.247</w:t>
            </w:r>
          </w:p>
        </w:tc>
      </w:tr>
    </w:tbl>
    <w:p>
      <w:pPr>
        <w:spacing w:line="360" w:lineRule="auto"/>
        <w:jc w:val="both"/>
        <w:rPr>
          <w:rFonts w:ascii="Book Antiqua" w:hAnsi="Book Antiqua"/>
        </w:rPr>
      </w:pPr>
      <w:r>
        <w:rPr>
          <w:rFonts w:ascii="Book Antiqua" w:hAnsi="Book Antiqua" w:cs="Calibri"/>
        </w:rPr>
        <w:t xml:space="preserve">HDL: </w:t>
      </w:r>
      <w:r>
        <w:rPr>
          <w:rFonts w:ascii="Book Antiqua" w:hAnsi="Book Antiqua" w:eastAsia="Book Antiqua" w:cs="Book Antiqua"/>
          <w:color w:val="000000"/>
        </w:rPr>
        <w:t xml:space="preserve">High-density lipoprotein; </w:t>
      </w:r>
      <w:r>
        <w:rPr>
          <w:rFonts w:ascii="Book Antiqua" w:hAnsi="Book Antiqua" w:cs="Calibri"/>
        </w:rPr>
        <w:t>LDL</w:t>
      </w:r>
      <w:r>
        <w:rPr>
          <w:rFonts w:ascii="Book Antiqua" w:hAnsi="Book Antiqua" w:eastAsia="Book Antiqua" w:cs="Book Antiqua"/>
          <w:color w:val="000000"/>
        </w:rPr>
        <w:t xml:space="preserve">: Low-density lipoprotein; TC: Total cholesterol; TG: Triglyceride.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20B0604020202020204"/>
    <w:charset w:val="00"/>
    <w:family w:val="auto"/>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6021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18</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0A9C"/>
    <w:rsid w:val="000130AA"/>
    <w:rsid w:val="0002373F"/>
    <w:rsid w:val="0003061E"/>
    <w:rsid w:val="00046094"/>
    <w:rsid w:val="000709A2"/>
    <w:rsid w:val="000A139D"/>
    <w:rsid w:val="000A4AD1"/>
    <w:rsid w:val="000B06CA"/>
    <w:rsid w:val="000C4AFB"/>
    <w:rsid w:val="000D2010"/>
    <w:rsid w:val="000D4643"/>
    <w:rsid w:val="00103D83"/>
    <w:rsid w:val="00104B0D"/>
    <w:rsid w:val="001115F2"/>
    <w:rsid w:val="00116403"/>
    <w:rsid w:val="00120601"/>
    <w:rsid w:val="00121C4B"/>
    <w:rsid w:val="00127E41"/>
    <w:rsid w:val="001326DC"/>
    <w:rsid w:val="00140038"/>
    <w:rsid w:val="00142F02"/>
    <w:rsid w:val="00153285"/>
    <w:rsid w:val="001652AB"/>
    <w:rsid w:val="00170866"/>
    <w:rsid w:val="00175782"/>
    <w:rsid w:val="001A0773"/>
    <w:rsid w:val="001A0CD5"/>
    <w:rsid w:val="001A6947"/>
    <w:rsid w:val="001E1017"/>
    <w:rsid w:val="001F63DB"/>
    <w:rsid w:val="00206D39"/>
    <w:rsid w:val="00211107"/>
    <w:rsid w:val="00211FF8"/>
    <w:rsid w:val="002145B1"/>
    <w:rsid w:val="00217196"/>
    <w:rsid w:val="00217D7F"/>
    <w:rsid w:val="00224763"/>
    <w:rsid w:val="002328E1"/>
    <w:rsid w:val="00232D5E"/>
    <w:rsid w:val="002359A8"/>
    <w:rsid w:val="00240ABC"/>
    <w:rsid w:val="00251718"/>
    <w:rsid w:val="00260F18"/>
    <w:rsid w:val="00282649"/>
    <w:rsid w:val="00284ED0"/>
    <w:rsid w:val="002A7F06"/>
    <w:rsid w:val="002B61D9"/>
    <w:rsid w:val="002D230F"/>
    <w:rsid w:val="002D7D66"/>
    <w:rsid w:val="002E7ACE"/>
    <w:rsid w:val="00330BE3"/>
    <w:rsid w:val="003313AA"/>
    <w:rsid w:val="00343560"/>
    <w:rsid w:val="00350BDB"/>
    <w:rsid w:val="00351CAE"/>
    <w:rsid w:val="00355A3A"/>
    <w:rsid w:val="00382F63"/>
    <w:rsid w:val="003865F7"/>
    <w:rsid w:val="00390AF7"/>
    <w:rsid w:val="003A16D3"/>
    <w:rsid w:val="003A6580"/>
    <w:rsid w:val="003B3B73"/>
    <w:rsid w:val="003B6177"/>
    <w:rsid w:val="003C61A7"/>
    <w:rsid w:val="003E10D7"/>
    <w:rsid w:val="003E31C9"/>
    <w:rsid w:val="003E56B3"/>
    <w:rsid w:val="003F21E4"/>
    <w:rsid w:val="00400524"/>
    <w:rsid w:val="00424442"/>
    <w:rsid w:val="00430D72"/>
    <w:rsid w:val="00453416"/>
    <w:rsid w:val="004577AE"/>
    <w:rsid w:val="004707FE"/>
    <w:rsid w:val="00474CD7"/>
    <w:rsid w:val="0048299D"/>
    <w:rsid w:val="00492B89"/>
    <w:rsid w:val="004B0644"/>
    <w:rsid w:val="004B195B"/>
    <w:rsid w:val="004C76DC"/>
    <w:rsid w:val="004D56C1"/>
    <w:rsid w:val="004E1887"/>
    <w:rsid w:val="00526C36"/>
    <w:rsid w:val="0055099C"/>
    <w:rsid w:val="00565D2F"/>
    <w:rsid w:val="00573A06"/>
    <w:rsid w:val="00582DA0"/>
    <w:rsid w:val="00587353"/>
    <w:rsid w:val="00592EB3"/>
    <w:rsid w:val="00594E7D"/>
    <w:rsid w:val="00595D49"/>
    <w:rsid w:val="005D26D0"/>
    <w:rsid w:val="005D34BC"/>
    <w:rsid w:val="005D392B"/>
    <w:rsid w:val="005E1B8C"/>
    <w:rsid w:val="005E39A8"/>
    <w:rsid w:val="005E6EA2"/>
    <w:rsid w:val="00625637"/>
    <w:rsid w:val="00672DED"/>
    <w:rsid w:val="00694844"/>
    <w:rsid w:val="006C2994"/>
    <w:rsid w:val="006C2FED"/>
    <w:rsid w:val="006D4214"/>
    <w:rsid w:val="006E21A9"/>
    <w:rsid w:val="00720F85"/>
    <w:rsid w:val="007426B7"/>
    <w:rsid w:val="00763454"/>
    <w:rsid w:val="00765EF7"/>
    <w:rsid w:val="00766110"/>
    <w:rsid w:val="00772494"/>
    <w:rsid w:val="0079168F"/>
    <w:rsid w:val="007A69B5"/>
    <w:rsid w:val="007C196B"/>
    <w:rsid w:val="007C4850"/>
    <w:rsid w:val="007D4E20"/>
    <w:rsid w:val="007E31B9"/>
    <w:rsid w:val="007F6541"/>
    <w:rsid w:val="00802797"/>
    <w:rsid w:val="00806C7B"/>
    <w:rsid w:val="0081140E"/>
    <w:rsid w:val="00816E13"/>
    <w:rsid w:val="0082052D"/>
    <w:rsid w:val="00826CF2"/>
    <w:rsid w:val="0084299C"/>
    <w:rsid w:val="0086588A"/>
    <w:rsid w:val="00866F60"/>
    <w:rsid w:val="00881F04"/>
    <w:rsid w:val="00896B9B"/>
    <w:rsid w:val="008A50D5"/>
    <w:rsid w:val="008B5655"/>
    <w:rsid w:val="008D35A5"/>
    <w:rsid w:val="008E49DB"/>
    <w:rsid w:val="008F2DCD"/>
    <w:rsid w:val="008F7972"/>
    <w:rsid w:val="00907A1A"/>
    <w:rsid w:val="0091420B"/>
    <w:rsid w:val="009150BA"/>
    <w:rsid w:val="00932C78"/>
    <w:rsid w:val="00940DC8"/>
    <w:rsid w:val="00990BDF"/>
    <w:rsid w:val="00992319"/>
    <w:rsid w:val="009A31D5"/>
    <w:rsid w:val="009A7C4F"/>
    <w:rsid w:val="009B53A1"/>
    <w:rsid w:val="009B7D29"/>
    <w:rsid w:val="009C5E0A"/>
    <w:rsid w:val="009F4975"/>
    <w:rsid w:val="00A13177"/>
    <w:rsid w:val="00A136DE"/>
    <w:rsid w:val="00A15A21"/>
    <w:rsid w:val="00A26406"/>
    <w:rsid w:val="00A32E7D"/>
    <w:rsid w:val="00A526F6"/>
    <w:rsid w:val="00A53A23"/>
    <w:rsid w:val="00A53D7E"/>
    <w:rsid w:val="00A602BD"/>
    <w:rsid w:val="00A70ADF"/>
    <w:rsid w:val="00A77B3E"/>
    <w:rsid w:val="00A851B6"/>
    <w:rsid w:val="00A8629A"/>
    <w:rsid w:val="00AB2CB8"/>
    <w:rsid w:val="00AE0FC8"/>
    <w:rsid w:val="00B13005"/>
    <w:rsid w:val="00B257E2"/>
    <w:rsid w:val="00B37B4E"/>
    <w:rsid w:val="00B37FAD"/>
    <w:rsid w:val="00B4003A"/>
    <w:rsid w:val="00B40345"/>
    <w:rsid w:val="00B60423"/>
    <w:rsid w:val="00B66BBD"/>
    <w:rsid w:val="00B72A04"/>
    <w:rsid w:val="00B94099"/>
    <w:rsid w:val="00BB75CB"/>
    <w:rsid w:val="00BD7B22"/>
    <w:rsid w:val="00BE1CD3"/>
    <w:rsid w:val="00BE23B7"/>
    <w:rsid w:val="00BF4A4F"/>
    <w:rsid w:val="00BF56E7"/>
    <w:rsid w:val="00C0273E"/>
    <w:rsid w:val="00C06062"/>
    <w:rsid w:val="00C2460C"/>
    <w:rsid w:val="00C25673"/>
    <w:rsid w:val="00C356E7"/>
    <w:rsid w:val="00C36CF7"/>
    <w:rsid w:val="00C441DE"/>
    <w:rsid w:val="00C64211"/>
    <w:rsid w:val="00C90791"/>
    <w:rsid w:val="00C91872"/>
    <w:rsid w:val="00C969B0"/>
    <w:rsid w:val="00CA1FEE"/>
    <w:rsid w:val="00CA2A55"/>
    <w:rsid w:val="00CB65D0"/>
    <w:rsid w:val="00CF4692"/>
    <w:rsid w:val="00D04F77"/>
    <w:rsid w:val="00D13D4B"/>
    <w:rsid w:val="00D40EA5"/>
    <w:rsid w:val="00D628CC"/>
    <w:rsid w:val="00D8189E"/>
    <w:rsid w:val="00DC44A1"/>
    <w:rsid w:val="00DE163A"/>
    <w:rsid w:val="00DE1756"/>
    <w:rsid w:val="00DE1EFF"/>
    <w:rsid w:val="00DE2181"/>
    <w:rsid w:val="00DE4034"/>
    <w:rsid w:val="00DF3035"/>
    <w:rsid w:val="00E06E32"/>
    <w:rsid w:val="00E11D1A"/>
    <w:rsid w:val="00E13C04"/>
    <w:rsid w:val="00E15F6E"/>
    <w:rsid w:val="00E26237"/>
    <w:rsid w:val="00E45F28"/>
    <w:rsid w:val="00E62066"/>
    <w:rsid w:val="00E75DDC"/>
    <w:rsid w:val="00E81F9E"/>
    <w:rsid w:val="00E95180"/>
    <w:rsid w:val="00EB24E3"/>
    <w:rsid w:val="00EE3321"/>
    <w:rsid w:val="00F06956"/>
    <w:rsid w:val="00F12E20"/>
    <w:rsid w:val="00F13F39"/>
    <w:rsid w:val="00F140B1"/>
    <w:rsid w:val="00F14620"/>
    <w:rsid w:val="00F16D79"/>
    <w:rsid w:val="00F24707"/>
    <w:rsid w:val="00F53DEE"/>
    <w:rsid w:val="00F6197A"/>
    <w:rsid w:val="00F65C17"/>
    <w:rsid w:val="00F827BC"/>
    <w:rsid w:val="00FB0337"/>
    <w:rsid w:val="00FB2DB3"/>
    <w:rsid w:val="00FC4F92"/>
    <w:rsid w:val="00FC768E"/>
    <w:rsid w:val="00FD61BA"/>
    <w:rsid w:val="00FE354A"/>
    <w:rsid w:val="00FF453F"/>
    <w:rsid w:val="24E07059"/>
    <w:rsid w:val="3A613D00"/>
    <w:rsid w:val="7C55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style>
  <w:style w:type="paragraph" w:styleId="3">
    <w:name w:val="Balloon Text"/>
    <w:basedOn w:val="1"/>
    <w:link w:val="16"/>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qFormat/>
    <w:uiPriority w:val="99"/>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9"/>
    <w:link w:val="3"/>
    <w:semiHidden/>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4502</Words>
  <Characters>25724</Characters>
  <Lines>212</Lines>
  <Paragraphs>59</Paragraphs>
  <TotalTime>0</TotalTime>
  <ScaleCrop>false</ScaleCrop>
  <LinksUpToDate>false</LinksUpToDate>
  <CharactersWithSpaces>29926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2022-09-15T01:41:00Z</dcterms:created>
  <dc:creator>梅长苏</dc:creator>
  <cp:lastModifiedBy>晓晨</cp:lastModifiedBy>
  <dcterms:modified xsi:type="dcterms:W3CDTF">2022-10-25T12:09:34Z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5EF0863B367D4EE0B9E0B11D6394C0FD</vt:lpwstr>
  </property>
</Properties>
</file>