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6E" w:rsidRPr="001865B1" w:rsidRDefault="00F10C6E" w:rsidP="000A2D1C">
      <w:pPr>
        <w:spacing w:line="360" w:lineRule="auto"/>
        <w:jc w:val="both"/>
        <w:rPr>
          <w:rFonts w:ascii="Book Antiqua" w:hAnsi="Book Antiqua" w:cs="Tahoma"/>
          <w:b/>
          <w:lang w:val="en-US"/>
        </w:rPr>
      </w:pPr>
      <w:bookmarkStart w:id="0" w:name="OLE_LINK319"/>
      <w:bookmarkStart w:id="1" w:name="OLE_LINK320"/>
      <w:bookmarkStart w:id="2" w:name="OLE_LINK355"/>
      <w:bookmarkStart w:id="3" w:name="OLE_LINK403"/>
      <w:r w:rsidRPr="001865B1">
        <w:rPr>
          <w:rFonts w:ascii="Book Antiqua" w:hAnsi="Book Antiqua" w:cs="Tahoma"/>
          <w:b/>
          <w:lang w:val="en-US"/>
        </w:rPr>
        <w:t>Name of journal: World Journal of Gastroenterology</w:t>
      </w:r>
    </w:p>
    <w:p w:rsidR="00F10C6E" w:rsidRPr="001865B1" w:rsidRDefault="00F10C6E" w:rsidP="000A2D1C">
      <w:pPr>
        <w:spacing w:line="360" w:lineRule="auto"/>
        <w:jc w:val="both"/>
        <w:rPr>
          <w:rFonts w:ascii="Book Antiqua" w:hAnsi="Book Antiqua" w:cs="Tahoma"/>
          <w:b/>
          <w:lang w:val="en-US" w:eastAsia="zh-CN"/>
        </w:rPr>
      </w:pPr>
      <w:r w:rsidRPr="001865B1">
        <w:rPr>
          <w:rFonts w:ascii="Book Antiqua" w:hAnsi="Book Antiqua" w:cs="Tahoma"/>
          <w:b/>
          <w:lang w:val="en-US"/>
        </w:rPr>
        <w:t>ESPS Manuscript NO:</w:t>
      </w:r>
      <w:r w:rsidRPr="001865B1">
        <w:rPr>
          <w:rFonts w:ascii="Book Antiqua" w:hAnsi="Book Antiqua" w:cs="Tahoma"/>
          <w:b/>
          <w:lang w:val="en-US" w:eastAsia="zh-CN"/>
        </w:rPr>
        <w:t xml:space="preserve"> 7737</w:t>
      </w:r>
    </w:p>
    <w:p w:rsidR="00F10C6E" w:rsidRPr="008F0357" w:rsidRDefault="00F10C6E" w:rsidP="000A2D1C">
      <w:pPr>
        <w:spacing w:line="360" w:lineRule="auto"/>
        <w:jc w:val="both"/>
        <w:rPr>
          <w:rFonts w:ascii="Book Antiqua" w:hAnsi="Book Antiqua"/>
          <w:b/>
          <w:bCs/>
          <w:lang w:val="en-GB" w:eastAsia="zh-CN"/>
        </w:rPr>
      </w:pPr>
      <w:r w:rsidRPr="001865B1">
        <w:rPr>
          <w:rFonts w:ascii="Book Antiqua" w:hAnsi="Book Antiqua" w:cs="Tahoma"/>
          <w:b/>
          <w:lang w:val="en-US"/>
        </w:rPr>
        <w:t>Columns:</w:t>
      </w:r>
      <w:r w:rsidRPr="001865B1">
        <w:rPr>
          <w:rFonts w:ascii="Book Antiqua" w:hAnsi="Book Antiqua"/>
          <w:lang w:val="en-US"/>
        </w:rPr>
        <w:t xml:space="preserve"> </w:t>
      </w:r>
      <w:r>
        <w:rPr>
          <w:rFonts w:ascii="Book Antiqua" w:hAnsi="Book Antiqua"/>
          <w:b/>
          <w:bCs/>
          <w:lang w:val="en-GB"/>
        </w:rPr>
        <w:t>TOPIC HIGHLIGHT</w:t>
      </w:r>
    </w:p>
    <w:p w:rsidR="00F10C6E" w:rsidRPr="008F0357" w:rsidRDefault="00F10C6E" w:rsidP="000A2D1C">
      <w:pPr>
        <w:spacing w:line="360" w:lineRule="auto"/>
        <w:jc w:val="both"/>
        <w:rPr>
          <w:rFonts w:ascii="Book Antiqua" w:hAnsi="Book Antiqua"/>
          <w:b/>
          <w:bCs/>
          <w:lang w:val="en-GB" w:eastAsia="zh-CN"/>
        </w:rPr>
      </w:pPr>
    </w:p>
    <w:bookmarkEnd w:id="0"/>
    <w:bookmarkEnd w:id="1"/>
    <w:bookmarkEnd w:id="2"/>
    <w:bookmarkEnd w:id="3"/>
    <w:p w:rsidR="00F10C6E" w:rsidRPr="001865B1" w:rsidRDefault="00F10C6E" w:rsidP="008F0357">
      <w:pPr>
        <w:spacing w:line="360" w:lineRule="auto"/>
        <w:rPr>
          <w:rFonts w:ascii="Book Antiqua" w:hAnsi="Book Antiqua"/>
          <w:color w:val="000000"/>
          <w:lang w:val="en-US"/>
        </w:rPr>
      </w:pPr>
      <w:r w:rsidRPr="001865B1">
        <w:rPr>
          <w:rFonts w:ascii="Book Antiqua" w:hAnsi="Book Antiqua" w:cs="TwCenMT-Bold"/>
          <w:bCs/>
          <w:lang w:val="en-US"/>
        </w:rPr>
        <w:t>WJG 20th Anniversary Special Issues</w:t>
      </w:r>
      <w:r w:rsidRPr="001865B1">
        <w:rPr>
          <w:rFonts w:ascii="Book Antiqua" w:hAnsi="Book Antiqua"/>
          <w:color w:val="000000"/>
          <w:lang w:val="en-US"/>
        </w:rPr>
        <w:t xml:space="preserve"> (8): Gastric cancer</w:t>
      </w:r>
    </w:p>
    <w:p w:rsidR="00F10C6E" w:rsidRPr="001865B1" w:rsidRDefault="00F10C6E" w:rsidP="000A2D1C">
      <w:pPr>
        <w:spacing w:line="360" w:lineRule="auto"/>
        <w:jc w:val="both"/>
        <w:rPr>
          <w:rFonts w:ascii="Book Antiqua" w:hAnsi="Book Antiqua"/>
          <w:b/>
          <w:bCs/>
          <w:lang w:val="en-US" w:eastAsia="zh-CN"/>
        </w:rPr>
      </w:pPr>
    </w:p>
    <w:p w:rsidR="00F10C6E" w:rsidRPr="008F0357" w:rsidRDefault="00F10C6E" w:rsidP="000A2D1C">
      <w:pPr>
        <w:spacing w:line="360" w:lineRule="auto"/>
        <w:jc w:val="both"/>
        <w:rPr>
          <w:rFonts w:ascii="Book Antiqua" w:hAnsi="Book Antiqua"/>
          <w:b/>
          <w:bCs/>
          <w:lang w:val="en-GB" w:eastAsia="zh-CN"/>
        </w:rPr>
      </w:pPr>
      <w:r w:rsidRPr="008F0357">
        <w:rPr>
          <w:rFonts w:ascii="Book Antiqua" w:hAnsi="Book Antiqua"/>
          <w:b/>
          <w:bCs/>
          <w:lang w:val="en-GB"/>
        </w:rPr>
        <w:t xml:space="preserve">Screening for and surveillance of gastric cancer </w:t>
      </w:r>
    </w:p>
    <w:p w:rsidR="00F10C6E" w:rsidRPr="008F0357" w:rsidRDefault="00F10C6E" w:rsidP="000A2D1C">
      <w:pPr>
        <w:spacing w:line="360" w:lineRule="auto"/>
        <w:jc w:val="both"/>
        <w:rPr>
          <w:rFonts w:ascii="Book Antiqua" w:hAnsi="Book Antiqua"/>
          <w:b/>
          <w:bCs/>
          <w:lang w:val="en-GB" w:eastAsia="zh-CN"/>
        </w:rPr>
      </w:pPr>
    </w:p>
    <w:p w:rsidR="00F10C6E" w:rsidRPr="008F0357" w:rsidRDefault="00F10C6E" w:rsidP="000A2D1C">
      <w:pPr>
        <w:pStyle w:val="2"/>
        <w:spacing w:line="360" w:lineRule="auto"/>
        <w:jc w:val="both"/>
        <w:rPr>
          <w:rFonts w:ascii="Book Antiqua" w:hAnsi="Book Antiqua"/>
          <w:bCs/>
          <w:lang w:val="en-GB"/>
        </w:rPr>
      </w:pPr>
      <w:r w:rsidRPr="001865B1">
        <w:rPr>
          <w:rFonts w:ascii="Book Antiqua" w:hAnsi="Book Antiqua"/>
          <w:bCs/>
          <w:lang w:val="en-US"/>
        </w:rPr>
        <w:t>Compare</w:t>
      </w:r>
      <w:r w:rsidRPr="008F0357">
        <w:rPr>
          <w:rFonts w:ascii="Book Antiqua" w:hAnsi="Book Antiqua"/>
          <w:bCs/>
          <w:lang w:val="en-GB"/>
        </w:rPr>
        <w:t xml:space="preserve"> </w:t>
      </w:r>
      <w:r w:rsidRPr="008F0357">
        <w:rPr>
          <w:rFonts w:ascii="Book Antiqua" w:hAnsi="Book Antiqua"/>
          <w:bCs/>
          <w:lang w:val="en-GB" w:eastAsia="zh-CN"/>
        </w:rPr>
        <w:t xml:space="preserve">D </w:t>
      </w:r>
      <w:r w:rsidRPr="008F0357">
        <w:rPr>
          <w:rFonts w:ascii="Book Antiqua" w:hAnsi="Book Antiqua"/>
          <w:bCs/>
          <w:i/>
          <w:lang w:val="en-GB" w:eastAsia="zh-CN"/>
        </w:rPr>
        <w:t>et al.</w:t>
      </w:r>
      <w:r w:rsidRPr="008F0357">
        <w:rPr>
          <w:rFonts w:ascii="Book Antiqua" w:hAnsi="Book Antiqua"/>
          <w:bCs/>
          <w:lang w:val="en-GB" w:eastAsia="zh-CN"/>
        </w:rPr>
        <w:t xml:space="preserve"> </w:t>
      </w:r>
      <w:r w:rsidRPr="008F0357">
        <w:rPr>
          <w:rFonts w:ascii="Book Antiqua" w:hAnsi="Book Antiqua"/>
          <w:bCs/>
          <w:lang w:val="en-GB"/>
        </w:rPr>
        <w:t>Gastric cancer screening and surveillance</w:t>
      </w:r>
    </w:p>
    <w:p w:rsidR="00F10C6E" w:rsidRPr="008F0357" w:rsidRDefault="00F10C6E" w:rsidP="000A2D1C">
      <w:pPr>
        <w:spacing w:line="360" w:lineRule="auto"/>
        <w:jc w:val="both"/>
        <w:rPr>
          <w:rFonts w:ascii="Book Antiqua" w:hAnsi="Book Antiqua"/>
          <w:bCs/>
          <w:lang w:val="en-GB" w:eastAsia="zh-CN"/>
        </w:rPr>
      </w:pPr>
    </w:p>
    <w:p w:rsidR="00F10C6E" w:rsidRDefault="00F10C6E" w:rsidP="000A2D1C">
      <w:pPr>
        <w:spacing w:line="360" w:lineRule="auto"/>
        <w:jc w:val="both"/>
        <w:rPr>
          <w:rFonts w:ascii="Book Antiqua" w:hAnsi="Book Antiqua"/>
          <w:bCs/>
          <w:lang w:eastAsia="zh-CN"/>
        </w:rPr>
      </w:pPr>
      <w:r w:rsidRPr="008F0357">
        <w:rPr>
          <w:rFonts w:ascii="Book Antiqua" w:hAnsi="Book Antiqua"/>
          <w:bCs/>
        </w:rPr>
        <w:t xml:space="preserve">Debora Compare, Alba Rocco, Gerardo Nardone </w:t>
      </w:r>
    </w:p>
    <w:p w:rsidR="00F10C6E" w:rsidRPr="008F0357" w:rsidRDefault="00F322D4" w:rsidP="000A2D1C">
      <w:pPr>
        <w:spacing w:line="360" w:lineRule="auto"/>
        <w:jc w:val="both"/>
        <w:rPr>
          <w:rFonts w:ascii="Book Antiqua" w:hAnsi="Book Antiqua"/>
          <w:lang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105410</wp:posOffset>
                </wp:positionV>
                <wp:extent cx="6070600" cy="0"/>
                <wp:effectExtent l="19685" t="19685" r="24765" b="279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8.3pt" to="479.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EEgIAACkEAAAOAAAAZHJzL2Uyb0RvYy54bWysU8GO2yAQvVfqPyDuie2sm/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BW+w0iR&#10;HiTaCMXRLHRmMK6EgFptbaiNntSz2Wj6wyGl646oPY8MX84G0rKQkbxJCRtnAH83fNUMYsjB69im&#10;U2v7AAkNQKeoxvmmBj95ROFwnt6n8xREo6MvIeWYaKzzX7juUTAqLIFzBCbHjfOBCCnHkHCP0msh&#10;ZRRbKjRAtUUG0MHltBQseOPG7ne1tOhIYF6KNHyxrHdhVh8Ui2gdJ2x1tT0R8mLD7VIFPKgF+Fyt&#10;y0D8fEgfVsWqyCf5bL6a5GnTTD6v63wyX2f3n5q7pq6b7FegluVlJxjjKrAbhzPL/0786zO5jNVt&#10;PG99SN6ix4YB2fEfSUcxg36XSdhpdt7aUWSYxxh8fTth4F/vwX79wpe/AQAA//8DAFBLAwQUAAYA&#10;CAAAACEAPA4xadoAAAAHAQAADwAAAGRycy9kb3ducmV2LnhtbEyOy07DMBBF90j8gzVIbBB1SkRE&#10;QpwK8dh0gUTKBzjx5CHicbDdNv17BrGgyzn36s4pN4udxAF9GB0pWK8SEEitMyP1Cj53b7cPIELU&#10;ZPTkCBWcMMCmurwodWHckT7wUMde8AiFQisYYpwLKUM7oNVh5WYkzjrnrY58+l4ar488bid5lySZ&#10;tHok/jDoGZ8HbL/qvVXwvdWueR226emlS993vsYu9zdKXV8tT48gIi7xvwy/+qwOFTs1bk8miElB&#10;uuYi4ywDwXF+nzNo/oCsSnnuX/0AAAD//wMAUEsBAi0AFAAGAAgAAAAhALaDOJL+AAAA4QEAABMA&#10;AAAAAAAAAAAAAAAAAAAAAFtDb250ZW50X1R5cGVzXS54bWxQSwECLQAUAAYACAAAACEAOP0h/9YA&#10;AACUAQAACwAAAAAAAAAAAAAAAAAvAQAAX3JlbHMvLnJlbHNQSwECLQAUAAYACAAAACEAcnfhhBIC&#10;AAApBAAADgAAAAAAAAAAAAAAAAAuAgAAZHJzL2Uyb0RvYy54bWxQSwECLQAUAAYACAAAACEAPA4x&#10;adoAAAAHAQAADwAAAAAAAAAAAAAAAABsBAAAZHJzL2Rvd25yZXYueG1sUEsFBgAAAAAEAAQA8wAA&#10;AHMFAAAAAA==&#10;" strokecolor="gray" strokeweight="3pt"/>
            </w:pict>
          </mc:Fallback>
        </mc:AlternateContent>
      </w:r>
    </w:p>
    <w:p w:rsidR="00F10C6E" w:rsidRPr="001865B1" w:rsidRDefault="00F10C6E" w:rsidP="000A2D1C">
      <w:pPr>
        <w:spacing w:line="360" w:lineRule="auto"/>
        <w:jc w:val="both"/>
        <w:rPr>
          <w:rFonts w:ascii="Book Antiqua" w:hAnsi="Book Antiqua"/>
          <w:lang w:val="en-US" w:eastAsia="zh-CN"/>
        </w:rPr>
      </w:pPr>
      <w:r w:rsidRPr="001865B1">
        <w:rPr>
          <w:rFonts w:ascii="Book Antiqua" w:hAnsi="Book Antiqua"/>
          <w:b/>
          <w:bCs/>
          <w:lang w:val="en-US"/>
        </w:rPr>
        <w:t>Debora Compare, Alba Rocco, Gerardo Nardone</w:t>
      </w:r>
      <w:r w:rsidRPr="001865B1">
        <w:rPr>
          <w:rFonts w:ascii="Book Antiqua" w:hAnsi="Book Antiqua"/>
          <w:b/>
          <w:bCs/>
          <w:lang w:val="en-US" w:eastAsia="zh-CN"/>
        </w:rPr>
        <w:t xml:space="preserve">, </w:t>
      </w:r>
      <w:r w:rsidRPr="008F0357">
        <w:rPr>
          <w:rFonts w:ascii="Book Antiqua" w:hAnsi="Book Antiqua"/>
          <w:bCs/>
          <w:lang w:val="en-US"/>
        </w:rPr>
        <w:t>Department of Clinical Medicine and Surgery, Gastroenterology Unit, University “Federico II, 80131 Napoli, Italy</w:t>
      </w:r>
    </w:p>
    <w:p w:rsidR="00F10C6E" w:rsidRPr="008F0357" w:rsidRDefault="00F10C6E" w:rsidP="000A2D1C">
      <w:pPr>
        <w:pStyle w:val="2"/>
        <w:spacing w:line="360" w:lineRule="auto"/>
        <w:jc w:val="both"/>
        <w:rPr>
          <w:rFonts w:ascii="Book Antiqua" w:hAnsi="Book Antiqua"/>
          <w:b/>
          <w:bCs/>
          <w:lang w:val="en-GB" w:eastAsia="zh-CN"/>
        </w:rPr>
      </w:pPr>
    </w:p>
    <w:p w:rsidR="00F10C6E" w:rsidRPr="008F0357" w:rsidRDefault="00F10C6E" w:rsidP="000A2D1C">
      <w:pPr>
        <w:pStyle w:val="2"/>
        <w:spacing w:line="360" w:lineRule="auto"/>
        <w:jc w:val="both"/>
        <w:rPr>
          <w:rFonts w:ascii="Book Antiqua" w:hAnsi="Book Antiqua"/>
          <w:bCs/>
          <w:lang w:val="en-GB" w:eastAsia="zh-CN"/>
        </w:rPr>
      </w:pPr>
      <w:r w:rsidRPr="008F0357">
        <w:rPr>
          <w:rFonts w:ascii="Book Antiqua" w:hAnsi="Book Antiqua"/>
          <w:b/>
          <w:bCs/>
          <w:lang w:val="en-GB"/>
        </w:rPr>
        <w:t xml:space="preserve">Author contributions: </w:t>
      </w:r>
      <w:r w:rsidRPr="008F0357">
        <w:rPr>
          <w:rFonts w:ascii="Book Antiqua" w:hAnsi="Book Antiqua"/>
          <w:bCs/>
          <w:lang w:val="en-GB"/>
        </w:rPr>
        <w:t>Compare</w:t>
      </w:r>
      <w:r w:rsidRPr="008F0357">
        <w:rPr>
          <w:rFonts w:ascii="Book Antiqua" w:hAnsi="Book Antiqua"/>
          <w:bCs/>
          <w:lang w:val="en-GB" w:eastAsia="zh-CN"/>
        </w:rPr>
        <w:t xml:space="preserve"> D</w:t>
      </w:r>
      <w:r w:rsidRPr="008F0357">
        <w:rPr>
          <w:rFonts w:ascii="Book Antiqua" w:hAnsi="Book Antiqua"/>
          <w:bCs/>
          <w:lang w:val="en-GB"/>
        </w:rPr>
        <w:t xml:space="preserve"> contributed to data acquisition, screening search results and drafting this work</w:t>
      </w:r>
      <w:r>
        <w:rPr>
          <w:rFonts w:ascii="Book Antiqua" w:hAnsi="Book Antiqua"/>
          <w:bCs/>
          <w:lang w:val="en-GB" w:eastAsia="zh-CN"/>
        </w:rPr>
        <w:t xml:space="preserve"> and </w:t>
      </w:r>
      <w:r w:rsidRPr="008F0357">
        <w:rPr>
          <w:rFonts w:ascii="Book Antiqua" w:hAnsi="Book Antiqua"/>
          <w:bCs/>
          <w:lang w:val="en-GB"/>
        </w:rPr>
        <w:t>She approved the final version of the paper to be published</w:t>
      </w:r>
      <w:r>
        <w:rPr>
          <w:rFonts w:ascii="Book Antiqua" w:hAnsi="Book Antiqua"/>
          <w:bCs/>
          <w:lang w:val="en-GB" w:eastAsia="zh-CN"/>
        </w:rPr>
        <w:t>;</w:t>
      </w:r>
      <w:r w:rsidRPr="008F0357">
        <w:rPr>
          <w:rFonts w:ascii="Book Antiqua" w:hAnsi="Book Antiqua"/>
          <w:bCs/>
          <w:lang w:val="en-GB" w:eastAsia="zh-CN"/>
        </w:rPr>
        <w:t xml:space="preserve"> </w:t>
      </w:r>
      <w:r w:rsidRPr="008F0357">
        <w:rPr>
          <w:rFonts w:ascii="Book Antiqua" w:hAnsi="Book Antiqua"/>
          <w:bCs/>
          <w:lang w:val="en-GB"/>
        </w:rPr>
        <w:t>Rocco</w:t>
      </w:r>
      <w:r w:rsidRPr="008F0357">
        <w:rPr>
          <w:rFonts w:ascii="Book Antiqua" w:hAnsi="Book Antiqua"/>
          <w:bCs/>
          <w:lang w:val="en-GB" w:eastAsia="zh-CN"/>
        </w:rPr>
        <w:t xml:space="preserve"> A</w:t>
      </w:r>
      <w:r w:rsidRPr="008F0357">
        <w:rPr>
          <w:rFonts w:ascii="Book Antiqua" w:hAnsi="Book Antiqua"/>
          <w:bCs/>
          <w:lang w:val="en-GB"/>
        </w:rPr>
        <w:t xml:space="preserve"> contributed to appraising quality of retrieved papers and drafting this work</w:t>
      </w:r>
      <w:r>
        <w:rPr>
          <w:rFonts w:ascii="Book Antiqua" w:hAnsi="Book Antiqua"/>
          <w:bCs/>
          <w:lang w:val="en-GB" w:eastAsia="zh-CN"/>
        </w:rPr>
        <w:t xml:space="preserve"> and</w:t>
      </w:r>
      <w:r w:rsidRPr="008F0357">
        <w:rPr>
          <w:rFonts w:ascii="Book Antiqua" w:hAnsi="Book Antiqua"/>
          <w:bCs/>
          <w:lang w:val="en-GB"/>
        </w:rPr>
        <w:t xml:space="preserve"> approved the final version of the paper to be published</w:t>
      </w:r>
      <w:r w:rsidRPr="008F0357">
        <w:rPr>
          <w:rFonts w:ascii="Book Antiqua" w:hAnsi="Book Antiqua"/>
          <w:bCs/>
          <w:lang w:val="en-GB" w:eastAsia="zh-CN"/>
        </w:rPr>
        <w:t xml:space="preserve">; </w:t>
      </w:r>
      <w:r w:rsidRPr="008F0357">
        <w:rPr>
          <w:rFonts w:ascii="Book Antiqua" w:hAnsi="Book Antiqua"/>
          <w:bCs/>
          <w:lang w:val="en-GB"/>
        </w:rPr>
        <w:t>Nardone</w:t>
      </w:r>
      <w:r w:rsidRPr="008F0357">
        <w:rPr>
          <w:rFonts w:ascii="Book Antiqua" w:hAnsi="Book Antiqua"/>
          <w:bCs/>
          <w:lang w:val="en-GB" w:eastAsia="zh-CN"/>
        </w:rPr>
        <w:t xml:space="preserve"> G</w:t>
      </w:r>
      <w:r w:rsidRPr="008F0357">
        <w:rPr>
          <w:rFonts w:ascii="Book Antiqua" w:hAnsi="Book Antiqua"/>
          <w:bCs/>
          <w:lang w:val="en-GB"/>
        </w:rPr>
        <w:t xml:space="preserve"> contributed to conceiving, drafting and revising</w:t>
      </w:r>
      <w:r w:rsidRPr="008F0357">
        <w:rPr>
          <w:rFonts w:ascii="Book Antiqua" w:hAnsi="Book Antiqua"/>
          <w:lang w:val="en-US"/>
        </w:rPr>
        <w:t xml:space="preserve"> critically for important intellectual content</w:t>
      </w:r>
      <w:r w:rsidRPr="008F0357">
        <w:rPr>
          <w:rFonts w:ascii="Book Antiqua" w:hAnsi="Book Antiqua"/>
          <w:bCs/>
          <w:lang w:val="en-GB"/>
        </w:rPr>
        <w:t xml:space="preserve"> this paper</w:t>
      </w:r>
      <w:r>
        <w:rPr>
          <w:rFonts w:ascii="Book Antiqua" w:hAnsi="Book Antiqua"/>
          <w:bCs/>
          <w:lang w:val="en-GB" w:eastAsia="zh-CN"/>
        </w:rPr>
        <w:t xml:space="preserve"> and</w:t>
      </w:r>
      <w:r w:rsidRPr="008F0357">
        <w:rPr>
          <w:rFonts w:ascii="Book Antiqua" w:hAnsi="Book Antiqua"/>
          <w:bCs/>
          <w:lang w:val="en-GB"/>
        </w:rPr>
        <w:t xml:space="preserve"> approved the final version of the paper to be published.</w:t>
      </w:r>
    </w:p>
    <w:p w:rsidR="00F10C6E" w:rsidRPr="008F0357" w:rsidRDefault="00F10C6E" w:rsidP="000A2D1C">
      <w:pPr>
        <w:pStyle w:val="2"/>
        <w:spacing w:line="360" w:lineRule="auto"/>
        <w:jc w:val="both"/>
        <w:rPr>
          <w:rFonts w:ascii="Book Antiqua" w:hAnsi="Book Antiqua"/>
          <w:b/>
          <w:bCs/>
          <w:lang w:val="en-GB" w:eastAsia="zh-CN"/>
        </w:rPr>
      </w:pPr>
    </w:p>
    <w:p w:rsidR="00F10C6E" w:rsidRPr="008F0357" w:rsidRDefault="00F10C6E" w:rsidP="000A2D1C">
      <w:pPr>
        <w:pStyle w:val="2"/>
        <w:spacing w:line="360" w:lineRule="auto"/>
        <w:jc w:val="both"/>
        <w:rPr>
          <w:rFonts w:ascii="Book Antiqua" w:hAnsi="Book Antiqua"/>
          <w:b/>
          <w:bCs/>
          <w:lang w:val="en-US" w:eastAsia="zh-CN"/>
        </w:rPr>
      </w:pPr>
      <w:r w:rsidRPr="008F0357">
        <w:rPr>
          <w:rFonts w:ascii="Book Antiqua" w:hAnsi="Book Antiqua"/>
          <w:b/>
          <w:bCs/>
          <w:lang w:val="en-US"/>
        </w:rPr>
        <w:t>Correspondence to: Gerardo Nardone, MD</w:t>
      </w:r>
      <w:r w:rsidRPr="008F0357">
        <w:rPr>
          <w:rFonts w:ascii="Book Antiqua" w:hAnsi="Book Antiqua"/>
          <w:b/>
          <w:bCs/>
          <w:lang w:val="en-US" w:eastAsia="zh-CN"/>
        </w:rPr>
        <w:t xml:space="preserve">, </w:t>
      </w:r>
      <w:r w:rsidRPr="008F0357">
        <w:rPr>
          <w:rFonts w:ascii="Book Antiqua" w:hAnsi="Book Antiqua"/>
          <w:bCs/>
          <w:lang w:val="en-US"/>
        </w:rPr>
        <w:t>Department of Clinical Medicine and Surgery</w:t>
      </w:r>
    </w:p>
    <w:p w:rsidR="00F10C6E" w:rsidRPr="008F0357" w:rsidRDefault="00F10C6E" w:rsidP="000A2D1C">
      <w:pPr>
        <w:pStyle w:val="2"/>
        <w:spacing w:line="360" w:lineRule="auto"/>
        <w:jc w:val="both"/>
        <w:rPr>
          <w:rFonts w:ascii="Book Antiqua" w:hAnsi="Book Antiqua"/>
          <w:bCs/>
          <w:lang w:val="en-US" w:eastAsia="zh-CN"/>
        </w:rPr>
      </w:pPr>
      <w:r w:rsidRPr="001865B1">
        <w:rPr>
          <w:rFonts w:ascii="Book Antiqua" w:hAnsi="Book Antiqua"/>
          <w:bCs/>
        </w:rPr>
        <w:t>University Federico II of Naples</w:t>
      </w:r>
      <w:r w:rsidRPr="001865B1">
        <w:rPr>
          <w:rFonts w:ascii="Book Antiqua" w:hAnsi="Book Antiqua"/>
          <w:bCs/>
          <w:lang w:eastAsia="zh-CN"/>
        </w:rPr>
        <w:t xml:space="preserve">, </w:t>
      </w:r>
      <w:r w:rsidRPr="001865B1">
        <w:rPr>
          <w:rFonts w:ascii="Book Antiqua" w:hAnsi="Book Antiqua"/>
          <w:bCs/>
        </w:rPr>
        <w:t>Via Pansini 5</w:t>
      </w:r>
      <w:r w:rsidRPr="001865B1">
        <w:rPr>
          <w:rFonts w:ascii="Book Antiqua" w:hAnsi="Book Antiqua"/>
          <w:bCs/>
          <w:lang w:eastAsia="zh-CN"/>
        </w:rPr>
        <w:t>,</w:t>
      </w:r>
      <w:r w:rsidRPr="001865B1">
        <w:rPr>
          <w:rFonts w:ascii="Book Antiqua" w:hAnsi="Book Antiqua"/>
          <w:bCs/>
        </w:rPr>
        <w:t xml:space="preserve"> 80131 Napoli, Italy</w:t>
      </w:r>
      <w:r w:rsidRPr="001865B1">
        <w:rPr>
          <w:rFonts w:ascii="Book Antiqua" w:hAnsi="Book Antiqua"/>
          <w:bCs/>
          <w:lang w:eastAsia="zh-CN"/>
        </w:rPr>
        <w:t xml:space="preserve">. </w:t>
      </w:r>
      <w:hyperlink r:id="rId8" w:history="1">
        <w:r w:rsidRPr="008F0357">
          <w:rPr>
            <w:rStyle w:val="a3"/>
            <w:rFonts w:ascii="Book Antiqua" w:hAnsi="Book Antiqua"/>
            <w:bCs/>
            <w:color w:val="auto"/>
            <w:u w:val="none"/>
            <w:lang w:val="en-US"/>
          </w:rPr>
          <w:t>nardone@unina.it</w:t>
        </w:r>
      </w:hyperlink>
      <w:r w:rsidRPr="008F0357">
        <w:rPr>
          <w:rFonts w:ascii="Book Antiqua" w:hAnsi="Book Antiqua"/>
          <w:bCs/>
          <w:lang w:val="en-US"/>
        </w:rPr>
        <w:t xml:space="preserve">  </w:t>
      </w:r>
    </w:p>
    <w:p w:rsidR="00F10C6E" w:rsidRPr="008F0357" w:rsidRDefault="00F10C6E" w:rsidP="000A2D1C">
      <w:pPr>
        <w:pStyle w:val="2"/>
        <w:spacing w:line="360" w:lineRule="auto"/>
        <w:jc w:val="both"/>
        <w:rPr>
          <w:rFonts w:ascii="Book Antiqua" w:hAnsi="Book Antiqua"/>
          <w:bCs/>
          <w:lang w:val="en-US" w:eastAsia="zh-CN"/>
        </w:rPr>
      </w:pPr>
      <w:r w:rsidRPr="008F0357">
        <w:rPr>
          <w:rFonts w:ascii="Book Antiqua" w:hAnsi="Book Antiqua"/>
          <w:b/>
          <w:bCs/>
          <w:lang w:val="en-US" w:eastAsia="zh-CN"/>
        </w:rPr>
        <w:t>Tele</w:t>
      </w:r>
      <w:r w:rsidRPr="008F0357">
        <w:rPr>
          <w:rFonts w:ascii="Book Antiqua" w:hAnsi="Book Antiqua"/>
          <w:b/>
          <w:bCs/>
          <w:lang w:val="en-US"/>
        </w:rPr>
        <w:t>phone</w:t>
      </w:r>
      <w:r w:rsidRPr="008F0357">
        <w:rPr>
          <w:rFonts w:ascii="Book Antiqua" w:hAnsi="Book Antiqua"/>
          <w:bCs/>
          <w:lang w:val="en-US" w:eastAsia="zh-CN"/>
        </w:rPr>
        <w:t>:</w:t>
      </w:r>
      <w:r w:rsidRPr="008F0357">
        <w:rPr>
          <w:rFonts w:ascii="Book Antiqua" w:hAnsi="Book Antiqua"/>
          <w:bCs/>
          <w:lang w:val="en-US"/>
        </w:rPr>
        <w:t xml:space="preserve"> </w:t>
      </w:r>
      <w:r w:rsidRPr="008F0357">
        <w:rPr>
          <w:rFonts w:ascii="Book Antiqua" w:hAnsi="Book Antiqua"/>
          <w:bCs/>
          <w:lang w:val="en-US" w:eastAsia="zh-CN"/>
        </w:rPr>
        <w:t>+</w:t>
      </w:r>
      <w:r w:rsidRPr="008F0357">
        <w:rPr>
          <w:rFonts w:ascii="Book Antiqua" w:hAnsi="Book Antiqua"/>
          <w:bCs/>
          <w:lang w:val="en-US"/>
        </w:rPr>
        <w:t>39</w:t>
      </w:r>
      <w:r w:rsidRPr="008F0357">
        <w:rPr>
          <w:rFonts w:ascii="Book Antiqua" w:hAnsi="Book Antiqua"/>
          <w:bCs/>
          <w:lang w:val="en-US" w:eastAsia="zh-CN"/>
        </w:rPr>
        <w:t>-</w:t>
      </w:r>
      <w:r w:rsidRPr="008F0357">
        <w:rPr>
          <w:rFonts w:ascii="Book Antiqua" w:hAnsi="Book Antiqua"/>
          <w:bCs/>
          <w:lang w:val="en-US"/>
        </w:rPr>
        <w:t>81</w:t>
      </w:r>
      <w:r w:rsidRPr="008F0357">
        <w:rPr>
          <w:rFonts w:ascii="Book Antiqua" w:hAnsi="Book Antiqua"/>
          <w:bCs/>
          <w:lang w:val="en-US" w:eastAsia="zh-CN"/>
        </w:rPr>
        <w:t>-</w:t>
      </w:r>
      <w:r w:rsidRPr="008F0357">
        <w:rPr>
          <w:rFonts w:ascii="Book Antiqua" w:hAnsi="Book Antiqua"/>
          <w:bCs/>
          <w:lang w:val="en-US"/>
        </w:rPr>
        <w:t xml:space="preserve">7462158 </w:t>
      </w:r>
      <w:r w:rsidRPr="008F0357">
        <w:rPr>
          <w:rFonts w:ascii="Book Antiqua" w:hAnsi="Book Antiqua"/>
          <w:bCs/>
          <w:lang w:val="en-US" w:eastAsia="zh-CN"/>
        </w:rPr>
        <w:tab/>
      </w:r>
      <w:r w:rsidRPr="008F0357">
        <w:rPr>
          <w:rFonts w:ascii="Book Antiqua" w:hAnsi="Book Antiqua"/>
          <w:b/>
          <w:bCs/>
          <w:lang w:val="en-US"/>
        </w:rPr>
        <w:t>Fax</w:t>
      </w:r>
      <w:r w:rsidRPr="008F0357">
        <w:rPr>
          <w:rFonts w:ascii="Book Antiqua" w:hAnsi="Book Antiqua"/>
          <w:bCs/>
          <w:lang w:val="en-US" w:eastAsia="zh-CN"/>
        </w:rPr>
        <w:t>:</w:t>
      </w:r>
      <w:r w:rsidRPr="008F0357">
        <w:rPr>
          <w:rFonts w:ascii="Book Antiqua" w:hAnsi="Book Antiqua"/>
          <w:bCs/>
          <w:lang w:val="en-US"/>
        </w:rPr>
        <w:t xml:space="preserve"> </w:t>
      </w:r>
      <w:r w:rsidRPr="008F0357">
        <w:rPr>
          <w:rFonts w:ascii="Book Antiqua" w:hAnsi="Book Antiqua"/>
          <w:bCs/>
          <w:lang w:val="en-US" w:eastAsia="zh-CN"/>
        </w:rPr>
        <w:t>+</w:t>
      </w:r>
      <w:r w:rsidRPr="008F0357">
        <w:rPr>
          <w:rFonts w:ascii="Book Antiqua" w:hAnsi="Book Antiqua"/>
          <w:bCs/>
          <w:lang w:val="en-US"/>
        </w:rPr>
        <w:t>39</w:t>
      </w:r>
      <w:r w:rsidRPr="008F0357">
        <w:rPr>
          <w:rFonts w:ascii="Book Antiqua" w:hAnsi="Book Antiqua"/>
          <w:bCs/>
          <w:lang w:val="en-US" w:eastAsia="zh-CN"/>
        </w:rPr>
        <w:t>-</w:t>
      </w:r>
      <w:r w:rsidRPr="008F0357">
        <w:rPr>
          <w:rFonts w:ascii="Book Antiqua" w:hAnsi="Book Antiqua"/>
          <w:bCs/>
          <w:lang w:val="en-US"/>
        </w:rPr>
        <w:t>81</w:t>
      </w:r>
      <w:r w:rsidRPr="008F0357">
        <w:rPr>
          <w:rFonts w:ascii="Book Antiqua" w:hAnsi="Book Antiqua"/>
          <w:bCs/>
          <w:lang w:val="en-US" w:eastAsia="zh-CN"/>
        </w:rPr>
        <w:t>-</w:t>
      </w:r>
      <w:r w:rsidRPr="008F0357">
        <w:rPr>
          <w:rFonts w:ascii="Book Antiqua" w:hAnsi="Book Antiqua"/>
          <w:bCs/>
          <w:lang w:val="en-US"/>
        </w:rPr>
        <w:t>7464293</w:t>
      </w:r>
    </w:p>
    <w:p w:rsidR="00F10C6E" w:rsidRPr="008F0357" w:rsidRDefault="00F10C6E" w:rsidP="000A2D1C">
      <w:pPr>
        <w:pStyle w:val="2"/>
        <w:spacing w:line="360" w:lineRule="auto"/>
        <w:jc w:val="both"/>
        <w:rPr>
          <w:rFonts w:ascii="Book Antiqua" w:hAnsi="Book Antiqua"/>
          <w:bCs/>
          <w:lang w:val="en-US" w:eastAsia="zh-CN"/>
        </w:rPr>
      </w:pPr>
    </w:p>
    <w:p w:rsidR="00F10C6E" w:rsidRPr="001865B1" w:rsidRDefault="00F10C6E" w:rsidP="000A2D1C">
      <w:pPr>
        <w:spacing w:line="360" w:lineRule="auto"/>
        <w:rPr>
          <w:rFonts w:ascii="Book Antiqua" w:hAnsi="Book Antiqua"/>
          <w:color w:val="000000"/>
          <w:lang w:val="en-US" w:eastAsia="zh-CN"/>
        </w:rPr>
      </w:pPr>
      <w:bookmarkStart w:id="4" w:name="OLE_LINK4"/>
      <w:bookmarkStart w:id="5" w:name="OLE_LINK5"/>
      <w:bookmarkStart w:id="6" w:name="OLE_LINK332"/>
      <w:bookmarkStart w:id="7" w:name="OLE_LINK329"/>
      <w:bookmarkStart w:id="8" w:name="OLE_LINK381"/>
      <w:bookmarkStart w:id="9" w:name="OLE_LINK407"/>
      <w:r w:rsidRPr="001865B1">
        <w:rPr>
          <w:rFonts w:ascii="Book Antiqua" w:hAnsi="Book Antiqua"/>
          <w:b/>
          <w:color w:val="000000"/>
          <w:lang w:val="en-US"/>
        </w:rPr>
        <w:t xml:space="preserve">Received:  </w:t>
      </w:r>
      <w:r w:rsidRPr="001865B1">
        <w:rPr>
          <w:rFonts w:ascii="Book Antiqua" w:hAnsi="Book Antiqua"/>
          <w:color w:val="000000"/>
          <w:lang w:val="en-US" w:eastAsia="zh-CN"/>
        </w:rPr>
        <w:t>November 28, 2013</w:t>
      </w:r>
      <w:r w:rsidRPr="001865B1">
        <w:rPr>
          <w:rFonts w:ascii="Book Antiqua" w:hAnsi="Book Antiqua"/>
          <w:color w:val="000000"/>
          <w:lang w:val="en-US" w:eastAsia="zh-CN"/>
        </w:rPr>
        <w:tab/>
      </w:r>
      <w:r w:rsidRPr="001865B1">
        <w:rPr>
          <w:rFonts w:ascii="Book Antiqua" w:hAnsi="Book Antiqua"/>
          <w:color w:val="000000"/>
          <w:lang w:val="en-US" w:eastAsia="zh-CN"/>
        </w:rPr>
        <w:tab/>
      </w:r>
      <w:r w:rsidRPr="001865B1">
        <w:rPr>
          <w:rFonts w:ascii="Book Antiqua" w:hAnsi="Book Antiqua"/>
          <w:b/>
          <w:color w:val="000000"/>
          <w:lang w:val="en-US"/>
        </w:rPr>
        <w:t>Revised:</w:t>
      </w:r>
      <w:r w:rsidRPr="001865B1">
        <w:rPr>
          <w:rFonts w:ascii="Book Antiqua" w:hAnsi="Book Antiqua"/>
          <w:b/>
          <w:color w:val="000000"/>
          <w:lang w:val="en-US" w:eastAsia="zh-CN"/>
        </w:rPr>
        <w:t xml:space="preserve"> </w:t>
      </w:r>
      <w:r w:rsidRPr="001865B1">
        <w:rPr>
          <w:rFonts w:ascii="Book Antiqua" w:hAnsi="Book Antiqua"/>
          <w:color w:val="000000"/>
          <w:lang w:val="en-US" w:eastAsia="zh-CN"/>
        </w:rPr>
        <w:t>March 6, 2014</w:t>
      </w:r>
    </w:p>
    <w:p w:rsidR="00E11822" w:rsidRPr="00AD6E2C" w:rsidRDefault="00F10C6E" w:rsidP="00E11822">
      <w:pPr>
        <w:rPr>
          <w:rFonts w:ascii="Book Antiqua" w:hAnsi="Book Antiqua"/>
        </w:rPr>
      </w:pPr>
      <w:r w:rsidRPr="001865B1">
        <w:rPr>
          <w:rFonts w:ascii="Book Antiqua" w:hAnsi="Book Antiqua"/>
          <w:b/>
          <w:color w:val="000000"/>
          <w:lang w:val="en-US"/>
        </w:rPr>
        <w:t xml:space="preserve">Accepted: </w:t>
      </w:r>
      <w:r w:rsidR="00E11822">
        <w:rPr>
          <w:rFonts w:ascii="Book Antiqua" w:hAnsi="Book Antiqua"/>
        </w:rPr>
        <w:t>May 19, 2014</w:t>
      </w:r>
    </w:p>
    <w:p w:rsidR="00F10C6E" w:rsidRPr="001865B1" w:rsidRDefault="00F10C6E" w:rsidP="000A2D1C">
      <w:pPr>
        <w:spacing w:line="360" w:lineRule="auto"/>
        <w:rPr>
          <w:rFonts w:ascii="Book Antiqua" w:hAnsi="Book Antiqua"/>
          <w:b/>
          <w:color w:val="000000"/>
          <w:lang w:val="en-US"/>
        </w:rPr>
      </w:pPr>
      <w:bookmarkStart w:id="10" w:name="_GoBack"/>
      <w:bookmarkEnd w:id="10"/>
    </w:p>
    <w:p w:rsidR="00F10C6E" w:rsidRPr="001865B1" w:rsidRDefault="00F10C6E" w:rsidP="008F0357">
      <w:pPr>
        <w:spacing w:line="360" w:lineRule="auto"/>
        <w:rPr>
          <w:rFonts w:ascii="Book Antiqua" w:hAnsi="Book Antiqua"/>
          <w:color w:val="000000"/>
          <w:lang w:val="en-US"/>
        </w:rPr>
      </w:pPr>
      <w:r w:rsidRPr="001865B1">
        <w:rPr>
          <w:rFonts w:ascii="Book Antiqua" w:hAnsi="Book Antiqua"/>
          <w:b/>
          <w:color w:val="000000"/>
          <w:lang w:val="en-US"/>
        </w:rPr>
        <w:t xml:space="preserve">Published online: </w:t>
      </w:r>
      <w:bookmarkEnd w:id="4"/>
      <w:bookmarkEnd w:id="5"/>
      <w:bookmarkEnd w:id="6"/>
      <w:bookmarkEnd w:id="7"/>
      <w:bookmarkEnd w:id="8"/>
      <w:bookmarkEnd w:id="9"/>
      <w:r w:rsidRPr="008F0357">
        <w:rPr>
          <w:rFonts w:ascii="Book Antiqua" w:hAnsi="Book Antiqua"/>
          <w:b/>
          <w:lang w:val="en-US"/>
        </w:rPr>
        <w:br w:type="page"/>
      </w:r>
    </w:p>
    <w:p w:rsidR="00F10C6E" w:rsidRPr="008F0357" w:rsidRDefault="00F10C6E" w:rsidP="000A2D1C">
      <w:pPr>
        <w:pStyle w:val="2"/>
        <w:spacing w:line="360" w:lineRule="auto"/>
        <w:jc w:val="both"/>
        <w:rPr>
          <w:rFonts w:ascii="Book Antiqua" w:hAnsi="Book Antiqua"/>
          <w:b/>
          <w:lang w:val="en-US"/>
        </w:rPr>
      </w:pPr>
      <w:r w:rsidRPr="008F0357">
        <w:rPr>
          <w:rFonts w:ascii="Book Antiqua" w:hAnsi="Book Antiqua"/>
          <w:b/>
          <w:lang w:val="en-US"/>
        </w:rPr>
        <w:t>Abstract</w:t>
      </w:r>
    </w:p>
    <w:p w:rsidR="00F10C6E" w:rsidRPr="008F0357" w:rsidRDefault="00F10C6E" w:rsidP="000A2D1C">
      <w:pPr>
        <w:autoSpaceDE w:val="0"/>
        <w:autoSpaceDN w:val="0"/>
        <w:adjustRightInd w:val="0"/>
        <w:spacing w:line="360" w:lineRule="auto"/>
        <w:jc w:val="both"/>
        <w:rPr>
          <w:rFonts w:ascii="Book Antiqua" w:hAnsi="Book Antiqua"/>
          <w:lang w:val="en-US" w:eastAsia="zh-CN"/>
        </w:rPr>
      </w:pPr>
      <w:r w:rsidRPr="008F0357">
        <w:rPr>
          <w:rFonts w:ascii="Book Antiqua" w:hAnsi="Book Antiqua"/>
          <w:lang w:val="en-US"/>
        </w:rPr>
        <w:t xml:space="preserve">Although the prevalence of gastric cancer (GC) progressively decreased during the last decades, due to improved dietary habit, introduction of food refrigeration and recovered socio-economic level, it still accounts for 10% of the total cancer-related deaths. </w:t>
      </w:r>
      <w:r w:rsidRPr="008F0357">
        <w:rPr>
          <w:rStyle w:val="apple-style-span"/>
          <w:rFonts w:ascii="Book Antiqua" w:hAnsi="Book Antiqua"/>
          <w:lang w:val="en-US"/>
        </w:rPr>
        <w:t>The best strategy to reduce the mortality for GC is to schedule appropriate screening and surveillance programs, that</w:t>
      </w:r>
      <w:r w:rsidRPr="008F0357">
        <w:rPr>
          <w:rFonts w:ascii="Book Antiqua" w:hAnsi="Book Antiqua"/>
          <w:lang w:val="en-US"/>
        </w:rPr>
        <w:t xml:space="preserve"> rises many relevant concerns taking into account its worldwide variability, natural history, diagnostic tools, therapeutic strategies, and cost-effectiveness.</w:t>
      </w:r>
      <w:r w:rsidRPr="008F0357">
        <w:rPr>
          <w:rFonts w:ascii="Book Antiqua" w:hAnsi="Book Antiqua"/>
          <w:lang w:val="en-US" w:eastAsia="zh-CN"/>
        </w:rPr>
        <w:t xml:space="preserve"> </w:t>
      </w:r>
      <w:r w:rsidRPr="008F0357">
        <w:rPr>
          <w:rFonts w:ascii="Book Antiqua" w:hAnsi="Book Antiqua"/>
          <w:lang w:val="en-US"/>
        </w:rPr>
        <w:t xml:space="preserve">Intestinal-type, the most frequent GC histotype, develops through a multistep process triggered by </w:t>
      </w:r>
      <w:r w:rsidRPr="008F0357">
        <w:rPr>
          <w:rFonts w:ascii="Book Antiqua" w:hAnsi="Book Antiqua"/>
          <w:i/>
          <w:lang w:val="en-US"/>
        </w:rPr>
        <w:t>Helicobacter pylori</w:t>
      </w:r>
      <w:r w:rsidRPr="008F0357">
        <w:rPr>
          <w:rFonts w:ascii="Book Antiqua" w:hAnsi="Book Antiqua"/>
          <w:lang w:val="en-US"/>
        </w:rPr>
        <w:t xml:space="preserve"> (</w:t>
      </w:r>
      <w:r w:rsidRPr="008F0357">
        <w:rPr>
          <w:rFonts w:ascii="Book Antiqua" w:hAnsi="Book Antiqua"/>
          <w:i/>
          <w:lang w:val="en-US"/>
        </w:rPr>
        <w:t>H. pylori</w:t>
      </w:r>
      <w:r w:rsidRPr="008F0357">
        <w:rPr>
          <w:rFonts w:ascii="Book Antiqua" w:hAnsi="Book Antiqua"/>
          <w:lang w:val="en-US"/>
        </w:rPr>
        <w:t xml:space="preserve">) and progressing from gastritis to atrophy, intestinal metaplasia (IM), and dysplasia. However, the majority of patients infected with </w:t>
      </w:r>
      <w:r w:rsidRPr="008F0357">
        <w:rPr>
          <w:rFonts w:ascii="Book Antiqua" w:hAnsi="Book Antiqua"/>
          <w:i/>
          <w:lang w:val="en-US"/>
        </w:rPr>
        <w:t>H. pylori</w:t>
      </w:r>
      <w:r w:rsidRPr="008F0357">
        <w:rPr>
          <w:rFonts w:ascii="Book Antiqua" w:hAnsi="Book Antiqua"/>
          <w:lang w:val="en-US"/>
        </w:rPr>
        <w:t xml:space="preserve"> and carrying premalignant lesions do not develop GC. Therefore, it remains unclear who should be screened, when the screening should be started and how the screening should be performed. It seems reasonable that screening programs should target the general population in eastern countries, at high prevalence of GC and the high-risk subjects in western countries, at low prevalence of GC. As far as concern surveillance, currently, we are lacking of standardized international recommendations and many features have to be defined regarding the optimal diagnostic approach, the patients at higher risk, the best timing and the cost-effectiveness. Anyway, patients with corpus atrophic gastritis, extensive incomplete IM and dysplasia should enter a surveillance program.</w:t>
      </w:r>
      <w:r w:rsidRPr="008F0357">
        <w:rPr>
          <w:rFonts w:ascii="Book Antiqua" w:hAnsi="Book Antiqua"/>
          <w:lang w:val="en-US" w:eastAsia="zh-CN"/>
        </w:rPr>
        <w:t xml:space="preserve"> </w:t>
      </w:r>
      <w:r w:rsidRPr="008F0357">
        <w:rPr>
          <w:rFonts w:ascii="Book Antiqua" w:hAnsi="Book Antiqua"/>
          <w:lang w:val="en-US"/>
        </w:rPr>
        <w:t>At present, screening and surveillance programs need further studies to draw worldwide reliable recommendations and evaluate the impact on mortality for GC.</w:t>
      </w:r>
    </w:p>
    <w:p w:rsidR="00F10C6E" w:rsidRPr="008F0357" w:rsidRDefault="00F10C6E" w:rsidP="000A2D1C">
      <w:pPr>
        <w:autoSpaceDE w:val="0"/>
        <w:autoSpaceDN w:val="0"/>
        <w:adjustRightInd w:val="0"/>
        <w:spacing w:line="360" w:lineRule="auto"/>
        <w:jc w:val="both"/>
        <w:rPr>
          <w:rFonts w:ascii="Book Antiqua" w:hAnsi="Book Antiqua"/>
          <w:lang w:val="en-US" w:eastAsia="zh-CN"/>
        </w:rPr>
      </w:pPr>
    </w:p>
    <w:p w:rsidR="00F10C6E" w:rsidRPr="001865B1" w:rsidRDefault="00F10C6E" w:rsidP="00F11B8E">
      <w:pPr>
        <w:spacing w:line="360" w:lineRule="auto"/>
        <w:rPr>
          <w:rFonts w:ascii="Book Antiqua" w:hAnsi="Book Antiqua" w:cs="Arial Unicode MS"/>
          <w:lang w:val="en-US"/>
        </w:rPr>
      </w:pPr>
      <w:bookmarkStart w:id="11" w:name="OLE_LINK374"/>
      <w:bookmarkStart w:id="12" w:name="OLE_LINK375"/>
      <w:bookmarkStart w:id="13" w:name="OLE_LINK376"/>
      <w:r w:rsidRPr="001865B1">
        <w:rPr>
          <w:rFonts w:ascii="Book Antiqua" w:hAnsi="Book Antiqua"/>
          <w:lang w:val="en-US"/>
        </w:rPr>
        <w:t xml:space="preserve">© </w:t>
      </w:r>
      <w:r w:rsidRPr="001865B1">
        <w:rPr>
          <w:rFonts w:ascii="Book Antiqua" w:hAnsi="Book Antiqua" w:cs="Arial Unicode MS"/>
          <w:lang w:val="en-US"/>
        </w:rPr>
        <w:t>2014 Baishideng Publishing Group Inc. All rights reserved.</w:t>
      </w:r>
    </w:p>
    <w:bookmarkEnd w:id="11"/>
    <w:bookmarkEnd w:id="12"/>
    <w:bookmarkEnd w:id="13"/>
    <w:p w:rsidR="00F10C6E" w:rsidRPr="008F0357" w:rsidRDefault="00F10C6E" w:rsidP="000A2D1C">
      <w:pPr>
        <w:pStyle w:val="2"/>
        <w:spacing w:line="360" w:lineRule="auto"/>
        <w:jc w:val="both"/>
        <w:rPr>
          <w:rFonts w:ascii="Book Antiqua" w:hAnsi="Book Antiqua"/>
          <w:b/>
          <w:lang w:val="en-US"/>
        </w:rPr>
      </w:pPr>
    </w:p>
    <w:p w:rsidR="00F10C6E" w:rsidRPr="008F0357" w:rsidRDefault="00F10C6E" w:rsidP="000A2D1C">
      <w:pPr>
        <w:pStyle w:val="2"/>
        <w:spacing w:line="360" w:lineRule="auto"/>
        <w:jc w:val="both"/>
        <w:rPr>
          <w:rFonts w:ascii="Book Antiqua" w:hAnsi="Book Antiqua"/>
          <w:b/>
          <w:lang w:val="en-US" w:eastAsia="zh-CN"/>
        </w:rPr>
      </w:pPr>
      <w:r w:rsidRPr="008F0357">
        <w:rPr>
          <w:rFonts w:ascii="Book Antiqua" w:hAnsi="Book Antiqua"/>
          <w:b/>
          <w:lang w:val="en-US"/>
        </w:rPr>
        <w:t>Key words</w:t>
      </w:r>
      <w:r w:rsidRPr="008F0357">
        <w:rPr>
          <w:rFonts w:ascii="Book Antiqua" w:hAnsi="Book Antiqua"/>
          <w:b/>
          <w:lang w:val="en-US" w:eastAsia="zh-CN"/>
        </w:rPr>
        <w:t xml:space="preserve">: </w:t>
      </w:r>
      <w:r w:rsidRPr="008F0357">
        <w:rPr>
          <w:rFonts w:ascii="Book Antiqua" w:hAnsi="Book Antiqua"/>
          <w:lang w:val="en-US"/>
        </w:rPr>
        <w:t>Screening</w:t>
      </w:r>
      <w:r w:rsidRPr="008F0357">
        <w:rPr>
          <w:rFonts w:ascii="Book Antiqua" w:hAnsi="Book Antiqua"/>
          <w:lang w:val="en-US" w:eastAsia="zh-CN"/>
        </w:rPr>
        <w:t xml:space="preserve">; </w:t>
      </w:r>
      <w:r w:rsidRPr="008F0357">
        <w:rPr>
          <w:rFonts w:ascii="Book Antiqua" w:hAnsi="Book Antiqua"/>
          <w:lang w:val="en-US"/>
        </w:rPr>
        <w:t>Surveillance</w:t>
      </w:r>
      <w:r w:rsidRPr="008F0357">
        <w:rPr>
          <w:rFonts w:ascii="Book Antiqua" w:hAnsi="Book Antiqua"/>
          <w:lang w:val="en-US" w:eastAsia="zh-CN"/>
        </w:rPr>
        <w:t>;</w:t>
      </w:r>
      <w:r w:rsidRPr="008F0357">
        <w:rPr>
          <w:rFonts w:ascii="Book Antiqua" w:hAnsi="Book Antiqua"/>
          <w:lang w:val="en-US"/>
        </w:rPr>
        <w:t xml:space="preserve"> </w:t>
      </w:r>
      <w:r w:rsidRPr="008F0357">
        <w:rPr>
          <w:rFonts w:ascii="Book Antiqua" w:hAnsi="Book Antiqua"/>
          <w:i/>
          <w:lang w:val="en-US"/>
        </w:rPr>
        <w:t>Helicobacter pylori</w:t>
      </w:r>
      <w:r w:rsidRPr="008F0357">
        <w:rPr>
          <w:rFonts w:ascii="Book Antiqua" w:hAnsi="Book Antiqua"/>
          <w:lang w:val="en-US" w:eastAsia="zh-CN"/>
        </w:rPr>
        <w:t>;</w:t>
      </w:r>
      <w:r w:rsidRPr="008F0357">
        <w:rPr>
          <w:rFonts w:ascii="Book Antiqua" w:hAnsi="Book Antiqua"/>
          <w:lang w:val="en-US"/>
        </w:rPr>
        <w:t xml:space="preserve"> Gastric cancer</w:t>
      </w:r>
      <w:r w:rsidRPr="008F0357">
        <w:rPr>
          <w:rFonts w:ascii="Book Antiqua" w:hAnsi="Book Antiqua"/>
          <w:lang w:val="en-US" w:eastAsia="zh-CN"/>
        </w:rPr>
        <w:t>;</w:t>
      </w:r>
      <w:r w:rsidRPr="008F0357">
        <w:rPr>
          <w:rFonts w:ascii="Book Antiqua" w:hAnsi="Book Antiqua"/>
          <w:lang w:val="en-US"/>
        </w:rPr>
        <w:t xml:space="preserve"> Preneoplastic lesions</w:t>
      </w:r>
      <w:r w:rsidRPr="008F0357">
        <w:rPr>
          <w:rFonts w:ascii="Book Antiqua" w:hAnsi="Book Antiqua"/>
          <w:lang w:val="en-US" w:eastAsia="zh-CN"/>
        </w:rPr>
        <w:t>;</w:t>
      </w:r>
      <w:r w:rsidRPr="008F0357">
        <w:rPr>
          <w:rFonts w:ascii="Book Antiqua" w:hAnsi="Book Antiqua"/>
          <w:lang w:val="en-US"/>
        </w:rPr>
        <w:t xml:space="preserve"> Gastric atrophy</w:t>
      </w:r>
      <w:r w:rsidRPr="008F0357">
        <w:rPr>
          <w:rFonts w:ascii="Book Antiqua" w:hAnsi="Book Antiqua"/>
          <w:lang w:val="en-US" w:eastAsia="zh-CN"/>
        </w:rPr>
        <w:t>;</w:t>
      </w:r>
      <w:r w:rsidRPr="008F0357">
        <w:rPr>
          <w:rFonts w:ascii="Book Antiqua" w:hAnsi="Book Antiqua"/>
          <w:lang w:val="en-US"/>
        </w:rPr>
        <w:t xml:space="preserve"> Intestinal metaplasia</w:t>
      </w:r>
      <w:r w:rsidRPr="008F0357">
        <w:rPr>
          <w:rFonts w:ascii="Book Antiqua" w:hAnsi="Book Antiqua"/>
          <w:lang w:val="en-US" w:eastAsia="zh-CN"/>
        </w:rPr>
        <w:t>;</w:t>
      </w:r>
      <w:r w:rsidRPr="008F0357">
        <w:rPr>
          <w:rFonts w:ascii="Book Antiqua" w:hAnsi="Book Antiqua"/>
          <w:lang w:val="en-US"/>
        </w:rPr>
        <w:t xml:space="preserve"> Gastric dysplasia</w:t>
      </w:r>
    </w:p>
    <w:p w:rsidR="00F10C6E" w:rsidRPr="008F0357" w:rsidRDefault="00F10C6E" w:rsidP="000A2D1C">
      <w:pPr>
        <w:pStyle w:val="2"/>
        <w:spacing w:line="360" w:lineRule="auto"/>
        <w:jc w:val="both"/>
        <w:rPr>
          <w:rFonts w:ascii="Book Antiqua" w:hAnsi="Book Antiqua"/>
          <w:b/>
          <w:lang w:val="en-US"/>
        </w:rPr>
      </w:pPr>
    </w:p>
    <w:p w:rsidR="00F10C6E" w:rsidRPr="008F0357" w:rsidRDefault="00F10C6E" w:rsidP="000A2D1C">
      <w:pPr>
        <w:spacing w:line="360" w:lineRule="auto"/>
        <w:jc w:val="both"/>
        <w:rPr>
          <w:rFonts w:ascii="Book Antiqua" w:hAnsi="Book Antiqua"/>
          <w:lang w:val="en-US" w:eastAsia="zh-CN"/>
        </w:rPr>
      </w:pPr>
      <w:r w:rsidRPr="008F0357">
        <w:rPr>
          <w:rFonts w:ascii="Book Antiqua" w:hAnsi="Book Antiqua"/>
          <w:b/>
          <w:lang w:val="en-US"/>
        </w:rPr>
        <w:t>Core tip</w:t>
      </w:r>
      <w:r w:rsidRPr="008F0357">
        <w:rPr>
          <w:rFonts w:ascii="Book Antiqua" w:hAnsi="Book Antiqua"/>
          <w:b/>
          <w:lang w:val="en-US" w:eastAsia="zh-CN"/>
        </w:rPr>
        <w:t xml:space="preserve">: </w:t>
      </w:r>
      <w:r w:rsidRPr="008F0357">
        <w:rPr>
          <w:rFonts w:ascii="Book Antiqua" w:hAnsi="Book Antiqua"/>
          <w:lang w:val="en-US"/>
        </w:rPr>
        <w:t xml:space="preserve">Because of expansion and aging of the world population, gastric cancer incidence is still increasing. The primary objective of World Health Organization is to arrange screening and surveillance programs for cancer prevention. However, although we know </w:t>
      </w:r>
      <w:r w:rsidRPr="008F0357">
        <w:rPr>
          <w:rFonts w:ascii="Book Antiqua" w:hAnsi="Book Antiqua"/>
          <w:lang w:val="en-US"/>
        </w:rPr>
        <w:lastRenderedPageBreak/>
        <w:t>the main etiological agent and the natural history, a gastric cancer elimination project, combining appropriate screening and surveillance programs, has yet to be defined because of the lack of standardized recommendations. This review addresses the most relevant literature focusing on this topic and tries to design the hypothetical screening and surveillance programs.</w:t>
      </w:r>
    </w:p>
    <w:p w:rsidR="00F10C6E" w:rsidRPr="008F0357" w:rsidRDefault="00F10C6E" w:rsidP="000A2D1C">
      <w:pPr>
        <w:spacing w:line="360" w:lineRule="auto"/>
        <w:jc w:val="both"/>
        <w:rPr>
          <w:rFonts w:ascii="Book Antiqua" w:hAnsi="Book Antiqua"/>
          <w:b/>
          <w:lang w:val="en-US" w:eastAsia="zh-CN"/>
        </w:rPr>
      </w:pPr>
    </w:p>
    <w:p w:rsidR="00F10C6E" w:rsidRPr="001865B1" w:rsidRDefault="00F10C6E" w:rsidP="00526630">
      <w:pPr>
        <w:spacing w:line="360" w:lineRule="auto"/>
        <w:jc w:val="both"/>
        <w:rPr>
          <w:rFonts w:ascii="Book Antiqua" w:hAnsi="Book Antiqua"/>
          <w:bCs/>
          <w:lang w:val="en-US" w:eastAsia="zh-CN"/>
        </w:rPr>
      </w:pPr>
      <w:bookmarkStart w:id="14" w:name="OLE_LINK130"/>
      <w:bookmarkStart w:id="15" w:name="OLE_LINK134"/>
      <w:r w:rsidRPr="001865B1">
        <w:rPr>
          <w:rFonts w:ascii="Book Antiqua" w:hAnsi="Book Antiqua"/>
          <w:bCs/>
          <w:lang w:val="en-US"/>
        </w:rPr>
        <w:t>Compare</w:t>
      </w:r>
      <w:r w:rsidRPr="001865B1">
        <w:rPr>
          <w:rFonts w:ascii="Book Antiqua" w:hAnsi="Book Antiqua"/>
          <w:bCs/>
          <w:lang w:val="en-US" w:eastAsia="zh-CN"/>
        </w:rPr>
        <w:t xml:space="preserve"> D, </w:t>
      </w:r>
      <w:r w:rsidRPr="001865B1">
        <w:rPr>
          <w:rFonts w:ascii="Book Antiqua" w:hAnsi="Book Antiqua"/>
          <w:bCs/>
          <w:lang w:val="en-US"/>
        </w:rPr>
        <w:t>Rocco</w:t>
      </w:r>
      <w:r w:rsidRPr="001865B1">
        <w:rPr>
          <w:rFonts w:ascii="Book Antiqua" w:hAnsi="Book Antiqua"/>
          <w:bCs/>
          <w:lang w:val="en-US" w:eastAsia="zh-CN"/>
        </w:rPr>
        <w:t xml:space="preserve"> A, </w:t>
      </w:r>
      <w:r w:rsidRPr="001865B1">
        <w:rPr>
          <w:rFonts w:ascii="Book Antiqua" w:hAnsi="Book Antiqua"/>
          <w:bCs/>
          <w:lang w:val="en-US"/>
        </w:rPr>
        <w:t>Nardone</w:t>
      </w:r>
      <w:r w:rsidRPr="001865B1">
        <w:rPr>
          <w:rFonts w:ascii="Book Antiqua" w:hAnsi="Book Antiqua"/>
          <w:bCs/>
          <w:lang w:val="en-US" w:eastAsia="zh-CN"/>
        </w:rPr>
        <w:t xml:space="preserve"> G. Screening for and surveillance of gastric cancer.</w:t>
      </w:r>
    </w:p>
    <w:p w:rsidR="00F10C6E" w:rsidRPr="001865B1" w:rsidRDefault="00F10C6E" w:rsidP="00A9041F">
      <w:pPr>
        <w:adjustRightInd w:val="0"/>
        <w:snapToGrid w:val="0"/>
        <w:spacing w:line="360" w:lineRule="auto"/>
        <w:rPr>
          <w:rFonts w:ascii="Book Antiqua" w:hAnsi="Book Antiqua" w:cs="Tahoma"/>
          <w:lang w:val="en-US"/>
        </w:rPr>
      </w:pPr>
      <w:r w:rsidRPr="001865B1">
        <w:rPr>
          <w:rFonts w:ascii="Book Antiqua" w:hAnsi="Book Antiqua" w:cs="Tahoma"/>
          <w:lang w:val="en-US" w:eastAsia="zh-CN"/>
        </w:rPr>
        <w:t xml:space="preserve"> </w:t>
      </w:r>
      <w:r w:rsidRPr="001865B1">
        <w:rPr>
          <w:rFonts w:ascii="Book Antiqua" w:hAnsi="Book Antiqua"/>
          <w:i/>
          <w:lang w:val="en-US"/>
        </w:rPr>
        <w:t>World J Gastroenterol</w:t>
      </w:r>
      <w:r w:rsidRPr="001865B1">
        <w:rPr>
          <w:rFonts w:ascii="Book Antiqua" w:hAnsi="Book Antiqua"/>
          <w:lang w:val="en-US"/>
        </w:rPr>
        <w:t xml:space="preserve"> </w:t>
      </w:r>
      <w:bookmarkStart w:id="16" w:name="OLE_LINK413"/>
      <w:bookmarkStart w:id="17" w:name="OLE_LINK414"/>
      <w:r w:rsidRPr="001865B1">
        <w:rPr>
          <w:rFonts w:ascii="Book Antiqua" w:hAnsi="Book Antiqua"/>
          <w:lang w:val="en-US"/>
        </w:rPr>
        <w:t xml:space="preserve">2014; </w:t>
      </w:r>
      <w:bookmarkStart w:id="18" w:name="OLE_LINK1689"/>
      <w:bookmarkStart w:id="19" w:name="OLE_LINK1298"/>
      <w:bookmarkStart w:id="20" w:name="OLE_LINK1297"/>
      <w:bookmarkStart w:id="21" w:name="OLE_LINK406"/>
      <w:r w:rsidRPr="001865B1">
        <w:rPr>
          <w:rFonts w:ascii="Book Antiqua" w:hAnsi="Book Antiqua"/>
          <w:lang w:val="en-US"/>
        </w:rPr>
        <w:t>In press</w:t>
      </w:r>
      <w:bookmarkEnd w:id="18"/>
      <w:bookmarkEnd w:id="19"/>
      <w:bookmarkEnd w:id="20"/>
      <w:bookmarkEnd w:id="21"/>
    </w:p>
    <w:bookmarkEnd w:id="14"/>
    <w:bookmarkEnd w:id="15"/>
    <w:bookmarkEnd w:id="16"/>
    <w:bookmarkEnd w:id="17"/>
    <w:p w:rsidR="00F10C6E" w:rsidRPr="008F0357" w:rsidRDefault="00F10C6E" w:rsidP="000A2D1C">
      <w:pPr>
        <w:spacing w:line="360" w:lineRule="auto"/>
        <w:jc w:val="both"/>
        <w:rPr>
          <w:rFonts w:ascii="Book Antiqua" w:hAnsi="Book Antiqua"/>
          <w:b/>
          <w:lang w:val="en-US"/>
        </w:rPr>
      </w:pPr>
      <w:r w:rsidRPr="008F0357">
        <w:rPr>
          <w:rFonts w:ascii="Book Antiqua" w:hAnsi="Book Antiqua"/>
          <w:b/>
          <w:lang w:val="en-US"/>
        </w:rPr>
        <w:br w:type="page"/>
      </w:r>
      <w:r w:rsidRPr="008F0357">
        <w:rPr>
          <w:rFonts w:ascii="Book Antiqua" w:hAnsi="Book Antiqua"/>
          <w:b/>
          <w:lang w:val="en-US"/>
        </w:rPr>
        <w:lastRenderedPageBreak/>
        <w:t>INTRODUCTION</w:t>
      </w:r>
    </w:p>
    <w:p w:rsidR="00F10C6E" w:rsidRPr="008F0357" w:rsidRDefault="00F10C6E" w:rsidP="000A2D1C">
      <w:pPr>
        <w:autoSpaceDE w:val="0"/>
        <w:autoSpaceDN w:val="0"/>
        <w:adjustRightInd w:val="0"/>
        <w:spacing w:line="360" w:lineRule="auto"/>
        <w:jc w:val="both"/>
        <w:rPr>
          <w:rFonts w:ascii="Book Antiqua" w:hAnsi="Book Antiqua"/>
          <w:lang w:val="en-US"/>
        </w:rPr>
      </w:pPr>
      <w:r w:rsidRPr="008F0357">
        <w:rPr>
          <w:rFonts w:ascii="Book Antiqua" w:hAnsi="Book Antiqua"/>
          <w:lang w:val="en-US"/>
        </w:rPr>
        <w:t xml:space="preserve">Gastric cancer (GC) is one of the most frequent and lethal cancer worldwide. </w:t>
      </w:r>
      <w:r w:rsidRPr="008F0357">
        <w:rPr>
          <w:rFonts w:ascii="Book Antiqua" w:hAnsi="Book Antiqua"/>
          <w:lang w:val="en-GB"/>
        </w:rPr>
        <w:t>The current 5-year survival rate of individuals diagnosed with GC is about 24%, reflecting the reality that most cases are already in an advanced stage when diagnosed</w:t>
      </w:r>
      <w:r w:rsidRPr="008F0357">
        <w:rPr>
          <w:rFonts w:ascii="Book Antiqua" w:hAnsi="Book Antiqua"/>
          <w:vertAlign w:val="superscript"/>
          <w:lang w:val="en-GB"/>
        </w:rPr>
        <w:t>[1]</w:t>
      </w:r>
      <w:r w:rsidRPr="008F0357">
        <w:rPr>
          <w:rFonts w:ascii="Book Antiqua" w:hAnsi="Book Antiqua"/>
          <w:lang w:val="en-GB"/>
        </w:rPr>
        <w:t xml:space="preserve">. </w:t>
      </w:r>
      <w:r w:rsidRPr="008F0357">
        <w:rPr>
          <w:rStyle w:val="apple-style-span"/>
          <w:rFonts w:ascii="Book Antiqua" w:hAnsi="Book Antiqua"/>
          <w:lang w:val="en-US"/>
        </w:rPr>
        <w:t xml:space="preserve">The late diagnosis of the disease and the intrinsic resistance to radio- and chemo-therapy may account for the worst prognosis of this malignancy. At present, the best strategy to reduce the mortality for GC is to schedule appropriate screening and surveillance programs. </w:t>
      </w:r>
      <w:r w:rsidRPr="008F0357">
        <w:rPr>
          <w:rFonts w:ascii="Book Antiqua" w:hAnsi="Book Antiqua"/>
          <w:lang w:val="en-US"/>
        </w:rPr>
        <w:t xml:space="preserve">This issue is further supported by the fact that, firstly, it is possible to recognize the major causative agent of GC </w:t>
      </w:r>
      <w:r w:rsidRPr="008F0357">
        <w:rPr>
          <w:rFonts w:ascii="Book Antiqua" w:hAnsi="Book Antiqua"/>
          <w:i/>
          <w:lang w:val="en-US"/>
        </w:rPr>
        <w:t>i.e.</w:t>
      </w:r>
      <w:r w:rsidRPr="008F0357">
        <w:rPr>
          <w:rFonts w:ascii="Book Antiqua" w:hAnsi="Book Antiqua"/>
          <w:lang w:val="en-US"/>
        </w:rPr>
        <w:t xml:space="preserve">, </w:t>
      </w:r>
      <w:r w:rsidRPr="008F0357">
        <w:rPr>
          <w:rFonts w:ascii="Book Antiqua" w:hAnsi="Book Antiqua"/>
          <w:i/>
          <w:lang w:val="en-US"/>
        </w:rPr>
        <w:t>Helicobacter pylori</w:t>
      </w:r>
      <w:r w:rsidRPr="008F0357">
        <w:rPr>
          <w:rFonts w:ascii="Book Antiqua" w:hAnsi="Book Antiqua"/>
          <w:lang w:val="en-US"/>
        </w:rPr>
        <w:t xml:space="preserve"> (</w:t>
      </w:r>
      <w:r w:rsidRPr="008F0357">
        <w:rPr>
          <w:rFonts w:ascii="Book Antiqua" w:hAnsi="Book Antiqua"/>
          <w:i/>
          <w:lang w:val="en-US"/>
        </w:rPr>
        <w:t>H. pylori</w:t>
      </w:r>
      <w:r w:rsidRPr="008F0357">
        <w:rPr>
          <w:rFonts w:ascii="Book Antiqua" w:hAnsi="Book Antiqua"/>
          <w:lang w:val="en-US"/>
        </w:rPr>
        <w:t xml:space="preserve">) and secondly, the well known gastric carcinogenesis process lasts few decades. </w:t>
      </w:r>
    </w:p>
    <w:p w:rsidR="00F10C6E" w:rsidRPr="008F0357" w:rsidRDefault="00F10C6E" w:rsidP="00A9041F">
      <w:pPr>
        <w:autoSpaceDE w:val="0"/>
        <w:autoSpaceDN w:val="0"/>
        <w:adjustRightInd w:val="0"/>
        <w:spacing w:line="360" w:lineRule="auto"/>
        <w:ind w:firstLineChars="200" w:firstLine="480"/>
        <w:jc w:val="both"/>
        <w:rPr>
          <w:rFonts w:ascii="Book Antiqua" w:hAnsi="Book Antiqua"/>
          <w:lang w:val="en-US"/>
        </w:rPr>
      </w:pPr>
      <w:r w:rsidRPr="008F0357">
        <w:rPr>
          <w:rFonts w:ascii="Book Antiqua" w:hAnsi="Book Antiqua"/>
          <w:lang w:val="en-US"/>
        </w:rPr>
        <w:t xml:space="preserve">However, the submission of a screening or surveillance program for GC rises many relevant concerns taking into account that GC shows a worldwide variability and the majority of patients with </w:t>
      </w:r>
      <w:r w:rsidRPr="008F0357">
        <w:rPr>
          <w:rFonts w:ascii="Book Antiqua" w:hAnsi="Book Antiqua"/>
          <w:i/>
          <w:lang w:val="en-US"/>
        </w:rPr>
        <w:t>H. pylori</w:t>
      </w:r>
      <w:r w:rsidRPr="008F0357">
        <w:rPr>
          <w:rFonts w:ascii="Book Antiqua" w:hAnsi="Book Antiqua"/>
          <w:lang w:val="en-US"/>
        </w:rPr>
        <w:t xml:space="preserve"> infection and premalignant lesions will not develop GC. </w:t>
      </w:r>
    </w:p>
    <w:p w:rsidR="00F10C6E" w:rsidRPr="008F0357" w:rsidRDefault="00F10C6E" w:rsidP="000A2D1C">
      <w:pPr>
        <w:spacing w:line="360" w:lineRule="auto"/>
        <w:jc w:val="both"/>
        <w:rPr>
          <w:rFonts w:ascii="Book Antiqua" w:hAnsi="Book Antiqua"/>
          <w:b/>
          <w:bCs/>
          <w:highlight w:val="green"/>
          <w:lang w:val="en-US"/>
        </w:rPr>
      </w:pPr>
    </w:p>
    <w:p w:rsidR="00F10C6E" w:rsidRPr="008F0357" w:rsidRDefault="00F10C6E" w:rsidP="000A2D1C">
      <w:pPr>
        <w:spacing w:line="360" w:lineRule="auto"/>
        <w:jc w:val="both"/>
        <w:rPr>
          <w:rFonts w:ascii="Book Antiqua" w:hAnsi="Book Antiqua"/>
          <w:bCs/>
          <w:lang w:val="en-US"/>
        </w:rPr>
      </w:pPr>
      <w:r w:rsidRPr="008F0357">
        <w:rPr>
          <w:rFonts w:ascii="Book Antiqua" w:hAnsi="Book Antiqua"/>
          <w:b/>
          <w:bCs/>
          <w:lang w:val="en-US"/>
        </w:rPr>
        <w:t xml:space="preserve">SCREENING </w:t>
      </w:r>
    </w:p>
    <w:p w:rsidR="00F10C6E" w:rsidRPr="008F0357" w:rsidRDefault="00F10C6E" w:rsidP="000A2D1C">
      <w:pPr>
        <w:spacing w:line="360" w:lineRule="auto"/>
        <w:jc w:val="both"/>
        <w:rPr>
          <w:rFonts w:ascii="Book Antiqua" w:hAnsi="Book Antiqua"/>
          <w:lang w:val="en-US"/>
        </w:rPr>
      </w:pPr>
      <w:r w:rsidRPr="008F0357">
        <w:rPr>
          <w:rFonts w:ascii="Book Antiqua" w:hAnsi="Book Antiqua"/>
          <w:bCs/>
          <w:lang w:val="en-US"/>
        </w:rPr>
        <w:t>Screening is a public health service</w:t>
      </w:r>
      <w:r w:rsidRPr="008F0357">
        <w:rPr>
          <w:rFonts w:ascii="Book Antiqua" w:hAnsi="Book Antiqua"/>
          <w:lang w:val="en-US"/>
        </w:rPr>
        <w:t xml:space="preserve"> that has the potential to save lives or improve quality of life through early diagnosis of serious conditions. Screening is the process of checking people who have no symptoms or signs of an unsuspected disease which can be treated more successfully than if the disease had been left until it showed itself. </w:t>
      </w:r>
    </w:p>
    <w:p w:rsidR="00F10C6E" w:rsidRPr="008F0357" w:rsidRDefault="00F10C6E" w:rsidP="008F0357">
      <w:pPr>
        <w:spacing w:line="360" w:lineRule="auto"/>
        <w:ind w:firstLineChars="200" w:firstLine="480"/>
        <w:jc w:val="both"/>
        <w:rPr>
          <w:rFonts w:ascii="Book Antiqua" w:hAnsi="Book Antiqua"/>
          <w:bCs/>
          <w:iCs/>
          <w:lang w:val="en-US"/>
        </w:rPr>
      </w:pPr>
      <w:r w:rsidRPr="008F0357">
        <w:rPr>
          <w:rFonts w:ascii="Book Antiqua" w:hAnsi="Book Antiqua"/>
          <w:bCs/>
          <w:lang w:val="en-GB"/>
        </w:rPr>
        <w:t>The United Kingdom National Screening Committee in 2003 wrote t</w:t>
      </w:r>
      <w:r w:rsidRPr="008F0357">
        <w:rPr>
          <w:rFonts w:ascii="Book Antiqua" w:hAnsi="Book Antiqua"/>
          <w:bCs/>
          <w:lang w:val="en-US"/>
        </w:rPr>
        <w:t>he criteria that should be met before screening for a disease can be planned</w:t>
      </w:r>
      <w:r w:rsidRPr="008F0357">
        <w:rPr>
          <w:rFonts w:ascii="Book Antiqua" w:hAnsi="Book Antiqua"/>
          <w:bCs/>
          <w:vertAlign w:val="superscript"/>
          <w:lang w:val="en-US"/>
        </w:rPr>
        <w:t>[2]</w:t>
      </w:r>
      <w:r w:rsidRPr="008F0357">
        <w:rPr>
          <w:rFonts w:ascii="Book Antiqua" w:hAnsi="Book Antiqua"/>
          <w:lang w:val="en-GB"/>
        </w:rPr>
        <w:t>.</w:t>
      </w:r>
      <w:r w:rsidRPr="008F0357">
        <w:rPr>
          <w:rFonts w:ascii="Book Antiqua" w:hAnsi="Book Antiqua"/>
          <w:bCs/>
          <w:vertAlign w:val="superscript"/>
          <w:lang w:val="en-US"/>
        </w:rPr>
        <w:t xml:space="preserve">  </w:t>
      </w:r>
      <w:r w:rsidRPr="008F0357">
        <w:rPr>
          <w:rFonts w:ascii="Book Antiqua" w:hAnsi="Book Antiqua"/>
          <w:bCs/>
          <w:lang w:val="en-US"/>
        </w:rPr>
        <w:t>They concern t</w:t>
      </w:r>
      <w:r w:rsidRPr="008F0357">
        <w:rPr>
          <w:rFonts w:ascii="Book Antiqua" w:hAnsi="Book Antiqua"/>
          <w:bCs/>
          <w:iCs/>
          <w:lang w:val="en-US"/>
        </w:rPr>
        <w:t>he condition,</w:t>
      </w:r>
      <w:r w:rsidRPr="008F0357">
        <w:rPr>
          <w:rFonts w:ascii="Book Antiqua" w:hAnsi="Book Antiqua"/>
          <w:bCs/>
          <w:lang w:val="en-US"/>
        </w:rPr>
        <w:t xml:space="preserve"> t</w:t>
      </w:r>
      <w:r w:rsidRPr="008F0357">
        <w:rPr>
          <w:rFonts w:ascii="Book Antiqua" w:hAnsi="Book Antiqua"/>
          <w:bCs/>
          <w:iCs/>
          <w:lang w:val="en-US"/>
        </w:rPr>
        <w:t>he diagnostic test</w:t>
      </w:r>
      <w:r w:rsidRPr="008F0357">
        <w:rPr>
          <w:rFonts w:ascii="Book Antiqua" w:hAnsi="Book Antiqua"/>
          <w:bCs/>
          <w:lang w:val="en-US"/>
        </w:rPr>
        <w:t>, t</w:t>
      </w:r>
      <w:r w:rsidRPr="008F0357">
        <w:rPr>
          <w:rFonts w:ascii="Book Antiqua" w:hAnsi="Book Antiqua"/>
          <w:bCs/>
          <w:iCs/>
          <w:lang w:val="en-US"/>
        </w:rPr>
        <w:t>he treatment</w:t>
      </w:r>
      <w:r w:rsidRPr="008F0357">
        <w:rPr>
          <w:rFonts w:ascii="Book Antiqua" w:hAnsi="Book Antiqua"/>
          <w:bCs/>
          <w:lang w:val="en-US"/>
        </w:rPr>
        <w:t>, and finally t</w:t>
      </w:r>
      <w:r w:rsidRPr="008F0357">
        <w:rPr>
          <w:rFonts w:ascii="Book Antiqua" w:hAnsi="Book Antiqua"/>
          <w:bCs/>
          <w:iCs/>
          <w:lang w:val="en-US"/>
        </w:rPr>
        <w:t>he program.</w:t>
      </w:r>
    </w:p>
    <w:p w:rsidR="00F10C6E" w:rsidRPr="008F0357" w:rsidRDefault="00F10C6E" w:rsidP="000A2D1C">
      <w:pPr>
        <w:spacing w:line="360" w:lineRule="auto"/>
        <w:jc w:val="both"/>
        <w:rPr>
          <w:rFonts w:ascii="Book Antiqua" w:hAnsi="Book Antiqua"/>
          <w:b/>
          <w:bCs/>
          <w:i/>
          <w:lang w:val="en-US"/>
        </w:rPr>
      </w:pPr>
    </w:p>
    <w:p w:rsidR="00F10C6E" w:rsidRPr="008F0357" w:rsidRDefault="00F10C6E" w:rsidP="000A2D1C">
      <w:pPr>
        <w:spacing w:line="360" w:lineRule="auto"/>
        <w:jc w:val="both"/>
        <w:rPr>
          <w:rFonts w:ascii="Book Antiqua" w:hAnsi="Book Antiqua"/>
          <w:b/>
          <w:bCs/>
          <w:i/>
          <w:lang w:val="en-US"/>
        </w:rPr>
      </w:pPr>
      <w:r w:rsidRPr="008F0357">
        <w:rPr>
          <w:rFonts w:ascii="Book Antiqua" w:hAnsi="Book Antiqua"/>
          <w:b/>
          <w:bCs/>
          <w:i/>
          <w:lang w:val="en-US"/>
        </w:rPr>
        <w:t>Condition</w:t>
      </w:r>
    </w:p>
    <w:p w:rsidR="00F10C6E" w:rsidRPr="008F0357" w:rsidRDefault="00F10C6E" w:rsidP="00A9041F">
      <w:pPr>
        <w:spacing w:line="360" w:lineRule="auto"/>
        <w:jc w:val="both"/>
        <w:rPr>
          <w:rFonts w:ascii="Book Antiqua" w:hAnsi="Book Antiqua"/>
          <w:bCs/>
          <w:i/>
          <w:lang w:val="en-US"/>
        </w:rPr>
      </w:pPr>
      <w:r w:rsidRPr="008F0357">
        <w:rPr>
          <w:rFonts w:ascii="Book Antiqua" w:hAnsi="Book Antiqua"/>
          <w:bCs/>
          <w:lang w:val="en-US"/>
        </w:rPr>
        <w:t xml:space="preserve">“The condition should be an important health problem, the epidemiology and the natural history should be well understood and the risk factors and the disease markers should be detectable”. </w:t>
      </w:r>
      <w:r w:rsidRPr="008F0357">
        <w:rPr>
          <w:rFonts w:ascii="Book Antiqua" w:hAnsi="Book Antiqua"/>
          <w:lang w:val="en-US"/>
        </w:rPr>
        <w:t>Gastric cancer continues to be the 4th most frequently diagnosed cancer worldwide. In 2008, 989000 new cases, accounting for 8% of the total new cancer cases and 730000 deaths, accounting for 10% of the total cancer deaths were reported</w:t>
      </w:r>
      <w:r w:rsidRPr="008F0357">
        <w:rPr>
          <w:rFonts w:ascii="Book Antiqua" w:hAnsi="Book Antiqua"/>
          <w:vertAlign w:val="superscript"/>
          <w:lang w:val="en-US"/>
        </w:rPr>
        <w:t>[3]</w:t>
      </w:r>
      <w:r w:rsidRPr="008F0357">
        <w:rPr>
          <w:rFonts w:ascii="Book Antiqua" w:hAnsi="Book Antiqua"/>
          <w:lang w:val="en-US"/>
        </w:rPr>
        <w:t xml:space="preserve">. However, there is a 10-fold variation in incidence between the various countries and, sometimes, also in the same country. Low incidence rates are found in South Asia, North and East Africa, North America, Australia, and New Zealand. High-incidence areas for non-cardia GC </w:t>
      </w:r>
      <w:r w:rsidRPr="008F0357">
        <w:rPr>
          <w:rFonts w:ascii="Book Antiqua" w:hAnsi="Book Antiqua"/>
          <w:lang w:val="en-US"/>
        </w:rPr>
        <w:lastRenderedPageBreak/>
        <w:t>include East Asia, Eastern Europe, and Central and South America</w:t>
      </w:r>
      <w:r w:rsidRPr="008F0357">
        <w:rPr>
          <w:rFonts w:ascii="Book Antiqua" w:hAnsi="Book Antiqua"/>
          <w:vertAlign w:val="superscript"/>
          <w:lang w:val="en-US"/>
        </w:rPr>
        <w:t>[4]</w:t>
      </w:r>
      <w:r w:rsidRPr="008F0357">
        <w:rPr>
          <w:rFonts w:ascii="Book Antiqua" w:hAnsi="Book Antiqua"/>
          <w:lang w:val="en-US"/>
        </w:rPr>
        <w:t xml:space="preserve">. In Japan, GC remains the most common type of cancer among both men and women with age-standardized </w:t>
      </w:r>
      <w:r>
        <w:rPr>
          <w:rFonts w:ascii="Book Antiqua" w:hAnsi="Book Antiqua"/>
          <w:lang w:val="en-US"/>
        </w:rPr>
        <w:t>incidence rates of 69.2 per 100</w:t>
      </w:r>
      <w:r w:rsidRPr="008F0357">
        <w:rPr>
          <w:rFonts w:ascii="Book Antiqua" w:hAnsi="Book Antiqua"/>
          <w:lang w:val="en-US"/>
        </w:rPr>
        <w:t xml:space="preserve">000 in men and 28.6 per </w:t>
      </w:r>
      <w:smartTag w:uri="urn:schemas-microsoft-com:office:smarttags" w:element="metricconverter">
        <w:smartTagPr>
          <w:attr w:name="ProductID" w:val="100.000 in"/>
        </w:smartTagPr>
        <w:r w:rsidRPr="008F0357">
          <w:rPr>
            <w:rFonts w:ascii="Book Antiqua" w:hAnsi="Book Antiqua"/>
            <w:lang w:val="en-US"/>
          </w:rPr>
          <w:t>100.000 in</w:t>
        </w:r>
      </w:smartTag>
      <w:r w:rsidRPr="008F0357">
        <w:rPr>
          <w:rFonts w:ascii="Book Antiqua" w:hAnsi="Book Antiqua"/>
          <w:lang w:val="en-US"/>
        </w:rPr>
        <w:t xml:space="preserve"> women</w:t>
      </w:r>
      <w:r w:rsidRPr="008F0357">
        <w:rPr>
          <w:rFonts w:ascii="Book Antiqua" w:hAnsi="Book Antiqua"/>
          <w:vertAlign w:val="superscript"/>
          <w:lang w:val="en-US"/>
        </w:rPr>
        <w:t>[5]</w:t>
      </w:r>
      <w:r w:rsidRPr="008F0357">
        <w:rPr>
          <w:rFonts w:ascii="Book Antiqua" w:hAnsi="Book Antiqua"/>
          <w:lang w:val="en-US"/>
        </w:rPr>
        <w:t>.</w:t>
      </w:r>
    </w:p>
    <w:p w:rsidR="00F10C6E" w:rsidRPr="008F0357" w:rsidRDefault="00F10C6E" w:rsidP="000A2D1C">
      <w:pPr>
        <w:pStyle w:val="Pa19"/>
        <w:spacing w:line="360" w:lineRule="auto"/>
        <w:jc w:val="both"/>
        <w:rPr>
          <w:rFonts w:ascii="Book Antiqua" w:hAnsi="Book Antiqua"/>
          <w:lang w:val="en-US"/>
        </w:rPr>
      </w:pPr>
      <w:r w:rsidRPr="008F0357">
        <w:rPr>
          <w:rFonts w:ascii="Book Antiqua" w:hAnsi="Book Antiqua"/>
          <w:lang w:val="en-US"/>
        </w:rPr>
        <w:t>Due to the high incidence, the economic burden of GC remains very high, significantly affecting social and economic resources. Indeed, in 2010 the national cost of GC care was estimated to</w:t>
      </w:r>
      <w:r>
        <w:rPr>
          <w:rFonts w:ascii="Book Antiqua" w:hAnsi="Book Antiqua"/>
          <w:lang w:val="en-US"/>
        </w:rPr>
        <w:t xml:space="preserve"> be $2.26 billion in </w:t>
      </w:r>
      <w:r w:rsidRPr="008F0357">
        <w:rPr>
          <w:rFonts w:ascii="Book Antiqua" w:hAnsi="Book Antiqua"/>
          <w:lang w:val="en-US"/>
        </w:rPr>
        <w:t>United States</w:t>
      </w:r>
      <w:r>
        <w:rPr>
          <w:rFonts w:ascii="Book Antiqua" w:hAnsi="Book Antiqua"/>
          <w:lang w:val="en-US"/>
        </w:rPr>
        <w:t xml:space="preserve"> and $11</w:t>
      </w:r>
      <w:r w:rsidRPr="008F0357">
        <w:rPr>
          <w:rFonts w:ascii="Book Antiqua" w:hAnsi="Book Antiqua"/>
          <w:lang w:val="en-US"/>
        </w:rPr>
        <w:t>47 billion in Japan</w:t>
      </w:r>
      <w:r w:rsidRPr="008F0357">
        <w:rPr>
          <w:rFonts w:ascii="Book Antiqua" w:hAnsi="Book Antiqua"/>
          <w:vertAlign w:val="superscript"/>
          <w:lang w:val="en-US"/>
        </w:rPr>
        <w:t>[6,7]</w:t>
      </w:r>
      <w:r w:rsidRPr="008F0357">
        <w:rPr>
          <w:rFonts w:ascii="Book Antiqua" w:hAnsi="Book Antiqua"/>
          <w:lang w:val="en-US"/>
        </w:rPr>
        <w:t>,</w:t>
      </w:r>
      <w:r w:rsidRPr="008F0357">
        <w:rPr>
          <w:rFonts w:ascii="Book Antiqua" w:hAnsi="Book Antiqua"/>
          <w:vertAlign w:val="superscript"/>
          <w:lang w:val="en-US"/>
        </w:rPr>
        <w:t xml:space="preserve"> </w:t>
      </w:r>
      <w:r w:rsidRPr="008F0357">
        <w:rPr>
          <w:rFonts w:ascii="Book Antiqua" w:hAnsi="Book Antiqua"/>
          <w:lang w:val="en-US"/>
        </w:rPr>
        <w:t xml:space="preserve"> with total cost of illness of the stom</w:t>
      </w:r>
      <w:r>
        <w:rPr>
          <w:rFonts w:ascii="Book Antiqua" w:hAnsi="Book Antiqua"/>
          <w:lang w:val="en-US"/>
        </w:rPr>
        <w:t>ach cancer of approximately $45</w:t>
      </w:r>
      <w:r w:rsidRPr="008F0357">
        <w:rPr>
          <w:rFonts w:ascii="Book Antiqua" w:hAnsi="Book Antiqua"/>
          <w:lang w:val="en-US"/>
        </w:rPr>
        <w:t>000 per patient during the first year, and up to $130000 per patient if the diagnosis was performed at 20-30 years of age</w:t>
      </w:r>
      <w:r w:rsidRPr="008F0357">
        <w:rPr>
          <w:rFonts w:ascii="Book Antiqua" w:hAnsi="Book Antiqua"/>
          <w:vertAlign w:val="superscript"/>
          <w:lang w:val="en-US"/>
        </w:rPr>
        <w:t>[6]</w:t>
      </w:r>
      <w:r w:rsidRPr="008F0357">
        <w:rPr>
          <w:rFonts w:ascii="Book Antiqua" w:hAnsi="Book Antiqua"/>
          <w:lang w:val="en-US"/>
        </w:rPr>
        <w:t>.</w:t>
      </w:r>
      <w:r w:rsidRPr="008F0357">
        <w:rPr>
          <w:rFonts w:ascii="Book Antiqua" w:hAnsi="Book Antiqua"/>
          <w:vertAlign w:val="superscript"/>
          <w:lang w:val="en-US"/>
        </w:rPr>
        <w:t xml:space="preserve"> </w:t>
      </w:r>
    </w:p>
    <w:p w:rsidR="00F10C6E" w:rsidRPr="008F0357" w:rsidRDefault="00F10C6E" w:rsidP="00A9041F">
      <w:pPr>
        <w:pStyle w:val="Pa19"/>
        <w:spacing w:line="360" w:lineRule="auto"/>
        <w:ind w:firstLineChars="150" w:firstLine="360"/>
        <w:jc w:val="both"/>
        <w:rPr>
          <w:rFonts w:ascii="Book Antiqua" w:hAnsi="Book Antiqua"/>
          <w:lang w:val="en-GB"/>
        </w:rPr>
      </w:pPr>
      <w:r w:rsidRPr="008F0357">
        <w:rPr>
          <w:rFonts w:ascii="Book Antiqua" w:hAnsi="Book Antiqua"/>
          <w:lang w:val="en-US"/>
        </w:rPr>
        <w:t>Gastric cancer may be classified, according to topography, in cardia and non-cardia, and, according to histology, in intestinal and diffuse type</w:t>
      </w:r>
      <w:r w:rsidRPr="008F0357">
        <w:rPr>
          <w:rFonts w:ascii="Book Antiqua" w:hAnsi="Book Antiqua"/>
          <w:vertAlign w:val="superscript"/>
          <w:lang w:val="en-US"/>
        </w:rPr>
        <w:t>[8,9]</w:t>
      </w:r>
      <w:r w:rsidRPr="008F0357">
        <w:rPr>
          <w:rFonts w:ascii="Book Antiqua" w:hAnsi="Book Antiqua"/>
          <w:lang w:val="en-US"/>
        </w:rPr>
        <w:t>.Each GC type is characterized by a different natural history and pathogenesis</w:t>
      </w:r>
      <w:r w:rsidRPr="008F0357">
        <w:rPr>
          <w:rFonts w:ascii="Book Antiqua" w:hAnsi="Book Antiqua"/>
          <w:vertAlign w:val="superscript"/>
          <w:lang w:val="en-US"/>
        </w:rPr>
        <w:t>[10]</w:t>
      </w:r>
      <w:r w:rsidRPr="008F0357">
        <w:rPr>
          <w:rFonts w:ascii="Book Antiqua" w:hAnsi="Book Antiqua"/>
          <w:lang w:val="en-US"/>
        </w:rPr>
        <w:t>.</w:t>
      </w:r>
    </w:p>
    <w:p w:rsidR="00F10C6E" w:rsidRPr="008F0357" w:rsidRDefault="00F10C6E" w:rsidP="00A9041F">
      <w:pPr>
        <w:pStyle w:val="Pa19"/>
        <w:spacing w:line="360" w:lineRule="auto"/>
        <w:ind w:firstLineChars="150" w:firstLine="360"/>
        <w:jc w:val="both"/>
        <w:rPr>
          <w:rFonts w:ascii="Book Antiqua" w:hAnsi="Book Antiqua"/>
          <w:lang w:val="en-GB"/>
        </w:rPr>
      </w:pPr>
      <w:r w:rsidRPr="008F0357">
        <w:rPr>
          <w:rFonts w:ascii="Book Antiqua" w:hAnsi="Book Antiqua"/>
          <w:lang w:val="en-GB"/>
        </w:rPr>
        <w:t>I</w:t>
      </w:r>
      <w:r w:rsidRPr="008F0357">
        <w:rPr>
          <w:rFonts w:ascii="Book Antiqua" w:hAnsi="Book Antiqua"/>
          <w:lang w:val="en-US"/>
        </w:rPr>
        <w:t xml:space="preserve">n this review we will focus on non-cardia, intestinal type GC, due to its frequency and natural history. </w:t>
      </w:r>
    </w:p>
    <w:p w:rsidR="00F10C6E" w:rsidRPr="008F0357" w:rsidRDefault="00F10C6E" w:rsidP="00A9041F">
      <w:pPr>
        <w:spacing w:line="360" w:lineRule="auto"/>
        <w:ind w:firstLineChars="150" w:firstLine="360"/>
        <w:jc w:val="both"/>
        <w:rPr>
          <w:rFonts w:ascii="Book Antiqua" w:hAnsi="Book Antiqua"/>
          <w:lang w:val="en-US"/>
        </w:rPr>
      </w:pPr>
      <w:r w:rsidRPr="008F0357">
        <w:rPr>
          <w:rFonts w:ascii="Book Antiqua" w:hAnsi="Book Antiqua"/>
          <w:lang w:val="en-GB"/>
        </w:rPr>
        <w:t>During</w:t>
      </w:r>
      <w:r w:rsidRPr="008F0357">
        <w:rPr>
          <w:rFonts w:ascii="Book Antiqua" w:hAnsi="Book Antiqua"/>
          <w:iCs/>
          <w:lang w:val="en-US"/>
        </w:rPr>
        <w:t xml:space="preserve"> the last few years, it has become apparent that the most important single factor responsible for the development </w:t>
      </w:r>
      <w:r w:rsidRPr="008F0357">
        <w:rPr>
          <w:rFonts w:ascii="Book Antiqua" w:hAnsi="Book Antiqua"/>
          <w:bCs/>
          <w:iCs/>
          <w:lang w:val="en-US"/>
        </w:rPr>
        <w:t>of</w:t>
      </w:r>
      <w:r w:rsidRPr="008F0357">
        <w:rPr>
          <w:rFonts w:ascii="Book Antiqua" w:hAnsi="Book Antiqua"/>
          <w:iCs/>
          <w:lang w:val="en-US"/>
        </w:rPr>
        <w:t xml:space="preserve"> both </w:t>
      </w:r>
      <w:r w:rsidRPr="008F0357">
        <w:rPr>
          <w:rFonts w:ascii="Book Antiqua" w:hAnsi="Book Antiqua"/>
          <w:lang w:val="en-GB"/>
        </w:rPr>
        <w:t xml:space="preserve">intestinal and diffuse type GC </w:t>
      </w:r>
      <w:r w:rsidRPr="008F0357">
        <w:rPr>
          <w:rFonts w:ascii="Book Antiqua" w:hAnsi="Book Antiqua"/>
          <w:iCs/>
          <w:lang w:val="en-US"/>
        </w:rPr>
        <w:t xml:space="preserve">is </w:t>
      </w:r>
      <w:r w:rsidRPr="008F0357">
        <w:rPr>
          <w:rFonts w:ascii="Book Antiqua" w:hAnsi="Book Antiqua"/>
          <w:i/>
          <w:iCs/>
          <w:lang w:val="en-US"/>
        </w:rPr>
        <w:t>H. pylori</w:t>
      </w:r>
      <w:r w:rsidRPr="008F0357">
        <w:rPr>
          <w:rFonts w:ascii="Book Antiqua" w:hAnsi="Book Antiqua"/>
          <w:iCs/>
          <w:lang w:val="en-US"/>
        </w:rPr>
        <w:t xml:space="preserve"> infection. </w:t>
      </w:r>
      <w:r w:rsidRPr="008F0357">
        <w:rPr>
          <w:rFonts w:ascii="Book Antiqua" w:hAnsi="Book Antiqua"/>
          <w:i/>
          <w:lang w:val="en-US"/>
        </w:rPr>
        <w:t>H. pylori</w:t>
      </w:r>
      <w:r w:rsidRPr="008F0357">
        <w:rPr>
          <w:rFonts w:ascii="Book Antiqua" w:hAnsi="Book Antiqua"/>
          <w:lang w:val="en-US"/>
        </w:rPr>
        <w:t xml:space="preserve"> is a curved, motile, gram-negative organism that represents one of the most common infections, affecting</w:t>
      </w:r>
      <w:r w:rsidRPr="008F0357">
        <w:rPr>
          <w:rFonts w:ascii="Book Antiqua" w:hAnsi="Book Antiqua"/>
          <w:b/>
          <w:lang w:val="en-US"/>
        </w:rPr>
        <w:t xml:space="preserve"> </w:t>
      </w:r>
      <w:r w:rsidRPr="008F0357">
        <w:rPr>
          <w:rFonts w:ascii="Book Antiqua" w:hAnsi="Book Antiqua"/>
          <w:lang w:val="en-US"/>
        </w:rPr>
        <w:t>more than 50% of the world population, with prevalence rates ranging from 30% in industrialized areas to 90% in developing countries and Eastern Asia</w:t>
      </w:r>
      <w:r w:rsidRPr="008F0357">
        <w:rPr>
          <w:rFonts w:ascii="Book Antiqua" w:hAnsi="Book Antiqua"/>
          <w:vertAlign w:val="superscript"/>
          <w:lang w:val="en-US"/>
        </w:rPr>
        <w:t>[11]</w:t>
      </w:r>
      <w:r w:rsidRPr="008F0357">
        <w:rPr>
          <w:rFonts w:ascii="Book Antiqua" w:hAnsi="Book Antiqua"/>
          <w:lang w:val="en-US"/>
        </w:rPr>
        <w:t xml:space="preserve">. It is acquired during childhood and colonizes the gastric epithelial cells where, in absence of appropriate treatment, it may persist along life and induce a chronic inflammatory response leading to the development of atrophy, intestinal metaplasia (IM), dysplasia and ultimately cancer. </w:t>
      </w:r>
    </w:p>
    <w:p w:rsidR="00F10C6E" w:rsidRPr="008F0357" w:rsidRDefault="00F10C6E" w:rsidP="00A9041F">
      <w:pPr>
        <w:autoSpaceDE w:val="0"/>
        <w:autoSpaceDN w:val="0"/>
        <w:adjustRightInd w:val="0"/>
        <w:spacing w:line="360" w:lineRule="auto"/>
        <w:ind w:firstLineChars="200" w:firstLine="480"/>
        <w:jc w:val="both"/>
        <w:rPr>
          <w:rFonts w:ascii="Book Antiqua" w:hAnsi="Book Antiqua"/>
          <w:i/>
          <w:lang w:val="en-US"/>
        </w:rPr>
      </w:pPr>
      <w:r w:rsidRPr="008F0357">
        <w:rPr>
          <w:rFonts w:ascii="Book Antiqua" w:hAnsi="Book Antiqua"/>
          <w:lang w:val="en-US"/>
        </w:rPr>
        <w:t xml:space="preserve">Epidemiological investigations (retrospective, case-control and prospective studies) and several meta-analyses have demonstrated that current or previous </w:t>
      </w:r>
      <w:r w:rsidRPr="008F0357">
        <w:rPr>
          <w:rFonts w:ascii="Book Antiqua" w:hAnsi="Book Antiqua"/>
          <w:i/>
          <w:lang w:val="en-US"/>
        </w:rPr>
        <w:t>H. pylori</w:t>
      </w:r>
      <w:r w:rsidRPr="008F0357">
        <w:rPr>
          <w:rFonts w:ascii="Book Antiqua" w:hAnsi="Book Antiqua"/>
          <w:lang w:val="en-US"/>
        </w:rPr>
        <w:t xml:space="preserve"> infection is associated with an increased risk of GC in respect to uninfected people (OR </w:t>
      </w:r>
      <w:r>
        <w:rPr>
          <w:rFonts w:ascii="Book Antiqua" w:hAnsi="Book Antiqua"/>
          <w:lang w:val="en-US" w:eastAsia="zh-CN"/>
        </w:rPr>
        <w:t xml:space="preserve">= </w:t>
      </w:r>
      <w:r w:rsidRPr="008F0357">
        <w:rPr>
          <w:rFonts w:ascii="Book Antiqua" w:hAnsi="Book Antiqua"/>
          <w:lang w:val="en-US"/>
        </w:rPr>
        <w:t>2.97; 95%CI</w:t>
      </w:r>
      <w:r>
        <w:rPr>
          <w:rFonts w:ascii="Book Antiqua" w:hAnsi="Book Antiqua"/>
          <w:lang w:val="en-US" w:eastAsia="zh-CN"/>
        </w:rPr>
        <w:t>:</w:t>
      </w:r>
      <w:r w:rsidRPr="008F0357">
        <w:rPr>
          <w:rFonts w:ascii="Book Antiqua" w:hAnsi="Book Antiqua"/>
          <w:lang w:val="en-US"/>
        </w:rPr>
        <w:t xml:space="preserve"> 2.34-3.77)</w:t>
      </w:r>
      <w:r w:rsidRPr="008F0357">
        <w:rPr>
          <w:rFonts w:ascii="Book Antiqua" w:hAnsi="Book Antiqua"/>
          <w:vertAlign w:val="superscript"/>
          <w:lang w:val="en-US"/>
        </w:rPr>
        <w:t>[12]</w:t>
      </w:r>
      <w:r w:rsidRPr="008F0357">
        <w:rPr>
          <w:rFonts w:ascii="Book Antiqua" w:hAnsi="Book Antiqua"/>
          <w:lang w:val="en-US"/>
        </w:rPr>
        <w:t xml:space="preserve">. However, the risk depend on </w:t>
      </w:r>
      <w:r w:rsidRPr="008F0357">
        <w:rPr>
          <w:rFonts w:ascii="Book Antiqua" w:hAnsi="Book Antiqua"/>
          <w:i/>
          <w:lang w:val="en-US"/>
        </w:rPr>
        <w:t>H. pylori</w:t>
      </w:r>
      <w:r w:rsidRPr="008F0357">
        <w:rPr>
          <w:rFonts w:ascii="Book Antiqua" w:hAnsi="Book Antiqua"/>
          <w:lang w:val="en-US"/>
        </w:rPr>
        <w:t xml:space="preserve"> strain and duration of infection. </w:t>
      </w:r>
      <w:r w:rsidRPr="008F0357">
        <w:rPr>
          <w:rFonts w:ascii="Book Antiqua" w:hAnsi="Book Antiqua"/>
          <w:i/>
          <w:lang w:val="en-US"/>
        </w:rPr>
        <w:t>H. pylori</w:t>
      </w:r>
      <w:r w:rsidRPr="008F0357">
        <w:rPr>
          <w:rFonts w:ascii="Book Antiqua" w:hAnsi="Book Antiqua"/>
          <w:i/>
          <w:iCs/>
          <w:lang w:val="en-US"/>
        </w:rPr>
        <w:t xml:space="preserve">, </w:t>
      </w:r>
      <w:r w:rsidRPr="008F0357">
        <w:rPr>
          <w:rFonts w:ascii="Book Antiqua" w:hAnsi="Book Antiqua"/>
          <w:lang w:val="en-US"/>
        </w:rPr>
        <w:t xml:space="preserve">indeed, is characterized by several putative virulence factors, </w:t>
      </w:r>
      <w:r w:rsidRPr="008F0357">
        <w:rPr>
          <w:rFonts w:ascii="Book Antiqua" w:hAnsi="Book Antiqua"/>
          <w:i/>
          <w:lang w:val="en-US"/>
        </w:rPr>
        <w:t>i.e</w:t>
      </w:r>
      <w:r w:rsidRPr="008F0357">
        <w:rPr>
          <w:rFonts w:ascii="Book Antiqua" w:hAnsi="Book Antiqua"/>
          <w:lang w:val="en-US"/>
        </w:rPr>
        <w:t xml:space="preserve">., </w:t>
      </w:r>
      <w:r w:rsidRPr="008F0357">
        <w:rPr>
          <w:rFonts w:ascii="Book Antiqua" w:hAnsi="Book Antiqua"/>
          <w:i/>
          <w:iCs/>
          <w:lang w:val="en-US"/>
        </w:rPr>
        <w:t xml:space="preserve">vacA, iceA, babA, dupA, oipA </w:t>
      </w:r>
      <w:r w:rsidRPr="008F0357">
        <w:rPr>
          <w:rFonts w:ascii="Book Antiqua" w:hAnsi="Book Antiqua"/>
          <w:lang w:val="en-US"/>
        </w:rPr>
        <w:t xml:space="preserve">and </w:t>
      </w:r>
      <w:r w:rsidRPr="008F0357">
        <w:rPr>
          <w:rFonts w:ascii="Book Antiqua" w:hAnsi="Book Antiqua"/>
          <w:i/>
          <w:iCs/>
          <w:lang w:val="en-US"/>
        </w:rPr>
        <w:t xml:space="preserve">cagA, </w:t>
      </w:r>
      <w:r w:rsidRPr="008F0357">
        <w:rPr>
          <w:rFonts w:ascii="Book Antiqua" w:hAnsi="Book Antiqua"/>
          <w:lang w:val="en-US"/>
        </w:rPr>
        <w:t xml:space="preserve">with the </w:t>
      </w:r>
      <w:r w:rsidRPr="008F0357">
        <w:rPr>
          <w:rFonts w:ascii="Book Antiqua" w:hAnsi="Book Antiqua"/>
          <w:i/>
          <w:lang w:val="en-US"/>
        </w:rPr>
        <w:t>cag</w:t>
      </w:r>
      <w:r w:rsidRPr="008F0357">
        <w:rPr>
          <w:rFonts w:ascii="Book Antiqua" w:hAnsi="Book Antiqua"/>
          <w:lang w:val="en-US"/>
        </w:rPr>
        <w:t xml:space="preserve"> pathogenicity island, that are variously associated with the risk of gastric diseases</w:t>
      </w:r>
      <w:r w:rsidRPr="008F0357">
        <w:rPr>
          <w:rFonts w:ascii="Book Antiqua" w:hAnsi="Book Antiqua"/>
          <w:vertAlign w:val="superscript"/>
          <w:lang w:val="en-US"/>
        </w:rPr>
        <w:t>[13]</w:t>
      </w:r>
      <w:r w:rsidRPr="008F0357">
        <w:rPr>
          <w:rFonts w:ascii="Book Antiqua" w:hAnsi="Book Antiqua"/>
          <w:lang w:val="en-US"/>
        </w:rPr>
        <w:t xml:space="preserve">. Pooled data have shown that </w:t>
      </w:r>
      <w:r w:rsidRPr="008F0357">
        <w:rPr>
          <w:rFonts w:ascii="Book Antiqua" w:hAnsi="Book Antiqua"/>
          <w:i/>
          <w:lang w:val="en-US"/>
        </w:rPr>
        <w:t>cagA</w:t>
      </w:r>
      <w:r w:rsidRPr="008F0357">
        <w:rPr>
          <w:rFonts w:ascii="Book Antiqua" w:hAnsi="Book Antiqua"/>
          <w:lang w:val="en-US"/>
        </w:rPr>
        <w:t xml:space="preserve"> positive strains of </w:t>
      </w:r>
      <w:r w:rsidRPr="008F0357">
        <w:rPr>
          <w:rFonts w:ascii="Book Antiqua" w:hAnsi="Book Antiqua"/>
          <w:i/>
          <w:iCs/>
          <w:lang w:val="en-US"/>
        </w:rPr>
        <w:t xml:space="preserve">H. pylori </w:t>
      </w:r>
      <w:r w:rsidRPr="008F0357">
        <w:rPr>
          <w:rFonts w:ascii="Book Antiqua" w:hAnsi="Book Antiqua"/>
          <w:lang w:val="en-US"/>
        </w:rPr>
        <w:t xml:space="preserve">are associated with a higher risk of GC (OR </w:t>
      </w:r>
      <w:r>
        <w:rPr>
          <w:rFonts w:ascii="Book Antiqua" w:hAnsi="Book Antiqua"/>
          <w:lang w:val="en-US" w:eastAsia="zh-CN"/>
        </w:rPr>
        <w:t xml:space="preserve">= </w:t>
      </w:r>
      <w:r w:rsidRPr="008F0357">
        <w:rPr>
          <w:rFonts w:ascii="Book Antiqua" w:hAnsi="Book Antiqua"/>
          <w:lang w:val="en-US"/>
        </w:rPr>
        <w:t>2.01; 95%CI</w:t>
      </w:r>
      <w:r>
        <w:rPr>
          <w:rFonts w:ascii="Book Antiqua" w:hAnsi="Book Antiqua"/>
          <w:lang w:val="en-US" w:eastAsia="zh-CN"/>
        </w:rPr>
        <w:t>:</w:t>
      </w:r>
      <w:r w:rsidRPr="008F0357">
        <w:rPr>
          <w:rFonts w:ascii="Book Antiqua" w:hAnsi="Book Antiqua"/>
          <w:lang w:val="en-US"/>
        </w:rPr>
        <w:t xml:space="preserve"> 1.21-3.32) in respect to </w:t>
      </w:r>
      <w:r w:rsidRPr="008F0357">
        <w:rPr>
          <w:rFonts w:ascii="Book Antiqua" w:hAnsi="Book Antiqua"/>
          <w:i/>
          <w:lang w:val="en-US"/>
        </w:rPr>
        <w:t>cagA</w:t>
      </w:r>
      <w:r w:rsidRPr="008F0357">
        <w:rPr>
          <w:rFonts w:ascii="Book Antiqua" w:hAnsi="Book Antiqua"/>
          <w:lang w:val="en-US"/>
        </w:rPr>
        <w:t xml:space="preserve"> negative strains</w:t>
      </w:r>
      <w:r w:rsidRPr="008F0357">
        <w:rPr>
          <w:rFonts w:ascii="Book Antiqua" w:hAnsi="Book Antiqua"/>
          <w:vertAlign w:val="superscript"/>
          <w:lang w:val="en-US"/>
        </w:rPr>
        <w:t>[14]</w:t>
      </w:r>
      <w:r w:rsidRPr="008F0357">
        <w:rPr>
          <w:rFonts w:ascii="Book Antiqua" w:hAnsi="Book Antiqua"/>
          <w:lang w:val="en-US"/>
        </w:rPr>
        <w:t>. A more recent meta-analysis including 44 studies (13 case-control and 31 cross-section</w:t>
      </w:r>
      <w:r>
        <w:rPr>
          <w:rFonts w:ascii="Book Antiqua" w:hAnsi="Book Antiqua"/>
          <w:lang w:val="en-US"/>
        </w:rPr>
        <w:t>al studies), with a total of 17</w:t>
      </w:r>
      <w:r w:rsidRPr="008F0357">
        <w:rPr>
          <w:rFonts w:ascii="Book Antiqua" w:hAnsi="Book Antiqua"/>
          <w:lang w:val="en-US"/>
        </w:rPr>
        <w:t xml:space="preserve">374 patients, showed that GC </w:t>
      </w:r>
      <w:r w:rsidRPr="008F0357">
        <w:rPr>
          <w:rFonts w:ascii="Book Antiqua" w:hAnsi="Book Antiqua"/>
          <w:lang w:val="en-US"/>
        </w:rPr>
        <w:lastRenderedPageBreak/>
        <w:t xml:space="preserve">risk was higher in individuals infected with </w:t>
      </w:r>
      <w:r w:rsidRPr="008F0357">
        <w:rPr>
          <w:rFonts w:ascii="Book Antiqua" w:hAnsi="Book Antiqua"/>
          <w:i/>
          <w:lang w:val="en-US"/>
        </w:rPr>
        <w:t>cagA</w:t>
      </w:r>
      <w:r w:rsidRPr="008F0357">
        <w:rPr>
          <w:rFonts w:ascii="Book Antiqua" w:hAnsi="Book Antiqua"/>
          <w:lang w:val="en-US"/>
        </w:rPr>
        <w:t xml:space="preserve"> positive </w:t>
      </w:r>
      <w:r w:rsidRPr="008F0357">
        <w:rPr>
          <w:rFonts w:ascii="Book Antiqua" w:hAnsi="Book Antiqua"/>
          <w:i/>
          <w:lang w:val="en-US"/>
        </w:rPr>
        <w:t>H. pylori</w:t>
      </w:r>
      <w:r w:rsidRPr="008F0357">
        <w:rPr>
          <w:rFonts w:ascii="Book Antiqua" w:hAnsi="Book Antiqua"/>
          <w:lang w:val="en-US"/>
        </w:rPr>
        <w:t xml:space="preserve"> strains (OR </w:t>
      </w:r>
      <w:r w:rsidRPr="008F0357">
        <w:rPr>
          <w:rFonts w:ascii="Book Antiqua" w:hAnsi="Book Antiqua"/>
          <w:lang w:val="en-US" w:eastAsia="zh-CN"/>
        </w:rPr>
        <w:t xml:space="preserve">= </w:t>
      </w:r>
      <w:r w:rsidRPr="008F0357">
        <w:rPr>
          <w:rFonts w:ascii="Book Antiqua" w:hAnsi="Book Antiqua"/>
          <w:lang w:val="en-US"/>
        </w:rPr>
        <w:t>2.09; 95%CI</w:t>
      </w:r>
      <w:r w:rsidRPr="008F0357">
        <w:rPr>
          <w:rFonts w:ascii="Book Antiqua" w:hAnsi="Book Antiqua"/>
          <w:lang w:val="en-US" w:eastAsia="zh-CN"/>
        </w:rPr>
        <w:t>:</w:t>
      </w:r>
      <w:r w:rsidRPr="008F0357">
        <w:rPr>
          <w:rFonts w:ascii="Book Antiqua" w:hAnsi="Book Antiqua"/>
          <w:lang w:val="en-US"/>
        </w:rPr>
        <w:t xml:space="preserve"> 1.48-2.94) and in those infected with </w:t>
      </w:r>
      <w:r w:rsidRPr="008F0357">
        <w:rPr>
          <w:rFonts w:ascii="Book Antiqua" w:hAnsi="Book Antiqua"/>
          <w:i/>
          <w:lang w:val="en-US"/>
        </w:rPr>
        <w:t>vacA s1</w:t>
      </w:r>
      <w:r w:rsidRPr="008F0357">
        <w:rPr>
          <w:rFonts w:ascii="Book Antiqua" w:hAnsi="Book Antiqua"/>
          <w:lang w:val="en-US"/>
        </w:rPr>
        <w:t xml:space="preserve"> (OR 5.32; 95%CI 2.76-10.26), </w:t>
      </w:r>
      <w:r w:rsidRPr="008F0357">
        <w:rPr>
          <w:rFonts w:ascii="Book Antiqua" w:hAnsi="Book Antiqua"/>
          <w:i/>
          <w:lang w:val="en-US"/>
        </w:rPr>
        <w:t>vacA m1</w:t>
      </w:r>
      <w:r w:rsidRPr="008F0357">
        <w:rPr>
          <w:rFonts w:ascii="Book Antiqua" w:hAnsi="Book Antiqua"/>
          <w:lang w:val="en-US"/>
        </w:rPr>
        <w:t xml:space="preserve"> (OR </w:t>
      </w:r>
      <w:r w:rsidRPr="008F0357">
        <w:rPr>
          <w:rFonts w:ascii="Book Antiqua" w:hAnsi="Book Antiqua"/>
          <w:lang w:val="en-US" w:eastAsia="zh-CN"/>
        </w:rPr>
        <w:t xml:space="preserve">= </w:t>
      </w:r>
      <w:r w:rsidRPr="008F0357">
        <w:rPr>
          <w:rFonts w:ascii="Book Antiqua" w:hAnsi="Book Antiqua"/>
          <w:lang w:val="en-US"/>
        </w:rPr>
        <w:t>2.50; 95%CI</w:t>
      </w:r>
      <w:r w:rsidRPr="008F0357">
        <w:rPr>
          <w:rFonts w:ascii="Book Antiqua" w:hAnsi="Book Antiqua"/>
          <w:lang w:val="en-US" w:eastAsia="zh-CN"/>
        </w:rPr>
        <w:t>:</w:t>
      </w:r>
      <w:r w:rsidRPr="008F0357">
        <w:rPr>
          <w:rFonts w:ascii="Book Antiqua" w:hAnsi="Book Antiqua"/>
          <w:lang w:val="en-US"/>
        </w:rPr>
        <w:t xml:space="preserve"> 1.67-3.75), </w:t>
      </w:r>
      <w:r w:rsidRPr="008F0357">
        <w:rPr>
          <w:rFonts w:ascii="Book Antiqua" w:hAnsi="Book Antiqua"/>
          <w:i/>
          <w:lang w:val="en-US"/>
        </w:rPr>
        <w:t>vacA s1m1</w:t>
      </w:r>
      <w:r w:rsidRPr="008F0357">
        <w:rPr>
          <w:rFonts w:ascii="Book Antiqua" w:hAnsi="Book Antiqua"/>
          <w:lang w:val="en-US"/>
        </w:rPr>
        <w:t xml:space="preserve"> (OR </w:t>
      </w:r>
      <w:r w:rsidRPr="008F0357">
        <w:rPr>
          <w:rFonts w:ascii="Book Antiqua" w:hAnsi="Book Antiqua"/>
          <w:lang w:val="en-US" w:eastAsia="zh-CN"/>
        </w:rPr>
        <w:t xml:space="preserve">= </w:t>
      </w:r>
      <w:r w:rsidRPr="008F0357">
        <w:rPr>
          <w:rFonts w:ascii="Book Antiqua" w:hAnsi="Book Antiqua"/>
          <w:lang w:val="en-US"/>
        </w:rPr>
        <w:t>4.36 95%CI</w:t>
      </w:r>
      <w:r w:rsidRPr="008F0357">
        <w:rPr>
          <w:rFonts w:ascii="Book Antiqua" w:hAnsi="Book Antiqua"/>
          <w:lang w:val="en-US" w:eastAsia="zh-CN"/>
        </w:rPr>
        <w:t xml:space="preserve">: </w:t>
      </w:r>
      <w:r w:rsidRPr="008F0357">
        <w:rPr>
          <w:rFonts w:ascii="Book Antiqua" w:hAnsi="Book Antiqua"/>
          <w:lang w:val="en-US"/>
        </w:rPr>
        <w:t xml:space="preserve"> 2.08-9.10) </w:t>
      </w:r>
      <w:r w:rsidRPr="008F0357">
        <w:rPr>
          <w:rFonts w:ascii="Book Antiqua" w:hAnsi="Book Antiqua"/>
          <w:i/>
          <w:lang w:val="en-US"/>
        </w:rPr>
        <w:t>H. pylori</w:t>
      </w:r>
      <w:r w:rsidRPr="008F0357">
        <w:rPr>
          <w:rFonts w:ascii="Book Antiqua" w:hAnsi="Book Antiqua"/>
          <w:lang w:val="en-US"/>
        </w:rPr>
        <w:t xml:space="preserve"> strains</w:t>
      </w:r>
      <w:r w:rsidRPr="008F0357">
        <w:rPr>
          <w:rFonts w:ascii="Book Antiqua" w:hAnsi="Book Antiqua"/>
          <w:vertAlign w:val="superscript"/>
          <w:lang w:val="en-US"/>
        </w:rPr>
        <w:t>[15]</w:t>
      </w:r>
      <w:r w:rsidRPr="008F0357">
        <w:rPr>
          <w:rFonts w:ascii="Book Antiqua" w:hAnsi="Book Antiqua"/>
          <w:lang w:val="en-US"/>
        </w:rPr>
        <w:t>.</w:t>
      </w:r>
    </w:p>
    <w:p w:rsidR="00F10C6E" w:rsidRPr="008F0357" w:rsidRDefault="00F10C6E" w:rsidP="00A9041F">
      <w:pPr>
        <w:autoSpaceDE w:val="0"/>
        <w:autoSpaceDN w:val="0"/>
        <w:adjustRightInd w:val="0"/>
        <w:spacing w:line="360" w:lineRule="auto"/>
        <w:ind w:firstLineChars="150" w:firstLine="360"/>
        <w:jc w:val="both"/>
        <w:rPr>
          <w:rFonts w:ascii="Book Antiqua" w:hAnsi="Book Antiqua"/>
          <w:lang w:val="en-US"/>
        </w:rPr>
      </w:pPr>
      <w:r w:rsidRPr="008F0357">
        <w:rPr>
          <w:rFonts w:ascii="Book Antiqua" w:hAnsi="Book Antiqua"/>
          <w:i/>
          <w:lang w:val="en-US"/>
        </w:rPr>
        <w:t>CagA</w:t>
      </w:r>
      <w:r w:rsidRPr="008F0357">
        <w:rPr>
          <w:rFonts w:ascii="Book Antiqua" w:hAnsi="Book Antiqua"/>
          <w:lang w:val="en-US"/>
        </w:rPr>
        <w:t xml:space="preserve"> protein is phosphorylated on the tyrosine residue within the phosphorylation motifs in the carboxiterminal variable region. These motifs are defined as EPIYA (Glu-Pro-Ile-Tyr-Ala) A, B, C and D according to different flanking aminoacids. The magnitude of risk for GC increased with increasing number of EPIYA C motifs: strains with one EPIYA C motif conferred an OR of 17 (95%CI</w:t>
      </w:r>
      <w:r w:rsidRPr="008F0357">
        <w:rPr>
          <w:rFonts w:ascii="Book Antiqua" w:hAnsi="Book Antiqua"/>
          <w:lang w:val="en-US" w:eastAsia="zh-CN"/>
        </w:rPr>
        <w:t>:</w:t>
      </w:r>
      <w:r w:rsidRPr="008F0357">
        <w:rPr>
          <w:rFonts w:ascii="Book Antiqua" w:hAnsi="Book Antiqua"/>
          <w:lang w:val="en-US"/>
        </w:rPr>
        <w:t xml:space="preserve"> 5.4-55), and strains with two or more EPIYA C motifs conferred an OR of 51 (95%CI</w:t>
      </w:r>
      <w:r w:rsidRPr="008F0357">
        <w:rPr>
          <w:rFonts w:ascii="Book Antiqua" w:hAnsi="Book Antiqua"/>
          <w:lang w:val="en-US" w:eastAsia="zh-CN"/>
        </w:rPr>
        <w:t>:</w:t>
      </w:r>
      <w:r w:rsidRPr="008F0357">
        <w:rPr>
          <w:rFonts w:ascii="Book Antiqua" w:hAnsi="Book Antiqua"/>
          <w:lang w:val="en-US"/>
        </w:rPr>
        <w:t xml:space="preserve"> 13–198)</w:t>
      </w:r>
      <w:r w:rsidRPr="008F0357">
        <w:rPr>
          <w:rFonts w:ascii="Book Antiqua" w:hAnsi="Book Antiqua"/>
          <w:vertAlign w:val="superscript"/>
          <w:lang w:val="en-US"/>
        </w:rPr>
        <w:t>[16]</w:t>
      </w:r>
      <w:r w:rsidRPr="008F0357">
        <w:rPr>
          <w:rFonts w:ascii="Book Antiqua" w:hAnsi="Book Antiqua"/>
          <w:lang w:val="en-US"/>
        </w:rPr>
        <w:t>.</w:t>
      </w:r>
    </w:p>
    <w:p w:rsidR="00F10C6E" w:rsidRPr="008F0357" w:rsidRDefault="00F10C6E" w:rsidP="00A9041F">
      <w:pPr>
        <w:autoSpaceDE w:val="0"/>
        <w:autoSpaceDN w:val="0"/>
        <w:adjustRightInd w:val="0"/>
        <w:spacing w:line="360" w:lineRule="auto"/>
        <w:ind w:firstLineChars="150" w:firstLine="360"/>
        <w:jc w:val="both"/>
        <w:rPr>
          <w:rFonts w:ascii="Book Antiqua" w:hAnsi="Book Antiqua"/>
          <w:lang w:val="en-US"/>
        </w:rPr>
      </w:pPr>
      <w:r w:rsidRPr="008F0357">
        <w:rPr>
          <w:rFonts w:ascii="Book Antiqua" w:hAnsi="Book Antiqua"/>
          <w:lang w:val="en-US"/>
        </w:rPr>
        <w:t xml:space="preserve">Age at the time of </w:t>
      </w:r>
      <w:r w:rsidRPr="008F0357">
        <w:rPr>
          <w:rFonts w:ascii="Book Antiqua" w:hAnsi="Book Antiqua"/>
          <w:i/>
          <w:iCs/>
          <w:lang w:val="en-US"/>
        </w:rPr>
        <w:t xml:space="preserve">H. pylori </w:t>
      </w:r>
      <w:r w:rsidRPr="008F0357">
        <w:rPr>
          <w:rFonts w:ascii="Book Antiqua" w:hAnsi="Book Antiqua"/>
          <w:lang w:val="en-US"/>
        </w:rPr>
        <w:t xml:space="preserve">infection may be another determinant of the disease outcome. Epidemiological studies have revealed a high incidence of adulthood GC in areas with a high prevalence of </w:t>
      </w:r>
      <w:r w:rsidRPr="008F0357">
        <w:rPr>
          <w:rFonts w:ascii="Book Antiqua" w:hAnsi="Book Antiqua"/>
          <w:i/>
          <w:iCs/>
          <w:lang w:val="en-US"/>
        </w:rPr>
        <w:t xml:space="preserve">H. pylori </w:t>
      </w:r>
      <w:r w:rsidRPr="008F0357">
        <w:rPr>
          <w:rFonts w:ascii="Book Antiqua" w:hAnsi="Book Antiqua"/>
          <w:lang w:val="en-US"/>
        </w:rPr>
        <w:t>infection in childhood</w:t>
      </w:r>
      <w:r w:rsidRPr="008F0357">
        <w:rPr>
          <w:rFonts w:ascii="Book Antiqua" w:hAnsi="Book Antiqua"/>
          <w:vertAlign w:val="superscript"/>
          <w:lang w:val="en-US"/>
        </w:rPr>
        <w:t>[17,18]</w:t>
      </w:r>
      <w:r w:rsidRPr="008F0357">
        <w:rPr>
          <w:rFonts w:ascii="Book Antiqua" w:hAnsi="Book Antiqua"/>
          <w:lang w:val="en-US"/>
        </w:rPr>
        <w:t xml:space="preserve">. The younger Japanese </w:t>
      </w:r>
      <w:r w:rsidRPr="008F0357">
        <w:rPr>
          <w:rFonts w:ascii="Book Antiqua" w:hAnsi="Book Antiqua"/>
          <w:i/>
          <w:iCs/>
          <w:lang w:val="en-US"/>
        </w:rPr>
        <w:t>H. pylori-</w:t>
      </w:r>
      <w:r w:rsidRPr="008F0357">
        <w:rPr>
          <w:rFonts w:ascii="Book Antiqua" w:hAnsi="Book Antiqua"/>
          <w:iCs/>
          <w:lang w:val="en-US"/>
        </w:rPr>
        <w:t>infected</w:t>
      </w:r>
      <w:r w:rsidRPr="008F0357">
        <w:rPr>
          <w:rFonts w:ascii="Book Antiqua" w:hAnsi="Book Antiqua"/>
          <w:lang w:val="en-US"/>
        </w:rPr>
        <w:t xml:space="preserve"> generation </w:t>
      </w:r>
      <w:r w:rsidRPr="008F0357">
        <w:rPr>
          <w:rFonts w:ascii="Book Antiqua" w:hAnsi="Book Antiqua"/>
          <w:iCs/>
          <w:lang w:val="en-US"/>
        </w:rPr>
        <w:t>had an increased risk for GC (</w:t>
      </w:r>
      <w:r w:rsidRPr="008F0357">
        <w:rPr>
          <w:rFonts w:ascii="Book Antiqua" w:hAnsi="Book Antiqua"/>
          <w:lang w:val="en-US"/>
        </w:rPr>
        <w:t xml:space="preserve">OR </w:t>
      </w:r>
      <w:r w:rsidRPr="008F0357">
        <w:rPr>
          <w:rFonts w:ascii="Book Antiqua" w:hAnsi="Book Antiqua"/>
          <w:lang w:val="en-US" w:eastAsia="zh-CN"/>
        </w:rPr>
        <w:t xml:space="preserve">= </w:t>
      </w:r>
      <w:r w:rsidRPr="008F0357">
        <w:rPr>
          <w:rFonts w:ascii="Book Antiqua" w:hAnsi="Book Antiqua"/>
          <w:lang w:val="en-US"/>
        </w:rPr>
        <w:t>13.3; 95%CI</w:t>
      </w:r>
      <w:r w:rsidRPr="008F0357">
        <w:rPr>
          <w:rFonts w:ascii="Book Antiqua" w:hAnsi="Book Antiqua"/>
          <w:lang w:val="en-US" w:eastAsia="zh-CN"/>
        </w:rPr>
        <w:t>:</w:t>
      </w:r>
      <w:r w:rsidRPr="008F0357">
        <w:rPr>
          <w:rFonts w:ascii="Book Antiqua" w:hAnsi="Book Antiqua"/>
          <w:lang w:val="en-US"/>
        </w:rPr>
        <w:t xml:space="preserve"> 5.3-35.6)</w:t>
      </w:r>
      <w:r w:rsidRPr="008F0357">
        <w:rPr>
          <w:rFonts w:ascii="Book Antiqua" w:hAnsi="Book Antiqua"/>
          <w:vertAlign w:val="superscript"/>
          <w:lang w:val="en-US"/>
        </w:rPr>
        <w:t>[19]</w:t>
      </w:r>
      <w:r w:rsidRPr="008F0357">
        <w:rPr>
          <w:rFonts w:ascii="Book Antiqua" w:hAnsi="Book Antiqua"/>
          <w:lang w:val="en-US"/>
        </w:rPr>
        <w:t>.</w:t>
      </w:r>
      <w:r w:rsidRPr="008F0357">
        <w:rPr>
          <w:rFonts w:ascii="Book Antiqua" w:hAnsi="Book Antiqua"/>
          <w:lang w:val="en-US" w:eastAsia="zh-CN"/>
        </w:rPr>
        <w:t xml:space="preserve"> </w:t>
      </w:r>
      <w:r w:rsidRPr="008F0357">
        <w:rPr>
          <w:rFonts w:ascii="Book Antiqua" w:hAnsi="Book Antiqua"/>
          <w:lang w:val="en-US"/>
        </w:rPr>
        <w:t>Diet is another important etiological factor implicated in gastric carcinogenesis. High intake of salted, pickled or smoked foods, as well as dried fish and meat and refined carbohydrates, significantly increased the risk of developing GC, while, fibers, fresh vegetables and fruit were found to be inversely associated with GC risk. A large prospective study o</w:t>
      </w:r>
      <w:r>
        <w:rPr>
          <w:rFonts w:ascii="Book Antiqua" w:hAnsi="Book Antiqua"/>
          <w:lang w:val="en-US"/>
        </w:rPr>
        <w:t>n diet and cancer including 521</w:t>
      </w:r>
      <w:r w:rsidRPr="008F0357">
        <w:rPr>
          <w:rFonts w:ascii="Book Antiqua" w:hAnsi="Book Antiqua"/>
          <w:lang w:val="en-US"/>
        </w:rPr>
        <w:t>457 individuals aged 35-70 years from 10 European countries (EPIC</w:t>
      </w:r>
      <w:r w:rsidRPr="008F0357">
        <w:rPr>
          <w:rFonts w:ascii="Book Antiqua" w:hAnsi="Book Antiqua"/>
          <w:lang w:val="en-US" w:eastAsia="zh-CN"/>
        </w:rPr>
        <w:t>-</w:t>
      </w:r>
      <w:r w:rsidRPr="008F0357">
        <w:rPr>
          <w:rFonts w:ascii="Book Antiqua" w:hAnsi="Book Antiqua"/>
          <w:lang w:val="en-US"/>
        </w:rPr>
        <w:t xml:space="preserve">European Prospective Investigation into Cancer and Nutrition study), followed for 6.6 average years, reported a significant increase of non-cardia GC risk associated with intake of total meat (100g/d increase HR </w:t>
      </w:r>
      <w:r w:rsidRPr="008F0357">
        <w:rPr>
          <w:rFonts w:ascii="Book Antiqua" w:hAnsi="Book Antiqua"/>
          <w:lang w:val="en-US" w:eastAsia="zh-CN"/>
        </w:rPr>
        <w:t xml:space="preserve">= </w:t>
      </w:r>
      <w:r w:rsidRPr="008F0357">
        <w:rPr>
          <w:rFonts w:ascii="Book Antiqua" w:hAnsi="Book Antiqua"/>
          <w:lang w:val="en-US"/>
        </w:rPr>
        <w:t>3.52; 95%CI</w:t>
      </w:r>
      <w:r w:rsidRPr="008F0357">
        <w:rPr>
          <w:rFonts w:ascii="Book Antiqua" w:hAnsi="Book Antiqua"/>
          <w:lang w:val="en-US" w:eastAsia="zh-CN"/>
        </w:rPr>
        <w:t xml:space="preserve">: </w:t>
      </w:r>
      <w:r w:rsidRPr="008F0357">
        <w:rPr>
          <w:rFonts w:ascii="Book Antiqua" w:hAnsi="Book Antiqua"/>
          <w:lang w:val="en-US"/>
        </w:rPr>
        <w:t>1.96-6.34)</w:t>
      </w:r>
      <w:r w:rsidRPr="008F0357">
        <w:rPr>
          <w:rFonts w:ascii="Book Antiqua" w:hAnsi="Book Antiqua"/>
          <w:vertAlign w:val="superscript"/>
          <w:lang w:val="en-US"/>
        </w:rPr>
        <w:t>[20]</w:t>
      </w:r>
      <w:r w:rsidRPr="008F0357">
        <w:rPr>
          <w:rFonts w:ascii="Book Antiqua" w:hAnsi="Book Antiqua"/>
          <w:lang w:val="en-US"/>
        </w:rPr>
        <w:t xml:space="preserve">. A recent meta-analysis, including eight epidemiological studies, with a total of 53,729 subjects, reported an increased risk of GC associated with a “western/unhealthy” diet-rich in starchy foods, meat and fats in respect to a “prudent/healthy” diet rich in fruits and vegetables, (OR </w:t>
      </w:r>
      <w:r w:rsidRPr="008F0357">
        <w:rPr>
          <w:rFonts w:ascii="Book Antiqua" w:hAnsi="Book Antiqua"/>
          <w:lang w:val="en-US" w:eastAsia="zh-CN"/>
        </w:rPr>
        <w:t xml:space="preserve">= </w:t>
      </w:r>
      <w:r w:rsidRPr="008F0357">
        <w:rPr>
          <w:rFonts w:ascii="Book Antiqua" w:hAnsi="Book Antiqua"/>
          <w:lang w:val="en-US"/>
        </w:rPr>
        <w:t>1.51</w:t>
      </w:r>
      <w:r>
        <w:rPr>
          <w:rFonts w:ascii="Book Antiqua" w:hAnsi="Book Antiqua"/>
          <w:lang w:val="en-US" w:eastAsia="zh-CN"/>
        </w:rPr>
        <w:t>,</w:t>
      </w:r>
      <w:r w:rsidRPr="008F0357">
        <w:rPr>
          <w:rFonts w:ascii="Book Antiqua" w:hAnsi="Book Antiqua"/>
          <w:lang w:val="en-US"/>
        </w:rPr>
        <w:t xml:space="preserve"> 95%CI</w:t>
      </w:r>
      <w:r w:rsidRPr="008F0357">
        <w:rPr>
          <w:rFonts w:ascii="Book Antiqua" w:hAnsi="Book Antiqua"/>
          <w:lang w:val="en-US" w:eastAsia="zh-CN"/>
        </w:rPr>
        <w:t>:</w:t>
      </w:r>
      <w:r w:rsidRPr="008F0357">
        <w:rPr>
          <w:rFonts w:ascii="Book Antiqua" w:hAnsi="Book Antiqua"/>
          <w:lang w:val="en-US"/>
        </w:rPr>
        <w:t xml:space="preserve"> 1.21–1.89)</w:t>
      </w:r>
      <w:r w:rsidRPr="008F0357">
        <w:rPr>
          <w:rFonts w:ascii="Book Antiqua" w:hAnsi="Book Antiqua"/>
          <w:vertAlign w:val="superscript"/>
          <w:lang w:val="en-US"/>
        </w:rPr>
        <w:t>[21]</w:t>
      </w:r>
      <w:r w:rsidRPr="008F0357">
        <w:rPr>
          <w:rFonts w:ascii="Book Antiqua" w:hAnsi="Book Antiqua"/>
          <w:lang w:val="en-US"/>
        </w:rPr>
        <w:t xml:space="preserve">. In addition, dietary salt intake was directly associated with the risk of GC in a prospective population study (268718 participants, 1474 events, follow-up 6-15 years), with progressively increasing risk across consumption levels (high </w:t>
      </w:r>
      <w:r w:rsidRPr="008F0357">
        <w:rPr>
          <w:rFonts w:ascii="Book Antiqua" w:hAnsi="Book Antiqua"/>
          <w:i/>
          <w:lang w:val="en-US"/>
        </w:rPr>
        <w:t>vs</w:t>
      </w:r>
      <w:r w:rsidRPr="008F0357">
        <w:rPr>
          <w:rFonts w:ascii="Book Antiqua" w:hAnsi="Book Antiqua"/>
          <w:lang w:val="en-US"/>
        </w:rPr>
        <w:t xml:space="preserve"> low consumption RR </w:t>
      </w:r>
      <w:r w:rsidRPr="008F0357">
        <w:rPr>
          <w:rFonts w:ascii="Book Antiqua" w:hAnsi="Book Antiqua"/>
          <w:lang w:val="en-US" w:eastAsia="zh-CN"/>
        </w:rPr>
        <w:t xml:space="preserve">= </w:t>
      </w:r>
      <w:r w:rsidRPr="008F0357">
        <w:rPr>
          <w:rFonts w:ascii="Book Antiqua" w:hAnsi="Book Antiqua"/>
          <w:lang w:val="en-US"/>
        </w:rPr>
        <w:t>1.68</w:t>
      </w:r>
      <w:r>
        <w:rPr>
          <w:rFonts w:ascii="Book Antiqua" w:hAnsi="Book Antiqua"/>
          <w:lang w:val="en-US" w:eastAsia="zh-CN"/>
        </w:rPr>
        <w:t>,</w:t>
      </w:r>
      <w:r w:rsidRPr="008F0357">
        <w:rPr>
          <w:rFonts w:ascii="Book Antiqua" w:hAnsi="Book Antiqua"/>
          <w:lang w:val="en-US"/>
        </w:rPr>
        <w:t xml:space="preserve"> 95%CI</w:t>
      </w:r>
      <w:r w:rsidRPr="008F0357">
        <w:rPr>
          <w:rFonts w:ascii="Book Antiqua" w:hAnsi="Book Antiqua"/>
          <w:lang w:val="en-US" w:eastAsia="zh-CN"/>
        </w:rPr>
        <w:t>:</w:t>
      </w:r>
      <w:r w:rsidRPr="008F0357">
        <w:rPr>
          <w:rFonts w:ascii="Book Antiqua" w:hAnsi="Book Antiqua"/>
          <w:lang w:val="en-US"/>
        </w:rPr>
        <w:t xml:space="preserve"> 1.17-2.41, </w:t>
      </w:r>
      <w:r w:rsidRPr="008F0357">
        <w:rPr>
          <w:rFonts w:ascii="Book Antiqua" w:hAnsi="Book Antiqua"/>
          <w:i/>
          <w:lang w:val="en-US"/>
        </w:rPr>
        <w:t>P</w:t>
      </w:r>
      <w:r w:rsidRPr="008F0357">
        <w:rPr>
          <w:rFonts w:ascii="Book Antiqua" w:hAnsi="Book Antiqua"/>
          <w:lang w:val="en-US"/>
        </w:rPr>
        <w:t xml:space="preserve"> = 0.005, and moderately high vs low consumption RR </w:t>
      </w:r>
      <w:r w:rsidRPr="008F0357">
        <w:rPr>
          <w:rFonts w:ascii="Book Antiqua" w:hAnsi="Book Antiqua"/>
          <w:lang w:val="en-US" w:eastAsia="zh-CN"/>
        </w:rPr>
        <w:t xml:space="preserve">= </w:t>
      </w:r>
      <w:r w:rsidRPr="008F0357">
        <w:rPr>
          <w:rFonts w:ascii="Book Antiqua" w:hAnsi="Book Antiqua"/>
          <w:lang w:val="en-US"/>
        </w:rPr>
        <w:t>1.41; 95%CI</w:t>
      </w:r>
      <w:r w:rsidRPr="008F0357">
        <w:rPr>
          <w:rFonts w:ascii="Book Antiqua" w:hAnsi="Book Antiqua"/>
          <w:lang w:val="en-US" w:eastAsia="zh-CN"/>
        </w:rPr>
        <w:t>:</w:t>
      </w:r>
      <w:r w:rsidRPr="008F0357">
        <w:rPr>
          <w:rFonts w:ascii="Book Antiqua" w:hAnsi="Book Antiqua"/>
          <w:lang w:val="en-US"/>
        </w:rPr>
        <w:t xml:space="preserve"> 1.03-1.93, </w:t>
      </w:r>
      <w:r w:rsidRPr="008F0357">
        <w:rPr>
          <w:rFonts w:ascii="Book Antiqua" w:hAnsi="Book Antiqua"/>
          <w:i/>
          <w:lang w:val="en-US"/>
        </w:rPr>
        <w:t>P</w:t>
      </w:r>
      <w:r w:rsidRPr="008F0357">
        <w:rPr>
          <w:rFonts w:ascii="Book Antiqua" w:hAnsi="Book Antiqua"/>
          <w:lang w:val="en-US"/>
        </w:rPr>
        <w:t xml:space="preserve"> = 0.032)</w:t>
      </w:r>
      <w:r w:rsidRPr="008F0357">
        <w:rPr>
          <w:rFonts w:ascii="Book Antiqua" w:hAnsi="Book Antiqua"/>
          <w:vertAlign w:val="superscript"/>
          <w:lang w:val="en-US"/>
        </w:rPr>
        <w:t>[22]</w:t>
      </w:r>
      <w:r w:rsidRPr="008F0357">
        <w:rPr>
          <w:rFonts w:ascii="Book Antiqua" w:hAnsi="Book Antiqua"/>
          <w:lang w:val="en-US"/>
        </w:rPr>
        <w:t xml:space="preserve">. Opposite, the consumption of fruit and vegetables is a protective factor for GC. A recent EPIC analysis involving 477312 subjects with 683 incident GC cases, found an inverse association between total intake of vegetable and fruit </w:t>
      </w:r>
      <w:r w:rsidRPr="008F0357">
        <w:rPr>
          <w:rFonts w:ascii="Book Antiqua" w:hAnsi="Book Antiqua"/>
          <w:lang w:val="en-US"/>
        </w:rPr>
        <w:lastRenderedPageBreak/>
        <w:t xml:space="preserve">and GC risk (HR </w:t>
      </w:r>
      <w:r w:rsidRPr="008F0357">
        <w:rPr>
          <w:rFonts w:ascii="Book Antiqua" w:hAnsi="Book Antiqua"/>
          <w:lang w:val="en-US" w:eastAsia="zh-CN"/>
        </w:rPr>
        <w:t xml:space="preserve">= </w:t>
      </w:r>
      <w:r w:rsidRPr="008F0357">
        <w:rPr>
          <w:rFonts w:ascii="Book Antiqua" w:hAnsi="Book Antiqua"/>
          <w:lang w:val="en-US"/>
        </w:rPr>
        <w:t>0.77; 95%CI</w:t>
      </w:r>
      <w:r w:rsidRPr="008F0357">
        <w:rPr>
          <w:rFonts w:ascii="Book Antiqua" w:hAnsi="Book Antiqua"/>
          <w:lang w:val="en-US" w:eastAsia="zh-CN"/>
        </w:rPr>
        <w:t>:</w:t>
      </w:r>
      <w:r w:rsidRPr="008F0357">
        <w:rPr>
          <w:rFonts w:ascii="Book Antiqua" w:hAnsi="Book Antiqua"/>
          <w:lang w:val="en-US"/>
        </w:rPr>
        <w:t xml:space="preserve"> 0.57–1.04; p for trend 0.02)</w:t>
      </w:r>
      <w:r w:rsidRPr="008F0357">
        <w:rPr>
          <w:rFonts w:ascii="Book Antiqua" w:hAnsi="Book Antiqua"/>
          <w:vertAlign w:val="superscript"/>
          <w:lang w:val="en-US"/>
        </w:rPr>
        <w:t>[23]</w:t>
      </w:r>
      <w:r w:rsidRPr="008F0357">
        <w:rPr>
          <w:rFonts w:ascii="Book Antiqua" w:hAnsi="Book Antiqua"/>
          <w:lang w:val="en-US"/>
        </w:rPr>
        <w:t>.  However, although calibration revealed somewhat stronger inverse associations, there was no association between total or specific vegetables intake and GC risk. The inverse association between fresh fruit and risk of GC seems to be restricted to smokers and the Northern European countries</w:t>
      </w:r>
      <w:r w:rsidRPr="008F0357">
        <w:rPr>
          <w:rFonts w:ascii="Book Antiqua" w:hAnsi="Book Antiqua"/>
          <w:vertAlign w:val="superscript"/>
          <w:lang w:val="en-US"/>
        </w:rPr>
        <w:t>[23]</w:t>
      </w:r>
      <w:r w:rsidRPr="008F0357">
        <w:rPr>
          <w:rFonts w:ascii="Book Antiqua" w:hAnsi="Book Antiqua"/>
          <w:lang w:val="en-US"/>
        </w:rPr>
        <w:t>. According to the recent report from International Agency for Research on Cancer (IARC), GC is considered a tobacco-related cancer</w:t>
      </w:r>
      <w:r w:rsidRPr="008F0357">
        <w:rPr>
          <w:rFonts w:ascii="Book Antiqua" w:hAnsi="Book Antiqua"/>
          <w:vertAlign w:val="superscript"/>
          <w:lang w:val="en-US"/>
        </w:rPr>
        <w:t>[24]</w:t>
      </w:r>
      <w:r w:rsidRPr="008F0357">
        <w:rPr>
          <w:rFonts w:ascii="Book Antiqua" w:hAnsi="Book Antiqua"/>
          <w:lang w:val="en-US"/>
        </w:rPr>
        <w:t xml:space="preserve">. Ferrari </w:t>
      </w:r>
      <w:r w:rsidRPr="008F0357">
        <w:rPr>
          <w:rFonts w:ascii="Book Antiqua" w:hAnsi="Book Antiqua"/>
          <w:i/>
          <w:lang w:val="en-US"/>
        </w:rPr>
        <w:t>et al</w:t>
      </w:r>
      <w:r w:rsidRPr="008F0357">
        <w:rPr>
          <w:rFonts w:ascii="Book Antiqua" w:hAnsi="Book Antiqua"/>
          <w:vertAlign w:val="superscript"/>
          <w:lang w:val="en-US"/>
        </w:rPr>
        <w:t>[25]</w:t>
      </w:r>
      <w:r w:rsidRPr="008F0357">
        <w:rPr>
          <w:rFonts w:ascii="Book Antiqua" w:hAnsi="Book Antiqua"/>
          <w:vertAlign w:val="superscript"/>
          <w:lang w:val="en-US" w:eastAsia="zh-CN"/>
        </w:rPr>
        <w:t xml:space="preserve"> </w:t>
      </w:r>
      <w:r w:rsidRPr="008F0357">
        <w:rPr>
          <w:rFonts w:ascii="Book Antiqua" w:hAnsi="Book Antiqua"/>
          <w:lang w:val="en-US"/>
        </w:rPr>
        <w:t>studying risk factors for GC by populational databases analysis found that the consumption of tobacco was associated with the highest incidences of GC, with an average of 30.03% of the population being consumers of any tobacco product, compared with an average of 14.47% among countries with incidences of cancer below the 25</w:t>
      </w:r>
      <w:r w:rsidRPr="008F0357">
        <w:rPr>
          <w:rFonts w:ascii="Book Antiqua" w:hAnsi="Book Antiqua"/>
          <w:vertAlign w:val="superscript"/>
          <w:lang w:val="en-US"/>
        </w:rPr>
        <w:t>th</w:t>
      </w:r>
      <w:r w:rsidRPr="008F0357">
        <w:rPr>
          <w:rFonts w:ascii="Book Antiqua" w:hAnsi="Book Antiqua"/>
          <w:lang w:val="en-US"/>
        </w:rPr>
        <w:t xml:space="preserve"> percentile</w:t>
      </w:r>
      <w:r w:rsidRPr="008F0357">
        <w:rPr>
          <w:rFonts w:ascii="Book Antiqua" w:hAnsi="Book Antiqua"/>
          <w:vertAlign w:val="superscript"/>
          <w:lang w:val="en-US"/>
        </w:rPr>
        <w:t>.</w:t>
      </w:r>
    </w:p>
    <w:p w:rsidR="00F10C6E" w:rsidRPr="008F0357" w:rsidRDefault="00F10C6E" w:rsidP="00174C31">
      <w:pPr>
        <w:autoSpaceDE w:val="0"/>
        <w:autoSpaceDN w:val="0"/>
        <w:adjustRightInd w:val="0"/>
        <w:spacing w:line="360" w:lineRule="auto"/>
        <w:ind w:firstLineChars="150" w:firstLine="360"/>
        <w:jc w:val="both"/>
        <w:rPr>
          <w:rFonts w:ascii="Book Antiqua" w:hAnsi="Book Antiqua"/>
          <w:lang w:val="en-US"/>
        </w:rPr>
      </w:pPr>
      <w:r w:rsidRPr="008F0357">
        <w:rPr>
          <w:rFonts w:ascii="Book Antiqua" w:hAnsi="Book Antiqua"/>
          <w:lang w:val="en-US"/>
        </w:rPr>
        <w:t xml:space="preserve">The variability of </w:t>
      </w:r>
      <w:r w:rsidRPr="008F0357">
        <w:rPr>
          <w:rFonts w:ascii="Book Antiqua" w:hAnsi="Book Antiqua"/>
          <w:i/>
          <w:lang w:val="en-US"/>
        </w:rPr>
        <w:t>H. pylori</w:t>
      </w:r>
      <w:r w:rsidRPr="008F0357">
        <w:rPr>
          <w:rFonts w:ascii="Book Antiqua" w:hAnsi="Book Antiqua"/>
          <w:lang w:val="en-US"/>
        </w:rPr>
        <w:t xml:space="preserve"> infection and dietary habit may explain, at least in part, the geographical distribution of GC and the differences observed in the same country. </w:t>
      </w:r>
    </w:p>
    <w:p w:rsidR="00F10C6E" w:rsidRPr="008F0357" w:rsidRDefault="00F10C6E" w:rsidP="00174C31">
      <w:pPr>
        <w:autoSpaceDE w:val="0"/>
        <w:autoSpaceDN w:val="0"/>
        <w:adjustRightInd w:val="0"/>
        <w:spacing w:line="360" w:lineRule="auto"/>
        <w:ind w:firstLineChars="150" w:firstLine="360"/>
        <w:jc w:val="both"/>
        <w:rPr>
          <w:rFonts w:ascii="Book Antiqua" w:hAnsi="Book Antiqua"/>
          <w:lang w:val="en-US" w:eastAsia="zh-CN"/>
        </w:rPr>
      </w:pPr>
      <w:r w:rsidRPr="008F0357">
        <w:rPr>
          <w:rFonts w:ascii="Book Antiqua" w:hAnsi="Book Antiqua"/>
          <w:lang w:val="en-US"/>
        </w:rPr>
        <w:t>Genetic susceptibility also plays a role in the pathogenesis of GC. The risk of GC is increased in siblings or offspring of patients with GC of at least 1-5-times</w:t>
      </w:r>
      <w:r w:rsidRPr="008F0357">
        <w:rPr>
          <w:rFonts w:ascii="Book Antiqua" w:hAnsi="Book Antiqua"/>
          <w:vertAlign w:val="superscript"/>
          <w:lang w:val="en-US"/>
        </w:rPr>
        <w:t>[26]</w:t>
      </w:r>
      <w:r w:rsidRPr="008F0357">
        <w:rPr>
          <w:rFonts w:ascii="Book Antiqua" w:hAnsi="Book Antiqua"/>
          <w:lang w:val="en-US"/>
        </w:rPr>
        <w:t xml:space="preserve">. Interestingly, subjects with both a positive family history and infection with </w:t>
      </w:r>
      <w:r w:rsidRPr="008F0357">
        <w:rPr>
          <w:rFonts w:ascii="Book Antiqua" w:hAnsi="Book Antiqua"/>
          <w:i/>
          <w:lang w:val="en-US"/>
        </w:rPr>
        <w:t>cag A</w:t>
      </w:r>
      <w:r w:rsidRPr="008F0357">
        <w:rPr>
          <w:rFonts w:ascii="Book Antiqua" w:hAnsi="Book Antiqua"/>
          <w:lang w:val="en-US"/>
        </w:rPr>
        <w:t xml:space="preserve">-positive </w:t>
      </w:r>
      <w:r w:rsidRPr="008F0357">
        <w:rPr>
          <w:rFonts w:ascii="Book Antiqua" w:hAnsi="Book Antiqua"/>
          <w:i/>
          <w:iCs/>
          <w:lang w:val="en-US"/>
        </w:rPr>
        <w:t xml:space="preserve">H. pylori </w:t>
      </w:r>
      <w:r w:rsidRPr="008F0357">
        <w:rPr>
          <w:rFonts w:ascii="Book Antiqua" w:hAnsi="Book Antiqua"/>
          <w:lang w:val="en-US"/>
        </w:rPr>
        <w:t>strains had a 16-fold increased risk of GC</w:t>
      </w:r>
      <w:r w:rsidRPr="008F0357">
        <w:rPr>
          <w:rFonts w:ascii="Book Antiqua" w:hAnsi="Book Antiqua"/>
          <w:vertAlign w:val="superscript"/>
          <w:lang w:val="en-US"/>
        </w:rPr>
        <w:t>[27]</w:t>
      </w:r>
      <w:r w:rsidRPr="008F0357">
        <w:rPr>
          <w:rFonts w:ascii="Book Antiqua" w:hAnsi="Book Antiqua"/>
          <w:lang w:val="en-US"/>
        </w:rPr>
        <w:t xml:space="preserve">. On the other hand, genetic  alteration  of  the hosts is related to the severity of the </w:t>
      </w:r>
      <w:r w:rsidRPr="008F0357">
        <w:rPr>
          <w:rFonts w:ascii="Book Antiqua" w:hAnsi="Book Antiqua"/>
          <w:i/>
          <w:lang w:val="en-US"/>
        </w:rPr>
        <w:t>H. pylori</w:t>
      </w:r>
      <w:r w:rsidRPr="008F0357">
        <w:rPr>
          <w:rFonts w:ascii="Book Antiqua" w:hAnsi="Book Antiqua"/>
          <w:lang w:val="en-US"/>
        </w:rPr>
        <w:t>-related inﬂammation. Therefore, polymorphisms involved in the inﬂammatory response to this infection may affect susceptibility to GC. Two recent metanalyses involving a very large number of patients found that IL-1B -511C/T polymorphism, as well as TP53 rs1042522 polymorphism might contribute to GC susceptibility</w:t>
      </w:r>
      <w:r w:rsidRPr="008F0357">
        <w:rPr>
          <w:rFonts w:ascii="Book Antiqua" w:hAnsi="Book Antiqua"/>
          <w:vertAlign w:val="superscript"/>
          <w:lang w:val="en-US"/>
        </w:rPr>
        <w:t>[28,29]</w:t>
      </w:r>
      <w:r w:rsidRPr="008F0357">
        <w:rPr>
          <w:rFonts w:ascii="Book Antiqua" w:hAnsi="Book Antiqua"/>
          <w:lang w:val="en-US"/>
        </w:rPr>
        <w:t>. Opposite IL-10 -819C/T polymorphism may be a protective factor for GC in Asians</w:t>
      </w:r>
      <w:r w:rsidRPr="008F0357">
        <w:rPr>
          <w:rFonts w:ascii="Book Antiqua" w:hAnsi="Book Antiqua"/>
          <w:vertAlign w:val="superscript"/>
          <w:lang w:val="en-US"/>
        </w:rPr>
        <w:t>[30]</w:t>
      </w:r>
      <w:r w:rsidRPr="008F0357">
        <w:rPr>
          <w:rFonts w:ascii="Book Antiqua" w:hAnsi="Book Antiqua"/>
          <w:lang w:val="en-US"/>
        </w:rPr>
        <w:t xml:space="preserve">. </w:t>
      </w:r>
    </w:p>
    <w:p w:rsidR="00F10C6E" w:rsidRPr="008F0357" w:rsidRDefault="00F10C6E" w:rsidP="000A2D1C">
      <w:pPr>
        <w:autoSpaceDE w:val="0"/>
        <w:autoSpaceDN w:val="0"/>
        <w:adjustRightInd w:val="0"/>
        <w:spacing w:line="360" w:lineRule="auto"/>
        <w:jc w:val="both"/>
        <w:rPr>
          <w:rFonts w:ascii="Book Antiqua" w:hAnsi="Book Antiqua"/>
          <w:lang w:val="en-US"/>
        </w:rPr>
      </w:pPr>
    </w:p>
    <w:p w:rsidR="00F10C6E" w:rsidRPr="008F0357" w:rsidRDefault="00F10C6E" w:rsidP="000A2D1C">
      <w:pPr>
        <w:autoSpaceDE w:val="0"/>
        <w:autoSpaceDN w:val="0"/>
        <w:adjustRightInd w:val="0"/>
        <w:spacing w:line="360" w:lineRule="auto"/>
        <w:jc w:val="both"/>
        <w:rPr>
          <w:rFonts w:ascii="Book Antiqua" w:hAnsi="Book Antiqua"/>
          <w:b/>
          <w:bCs/>
          <w:i/>
          <w:iCs/>
          <w:lang w:val="en-US"/>
        </w:rPr>
      </w:pPr>
      <w:r w:rsidRPr="008F0357">
        <w:rPr>
          <w:rFonts w:ascii="Book Antiqua" w:hAnsi="Book Antiqua"/>
          <w:b/>
          <w:bCs/>
          <w:i/>
          <w:iCs/>
          <w:lang w:val="en-US"/>
        </w:rPr>
        <w:t xml:space="preserve">Diagnostic test </w:t>
      </w:r>
    </w:p>
    <w:p w:rsidR="00F10C6E" w:rsidRPr="008F0357" w:rsidRDefault="00F10C6E" w:rsidP="00174C31">
      <w:pPr>
        <w:spacing w:line="360" w:lineRule="auto"/>
        <w:jc w:val="both"/>
        <w:rPr>
          <w:rFonts w:ascii="Book Antiqua" w:hAnsi="Book Antiqua"/>
          <w:bCs/>
          <w:iCs/>
          <w:lang w:val="en-US"/>
        </w:rPr>
      </w:pPr>
      <w:r w:rsidRPr="008F0357">
        <w:rPr>
          <w:rFonts w:ascii="Book Antiqua" w:hAnsi="Book Antiqua"/>
          <w:bCs/>
          <w:iCs/>
          <w:lang w:val="en-US"/>
        </w:rPr>
        <w:t>“The ideal screening test s</w:t>
      </w:r>
      <w:r w:rsidRPr="008F0357">
        <w:rPr>
          <w:rFonts w:ascii="Book Antiqua" w:hAnsi="Book Antiqua"/>
          <w:bCs/>
          <w:lang w:val="en-US"/>
        </w:rPr>
        <w:t>hould be simple, safe, validated and acceptable to the population”.</w:t>
      </w:r>
      <w:r w:rsidRPr="008F0357">
        <w:rPr>
          <w:rFonts w:ascii="Book Antiqua" w:hAnsi="Book Antiqua"/>
          <w:bCs/>
          <w:iCs/>
          <w:lang w:val="en-US"/>
        </w:rPr>
        <w:t xml:space="preserve"> </w:t>
      </w:r>
      <w:r w:rsidRPr="008F0357">
        <w:rPr>
          <w:rFonts w:ascii="Book Antiqua" w:hAnsi="Book Antiqua"/>
          <w:lang w:val="en-US"/>
        </w:rPr>
        <w:t>Around 1960, GC screening using photofluorography was started in Miyagi prefecture in Japan. In 2001, this approach has been adopted nationwide for GC screening, even if, no randomized controlled trial has been published. Photofluorography looks for suspicious lesions such as decreased calibrum of lumen, stenosis, deformity, rigidity, presence of a niche or a filling defect in the gastric wall, changes in gastric folds and presence of polypoid lesions. Most of the case–control studies suggested a 40</w:t>
      </w:r>
      <w:r>
        <w:rPr>
          <w:rFonts w:ascii="Book Antiqua" w:hAnsi="Book Antiqua"/>
          <w:lang w:val="en-US" w:eastAsia="zh-CN"/>
        </w:rPr>
        <w:t>%</w:t>
      </w:r>
      <w:r w:rsidRPr="008F0357">
        <w:rPr>
          <w:rFonts w:ascii="Book Antiqua" w:hAnsi="Book Antiqua"/>
          <w:lang w:val="en-US"/>
        </w:rPr>
        <w:t>–60% decrease in GC mortality with photofluorography screening</w:t>
      </w:r>
      <w:r w:rsidRPr="008F0357">
        <w:rPr>
          <w:rFonts w:ascii="Book Antiqua" w:hAnsi="Book Antiqua"/>
          <w:vertAlign w:val="superscript"/>
          <w:lang w:val="en-US"/>
        </w:rPr>
        <w:t>[31-33]</w:t>
      </w:r>
      <w:r w:rsidRPr="008F0357">
        <w:rPr>
          <w:rFonts w:ascii="Book Antiqua" w:hAnsi="Book Antiqua"/>
          <w:lang w:val="en-US"/>
        </w:rPr>
        <w:t xml:space="preserve">. A meta-analysis of three </w:t>
      </w:r>
      <w:r w:rsidRPr="008F0357">
        <w:rPr>
          <w:rFonts w:ascii="Book Antiqua" w:hAnsi="Book Antiqua"/>
          <w:lang w:val="en-US"/>
        </w:rPr>
        <w:lastRenderedPageBreak/>
        <w:t>ca</w:t>
      </w:r>
      <w:r>
        <w:rPr>
          <w:rFonts w:ascii="Book Antiqua" w:hAnsi="Book Antiqua"/>
          <w:lang w:val="en-US"/>
        </w:rPr>
        <w:t>se–control studies, including 4</w:t>
      </w:r>
      <w:r w:rsidRPr="008F0357">
        <w:rPr>
          <w:rFonts w:ascii="Book Antiqua" w:hAnsi="Book Antiqua"/>
          <w:lang w:val="en-US"/>
        </w:rPr>
        <w:t xml:space="preserve">369 subjects, showed a mortality reduction from GC (male OR </w:t>
      </w:r>
      <w:r w:rsidRPr="008F0357">
        <w:rPr>
          <w:rFonts w:ascii="Book Antiqua" w:hAnsi="Book Antiqua"/>
          <w:lang w:val="en-US" w:eastAsia="zh-CN"/>
        </w:rPr>
        <w:t xml:space="preserve">= </w:t>
      </w:r>
      <w:r w:rsidRPr="008F0357">
        <w:rPr>
          <w:rFonts w:ascii="Book Antiqua" w:hAnsi="Book Antiqua"/>
          <w:lang w:val="en-US"/>
        </w:rPr>
        <w:t>0.47; 95%CI</w:t>
      </w:r>
      <w:r w:rsidRPr="008F0357">
        <w:rPr>
          <w:rFonts w:ascii="Book Antiqua" w:hAnsi="Book Antiqua"/>
          <w:lang w:val="en-US" w:eastAsia="zh-CN"/>
        </w:rPr>
        <w:t>:</w:t>
      </w:r>
      <w:r w:rsidRPr="008F0357">
        <w:rPr>
          <w:rFonts w:ascii="Book Antiqua" w:hAnsi="Book Antiqua"/>
          <w:lang w:val="en-US"/>
        </w:rPr>
        <w:t xml:space="preserve"> 0.29–0.52; female OR </w:t>
      </w:r>
      <w:r w:rsidRPr="008F0357">
        <w:rPr>
          <w:rFonts w:ascii="Book Antiqua" w:hAnsi="Book Antiqua"/>
          <w:lang w:val="en-US" w:eastAsia="zh-CN"/>
        </w:rPr>
        <w:t xml:space="preserve">= </w:t>
      </w:r>
      <w:r w:rsidRPr="008F0357">
        <w:rPr>
          <w:rFonts w:ascii="Book Antiqua" w:hAnsi="Book Antiqua"/>
          <w:lang w:val="en-US"/>
        </w:rPr>
        <w:t>0.50; 95%CI</w:t>
      </w:r>
      <w:r w:rsidRPr="008F0357">
        <w:rPr>
          <w:rFonts w:ascii="Book Antiqua" w:hAnsi="Book Antiqua"/>
          <w:lang w:val="en-US" w:eastAsia="zh-CN"/>
        </w:rPr>
        <w:t>:</w:t>
      </w:r>
      <w:r w:rsidRPr="008F0357">
        <w:rPr>
          <w:rFonts w:ascii="Book Antiqua" w:hAnsi="Book Antiqua"/>
          <w:lang w:val="en-US"/>
        </w:rPr>
        <w:t xml:space="preserve"> 0.34–0.72)</w:t>
      </w:r>
      <w:r w:rsidRPr="008F0357">
        <w:rPr>
          <w:rFonts w:ascii="Book Antiqua" w:hAnsi="Book Antiqua"/>
          <w:vertAlign w:val="superscript"/>
          <w:lang w:val="en-US"/>
        </w:rPr>
        <w:t>[34]</w:t>
      </w:r>
      <w:r w:rsidRPr="008F0357">
        <w:rPr>
          <w:rFonts w:ascii="Book Antiqua" w:hAnsi="Book Antiqua"/>
          <w:lang w:val="en-US"/>
        </w:rPr>
        <w:t>. Based on cancer registry data, the sensitivity of photofluorography ranged from 60% to 80%, whereas the specificity ranged from 80% to 90%</w:t>
      </w:r>
      <w:r w:rsidRPr="008F0357">
        <w:rPr>
          <w:rFonts w:ascii="Book Antiqua" w:hAnsi="Book Antiqua"/>
          <w:vertAlign w:val="superscript"/>
          <w:lang w:val="en-US"/>
        </w:rPr>
        <w:t>[35]</w:t>
      </w:r>
      <w:r w:rsidRPr="008F0357">
        <w:rPr>
          <w:rFonts w:ascii="Book Antiqua" w:hAnsi="Book Antiqua"/>
          <w:lang w:val="en-US"/>
        </w:rPr>
        <w:t>. However, due to the lack of data from prospective series, that defined death from GC as an endpoint, photofluorography got a low grade recommendation for population-based GC screening.</w:t>
      </w:r>
    </w:p>
    <w:p w:rsidR="00F10C6E" w:rsidRPr="008F0357" w:rsidRDefault="00F10C6E" w:rsidP="00174C31">
      <w:pPr>
        <w:autoSpaceDE w:val="0"/>
        <w:autoSpaceDN w:val="0"/>
        <w:adjustRightInd w:val="0"/>
        <w:spacing w:line="360" w:lineRule="auto"/>
        <w:ind w:firstLineChars="200" w:firstLine="480"/>
        <w:jc w:val="both"/>
        <w:rPr>
          <w:rFonts w:ascii="Book Antiqua" w:hAnsi="Book Antiqua"/>
          <w:lang w:val="en-US"/>
        </w:rPr>
      </w:pPr>
      <w:r w:rsidRPr="008F0357">
        <w:rPr>
          <w:rFonts w:ascii="Book Antiqua" w:hAnsi="Book Antiqua"/>
          <w:bCs/>
          <w:iCs/>
          <w:lang w:val="en-US"/>
        </w:rPr>
        <w:t xml:space="preserve">The discovery of </w:t>
      </w:r>
      <w:r w:rsidRPr="008F0357">
        <w:rPr>
          <w:rFonts w:ascii="Book Antiqua" w:hAnsi="Book Antiqua"/>
          <w:bCs/>
          <w:i/>
          <w:iCs/>
          <w:lang w:val="en-US"/>
        </w:rPr>
        <w:t>H. pylori</w:t>
      </w:r>
      <w:r w:rsidRPr="008F0357">
        <w:rPr>
          <w:rFonts w:ascii="Book Antiqua" w:hAnsi="Book Antiqua"/>
          <w:bCs/>
          <w:iCs/>
          <w:lang w:val="en-US"/>
        </w:rPr>
        <w:t xml:space="preserve"> in 1982, classified after few years (1994) </w:t>
      </w:r>
      <w:r w:rsidRPr="008F0357">
        <w:rPr>
          <w:rFonts w:ascii="Book Antiqua" w:hAnsi="Book Antiqua"/>
          <w:lang w:val="en-US"/>
        </w:rPr>
        <w:t>as first class carcinogen by the IARC</w:t>
      </w:r>
      <w:r w:rsidRPr="008F0357">
        <w:rPr>
          <w:rFonts w:ascii="Book Antiqua" w:hAnsi="Book Antiqua"/>
          <w:vertAlign w:val="superscript"/>
          <w:lang w:val="en-US"/>
        </w:rPr>
        <w:t>[36]</w:t>
      </w:r>
      <w:r w:rsidRPr="008F0357">
        <w:rPr>
          <w:rFonts w:ascii="Book Antiqua" w:hAnsi="Book Antiqua"/>
          <w:lang w:val="en-US"/>
        </w:rPr>
        <w:t>,</w:t>
      </w:r>
      <w:r w:rsidRPr="008F0357">
        <w:rPr>
          <w:rFonts w:ascii="Book Antiqua" w:hAnsi="Book Antiqua"/>
          <w:bCs/>
          <w:iCs/>
          <w:lang w:val="en-US"/>
        </w:rPr>
        <w:t xml:space="preserve"> has changed the approach to GC screening providing the possibility to adopt diagnostic test targeting the etiological agent. </w:t>
      </w:r>
      <w:r w:rsidRPr="008F0357">
        <w:rPr>
          <w:rFonts w:ascii="Book Antiqua" w:hAnsi="Book Antiqua"/>
          <w:i/>
          <w:lang w:val="en-US"/>
        </w:rPr>
        <w:t xml:space="preserve">Helicobacter pylori </w:t>
      </w:r>
      <w:r w:rsidRPr="008F0357">
        <w:rPr>
          <w:rFonts w:ascii="Book Antiqua" w:hAnsi="Book Antiqua"/>
          <w:lang w:val="en-US"/>
        </w:rPr>
        <w:t xml:space="preserve">is detected by </w:t>
      </w:r>
      <w:r w:rsidRPr="008F0357">
        <w:rPr>
          <w:rFonts w:ascii="Book Antiqua" w:hAnsi="Book Antiqua"/>
          <w:bCs/>
          <w:iCs/>
          <w:lang w:val="en-US"/>
        </w:rPr>
        <w:t xml:space="preserve">serological test, </w:t>
      </w:r>
      <w:r w:rsidRPr="008F0357">
        <w:rPr>
          <w:rFonts w:ascii="Book Antiqua" w:hAnsi="Book Antiqua"/>
          <w:bCs/>
          <w:iCs/>
          <w:vertAlign w:val="superscript"/>
          <w:lang w:val="en-US"/>
        </w:rPr>
        <w:t>13</w:t>
      </w:r>
      <w:r w:rsidRPr="008F0357">
        <w:rPr>
          <w:rFonts w:ascii="Book Antiqua" w:hAnsi="Book Antiqua"/>
          <w:bCs/>
          <w:iCs/>
          <w:lang w:val="en-US"/>
        </w:rPr>
        <w:t>C-urea Breath test (</w:t>
      </w:r>
      <w:r w:rsidRPr="008F0357">
        <w:rPr>
          <w:rFonts w:ascii="Book Antiqua" w:hAnsi="Book Antiqua"/>
          <w:bCs/>
          <w:iCs/>
          <w:vertAlign w:val="superscript"/>
          <w:lang w:val="en-US"/>
        </w:rPr>
        <w:t>13</w:t>
      </w:r>
      <w:r w:rsidRPr="008F0357">
        <w:rPr>
          <w:rFonts w:ascii="Book Antiqua" w:hAnsi="Book Antiqua"/>
          <w:bCs/>
          <w:iCs/>
          <w:lang w:val="en-US"/>
        </w:rPr>
        <w:t xml:space="preserve">C-UBT) and </w:t>
      </w:r>
      <w:r w:rsidRPr="008F0357">
        <w:rPr>
          <w:rFonts w:ascii="Book Antiqua" w:hAnsi="Book Antiqua"/>
          <w:bCs/>
          <w:i/>
          <w:iCs/>
          <w:lang w:val="en-US"/>
        </w:rPr>
        <w:t>H. pylori</w:t>
      </w:r>
      <w:r w:rsidRPr="008F0357">
        <w:rPr>
          <w:rFonts w:ascii="Book Antiqua" w:hAnsi="Book Antiqua"/>
          <w:bCs/>
          <w:iCs/>
          <w:lang w:val="en-US"/>
        </w:rPr>
        <w:t xml:space="preserve"> stool antigen (HpSA), but only serology got sufficient evidence to be considered as screening test, mainly in terms of health costs.</w:t>
      </w:r>
      <w:r w:rsidRPr="008F0357">
        <w:rPr>
          <w:rFonts w:ascii="Book Antiqua" w:hAnsi="Book Antiqua"/>
          <w:lang w:val="en-US"/>
        </w:rPr>
        <w:t xml:space="preserve"> Overall, studies on </w:t>
      </w:r>
      <w:r w:rsidRPr="008F0357">
        <w:rPr>
          <w:rFonts w:ascii="Book Antiqua" w:hAnsi="Book Antiqua"/>
          <w:i/>
          <w:lang w:val="en-US"/>
        </w:rPr>
        <w:t>H. pylori</w:t>
      </w:r>
      <w:r w:rsidRPr="008F0357">
        <w:rPr>
          <w:rFonts w:ascii="Book Antiqua" w:hAnsi="Book Antiqua"/>
          <w:lang w:val="en-US"/>
        </w:rPr>
        <w:t xml:space="preserve"> screening concluded that serology was cost-effective, but they did not show a reduction of GC risk in the general population</w:t>
      </w:r>
      <w:r w:rsidRPr="008F0357">
        <w:rPr>
          <w:rFonts w:ascii="Book Antiqua" w:hAnsi="Book Antiqua"/>
          <w:vertAlign w:val="superscript"/>
          <w:lang w:val="en-US"/>
        </w:rPr>
        <w:t>[37]</w:t>
      </w:r>
      <w:r w:rsidRPr="008F0357">
        <w:rPr>
          <w:rFonts w:ascii="Book Antiqua" w:hAnsi="Book Antiqua"/>
          <w:lang w:val="en-US"/>
        </w:rPr>
        <w:t xml:space="preserve">. On the other hand, when screening occurred at age 20, treatment for </w:t>
      </w:r>
      <w:r w:rsidRPr="008F0357">
        <w:rPr>
          <w:rFonts w:ascii="Book Antiqua" w:hAnsi="Book Antiqua"/>
          <w:i/>
          <w:lang w:val="en-US"/>
        </w:rPr>
        <w:t xml:space="preserve">H. pylori </w:t>
      </w:r>
      <w:r w:rsidRPr="008F0357">
        <w:rPr>
          <w:rFonts w:ascii="Book Antiqua" w:hAnsi="Book Antiqua"/>
          <w:lang w:val="en-US"/>
        </w:rPr>
        <w:t xml:space="preserve">reduced the mean lifetime GC risk by 14.5% in men and 26.6% in women, suggesting that </w:t>
      </w:r>
      <w:r w:rsidRPr="008F0357">
        <w:rPr>
          <w:rFonts w:ascii="Book Antiqua" w:hAnsi="Book Antiqua"/>
          <w:i/>
          <w:lang w:val="en-US"/>
        </w:rPr>
        <w:t>H. pylori</w:t>
      </w:r>
      <w:r w:rsidRPr="008F0357">
        <w:rPr>
          <w:rFonts w:ascii="Book Antiqua" w:hAnsi="Book Antiqua"/>
          <w:lang w:val="en-US"/>
        </w:rPr>
        <w:t xml:space="preserve"> prevention efforts should target younger age groups</w:t>
      </w:r>
      <w:r w:rsidRPr="008F0357">
        <w:rPr>
          <w:rFonts w:ascii="Book Antiqua" w:hAnsi="Book Antiqua"/>
          <w:vertAlign w:val="superscript"/>
          <w:lang w:val="en-US"/>
        </w:rPr>
        <w:t>[38]</w:t>
      </w:r>
      <w:r w:rsidRPr="008F0357">
        <w:rPr>
          <w:rFonts w:ascii="Book Antiqua" w:hAnsi="Book Antiqua"/>
          <w:lang w:val="en-US"/>
        </w:rPr>
        <w:t xml:space="preserve">. In spite of these positive results, currently, no clinical guidelines worldwide recommend screening for </w:t>
      </w:r>
      <w:r w:rsidRPr="008F0357">
        <w:rPr>
          <w:rFonts w:ascii="Book Antiqua" w:hAnsi="Book Antiqua"/>
          <w:i/>
          <w:lang w:val="en-US"/>
        </w:rPr>
        <w:t>H. pylori</w:t>
      </w:r>
      <w:r w:rsidRPr="008F0357">
        <w:rPr>
          <w:rFonts w:ascii="Book Antiqua" w:hAnsi="Book Antiqua"/>
          <w:lang w:val="en-US"/>
        </w:rPr>
        <w:t xml:space="preserve"> in young asymptomatic individuals.</w:t>
      </w:r>
    </w:p>
    <w:p w:rsidR="00F10C6E" w:rsidRPr="008F0357" w:rsidRDefault="00F10C6E" w:rsidP="00174C31">
      <w:pPr>
        <w:autoSpaceDE w:val="0"/>
        <w:autoSpaceDN w:val="0"/>
        <w:adjustRightInd w:val="0"/>
        <w:spacing w:line="360" w:lineRule="auto"/>
        <w:ind w:firstLineChars="200" w:firstLine="480"/>
        <w:jc w:val="both"/>
        <w:rPr>
          <w:rFonts w:ascii="Book Antiqua" w:hAnsi="Book Antiqua"/>
          <w:lang w:val="en-US"/>
        </w:rPr>
      </w:pPr>
      <w:r w:rsidRPr="008F0357">
        <w:rPr>
          <w:rFonts w:ascii="Book Antiqua" w:hAnsi="Book Antiqua"/>
          <w:bCs/>
          <w:iCs/>
          <w:lang w:val="en-US"/>
        </w:rPr>
        <w:t xml:space="preserve">Mounting evidence suggests to perform GC screening by using the serum profile of </w:t>
      </w:r>
      <w:r w:rsidRPr="008F0357">
        <w:rPr>
          <w:rFonts w:ascii="Book Antiqua" w:hAnsi="Book Antiqua"/>
          <w:bCs/>
          <w:iCs/>
          <w:lang w:val="en-GB"/>
        </w:rPr>
        <w:t>gastric secretion as marker of gastric atrophy. Loss of gastric chief cells leads to lower pepsinogen (PG)</w:t>
      </w:r>
      <w:r w:rsidRPr="008F0357">
        <w:rPr>
          <w:rFonts w:ascii="Book Antiqua" w:hAnsi="Book Antiqua"/>
          <w:bCs/>
          <w:iCs/>
          <w:lang w:val="en-GB" w:eastAsia="zh-CN"/>
        </w:rPr>
        <w:t xml:space="preserve"> </w:t>
      </w:r>
      <w:r w:rsidRPr="008F0357">
        <w:rPr>
          <w:rFonts w:ascii="Book Antiqua" w:hAnsi="Book Antiqua"/>
          <w:bCs/>
          <w:iCs/>
          <w:lang w:val="en-GB"/>
        </w:rPr>
        <w:t>I levels and a decreased PGI/PGII ratio in the peripheral blood</w:t>
      </w:r>
      <w:r w:rsidRPr="008F0357">
        <w:rPr>
          <w:rFonts w:ascii="Book Antiqua" w:hAnsi="Book Antiqua"/>
          <w:bCs/>
          <w:iCs/>
          <w:vertAlign w:val="superscript"/>
          <w:lang w:val="en-GB"/>
        </w:rPr>
        <w:t>[39,40]</w:t>
      </w:r>
      <w:r w:rsidRPr="008F0357">
        <w:rPr>
          <w:rFonts w:ascii="Book Antiqua" w:hAnsi="Book Antiqua"/>
          <w:bCs/>
          <w:iCs/>
          <w:lang w:val="en-GB"/>
        </w:rPr>
        <w:t xml:space="preserve">. Thus, such tests may be considered a non-invasive ‘‘serological biopsy,’’ to detect gastric atrophy and may be a key tool of screening programs. Di Mario </w:t>
      </w:r>
      <w:r w:rsidRPr="008F0357">
        <w:rPr>
          <w:rFonts w:ascii="Book Antiqua" w:hAnsi="Book Antiqua"/>
          <w:bCs/>
          <w:i/>
          <w:iCs/>
          <w:lang w:val="en-GB"/>
        </w:rPr>
        <w:t>et al</w:t>
      </w:r>
      <w:r w:rsidRPr="008F0357">
        <w:rPr>
          <w:rFonts w:ascii="Book Antiqua" w:hAnsi="Book Antiqua"/>
          <w:vertAlign w:val="superscript"/>
          <w:lang w:val="en-US"/>
        </w:rPr>
        <w:t>[41]</w:t>
      </w:r>
      <w:r w:rsidRPr="008F0357">
        <w:rPr>
          <w:rFonts w:ascii="Book Antiqua" w:hAnsi="Book Antiqua"/>
          <w:bCs/>
          <w:iCs/>
          <w:lang w:val="en-GB"/>
        </w:rPr>
        <w:t xml:space="preserve"> and Bodger </w:t>
      </w:r>
      <w:r w:rsidRPr="008F0357">
        <w:rPr>
          <w:rFonts w:ascii="Book Antiqua" w:hAnsi="Book Antiqua"/>
          <w:bCs/>
          <w:i/>
          <w:iCs/>
          <w:lang w:val="en-GB"/>
        </w:rPr>
        <w:t>et al</w:t>
      </w:r>
      <w:r w:rsidRPr="008F0357">
        <w:rPr>
          <w:rFonts w:ascii="Book Antiqua" w:hAnsi="Book Antiqua"/>
          <w:vertAlign w:val="superscript"/>
          <w:lang w:val="en-US"/>
        </w:rPr>
        <w:t>[</w:t>
      </w:r>
      <w:r w:rsidRPr="008F0357">
        <w:rPr>
          <w:rFonts w:ascii="Book Antiqua" w:hAnsi="Book Antiqua"/>
          <w:vertAlign w:val="superscript"/>
          <w:lang w:val="en-US" w:eastAsia="zh-CN"/>
        </w:rPr>
        <w:t>42</w:t>
      </w:r>
      <w:r w:rsidRPr="008F0357">
        <w:rPr>
          <w:rFonts w:ascii="Book Antiqua" w:hAnsi="Book Antiqua"/>
          <w:vertAlign w:val="superscript"/>
          <w:lang w:val="en-US"/>
        </w:rPr>
        <w:t>]</w:t>
      </w:r>
      <w:r w:rsidRPr="008F0357">
        <w:rPr>
          <w:rFonts w:ascii="Book Antiqua" w:hAnsi="Book Antiqua"/>
          <w:bCs/>
          <w:iCs/>
          <w:lang w:val="en-GB"/>
        </w:rPr>
        <w:t xml:space="preserve">  independently found that PGI levels were inversely associated to atrophic body gastritis while PGII levels positively correlated with the severity of </w:t>
      </w:r>
      <w:r w:rsidRPr="008F0357">
        <w:rPr>
          <w:rFonts w:ascii="Book Antiqua" w:hAnsi="Book Antiqua"/>
          <w:bCs/>
          <w:i/>
          <w:iCs/>
          <w:lang w:val="en-GB"/>
        </w:rPr>
        <w:t>H. pylori-</w:t>
      </w:r>
      <w:r w:rsidRPr="008F0357">
        <w:rPr>
          <w:rFonts w:ascii="Book Antiqua" w:hAnsi="Book Antiqua"/>
          <w:bCs/>
          <w:iCs/>
          <w:lang w:val="en-GB"/>
        </w:rPr>
        <w:t>related gastric inflammation</w:t>
      </w:r>
      <w:r w:rsidRPr="008F0357">
        <w:rPr>
          <w:rFonts w:ascii="Book Antiqua" w:hAnsi="Book Antiqua"/>
          <w:lang w:val="en-US"/>
        </w:rPr>
        <w:t>.</w:t>
      </w:r>
      <w:r w:rsidRPr="008F0357">
        <w:rPr>
          <w:rFonts w:ascii="Book Antiqua" w:hAnsi="Book Antiqua"/>
          <w:bCs/>
          <w:iCs/>
          <w:lang w:val="en-GB"/>
        </w:rPr>
        <w:t xml:space="preserve"> </w:t>
      </w:r>
      <w:r w:rsidRPr="008F0357">
        <w:rPr>
          <w:rFonts w:ascii="Book Antiqua" w:hAnsi="Book Antiqua"/>
          <w:lang w:val="en-US"/>
        </w:rPr>
        <w:t>Individuals with a strong-positive serum PG test, based on the combination of the serum pepsinogen I level and pepsinogen I/II ratio, had at least a 4-time higher risk of GC for up to 14 years of follow-up compared with those with a negative serum PG test</w:t>
      </w:r>
      <w:r w:rsidRPr="008F0357">
        <w:rPr>
          <w:rFonts w:ascii="Book Antiqua" w:hAnsi="Book Antiqua"/>
          <w:vertAlign w:val="superscript"/>
          <w:lang w:val="en-US"/>
        </w:rPr>
        <w:t>[43]</w:t>
      </w:r>
      <w:r w:rsidRPr="008F0357">
        <w:rPr>
          <w:rFonts w:ascii="Book Antiqua" w:hAnsi="Book Antiqua"/>
          <w:lang w:val="en-US"/>
        </w:rPr>
        <w:t xml:space="preserve">. </w:t>
      </w:r>
      <w:r w:rsidRPr="008F0357">
        <w:rPr>
          <w:rFonts w:ascii="Book Antiqua" w:hAnsi="Book Antiqua"/>
          <w:bCs/>
          <w:iCs/>
          <w:lang w:val="en-GB"/>
        </w:rPr>
        <w:t>The potential usefulness of serum PG tests has been documented in many countries such as Japan, China, Italy, Sweden, Finland, Portugal, Costa Rica, Mexico and others</w:t>
      </w:r>
      <w:r w:rsidRPr="008F0357">
        <w:rPr>
          <w:rFonts w:ascii="Book Antiqua" w:hAnsi="Book Antiqua"/>
          <w:bCs/>
          <w:iCs/>
          <w:vertAlign w:val="superscript"/>
          <w:lang w:val="en-GB"/>
        </w:rPr>
        <w:t>[44]</w:t>
      </w:r>
      <w:r w:rsidRPr="008F0357">
        <w:rPr>
          <w:rFonts w:ascii="Book Antiqua" w:hAnsi="Book Antiqua"/>
          <w:bCs/>
          <w:iCs/>
          <w:lang w:val="en-GB"/>
        </w:rPr>
        <w:t xml:space="preserve">. </w:t>
      </w:r>
      <w:r w:rsidRPr="008F0357">
        <w:rPr>
          <w:rFonts w:ascii="Book Antiqua" w:hAnsi="Book Antiqua"/>
          <w:lang w:val="en-US"/>
        </w:rPr>
        <w:t xml:space="preserve">In 2004, a pooled meta-analysis of Japanese studies assessing approximately 300000 people, showed that the sensitivity and specificity of serum PG testing for GC screening </w:t>
      </w:r>
      <w:r w:rsidRPr="008F0357">
        <w:rPr>
          <w:rFonts w:ascii="Book Antiqua" w:hAnsi="Book Antiqua"/>
          <w:lang w:val="en-US"/>
        </w:rPr>
        <w:lastRenderedPageBreak/>
        <w:t>were 77% and 73%, respectively</w:t>
      </w:r>
      <w:r w:rsidRPr="008F0357">
        <w:rPr>
          <w:rFonts w:ascii="Book Antiqua" w:hAnsi="Book Antiqua"/>
          <w:vertAlign w:val="superscript"/>
          <w:lang w:val="en-US"/>
        </w:rPr>
        <w:t>[45]</w:t>
      </w:r>
      <w:r w:rsidRPr="008F0357">
        <w:rPr>
          <w:rFonts w:ascii="Book Antiqua" w:hAnsi="Book Antiqua"/>
          <w:lang w:val="en-US"/>
        </w:rPr>
        <w:t>. Subsequently, cancer screening programs in Japan have accepted the measurement of serum PG as a noninvasive screening test of GC</w:t>
      </w:r>
      <w:r w:rsidRPr="008F0357">
        <w:rPr>
          <w:rFonts w:ascii="Book Antiqua" w:hAnsi="Book Antiqua"/>
          <w:vertAlign w:val="superscript"/>
          <w:lang w:val="en-US"/>
        </w:rPr>
        <w:t>[46]</w:t>
      </w:r>
      <w:r w:rsidRPr="008F0357">
        <w:rPr>
          <w:rFonts w:ascii="Book Antiqua" w:hAnsi="Book Antiqua"/>
          <w:lang w:val="en-US"/>
        </w:rPr>
        <w:t xml:space="preserve">. </w:t>
      </w:r>
    </w:p>
    <w:p w:rsidR="00F10C6E" w:rsidRPr="008F0357" w:rsidRDefault="00F10C6E" w:rsidP="00174C31">
      <w:pPr>
        <w:autoSpaceDE w:val="0"/>
        <w:autoSpaceDN w:val="0"/>
        <w:adjustRightInd w:val="0"/>
        <w:spacing w:line="360" w:lineRule="auto"/>
        <w:ind w:firstLineChars="200" w:firstLine="480"/>
        <w:jc w:val="both"/>
        <w:rPr>
          <w:rFonts w:ascii="Book Antiqua" w:hAnsi="Book Antiqua"/>
          <w:bCs/>
          <w:iCs/>
          <w:lang w:val="en-US"/>
        </w:rPr>
      </w:pPr>
      <w:r w:rsidRPr="008F0357">
        <w:rPr>
          <w:rFonts w:ascii="Book Antiqua" w:hAnsi="Book Antiqua"/>
          <w:lang w:val="en-US"/>
        </w:rPr>
        <w:t xml:space="preserve">The combination of </w:t>
      </w:r>
      <w:r w:rsidRPr="008F0357">
        <w:rPr>
          <w:rFonts w:ascii="Book Antiqua" w:hAnsi="Book Antiqua"/>
          <w:i/>
          <w:iCs/>
          <w:lang w:val="en-US"/>
        </w:rPr>
        <w:t xml:space="preserve">H. pylori </w:t>
      </w:r>
      <w:r w:rsidRPr="008F0357">
        <w:rPr>
          <w:rFonts w:ascii="Book Antiqua" w:hAnsi="Book Antiqua"/>
          <w:lang w:val="en-US"/>
        </w:rPr>
        <w:t xml:space="preserve">serology and the measurement of PG concentrations might be good for predicting GC development. In a large Japanese series, more than 9,000 people were stratified according to </w:t>
      </w:r>
      <w:r w:rsidRPr="008F0357">
        <w:rPr>
          <w:rFonts w:ascii="Book Antiqua" w:hAnsi="Book Antiqua"/>
          <w:i/>
          <w:iCs/>
          <w:lang w:val="en-US"/>
        </w:rPr>
        <w:t xml:space="preserve">H-pylori </w:t>
      </w:r>
      <w:r w:rsidRPr="008F0357">
        <w:rPr>
          <w:rFonts w:ascii="Book Antiqua" w:hAnsi="Book Antiqua"/>
          <w:lang w:val="en-US"/>
        </w:rPr>
        <w:t xml:space="preserve">antibody status (positive </w:t>
      </w:r>
      <w:r w:rsidRPr="008F0357">
        <w:rPr>
          <w:rFonts w:ascii="Book Antiqua" w:hAnsi="Book Antiqua"/>
          <w:i/>
          <w:iCs/>
          <w:lang w:val="en-US"/>
        </w:rPr>
        <w:t xml:space="preserve">vs </w:t>
      </w:r>
      <w:r w:rsidRPr="008F0357">
        <w:rPr>
          <w:rFonts w:ascii="Book Antiqua" w:hAnsi="Book Antiqua"/>
          <w:lang w:val="en-US"/>
        </w:rPr>
        <w:t xml:space="preserve">negative) and serum PG concentrations (normal </w:t>
      </w:r>
      <w:r w:rsidRPr="008F0357">
        <w:rPr>
          <w:rFonts w:ascii="Book Antiqua" w:hAnsi="Book Antiqua"/>
          <w:i/>
          <w:iCs/>
          <w:lang w:val="en-US"/>
        </w:rPr>
        <w:t xml:space="preserve">vs </w:t>
      </w:r>
      <w:r w:rsidRPr="008F0357">
        <w:rPr>
          <w:rFonts w:ascii="Book Antiqua" w:hAnsi="Book Antiqua"/>
          <w:lang w:val="en-US"/>
        </w:rPr>
        <w:t>atrophic)</w:t>
      </w:r>
      <w:r w:rsidRPr="008F0357">
        <w:rPr>
          <w:rFonts w:ascii="Book Antiqua" w:hAnsi="Book Antiqua"/>
          <w:vertAlign w:val="superscript"/>
          <w:lang w:val="en-US"/>
        </w:rPr>
        <w:t>[47]</w:t>
      </w:r>
      <w:r w:rsidRPr="008F0357">
        <w:rPr>
          <w:rFonts w:ascii="Book Antiqua" w:hAnsi="Book Antiqua"/>
          <w:lang w:val="en-US"/>
        </w:rPr>
        <w:t xml:space="preserve">. PG concentrations indicative of atrophic gastritis increased the risk of developing GC in a 5-year follow-up of 6–8-times in respect to normal PG concentrations. In addition, individuals with both negative </w:t>
      </w:r>
      <w:r w:rsidRPr="008F0357">
        <w:rPr>
          <w:rFonts w:ascii="Book Antiqua" w:hAnsi="Book Antiqua"/>
          <w:i/>
          <w:iCs/>
          <w:lang w:val="en-US"/>
        </w:rPr>
        <w:t xml:space="preserve">H. pylori </w:t>
      </w:r>
      <w:r w:rsidRPr="008F0357">
        <w:rPr>
          <w:rFonts w:ascii="Book Antiqua" w:hAnsi="Book Antiqua"/>
          <w:lang w:val="en-US"/>
        </w:rPr>
        <w:t xml:space="preserve">serology and reduced </w:t>
      </w:r>
      <w:r w:rsidRPr="008F0357">
        <w:rPr>
          <w:rFonts w:ascii="Book Antiqua" w:hAnsi="Book Antiqua"/>
          <w:bCs/>
          <w:iCs/>
          <w:lang w:val="en-GB"/>
        </w:rPr>
        <w:t xml:space="preserve">PGI/PGII ratio, </w:t>
      </w:r>
      <w:r w:rsidRPr="008F0357">
        <w:rPr>
          <w:rFonts w:ascii="Book Antiqua" w:hAnsi="Book Antiqua"/>
          <w:lang w:val="en-US"/>
        </w:rPr>
        <w:t xml:space="preserve">had a higher risk than those with positive serology, presumably due to loss of </w:t>
      </w:r>
      <w:r w:rsidRPr="008F0357">
        <w:rPr>
          <w:rFonts w:ascii="Book Antiqua" w:hAnsi="Book Antiqua"/>
          <w:i/>
          <w:iCs/>
          <w:lang w:val="en-US"/>
        </w:rPr>
        <w:t xml:space="preserve">H. pylori </w:t>
      </w:r>
      <w:r w:rsidRPr="008F0357">
        <w:rPr>
          <w:rFonts w:ascii="Book Antiqua" w:hAnsi="Book Antiqua"/>
          <w:lang w:val="en-US"/>
        </w:rPr>
        <w:t xml:space="preserve">in advanced gastric atrophy. Similarly, men who were older than 60 years and who had negative </w:t>
      </w:r>
      <w:r w:rsidRPr="008F0357">
        <w:rPr>
          <w:rFonts w:ascii="Book Antiqua" w:hAnsi="Book Antiqua"/>
          <w:i/>
          <w:iCs/>
          <w:lang w:val="en-US"/>
        </w:rPr>
        <w:t xml:space="preserve">H. pylori </w:t>
      </w:r>
      <w:r w:rsidRPr="008F0357">
        <w:rPr>
          <w:rFonts w:ascii="Book Antiqua" w:hAnsi="Book Antiqua"/>
          <w:lang w:val="en-US"/>
        </w:rPr>
        <w:t>serology had the highest (1</w:t>
      </w:r>
      <w:r w:rsidRPr="008F0357">
        <w:rPr>
          <w:rFonts w:ascii="Book Antiqua" w:hAnsi="Book Antiqua"/>
          <w:lang w:val="en-US" w:eastAsia="zh-CN"/>
        </w:rPr>
        <w:t>%</w:t>
      </w:r>
      <w:r w:rsidRPr="008F0357">
        <w:rPr>
          <w:rFonts w:ascii="Book Antiqua" w:hAnsi="Book Antiqua"/>
          <w:lang w:val="en-US"/>
        </w:rPr>
        <w:t>-8%) annual GC incidence</w:t>
      </w:r>
      <w:r w:rsidRPr="008F0357">
        <w:rPr>
          <w:rFonts w:ascii="Book Antiqua" w:hAnsi="Book Antiqua"/>
          <w:vertAlign w:val="superscript"/>
          <w:lang w:val="en-US"/>
        </w:rPr>
        <w:t>[47]</w:t>
      </w:r>
      <w:r w:rsidRPr="008F0357">
        <w:rPr>
          <w:rFonts w:ascii="Book Antiqua" w:hAnsi="Book Antiqua"/>
          <w:lang w:val="en-US"/>
        </w:rPr>
        <w:t xml:space="preserve">. </w:t>
      </w:r>
    </w:p>
    <w:p w:rsidR="00F10C6E" w:rsidRPr="008F0357" w:rsidRDefault="00F10C6E" w:rsidP="00174C31">
      <w:pPr>
        <w:autoSpaceDE w:val="0"/>
        <w:autoSpaceDN w:val="0"/>
        <w:adjustRightInd w:val="0"/>
        <w:spacing w:line="360" w:lineRule="auto"/>
        <w:ind w:firstLineChars="200" w:firstLine="480"/>
        <w:jc w:val="both"/>
        <w:rPr>
          <w:rFonts w:ascii="Book Antiqua" w:hAnsi="Book Antiqua"/>
          <w:lang w:val="en-US"/>
        </w:rPr>
      </w:pPr>
      <w:r w:rsidRPr="008F0357">
        <w:rPr>
          <w:rFonts w:ascii="Book Antiqua" w:hAnsi="Book Antiqua"/>
          <w:lang w:val="en-US"/>
        </w:rPr>
        <w:t>Gastrin-17 has been proposed for the identification of patients with gastric atrophy</w:t>
      </w:r>
      <w:r w:rsidRPr="008F0357">
        <w:rPr>
          <w:rFonts w:ascii="Book Antiqua" w:hAnsi="Book Antiqua"/>
          <w:vertAlign w:val="superscript"/>
          <w:lang w:val="en-US"/>
        </w:rPr>
        <w:t>[46]</w:t>
      </w:r>
      <w:r w:rsidRPr="008F0357">
        <w:rPr>
          <w:rFonts w:ascii="Book Antiqua" w:hAnsi="Book Antiqua"/>
          <w:lang w:val="en-US"/>
        </w:rPr>
        <w:t>. Serum or plasma gastrin-17 concentrations depend on intragastric acidity and on the number of G cells in the antrum. Fasting gastrin-17 concentration is low in people with high acid production or atrophic antrum gastritis. Therefore, the use of serum gastrin-17 measurement alone cannot be used as a single serum marker for GC. The combination of serum PG concentrations and serum gastrin-17 can diagnose atrophic gastritis that is limited to the antrum (</w:t>
      </w:r>
      <w:r w:rsidRPr="008F0357">
        <w:rPr>
          <w:rFonts w:ascii="Book Antiqua" w:hAnsi="Book Antiqua"/>
          <w:i/>
          <w:lang w:val="en-US"/>
        </w:rPr>
        <w:t>i.e.</w:t>
      </w:r>
      <w:r w:rsidRPr="008F0357">
        <w:rPr>
          <w:rFonts w:ascii="Book Antiqua" w:hAnsi="Book Antiqua"/>
          <w:lang w:val="en-US"/>
        </w:rPr>
        <w:t>, low gastrin-17 concentration) or corpus (</w:t>
      </w:r>
      <w:r w:rsidRPr="008F0357">
        <w:rPr>
          <w:rFonts w:ascii="Book Antiqua" w:hAnsi="Book Antiqua"/>
          <w:i/>
          <w:lang w:val="en-US"/>
        </w:rPr>
        <w:t>i.e.</w:t>
      </w:r>
      <w:r w:rsidRPr="008F0357">
        <w:rPr>
          <w:rFonts w:ascii="Book Antiqua" w:hAnsi="Book Antiqua"/>
          <w:lang w:val="en-US"/>
        </w:rPr>
        <w:t>, high gastrin-17 concentration)</w:t>
      </w:r>
      <w:r w:rsidRPr="008F0357">
        <w:rPr>
          <w:rFonts w:ascii="Book Antiqua" w:hAnsi="Book Antiqua"/>
          <w:vertAlign w:val="superscript"/>
          <w:lang w:val="en-US"/>
        </w:rPr>
        <w:t>[48,49]</w:t>
      </w:r>
      <w:r w:rsidRPr="008F0357">
        <w:rPr>
          <w:rFonts w:ascii="Book Antiqua" w:hAnsi="Book Antiqua"/>
          <w:lang w:val="en-US"/>
        </w:rPr>
        <w:t xml:space="preserve">. </w:t>
      </w:r>
    </w:p>
    <w:p w:rsidR="00F10C6E" w:rsidRPr="008F0357" w:rsidRDefault="00F10C6E" w:rsidP="00174C31">
      <w:pPr>
        <w:autoSpaceDE w:val="0"/>
        <w:autoSpaceDN w:val="0"/>
        <w:adjustRightInd w:val="0"/>
        <w:spacing w:line="360" w:lineRule="auto"/>
        <w:ind w:firstLineChars="200" w:firstLine="480"/>
        <w:jc w:val="both"/>
        <w:rPr>
          <w:rFonts w:ascii="Book Antiqua" w:hAnsi="Book Antiqua"/>
          <w:bCs/>
          <w:iCs/>
          <w:lang w:val="en-GB"/>
        </w:rPr>
      </w:pPr>
      <w:r w:rsidRPr="008F0357">
        <w:rPr>
          <w:rFonts w:ascii="Book Antiqua" w:hAnsi="Book Antiqua"/>
          <w:lang w:val="en-US"/>
        </w:rPr>
        <w:t>Gastropanel is a diagnostic tool based on the combined serological detection of PGI, PGII, gastrin-17 and antibodies anti-</w:t>
      </w:r>
      <w:r w:rsidRPr="008F0357">
        <w:rPr>
          <w:rFonts w:ascii="Book Antiqua" w:hAnsi="Book Antiqua"/>
          <w:i/>
          <w:lang w:val="en-US"/>
        </w:rPr>
        <w:t>H. pylori</w:t>
      </w:r>
      <w:r w:rsidRPr="008F0357">
        <w:rPr>
          <w:rFonts w:ascii="Book Antiqua" w:hAnsi="Book Antiqua"/>
          <w:vertAlign w:val="superscript"/>
          <w:lang w:val="en-US"/>
        </w:rPr>
        <w:t>[50]</w:t>
      </w:r>
      <w:r w:rsidRPr="008F0357">
        <w:rPr>
          <w:rFonts w:ascii="Book Antiqua" w:hAnsi="Book Antiqua"/>
          <w:lang w:val="en-US"/>
        </w:rPr>
        <w:t>. Even if gastopanel seems to be a promising diagnostic tool to identify patients at increased risk of GC, currently the lack of scientific evidence and the cost-benefit concerns do not allow to propose gastropanel as a reliable screening tool.</w:t>
      </w:r>
    </w:p>
    <w:p w:rsidR="00F10C6E" w:rsidRPr="008F0357" w:rsidRDefault="00F10C6E" w:rsidP="00174C31">
      <w:pPr>
        <w:spacing w:line="360" w:lineRule="auto"/>
        <w:ind w:firstLineChars="200" w:firstLine="480"/>
        <w:jc w:val="both"/>
        <w:rPr>
          <w:rFonts w:ascii="Book Antiqua" w:hAnsi="Book Antiqua"/>
          <w:lang w:val="en-US"/>
        </w:rPr>
      </w:pPr>
      <w:r w:rsidRPr="008F0357">
        <w:rPr>
          <w:rFonts w:ascii="Book Antiqua" w:hAnsi="Book Antiqua"/>
          <w:lang w:val="en-US"/>
        </w:rPr>
        <w:t>The last test potentially useful for GC screening is endoscopy. This invasive technique identifies superficial flat and non-ulcerative lesions that conventional barium examination can miss. A study from Japan, showed a detection rate of GC by endoscopy 3-5 folds higher than radiographic studies</w:t>
      </w:r>
      <w:r w:rsidRPr="008F0357">
        <w:rPr>
          <w:rFonts w:ascii="Book Antiqua" w:hAnsi="Book Antiqua"/>
          <w:vertAlign w:val="superscript"/>
          <w:lang w:val="en-US"/>
        </w:rPr>
        <w:t>[51]</w:t>
      </w:r>
      <w:r w:rsidRPr="008F0357">
        <w:rPr>
          <w:rFonts w:ascii="Book Antiqua" w:hAnsi="Book Antiqua"/>
          <w:lang w:val="en-US"/>
        </w:rPr>
        <w:t>. Screening by endoscopy conducted in Linqu County, China on 4394 residents identified 85 GCs, of which 29 cases were early cancers</w:t>
      </w:r>
      <w:r w:rsidRPr="008F0357">
        <w:rPr>
          <w:rFonts w:ascii="Book Antiqua" w:hAnsi="Book Antiqua"/>
          <w:vertAlign w:val="superscript"/>
          <w:lang w:val="en-US"/>
        </w:rPr>
        <w:t>[52]</w:t>
      </w:r>
      <w:r w:rsidRPr="008F0357">
        <w:rPr>
          <w:rFonts w:ascii="Book Antiqua" w:hAnsi="Book Antiqua"/>
          <w:lang w:val="en-US"/>
        </w:rPr>
        <w:t>. The overall sensitivity of endoscopy for GC screening ranges from 78</w:t>
      </w:r>
      <w:r w:rsidRPr="008F0357">
        <w:rPr>
          <w:rFonts w:ascii="Book Antiqua" w:hAnsi="Book Antiqua"/>
          <w:lang w:val="en-US" w:eastAsia="zh-CN"/>
        </w:rPr>
        <w:t>%</w:t>
      </w:r>
      <w:r w:rsidRPr="008F0357">
        <w:rPr>
          <w:rFonts w:ascii="Book Antiqua" w:hAnsi="Book Antiqua"/>
          <w:lang w:val="en-US"/>
        </w:rPr>
        <w:t xml:space="preserve"> to 84%</w:t>
      </w:r>
      <w:r w:rsidRPr="008F0357">
        <w:rPr>
          <w:rFonts w:ascii="Book Antiqua" w:hAnsi="Book Antiqua"/>
          <w:vertAlign w:val="superscript"/>
          <w:lang w:val="en-US"/>
        </w:rPr>
        <w:t>[35]</w:t>
      </w:r>
      <w:r w:rsidRPr="008F0357">
        <w:rPr>
          <w:rFonts w:ascii="Book Antiqua" w:hAnsi="Book Antiqua"/>
          <w:lang w:val="en-US"/>
        </w:rPr>
        <w:t xml:space="preserve">. However, in spite of these promising data, the technique depends heavily on the skills of the </w:t>
      </w:r>
      <w:r w:rsidRPr="008F0357">
        <w:rPr>
          <w:rFonts w:ascii="Book Antiqua" w:hAnsi="Book Antiqua"/>
          <w:lang w:val="en-US"/>
        </w:rPr>
        <w:lastRenderedPageBreak/>
        <w:t xml:space="preserve">endoscopist, the compliance of patients to endoscopy is poor, the adverse events may occur and the costs are high. </w:t>
      </w:r>
      <w:r w:rsidRPr="008F0357">
        <w:rPr>
          <w:rFonts w:ascii="Book Antiqua" w:hAnsi="Book Antiqua"/>
          <w:lang w:val="en-GB"/>
        </w:rPr>
        <w:t>Ther</w:t>
      </w:r>
      <w:r w:rsidRPr="008F0357">
        <w:rPr>
          <w:rFonts w:ascii="Book Antiqua" w:hAnsi="Book Antiqua"/>
          <w:lang w:val="en-US"/>
        </w:rPr>
        <w:t>efore, mass screening by endoscopy is likely to be unfeasible. The introduction of various new endoscopic techniques such as chromoendoscopy, narrow band imaging, confocal endomicroscopy, and autofluorescence, might increase the sensitivity and detection of GC, but this issue still remains controversial.</w:t>
      </w:r>
    </w:p>
    <w:p w:rsidR="00F10C6E" w:rsidRPr="008F0357" w:rsidRDefault="00F10C6E" w:rsidP="000A2D1C">
      <w:pPr>
        <w:spacing w:line="360" w:lineRule="auto"/>
        <w:jc w:val="both"/>
        <w:rPr>
          <w:rFonts w:ascii="Book Antiqua" w:hAnsi="Book Antiqua"/>
          <w:b/>
          <w:bCs/>
          <w:i/>
          <w:iCs/>
          <w:lang w:val="en-US"/>
        </w:rPr>
      </w:pPr>
    </w:p>
    <w:p w:rsidR="00F10C6E" w:rsidRPr="008F0357" w:rsidRDefault="00F10C6E" w:rsidP="000A2D1C">
      <w:pPr>
        <w:spacing w:line="360" w:lineRule="auto"/>
        <w:jc w:val="both"/>
        <w:rPr>
          <w:rFonts w:ascii="Book Antiqua" w:hAnsi="Book Antiqua"/>
          <w:b/>
          <w:bCs/>
          <w:iCs/>
          <w:lang w:val="en-US"/>
        </w:rPr>
      </w:pPr>
      <w:r w:rsidRPr="008F0357">
        <w:rPr>
          <w:rFonts w:ascii="Book Antiqua" w:hAnsi="Book Antiqua"/>
          <w:b/>
          <w:bCs/>
          <w:i/>
          <w:iCs/>
          <w:lang w:val="en-US"/>
        </w:rPr>
        <w:t>Treatment</w:t>
      </w:r>
    </w:p>
    <w:p w:rsidR="00F10C6E" w:rsidRPr="008F0357" w:rsidRDefault="00F10C6E" w:rsidP="00174C31">
      <w:pPr>
        <w:spacing w:line="360" w:lineRule="auto"/>
        <w:jc w:val="both"/>
        <w:rPr>
          <w:rFonts w:ascii="Book Antiqua" w:hAnsi="Book Antiqua"/>
          <w:bCs/>
          <w:lang w:val="en-US"/>
        </w:rPr>
      </w:pPr>
      <w:r w:rsidRPr="008F0357">
        <w:rPr>
          <w:rFonts w:ascii="Book Antiqua" w:hAnsi="Book Antiqua"/>
          <w:bCs/>
          <w:lang w:val="en-US"/>
        </w:rPr>
        <w:t xml:space="preserve">“The available treatments should be effective in modifying the natural history of the disease”. </w:t>
      </w:r>
      <w:r w:rsidRPr="008F0357">
        <w:rPr>
          <w:rFonts w:ascii="Book Antiqua" w:hAnsi="Book Antiqua"/>
          <w:lang w:val="en-US" w:eastAsia="zh-CN"/>
        </w:rPr>
        <w:t xml:space="preserve">Due to the strong causal relationship between </w:t>
      </w:r>
      <w:r w:rsidRPr="008F0357">
        <w:rPr>
          <w:rFonts w:ascii="Book Antiqua" w:hAnsi="Book Antiqua"/>
          <w:i/>
          <w:lang w:val="en-US" w:eastAsia="zh-CN"/>
        </w:rPr>
        <w:t>H. pylori</w:t>
      </w:r>
      <w:r w:rsidRPr="008F0357">
        <w:rPr>
          <w:rFonts w:ascii="Book Antiqua" w:hAnsi="Book Antiqua"/>
          <w:lang w:val="en-US" w:eastAsia="zh-CN"/>
        </w:rPr>
        <w:t xml:space="preserve"> infection and GC, the eradication of the infection </w:t>
      </w:r>
      <w:r w:rsidRPr="008F0357">
        <w:rPr>
          <w:rFonts w:ascii="Book Antiqua" w:eastAsia="Times New Roman" w:hAnsi="Book Antiqua"/>
          <w:lang w:val="en-US" w:eastAsia="zh-CN"/>
        </w:rPr>
        <w:t xml:space="preserve">would eliminate or reduce the cancer risk. However, only a very small proportion of infected subjects develop GC and massive eradication therapy may lead to the selection of antibiotic-resistant strains of </w:t>
      </w:r>
      <w:r w:rsidRPr="008F0357">
        <w:rPr>
          <w:rFonts w:ascii="Book Antiqua" w:eastAsia="Times New Roman" w:hAnsi="Book Antiqua"/>
          <w:i/>
          <w:lang w:val="en-US" w:eastAsia="zh-CN"/>
        </w:rPr>
        <w:t>H. pylori</w:t>
      </w:r>
      <w:r w:rsidRPr="008F0357">
        <w:rPr>
          <w:rFonts w:ascii="Book Antiqua" w:eastAsia="Times New Roman" w:hAnsi="Book Antiqua"/>
          <w:lang w:val="en-US" w:eastAsia="zh-CN"/>
        </w:rPr>
        <w:t xml:space="preserve"> in the general population along with the over consumption of medical resources and high health costs. Therefore, the benefit of eradication of </w:t>
      </w:r>
      <w:r w:rsidRPr="008F0357">
        <w:rPr>
          <w:rFonts w:ascii="Book Antiqua" w:eastAsia="Times New Roman" w:hAnsi="Book Antiqua"/>
          <w:i/>
          <w:lang w:val="en-US" w:eastAsia="zh-CN"/>
        </w:rPr>
        <w:t>H. pylori</w:t>
      </w:r>
      <w:r w:rsidRPr="008F0357">
        <w:rPr>
          <w:rFonts w:ascii="Book Antiqua" w:eastAsia="Times New Roman" w:hAnsi="Book Antiqua"/>
          <w:lang w:val="en-US" w:eastAsia="zh-CN"/>
        </w:rPr>
        <w:t xml:space="preserve"> to prevent GC remains unsubstantiated.  </w:t>
      </w:r>
    </w:p>
    <w:p w:rsidR="00F10C6E" w:rsidRPr="008F0357" w:rsidRDefault="00F10C6E" w:rsidP="000A2D1C">
      <w:pPr>
        <w:autoSpaceDE w:val="0"/>
        <w:autoSpaceDN w:val="0"/>
        <w:adjustRightInd w:val="0"/>
        <w:spacing w:line="360" w:lineRule="auto"/>
        <w:jc w:val="both"/>
        <w:rPr>
          <w:rFonts w:ascii="Book Antiqua" w:hAnsi="Book Antiqua"/>
          <w:b/>
          <w:bCs/>
          <w:i/>
          <w:lang w:val="en-US"/>
        </w:rPr>
      </w:pPr>
      <w:r w:rsidRPr="008F0357">
        <w:rPr>
          <w:rFonts w:ascii="Book Antiqua" w:eastAsia="Times New Roman" w:hAnsi="Book Antiqua"/>
          <w:lang w:val="en-US" w:eastAsia="zh-CN"/>
        </w:rPr>
        <w:t xml:space="preserve">The first trial aimed </w:t>
      </w:r>
      <w:r w:rsidRPr="008F0357">
        <w:rPr>
          <w:rFonts w:ascii="Book Antiqua" w:eastAsia="Times New Roman" w:hAnsi="Book Antiqua"/>
          <w:lang w:val="en-US"/>
        </w:rPr>
        <w:t>to</w:t>
      </w:r>
      <w:r w:rsidRPr="008F0357">
        <w:rPr>
          <w:rFonts w:ascii="Book Antiqua" w:hAnsi="Book Antiqua"/>
          <w:lang w:val="en-US" w:eastAsia="zh-CN"/>
        </w:rPr>
        <w:t xml:space="preserve"> </w:t>
      </w:r>
      <w:r w:rsidRPr="008F0357">
        <w:rPr>
          <w:rFonts w:ascii="Book Antiqua" w:eastAsia="Times New Roman" w:hAnsi="Book Antiqua"/>
          <w:lang w:val="en-US"/>
        </w:rPr>
        <w:t xml:space="preserve">investigate whether eradication of </w:t>
      </w:r>
      <w:r w:rsidRPr="008F0357">
        <w:rPr>
          <w:rFonts w:ascii="Book Antiqua" w:eastAsia="Times New Roman" w:hAnsi="Book Antiqua"/>
          <w:i/>
          <w:lang w:val="en-US"/>
        </w:rPr>
        <w:t>H. pylori</w:t>
      </w:r>
      <w:r w:rsidRPr="008F0357">
        <w:rPr>
          <w:rFonts w:ascii="Book Antiqua" w:eastAsia="Times New Roman" w:hAnsi="Book Antiqua"/>
          <w:lang w:val="en-US" w:eastAsia="zh-CN"/>
        </w:rPr>
        <w:t xml:space="preserve"> </w:t>
      </w:r>
      <w:r w:rsidRPr="008F0357">
        <w:rPr>
          <w:rFonts w:ascii="Book Antiqua" w:eastAsia="Times New Roman" w:hAnsi="Book Antiqua"/>
          <w:lang w:val="en-US"/>
        </w:rPr>
        <w:t xml:space="preserve">would be applicable for GC </w:t>
      </w:r>
      <w:r w:rsidRPr="008F0357">
        <w:rPr>
          <w:rFonts w:ascii="Book Antiqua" w:hAnsi="Book Antiqua"/>
          <w:lang w:val="en-US" w:eastAsia="zh-CN"/>
        </w:rPr>
        <w:t>prevention</w:t>
      </w:r>
      <w:r w:rsidRPr="008F0357">
        <w:rPr>
          <w:rFonts w:ascii="Book Antiqua" w:eastAsia="Times New Roman" w:hAnsi="Book Antiqua"/>
          <w:lang w:val="en-US" w:eastAsia="zh-CN"/>
        </w:rPr>
        <w:t xml:space="preserve"> was performed in 1991 by </w:t>
      </w:r>
      <w:r w:rsidRPr="008F0357">
        <w:rPr>
          <w:rFonts w:ascii="Book Antiqua" w:eastAsia="Times New Roman" w:hAnsi="Book Antiqua"/>
          <w:lang w:val="en-US"/>
        </w:rPr>
        <w:t xml:space="preserve">Correa </w:t>
      </w:r>
      <w:r w:rsidRPr="008F0357">
        <w:rPr>
          <w:rFonts w:ascii="Book Antiqua" w:eastAsia="Times New Roman" w:hAnsi="Book Antiqua"/>
          <w:i/>
          <w:lang w:val="en-US"/>
        </w:rPr>
        <w:t>et al</w:t>
      </w:r>
      <w:r w:rsidRPr="008F0357">
        <w:rPr>
          <w:rFonts w:ascii="Book Antiqua" w:eastAsia="Times New Roman" w:hAnsi="Book Antiqua"/>
          <w:vertAlign w:val="superscript"/>
          <w:lang w:val="en-US"/>
        </w:rPr>
        <w:t>[53]</w:t>
      </w:r>
      <w:r w:rsidRPr="008F0357">
        <w:rPr>
          <w:rFonts w:ascii="Book Antiqua" w:eastAsia="Times New Roman" w:hAnsi="Book Antiqua"/>
          <w:lang w:val="en-US"/>
        </w:rPr>
        <w:t xml:space="preserve"> on individuals at high risk for</w:t>
      </w:r>
      <w:r w:rsidRPr="008F0357">
        <w:rPr>
          <w:rFonts w:ascii="Book Antiqua" w:eastAsia="Times New Roman" w:hAnsi="Book Antiqua"/>
          <w:lang w:val="en-US" w:eastAsia="zh-CN"/>
        </w:rPr>
        <w:t xml:space="preserve"> </w:t>
      </w:r>
      <w:r w:rsidRPr="008F0357">
        <w:rPr>
          <w:rFonts w:ascii="Book Antiqua" w:eastAsia="Times New Roman" w:hAnsi="Book Antiqua"/>
          <w:lang w:val="en-US"/>
        </w:rPr>
        <w:t>GC in Colombia.</w:t>
      </w:r>
      <w:r w:rsidRPr="008F0357">
        <w:rPr>
          <w:rFonts w:ascii="Book Antiqua" w:eastAsia="Times New Roman" w:hAnsi="Book Antiqua"/>
          <w:lang w:val="en-US" w:eastAsia="zh-CN"/>
        </w:rPr>
        <w:t xml:space="preserve"> </w:t>
      </w:r>
      <w:r w:rsidRPr="008F0357">
        <w:rPr>
          <w:rFonts w:ascii="Book Antiqua" w:eastAsia="Times New Roman" w:hAnsi="Book Antiqua"/>
          <w:lang w:val="en-US"/>
        </w:rPr>
        <w:t>After six years of follow-up,</w:t>
      </w:r>
      <w:r w:rsidRPr="008F0357">
        <w:rPr>
          <w:rFonts w:ascii="Book Antiqua" w:eastAsia="Times New Roman" w:hAnsi="Book Antiqua"/>
          <w:lang w:val="en-US" w:eastAsia="zh-CN"/>
        </w:rPr>
        <w:t xml:space="preserve"> GC</w:t>
      </w:r>
      <w:r w:rsidRPr="008F0357">
        <w:rPr>
          <w:rFonts w:ascii="Book Antiqua" w:eastAsia="Times New Roman" w:hAnsi="Book Antiqua"/>
          <w:lang w:val="en-US"/>
        </w:rPr>
        <w:t xml:space="preserve"> incidence was similar in both</w:t>
      </w:r>
      <w:r w:rsidRPr="008F0357">
        <w:rPr>
          <w:rFonts w:ascii="Book Antiqua" w:eastAsia="Times New Roman" w:hAnsi="Book Antiqua"/>
          <w:lang w:val="en-US" w:eastAsia="zh-CN"/>
        </w:rPr>
        <w:t xml:space="preserve"> </w:t>
      </w:r>
      <w:r w:rsidRPr="008F0357">
        <w:rPr>
          <w:rFonts w:ascii="Book Antiqua" w:eastAsia="Times New Roman" w:hAnsi="Book Antiqua"/>
          <w:lang w:val="en-US"/>
        </w:rPr>
        <w:t>treated and untreated groups</w:t>
      </w:r>
      <w:r w:rsidRPr="008F0357">
        <w:rPr>
          <w:rFonts w:ascii="Book Antiqua" w:eastAsia="Times New Roman" w:hAnsi="Book Antiqua"/>
          <w:lang w:val="en-US" w:eastAsia="zh-CN"/>
        </w:rPr>
        <w:t xml:space="preserve">, even if a </w:t>
      </w:r>
      <w:r w:rsidRPr="008F0357">
        <w:rPr>
          <w:rFonts w:ascii="Book Antiqua" w:eastAsia="Times New Roman" w:hAnsi="Book Antiqua"/>
          <w:lang w:val="en-US"/>
        </w:rPr>
        <w:t>significant</w:t>
      </w:r>
      <w:r w:rsidRPr="008F0357">
        <w:rPr>
          <w:rFonts w:ascii="Book Antiqua" w:eastAsia="Times New Roman" w:hAnsi="Book Antiqua"/>
          <w:lang w:val="en-US" w:eastAsia="zh-CN"/>
        </w:rPr>
        <w:t xml:space="preserve"> </w:t>
      </w:r>
      <w:r w:rsidRPr="008F0357">
        <w:rPr>
          <w:rFonts w:ascii="Book Antiqua" w:eastAsia="Times New Roman" w:hAnsi="Book Antiqua"/>
          <w:lang w:val="en-US"/>
        </w:rPr>
        <w:t>increase in the rates of regression</w:t>
      </w:r>
      <w:r w:rsidRPr="008F0357">
        <w:rPr>
          <w:rFonts w:ascii="Book Antiqua" w:eastAsia="Times New Roman" w:hAnsi="Book Antiqua"/>
          <w:lang w:val="en-US" w:eastAsia="zh-CN"/>
        </w:rPr>
        <w:t xml:space="preserve"> </w:t>
      </w:r>
      <w:r w:rsidRPr="008F0357">
        <w:rPr>
          <w:rFonts w:ascii="Book Antiqua" w:eastAsia="Times New Roman" w:hAnsi="Book Antiqua"/>
          <w:lang w:val="en-US"/>
        </w:rPr>
        <w:t>of precancerous lesions was reported.</w:t>
      </w:r>
      <w:r w:rsidRPr="008F0357">
        <w:rPr>
          <w:rFonts w:ascii="Book Antiqua" w:eastAsia="Times New Roman" w:hAnsi="Book Antiqua"/>
          <w:lang w:val="en-US" w:eastAsia="zh-CN"/>
        </w:rPr>
        <w:t xml:space="preserve"> A meta-analysis by Fuccio L </w:t>
      </w:r>
      <w:r w:rsidRPr="008F0357">
        <w:rPr>
          <w:rFonts w:ascii="Book Antiqua" w:eastAsia="Times New Roman" w:hAnsi="Book Antiqua"/>
          <w:i/>
          <w:lang w:val="en-US" w:eastAsia="zh-CN"/>
        </w:rPr>
        <w:t>et al</w:t>
      </w:r>
      <w:r w:rsidRPr="008F0357">
        <w:rPr>
          <w:rFonts w:ascii="Book Antiqua" w:eastAsia="Times New Roman" w:hAnsi="Book Antiqua"/>
          <w:vertAlign w:val="superscript"/>
          <w:lang w:val="en-US" w:eastAsia="zh-CN"/>
        </w:rPr>
        <w:t>[54]</w:t>
      </w:r>
      <w:r w:rsidRPr="008F0357">
        <w:rPr>
          <w:rFonts w:ascii="Book Antiqua" w:eastAsia="Times New Roman" w:hAnsi="Book Antiqua"/>
          <w:lang w:val="en-US" w:eastAsia="zh-CN"/>
        </w:rPr>
        <w:t xml:space="preserve"> including </w:t>
      </w:r>
      <w:r w:rsidRPr="008F0357">
        <w:rPr>
          <w:rFonts w:ascii="Book Antiqua" w:hAnsi="Book Antiqua"/>
          <w:lang w:val="en-US" w:eastAsia="zh-CN"/>
        </w:rPr>
        <w:t>s</w:t>
      </w:r>
      <w:r w:rsidRPr="008F0357">
        <w:rPr>
          <w:rFonts w:ascii="Book Antiqua" w:eastAsia="Times New Roman" w:hAnsi="Book Antiqua"/>
          <w:lang w:val="en-US" w:eastAsia="zh-CN"/>
        </w:rPr>
        <w:t xml:space="preserve">ix randomized </w:t>
      </w:r>
      <w:r>
        <w:rPr>
          <w:rFonts w:ascii="Book Antiqua" w:eastAsia="Times New Roman" w:hAnsi="Book Antiqua"/>
          <w:lang w:val="en-US" w:eastAsia="zh-CN"/>
        </w:rPr>
        <w:t>trials, showed that 27 out of 3</w:t>
      </w:r>
      <w:r w:rsidRPr="008F0357">
        <w:rPr>
          <w:rFonts w:ascii="Book Antiqua" w:eastAsia="Times New Roman" w:hAnsi="Book Antiqua"/>
          <w:lang w:val="en-US" w:eastAsia="zh-CN"/>
        </w:rPr>
        <w:t xml:space="preserve">388 patients in the </w:t>
      </w:r>
      <w:r w:rsidRPr="008F0357">
        <w:rPr>
          <w:rFonts w:ascii="Book Antiqua" w:eastAsia="Times New Roman" w:hAnsi="Book Antiqua"/>
          <w:i/>
          <w:lang w:val="en-US" w:eastAsia="zh-CN"/>
        </w:rPr>
        <w:t>H. pylori</w:t>
      </w:r>
      <w:r w:rsidRPr="008F0357">
        <w:rPr>
          <w:rFonts w:ascii="Book Antiqua" w:eastAsia="Times New Roman" w:hAnsi="Book Antiqua"/>
          <w:lang w:val="en-US" w:eastAsia="zh-CN"/>
        </w:rPr>
        <w:t xml:space="preserve"> antibiotic treated group devel</w:t>
      </w:r>
      <w:r>
        <w:rPr>
          <w:rFonts w:ascii="Book Antiqua" w:eastAsia="Times New Roman" w:hAnsi="Book Antiqua"/>
          <w:lang w:val="en-US" w:eastAsia="zh-CN"/>
        </w:rPr>
        <w:t>oped GC compared to 56 out of 3</w:t>
      </w:r>
      <w:r w:rsidRPr="008F0357">
        <w:rPr>
          <w:rFonts w:ascii="Book Antiqua" w:eastAsia="Times New Roman" w:hAnsi="Book Antiqua"/>
          <w:lang w:val="en-US" w:eastAsia="zh-CN"/>
        </w:rPr>
        <w:t>307 in those subjects who did not undergo treatment in a follow-up period ranging from 4 to 10 years (RR 0.65; 95%CI 0.43–0.98)</w:t>
      </w:r>
      <w:r w:rsidRPr="008F0357">
        <w:rPr>
          <w:rFonts w:ascii="Book Antiqua" w:eastAsia="Times New Roman" w:hAnsi="Book Antiqua"/>
          <w:lang w:val="en-US"/>
        </w:rPr>
        <w:t>.</w:t>
      </w:r>
      <w:r w:rsidRPr="008F0357">
        <w:rPr>
          <w:rFonts w:ascii="Book Antiqua" w:eastAsia="Times New Roman" w:hAnsi="Book Antiqua"/>
          <w:lang w:val="en-US" w:eastAsia="zh-CN"/>
        </w:rPr>
        <w:t xml:space="preserve"> A Chinese study by </w:t>
      </w:r>
      <w:r w:rsidRPr="008F0357">
        <w:rPr>
          <w:rFonts w:ascii="Book Antiqua" w:eastAsia="Times New Roman" w:hAnsi="Book Antiqua"/>
          <w:lang w:val="en-US"/>
        </w:rPr>
        <w:t xml:space="preserve">Wong </w:t>
      </w:r>
      <w:r w:rsidRPr="008F0357">
        <w:rPr>
          <w:rFonts w:ascii="Book Antiqua" w:eastAsia="Times New Roman" w:hAnsi="Book Antiqua"/>
          <w:i/>
          <w:lang w:val="en-US"/>
        </w:rPr>
        <w:t>et al</w:t>
      </w:r>
      <w:r w:rsidRPr="008F0357">
        <w:rPr>
          <w:rFonts w:ascii="Book Antiqua" w:eastAsia="Times New Roman" w:hAnsi="Book Antiqua"/>
          <w:vertAlign w:val="superscript"/>
          <w:lang w:val="en-US"/>
        </w:rPr>
        <w:t>[55]</w:t>
      </w:r>
      <w:r w:rsidRPr="008F0357">
        <w:rPr>
          <w:rFonts w:ascii="Book Antiqua" w:eastAsia="Times New Roman" w:hAnsi="Book Antiqua"/>
          <w:lang w:val="en-US" w:eastAsia="zh-CN"/>
        </w:rPr>
        <w:t xml:space="preserve"> </w:t>
      </w:r>
      <w:r w:rsidRPr="008F0357">
        <w:rPr>
          <w:rFonts w:ascii="Book Antiqua" w:eastAsia="Times New Roman" w:hAnsi="Book Antiqua"/>
          <w:lang w:val="en-US"/>
        </w:rPr>
        <w:t>in 2004,</w:t>
      </w:r>
      <w:r w:rsidRPr="008F0357">
        <w:rPr>
          <w:rFonts w:ascii="Book Antiqua" w:eastAsia="Times New Roman" w:hAnsi="Book Antiqua"/>
          <w:lang w:val="en-US" w:eastAsia="zh-CN"/>
        </w:rPr>
        <w:t xml:space="preserve"> </w:t>
      </w:r>
      <w:r w:rsidRPr="008F0357">
        <w:rPr>
          <w:rFonts w:ascii="Book Antiqua" w:eastAsia="Times New Roman" w:hAnsi="Book Antiqua"/>
          <w:lang w:val="en-US"/>
        </w:rPr>
        <w:t xml:space="preserve">including 1630 </w:t>
      </w:r>
      <w:r w:rsidRPr="008F0357">
        <w:rPr>
          <w:rFonts w:ascii="Book Antiqua" w:eastAsia="Times New Roman" w:hAnsi="Book Antiqua"/>
          <w:i/>
          <w:lang w:val="en-US"/>
        </w:rPr>
        <w:t xml:space="preserve">H. pylori-infected </w:t>
      </w:r>
      <w:r w:rsidRPr="008F0357">
        <w:rPr>
          <w:rFonts w:ascii="Book Antiqua" w:eastAsia="Times New Roman" w:hAnsi="Book Antiqua"/>
          <w:lang w:val="en-US"/>
        </w:rPr>
        <w:t>subjects randomized to receive</w:t>
      </w:r>
      <w:r w:rsidRPr="008F0357">
        <w:rPr>
          <w:rFonts w:ascii="Book Antiqua" w:eastAsia="Times New Roman" w:hAnsi="Book Antiqua"/>
          <w:lang w:val="en-US" w:eastAsia="zh-CN"/>
        </w:rPr>
        <w:t xml:space="preserve"> </w:t>
      </w:r>
      <w:r w:rsidRPr="008F0357">
        <w:rPr>
          <w:rFonts w:ascii="Book Antiqua" w:eastAsia="Times New Roman" w:hAnsi="Book Antiqua"/>
          <w:lang w:val="en-US"/>
        </w:rPr>
        <w:t>eradication treatment or not,</w:t>
      </w:r>
      <w:r w:rsidRPr="008F0357">
        <w:rPr>
          <w:rFonts w:ascii="Book Antiqua" w:eastAsia="Times New Roman" w:hAnsi="Book Antiqua"/>
          <w:lang w:val="en-US" w:eastAsia="zh-CN"/>
        </w:rPr>
        <w:t xml:space="preserve"> did not show a </w:t>
      </w:r>
      <w:r w:rsidRPr="008F0357">
        <w:rPr>
          <w:rFonts w:ascii="Book Antiqua" w:eastAsia="Times New Roman" w:hAnsi="Book Antiqua"/>
          <w:lang w:val="en-US"/>
        </w:rPr>
        <w:t>significant difference</w:t>
      </w:r>
      <w:r w:rsidRPr="008F0357">
        <w:rPr>
          <w:rFonts w:ascii="Book Antiqua" w:hAnsi="Book Antiqua"/>
          <w:lang w:val="en-US" w:eastAsia="zh-CN"/>
        </w:rPr>
        <w:t xml:space="preserve"> in the development of GC </w:t>
      </w:r>
      <w:r w:rsidRPr="008F0357">
        <w:rPr>
          <w:rFonts w:ascii="Book Antiqua" w:eastAsia="Times New Roman" w:hAnsi="Book Antiqua"/>
          <w:lang w:val="en-US"/>
        </w:rPr>
        <w:t xml:space="preserve">between the </w:t>
      </w:r>
      <w:r w:rsidRPr="008F0357">
        <w:rPr>
          <w:rFonts w:ascii="Book Antiqua" w:hAnsi="Book Antiqua"/>
          <w:lang w:val="en-US" w:eastAsia="zh-CN"/>
        </w:rPr>
        <w:t>two</w:t>
      </w:r>
      <w:r w:rsidRPr="008F0357">
        <w:rPr>
          <w:rFonts w:ascii="Book Antiqua" w:eastAsia="Times New Roman" w:hAnsi="Book Antiqua"/>
          <w:lang w:val="en-US"/>
        </w:rPr>
        <w:t xml:space="preserve"> groups in a follow-up period of 7.5 </w:t>
      </w:r>
      <w:r w:rsidRPr="008F0357">
        <w:rPr>
          <w:rFonts w:ascii="Book Antiqua" w:hAnsi="Book Antiqua"/>
          <w:lang w:val="en-US" w:eastAsia="zh-CN"/>
        </w:rPr>
        <w:t>years</w:t>
      </w:r>
      <w:r w:rsidRPr="008F0357">
        <w:rPr>
          <w:rFonts w:ascii="Book Antiqua" w:eastAsia="Times New Roman" w:hAnsi="Book Antiqua"/>
          <w:lang w:val="en-US"/>
        </w:rPr>
        <w:t xml:space="preserve">. </w:t>
      </w:r>
      <w:r w:rsidRPr="008F0357">
        <w:rPr>
          <w:rFonts w:ascii="Book Antiqua" w:hAnsi="Book Antiqua"/>
          <w:lang w:val="en-US" w:eastAsia="zh-CN"/>
        </w:rPr>
        <w:t>H</w:t>
      </w:r>
      <w:r w:rsidRPr="008F0357">
        <w:rPr>
          <w:rFonts w:ascii="Book Antiqua" w:eastAsia="Times New Roman" w:hAnsi="Book Antiqua"/>
          <w:lang w:val="en-US"/>
        </w:rPr>
        <w:t>owever, the difference became significant when only subjects without precancerous lesions</w:t>
      </w:r>
      <w:r w:rsidRPr="008F0357">
        <w:rPr>
          <w:rFonts w:ascii="Book Antiqua" w:hAnsi="Book Antiqua"/>
          <w:lang w:val="en-US" w:eastAsia="zh-CN"/>
        </w:rPr>
        <w:t xml:space="preserve"> </w:t>
      </w:r>
      <w:r w:rsidRPr="008F0357">
        <w:rPr>
          <w:rFonts w:ascii="Book Antiqua" w:eastAsia="Times New Roman" w:hAnsi="Book Antiqua"/>
          <w:lang w:val="en-US"/>
        </w:rPr>
        <w:t>were considered</w:t>
      </w:r>
      <w:r w:rsidRPr="008F0357">
        <w:rPr>
          <w:rFonts w:ascii="Book Antiqua" w:eastAsia="Times New Roman" w:hAnsi="Book Antiqua"/>
          <w:lang w:val="en-US" w:eastAsia="zh-CN"/>
        </w:rPr>
        <w:t xml:space="preserve">. More recently </w:t>
      </w:r>
      <w:r w:rsidRPr="008F0357">
        <w:rPr>
          <w:rFonts w:ascii="Book Antiqua" w:hAnsi="Book Antiqua"/>
          <w:lang w:val="en-US"/>
        </w:rPr>
        <w:t xml:space="preserve">Yanaoka </w:t>
      </w:r>
      <w:r w:rsidRPr="008F0357">
        <w:rPr>
          <w:rFonts w:ascii="Book Antiqua" w:hAnsi="Book Antiqua"/>
          <w:i/>
          <w:lang w:val="en-US"/>
        </w:rPr>
        <w:t>et al</w:t>
      </w:r>
      <w:r w:rsidRPr="008F0357">
        <w:rPr>
          <w:rFonts w:ascii="Book Antiqua" w:hAnsi="Book Antiqua"/>
          <w:vertAlign w:val="superscript"/>
          <w:lang w:val="en-US"/>
        </w:rPr>
        <w:t>[56]</w:t>
      </w:r>
      <w:r w:rsidRPr="008F0357">
        <w:rPr>
          <w:rFonts w:ascii="Book Antiqua" w:hAnsi="Book Antiqua"/>
          <w:lang w:val="en-US"/>
        </w:rPr>
        <w:t xml:space="preserve"> by following 473 successful eradicated subjects up to 10 years, confirmed that </w:t>
      </w:r>
      <w:r w:rsidRPr="008F0357">
        <w:rPr>
          <w:rFonts w:ascii="Book Antiqua" w:hAnsi="Book Antiqua"/>
          <w:i/>
          <w:lang w:val="en-US"/>
        </w:rPr>
        <w:t>H. pylori</w:t>
      </w:r>
      <w:r w:rsidRPr="008F0357">
        <w:rPr>
          <w:rFonts w:ascii="Book Antiqua" w:hAnsi="Book Antiqua"/>
          <w:lang w:val="en-US"/>
        </w:rPr>
        <w:t xml:space="preserve"> eradication did not halt the gastric carcinogenesis process when chronic atrophic gastritis was detected at the time of eradication. </w:t>
      </w:r>
      <w:r w:rsidRPr="008F0357">
        <w:rPr>
          <w:rFonts w:ascii="Book Antiqua" w:eastAsia="Times New Roman" w:hAnsi="Book Antiqua"/>
          <w:lang w:val="en-US" w:eastAsia="zh-CN"/>
        </w:rPr>
        <w:t xml:space="preserve">Finally, Wu </w:t>
      </w:r>
      <w:r w:rsidRPr="008F0357">
        <w:rPr>
          <w:rFonts w:ascii="Book Antiqua" w:eastAsia="Times New Roman" w:hAnsi="Book Antiqua"/>
          <w:i/>
          <w:lang w:val="en-US" w:eastAsia="zh-CN"/>
        </w:rPr>
        <w:t>et al</w:t>
      </w:r>
      <w:r w:rsidRPr="008F0357">
        <w:rPr>
          <w:rFonts w:ascii="Book Antiqua" w:eastAsia="Times New Roman" w:hAnsi="Book Antiqua"/>
          <w:vertAlign w:val="superscript"/>
          <w:lang w:val="en-US"/>
        </w:rPr>
        <w:t>[57]</w:t>
      </w:r>
      <w:r w:rsidRPr="008F0357">
        <w:rPr>
          <w:rFonts w:ascii="Book Antiqua" w:eastAsia="Times New Roman" w:hAnsi="Book Antiqua"/>
          <w:lang w:val="en-US" w:eastAsia="zh-CN"/>
        </w:rPr>
        <w:t xml:space="preserve"> in a large cohort study including 80255 patients, found that, </w:t>
      </w:r>
      <w:r w:rsidRPr="008F0357">
        <w:rPr>
          <w:rFonts w:ascii="Book Antiqua" w:eastAsia="Times New Roman" w:hAnsi="Book Antiqua"/>
          <w:lang w:val="en-US"/>
        </w:rPr>
        <w:t>patients receiving</w:t>
      </w:r>
      <w:r w:rsidRPr="008F0357">
        <w:rPr>
          <w:rFonts w:ascii="Book Antiqua" w:eastAsia="Times New Roman" w:hAnsi="Book Antiqua"/>
          <w:lang w:val="en-US" w:eastAsia="zh-CN"/>
        </w:rPr>
        <w:t xml:space="preserve"> </w:t>
      </w:r>
      <w:r w:rsidRPr="008F0357">
        <w:rPr>
          <w:rFonts w:ascii="Book Antiqua" w:eastAsia="Times New Roman" w:hAnsi="Book Antiqua"/>
          <w:lang w:val="en-US"/>
        </w:rPr>
        <w:t xml:space="preserve">early </w:t>
      </w:r>
      <w:r w:rsidRPr="008F0357">
        <w:rPr>
          <w:rFonts w:ascii="Book Antiqua" w:eastAsia="Times New Roman" w:hAnsi="Book Antiqua"/>
          <w:i/>
          <w:lang w:val="en-US"/>
        </w:rPr>
        <w:t>H. pylori</w:t>
      </w:r>
      <w:r w:rsidRPr="008F0357">
        <w:rPr>
          <w:rFonts w:ascii="Book Antiqua" w:eastAsia="Times New Roman" w:hAnsi="Book Antiqua"/>
          <w:lang w:val="en-US"/>
        </w:rPr>
        <w:t xml:space="preserve"> eradication had a risk to develop GC </w:t>
      </w:r>
      <w:r w:rsidRPr="008F0357">
        <w:rPr>
          <w:rFonts w:ascii="Book Antiqua" w:eastAsia="Times New Roman" w:hAnsi="Book Antiqua"/>
          <w:lang w:val="en-US" w:eastAsia="zh-CN"/>
        </w:rPr>
        <w:t>similar</w:t>
      </w:r>
      <w:r w:rsidRPr="008F0357">
        <w:rPr>
          <w:rFonts w:ascii="Book Antiqua" w:eastAsia="Times New Roman" w:hAnsi="Book Antiqua"/>
          <w:lang w:val="en-US"/>
        </w:rPr>
        <w:t xml:space="preserve"> to that of the general population</w:t>
      </w:r>
      <w:r w:rsidRPr="008F0357">
        <w:rPr>
          <w:rFonts w:ascii="Book Antiqua" w:eastAsia="Times New Roman" w:hAnsi="Book Antiqua"/>
          <w:vertAlign w:val="subscript"/>
          <w:lang w:val="en-US"/>
        </w:rPr>
        <w:t>.</w:t>
      </w:r>
      <w:r w:rsidRPr="008F0357">
        <w:rPr>
          <w:rFonts w:ascii="Book Antiqua" w:eastAsia="Times New Roman" w:hAnsi="Book Antiqua"/>
          <w:lang w:val="en-US" w:eastAsia="zh-CN"/>
        </w:rPr>
        <w:t xml:space="preserve"> Overall </w:t>
      </w:r>
      <w:r w:rsidRPr="008F0357">
        <w:rPr>
          <w:rFonts w:ascii="Book Antiqua" w:eastAsia="Times New Roman" w:hAnsi="Book Antiqua"/>
          <w:lang w:val="en-US" w:eastAsia="zh-CN"/>
        </w:rPr>
        <w:lastRenderedPageBreak/>
        <w:t xml:space="preserve">these large prospective interventional studies suggest that eradication of </w:t>
      </w:r>
      <w:r w:rsidRPr="008F0357">
        <w:rPr>
          <w:rFonts w:ascii="Book Antiqua" w:eastAsia="Times New Roman" w:hAnsi="Book Antiqua"/>
          <w:i/>
          <w:lang w:val="en-US" w:eastAsia="zh-CN"/>
        </w:rPr>
        <w:t>H. pylori</w:t>
      </w:r>
      <w:r w:rsidRPr="008F0357">
        <w:rPr>
          <w:rFonts w:ascii="Book Antiqua" w:eastAsia="Times New Roman" w:hAnsi="Book Antiqua"/>
          <w:lang w:val="en-US" w:eastAsia="zh-CN"/>
        </w:rPr>
        <w:t xml:space="preserve"> </w:t>
      </w:r>
      <w:r w:rsidRPr="008F0357">
        <w:rPr>
          <w:rFonts w:ascii="Book Antiqua" w:eastAsia="Times New Roman" w:hAnsi="Book Antiqua"/>
          <w:lang w:val="en-US"/>
        </w:rPr>
        <w:t xml:space="preserve">is useful if performed in </w:t>
      </w:r>
      <w:r w:rsidRPr="008F0357">
        <w:rPr>
          <w:rFonts w:ascii="Book Antiqua" w:hAnsi="Book Antiqua"/>
          <w:lang w:val="en-US" w:eastAsia="zh-CN"/>
        </w:rPr>
        <w:t>younger subjects</w:t>
      </w:r>
      <w:r w:rsidRPr="008F0357">
        <w:rPr>
          <w:rFonts w:ascii="Book Antiqua" w:eastAsia="Times New Roman" w:hAnsi="Book Antiqua"/>
          <w:lang w:val="en-US" w:eastAsia="zh-CN"/>
        </w:rPr>
        <w:t xml:space="preserve"> </w:t>
      </w:r>
      <w:r w:rsidRPr="008F0357">
        <w:rPr>
          <w:rFonts w:ascii="Book Antiqua" w:eastAsia="Times New Roman" w:hAnsi="Book Antiqua"/>
          <w:lang w:val="en-US"/>
        </w:rPr>
        <w:t>without precancerous lesions at</w:t>
      </w:r>
      <w:r w:rsidRPr="008F0357">
        <w:rPr>
          <w:rFonts w:ascii="Book Antiqua" w:eastAsia="Times New Roman" w:hAnsi="Book Antiqua"/>
          <w:lang w:val="en-US" w:eastAsia="zh-CN"/>
        </w:rPr>
        <w:t xml:space="preserve"> </w:t>
      </w:r>
      <w:r w:rsidRPr="008F0357">
        <w:rPr>
          <w:rFonts w:ascii="Book Antiqua" w:eastAsia="Times New Roman" w:hAnsi="Book Antiqua"/>
          <w:lang w:val="en-US"/>
        </w:rPr>
        <w:t>baseline.</w:t>
      </w:r>
    </w:p>
    <w:p w:rsidR="00F10C6E" w:rsidRPr="008F0357" w:rsidRDefault="00F10C6E" w:rsidP="00174C31">
      <w:pPr>
        <w:autoSpaceDE w:val="0"/>
        <w:autoSpaceDN w:val="0"/>
        <w:adjustRightInd w:val="0"/>
        <w:spacing w:line="360" w:lineRule="auto"/>
        <w:ind w:firstLineChars="200" w:firstLine="480"/>
        <w:jc w:val="both"/>
        <w:rPr>
          <w:rFonts w:ascii="Book Antiqua" w:hAnsi="Book Antiqua"/>
          <w:lang w:val="en-US"/>
        </w:rPr>
      </w:pPr>
      <w:r w:rsidRPr="008F0357">
        <w:rPr>
          <w:rFonts w:ascii="Book Antiqua" w:eastAsia="Times New Roman" w:hAnsi="Book Antiqua"/>
          <w:lang w:val="en-US"/>
        </w:rPr>
        <w:t xml:space="preserve">The molecular alterations underlying gastric carcinogenesis are mainly driven by the up-regulation of </w:t>
      </w:r>
      <w:r w:rsidRPr="008F0357">
        <w:rPr>
          <w:rFonts w:ascii="Book Antiqua" w:hAnsi="Book Antiqua"/>
          <w:lang w:val="en-US"/>
        </w:rPr>
        <w:t>cyclooxygenase (COX)-2</w:t>
      </w:r>
      <w:r w:rsidRPr="008F0357">
        <w:rPr>
          <w:rFonts w:ascii="Book Antiqua" w:hAnsi="Book Antiqua"/>
          <w:vertAlign w:val="superscript"/>
          <w:lang w:val="en-US"/>
        </w:rPr>
        <w:t>[58]</w:t>
      </w:r>
      <w:r w:rsidRPr="008F0357">
        <w:rPr>
          <w:rFonts w:ascii="Book Antiqua" w:hAnsi="Book Antiqua"/>
          <w:lang w:val="en-US"/>
        </w:rPr>
        <w:t>, thus, the inhibition of COX-2 could be a potential target for GC prevention and treatment. In 2002, in a large cohort study (635,031 subjects followed over 6 years), supported by the American Cancer Society, aspirin users (&gt;</w:t>
      </w:r>
      <w:r w:rsidRPr="008F0357">
        <w:rPr>
          <w:rFonts w:ascii="Book Antiqua" w:hAnsi="Book Antiqua"/>
          <w:lang w:val="en-US" w:eastAsia="zh-CN"/>
        </w:rPr>
        <w:t xml:space="preserve"> </w:t>
      </w:r>
      <w:r w:rsidRPr="008F0357">
        <w:rPr>
          <w:rFonts w:ascii="Book Antiqua" w:hAnsi="Book Antiqua"/>
          <w:lang w:val="en-US"/>
        </w:rPr>
        <w:t xml:space="preserve">16 times/mo) were found to have a decreased risk of GC compared with non-users (OR </w:t>
      </w:r>
      <w:r w:rsidRPr="008F0357">
        <w:rPr>
          <w:rFonts w:ascii="Book Antiqua" w:hAnsi="Book Antiqua"/>
          <w:lang w:val="en-US" w:eastAsia="zh-CN"/>
        </w:rPr>
        <w:t xml:space="preserve">= </w:t>
      </w:r>
      <w:r w:rsidRPr="008F0357">
        <w:rPr>
          <w:rFonts w:ascii="Book Antiqua" w:hAnsi="Book Antiqua"/>
          <w:lang w:val="en-US"/>
        </w:rPr>
        <w:t>0.53; 95%CI</w:t>
      </w:r>
      <w:r w:rsidRPr="008F0357">
        <w:rPr>
          <w:rFonts w:ascii="Book Antiqua" w:hAnsi="Book Antiqua"/>
          <w:lang w:val="en-US" w:eastAsia="zh-CN"/>
        </w:rPr>
        <w:t>:</w:t>
      </w:r>
      <w:r w:rsidRPr="008F0357">
        <w:rPr>
          <w:rFonts w:ascii="Book Antiqua" w:hAnsi="Book Antiqua"/>
          <w:lang w:val="en-US"/>
        </w:rPr>
        <w:t xml:space="preserve"> 0.34–0.81)</w:t>
      </w:r>
      <w:r w:rsidRPr="008F0357">
        <w:rPr>
          <w:rFonts w:ascii="Book Antiqua" w:hAnsi="Book Antiqua"/>
          <w:vertAlign w:val="superscript"/>
          <w:lang w:val="en-US"/>
        </w:rPr>
        <w:t>[59]</w:t>
      </w:r>
      <w:r w:rsidRPr="008F0357">
        <w:rPr>
          <w:rFonts w:ascii="Book Antiqua" w:hAnsi="Book Antiqua"/>
          <w:lang w:val="en-US"/>
        </w:rPr>
        <w:t xml:space="preserve">. In 2012, a metanalysis by Bosetti </w:t>
      </w:r>
      <w:r w:rsidRPr="008F0357">
        <w:rPr>
          <w:rFonts w:ascii="Book Antiqua" w:hAnsi="Book Antiqua"/>
          <w:i/>
          <w:lang w:val="en-US"/>
        </w:rPr>
        <w:t>et al</w:t>
      </w:r>
      <w:r w:rsidRPr="008F0357">
        <w:rPr>
          <w:rFonts w:ascii="Book Antiqua" w:hAnsi="Book Antiqua"/>
          <w:vertAlign w:val="superscript"/>
          <w:lang w:val="en-US"/>
        </w:rPr>
        <w:t>[60]</w:t>
      </w:r>
      <w:r w:rsidRPr="008F0357">
        <w:rPr>
          <w:rFonts w:ascii="Book Antiqua" w:hAnsi="Book Antiqua"/>
          <w:lang w:val="en-US"/>
        </w:rPr>
        <w:t xml:space="preserve"> including seven case–control and six cohort studies, with a total of 4519 GC cases, reported an overall risk reduction for GC for regular aspirin use (RR </w:t>
      </w:r>
      <w:r w:rsidRPr="008F0357">
        <w:rPr>
          <w:rFonts w:ascii="Book Antiqua" w:hAnsi="Book Antiqua"/>
          <w:lang w:val="en-US" w:eastAsia="zh-CN"/>
        </w:rPr>
        <w:t xml:space="preserve">= </w:t>
      </w:r>
      <w:r w:rsidRPr="008F0357">
        <w:rPr>
          <w:rFonts w:ascii="Book Antiqua" w:hAnsi="Book Antiqua"/>
          <w:lang w:val="en-US"/>
        </w:rPr>
        <w:t>0.67; 95%CI</w:t>
      </w:r>
      <w:r w:rsidRPr="008F0357">
        <w:rPr>
          <w:rFonts w:ascii="Book Antiqua" w:hAnsi="Book Antiqua"/>
          <w:lang w:val="en-US" w:eastAsia="zh-CN"/>
        </w:rPr>
        <w:t>:</w:t>
      </w:r>
      <w:r w:rsidRPr="008F0357">
        <w:rPr>
          <w:rFonts w:ascii="Book Antiqua" w:hAnsi="Book Antiqua"/>
          <w:lang w:val="en-US"/>
        </w:rPr>
        <w:t xml:space="preserve"> 0.54–0.83, </w:t>
      </w:r>
      <w:r w:rsidRPr="008F0357">
        <w:rPr>
          <w:rFonts w:ascii="Book Antiqua" w:hAnsi="Book Antiqua"/>
          <w:i/>
          <w:lang w:val="en-US"/>
        </w:rPr>
        <w:t>P</w:t>
      </w:r>
      <w:r w:rsidRPr="008F0357">
        <w:rPr>
          <w:rFonts w:ascii="Book Antiqua" w:hAnsi="Book Antiqua"/>
          <w:lang w:val="en-US"/>
        </w:rPr>
        <w:t xml:space="preserve"> &lt; 0.001). The risk reduction was greater for longer aspirin use (RR </w:t>
      </w:r>
      <w:r w:rsidRPr="008F0357">
        <w:rPr>
          <w:rFonts w:ascii="Book Antiqua" w:hAnsi="Book Antiqua"/>
          <w:lang w:val="en-US" w:eastAsia="zh-CN"/>
        </w:rPr>
        <w:t xml:space="preserve">= </w:t>
      </w:r>
      <w:r w:rsidRPr="008F0357">
        <w:rPr>
          <w:rFonts w:ascii="Book Antiqua" w:hAnsi="Book Antiqua"/>
          <w:lang w:val="en-US"/>
        </w:rPr>
        <w:t>0.80; 95%CI</w:t>
      </w:r>
      <w:r w:rsidRPr="008F0357">
        <w:rPr>
          <w:rFonts w:ascii="Book Antiqua" w:hAnsi="Book Antiqua"/>
          <w:lang w:val="en-US" w:eastAsia="zh-CN"/>
        </w:rPr>
        <w:t>:</w:t>
      </w:r>
      <w:r w:rsidRPr="008F0357">
        <w:rPr>
          <w:rFonts w:ascii="Book Antiqua" w:hAnsi="Book Antiqua"/>
          <w:lang w:val="en-US"/>
        </w:rPr>
        <w:t xml:space="preserve"> 0.66–0.98, for &lt;</w:t>
      </w:r>
      <w:r w:rsidRPr="008F0357">
        <w:rPr>
          <w:rFonts w:ascii="Book Antiqua" w:hAnsi="Book Antiqua"/>
          <w:lang w:val="en-US" w:eastAsia="zh-CN"/>
        </w:rPr>
        <w:t xml:space="preserve"> </w:t>
      </w:r>
      <w:r w:rsidRPr="008F0357">
        <w:rPr>
          <w:rFonts w:ascii="Book Antiqua" w:hAnsi="Book Antiqua"/>
          <w:lang w:val="en-US"/>
        </w:rPr>
        <w:t xml:space="preserve">5 years and RR </w:t>
      </w:r>
      <w:r w:rsidRPr="008F0357">
        <w:rPr>
          <w:rFonts w:ascii="Book Antiqua" w:hAnsi="Book Antiqua"/>
          <w:lang w:val="en-US" w:eastAsia="zh-CN"/>
        </w:rPr>
        <w:t xml:space="preserve">= </w:t>
      </w:r>
      <w:r w:rsidRPr="008F0357">
        <w:rPr>
          <w:rFonts w:ascii="Book Antiqua" w:hAnsi="Book Antiqua"/>
          <w:lang w:val="en-US"/>
        </w:rPr>
        <w:t>0.62; 95%CI</w:t>
      </w:r>
      <w:r w:rsidRPr="008F0357">
        <w:rPr>
          <w:rFonts w:ascii="Book Antiqua" w:hAnsi="Book Antiqua"/>
          <w:lang w:val="en-US" w:eastAsia="zh-CN"/>
        </w:rPr>
        <w:t>:</w:t>
      </w:r>
      <w:r w:rsidRPr="008F0357">
        <w:rPr>
          <w:rFonts w:ascii="Book Antiqua" w:hAnsi="Book Antiqua"/>
          <w:lang w:val="en-US"/>
        </w:rPr>
        <w:t xml:space="preserve"> 0.50–0.77, for ≥ 5 years). However, the lack of prospective randomized controlled trials on one side, and the occurrence of adverse events (gastrointestinal and renal toxicity) on the other side, currently, do not allow to recommend NSAIDs to reduce GC risk. Selective COX-2 inhibitors (celecoxib and rofecoxib), could have been useful to overcome the gastrointestinal side effects of NSAIDs. However, selective coxibs were approved for use in 1999, but just in 2004 rofecoxib (Vioxx) was withdrawn from the marketplace due to a five-fold increase in cardiovascular risk. Nevertheless, even in the short window of exposure to these compounds, intake of selective coxibs produced significant reductions in the risk of the major human cancers, the magnitude of which, was slightly higher than that of aspirin</w:t>
      </w:r>
      <w:r w:rsidRPr="008F0357">
        <w:rPr>
          <w:rFonts w:ascii="Book Antiqua" w:hAnsi="Book Antiqua"/>
          <w:vertAlign w:val="superscript"/>
          <w:lang w:val="en-US"/>
        </w:rPr>
        <w:t>[61]</w:t>
      </w:r>
      <w:r w:rsidRPr="008F0357">
        <w:rPr>
          <w:rFonts w:ascii="Book Antiqua" w:hAnsi="Book Antiqua"/>
          <w:lang w:val="en-US"/>
        </w:rPr>
        <w:t>.</w:t>
      </w:r>
    </w:p>
    <w:p w:rsidR="00F10C6E" w:rsidRPr="008F0357" w:rsidRDefault="00F10C6E" w:rsidP="000A2D1C">
      <w:pPr>
        <w:autoSpaceDE w:val="0"/>
        <w:autoSpaceDN w:val="0"/>
        <w:adjustRightInd w:val="0"/>
        <w:spacing w:line="360" w:lineRule="auto"/>
        <w:jc w:val="both"/>
        <w:rPr>
          <w:rFonts w:ascii="Book Antiqua" w:hAnsi="Book Antiqua"/>
          <w:lang w:val="en-US"/>
        </w:rPr>
      </w:pPr>
    </w:p>
    <w:p w:rsidR="00F10C6E" w:rsidRPr="008F0357" w:rsidRDefault="00F10C6E" w:rsidP="000A2D1C">
      <w:pPr>
        <w:spacing w:line="360" w:lineRule="auto"/>
        <w:jc w:val="both"/>
        <w:rPr>
          <w:rFonts w:ascii="Book Antiqua" w:hAnsi="Book Antiqua"/>
          <w:b/>
          <w:bCs/>
          <w:i/>
          <w:lang w:val="en-US"/>
        </w:rPr>
      </w:pPr>
      <w:r w:rsidRPr="008F0357">
        <w:rPr>
          <w:rFonts w:ascii="Book Antiqua" w:hAnsi="Book Antiqua"/>
          <w:b/>
          <w:bCs/>
          <w:i/>
          <w:lang w:val="en-US"/>
        </w:rPr>
        <w:t xml:space="preserve">Program </w:t>
      </w:r>
    </w:p>
    <w:p w:rsidR="00F10C6E" w:rsidRPr="008F0357" w:rsidRDefault="00F10C6E" w:rsidP="00174C31">
      <w:pPr>
        <w:spacing w:line="360" w:lineRule="auto"/>
        <w:jc w:val="both"/>
        <w:rPr>
          <w:rFonts w:ascii="Book Antiqua" w:hAnsi="Book Antiqua"/>
          <w:b/>
          <w:bCs/>
          <w:lang w:val="en-US"/>
        </w:rPr>
      </w:pPr>
      <w:r w:rsidRPr="008F0357">
        <w:rPr>
          <w:rFonts w:ascii="Book Antiqua" w:hAnsi="Book Antiqua"/>
          <w:bCs/>
          <w:iCs/>
          <w:lang w:val="en-US"/>
        </w:rPr>
        <w:t>“The screening program s</w:t>
      </w:r>
      <w:r w:rsidRPr="008F0357">
        <w:rPr>
          <w:rFonts w:ascii="Book Antiqua" w:hAnsi="Book Antiqua"/>
          <w:bCs/>
          <w:lang w:val="en-US"/>
        </w:rPr>
        <w:t>hould be cost-effective, that is successful in reducing mortality and morbidity and, in the same time, watchful in controlling health costs”.</w:t>
      </w:r>
      <w:r w:rsidRPr="008F0357">
        <w:rPr>
          <w:rFonts w:ascii="Book Antiqua" w:hAnsi="Book Antiqua"/>
          <w:b/>
          <w:bCs/>
          <w:lang w:val="en-US" w:eastAsia="zh-CN"/>
        </w:rPr>
        <w:t xml:space="preserve"> </w:t>
      </w:r>
      <w:r w:rsidRPr="008F0357">
        <w:rPr>
          <w:rFonts w:ascii="Book Antiqua" w:hAnsi="Book Antiqua"/>
          <w:bCs/>
          <w:iCs/>
          <w:lang w:val="en-US"/>
        </w:rPr>
        <w:t>From</w:t>
      </w:r>
      <w:r w:rsidRPr="008F0357">
        <w:rPr>
          <w:rFonts w:ascii="Book Antiqua" w:hAnsi="Book Antiqua"/>
          <w:bCs/>
          <w:iCs/>
          <w:lang w:val="en-GB"/>
        </w:rPr>
        <w:t xml:space="preserve"> a scientific perspective, </w:t>
      </w:r>
      <w:r w:rsidRPr="008F0357">
        <w:rPr>
          <w:rFonts w:ascii="Book Antiqua" w:hAnsi="Book Antiqua"/>
          <w:bCs/>
          <w:lang w:val="en-US"/>
        </w:rPr>
        <w:t>there is insufficient evidence to conclude that benefits of GC screening are greater than possible harms in the general population. I</w:t>
      </w:r>
      <w:r w:rsidRPr="008F0357">
        <w:rPr>
          <w:rFonts w:ascii="Book Antiqua" w:hAnsi="Book Antiqua"/>
          <w:lang w:val="en-US"/>
        </w:rPr>
        <w:t xml:space="preserve">t remains still unclear who should be screened, when the screening should be started and how the screening should be performed. It is suggested that the screening strategy for GC should be based on incidence of the population and individual risk. Based on the available data in high-risk countries, male subjects younger than 20 years should be screened for </w:t>
      </w:r>
      <w:r w:rsidRPr="008F0357">
        <w:rPr>
          <w:rFonts w:ascii="Book Antiqua" w:hAnsi="Book Antiqua"/>
          <w:i/>
          <w:lang w:val="en-US"/>
        </w:rPr>
        <w:t>H. pylori</w:t>
      </w:r>
      <w:r w:rsidRPr="008F0357">
        <w:rPr>
          <w:rFonts w:ascii="Book Antiqua" w:hAnsi="Book Antiqua"/>
          <w:lang w:val="en-US"/>
        </w:rPr>
        <w:t xml:space="preserve"> infection by serology, while individuals older than 40 years should be screened for </w:t>
      </w:r>
      <w:r w:rsidRPr="008F0357">
        <w:rPr>
          <w:rFonts w:ascii="Book Antiqua" w:hAnsi="Book Antiqua"/>
          <w:lang w:val="en-US"/>
        </w:rPr>
        <w:lastRenderedPageBreak/>
        <w:t xml:space="preserve">precancerous lesions by PG test plus </w:t>
      </w:r>
      <w:r w:rsidRPr="008F0357">
        <w:rPr>
          <w:rFonts w:ascii="Book Antiqua" w:hAnsi="Book Antiqua"/>
          <w:i/>
          <w:lang w:val="en-US"/>
        </w:rPr>
        <w:t>H. pylori</w:t>
      </w:r>
      <w:r w:rsidRPr="008F0357">
        <w:rPr>
          <w:rFonts w:ascii="Book Antiqua" w:hAnsi="Book Antiqua"/>
          <w:lang w:val="en-US"/>
        </w:rPr>
        <w:t xml:space="preserve"> serology or photofluorography. In low-risk countries, screening programs should be addressed to individuals at high risk of GC, that is, those with a positive familial history (Figure 1).</w:t>
      </w:r>
    </w:p>
    <w:p w:rsidR="00F10C6E" w:rsidRPr="008F0357" w:rsidRDefault="00F10C6E" w:rsidP="00174C31">
      <w:pPr>
        <w:autoSpaceDE w:val="0"/>
        <w:autoSpaceDN w:val="0"/>
        <w:adjustRightInd w:val="0"/>
        <w:spacing w:line="360" w:lineRule="auto"/>
        <w:ind w:firstLineChars="200" w:firstLine="480"/>
        <w:jc w:val="both"/>
        <w:rPr>
          <w:rFonts w:ascii="Book Antiqua" w:hAnsi="Book Antiqua"/>
          <w:lang w:val="en-US"/>
        </w:rPr>
      </w:pPr>
      <w:r w:rsidRPr="008F0357">
        <w:rPr>
          <w:rFonts w:ascii="Book Antiqua" w:hAnsi="Book Antiqua"/>
          <w:bCs/>
          <w:iCs/>
          <w:lang w:val="en-US"/>
        </w:rPr>
        <w:t xml:space="preserve">Japan since 1960, and subsequently Korea, Singapore and Taiwan have started national screening programs. </w:t>
      </w:r>
      <w:r w:rsidRPr="008F0357">
        <w:rPr>
          <w:rFonts w:ascii="Book Antiqua" w:hAnsi="Book Antiqua"/>
          <w:lang w:val="en-US"/>
        </w:rPr>
        <w:t>In China, where GC remains the second most common cancer, no systematic screening program is started until now.</w:t>
      </w:r>
      <w:r w:rsidRPr="008F0357">
        <w:rPr>
          <w:rFonts w:ascii="Book Antiqua" w:hAnsi="Book Antiqua"/>
          <w:bCs/>
          <w:iCs/>
          <w:lang w:val="en-US"/>
        </w:rPr>
        <w:t xml:space="preserve"> Currently, </w:t>
      </w:r>
      <w:r w:rsidRPr="008F0357">
        <w:rPr>
          <w:rFonts w:ascii="Book Antiqua" w:hAnsi="Book Antiqua"/>
          <w:lang w:val="en-US"/>
        </w:rPr>
        <w:t>even in the majority of the countries at high-risk of GC, except for Japan, defined guidelines for GC screening are largely lacking.</w:t>
      </w:r>
      <w:r w:rsidRPr="008F0357">
        <w:rPr>
          <w:rFonts w:ascii="Book Antiqua" w:hAnsi="Book Antiqua"/>
          <w:bCs/>
          <w:iCs/>
          <w:lang w:val="en-US"/>
        </w:rPr>
        <w:t xml:space="preserve"> T</w:t>
      </w:r>
      <w:r w:rsidRPr="008F0357">
        <w:rPr>
          <w:rFonts w:ascii="Book Antiqua" w:hAnsi="Book Antiqua"/>
          <w:lang w:val="en-US"/>
        </w:rPr>
        <w:t>he incidence of GC appears to have declined substantially in several Asian countries during the past 3 decades, but whether this is the effect of successful screening programs remains elusive</w:t>
      </w:r>
      <w:r w:rsidRPr="008F0357">
        <w:rPr>
          <w:rFonts w:ascii="Book Antiqua" w:hAnsi="Book Antiqua"/>
          <w:vertAlign w:val="superscript"/>
          <w:lang w:val="en-US"/>
        </w:rPr>
        <w:t>[62]</w:t>
      </w:r>
      <w:r w:rsidRPr="008F0357">
        <w:rPr>
          <w:rFonts w:ascii="Book Antiqua" w:hAnsi="Book Antiqua"/>
          <w:lang w:val="en-US"/>
        </w:rPr>
        <w:t>.</w:t>
      </w:r>
    </w:p>
    <w:p w:rsidR="00F10C6E" w:rsidRPr="008F0357" w:rsidRDefault="00F10C6E" w:rsidP="00174C31">
      <w:pPr>
        <w:spacing w:line="360" w:lineRule="auto"/>
        <w:jc w:val="both"/>
        <w:rPr>
          <w:rFonts w:ascii="Book Antiqua" w:hAnsi="Book Antiqua"/>
          <w:b/>
          <w:bCs/>
          <w:iCs/>
          <w:lang w:val="en-US" w:eastAsia="zh-CN"/>
        </w:rPr>
      </w:pPr>
    </w:p>
    <w:p w:rsidR="00F10C6E" w:rsidRPr="008F0357" w:rsidRDefault="00F10C6E" w:rsidP="00174C31">
      <w:pPr>
        <w:spacing w:line="360" w:lineRule="auto"/>
        <w:jc w:val="both"/>
        <w:rPr>
          <w:rFonts w:ascii="Book Antiqua" w:hAnsi="Book Antiqua"/>
          <w:b/>
          <w:bCs/>
          <w:iCs/>
          <w:lang w:val="en-US"/>
        </w:rPr>
      </w:pPr>
      <w:r w:rsidRPr="008F0357">
        <w:rPr>
          <w:rFonts w:ascii="Book Antiqua" w:hAnsi="Book Antiqua"/>
          <w:b/>
          <w:bCs/>
          <w:iCs/>
          <w:lang w:val="en-US"/>
        </w:rPr>
        <w:t>SURVEILLANCE</w:t>
      </w:r>
    </w:p>
    <w:p w:rsidR="00F10C6E" w:rsidRPr="008F0357" w:rsidRDefault="00F10C6E" w:rsidP="000A2D1C">
      <w:pPr>
        <w:spacing w:line="360" w:lineRule="auto"/>
        <w:jc w:val="both"/>
        <w:rPr>
          <w:rFonts w:ascii="Book Antiqua" w:hAnsi="Book Antiqua"/>
          <w:vertAlign w:val="superscript"/>
          <w:lang w:val="en-US"/>
        </w:rPr>
      </w:pPr>
      <w:r w:rsidRPr="008F0357">
        <w:rPr>
          <w:rFonts w:ascii="Book Antiqua" w:hAnsi="Book Antiqua"/>
          <w:lang w:val="en-US"/>
        </w:rPr>
        <w:t xml:space="preserve">The intestinal type GC develops through a multistep process triggered by </w:t>
      </w:r>
      <w:r w:rsidRPr="008F0357">
        <w:rPr>
          <w:rFonts w:ascii="Book Antiqua" w:hAnsi="Book Antiqua"/>
          <w:i/>
          <w:lang w:val="en-US"/>
        </w:rPr>
        <w:t>H. pylori</w:t>
      </w:r>
      <w:r w:rsidRPr="008F0357">
        <w:rPr>
          <w:rFonts w:ascii="Book Antiqua" w:hAnsi="Book Antiqua"/>
          <w:lang w:val="en-US"/>
        </w:rPr>
        <w:t xml:space="preserve"> and progressing from superﬁcial gastritis to atrophic gastritis, IM, and dysplasia</w:t>
      </w:r>
      <w:r w:rsidRPr="008F0357">
        <w:rPr>
          <w:rFonts w:ascii="Book Antiqua" w:hAnsi="Book Antiqua"/>
          <w:vertAlign w:val="superscript"/>
          <w:lang w:val="en-US"/>
        </w:rPr>
        <w:t>[63]</w:t>
      </w:r>
      <w:r w:rsidRPr="008F0357">
        <w:rPr>
          <w:rFonts w:ascii="Book Antiqua" w:hAnsi="Book Antiqua"/>
          <w:lang w:val="en-US"/>
        </w:rPr>
        <w:t>. Atrophy, IM and dysplasia are considered precancerous lesions and require accurate surveillance programs. However, such lesions, may show a different rate of progression: some lesions remain stable, other may progress and other may show even regression</w:t>
      </w:r>
      <w:r w:rsidRPr="008F0357">
        <w:rPr>
          <w:rFonts w:ascii="Book Antiqua" w:hAnsi="Book Antiqua"/>
          <w:vertAlign w:val="superscript"/>
          <w:lang w:val="en-US"/>
        </w:rPr>
        <w:t>[64,65]</w:t>
      </w:r>
      <w:r w:rsidRPr="008F0357">
        <w:rPr>
          <w:rFonts w:ascii="Book Antiqua" w:hAnsi="Book Antiqua"/>
          <w:lang w:val="en-US"/>
        </w:rPr>
        <w:t>. In a large cohort study, the risk of progression to cancer within 10 years was 0.8% for atrophic gastritis, 1.8% for IM and 3.9% for low-grade dysplasia</w:t>
      </w:r>
      <w:r w:rsidRPr="008F0357">
        <w:rPr>
          <w:rFonts w:ascii="Book Antiqua" w:hAnsi="Book Antiqua"/>
          <w:vertAlign w:val="superscript"/>
          <w:lang w:val="en-US"/>
        </w:rPr>
        <w:t>[66]</w:t>
      </w:r>
      <w:r w:rsidRPr="008F0357">
        <w:rPr>
          <w:rFonts w:ascii="Book Antiqua" w:hAnsi="Book Antiqua"/>
          <w:lang w:val="en-US"/>
        </w:rPr>
        <w:t>. In another study from western populations the annual incidence of GC within 5 years after diagnosis, was 0.1%, 0.25%, 0.6%, 6% for atrophic gastritis, IM, mild-to-moderate dysplasia, and severe dysplasia, respectively</w:t>
      </w:r>
      <w:r w:rsidRPr="008F0357">
        <w:rPr>
          <w:rFonts w:ascii="Book Antiqua" w:hAnsi="Book Antiqua"/>
          <w:vertAlign w:val="superscript"/>
          <w:lang w:val="en-US"/>
        </w:rPr>
        <w:t>[67]</w:t>
      </w:r>
      <w:r w:rsidRPr="008F0357">
        <w:rPr>
          <w:rFonts w:ascii="Book Antiqua" w:hAnsi="Book Antiqua"/>
          <w:lang w:val="en-US"/>
        </w:rPr>
        <w:t>. The severity of premalignant gastric lesions at initial diagnosis (</w:t>
      </w:r>
      <w:r w:rsidRPr="008F0357">
        <w:rPr>
          <w:rFonts w:ascii="Book Antiqua" w:hAnsi="Book Antiqua"/>
          <w:i/>
          <w:lang w:val="en-US"/>
        </w:rPr>
        <w:t>i.e.</w:t>
      </w:r>
      <w:r w:rsidRPr="008F0357">
        <w:rPr>
          <w:rFonts w:ascii="Book Antiqua" w:hAnsi="Book Antiqua"/>
          <w:lang w:val="en-US"/>
        </w:rPr>
        <w:t xml:space="preserve">, severe dysplasia, HR </w:t>
      </w:r>
      <w:r w:rsidRPr="008F0357">
        <w:rPr>
          <w:rFonts w:ascii="Book Antiqua" w:hAnsi="Book Antiqua"/>
          <w:lang w:val="en-US" w:eastAsia="zh-CN"/>
        </w:rPr>
        <w:t xml:space="preserve">= </w:t>
      </w:r>
      <w:r w:rsidRPr="008F0357">
        <w:rPr>
          <w:rFonts w:ascii="Book Antiqua" w:hAnsi="Book Antiqua"/>
          <w:lang w:val="en-US"/>
        </w:rPr>
        <w:t>40.14; 95%CI</w:t>
      </w:r>
      <w:r w:rsidRPr="008F0357">
        <w:rPr>
          <w:rFonts w:ascii="Book Antiqua" w:hAnsi="Book Antiqua"/>
          <w:lang w:val="en-US" w:eastAsia="zh-CN"/>
        </w:rPr>
        <w:t>:</w:t>
      </w:r>
      <w:r w:rsidRPr="008F0357">
        <w:rPr>
          <w:rFonts w:ascii="Book Antiqua" w:hAnsi="Book Antiqua"/>
          <w:lang w:val="en-US"/>
        </w:rPr>
        <w:t xml:space="preserve"> 32.2-50.1), together with old age (</w:t>
      </w:r>
      <w:r w:rsidRPr="008F0357">
        <w:rPr>
          <w:rFonts w:ascii="Book Antiqua" w:hAnsi="Book Antiqua"/>
          <w:i/>
          <w:lang w:val="en-US"/>
        </w:rPr>
        <w:t>i.e.</w:t>
      </w:r>
      <w:r w:rsidRPr="008F0357">
        <w:rPr>
          <w:rFonts w:ascii="Book Antiqua" w:hAnsi="Book Antiqua"/>
          <w:lang w:val="en-US"/>
        </w:rPr>
        <w:t xml:space="preserve">, 75–84 years, HR </w:t>
      </w:r>
      <w:r w:rsidRPr="008F0357">
        <w:rPr>
          <w:rFonts w:ascii="Book Antiqua" w:hAnsi="Book Antiqua"/>
          <w:lang w:val="en-US" w:eastAsia="zh-CN"/>
        </w:rPr>
        <w:t xml:space="preserve">= </w:t>
      </w:r>
      <w:r w:rsidRPr="008F0357">
        <w:rPr>
          <w:rFonts w:ascii="Book Antiqua" w:hAnsi="Book Antiqua"/>
          <w:lang w:val="en-US"/>
        </w:rPr>
        <w:t>3.75; 95%CI</w:t>
      </w:r>
      <w:r w:rsidRPr="008F0357">
        <w:rPr>
          <w:rFonts w:ascii="Book Antiqua" w:hAnsi="Book Antiqua"/>
          <w:lang w:val="en-US" w:eastAsia="zh-CN"/>
        </w:rPr>
        <w:t>:</w:t>
      </w:r>
      <w:r w:rsidRPr="008F0357">
        <w:rPr>
          <w:rFonts w:ascii="Book Antiqua" w:hAnsi="Book Antiqua"/>
          <w:lang w:val="en-US"/>
        </w:rPr>
        <w:t xml:space="preserve"> 2.8-5.1) and male gender (HR </w:t>
      </w:r>
      <w:r w:rsidRPr="008F0357">
        <w:rPr>
          <w:rFonts w:ascii="Book Antiqua" w:hAnsi="Book Antiqua"/>
          <w:lang w:val="en-US" w:eastAsia="zh-CN"/>
        </w:rPr>
        <w:t xml:space="preserve">= </w:t>
      </w:r>
      <w:r w:rsidRPr="008F0357">
        <w:rPr>
          <w:rFonts w:ascii="Book Antiqua" w:hAnsi="Book Antiqua"/>
          <w:lang w:val="en-US"/>
        </w:rPr>
        <w:t>1.50; 95%CI</w:t>
      </w:r>
      <w:r w:rsidRPr="008F0357">
        <w:rPr>
          <w:rFonts w:ascii="Book Antiqua" w:hAnsi="Book Antiqua"/>
          <w:lang w:val="en-US" w:eastAsia="zh-CN"/>
        </w:rPr>
        <w:t>:</w:t>
      </w:r>
      <w:r w:rsidRPr="008F0357">
        <w:rPr>
          <w:rFonts w:ascii="Book Antiqua" w:hAnsi="Book Antiqua"/>
          <w:lang w:val="en-US"/>
        </w:rPr>
        <w:t xml:space="preserve"> 1.3-1.7) remain the main risk factors for GC development</w:t>
      </w:r>
      <w:r w:rsidRPr="008F0357">
        <w:rPr>
          <w:rFonts w:ascii="Book Antiqua" w:hAnsi="Book Antiqua"/>
          <w:vertAlign w:val="superscript"/>
          <w:lang w:val="en-US"/>
        </w:rPr>
        <w:t>[67]</w:t>
      </w:r>
      <w:r w:rsidRPr="008F0357">
        <w:rPr>
          <w:rFonts w:ascii="Book Antiqua" w:hAnsi="Book Antiqua"/>
          <w:lang w:val="en-US"/>
        </w:rPr>
        <w:t>.</w:t>
      </w:r>
      <w:r w:rsidRPr="008F0357">
        <w:rPr>
          <w:rFonts w:ascii="Book Antiqua" w:hAnsi="Book Antiqua"/>
          <w:vertAlign w:val="superscript"/>
          <w:lang w:val="en-US"/>
        </w:rPr>
        <w:t xml:space="preserve"> </w:t>
      </w:r>
    </w:p>
    <w:p w:rsidR="00F10C6E" w:rsidRPr="008F0357" w:rsidRDefault="00F10C6E" w:rsidP="00174C31">
      <w:pPr>
        <w:spacing w:line="360" w:lineRule="auto"/>
        <w:ind w:firstLineChars="200" w:firstLine="480"/>
        <w:jc w:val="both"/>
        <w:rPr>
          <w:rFonts w:ascii="Book Antiqua" w:hAnsi="Book Antiqua"/>
          <w:lang w:val="en-US"/>
        </w:rPr>
      </w:pPr>
      <w:r w:rsidRPr="008F0357">
        <w:rPr>
          <w:rFonts w:ascii="Book Antiqua" w:hAnsi="Book Antiqua"/>
          <w:lang w:val="en-US"/>
        </w:rPr>
        <w:t xml:space="preserve">Currently, there are no international recommendations for the surveillance of preneoplastic lesions. Here, we will try to address this issue focusing on: </w:t>
      </w:r>
      <w:r w:rsidRPr="008F0357">
        <w:rPr>
          <w:rFonts w:ascii="Book Antiqua" w:hAnsi="Book Antiqua"/>
          <w:lang w:val="en-US" w:eastAsia="zh-CN"/>
        </w:rPr>
        <w:t>(</w:t>
      </w:r>
      <w:r w:rsidRPr="008F0357">
        <w:rPr>
          <w:rFonts w:ascii="Book Antiqua" w:hAnsi="Book Antiqua"/>
          <w:lang w:val="en-US"/>
        </w:rPr>
        <w:t>1</w:t>
      </w:r>
      <w:r w:rsidRPr="008F0357">
        <w:rPr>
          <w:rFonts w:ascii="Book Antiqua" w:hAnsi="Book Antiqua"/>
          <w:lang w:val="en-US" w:eastAsia="zh-CN"/>
        </w:rPr>
        <w:t>)</w:t>
      </w:r>
      <w:r w:rsidRPr="008F0357">
        <w:rPr>
          <w:rFonts w:ascii="Book Antiqua" w:hAnsi="Book Antiqua"/>
          <w:lang w:val="en-US"/>
        </w:rPr>
        <w:t xml:space="preserve"> Which is the optimal diagnostic approach? </w:t>
      </w:r>
      <w:r w:rsidRPr="008F0357">
        <w:rPr>
          <w:rFonts w:ascii="Book Antiqua" w:hAnsi="Book Antiqua"/>
          <w:lang w:val="en-US" w:eastAsia="zh-CN"/>
        </w:rPr>
        <w:t>(</w:t>
      </w:r>
      <w:r w:rsidRPr="008F0357">
        <w:rPr>
          <w:rFonts w:ascii="Book Antiqua" w:hAnsi="Book Antiqua"/>
          <w:lang w:val="en-US"/>
        </w:rPr>
        <w:t>2</w:t>
      </w:r>
      <w:r w:rsidRPr="008F0357">
        <w:rPr>
          <w:rFonts w:ascii="Book Antiqua" w:hAnsi="Book Antiqua"/>
          <w:lang w:val="en-US" w:eastAsia="zh-CN"/>
        </w:rPr>
        <w:t>)</w:t>
      </w:r>
      <w:r w:rsidRPr="008F0357">
        <w:rPr>
          <w:rFonts w:ascii="Book Antiqua" w:hAnsi="Book Antiqua"/>
          <w:lang w:val="en-US"/>
        </w:rPr>
        <w:t xml:space="preserve"> Which patients are at higher risk? </w:t>
      </w:r>
      <w:r w:rsidRPr="008F0357">
        <w:rPr>
          <w:rFonts w:ascii="Book Antiqua" w:hAnsi="Book Antiqua"/>
          <w:lang w:val="en-US" w:eastAsia="zh-CN"/>
        </w:rPr>
        <w:t>(</w:t>
      </w:r>
      <w:r w:rsidRPr="008F0357">
        <w:rPr>
          <w:rFonts w:ascii="Book Antiqua" w:hAnsi="Book Antiqua"/>
          <w:lang w:val="en-US"/>
        </w:rPr>
        <w:t>3</w:t>
      </w:r>
      <w:r w:rsidRPr="008F0357">
        <w:rPr>
          <w:rFonts w:ascii="Book Antiqua" w:hAnsi="Book Antiqua"/>
          <w:lang w:val="en-US" w:eastAsia="zh-CN"/>
        </w:rPr>
        <w:t>)</w:t>
      </w:r>
      <w:r w:rsidRPr="008F0357">
        <w:rPr>
          <w:rFonts w:ascii="Book Antiqua" w:hAnsi="Book Antiqua"/>
          <w:lang w:val="en-US"/>
        </w:rPr>
        <w:t xml:space="preserve"> Which is t</w:t>
      </w:r>
      <w:r>
        <w:rPr>
          <w:rFonts w:ascii="Book Antiqua" w:hAnsi="Book Antiqua"/>
          <w:lang w:val="en-US"/>
        </w:rPr>
        <w:t>he best timing of surveillance?</w:t>
      </w:r>
      <w:r w:rsidRPr="008F0357">
        <w:rPr>
          <w:rFonts w:ascii="Book Antiqua" w:hAnsi="Book Antiqua"/>
          <w:lang w:val="en-US"/>
        </w:rPr>
        <w:t xml:space="preserve"> </w:t>
      </w:r>
      <w:r w:rsidRPr="008F0357">
        <w:rPr>
          <w:rFonts w:ascii="Book Antiqua" w:hAnsi="Book Antiqua"/>
          <w:lang w:val="en-US" w:eastAsia="zh-CN"/>
        </w:rPr>
        <w:t>and (</w:t>
      </w:r>
      <w:r w:rsidRPr="008F0357">
        <w:rPr>
          <w:rFonts w:ascii="Book Antiqua" w:hAnsi="Book Antiqua"/>
          <w:lang w:val="en-US"/>
        </w:rPr>
        <w:t>4</w:t>
      </w:r>
      <w:r w:rsidRPr="008F0357">
        <w:rPr>
          <w:rFonts w:ascii="Book Antiqua" w:hAnsi="Book Antiqua"/>
          <w:lang w:val="en-US" w:eastAsia="zh-CN"/>
        </w:rPr>
        <w:t>)</w:t>
      </w:r>
      <w:r w:rsidRPr="008F0357">
        <w:rPr>
          <w:rFonts w:ascii="Book Antiqua" w:hAnsi="Book Antiqua"/>
          <w:lang w:val="en-US"/>
        </w:rPr>
        <w:t xml:space="preserve"> Is surveillance of preneoplastic lesions cost-effective?</w:t>
      </w:r>
    </w:p>
    <w:p w:rsidR="00F10C6E" w:rsidRPr="008F0357" w:rsidRDefault="00F10C6E" w:rsidP="000A2D1C">
      <w:pPr>
        <w:autoSpaceDE w:val="0"/>
        <w:autoSpaceDN w:val="0"/>
        <w:adjustRightInd w:val="0"/>
        <w:spacing w:line="360" w:lineRule="auto"/>
        <w:jc w:val="both"/>
        <w:rPr>
          <w:rFonts w:ascii="Book Antiqua" w:hAnsi="Book Antiqua"/>
          <w:lang w:val="en-US"/>
        </w:rPr>
      </w:pPr>
    </w:p>
    <w:p w:rsidR="00F10C6E" w:rsidRPr="008F0357" w:rsidRDefault="00F10C6E" w:rsidP="000A2D1C">
      <w:pPr>
        <w:spacing w:line="360" w:lineRule="auto"/>
        <w:jc w:val="both"/>
        <w:rPr>
          <w:rFonts w:ascii="Book Antiqua" w:hAnsi="Book Antiqua"/>
          <w:b/>
          <w:i/>
          <w:lang w:val="en-US"/>
        </w:rPr>
      </w:pPr>
      <w:r w:rsidRPr="008F0357">
        <w:rPr>
          <w:rFonts w:ascii="Book Antiqua" w:hAnsi="Book Antiqua"/>
          <w:b/>
          <w:i/>
          <w:lang w:val="en-US"/>
        </w:rPr>
        <w:t>Which is the optimal diagnostic approach?</w:t>
      </w:r>
    </w:p>
    <w:p w:rsidR="00F10C6E" w:rsidRPr="008F0357" w:rsidRDefault="00F10C6E" w:rsidP="000A2D1C">
      <w:pPr>
        <w:autoSpaceDE w:val="0"/>
        <w:autoSpaceDN w:val="0"/>
        <w:adjustRightInd w:val="0"/>
        <w:spacing w:line="360" w:lineRule="auto"/>
        <w:jc w:val="both"/>
        <w:rPr>
          <w:rFonts w:ascii="Book Antiqua" w:hAnsi="Book Antiqua"/>
          <w:lang w:val="en-US"/>
        </w:rPr>
      </w:pPr>
      <w:r w:rsidRPr="008F0357">
        <w:rPr>
          <w:rFonts w:ascii="Book Antiqua" w:hAnsi="Book Antiqua"/>
          <w:lang w:val="en-US"/>
        </w:rPr>
        <w:lastRenderedPageBreak/>
        <w:t>Conventional white light endoscopy cannot accurately differentiate, diagnose and allow the surveillance of gastric preneoplastic lesions. Magnification, chromoendoscopy and narrow band imaging (NBI) improve the ability to follow the progression of these lesions and the probability to detect early GC. Magnification chromoendoscopy using methylene blue, indigo carmine, acetic acid, or hematoxylin, showed a high accuracy to diagnose these lesions and in particular dysplasia</w:t>
      </w:r>
      <w:r w:rsidRPr="008F0357">
        <w:rPr>
          <w:rFonts w:ascii="Book Antiqua" w:hAnsi="Book Antiqua"/>
          <w:vertAlign w:val="superscript"/>
          <w:lang w:val="en-US"/>
        </w:rPr>
        <w:t>[68-70]</w:t>
      </w:r>
      <w:r w:rsidRPr="008F0357">
        <w:rPr>
          <w:rFonts w:ascii="Book Antiqua" w:hAnsi="Book Antiqua"/>
          <w:lang w:val="en-US"/>
        </w:rPr>
        <w:t>. The recent technology of NBI, based on the irradiation with two narrow wave band of light, blue and green, easily absorbed by the hemoglobin in the mucosa blood vessels, may also be useful to diagnose gastric lesions</w:t>
      </w:r>
      <w:r w:rsidRPr="008F0357">
        <w:rPr>
          <w:rFonts w:ascii="Book Antiqua" w:hAnsi="Book Antiqua"/>
          <w:vertAlign w:val="superscript"/>
          <w:lang w:val="en-US"/>
        </w:rPr>
        <w:t>[71-73]</w:t>
      </w:r>
      <w:r w:rsidRPr="008F0357">
        <w:rPr>
          <w:rFonts w:ascii="Book Antiqua" w:hAnsi="Book Antiqua"/>
          <w:lang w:val="en-US"/>
        </w:rPr>
        <w:t>. However, the length of the endoscopic procedure, the workload of endoscopy team, the reduced patient compliance, the limited expertise, the additional costs, and, for NBI, the lack of agreement on the patterns associated with precancerous lesions, do not allow to recommend routine performance of these techniques. In spite of the undoubted advantage of endoscopic techniques in identifying the potential precancerous lesions, the diagnosis needs biopsy sampling and histological evaluation.</w:t>
      </w:r>
    </w:p>
    <w:p w:rsidR="00F10C6E" w:rsidRPr="008F0357" w:rsidRDefault="00F10C6E" w:rsidP="00174C31">
      <w:pPr>
        <w:autoSpaceDE w:val="0"/>
        <w:autoSpaceDN w:val="0"/>
        <w:adjustRightInd w:val="0"/>
        <w:spacing w:line="360" w:lineRule="auto"/>
        <w:ind w:firstLineChars="200" w:firstLine="480"/>
        <w:jc w:val="both"/>
        <w:rPr>
          <w:rFonts w:ascii="Book Antiqua" w:hAnsi="Book Antiqua"/>
          <w:lang w:val="en-US"/>
        </w:rPr>
      </w:pPr>
      <w:r w:rsidRPr="008F0357">
        <w:rPr>
          <w:rFonts w:ascii="Book Antiqua" w:hAnsi="Book Antiqua"/>
          <w:lang w:val="en-US"/>
        </w:rPr>
        <w:t>The Updated Sydney System</w:t>
      </w:r>
      <w:r w:rsidRPr="008F0357">
        <w:rPr>
          <w:rFonts w:ascii="Book Antiqua" w:hAnsi="Book Antiqua"/>
          <w:vertAlign w:val="superscript"/>
          <w:lang w:val="en-US"/>
        </w:rPr>
        <w:t>[74]</w:t>
      </w:r>
      <w:r w:rsidRPr="008F0357">
        <w:rPr>
          <w:rFonts w:ascii="Book Antiqua" w:hAnsi="Book Antiqua"/>
          <w:lang w:val="en-US"/>
        </w:rPr>
        <w:t>, including five biopsy samples (2 antrum, 1 incisura, 2 corpus, with 1 from the greater and 1 from the lesser curvature) is the most widely accepted protocol for classification and grading of gastritis, even if el-Zimaity and Graham concluded that it underestimated the presence of IM and identified corpus atrophy only when it was extensive</w:t>
      </w:r>
      <w:r w:rsidRPr="008F0357">
        <w:rPr>
          <w:rFonts w:ascii="Book Antiqua" w:hAnsi="Book Antiqua"/>
          <w:vertAlign w:val="superscript"/>
          <w:lang w:val="en-US"/>
        </w:rPr>
        <w:t>[75]</w:t>
      </w:r>
      <w:r w:rsidRPr="008F0357">
        <w:rPr>
          <w:rFonts w:ascii="Book Antiqua" w:hAnsi="Book Antiqua"/>
          <w:lang w:val="en-US"/>
        </w:rPr>
        <w:t>. A biopsy protocol consisting of seven non-targeted biopsies (3 antrum, 1 incisura, 3 corpus, with 1 from the greater and 2 from the lesser curvature) diagnosed IM in 97% of cases and all cases of dysplasia or cancer</w:t>
      </w:r>
      <w:r w:rsidRPr="008F0357">
        <w:rPr>
          <w:rFonts w:ascii="Book Antiqua" w:hAnsi="Book Antiqua"/>
          <w:vertAlign w:val="superscript"/>
          <w:lang w:val="en-US"/>
        </w:rPr>
        <w:t>[76]</w:t>
      </w:r>
      <w:r w:rsidRPr="008F0357">
        <w:rPr>
          <w:rFonts w:ascii="Book Antiqua" w:hAnsi="Book Antiqua"/>
          <w:lang w:val="en-US"/>
        </w:rPr>
        <w:t xml:space="preserve">. </w:t>
      </w:r>
    </w:p>
    <w:p w:rsidR="00F10C6E" w:rsidRPr="008F0357" w:rsidRDefault="00F10C6E" w:rsidP="00174C31">
      <w:pPr>
        <w:autoSpaceDE w:val="0"/>
        <w:autoSpaceDN w:val="0"/>
        <w:adjustRightInd w:val="0"/>
        <w:spacing w:line="360" w:lineRule="auto"/>
        <w:ind w:firstLineChars="150" w:firstLine="360"/>
        <w:jc w:val="both"/>
        <w:rPr>
          <w:rFonts w:ascii="Book Antiqua" w:hAnsi="Book Antiqua"/>
          <w:lang w:val="en-US"/>
        </w:rPr>
      </w:pPr>
      <w:r w:rsidRPr="008F0357">
        <w:rPr>
          <w:rFonts w:ascii="Book Antiqua" w:hAnsi="Book Antiqua"/>
          <w:lang w:val="en-US"/>
        </w:rPr>
        <w:t>Mounting evidence suggests the use of non invasive tests for the surveillance of precancerous lesions</w:t>
      </w:r>
      <w:r w:rsidRPr="008F0357">
        <w:rPr>
          <w:rFonts w:ascii="Book Antiqua" w:hAnsi="Book Antiqua"/>
          <w:vertAlign w:val="superscript"/>
          <w:lang w:val="en-US"/>
        </w:rPr>
        <w:t>[40,77-81]</w:t>
      </w:r>
      <w:r w:rsidRPr="008F0357">
        <w:rPr>
          <w:rFonts w:ascii="Book Antiqua" w:hAnsi="Book Antiqua"/>
          <w:lang w:val="en-US"/>
        </w:rPr>
        <w:t>. A low PGI level, a low PGI/II ratio, or both are good indicators of atrophic changes in the gastric mucosa. Many studies from different countries, comparing the levels of the serum PGs with histology, based on different cutoff values, showed conflicting results</w:t>
      </w:r>
      <w:r w:rsidRPr="008F0357">
        <w:rPr>
          <w:rFonts w:ascii="Book Antiqua" w:hAnsi="Book Antiqua"/>
          <w:vertAlign w:val="superscript"/>
          <w:lang w:val="en-US"/>
        </w:rPr>
        <w:t>[77-81]</w:t>
      </w:r>
      <w:r w:rsidRPr="008F0357">
        <w:rPr>
          <w:rFonts w:ascii="Book Antiqua" w:hAnsi="Book Antiqua"/>
          <w:lang w:val="en-US"/>
        </w:rPr>
        <w:t xml:space="preserve">. A meta-analysis by Dinis-Ribeiro </w:t>
      </w:r>
      <w:r w:rsidRPr="008F0357">
        <w:rPr>
          <w:rFonts w:ascii="Book Antiqua" w:hAnsi="Book Antiqua"/>
          <w:i/>
          <w:lang w:val="en-US"/>
        </w:rPr>
        <w:t>et al</w:t>
      </w:r>
      <w:r w:rsidRPr="008F0357">
        <w:rPr>
          <w:rFonts w:ascii="Book Antiqua" w:hAnsi="Book Antiqua"/>
          <w:vertAlign w:val="superscript"/>
          <w:lang w:val="en-US"/>
        </w:rPr>
        <w:t>[82]</w:t>
      </w:r>
      <w:r w:rsidRPr="008F0357">
        <w:rPr>
          <w:rFonts w:ascii="Book Antiqua" w:hAnsi="Book Antiqua"/>
          <w:lang w:val="en-US"/>
        </w:rPr>
        <w:t xml:space="preserve"> including 27 population studies (296553 patients) and 15 selected-population studies (4385 patients) found that a combination of PGI &lt;</w:t>
      </w:r>
      <w:r w:rsidRPr="008F0357">
        <w:rPr>
          <w:rFonts w:ascii="Book Antiqua" w:hAnsi="Book Antiqua"/>
          <w:lang w:val="en-US" w:eastAsia="zh-CN"/>
        </w:rPr>
        <w:t xml:space="preserve"> </w:t>
      </w:r>
      <w:r w:rsidRPr="008F0357">
        <w:rPr>
          <w:rFonts w:ascii="Book Antiqua" w:hAnsi="Book Antiqua"/>
          <w:lang w:val="en-US"/>
        </w:rPr>
        <w:t>50 ng/mL and a PGI/PGII ratio 3.0 provided the best results, with a sensitivity of 65%, a specificity of 74–85%, and a negative predictive value &gt;</w:t>
      </w:r>
      <w:r w:rsidRPr="008F0357">
        <w:rPr>
          <w:rFonts w:ascii="Book Antiqua" w:hAnsi="Book Antiqua"/>
          <w:lang w:val="en-US" w:eastAsia="zh-CN"/>
        </w:rPr>
        <w:t xml:space="preserve"> </w:t>
      </w:r>
      <w:r w:rsidRPr="008F0357">
        <w:rPr>
          <w:rFonts w:ascii="Book Antiqua" w:hAnsi="Book Antiqua"/>
          <w:lang w:val="en-US"/>
        </w:rPr>
        <w:t xml:space="preserve">95%. </w:t>
      </w:r>
    </w:p>
    <w:p w:rsidR="00F10C6E" w:rsidRPr="008F0357" w:rsidRDefault="00F10C6E" w:rsidP="000A2D1C">
      <w:pPr>
        <w:spacing w:line="360" w:lineRule="auto"/>
        <w:jc w:val="both"/>
        <w:rPr>
          <w:rFonts w:ascii="Book Antiqua" w:hAnsi="Book Antiqua"/>
          <w:lang w:val="en-US"/>
        </w:rPr>
      </w:pPr>
    </w:p>
    <w:p w:rsidR="00F10C6E" w:rsidRPr="008F0357" w:rsidRDefault="00F10C6E" w:rsidP="000A2D1C">
      <w:pPr>
        <w:spacing w:line="360" w:lineRule="auto"/>
        <w:jc w:val="both"/>
        <w:rPr>
          <w:rFonts w:ascii="Book Antiqua" w:hAnsi="Book Antiqua"/>
          <w:b/>
          <w:i/>
          <w:lang w:val="en-US"/>
        </w:rPr>
      </w:pPr>
      <w:r w:rsidRPr="008F0357">
        <w:rPr>
          <w:rFonts w:ascii="Book Antiqua" w:hAnsi="Book Antiqua"/>
          <w:b/>
          <w:i/>
          <w:lang w:val="en-US"/>
        </w:rPr>
        <w:t>Which patients are at higher risk?</w:t>
      </w:r>
    </w:p>
    <w:p w:rsidR="00F10C6E" w:rsidRPr="008F0357" w:rsidRDefault="00F10C6E" w:rsidP="000A2D1C">
      <w:pPr>
        <w:autoSpaceDE w:val="0"/>
        <w:autoSpaceDN w:val="0"/>
        <w:adjustRightInd w:val="0"/>
        <w:spacing w:line="360" w:lineRule="auto"/>
        <w:jc w:val="both"/>
        <w:rPr>
          <w:rFonts w:ascii="Book Antiqua" w:hAnsi="Book Antiqua"/>
          <w:lang w:val="en-US"/>
        </w:rPr>
      </w:pPr>
      <w:r w:rsidRPr="008F0357">
        <w:rPr>
          <w:rFonts w:ascii="Book Antiqua" w:hAnsi="Book Antiqua"/>
          <w:lang w:val="en-US"/>
        </w:rPr>
        <w:lastRenderedPageBreak/>
        <w:t>Only few patients with atrophy and IM develop GC. The risk is closely related to the location, severity, and extension of precancerous lesions. T</w:t>
      </w:r>
      <w:r w:rsidRPr="008F0357">
        <w:rPr>
          <w:rFonts w:ascii="Book Antiqua" w:hAnsi="Book Antiqua"/>
          <w:bCs/>
          <w:iCs/>
          <w:lang w:val="en-US"/>
        </w:rPr>
        <w:t>here is a wide variability concerning the prevalence and the pattern of chronic atrophic gastritis worldwide. In countries at higher incidence of GC, chronic atrophic gastritis is prevalently diagnosed as pangastritis or corpus gastritis, while in western countries, at lower incidence of GC, it is</w:t>
      </w:r>
      <w:r w:rsidRPr="008F0357">
        <w:rPr>
          <w:rFonts w:ascii="Book Antiqua" w:hAnsi="Book Antiqua"/>
          <w:lang w:val="en-US"/>
        </w:rPr>
        <w:t xml:space="preserve"> diagnosed more often in the antrum than in the corpus, and the lesser curvature is more often affected than the greater curvature</w:t>
      </w:r>
      <w:r w:rsidRPr="008F0357">
        <w:rPr>
          <w:rFonts w:ascii="Book Antiqua" w:hAnsi="Book Antiqua"/>
          <w:vertAlign w:val="superscript"/>
          <w:lang w:val="en-US"/>
        </w:rPr>
        <w:t>[65]</w:t>
      </w:r>
      <w:r w:rsidRPr="008F0357">
        <w:rPr>
          <w:rFonts w:ascii="Book Antiqua" w:hAnsi="Book Antiqua"/>
          <w:lang w:val="en-US"/>
        </w:rPr>
        <w:t xml:space="preserve">. </w:t>
      </w:r>
    </w:p>
    <w:p w:rsidR="00F10C6E" w:rsidRPr="008F0357" w:rsidRDefault="00F10C6E" w:rsidP="00174C31">
      <w:pPr>
        <w:autoSpaceDE w:val="0"/>
        <w:autoSpaceDN w:val="0"/>
        <w:adjustRightInd w:val="0"/>
        <w:spacing w:line="360" w:lineRule="auto"/>
        <w:ind w:firstLineChars="150" w:firstLine="360"/>
        <w:jc w:val="both"/>
        <w:rPr>
          <w:rFonts w:ascii="Book Antiqua" w:hAnsi="Book Antiqua"/>
          <w:lang w:val="en-US"/>
        </w:rPr>
      </w:pPr>
      <w:r w:rsidRPr="008F0357">
        <w:rPr>
          <w:rFonts w:ascii="Book Antiqua" w:hAnsi="Book Antiqua"/>
          <w:lang w:val="en-US"/>
        </w:rPr>
        <w:t>Intestinal metaplasia is classified as complete (“small-intestinal” or type I, showing goblet and absorptive cells and decreased expression of gastric mucins), or incomplete (“enterocolic” or type IIA/II and“colonic” or type IIB/III, showing goblet and columnar non-absorptive cells, in which gastric mucins are coexpressed with MUC2)</w:t>
      </w:r>
      <w:r w:rsidRPr="008F0357">
        <w:rPr>
          <w:rFonts w:ascii="Book Antiqua" w:hAnsi="Book Antiqua"/>
          <w:vertAlign w:val="superscript"/>
          <w:lang w:val="en-US"/>
        </w:rPr>
        <w:t>[83,84]</w:t>
      </w:r>
      <w:r w:rsidRPr="008F0357">
        <w:rPr>
          <w:rFonts w:ascii="Book Antiqua" w:hAnsi="Book Antiqua"/>
          <w:lang w:val="en-US"/>
        </w:rPr>
        <w:t>. Incomplete metaplasia is associated with the risk of malignant progression</w:t>
      </w:r>
      <w:r w:rsidRPr="008F0357">
        <w:rPr>
          <w:rFonts w:ascii="Book Antiqua" w:hAnsi="Book Antiqua"/>
          <w:vertAlign w:val="superscript"/>
          <w:lang w:val="en-US"/>
        </w:rPr>
        <w:t>[85]</w:t>
      </w:r>
      <w:r w:rsidRPr="008F0357">
        <w:rPr>
          <w:rFonts w:ascii="Book Antiqua" w:hAnsi="Book Antiqua"/>
          <w:lang w:val="en-US"/>
        </w:rPr>
        <w:t>. In addition, the risk of GC is least in patients with sporadic IM, is higher in patients with more widespread IM in the antrum or along the lesser curvature, and highest in patients with diffuse IM</w:t>
      </w:r>
      <w:r w:rsidRPr="008F0357">
        <w:rPr>
          <w:rFonts w:ascii="Book Antiqua" w:hAnsi="Book Antiqua"/>
          <w:vertAlign w:val="superscript"/>
          <w:lang w:val="en-US"/>
        </w:rPr>
        <w:t>[85]</w:t>
      </w:r>
      <w:r w:rsidRPr="008F0357">
        <w:rPr>
          <w:rFonts w:ascii="Book Antiqua" w:hAnsi="Book Antiqua"/>
          <w:lang w:val="en-US"/>
        </w:rPr>
        <w:t xml:space="preserve">. </w:t>
      </w:r>
    </w:p>
    <w:p w:rsidR="00F10C6E" w:rsidRPr="008F0357" w:rsidRDefault="00F10C6E" w:rsidP="00174C31">
      <w:pPr>
        <w:autoSpaceDE w:val="0"/>
        <w:autoSpaceDN w:val="0"/>
        <w:adjustRightInd w:val="0"/>
        <w:spacing w:line="360" w:lineRule="auto"/>
        <w:ind w:firstLineChars="150" w:firstLine="360"/>
        <w:jc w:val="both"/>
        <w:rPr>
          <w:rFonts w:ascii="Book Antiqua" w:hAnsi="Book Antiqua"/>
          <w:lang w:val="en-US"/>
        </w:rPr>
      </w:pPr>
      <w:r w:rsidRPr="008F0357">
        <w:rPr>
          <w:rFonts w:ascii="Book Antiqua" w:hAnsi="Book Antiqua"/>
          <w:lang w:val="en-US"/>
        </w:rPr>
        <w:t>The application of the operative links on gastritis assessment, addressing the grade and extension of atrophy (OLGA) and IM (OLGIM), may be useful for identifying subgroups of patients with different risks of progression to GC</w:t>
      </w:r>
      <w:r w:rsidRPr="008F0357">
        <w:rPr>
          <w:rFonts w:ascii="Book Antiqua" w:hAnsi="Book Antiqua"/>
          <w:vertAlign w:val="superscript"/>
          <w:lang w:val="en-US"/>
        </w:rPr>
        <w:t>[86,87]</w:t>
      </w:r>
      <w:r w:rsidRPr="008F0357">
        <w:rPr>
          <w:rFonts w:ascii="Book Antiqua" w:hAnsi="Book Antiqua"/>
          <w:lang w:val="en-US"/>
        </w:rPr>
        <w:t>. Both, OLGA and OLGIM have been validated in prospective studies</w:t>
      </w:r>
      <w:r w:rsidRPr="008F0357">
        <w:rPr>
          <w:rFonts w:ascii="Book Antiqua" w:hAnsi="Book Antiqua"/>
          <w:vertAlign w:val="superscript"/>
          <w:lang w:val="en-US"/>
        </w:rPr>
        <w:t>[89-91]</w:t>
      </w:r>
      <w:r w:rsidRPr="008F0357">
        <w:rPr>
          <w:rFonts w:ascii="Book Antiqua" w:hAnsi="Book Antiqua"/>
          <w:lang w:val="en-US"/>
        </w:rPr>
        <w:t>.</w:t>
      </w:r>
    </w:p>
    <w:p w:rsidR="00F10C6E" w:rsidRPr="008F0357" w:rsidRDefault="00F10C6E" w:rsidP="00174C31">
      <w:pPr>
        <w:autoSpaceDE w:val="0"/>
        <w:autoSpaceDN w:val="0"/>
        <w:adjustRightInd w:val="0"/>
        <w:spacing w:line="360" w:lineRule="auto"/>
        <w:ind w:firstLineChars="150" w:firstLine="360"/>
        <w:jc w:val="both"/>
        <w:rPr>
          <w:rFonts w:ascii="Book Antiqua" w:hAnsi="Book Antiqua"/>
          <w:lang w:val="en-US"/>
        </w:rPr>
      </w:pPr>
      <w:r w:rsidRPr="008F0357">
        <w:rPr>
          <w:rFonts w:ascii="Book Antiqua" w:hAnsi="Book Antiqua"/>
          <w:lang w:val="en-US"/>
        </w:rPr>
        <w:t>Another pattern of metaplasia, the “spasmolytic polypeptide-expressing metaplasia” (SPEM), has been described</w:t>
      </w:r>
      <w:r w:rsidRPr="008F0357">
        <w:rPr>
          <w:rFonts w:ascii="Book Antiqua" w:hAnsi="Book Antiqua"/>
          <w:vertAlign w:val="superscript"/>
          <w:lang w:val="en-US"/>
        </w:rPr>
        <w:t>[92]</w:t>
      </w:r>
      <w:r w:rsidRPr="008F0357">
        <w:rPr>
          <w:rFonts w:ascii="Book Antiqua" w:hAnsi="Book Antiqua"/>
          <w:lang w:val="en-US"/>
        </w:rPr>
        <w:t>. It is characterized by the expression of the TFF2 spasmolytic polypeptide, that is associated with oxyntic atrophy</w:t>
      </w:r>
      <w:r w:rsidRPr="008F0357">
        <w:rPr>
          <w:rFonts w:ascii="Book Antiqua" w:hAnsi="Book Antiqua"/>
          <w:vertAlign w:val="superscript"/>
          <w:lang w:val="en-US"/>
        </w:rPr>
        <w:t>[93]</w:t>
      </w:r>
      <w:r w:rsidRPr="008F0357">
        <w:rPr>
          <w:rFonts w:ascii="Book Antiqua" w:hAnsi="Book Antiqua"/>
          <w:lang w:val="en-US"/>
        </w:rPr>
        <w:t xml:space="preserve">. SPEM, which characteristically develops in the gastric body and fundus and appears to share some characteristics with pseudopyloric metaplasia, has a strong association with chronic infection with </w:t>
      </w:r>
      <w:r w:rsidRPr="008F0357">
        <w:rPr>
          <w:rFonts w:ascii="Book Antiqua" w:hAnsi="Book Antiqua"/>
          <w:i/>
          <w:lang w:val="en-US"/>
        </w:rPr>
        <w:t>H. pylori</w:t>
      </w:r>
      <w:r w:rsidRPr="008F0357">
        <w:rPr>
          <w:rFonts w:ascii="Book Antiqua" w:hAnsi="Book Antiqua"/>
          <w:lang w:val="en-US"/>
        </w:rPr>
        <w:t xml:space="preserve"> and with GC, and may represent another pathway to gastric neoplasia</w:t>
      </w:r>
      <w:r w:rsidRPr="008F0357">
        <w:rPr>
          <w:rFonts w:ascii="Book Antiqua" w:hAnsi="Book Antiqua"/>
          <w:vertAlign w:val="superscript"/>
          <w:lang w:val="en-US"/>
        </w:rPr>
        <w:t>[94]</w:t>
      </w:r>
      <w:r w:rsidRPr="008F0357">
        <w:rPr>
          <w:rFonts w:ascii="Book Antiqua" w:hAnsi="Book Antiqua"/>
          <w:lang w:val="en-US"/>
        </w:rPr>
        <w:t>.</w:t>
      </w:r>
    </w:p>
    <w:p w:rsidR="00F10C6E" w:rsidRPr="008F0357" w:rsidRDefault="00F10C6E" w:rsidP="00174C31">
      <w:pPr>
        <w:autoSpaceDE w:val="0"/>
        <w:autoSpaceDN w:val="0"/>
        <w:adjustRightInd w:val="0"/>
        <w:spacing w:line="360" w:lineRule="auto"/>
        <w:ind w:firstLineChars="200" w:firstLine="480"/>
        <w:jc w:val="both"/>
        <w:rPr>
          <w:rFonts w:ascii="Book Antiqua" w:hAnsi="Book Antiqua"/>
          <w:lang w:val="en-US"/>
        </w:rPr>
      </w:pPr>
      <w:r w:rsidRPr="008F0357">
        <w:rPr>
          <w:rFonts w:ascii="Book Antiqua" w:hAnsi="Book Antiqua"/>
          <w:lang w:val="en-US"/>
        </w:rPr>
        <w:t>Gastric dysplasia is characterized by cellular atypias reflective of abnormal differentiation and glandular architecture disorganization without evidence of tissue invasion. The reported rates of dysplasia progression vary greatly, ranging from 0% to 73% per year in different studies</w:t>
      </w:r>
      <w:r w:rsidRPr="008F0357">
        <w:rPr>
          <w:rFonts w:ascii="Book Antiqua" w:hAnsi="Book Antiqua"/>
          <w:vertAlign w:val="superscript"/>
          <w:lang w:val="en-US"/>
        </w:rPr>
        <w:t>[67,95,96]</w:t>
      </w:r>
      <w:r w:rsidRPr="008F0357">
        <w:rPr>
          <w:rFonts w:ascii="Book Antiqua" w:hAnsi="Book Antiqua"/>
          <w:lang w:val="en-US"/>
        </w:rPr>
        <w:t xml:space="preserve">. The difference between Japanese and European/North American pathologists in categorizing gastric dysplasia accounts for this discrepancy. In Japan, non-invasive intramucosal neoplastic lesions with high-grade </w:t>
      </w:r>
      <w:r w:rsidRPr="008F0357">
        <w:rPr>
          <w:rFonts w:ascii="Book Antiqua" w:hAnsi="Book Antiqua"/>
          <w:lang w:val="en-US"/>
        </w:rPr>
        <w:lastRenderedPageBreak/>
        <w:t>cellular and architectural atypias are termed “non-invasive intramucosal carcinoma,” whereas the same lesions are diagnosed as high-grade dysplasia by most pathologists in western countries</w:t>
      </w:r>
      <w:r w:rsidRPr="008F0357">
        <w:rPr>
          <w:rFonts w:ascii="Book Antiqua" w:hAnsi="Book Antiqua"/>
          <w:vertAlign w:val="superscript"/>
          <w:lang w:val="en-US"/>
        </w:rPr>
        <w:t>[97]</w:t>
      </w:r>
      <w:r w:rsidRPr="008F0357">
        <w:rPr>
          <w:rFonts w:ascii="Book Antiqua" w:hAnsi="Book Antiqua"/>
          <w:lang w:val="en-US"/>
        </w:rPr>
        <w:t xml:space="preserve">. The World Health Organization identified five diagnostic categories: </w:t>
      </w:r>
      <w:r>
        <w:rPr>
          <w:rFonts w:ascii="Book Antiqua" w:hAnsi="Book Antiqua"/>
          <w:lang w:val="en-US" w:eastAsia="zh-CN"/>
        </w:rPr>
        <w:t>(</w:t>
      </w:r>
      <w:r w:rsidRPr="008F0357">
        <w:rPr>
          <w:rFonts w:ascii="Book Antiqua" w:hAnsi="Book Antiqua"/>
          <w:lang w:val="en-US"/>
        </w:rPr>
        <w:t>1</w:t>
      </w:r>
      <w:r>
        <w:rPr>
          <w:rFonts w:ascii="Book Antiqua" w:hAnsi="Book Antiqua"/>
          <w:lang w:val="en-US" w:eastAsia="zh-CN"/>
        </w:rPr>
        <w:t>)</w:t>
      </w:r>
      <w:r w:rsidRPr="008F0357">
        <w:rPr>
          <w:rFonts w:ascii="Book Antiqua" w:hAnsi="Book Antiqua"/>
          <w:lang w:val="en-US"/>
        </w:rPr>
        <w:t xml:space="preserve"> negative for intraepithelial neoplasia/dysplasia; </w:t>
      </w:r>
      <w:r>
        <w:rPr>
          <w:rFonts w:ascii="Book Antiqua" w:hAnsi="Book Antiqua"/>
          <w:lang w:val="en-US" w:eastAsia="zh-CN"/>
        </w:rPr>
        <w:t>(</w:t>
      </w:r>
      <w:r w:rsidRPr="008F0357">
        <w:rPr>
          <w:rFonts w:ascii="Book Antiqua" w:hAnsi="Book Antiqua"/>
          <w:lang w:val="en-US"/>
        </w:rPr>
        <w:t>2</w:t>
      </w:r>
      <w:r>
        <w:rPr>
          <w:rFonts w:ascii="Book Antiqua" w:hAnsi="Book Antiqua"/>
          <w:lang w:val="en-US" w:eastAsia="zh-CN"/>
        </w:rPr>
        <w:t>)</w:t>
      </w:r>
      <w:r w:rsidRPr="008F0357">
        <w:rPr>
          <w:rFonts w:ascii="Book Antiqua" w:hAnsi="Book Antiqua"/>
          <w:lang w:val="en-US"/>
        </w:rPr>
        <w:t xml:space="preserve"> indefinite for intraepithelial neoplasia/dysplasia; </w:t>
      </w:r>
      <w:r>
        <w:rPr>
          <w:rFonts w:ascii="Book Antiqua" w:hAnsi="Book Antiqua"/>
          <w:lang w:val="en-US" w:eastAsia="zh-CN"/>
        </w:rPr>
        <w:t>(</w:t>
      </w:r>
      <w:r w:rsidRPr="008F0357">
        <w:rPr>
          <w:rFonts w:ascii="Book Antiqua" w:hAnsi="Book Antiqua"/>
          <w:lang w:val="en-US"/>
        </w:rPr>
        <w:t>3</w:t>
      </w:r>
      <w:r>
        <w:rPr>
          <w:rFonts w:ascii="Book Antiqua" w:hAnsi="Book Antiqua"/>
          <w:lang w:val="en-US" w:eastAsia="zh-CN"/>
        </w:rPr>
        <w:t>)</w:t>
      </w:r>
      <w:r w:rsidRPr="008F0357">
        <w:rPr>
          <w:rFonts w:ascii="Book Antiqua" w:hAnsi="Book Antiqua"/>
          <w:lang w:val="en-US"/>
        </w:rPr>
        <w:t xml:space="preserve"> low-grade intraepithelial neoplasia/dysplasia; </w:t>
      </w:r>
      <w:r>
        <w:rPr>
          <w:rFonts w:ascii="Book Antiqua" w:hAnsi="Book Antiqua"/>
          <w:lang w:val="en-US" w:eastAsia="zh-CN"/>
        </w:rPr>
        <w:t>(</w:t>
      </w:r>
      <w:r w:rsidRPr="008F0357">
        <w:rPr>
          <w:rFonts w:ascii="Book Antiqua" w:hAnsi="Book Antiqua"/>
          <w:lang w:val="en-US"/>
        </w:rPr>
        <w:t>4</w:t>
      </w:r>
      <w:r>
        <w:rPr>
          <w:rFonts w:ascii="Book Antiqua" w:hAnsi="Book Antiqua"/>
          <w:lang w:val="en-US" w:eastAsia="zh-CN"/>
        </w:rPr>
        <w:t>)</w:t>
      </w:r>
      <w:r w:rsidRPr="008F0357">
        <w:rPr>
          <w:rFonts w:ascii="Book Antiqua" w:hAnsi="Book Antiqua"/>
          <w:lang w:val="en-US"/>
        </w:rPr>
        <w:t xml:space="preserve"> high-grade intraepithelial neoplasia/dysplasia; </w:t>
      </w:r>
      <w:r>
        <w:rPr>
          <w:rFonts w:ascii="Book Antiqua" w:hAnsi="Book Antiqua"/>
          <w:lang w:val="en-US" w:eastAsia="zh-CN"/>
        </w:rPr>
        <w:t>and (</w:t>
      </w:r>
      <w:r w:rsidRPr="008F0357">
        <w:rPr>
          <w:rFonts w:ascii="Book Antiqua" w:hAnsi="Book Antiqua"/>
          <w:lang w:val="en-US"/>
        </w:rPr>
        <w:t>5</w:t>
      </w:r>
      <w:r>
        <w:rPr>
          <w:rFonts w:ascii="Book Antiqua" w:hAnsi="Book Antiqua"/>
          <w:lang w:val="en-US" w:eastAsia="zh-CN"/>
        </w:rPr>
        <w:t>)</w:t>
      </w:r>
      <w:r w:rsidRPr="008F0357">
        <w:rPr>
          <w:rFonts w:ascii="Book Antiqua" w:hAnsi="Book Antiqua"/>
          <w:lang w:val="en-US"/>
        </w:rPr>
        <w:t xml:space="preserve"> intramucosal invasive neoplasia/intramucosal carcinoma</w:t>
      </w:r>
      <w:r w:rsidRPr="008F0357">
        <w:rPr>
          <w:rFonts w:ascii="Book Antiqua" w:hAnsi="Book Antiqua"/>
          <w:vertAlign w:val="superscript"/>
          <w:lang w:val="en-US"/>
        </w:rPr>
        <w:t>[98]</w:t>
      </w:r>
      <w:r w:rsidRPr="008F0357">
        <w:rPr>
          <w:rFonts w:ascii="Book Antiqua" w:hAnsi="Book Antiqua"/>
          <w:lang w:val="en-US"/>
        </w:rPr>
        <w:t>.</w:t>
      </w:r>
    </w:p>
    <w:p w:rsidR="00F10C6E" w:rsidRPr="008F0357" w:rsidRDefault="00F10C6E" w:rsidP="00174C31">
      <w:pPr>
        <w:autoSpaceDE w:val="0"/>
        <w:autoSpaceDN w:val="0"/>
        <w:adjustRightInd w:val="0"/>
        <w:spacing w:line="360" w:lineRule="auto"/>
        <w:ind w:firstLineChars="200" w:firstLine="480"/>
        <w:jc w:val="both"/>
        <w:rPr>
          <w:rFonts w:ascii="Book Antiqua" w:hAnsi="Book Antiqua"/>
          <w:lang w:val="en-US"/>
        </w:rPr>
      </w:pPr>
      <w:r w:rsidRPr="008F0357">
        <w:rPr>
          <w:rFonts w:ascii="Book Antiqua" w:hAnsi="Book Antiqua"/>
          <w:lang w:val="en-US"/>
        </w:rPr>
        <w:t>In a cohort of patients with premalignant gastric lesions, approximately 25% of patients with high-grade dysplasia received a diagnosis of GC within 1 year of follow-up, while only 7% of patients with low-grade dysplasia progressed to invasive carcinoma</w:t>
      </w:r>
      <w:r w:rsidRPr="008F0357">
        <w:rPr>
          <w:rFonts w:ascii="Book Antiqua" w:hAnsi="Book Antiqua"/>
          <w:vertAlign w:val="superscript"/>
          <w:lang w:val="en-US"/>
        </w:rPr>
        <w:t>[67]</w:t>
      </w:r>
      <w:r w:rsidRPr="008F0357">
        <w:rPr>
          <w:rFonts w:ascii="Book Antiqua" w:hAnsi="Book Antiqua"/>
          <w:lang w:val="en-US"/>
        </w:rPr>
        <w:t xml:space="preserve">. </w:t>
      </w:r>
    </w:p>
    <w:p w:rsidR="00F10C6E" w:rsidRPr="008F0357" w:rsidRDefault="00F10C6E" w:rsidP="00174C31">
      <w:pPr>
        <w:autoSpaceDE w:val="0"/>
        <w:autoSpaceDN w:val="0"/>
        <w:adjustRightInd w:val="0"/>
        <w:spacing w:line="360" w:lineRule="auto"/>
        <w:ind w:firstLineChars="200" w:firstLine="480"/>
        <w:jc w:val="both"/>
        <w:rPr>
          <w:rFonts w:ascii="Book Antiqua" w:hAnsi="Book Antiqua"/>
          <w:lang w:val="en-US"/>
        </w:rPr>
      </w:pPr>
      <w:r w:rsidRPr="008F0357">
        <w:rPr>
          <w:rFonts w:ascii="Book Antiqua" w:hAnsi="Book Antiqua"/>
          <w:lang w:val="en-US"/>
        </w:rPr>
        <w:t xml:space="preserve">In addition to histological findings other possible risk factors for more severe lesions at surveillance endoscopy were current or past </w:t>
      </w:r>
      <w:r w:rsidRPr="008F0357">
        <w:rPr>
          <w:rFonts w:ascii="Book Antiqua" w:hAnsi="Book Antiqua"/>
          <w:i/>
          <w:lang w:val="en-US"/>
        </w:rPr>
        <w:t>H. pylori</w:t>
      </w:r>
      <w:r w:rsidRPr="008F0357">
        <w:rPr>
          <w:rFonts w:ascii="Book Antiqua" w:hAnsi="Book Antiqua"/>
          <w:lang w:val="en-US"/>
        </w:rPr>
        <w:t xml:space="preserve"> infection (p </w:t>
      </w:r>
      <w:r>
        <w:rPr>
          <w:rFonts w:ascii="Book Antiqua" w:hAnsi="Book Antiqua"/>
          <w:lang w:val="en-US" w:eastAsia="zh-CN"/>
        </w:rPr>
        <w:sym w:font="Symbol" w:char="F03C"/>
      </w:r>
      <w:r>
        <w:rPr>
          <w:rFonts w:ascii="Book Antiqua" w:hAnsi="Book Antiqua"/>
          <w:lang w:val="en-US" w:eastAsia="zh-CN"/>
        </w:rPr>
        <w:t xml:space="preserve"> </w:t>
      </w:r>
      <w:r w:rsidRPr="008F0357">
        <w:rPr>
          <w:rFonts w:ascii="Book Antiqua" w:hAnsi="Book Antiqua"/>
          <w:lang w:val="en-US"/>
        </w:rPr>
        <w:t>0.05), BMI</w:t>
      </w:r>
      <w:r w:rsidRPr="008F0357">
        <w:rPr>
          <w:rFonts w:ascii="Book Antiqua" w:hAnsi="Book Antiqua"/>
          <w:lang w:val="en-US" w:eastAsia="zh-CN"/>
        </w:rPr>
        <w:t xml:space="preserve"> </w:t>
      </w:r>
      <w:r w:rsidRPr="008F0357">
        <w:rPr>
          <w:rFonts w:ascii="Book Antiqua" w:hAnsi="Book Antiqua"/>
          <w:lang w:val="en-US"/>
        </w:rPr>
        <w:t>&gt;</w:t>
      </w:r>
      <w:r w:rsidRPr="008F0357">
        <w:rPr>
          <w:rFonts w:ascii="Book Antiqua" w:hAnsi="Book Antiqua"/>
          <w:lang w:val="en-US" w:eastAsia="zh-CN"/>
        </w:rPr>
        <w:t xml:space="preserve"> </w:t>
      </w:r>
      <w:r w:rsidRPr="008F0357">
        <w:rPr>
          <w:rFonts w:ascii="Book Antiqua" w:hAnsi="Book Antiqua"/>
          <w:lang w:val="en-US"/>
        </w:rPr>
        <w:t>25 Kg/m</w:t>
      </w:r>
      <w:r w:rsidRPr="008F0357">
        <w:rPr>
          <w:rFonts w:ascii="Book Antiqua" w:hAnsi="Book Antiqua"/>
          <w:vertAlign w:val="superscript"/>
          <w:lang w:val="en-US"/>
        </w:rPr>
        <w:t>2</w:t>
      </w:r>
      <w:r w:rsidRPr="008F0357">
        <w:rPr>
          <w:rFonts w:ascii="Book Antiqua" w:hAnsi="Book Antiqua"/>
          <w:lang w:val="en-US"/>
        </w:rPr>
        <w:t xml:space="preserve"> (</w:t>
      </w:r>
      <w:r w:rsidRPr="008F0357">
        <w:rPr>
          <w:rFonts w:ascii="Book Antiqua" w:hAnsi="Book Antiqua"/>
          <w:i/>
          <w:lang w:val="en-US"/>
        </w:rPr>
        <w:t>P</w:t>
      </w:r>
      <w:r w:rsidRPr="008F0357">
        <w:rPr>
          <w:rFonts w:ascii="Book Antiqua" w:hAnsi="Book Antiqua"/>
          <w:lang w:val="en-US"/>
        </w:rPr>
        <w:t xml:space="preserve"> </w:t>
      </w:r>
      <w:r w:rsidRPr="008F0357">
        <w:rPr>
          <w:rFonts w:ascii="Book Antiqua" w:hAnsi="Book Antiqua"/>
          <w:lang w:val="en-US"/>
        </w:rPr>
        <w:sym w:font="Symbol" w:char="F03C"/>
      </w:r>
      <w:r w:rsidRPr="008F0357">
        <w:rPr>
          <w:rFonts w:ascii="Book Antiqua" w:hAnsi="Book Antiqua"/>
          <w:lang w:val="en-US" w:eastAsia="zh-CN"/>
        </w:rPr>
        <w:t xml:space="preserve"> </w:t>
      </w:r>
      <w:r w:rsidRPr="008F0357">
        <w:rPr>
          <w:rFonts w:ascii="Book Antiqua" w:hAnsi="Book Antiqua"/>
          <w:lang w:val="en-US"/>
        </w:rPr>
        <w:t>0.05) sex, ethnicity, family history positive for GC, alcohol consumption &gt; 2 units/d</w:t>
      </w:r>
      <w:r w:rsidRPr="008F0357">
        <w:rPr>
          <w:rFonts w:ascii="Book Antiqua" w:hAnsi="Book Antiqua"/>
          <w:lang w:val="en-US" w:eastAsia="zh-CN"/>
        </w:rPr>
        <w:t xml:space="preserve"> </w:t>
      </w:r>
      <w:r w:rsidRPr="008F0357">
        <w:rPr>
          <w:rFonts w:ascii="Book Antiqua" w:hAnsi="Book Antiqua"/>
          <w:lang w:val="en-US"/>
        </w:rPr>
        <w:t>and smoking &gt; 20 pack/year</w:t>
      </w:r>
      <w:r w:rsidRPr="008F0357">
        <w:rPr>
          <w:rFonts w:ascii="Book Antiqua" w:hAnsi="Book Antiqua"/>
          <w:vertAlign w:val="superscript"/>
          <w:lang w:val="en-US"/>
        </w:rPr>
        <w:t>[65]</w:t>
      </w:r>
      <w:r w:rsidRPr="008F0357">
        <w:rPr>
          <w:rFonts w:ascii="Book Antiqua" w:hAnsi="Book Antiqua"/>
          <w:lang w:val="en-US"/>
        </w:rPr>
        <w:t>.</w:t>
      </w:r>
    </w:p>
    <w:p w:rsidR="00F10C6E" w:rsidRPr="008F0357" w:rsidRDefault="00F10C6E" w:rsidP="000A2D1C">
      <w:pPr>
        <w:autoSpaceDE w:val="0"/>
        <w:autoSpaceDN w:val="0"/>
        <w:adjustRightInd w:val="0"/>
        <w:spacing w:line="360" w:lineRule="auto"/>
        <w:jc w:val="both"/>
        <w:rPr>
          <w:rFonts w:ascii="Book Antiqua" w:hAnsi="Book Antiqua"/>
          <w:lang w:val="en-US"/>
        </w:rPr>
      </w:pPr>
    </w:p>
    <w:p w:rsidR="00F10C6E" w:rsidRPr="008F0357" w:rsidRDefault="00F10C6E" w:rsidP="000A2D1C">
      <w:pPr>
        <w:autoSpaceDE w:val="0"/>
        <w:autoSpaceDN w:val="0"/>
        <w:adjustRightInd w:val="0"/>
        <w:spacing w:line="360" w:lineRule="auto"/>
        <w:jc w:val="both"/>
        <w:rPr>
          <w:rFonts w:ascii="Book Antiqua" w:hAnsi="Book Antiqua"/>
          <w:b/>
          <w:i/>
          <w:lang w:val="en-US"/>
        </w:rPr>
      </w:pPr>
      <w:r w:rsidRPr="008F0357">
        <w:rPr>
          <w:rFonts w:ascii="Book Antiqua" w:hAnsi="Book Antiqua"/>
          <w:b/>
          <w:i/>
          <w:lang w:val="en-US"/>
        </w:rPr>
        <w:t xml:space="preserve">Which is the best timing of surveillance?  </w:t>
      </w:r>
    </w:p>
    <w:p w:rsidR="00F10C6E" w:rsidRPr="008F0357" w:rsidRDefault="00F10C6E" w:rsidP="00174C31">
      <w:pPr>
        <w:autoSpaceDE w:val="0"/>
        <w:autoSpaceDN w:val="0"/>
        <w:adjustRightInd w:val="0"/>
        <w:spacing w:line="360" w:lineRule="auto"/>
        <w:jc w:val="both"/>
        <w:rPr>
          <w:rFonts w:ascii="Book Antiqua" w:hAnsi="Book Antiqua"/>
          <w:lang w:val="en-US"/>
        </w:rPr>
      </w:pPr>
      <w:r w:rsidRPr="008F0357">
        <w:rPr>
          <w:rFonts w:ascii="Book Antiqua" w:hAnsi="Book Antiqua"/>
          <w:lang w:val="en-US"/>
        </w:rPr>
        <w:t>A recent International Consensus Project</w:t>
      </w:r>
      <w:r w:rsidRPr="008F0357">
        <w:rPr>
          <w:rFonts w:ascii="Book Antiqua" w:hAnsi="Book Antiqua"/>
          <w:vertAlign w:val="superscript"/>
          <w:lang w:val="en-US"/>
        </w:rPr>
        <w:t>[99]</w:t>
      </w:r>
      <w:r w:rsidRPr="008F0357">
        <w:rPr>
          <w:rFonts w:ascii="Book Antiqua" w:hAnsi="Book Antiqua"/>
          <w:lang w:val="en-US"/>
        </w:rPr>
        <w:t xml:space="preserve"> summarizing current evidence on the management of patients with precancerous conditions and lesions proposed the following recommendations (Figure 2):</w:t>
      </w:r>
      <w:r w:rsidRPr="008F0357">
        <w:rPr>
          <w:rFonts w:ascii="Book Antiqua" w:hAnsi="Book Antiqua"/>
          <w:lang w:val="en-US" w:eastAsia="zh-CN"/>
        </w:rPr>
        <w:t xml:space="preserve"> (1) </w:t>
      </w:r>
      <w:r w:rsidRPr="008F0357">
        <w:rPr>
          <w:rFonts w:ascii="Book Antiqua" w:hAnsi="Book Antiqua"/>
          <w:lang w:val="en-US"/>
        </w:rPr>
        <w:t>patients with mild-to-moderate atrophy and or IM only in antrum do not need follow-up (evidence level 4, recommendation grade D);</w:t>
      </w:r>
      <w:r w:rsidRPr="008F0357">
        <w:rPr>
          <w:rFonts w:ascii="Book Antiqua" w:hAnsi="Book Antiqua"/>
          <w:lang w:val="en-US" w:eastAsia="zh-CN"/>
        </w:rPr>
        <w:t xml:space="preserve"> (2) </w:t>
      </w:r>
      <w:r w:rsidRPr="008F0357">
        <w:rPr>
          <w:rFonts w:ascii="Book Antiqua" w:hAnsi="Book Antiqua"/>
          <w:lang w:val="en-US"/>
        </w:rPr>
        <w:t>patients with extensive atrophy and/or extensive IM should be offered endoscopic surveillance (evidence level 2++, recommendation grade B) every 3 years (evidence level 4, recommendation grade D);</w:t>
      </w:r>
      <w:r w:rsidRPr="008F0357">
        <w:rPr>
          <w:rFonts w:ascii="Book Antiqua" w:hAnsi="Book Antiqua"/>
          <w:lang w:val="en-US" w:eastAsia="zh-CN"/>
        </w:rPr>
        <w:t xml:space="preserve"> (3) </w:t>
      </w:r>
      <w:r w:rsidRPr="008F0357">
        <w:rPr>
          <w:rFonts w:ascii="Book Antiqua" w:hAnsi="Book Antiqua"/>
          <w:lang w:val="en-US"/>
        </w:rPr>
        <w:t>patients with low-grade dysplasia should be followed up every 12 months while those  with high-grade dysplasia should be closely followed up every 6 months (evidence level 2+, recommendation grade C);</w:t>
      </w:r>
      <w:r w:rsidRPr="008F0357">
        <w:rPr>
          <w:rFonts w:ascii="Book Antiqua" w:hAnsi="Book Antiqua"/>
          <w:lang w:val="en-US" w:eastAsia="zh-CN"/>
        </w:rPr>
        <w:t xml:space="preserve"> </w:t>
      </w:r>
      <w:r>
        <w:rPr>
          <w:rFonts w:ascii="Book Antiqua" w:hAnsi="Book Antiqua"/>
          <w:lang w:val="en-US" w:eastAsia="zh-CN"/>
        </w:rPr>
        <w:t xml:space="preserve">and </w:t>
      </w:r>
      <w:r w:rsidRPr="008F0357">
        <w:rPr>
          <w:rFonts w:ascii="Book Antiqua" w:hAnsi="Book Antiqua"/>
          <w:lang w:val="en-US" w:eastAsia="zh-CN"/>
        </w:rPr>
        <w:t xml:space="preserve">(4) </w:t>
      </w:r>
      <w:r w:rsidRPr="008F0357">
        <w:rPr>
          <w:rFonts w:ascii="Book Antiqua" w:hAnsi="Book Antiqua"/>
          <w:lang w:val="en-US"/>
        </w:rPr>
        <w:t>patients with dysplasia or cancer within an endoscopically visible lesion should undergo staging and resection.</w:t>
      </w:r>
    </w:p>
    <w:p w:rsidR="00F10C6E" w:rsidRPr="008F0357" w:rsidRDefault="00F10C6E" w:rsidP="000A2D1C">
      <w:pPr>
        <w:autoSpaceDE w:val="0"/>
        <w:autoSpaceDN w:val="0"/>
        <w:adjustRightInd w:val="0"/>
        <w:spacing w:line="360" w:lineRule="auto"/>
        <w:jc w:val="both"/>
        <w:rPr>
          <w:rFonts w:ascii="Book Antiqua" w:hAnsi="Book Antiqua"/>
          <w:b/>
          <w:i/>
          <w:lang w:val="en-US"/>
        </w:rPr>
      </w:pPr>
    </w:p>
    <w:p w:rsidR="00F10C6E" w:rsidRPr="008F0357" w:rsidRDefault="00F10C6E" w:rsidP="000A2D1C">
      <w:pPr>
        <w:autoSpaceDE w:val="0"/>
        <w:autoSpaceDN w:val="0"/>
        <w:adjustRightInd w:val="0"/>
        <w:spacing w:line="360" w:lineRule="auto"/>
        <w:jc w:val="both"/>
        <w:rPr>
          <w:rFonts w:ascii="Book Antiqua" w:hAnsi="Book Antiqua"/>
          <w:b/>
          <w:i/>
          <w:lang w:val="en-US"/>
        </w:rPr>
      </w:pPr>
      <w:r w:rsidRPr="008F0357">
        <w:rPr>
          <w:rFonts w:ascii="Book Antiqua" w:hAnsi="Book Antiqua"/>
          <w:b/>
          <w:i/>
          <w:lang w:val="en-US"/>
        </w:rPr>
        <w:t>Is surveillance of preneoplastic lesions cost-effective?</w:t>
      </w:r>
    </w:p>
    <w:p w:rsidR="00F10C6E" w:rsidRPr="008F0357" w:rsidRDefault="00F10C6E" w:rsidP="000A2D1C">
      <w:pPr>
        <w:autoSpaceDE w:val="0"/>
        <w:autoSpaceDN w:val="0"/>
        <w:adjustRightInd w:val="0"/>
        <w:spacing w:line="360" w:lineRule="auto"/>
        <w:jc w:val="both"/>
        <w:rPr>
          <w:rFonts w:ascii="Book Antiqua" w:hAnsi="Book Antiqua"/>
          <w:vertAlign w:val="superscript"/>
          <w:lang w:val="en-US"/>
        </w:rPr>
      </w:pPr>
      <w:r w:rsidRPr="008F0357">
        <w:rPr>
          <w:rFonts w:ascii="Book Antiqua" w:hAnsi="Book Antiqua"/>
          <w:lang w:val="en-US"/>
        </w:rPr>
        <w:t>Two studies addressing the surveillance of patients with IM concluded that endoscopic follow-up was cost-effective, with ICER (incremental cost-effectiveness ratio) values between 1868 and 72519, but below the adopted threshold</w:t>
      </w:r>
      <w:r w:rsidRPr="008F0357">
        <w:rPr>
          <w:rFonts w:ascii="Book Antiqua" w:hAnsi="Book Antiqua"/>
          <w:vertAlign w:val="superscript"/>
          <w:lang w:val="en-US"/>
        </w:rPr>
        <w:t>[100,101]</w:t>
      </w:r>
      <w:r w:rsidRPr="008F0357">
        <w:rPr>
          <w:rFonts w:ascii="Book Antiqua" w:hAnsi="Book Antiqua"/>
          <w:lang w:val="en-US"/>
        </w:rPr>
        <w:t xml:space="preserve">. Opposite, another study </w:t>
      </w:r>
      <w:r w:rsidRPr="008F0357">
        <w:rPr>
          <w:rFonts w:ascii="Book Antiqua" w:hAnsi="Book Antiqua"/>
          <w:lang w:val="en-US"/>
        </w:rPr>
        <w:lastRenderedPageBreak/>
        <w:t>concluded that only in patients with dysplasia endoscopic surveillance was cost-effective, w</w:t>
      </w:r>
      <w:r>
        <w:rPr>
          <w:rFonts w:ascii="Book Antiqua" w:hAnsi="Book Antiqua"/>
          <w:lang w:val="en-US"/>
        </w:rPr>
        <w:t>ith ICER values ranging from 18600 to 39</w:t>
      </w:r>
      <w:r w:rsidRPr="008F0357">
        <w:rPr>
          <w:rFonts w:ascii="Book Antiqua" w:hAnsi="Book Antiqua"/>
          <w:lang w:val="en-US"/>
        </w:rPr>
        <w:t>800 depending on the endoscopic intervals, but all below the 50000 threshold</w:t>
      </w:r>
      <w:r w:rsidRPr="008F0357">
        <w:rPr>
          <w:rFonts w:ascii="Book Antiqua" w:hAnsi="Book Antiqua"/>
          <w:vertAlign w:val="superscript"/>
          <w:lang w:val="en-US"/>
        </w:rPr>
        <w:t>[102]</w:t>
      </w:r>
      <w:r w:rsidRPr="008F0357">
        <w:rPr>
          <w:rFonts w:ascii="Book Antiqua" w:hAnsi="Book Antiqua"/>
          <w:lang w:val="en-US"/>
        </w:rPr>
        <w:t>. These conﬂicting results might depend on many factors such as geographic area, rate for progression of conditions, and different cost of endoscopy.</w:t>
      </w:r>
    </w:p>
    <w:p w:rsidR="00F10C6E" w:rsidRPr="008F0357" w:rsidRDefault="00F10C6E" w:rsidP="000A2D1C">
      <w:pPr>
        <w:autoSpaceDE w:val="0"/>
        <w:autoSpaceDN w:val="0"/>
        <w:adjustRightInd w:val="0"/>
        <w:spacing w:line="360" w:lineRule="auto"/>
        <w:jc w:val="both"/>
        <w:rPr>
          <w:rFonts w:ascii="Book Antiqua" w:hAnsi="Book Antiqua"/>
          <w:b/>
          <w:bCs/>
          <w:iCs/>
          <w:lang w:val="en-US"/>
        </w:rPr>
      </w:pPr>
    </w:p>
    <w:p w:rsidR="00F10C6E" w:rsidRPr="008F0357" w:rsidRDefault="00F10C6E" w:rsidP="000A2D1C">
      <w:pPr>
        <w:autoSpaceDE w:val="0"/>
        <w:autoSpaceDN w:val="0"/>
        <w:adjustRightInd w:val="0"/>
        <w:spacing w:line="360" w:lineRule="auto"/>
        <w:jc w:val="both"/>
        <w:rPr>
          <w:rFonts w:ascii="Book Antiqua" w:hAnsi="Book Antiqua"/>
          <w:vertAlign w:val="superscript"/>
          <w:lang w:val="en-US"/>
        </w:rPr>
      </w:pPr>
      <w:r w:rsidRPr="008F0357">
        <w:rPr>
          <w:rFonts w:ascii="Book Antiqua" w:hAnsi="Book Antiqua"/>
          <w:b/>
          <w:bCs/>
          <w:iCs/>
          <w:lang w:val="en-US"/>
        </w:rPr>
        <w:t>CONCLUSION</w:t>
      </w:r>
    </w:p>
    <w:p w:rsidR="00F10C6E" w:rsidRPr="008F0357" w:rsidRDefault="00F10C6E" w:rsidP="000A2D1C">
      <w:pPr>
        <w:spacing w:line="360" w:lineRule="auto"/>
        <w:jc w:val="both"/>
        <w:rPr>
          <w:rFonts w:ascii="Book Antiqua" w:hAnsi="Book Antiqua"/>
          <w:lang w:val="en-US"/>
        </w:rPr>
      </w:pPr>
      <w:r w:rsidRPr="008F0357">
        <w:rPr>
          <w:rFonts w:ascii="Book Antiqua" w:hAnsi="Book Antiqua"/>
          <w:lang w:val="en-US"/>
        </w:rPr>
        <w:t>Although there is a progressive decline of GC incidence more cases occur because of expansion and aging of the world population. Gastric cancer remains a major clinical challenge due to its frequency, poor prognosis and limited treatment options Therefore, one of the primary objective of World Health Organization and researchers is to arrange programs for GC screening and surveillance. This strategy should target general population in those countries in which GC continues to be one of the most frequent tumor disease. However, although we know the main etiological agent and the natural history, a GC elimination project, combining appropriate screening and surveillance programs, has yet to be defined because of the lack of standardized recommendations based on a rigorous pro</w:t>
      </w:r>
      <w:r>
        <w:rPr>
          <w:rFonts w:ascii="Book Antiqua" w:hAnsi="Book Antiqua"/>
          <w:lang w:val="en-US"/>
        </w:rPr>
        <w:t xml:space="preserve">cess of guideline development. </w:t>
      </w:r>
      <w:r w:rsidRPr="008F0357">
        <w:rPr>
          <w:rFonts w:ascii="Book Antiqua" w:hAnsi="Book Antiqua"/>
          <w:lang w:val="en-US"/>
        </w:rPr>
        <w:t>At present, screening and surveillance programs appear sufficiently sensitive but further studies are needed to evaluate the mortality reduction and cost-effectiveness.</w:t>
      </w:r>
    </w:p>
    <w:p w:rsidR="00F10C6E" w:rsidRPr="008F0357" w:rsidRDefault="00F10C6E" w:rsidP="000A2D1C">
      <w:pPr>
        <w:spacing w:line="360" w:lineRule="auto"/>
        <w:jc w:val="both"/>
        <w:rPr>
          <w:rFonts w:ascii="Book Antiqua" w:hAnsi="Book Antiqua"/>
          <w:lang w:val="en-US"/>
        </w:rPr>
      </w:pPr>
    </w:p>
    <w:p w:rsidR="00F10C6E" w:rsidRPr="008F0357" w:rsidRDefault="00F10C6E" w:rsidP="000A2D1C">
      <w:pPr>
        <w:spacing w:line="360" w:lineRule="auto"/>
        <w:jc w:val="both"/>
        <w:rPr>
          <w:rFonts w:ascii="Book Antiqua" w:hAnsi="Book Antiqua"/>
          <w:b/>
          <w:lang w:val="en-US"/>
        </w:rPr>
      </w:pPr>
      <w:r w:rsidRPr="008F0357">
        <w:rPr>
          <w:rFonts w:ascii="Book Antiqua" w:hAnsi="Book Antiqua"/>
          <w:b/>
          <w:lang w:val="en-US"/>
        </w:rPr>
        <w:br w:type="page"/>
      </w:r>
    </w:p>
    <w:p w:rsidR="00F10C6E" w:rsidRPr="008F0357" w:rsidRDefault="00F10C6E" w:rsidP="000A2D1C">
      <w:pPr>
        <w:spacing w:line="360" w:lineRule="auto"/>
        <w:jc w:val="both"/>
        <w:rPr>
          <w:rFonts w:ascii="Book Antiqua" w:hAnsi="Book Antiqua"/>
          <w:b/>
          <w:lang w:val="en-US" w:eastAsia="zh-CN"/>
        </w:rPr>
      </w:pPr>
      <w:r w:rsidRPr="008F0357">
        <w:rPr>
          <w:rFonts w:ascii="Book Antiqua" w:hAnsi="Book Antiqua"/>
          <w:b/>
          <w:lang w:val="en-US"/>
        </w:rPr>
        <w:t>REFERENCES</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1 </w:t>
      </w:r>
      <w:r w:rsidRPr="00AD7868">
        <w:rPr>
          <w:rFonts w:ascii="Book Antiqua" w:hAnsi="Book Antiqua" w:cs="宋体"/>
          <w:b/>
          <w:bCs/>
          <w:lang w:val="en-US"/>
        </w:rPr>
        <w:t>Parkin DM</w:t>
      </w:r>
      <w:r w:rsidRPr="00AD7868">
        <w:rPr>
          <w:rFonts w:ascii="Book Antiqua" w:hAnsi="Book Antiqua" w:cs="宋体"/>
          <w:lang w:val="en-US"/>
        </w:rPr>
        <w:t>, Bray F, Ferlay J, Pisani P. Global cancer statistics, 2002. </w:t>
      </w:r>
      <w:r w:rsidRPr="00AD7868">
        <w:rPr>
          <w:rFonts w:ascii="Book Antiqua" w:hAnsi="Book Antiqua" w:cs="宋体"/>
          <w:i/>
          <w:iCs/>
          <w:lang w:val="en-US"/>
        </w:rPr>
        <w:t>CA Cancer J Clin</w:t>
      </w:r>
      <w:r w:rsidRPr="00AD7868">
        <w:rPr>
          <w:rFonts w:ascii="Book Antiqua" w:hAnsi="Book Antiqua" w:cs="宋体"/>
          <w:lang w:val="en-US"/>
        </w:rPr>
        <w:t> 2005; </w:t>
      </w:r>
      <w:r w:rsidRPr="00AD7868">
        <w:rPr>
          <w:rFonts w:ascii="Book Antiqua" w:hAnsi="Book Antiqua" w:cs="宋体"/>
          <w:b/>
          <w:bCs/>
          <w:lang w:val="en-US"/>
        </w:rPr>
        <w:t>55</w:t>
      </w:r>
      <w:r w:rsidRPr="00AD7868">
        <w:rPr>
          <w:rFonts w:ascii="Book Antiqua" w:hAnsi="Book Antiqua" w:cs="宋体"/>
          <w:lang w:val="en-US"/>
        </w:rPr>
        <w:t>: 74-108 [PMID: 15761078 DOI: 10.3322/canjclin.55.2.74]</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2 Available from: URL: http: //www.nsc.nhs.uk/pdfs/criteria.pdf</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3 </w:t>
      </w:r>
      <w:r w:rsidRPr="00AD7868">
        <w:rPr>
          <w:rFonts w:ascii="Book Antiqua" w:hAnsi="Book Antiqua" w:cs="宋体"/>
          <w:b/>
          <w:bCs/>
          <w:lang w:val="en-US"/>
        </w:rPr>
        <w:t>Jemal A</w:t>
      </w:r>
      <w:r w:rsidRPr="00AD7868">
        <w:rPr>
          <w:rFonts w:ascii="Book Antiqua" w:hAnsi="Book Antiqua" w:cs="宋体"/>
          <w:lang w:val="en-US"/>
        </w:rPr>
        <w:t>, Bray F, Center MM, Ferlay J, Ward E, Forman D. Global cancer statistics. </w:t>
      </w:r>
      <w:r w:rsidRPr="00AD7868">
        <w:rPr>
          <w:rFonts w:ascii="Book Antiqua" w:hAnsi="Book Antiqua" w:cs="宋体"/>
          <w:i/>
          <w:iCs/>
          <w:lang w:val="en-US"/>
        </w:rPr>
        <w:t>CA Cancer J Clin</w:t>
      </w:r>
      <w:r w:rsidRPr="00AD7868">
        <w:rPr>
          <w:rFonts w:ascii="Book Antiqua" w:hAnsi="Book Antiqua" w:cs="宋体"/>
          <w:lang w:val="en-US"/>
        </w:rPr>
        <w:t> ; </w:t>
      </w:r>
      <w:r w:rsidRPr="00AD7868">
        <w:rPr>
          <w:rFonts w:ascii="Book Antiqua" w:hAnsi="Book Antiqua" w:cs="宋体"/>
          <w:b/>
          <w:bCs/>
          <w:lang w:val="en-US"/>
        </w:rPr>
        <w:t>61</w:t>
      </w:r>
      <w:r w:rsidRPr="00AD7868">
        <w:rPr>
          <w:rFonts w:ascii="Book Antiqua" w:hAnsi="Book Antiqua" w:cs="宋体"/>
          <w:lang w:val="en-US"/>
        </w:rPr>
        <w:t>: 69-90 [PMID: 21296855 DOI: 10.3322/caac.20107]</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4 </w:t>
      </w:r>
      <w:r w:rsidRPr="00AD7868">
        <w:rPr>
          <w:rFonts w:ascii="Book Antiqua" w:hAnsi="Book Antiqua" w:cs="宋体"/>
          <w:b/>
          <w:bCs/>
          <w:lang w:val="en-US"/>
        </w:rPr>
        <w:t>Correa P</w:t>
      </w:r>
      <w:r w:rsidRPr="00AD7868">
        <w:rPr>
          <w:rFonts w:ascii="Book Antiqua" w:hAnsi="Book Antiqua" w:cs="宋体"/>
          <w:lang w:val="en-US"/>
        </w:rPr>
        <w:t>, Piazuelo MB, Camargo MC. The future of gastric cancer prevention. </w:t>
      </w:r>
      <w:r w:rsidRPr="00AD7868">
        <w:rPr>
          <w:rFonts w:ascii="Book Antiqua" w:hAnsi="Book Antiqua" w:cs="宋体"/>
          <w:i/>
          <w:iCs/>
          <w:lang w:val="en-US"/>
        </w:rPr>
        <w:t>Gastric Cancer</w:t>
      </w:r>
      <w:r w:rsidRPr="00AD7868">
        <w:rPr>
          <w:rFonts w:ascii="Book Antiqua" w:hAnsi="Book Antiqua" w:cs="宋体"/>
          <w:lang w:val="en-US"/>
        </w:rPr>
        <w:t> 2004; </w:t>
      </w:r>
      <w:r w:rsidRPr="00AD7868">
        <w:rPr>
          <w:rFonts w:ascii="Book Antiqua" w:hAnsi="Book Antiqua" w:cs="宋体"/>
          <w:b/>
          <w:bCs/>
          <w:lang w:val="en-US"/>
        </w:rPr>
        <w:t>7</w:t>
      </w:r>
      <w:r w:rsidRPr="00AD7868">
        <w:rPr>
          <w:rFonts w:ascii="Book Antiqua" w:hAnsi="Book Antiqua" w:cs="宋体"/>
          <w:lang w:val="en-US"/>
        </w:rPr>
        <w:t>: 9-16 [PMID: 15052434 DOI: 10.1007/s10120-003-0265-0]</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5 </w:t>
      </w:r>
      <w:r w:rsidRPr="00AD7868">
        <w:rPr>
          <w:rFonts w:ascii="Book Antiqua" w:hAnsi="Book Antiqua" w:cs="宋体"/>
          <w:b/>
          <w:bCs/>
          <w:lang w:val="en-US"/>
        </w:rPr>
        <w:t>Crew KD</w:t>
      </w:r>
      <w:r w:rsidRPr="00AD7868">
        <w:rPr>
          <w:rFonts w:ascii="Book Antiqua" w:hAnsi="Book Antiqua" w:cs="宋体"/>
          <w:lang w:val="en-US"/>
        </w:rPr>
        <w:t>, Neugut AI. Epidemiology of gastric cancer. </w:t>
      </w:r>
      <w:r w:rsidRPr="00AD7868">
        <w:rPr>
          <w:rFonts w:ascii="Book Antiqua" w:hAnsi="Book Antiqua" w:cs="宋体"/>
          <w:i/>
          <w:iCs/>
          <w:lang w:val="en-US"/>
        </w:rPr>
        <w:t>World J Gastroenterol</w:t>
      </w:r>
      <w:r w:rsidRPr="00AD7868">
        <w:rPr>
          <w:rFonts w:ascii="Book Antiqua" w:hAnsi="Book Antiqua" w:cs="宋体"/>
          <w:lang w:val="en-US"/>
        </w:rPr>
        <w:t> 2006; </w:t>
      </w:r>
      <w:r w:rsidRPr="00AD7868">
        <w:rPr>
          <w:rFonts w:ascii="Book Antiqua" w:hAnsi="Book Antiqua" w:cs="宋体"/>
          <w:b/>
          <w:bCs/>
          <w:lang w:val="en-US"/>
        </w:rPr>
        <w:t>12</w:t>
      </w:r>
      <w:r w:rsidRPr="00AD7868">
        <w:rPr>
          <w:rFonts w:ascii="Book Antiqua" w:hAnsi="Book Antiqua" w:cs="宋体"/>
          <w:lang w:val="en-US"/>
        </w:rPr>
        <w:t>: 354-362 [PMID: 16489633]</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6 </w:t>
      </w:r>
      <w:r w:rsidRPr="00AD7868">
        <w:rPr>
          <w:rFonts w:ascii="Book Antiqua" w:hAnsi="Book Antiqua" w:cs="宋体"/>
          <w:b/>
          <w:bCs/>
          <w:lang w:val="en-US"/>
        </w:rPr>
        <w:t>Haga K</w:t>
      </w:r>
      <w:r w:rsidRPr="00AD7868">
        <w:rPr>
          <w:rFonts w:ascii="Book Antiqua" w:hAnsi="Book Antiqua" w:cs="宋体"/>
          <w:lang w:val="en-US"/>
        </w:rPr>
        <w:t>, Matsumoto K, Kitazawa T, Seto K, Fujita S, Hasegawa T. Cost of illness of the stomach cancer in Japan - a time trend and future projections. </w:t>
      </w:r>
      <w:r w:rsidRPr="00AD7868">
        <w:rPr>
          <w:rFonts w:ascii="Book Antiqua" w:hAnsi="Book Antiqua" w:cs="宋体"/>
          <w:i/>
          <w:iCs/>
          <w:lang w:val="en-US"/>
        </w:rPr>
        <w:t>BMC Health Serv Res</w:t>
      </w:r>
      <w:r w:rsidRPr="00AD7868">
        <w:rPr>
          <w:rFonts w:ascii="Book Antiqua" w:hAnsi="Book Antiqua" w:cs="宋体"/>
          <w:lang w:val="en-US"/>
        </w:rPr>
        <w:t> 2013; </w:t>
      </w:r>
      <w:r w:rsidRPr="00AD7868">
        <w:rPr>
          <w:rFonts w:ascii="Book Antiqua" w:hAnsi="Book Antiqua" w:cs="宋体"/>
          <w:b/>
          <w:bCs/>
          <w:lang w:val="en-US"/>
        </w:rPr>
        <w:t>13</w:t>
      </w:r>
      <w:r w:rsidRPr="00AD7868">
        <w:rPr>
          <w:rFonts w:ascii="Book Antiqua" w:hAnsi="Book Antiqua" w:cs="宋体"/>
          <w:lang w:val="en-US"/>
        </w:rPr>
        <w:t>: 283 [PMID: 23879739 DOI: 10.1186/1472-6963-13-283]</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7</w:t>
      </w:r>
      <w:r w:rsidRPr="00AD7868">
        <w:rPr>
          <w:lang w:val="en-US"/>
        </w:rPr>
        <w:t xml:space="preserve"> </w:t>
      </w:r>
      <w:r w:rsidRPr="00851333">
        <w:rPr>
          <w:rFonts w:ascii="Book Antiqua" w:hAnsi="Book Antiqua"/>
          <w:b/>
          <w:lang w:val="en-US"/>
        </w:rPr>
        <w:t>National Cancer Institute.</w:t>
      </w:r>
      <w:r>
        <w:rPr>
          <w:lang w:val="en-US"/>
        </w:rPr>
        <w:t xml:space="preserve"> </w:t>
      </w:r>
      <w:r w:rsidRPr="00AD7868">
        <w:rPr>
          <w:rFonts w:ascii="Book Antiqua" w:hAnsi="Book Antiqua" w:cs="宋体"/>
          <w:lang w:val="en-US"/>
        </w:rPr>
        <w:t>Available from: URL: http: //www.cancer.gov/aboutnci/servingpeople/cancer-statistics/costofcancer</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8 </w:t>
      </w:r>
      <w:r w:rsidRPr="00AD7868">
        <w:rPr>
          <w:rFonts w:ascii="Book Antiqua" w:hAnsi="Book Antiqua" w:cs="宋体"/>
          <w:b/>
          <w:bCs/>
          <w:lang w:val="en-US"/>
        </w:rPr>
        <w:t>Fuchs CS</w:t>
      </w:r>
      <w:r w:rsidRPr="00AD7868">
        <w:rPr>
          <w:rFonts w:ascii="Book Antiqua" w:hAnsi="Book Antiqua" w:cs="宋体"/>
          <w:lang w:val="en-US"/>
        </w:rPr>
        <w:t>, Mayer RJ. Gastric carcinoma. </w:t>
      </w:r>
      <w:r w:rsidRPr="00AD7868">
        <w:rPr>
          <w:rFonts w:ascii="Book Antiqua" w:hAnsi="Book Antiqua" w:cs="宋体"/>
          <w:i/>
          <w:iCs/>
          <w:lang w:val="en-US"/>
        </w:rPr>
        <w:t>N Engl J Med</w:t>
      </w:r>
      <w:r w:rsidRPr="00AD7868">
        <w:rPr>
          <w:rFonts w:ascii="Book Antiqua" w:hAnsi="Book Antiqua" w:cs="宋体"/>
          <w:lang w:val="en-US"/>
        </w:rPr>
        <w:t> 1995; </w:t>
      </w:r>
      <w:r w:rsidRPr="00AD7868">
        <w:rPr>
          <w:rFonts w:ascii="Book Antiqua" w:hAnsi="Book Antiqua" w:cs="宋体"/>
          <w:b/>
          <w:bCs/>
          <w:lang w:val="en-US"/>
        </w:rPr>
        <w:t>333</w:t>
      </w:r>
      <w:r w:rsidRPr="00AD7868">
        <w:rPr>
          <w:rFonts w:ascii="Book Antiqua" w:hAnsi="Book Antiqua" w:cs="宋体"/>
          <w:lang w:val="en-US"/>
        </w:rPr>
        <w:t>: 32-41 [PMID: 7776992 DOI: 10.1056/NEJM199507063330107]</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9 </w:t>
      </w:r>
      <w:r w:rsidRPr="00AD7868">
        <w:rPr>
          <w:rFonts w:ascii="Book Antiqua" w:hAnsi="Book Antiqua" w:cs="宋体"/>
          <w:b/>
          <w:bCs/>
          <w:lang w:val="en-US"/>
        </w:rPr>
        <w:t>Lauren P</w:t>
      </w:r>
      <w:r w:rsidRPr="00AD7868">
        <w:rPr>
          <w:rFonts w:ascii="Book Antiqua" w:hAnsi="Book Antiqua" w:cs="宋体"/>
          <w:lang w:val="en-US"/>
        </w:rPr>
        <w:t>. The two histological main types of gastric carcinoma: diffuse and so-called intestinal-type carcinoma. An attempt at a histo-clinical classification. </w:t>
      </w:r>
      <w:r w:rsidRPr="00AD7868">
        <w:rPr>
          <w:rFonts w:ascii="Book Antiqua" w:hAnsi="Book Antiqua" w:cs="宋体"/>
          <w:i/>
          <w:iCs/>
          <w:lang w:val="en-US"/>
        </w:rPr>
        <w:t>Acta Pathol Microbiol Scand</w:t>
      </w:r>
      <w:r w:rsidRPr="00AD7868">
        <w:rPr>
          <w:rFonts w:ascii="Book Antiqua" w:hAnsi="Book Antiqua" w:cs="宋体"/>
          <w:lang w:val="en-US"/>
        </w:rPr>
        <w:t> 1965; </w:t>
      </w:r>
      <w:r w:rsidRPr="00AD7868">
        <w:rPr>
          <w:rFonts w:ascii="Book Antiqua" w:hAnsi="Book Antiqua" w:cs="宋体"/>
          <w:b/>
          <w:bCs/>
          <w:lang w:val="en-US"/>
        </w:rPr>
        <w:t>64</w:t>
      </w:r>
      <w:r w:rsidRPr="00AD7868">
        <w:rPr>
          <w:rFonts w:ascii="Book Antiqua" w:hAnsi="Book Antiqua" w:cs="宋体"/>
          <w:lang w:val="en-US"/>
        </w:rPr>
        <w:t>: 31-49 [PMID: 14320675]</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10 </w:t>
      </w:r>
      <w:r w:rsidRPr="00AD7868">
        <w:rPr>
          <w:rFonts w:ascii="Book Antiqua" w:hAnsi="Book Antiqua" w:cs="宋体"/>
          <w:b/>
          <w:bCs/>
          <w:lang w:val="en-US"/>
        </w:rPr>
        <w:t>Compare D</w:t>
      </w:r>
      <w:r w:rsidRPr="00AD7868">
        <w:rPr>
          <w:rFonts w:ascii="Book Antiqua" w:hAnsi="Book Antiqua" w:cs="宋体"/>
          <w:lang w:val="en-US"/>
        </w:rPr>
        <w:t>, Rocco A, Nardone G. Risk factors in gastric cancer. </w:t>
      </w:r>
      <w:r w:rsidRPr="00AD7868">
        <w:rPr>
          <w:rFonts w:ascii="Book Antiqua" w:hAnsi="Book Antiqua" w:cs="宋体"/>
          <w:i/>
          <w:iCs/>
          <w:lang w:val="en-US"/>
        </w:rPr>
        <w:t>Eur Rev Med Pharmacol Sci</w:t>
      </w:r>
      <w:r w:rsidRPr="00AD7868">
        <w:rPr>
          <w:rFonts w:ascii="Book Antiqua" w:hAnsi="Book Antiqua" w:cs="宋体"/>
          <w:lang w:val="en-US"/>
        </w:rPr>
        <w:t> 2010; </w:t>
      </w:r>
      <w:r w:rsidRPr="00AD7868">
        <w:rPr>
          <w:rFonts w:ascii="Book Antiqua" w:hAnsi="Book Antiqua" w:cs="宋体"/>
          <w:b/>
          <w:bCs/>
          <w:lang w:val="en-US"/>
        </w:rPr>
        <w:t>14</w:t>
      </w:r>
      <w:r w:rsidRPr="00AD7868">
        <w:rPr>
          <w:rFonts w:ascii="Book Antiqua" w:hAnsi="Book Antiqua" w:cs="宋体"/>
          <w:lang w:val="en-US"/>
        </w:rPr>
        <w:t>: 302-308 [PMID: 20496539]</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11 </w:t>
      </w:r>
      <w:r w:rsidRPr="00AD7868">
        <w:rPr>
          <w:rFonts w:ascii="Book Antiqua" w:hAnsi="Book Antiqua" w:cs="宋体"/>
          <w:b/>
          <w:bCs/>
          <w:lang w:val="en-US"/>
        </w:rPr>
        <w:t>Goh KL</w:t>
      </w:r>
      <w:r w:rsidRPr="00AD7868">
        <w:rPr>
          <w:rFonts w:ascii="Book Antiqua" w:hAnsi="Book Antiqua" w:cs="宋体"/>
          <w:lang w:val="en-US"/>
        </w:rPr>
        <w:t>, Chan WK, Shiota S, Yamaoka Y. Epidemiology of Helicobacter pylori infection and public health implications. </w:t>
      </w:r>
      <w:r w:rsidRPr="00AD7868">
        <w:rPr>
          <w:rFonts w:ascii="Book Antiqua" w:hAnsi="Book Antiqua" w:cs="宋体"/>
          <w:i/>
          <w:iCs/>
          <w:lang w:val="en-US"/>
        </w:rPr>
        <w:t>Helicobacter</w:t>
      </w:r>
      <w:r w:rsidRPr="00AD7868">
        <w:rPr>
          <w:rFonts w:ascii="Book Antiqua" w:hAnsi="Book Antiqua" w:cs="宋体"/>
          <w:lang w:val="en-US"/>
        </w:rPr>
        <w:t> 2011; </w:t>
      </w:r>
      <w:r w:rsidRPr="00AD7868">
        <w:rPr>
          <w:rFonts w:ascii="Book Antiqua" w:hAnsi="Book Antiqua" w:cs="宋体"/>
          <w:b/>
          <w:bCs/>
          <w:lang w:val="en-US"/>
        </w:rPr>
        <w:t xml:space="preserve">16 </w:t>
      </w:r>
      <w:r w:rsidRPr="00AD7868">
        <w:rPr>
          <w:rFonts w:ascii="Book Antiqua" w:hAnsi="Book Antiqua" w:cs="宋体"/>
          <w:bCs/>
          <w:lang w:val="en-US"/>
        </w:rPr>
        <w:t>Suppl 1</w:t>
      </w:r>
      <w:r w:rsidRPr="00AD7868">
        <w:rPr>
          <w:rFonts w:ascii="Book Antiqua" w:hAnsi="Book Antiqua" w:cs="宋体"/>
          <w:lang w:val="en-US"/>
        </w:rPr>
        <w:t>: 1-9 [PMID: 21896079 DOI: 10.1111/j.1523-5378.2011.00874.x]</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12 </w:t>
      </w:r>
      <w:r w:rsidRPr="00AD7868">
        <w:rPr>
          <w:rFonts w:ascii="Book Antiqua" w:hAnsi="Book Antiqua" w:cs="宋体"/>
          <w:b/>
          <w:bCs/>
          <w:lang w:val="en-US"/>
        </w:rPr>
        <w:t>Parkin DM</w:t>
      </w:r>
      <w:r w:rsidRPr="00AD7868">
        <w:rPr>
          <w:rFonts w:ascii="Book Antiqua" w:hAnsi="Book Antiqua" w:cs="宋体"/>
          <w:lang w:val="en-US"/>
        </w:rPr>
        <w:t>. The global health burden of infection-associated cancers in the year 2002. </w:t>
      </w:r>
      <w:r w:rsidRPr="00AD7868">
        <w:rPr>
          <w:rFonts w:ascii="Book Antiqua" w:hAnsi="Book Antiqua" w:cs="宋体"/>
          <w:i/>
          <w:iCs/>
          <w:lang w:val="en-US"/>
        </w:rPr>
        <w:t>Int J Cancer</w:t>
      </w:r>
      <w:r w:rsidRPr="00AD7868">
        <w:rPr>
          <w:rFonts w:ascii="Book Antiqua" w:hAnsi="Book Antiqua" w:cs="宋体"/>
          <w:lang w:val="en-US"/>
        </w:rPr>
        <w:t> 2006; </w:t>
      </w:r>
      <w:r w:rsidRPr="00AD7868">
        <w:rPr>
          <w:rFonts w:ascii="Book Antiqua" w:hAnsi="Book Antiqua" w:cs="宋体"/>
          <w:b/>
          <w:bCs/>
          <w:lang w:val="en-US"/>
        </w:rPr>
        <w:t>118</w:t>
      </w:r>
      <w:r w:rsidRPr="00AD7868">
        <w:rPr>
          <w:rFonts w:ascii="Book Antiqua" w:hAnsi="Book Antiqua" w:cs="宋体"/>
          <w:lang w:val="en-US"/>
        </w:rPr>
        <w:t>: 3030-3044 [PMID: 16404738 DOI: 10.1002/ijc.21731]</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13 </w:t>
      </w:r>
      <w:r w:rsidRPr="00AD7868">
        <w:rPr>
          <w:rFonts w:ascii="Book Antiqua" w:hAnsi="Book Antiqua" w:cs="宋体"/>
          <w:b/>
          <w:bCs/>
          <w:lang w:val="en-US"/>
        </w:rPr>
        <w:t>Shiota S</w:t>
      </w:r>
      <w:r w:rsidRPr="00AD7868">
        <w:rPr>
          <w:rFonts w:ascii="Book Antiqua" w:hAnsi="Book Antiqua" w:cs="宋体"/>
          <w:lang w:val="en-US"/>
        </w:rPr>
        <w:t>, Suzuki R, Yamaoka Y. The significance of virulence factors in Helicobacter pylori. </w:t>
      </w:r>
      <w:r w:rsidRPr="00AD7868">
        <w:rPr>
          <w:rFonts w:ascii="Book Antiqua" w:hAnsi="Book Antiqua" w:cs="宋体"/>
          <w:i/>
          <w:iCs/>
          <w:lang w:val="en-US"/>
        </w:rPr>
        <w:t>J Dig Dis</w:t>
      </w:r>
      <w:r w:rsidRPr="00AD7868">
        <w:rPr>
          <w:rFonts w:ascii="Book Antiqua" w:hAnsi="Book Antiqua" w:cs="宋体"/>
          <w:lang w:val="en-US"/>
        </w:rPr>
        <w:t> 2013; </w:t>
      </w:r>
      <w:r w:rsidRPr="00AD7868">
        <w:rPr>
          <w:rFonts w:ascii="Book Antiqua" w:hAnsi="Book Antiqua" w:cs="宋体"/>
          <w:b/>
          <w:bCs/>
          <w:lang w:val="en-US"/>
        </w:rPr>
        <w:t>14</w:t>
      </w:r>
      <w:r w:rsidRPr="00AD7868">
        <w:rPr>
          <w:rFonts w:ascii="Book Antiqua" w:hAnsi="Book Antiqua" w:cs="宋体"/>
          <w:lang w:val="en-US"/>
        </w:rPr>
        <w:t>: 341-349 [PMID: 23452293 DOI: 10.1111/1751-2980.12054]</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lastRenderedPageBreak/>
        <w:t>14 </w:t>
      </w:r>
      <w:r w:rsidRPr="00AD7868">
        <w:rPr>
          <w:rFonts w:ascii="Book Antiqua" w:hAnsi="Book Antiqua" w:cs="宋体"/>
          <w:b/>
          <w:bCs/>
          <w:lang w:val="en-US"/>
        </w:rPr>
        <w:t>Azuma T</w:t>
      </w:r>
      <w:r w:rsidRPr="00AD7868">
        <w:rPr>
          <w:rFonts w:ascii="Book Antiqua" w:hAnsi="Book Antiqua" w:cs="宋体"/>
          <w:lang w:val="en-US"/>
        </w:rPr>
        <w:t>, Ohtani M, Yamazaki Y, Higashi H, Hatakeyama M. Meta-analysis of the relationship between CagA seropositivity and gastric cancer. </w:t>
      </w:r>
      <w:r w:rsidRPr="00AD7868">
        <w:rPr>
          <w:rFonts w:ascii="Book Antiqua" w:hAnsi="Book Antiqua" w:cs="宋体"/>
          <w:i/>
          <w:iCs/>
          <w:lang w:val="en-US"/>
        </w:rPr>
        <w:t>Gastroenterology</w:t>
      </w:r>
      <w:r w:rsidRPr="00AD7868">
        <w:rPr>
          <w:rFonts w:ascii="Book Antiqua" w:hAnsi="Book Antiqua" w:cs="宋体"/>
          <w:lang w:val="en-US"/>
        </w:rPr>
        <w:t> 2004; </w:t>
      </w:r>
      <w:r w:rsidRPr="00AD7868">
        <w:rPr>
          <w:rFonts w:ascii="Book Antiqua" w:hAnsi="Book Antiqua" w:cs="宋体"/>
          <w:b/>
          <w:bCs/>
          <w:lang w:val="en-US"/>
        </w:rPr>
        <w:t>126</w:t>
      </w:r>
      <w:r w:rsidRPr="00AD7868">
        <w:rPr>
          <w:rFonts w:ascii="Book Antiqua" w:hAnsi="Book Antiqua" w:cs="宋体"/>
          <w:lang w:val="en-US"/>
        </w:rPr>
        <w:t>: 1926-197; author reply 1926-197; [PMID: 15188206 DOI: 10.1053/j.gastro.2004.04.049]</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15 </w:t>
      </w:r>
      <w:r w:rsidRPr="00AD7868">
        <w:rPr>
          <w:rFonts w:ascii="Book Antiqua" w:hAnsi="Book Antiqua" w:cs="宋体"/>
          <w:b/>
          <w:bCs/>
          <w:lang w:val="en-US"/>
        </w:rPr>
        <w:t>Matos JI</w:t>
      </w:r>
      <w:r w:rsidRPr="00AD7868">
        <w:rPr>
          <w:rFonts w:ascii="Book Antiqua" w:hAnsi="Book Antiqua" w:cs="宋体"/>
          <w:lang w:val="en-US"/>
        </w:rPr>
        <w:t>, de Sousa HA, Marcos-Pinto R, Dinis-Ribeiro M. Helicobacter pylori CagA and VacA genotypes and gastric phenotype: a meta-analysis. </w:t>
      </w:r>
      <w:r w:rsidRPr="00AD7868">
        <w:rPr>
          <w:rFonts w:ascii="Book Antiqua" w:hAnsi="Book Antiqua" w:cs="宋体"/>
          <w:i/>
          <w:iCs/>
          <w:lang w:val="en-US"/>
        </w:rPr>
        <w:t>Eur J Gastroenterol Hepatol</w:t>
      </w:r>
      <w:r w:rsidRPr="00AD7868">
        <w:rPr>
          <w:rFonts w:ascii="Book Antiqua" w:hAnsi="Book Antiqua" w:cs="宋体"/>
          <w:lang w:val="en-US"/>
        </w:rPr>
        <w:t> 2013; </w:t>
      </w:r>
      <w:r w:rsidRPr="00AD7868">
        <w:rPr>
          <w:rFonts w:ascii="Book Antiqua" w:hAnsi="Book Antiqua" w:cs="宋体"/>
          <w:b/>
          <w:bCs/>
          <w:lang w:val="en-US"/>
        </w:rPr>
        <w:t>25</w:t>
      </w:r>
      <w:r w:rsidRPr="00AD7868">
        <w:rPr>
          <w:rFonts w:ascii="Book Antiqua" w:hAnsi="Book Antiqua" w:cs="宋体"/>
          <w:lang w:val="en-US"/>
        </w:rPr>
        <w:t>: 1431-1441 [PMID: 23929249 DOI: 10.1097/MEG.0b013e328364b53e]</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16 </w:t>
      </w:r>
      <w:r w:rsidRPr="00AD7868">
        <w:rPr>
          <w:rFonts w:ascii="Book Antiqua" w:hAnsi="Book Antiqua" w:cs="宋体"/>
          <w:b/>
          <w:bCs/>
          <w:lang w:val="en-US"/>
        </w:rPr>
        <w:t>Ferreira RM</w:t>
      </w:r>
      <w:r w:rsidRPr="00AD7868">
        <w:rPr>
          <w:rFonts w:ascii="Book Antiqua" w:hAnsi="Book Antiqua" w:cs="宋体"/>
          <w:lang w:val="en-US"/>
        </w:rPr>
        <w:t>, Machado JC, Leite M, Carneiro F, Figueiredo C. The number of Helicobacter pylori CagA EPIYA C tyrosine phosphorylation motifs influences the pattern of gastritis and the development of gastric carcinoma. </w:t>
      </w:r>
      <w:r w:rsidRPr="00AD7868">
        <w:rPr>
          <w:rFonts w:ascii="Book Antiqua" w:hAnsi="Book Antiqua" w:cs="宋体"/>
          <w:i/>
          <w:iCs/>
          <w:lang w:val="en-US"/>
        </w:rPr>
        <w:t>Histopathology</w:t>
      </w:r>
      <w:r w:rsidRPr="00AD7868">
        <w:rPr>
          <w:rFonts w:ascii="Book Antiqua" w:hAnsi="Book Antiqua" w:cs="宋体"/>
          <w:lang w:val="en-US"/>
        </w:rPr>
        <w:t> 2012; </w:t>
      </w:r>
      <w:r w:rsidRPr="00AD7868">
        <w:rPr>
          <w:rFonts w:ascii="Book Antiqua" w:hAnsi="Book Antiqua" w:cs="宋体"/>
          <w:b/>
          <w:bCs/>
          <w:lang w:val="en-US"/>
        </w:rPr>
        <w:t>60</w:t>
      </w:r>
      <w:r w:rsidRPr="00AD7868">
        <w:rPr>
          <w:rFonts w:ascii="Book Antiqua" w:hAnsi="Book Antiqua" w:cs="宋体"/>
          <w:lang w:val="en-US"/>
        </w:rPr>
        <w:t>: 992-998 [PMID: 22348604 DOI: 10.1111/j.1365-2559.2012.04190.x]</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17 </w:t>
      </w:r>
      <w:r w:rsidRPr="00AD7868">
        <w:rPr>
          <w:rFonts w:ascii="Book Antiqua" w:hAnsi="Book Antiqua" w:cs="宋体"/>
          <w:b/>
          <w:bCs/>
          <w:lang w:val="en-US"/>
        </w:rPr>
        <w:t>Parsonnet J</w:t>
      </w:r>
      <w:r w:rsidRPr="00AD7868">
        <w:rPr>
          <w:rFonts w:ascii="Book Antiqua" w:hAnsi="Book Antiqua" w:cs="宋体"/>
          <w:lang w:val="en-US"/>
        </w:rPr>
        <w:t>, Friedman GD, Vandersteen DP, Chang Y, Vogelman JH, Orentreich N, Sibley RK. Helicobacter pylori infection and the risk of gastric carcinoma. </w:t>
      </w:r>
      <w:r w:rsidRPr="00AD7868">
        <w:rPr>
          <w:rFonts w:ascii="Book Antiqua" w:hAnsi="Book Antiqua" w:cs="宋体"/>
          <w:i/>
          <w:iCs/>
          <w:lang w:val="en-US"/>
        </w:rPr>
        <w:t>N Engl J Med</w:t>
      </w:r>
      <w:r w:rsidRPr="00AD7868">
        <w:rPr>
          <w:rFonts w:ascii="Book Antiqua" w:hAnsi="Book Antiqua" w:cs="宋体"/>
          <w:lang w:val="en-US"/>
        </w:rPr>
        <w:t> 1991; </w:t>
      </w:r>
      <w:r w:rsidRPr="00AD7868">
        <w:rPr>
          <w:rFonts w:ascii="Book Antiqua" w:hAnsi="Book Antiqua" w:cs="宋体"/>
          <w:b/>
          <w:bCs/>
          <w:lang w:val="en-US"/>
        </w:rPr>
        <w:t>325</w:t>
      </w:r>
      <w:r w:rsidRPr="00AD7868">
        <w:rPr>
          <w:rFonts w:ascii="Book Antiqua" w:hAnsi="Book Antiqua" w:cs="宋体"/>
          <w:lang w:val="en-US"/>
        </w:rPr>
        <w:t>: 1127-1131 [PMID: 1891020 DOI: 10.1056/NEJM199110173251603]</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18 </w:t>
      </w:r>
      <w:r w:rsidRPr="00AD7868">
        <w:rPr>
          <w:rFonts w:ascii="Book Antiqua" w:hAnsi="Book Antiqua" w:cs="宋体"/>
          <w:b/>
          <w:bCs/>
          <w:lang w:val="en-US"/>
        </w:rPr>
        <w:t>Mitchell HM</w:t>
      </w:r>
      <w:r w:rsidRPr="00AD7868">
        <w:rPr>
          <w:rFonts w:ascii="Book Antiqua" w:hAnsi="Book Antiqua" w:cs="宋体"/>
          <w:lang w:val="en-US"/>
        </w:rPr>
        <w:t>, Li YY, Hu PJ, Liu Q, Chen M, Du GG, Wang ZJ, Lee A, Hazell SL. Epidemiology of Helicobacter pylori in southern China: identification of early childhood as the critical period for acquisition. </w:t>
      </w:r>
      <w:r w:rsidRPr="00AD7868">
        <w:rPr>
          <w:rFonts w:ascii="Book Antiqua" w:hAnsi="Book Antiqua" w:cs="宋体"/>
          <w:i/>
          <w:iCs/>
          <w:lang w:val="en-US"/>
        </w:rPr>
        <w:t>J Infect Dis</w:t>
      </w:r>
      <w:r w:rsidRPr="00AD7868">
        <w:rPr>
          <w:rFonts w:ascii="Book Antiqua" w:hAnsi="Book Antiqua" w:cs="宋体"/>
          <w:lang w:val="en-US"/>
        </w:rPr>
        <w:t> 1992; </w:t>
      </w:r>
      <w:r w:rsidRPr="00AD7868">
        <w:rPr>
          <w:rFonts w:ascii="Book Antiqua" w:hAnsi="Book Antiqua" w:cs="宋体"/>
          <w:b/>
          <w:bCs/>
          <w:lang w:val="en-US"/>
        </w:rPr>
        <w:t>166</w:t>
      </w:r>
      <w:r w:rsidRPr="00AD7868">
        <w:rPr>
          <w:rFonts w:ascii="Book Antiqua" w:hAnsi="Book Antiqua" w:cs="宋体"/>
          <w:lang w:val="en-US"/>
        </w:rPr>
        <w:t>: 149-153 [PMID: 1607687 DOI: 10.1093/infdis/166.1.149]</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19 </w:t>
      </w:r>
      <w:r w:rsidRPr="00AD7868">
        <w:rPr>
          <w:rFonts w:ascii="Book Antiqua" w:hAnsi="Book Antiqua" w:cs="宋体"/>
          <w:b/>
          <w:bCs/>
          <w:lang w:val="en-US"/>
        </w:rPr>
        <w:t>Kikuchi S</w:t>
      </w:r>
      <w:r w:rsidRPr="00AD7868">
        <w:rPr>
          <w:rFonts w:ascii="Book Antiqua" w:hAnsi="Book Antiqua" w:cs="宋体"/>
          <w:lang w:val="en-US"/>
        </w:rPr>
        <w:t>, Wada O, Nakajima T, Nishi T, Kobayashi O, Konishi T, Inaba Y. Serum anti-Helicobacter pylori antibody and gastric carcinoma among young adults. Research Group on Prevention of Gastric Carcinoma among Young Adults. </w:t>
      </w:r>
      <w:r w:rsidRPr="00AD7868">
        <w:rPr>
          <w:rFonts w:ascii="Book Antiqua" w:hAnsi="Book Antiqua" w:cs="宋体"/>
          <w:i/>
          <w:iCs/>
          <w:lang w:val="en-US"/>
        </w:rPr>
        <w:t>Cancer</w:t>
      </w:r>
      <w:r w:rsidRPr="00AD7868">
        <w:rPr>
          <w:rFonts w:ascii="Book Antiqua" w:hAnsi="Book Antiqua" w:cs="宋体"/>
          <w:lang w:val="en-US"/>
        </w:rPr>
        <w:t> 1995; </w:t>
      </w:r>
      <w:r w:rsidRPr="00AD7868">
        <w:rPr>
          <w:rFonts w:ascii="Book Antiqua" w:hAnsi="Book Antiqua" w:cs="宋体"/>
          <w:b/>
          <w:bCs/>
          <w:lang w:val="en-US"/>
        </w:rPr>
        <w:t>75</w:t>
      </w:r>
      <w:r w:rsidRPr="00AD7868">
        <w:rPr>
          <w:rFonts w:ascii="Book Antiqua" w:hAnsi="Book Antiqua" w:cs="宋体"/>
          <w:lang w:val="en-US"/>
        </w:rPr>
        <w:t>: 2789-2793 [PMID: 7773928]</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20 </w:t>
      </w:r>
      <w:r w:rsidRPr="00AD7868">
        <w:rPr>
          <w:rFonts w:ascii="Book Antiqua" w:hAnsi="Book Antiqua" w:cs="宋体"/>
          <w:b/>
          <w:bCs/>
          <w:lang w:val="en-US"/>
        </w:rPr>
        <w:t>González CA</w:t>
      </w:r>
      <w:r w:rsidRPr="00AD7868">
        <w:rPr>
          <w:rFonts w:ascii="Book Antiqua" w:hAnsi="Book Antiqua" w:cs="宋体"/>
          <w:lang w:val="en-US"/>
        </w:rPr>
        <w:t>, Jakszyn P, Pera G, Agudo A, Bingham S, Palli D, Ferrari P, Boeing H, del Giudice G, Plebani M, Carneiro F, Nesi G, Berrino F, Sacerdote C, Tumino R, Panico S, Berglund G, Simán H, Nyrén O, Hallmans G, Martinez C, Dorronsoro M, Barricarte A, Navarro C, Quirós JR, Allen N, Key TJ, Day NE, Linseisen J, Nagel G, Bergmann MM, Overvad K, Jensen MK, Tjonneland A, Olsen A, Bueno-de-Mesquita HB, Ocke M, Peeters PH, Numans ME, Clavel-Chapelon F, Boutron-Ruault MC, Trichopoulou A, Psaltopoulou T, Roukos D, Lund E, Hemon B, Kaaks R, Norat T, Riboli E. Meat intake and risk of stomach and esophageal adenocarcinoma within the European Prospective Investigation Into Cancer and Nutrition (EPIC). </w:t>
      </w:r>
      <w:r w:rsidRPr="00AD7868">
        <w:rPr>
          <w:rFonts w:ascii="Book Antiqua" w:hAnsi="Book Antiqua" w:cs="宋体"/>
          <w:i/>
          <w:iCs/>
          <w:lang w:val="en-US"/>
        </w:rPr>
        <w:t>J Natl Cancer Inst</w:t>
      </w:r>
      <w:r w:rsidRPr="00AD7868">
        <w:rPr>
          <w:rFonts w:ascii="Book Antiqua" w:hAnsi="Book Antiqua" w:cs="宋体"/>
          <w:lang w:val="en-US"/>
        </w:rPr>
        <w:t> 2006; </w:t>
      </w:r>
      <w:r w:rsidRPr="00AD7868">
        <w:rPr>
          <w:rFonts w:ascii="Book Antiqua" w:hAnsi="Book Antiqua" w:cs="宋体"/>
          <w:b/>
          <w:bCs/>
          <w:lang w:val="en-US"/>
        </w:rPr>
        <w:t>98</w:t>
      </w:r>
      <w:r w:rsidRPr="00AD7868">
        <w:rPr>
          <w:rFonts w:ascii="Book Antiqua" w:hAnsi="Book Antiqua" w:cs="宋体"/>
          <w:lang w:val="en-US"/>
        </w:rPr>
        <w:t>: 345-354 [PMID: 16507831 DOI: 10.1093/jnci/djj071]</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lastRenderedPageBreak/>
        <w:t>21 </w:t>
      </w:r>
      <w:r w:rsidRPr="00AD7868">
        <w:rPr>
          <w:rFonts w:ascii="Book Antiqua" w:hAnsi="Book Antiqua" w:cs="宋体"/>
          <w:b/>
          <w:bCs/>
          <w:lang w:val="en-US"/>
        </w:rPr>
        <w:t>Bertuccio P</w:t>
      </w:r>
      <w:r w:rsidRPr="00AD7868">
        <w:rPr>
          <w:rFonts w:ascii="Book Antiqua" w:hAnsi="Book Antiqua" w:cs="宋体"/>
          <w:lang w:val="en-US"/>
        </w:rPr>
        <w:t>, Rosato V, Andreano A, Ferraroni M, Decarli A, Edefonti V, La Vecchia C. Dietary patterns and gastric cancer risk: a systematic review and meta-analysis. </w:t>
      </w:r>
      <w:r w:rsidRPr="00AD7868">
        <w:rPr>
          <w:rFonts w:ascii="Book Antiqua" w:hAnsi="Book Antiqua" w:cs="宋体"/>
          <w:i/>
          <w:iCs/>
          <w:lang w:val="en-US"/>
        </w:rPr>
        <w:t>Ann Oncol</w:t>
      </w:r>
      <w:r w:rsidRPr="00AD7868">
        <w:rPr>
          <w:rFonts w:ascii="Book Antiqua" w:hAnsi="Book Antiqua" w:cs="宋体"/>
          <w:lang w:val="en-US"/>
        </w:rPr>
        <w:t> 2013; </w:t>
      </w:r>
      <w:r w:rsidRPr="00AD7868">
        <w:rPr>
          <w:rFonts w:ascii="Book Antiqua" w:hAnsi="Book Antiqua" w:cs="宋体"/>
          <w:b/>
          <w:bCs/>
          <w:lang w:val="en-US"/>
        </w:rPr>
        <w:t>24</w:t>
      </w:r>
      <w:r w:rsidRPr="00AD7868">
        <w:rPr>
          <w:rFonts w:ascii="Book Antiqua" w:hAnsi="Book Antiqua" w:cs="宋体"/>
          <w:lang w:val="en-US"/>
        </w:rPr>
        <w:t>: 1450-1458 [PMID: 23524862 DOI: 10.1093/annonc/mdt108]</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22 </w:t>
      </w:r>
      <w:r w:rsidRPr="00AD7868">
        <w:rPr>
          <w:rFonts w:ascii="Book Antiqua" w:hAnsi="Book Antiqua" w:cs="宋体"/>
          <w:b/>
          <w:bCs/>
          <w:lang w:val="en-US"/>
        </w:rPr>
        <w:t>D'Elia L</w:t>
      </w:r>
      <w:r w:rsidRPr="00AD7868">
        <w:rPr>
          <w:rFonts w:ascii="Book Antiqua" w:hAnsi="Book Antiqua" w:cs="宋体"/>
          <w:lang w:val="en-US"/>
        </w:rPr>
        <w:t>, Rossi G, Ippolito R, Cappuccio FP, Strazzullo P. Habitual salt intake and risk of gastric cancer: a meta-analysis of prospective studies. </w:t>
      </w:r>
      <w:r w:rsidRPr="00AD7868">
        <w:rPr>
          <w:rFonts w:ascii="Book Antiqua" w:hAnsi="Book Antiqua" w:cs="宋体"/>
          <w:i/>
          <w:iCs/>
          <w:lang w:val="en-US"/>
        </w:rPr>
        <w:t>Clin Nutr</w:t>
      </w:r>
      <w:r w:rsidRPr="00AD7868">
        <w:rPr>
          <w:rFonts w:ascii="Book Antiqua" w:hAnsi="Book Antiqua" w:cs="宋体"/>
          <w:lang w:val="en-US"/>
        </w:rPr>
        <w:t> 2012; </w:t>
      </w:r>
      <w:r w:rsidRPr="00AD7868">
        <w:rPr>
          <w:rFonts w:ascii="Book Antiqua" w:hAnsi="Book Antiqua" w:cs="宋体"/>
          <w:b/>
          <w:bCs/>
          <w:lang w:val="en-US"/>
        </w:rPr>
        <w:t>31</w:t>
      </w:r>
      <w:r w:rsidRPr="00AD7868">
        <w:rPr>
          <w:rFonts w:ascii="Book Antiqua" w:hAnsi="Book Antiqua" w:cs="宋体"/>
          <w:lang w:val="en-US"/>
        </w:rPr>
        <w:t>: 489-498 [PMID: 22296873 DOI: 10.1016/j.clnu.2012.01.003]</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23 </w:t>
      </w:r>
      <w:r w:rsidRPr="00AD7868">
        <w:rPr>
          <w:rFonts w:ascii="Book Antiqua" w:hAnsi="Book Antiqua" w:cs="宋体"/>
          <w:b/>
          <w:bCs/>
          <w:lang w:val="en-US"/>
        </w:rPr>
        <w:t>Gonzalez CA</w:t>
      </w:r>
      <w:r w:rsidRPr="00AD7868">
        <w:rPr>
          <w:rFonts w:ascii="Book Antiqua" w:hAnsi="Book Antiqua" w:cs="宋体"/>
          <w:lang w:val="en-US"/>
        </w:rPr>
        <w:t>, Lujan-Barroso L, Bueno-de-Mesquita HB, Jenab M, Duell EJ, Agudo A, Tjønneland A, Boutron-Ruault MC, Clavel-Chapelon F, Touillaud M, Teucher B, Kaaks R, Boeing H, Steffen A, Trichopoulou A, Roukos D, Karapetyan T, Palli D, Tagliabue G, Mattiello A, Tumino R, Ricceri F, Siersema PD, Numans ME, Peeters PP, Parr CL, Skeie G, Lund E, Quirós JR, Sánchez-Cantalejo E, Navarro C, Barricarte A, Dorronsoro M, Ehrnström R, Regner S, Khaw KT, Wareham N, Key TJ, Crowe FL, Blaker H, Romieu I, Riboli E. Fruit and vegetable intake and the risk of gastric adenocarcinoma: a reanalysis of the European Prospective Investigation into Cancer and Nutrition (EPIC-EURGAST) study after a longer follow-up. </w:t>
      </w:r>
      <w:r w:rsidRPr="00AD7868">
        <w:rPr>
          <w:rFonts w:ascii="Book Antiqua" w:hAnsi="Book Antiqua" w:cs="宋体"/>
          <w:i/>
          <w:iCs/>
          <w:lang w:val="en-US"/>
        </w:rPr>
        <w:t>Int J Cancer</w:t>
      </w:r>
      <w:r w:rsidRPr="00AD7868">
        <w:rPr>
          <w:rFonts w:ascii="Book Antiqua" w:hAnsi="Book Antiqua" w:cs="宋体"/>
          <w:lang w:val="en-US"/>
        </w:rPr>
        <w:t> 2012; </w:t>
      </w:r>
      <w:r w:rsidRPr="00AD7868">
        <w:rPr>
          <w:rFonts w:ascii="Book Antiqua" w:hAnsi="Book Antiqua" w:cs="宋体"/>
          <w:b/>
          <w:bCs/>
          <w:lang w:val="en-US"/>
        </w:rPr>
        <w:t>131</w:t>
      </w:r>
      <w:r w:rsidRPr="00AD7868">
        <w:rPr>
          <w:rFonts w:ascii="Book Antiqua" w:hAnsi="Book Antiqua" w:cs="宋体"/>
          <w:lang w:val="en-US"/>
        </w:rPr>
        <w:t>: 2910-2919 [PMID: 22473701 DOI: 10.1002/ijc.27565]</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 xml:space="preserve">24 </w:t>
      </w:r>
      <w:r w:rsidRPr="00AD7868">
        <w:rPr>
          <w:rFonts w:ascii="Book Antiqua" w:hAnsi="Book Antiqua" w:cs="宋体"/>
          <w:b/>
          <w:lang w:val="en-US"/>
        </w:rPr>
        <w:t xml:space="preserve">IARC Working Group on the Evaluation of Carcinogenic Risks to Humans. </w:t>
      </w:r>
      <w:r w:rsidRPr="00AD7868">
        <w:rPr>
          <w:rFonts w:ascii="Book Antiqua" w:hAnsi="Book Antiqua" w:cs="宋体"/>
          <w:lang w:val="en-US"/>
        </w:rPr>
        <w:t>Tobacco smoke and involuntary smoking. </w:t>
      </w:r>
      <w:r w:rsidRPr="00AD7868">
        <w:rPr>
          <w:rFonts w:ascii="Book Antiqua" w:hAnsi="Book Antiqua" w:cs="宋体"/>
          <w:i/>
          <w:iCs/>
          <w:lang w:val="en-US"/>
        </w:rPr>
        <w:t>IARC Monogr Eval Carcinog Risks Hum</w:t>
      </w:r>
      <w:r w:rsidRPr="00AD7868">
        <w:rPr>
          <w:rFonts w:ascii="Book Antiqua" w:hAnsi="Book Antiqua" w:cs="宋体"/>
          <w:lang w:val="en-US"/>
        </w:rPr>
        <w:t> 2004; </w:t>
      </w:r>
      <w:r w:rsidRPr="00AD7868">
        <w:rPr>
          <w:rFonts w:ascii="Book Antiqua" w:hAnsi="Book Antiqua" w:cs="宋体"/>
          <w:b/>
          <w:bCs/>
          <w:lang w:val="en-US"/>
        </w:rPr>
        <w:t>83</w:t>
      </w:r>
      <w:r w:rsidRPr="00AD7868">
        <w:rPr>
          <w:rFonts w:ascii="Book Antiqua" w:hAnsi="Book Antiqua" w:cs="宋体"/>
          <w:lang w:val="en-US"/>
        </w:rPr>
        <w:t>: 1-1438 [PMID: 15285078]</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25 </w:t>
      </w:r>
      <w:r w:rsidRPr="00AD7868">
        <w:rPr>
          <w:rFonts w:ascii="Book Antiqua" w:hAnsi="Book Antiqua" w:cs="宋体"/>
          <w:b/>
          <w:bCs/>
          <w:lang w:val="en-US"/>
        </w:rPr>
        <w:t>Ferrari F</w:t>
      </w:r>
      <w:r w:rsidRPr="00AD7868">
        <w:rPr>
          <w:rFonts w:ascii="Book Antiqua" w:hAnsi="Book Antiqua" w:cs="宋体"/>
          <w:lang w:val="en-US"/>
        </w:rPr>
        <w:t>, Reis MA. Study of risk factors for gastric cancer by populational databases analysis. </w:t>
      </w:r>
      <w:r w:rsidRPr="00AD7868">
        <w:rPr>
          <w:rFonts w:ascii="Book Antiqua" w:hAnsi="Book Antiqua" w:cs="宋体"/>
          <w:i/>
          <w:iCs/>
          <w:lang w:val="en-US"/>
        </w:rPr>
        <w:t>World J Gastroenterol</w:t>
      </w:r>
      <w:r w:rsidRPr="00AD7868">
        <w:rPr>
          <w:rFonts w:ascii="Book Antiqua" w:hAnsi="Book Antiqua" w:cs="宋体"/>
          <w:lang w:val="en-US"/>
        </w:rPr>
        <w:t> 2013; </w:t>
      </w:r>
      <w:r w:rsidRPr="00AD7868">
        <w:rPr>
          <w:rFonts w:ascii="Book Antiqua" w:hAnsi="Book Antiqua" w:cs="宋体"/>
          <w:b/>
          <w:bCs/>
          <w:lang w:val="en-US"/>
        </w:rPr>
        <w:t>19</w:t>
      </w:r>
      <w:r w:rsidRPr="00AD7868">
        <w:rPr>
          <w:rFonts w:ascii="Book Antiqua" w:hAnsi="Book Antiqua" w:cs="宋体"/>
          <w:lang w:val="en-US"/>
        </w:rPr>
        <w:t>: 9383-9391 [PMID: 24409066 DOI: 10.3748/wjg.v19.i48.9383]</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26 </w:t>
      </w:r>
      <w:r w:rsidRPr="00AD7868">
        <w:rPr>
          <w:rFonts w:ascii="Book Antiqua" w:hAnsi="Book Antiqua" w:cs="宋体"/>
          <w:b/>
          <w:bCs/>
          <w:lang w:val="en-US"/>
        </w:rPr>
        <w:t>Zanghieri G</w:t>
      </w:r>
      <w:r w:rsidRPr="00AD7868">
        <w:rPr>
          <w:rFonts w:ascii="Book Antiqua" w:hAnsi="Book Antiqua" w:cs="宋体"/>
          <w:lang w:val="en-US"/>
        </w:rPr>
        <w:t>, Di Gregorio C, Sacchetti C, Fante R, Sassatelli R, Cannizzo G, Carriero A, Ponz de Leon M. Familial occurrence of gastric cancer in the 2-year experience of a population-based registry. </w:t>
      </w:r>
      <w:r w:rsidRPr="00AD7868">
        <w:rPr>
          <w:rFonts w:ascii="Book Antiqua" w:hAnsi="Book Antiqua" w:cs="宋体"/>
          <w:i/>
          <w:iCs/>
          <w:lang w:val="en-US"/>
        </w:rPr>
        <w:t>Cancer</w:t>
      </w:r>
      <w:r w:rsidRPr="00AD7868">
        <w:rPr>
          <w:rFonts w:ascii="Book Antiqua" w:hAnsi="Book Antiqua" w:cs="宋体"/>
          <w:lang w:val="en-US"/>
        </w:rPr>
        <w:t> 1990; </w:t>
      </w:r>
      <w:r w:rsidRPr="00AD7868">
        <w:rPr>
          <w:rFonts w:ascii="Book Antiqua" w:hAnsi="Book Antiqua" w:cs="宋体"/>
          <w:b/>
          <w:bCs/>
          <w:lang w:val="en-US"/>
        </w:rPr>
        <w:t>66</w:t>
      </w:r>
      <w:r w:rsidRPr="00AD7868">
        <w:rPr>
          <w:rFonts w:ascii="Book Antiqua" w:hAnsi="Book Antiqua" w:cs="宋体"/>
          <w:lang w:val="en-US"/>
        </w:rPr>
        <w:t>: 2047-2051 [PMID: 2224804]</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27 </w:t>
      </w:r>
      <w:r w:rsidRPr="00AD7868">
        <w:rPr>
          <w:rFonts w:ascii="Book Antiqua" w:hAnsi="Book Antiqua" w:cs="宋体"/>
          <w:b/>
          <w:bCs/>
          <w:lang w:val="en-US"/>
        </w:rPr>
        <w:t>Brenner H</w:t>
      </w:r>
      <w:r w:rsidRPr="00AD7868">
        <w:rPr>
          <w:rFonts w:ascii="Book Antiqua" w:hAnsi="Book Antiqua" w:cs="宋体"/>
          <w:lang w:val="en-US"/>
        </w:rPr>
        <w:t>, Arndt V, Stürmer T, Stegmaier C, Ziegler H, Dhom G. Individual and joint contribution of family history and Helicobacter pylori infection to the risk of gastric carcinoma. </w:t>
      </w:r>
      <w:r w:rsidRPr="00AD7868">
        <w:rPr>
          <w:rFonts w:ascii="Book Antiqua" w:hAnsi="Book Antiqua" w:cs="宋体"/>
          <w:i/>
          <w:iCs/>
          <w:lang w:val="en-US"/>
        </w:rPr>
        <w:t>Cancer</w:t>
      </w:r>
      <w:r w:rsidRPr="00AD7868">
        <w:rPr>
          <w:rFonts w:ascii="Book Antiqua" w:hAnsi="Book Antiqua" w:cs="宋体"/>
          <w:lang w:val="en-US"/>
        </w:rPr>
        <w:t> 2000; </w:t>
      </w:r>
      <w:r w:rsidRPr="00AD7868">
        <w:rPr>
          <w:rFonts w:ascii="Book Antiqua" w:hAnsi="Book Antiqua" w:cs="宋体"/>
          <w:b/>
          <w:bCs/>
          <w:lang w:val="en-US"/>
        </w:rPr>
        <w:t>88</w:t>
      </w:r>
      <w:r w:rsidRPr="00AD7868">
        <w:rPr>
          <w:rFonts w:ascii="Book Antiqua" w:hAnsi="Book Antiqua" w:cs="宋体"/>
          <w:lang w:val="en-US"/>
        </w:rPr>
        <w:t>: 274-279 [PMID: 10640957 DOI: 3.0.CO; 2-9']</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28 </w:t>
      </w:r>
      <w:r w:rsidRPr="00AD7868">
        <w:rPr>
          <w:rFonts w:ascii="Book Antiqua" w:hAnsi="Book Antiqua" w:cs="宋体"/>
          <w:b/>
          <w:bCs/>
          <w:lang w:val="en-US"/>
        </w:rPr>
        <w:t>Xue H</w:t>
      </w:r>
      <w:r w:rsidRPr="00AD7868">
        <w:rPr>
          <w:rFonts w:ascii="Book Antiqua" w:hAnsi="Book Antiqua" w:cs="宋体"/>
          <w:lang w:val="en-US"/>
        </w:rPr>
        <w:t>, Lin B, Ni P, Xu H, Huang G. Interleukin-1B and interleukin-1 RN polymorphisms and gastric carcinoma risk: a meta-analysis. </w:t>
      </w:r>
      <w:r w:rsidRPr="00AD7868">
        <w:rPr>
          <w:rFonts w:ascii="Book Antiqua" w:hAnsi="Book Antiqua" w:cs="宋体"/>
          <w:i/>
          <w:iCs/>
          <w:lang w:val="en-US"/>
        </w:rPr>
        <w:t>J Gastroenterol Hepatol</w:t>
      </w:r>
      <w:r w:rsidRPr="00AD7868">
        <w:rPr>
          <w:rFonts w:ascii="Book Antiqua" w:hAnsi="Book Antiqua" w:cs="宋体"/>
          <w:lang w:val="en-US"/>
        </w:rPr>
        <w:t> 2010; </w:t>
      </w:r>
      <w:r w:rsidRPr="00AD7868">
        <w:rPr>
          <w:rFonts w:ascii="Book Antiqua" w:hAnsi="Book Antiqua" w:cs="宋体"/>
          <w:b/>
          <w:bCs/>
          <w:lang w:val="en-US"/>
        </w:rPr>
        <w:t>25</w:t>
      </w:r>
      <w:r w:rsidRPr="00AD7868">
        <w:rPr>
          <w:rFonts w:ascii="Book Antiqua" w:hAnsi="Book Antiqua" w:cs="宋体"/>
          <w:lang w:val="en-US"/>
        </w:rPr>
        <w:t>: 1604-1617 [PMID: 20880168 DOI: 10.1111/j.1440-1746.2010.06428.x]</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lastRenderedPageBreak/>
        <w:t>29</w:t>
      </w:r>
      <w:r w:rsidRPr="00AD7868">
        <w:rPr>
          <w:rFonts w:ascii="Book Antiqua" w:hAnsi="Book Antiqua" w:cs="宋体"/>
          <w:b/>
          <w:lang w:val="en-US"/>
        </w:rPr>
        <w:t xml:space="preserve"> Cheng C, </w:t>
      </w:r>
      <w:r w:rsidRPr="00AD7868">
        <w:rPr>
          <w:rFonts w:ascii="Book Antiqua" w:hAnsi="Book Antiqua" w:cs="宋体"/>
          <w:lang w:val="en-US"/>
        </w:rPr>
        <w:t>Lingyan W, Yi H, Cheng Z, Huadan Y, Xuting X, Leiting X, Meng Y, Shiwei D. Association between TLR2, MTR, MTRR, XPC, TP73, TP53 genetic polymorphisms and gastric cancer: A meta-analysis. </w:t>
      </w:r>
      <w:r w:rsidRPr="00AD7868">
        <w:rPr>
          <w:rFonts w:ascii="Book Antiqua" w:hAnsi="Book Antiqua" w:cs="宋体"/>
          <w:i/>
          <w:iCs/>
          <w:lang w:val="en-US"/>
        </w:rPr>
        <w:t>Clin Res Hepatol Gastroenterol</w:t>
      </w:r>
      <w:r w:rsidRPr="00AD7868">
        <w:rPr>
          <w:rFonts w:ascii="Book Antiqua" w:hAnsi="Book Antiqua" w:cs="宋体"/>
          <w:lang w:val="en-US"/>
        </w:rPr>
        <w:t> 2014;</w:t>
      </w:r>
      <w:r w:rsidRPr="00AD7868">
        <w:rPr>
          <w:lang w:val="en-US"/>
        </w:rPr>
        <w:t xml:space="preserve"> </w:t>
      </w:r>
      <w:r w:rsidRPr="00AD7868">
        <w:rPr>
          <w:rFonts w:ascii="Book Antiqua" w:hAnsi="Book Antiqua" w:cs="宋体"/>
          <w:lang w:val="en-US"/>
        </w:rPr>
        <w:t>[Epub ahead of print] [PMID: 24534481 DOI: 10.1016/j.clinre.2013.12.009]</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30 </w:t>
      </w:r>
      <w:r w:rsidRPr="00AD7868">
        <w:rPr>
          <w:rFonts w:ascii="Book Antiqua" w:hAnsi="Book Antiqua" w:cs="宋体"/>
          <w:b/>
          <w:bCs/>
          <w:lang w:val="en-US"/>
        </w:rPr>
        <w:t>Yu Z</w:t>
      </w:r>
      <w:r w:rsidRPr="00AD7868">
        <w:rPr>
          <w:rFonts w:ascii="Book Antiqua" w:hAnsi="Book Antiqua" w:cs="宋体"/>
          <w:lang w:val="en-US"/>
        </w:rPr>
        <w:t>, Liu Q, Huang C, Wu M, Li G. The interleukin 10 -819C/T polymorphism and cancer risk: a HuGE review and meta-analysis of 73 studies including 15,942 cases and 22,336 controls. </w:t>
      </w:r>
      <w:r w:rsidRPr="00AD7868">
        <w:rPr>
          <w:rFonts w:ascii="Book Antiqua" w:hAnsi="Book Antiqua" w:cs="宋体"/>
          <w:i/>
          <w:iCs/>
          <w:lang w:val="en-US"/>
        </w:rPr>
        <w:t>OMICS</w:t>
      </w:r>
      <w:r w:rsidRPr="00AD7868">
        <w:rPr>
          <w:rFonts w:ascii="Book Antiqua" w:hAnsi="Book Antiqua" w:cs="宋体"/>
          <w:lang w:val="en-US"/>
        </w:rPr>
        <w:t> 2013; </w:t>
      </w:r>
      <w:r w:rsidRPr="00AD7868">
        <w:rPr>
          <w:rFonts w:ascii="Book Antiqua" w:hAnsi="Book Antiqua" w:cs="宋体"/>
          <w:b/>
          <w:bCs/>
          <w:lang w:val="en-US"/>
        </w:rPr>
        <w:t>17</w:t>
      </w:r>
      <w:r w:rsidRPr="00AD7868">
        <w:rPr>
          <w:rFonts w:ascii="Book Antiqua" w:hAnsi="Book Antiqua" w:cs="宋体"/>
          <w:lang w:val="en-US"/>
        </w:rPr>
        <w:t>: 200-214 [PMID: 23574339 DOI: 10.1089/omi.2012.0089]</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31 </w:t>
      </w:r>
      <w:r w:rsidRPr="00AD7868">
        <w:rPr>
          <w:rFonts w:ascii="Book Antiqua" w:hAnsi="Book Antiqua" w:cs="宋体"/>
          <w:b/>
          <w:bCs/>
          <w:lang w:val="en-US"/>
        </w:rPr>
        <w:t>Oshima A</w:t>
      </w:r>
      <w:r w:rsidRPr="00AD7868">
        <w:rPr>
          <w:rFonts w:ascii="Book Antiqua" w:hAnsi="Book Antiqua" w:cs="宋体"/>
          <w:lang w:val="en-US"/>
        </w:rPr>
        <w:t>, Hirata N, Ubukata T, Umeda K, Fujimoto I. Evaluation of a mass screening program for stomach cancer with a case-control study design. </w:t>
      </w:r>
      <w:r w:rsidRPr="00AD7868">
        <w:rPr>
          <w:rFonts w:ascii="Book Antiqua" w:hAnsi="Book Antiqua" w:cs="宋体"/>
          <w:i/>
          <w:iCs/>
          <w:lang w:val="en-US"/>
        </w:rPr>
        <w:t>Int J Cancer</w:t>
      </w:r>
      <w:r w:rsidRPr="00AD7868">
        <w:rPr>
          <w:rFonts w:ascii="Book Antiqua" w:hAnsi="Book Antiqua" w:cs="宋体"/>
          <w:lang w:val="en-US"/>
        </w:rPr>
        <w:t> 1986; </w:t>
      </w:r>
      <w:r w:rsidRPr="00AD7868">
        <w:rPr>
          <w:rFonts w:ascii="Book Antiqua" w:hAnsi="Book Antiqua" w:cs="宋体"/>
          <w:b/>
          <w:bCs/>
          <w:lang w:val="en-US"/>
        </w:rPr>
        <w:t>38</w:t>
      </w:r>
      <w:r w:rsidRPr="00AD7868">
        <w:rPr>
          <w:rFonts w:ascii="Book Antiqua" w:hAnsi="Book Antiqua" w:cs="宋体"/>
          <w:lang w:val="en-US"/>
        </w:rPr>
        <w:t>: 829-833 [PMID: 3793262 DOI: 10.1002/ijc.2910380608]</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32 </w:t>
      </w:r>
      <w:r w:rsidRPr="00AD7868">
        <w:rPr>
          <w:rFonts w:ascii="Book Antiqua" w:hAnsi="Book Antiqua" w:cs="宋体"/>
          <w:b/>
          <w:bCs/>
          <w:lang w:val="en-US"/>
        </w:rPr>
        <w:t>Fukao A</w:t>
      </w:r>
      <w:r w:rsidRPr="00AD7868">
        <w:rPr>
          <w:rFonts w:ascii="Book Antiqua" w:hAnsi="Book Antiqua" w:cs="宋体"/>
          <w:lang w:val="en-US"/>
        </w:rPr>
        <w:t>, Tsubono Y, Tsuji I, HIsamichi S, Sugahara N, Takano A. The evaluation of screening for gastric cancer in Miyagi Prefecture, Japan: a population-based case-control study. </w:t>
      </w:r>
      <w:r w:rsidRPr="00AD7868">
        <w:rPr>
          <w:rFonts w:ascii="Book Antiqua" w:hAnsi="Book Antiqua" w:cs="宋体"/>
          <w:i/>
          <w:iCs/>
          <w:lang w:val="en-US"/>
        </w:rPr>
        <w:t>Int J Cancer</w:t>
      </w:r>
      <w:r w:rsidRPr="00AD7868">
        <w:rPr>
          <w:rFonts w:ascii="Book Antiqua" w:hAnsi="Book Antiqua" w:cs="宋体"/>
          <w:lang w:val="en-US"/>
        </w:rPr>
        <w:t> 1995; </w:t>
      </w:r>
      <w:r w:rsidRPr="00AD7868">
        <w:rPr>
          <w:rFonts w:ascii="Book Antiqua" w:hAnsi="Book Antiqua" w:cs="宋体"/>
          <w:b/>
          <w:bCs/>
          <w:lang w:val="en-US"/>
        </w:rPr>
        <w:t>60</w:t>
      </w:r>
      <w:r w:rsidRPr="00AD7868">
        <w:rPr>
          <w:rFonts w:ascii="Book Antiqua" w:hAnsi="Book Antiqua" w:cs="宋体"/>
          <w:lang w:val="en-US"/>
        </w:rPr>
        <w:t>: 45-48 [PMID: 7814150 DOI: 10.1002/ijc.2910600106]</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33 </w:t>
      </w:r>
      <w:r w:rsidRPr="00AD7868">
        <w:rPr>
          <w:rFonts w:ascii="Book Antiqua" w:hAnsi="Book Antiqua" w:cs="宋体"/>
          <w:b/>
          <w:bCs/>
          <w:lang w:val="en-US"/>
        </w:rPr>
        <w:t>Abe Y</w:t>
      </w:r>
      <w:r w:rsidRPr="00AD7868">
        <w:rPr>
          <w:rFonts w:ascii="Book Antiqua" w:hAnsi="Book Antiqua" w:cs="宋体"/>
          <w:lang w:val="en-US"/>
        </w:rPr>
        <w:t>, Mitsushima T, Nagatani K, Ikuma H, Minamihara Y. [Epidemiological evaluation of the protective effect for dying of stomach cancer by screening programme for stomach cancer with applying a method of case-control study--a study of a efficient screening programme for stomach cancer]. </w:t>
      </w:r>
      <w:r w:rsidRPr="00AD7868">
        <w:rPr>
          <w:rFonts w:ascii="Book Antiqua" w:hAnsi="Book Antiqua" w:cs="宋体"/>
          <w:i/>
          <w:iCs/>
          <w:lang w:val="en-US"/>
        </w:rPr>
        <w:t>Nihon Shokakibyo Gakkai Zasshi</w:t>
      </w:r>
      <w:r w:rsidRPr="00AD7868">
        <w:rPr>
          <w:rFonts w:ascii="Book Antiqua" w:hAnsi="Book Antiqua" w:cs="宋体"/>
          <w:lang w:val="en-US"/>
        </w:rPr>
        <w:t> 1995; </w:t>
      </w:r>
      <w:r w:rsidRPr="00AD7868">
        <w:rPr>
          <w:rFonts w:ascii="Book Antiqua" w:hAnsi="Book Antiqua" w:cs="宋体"/>
          <w:b/>
          <w:bCs/>
          <w:lang w:val="en-US"/>
        </w:rPr>
        <w:t>92</w:t>
      </w:r>
      <w:r w:rsidRPr="00AD7868">
        <w:rPr>
          <w:rFonts w:ascii="Book Antiqua" w:hAnsi="Book Antiqua" w:cs="宋体"/>
          <w:lang w:val="en-US"/>
        </w:rPr>
        <w:t>: 836-845 [PMID: 7783375]</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34 </w:t>
      </w:r>
      <w:r w:rsidRPr="00AD7868">
        <w:rPr>
          <w:rFonts w:ascii="Book Antiqua" w:hAnsi="Book Antiqua" w:cs="宋体"/>
          <w:b/>
          <w:bCs/>
          <w:lang w:val="en-US"/>
        </w:rPr>
        <w:t>Tsubono Y</w:t>
      </w:r>
      <w:r w:rsidRPr="00AD7868">
        <w:rPr>
          <w:rFonts w:ascii="Book Antiqua" w:hAnsi="Book Antiqua" w:cs="宋体"/>
          <w:lang w:val="en-US"/>
        </w:rPr>
        <w:t>, Hisamichi S. Screening for gastric cancer in Japan. </w:t>
      </w:r>
      <w:r w:rsidRPr="00AD7868">
        <w:rPr>
          <w:rFonts w:ascii="Book Antiqua" w:hAnsi="Book Antiqua" w:cs="宋体"/>
          <w:i/>
          <w:iCs/>
          <w:lang w:val="en-US"/>
        </w:rPr>
        <w:t>Gastric Cancer</w:t>
      </w:r>
      <w:r w:rsidRPr="00AD7868">
        <w:rPr>
          <w:rFonts w:ascii="Book Antiqua" w:hAnsi="Book Antiqua" w:cs="宋体"/>
          <w:lang w:val="en-US"/>
        </w:rPr>
        <w:t> 2000; </w:t>
      </w:r>
      <w:r w:rsidRPr="00AD7868">
        <w:rPr>
          <w:rFonts w:ascii="Book Antiqua" w:hAnsi="Book Antiqua" w:cs="宋体"/>
          <w:b/>
          <w:bCs/>
          <w:lang w:val="en-US"/>
        </w:rPr>
        <w:t>3</w:t>
      </w:r>
      <w:r w:rsidRPr="00AD7868">
        <w:rPr>
          <w:rFonts w:ascii="Book Antiqua" w:hAnsi="Book Antiqua" w:cs="宋体"/>
          <w:lang w:val="en-US"/>
        </w:rPr>
        <w:t>: 9-18 [PMID: 11984703 DOI: 10.1007/PL00011692]</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35 </w:t>
      </w:r>
      <w:r w:rsidRPr="00AD7868">
        <w:rPr>
          <w:rFonts w:ascii="Book Antiqua" w:hAnsi="Book Antiqua" w:cs="宋体"/>
          <w:b/>
          <w:bCs/>
          <w:lang w:val="en-US"/>
        </w:rPr>
        <w:t>Hamashima C</w:t>
      </w:r>
      <w:r w:rsidRPr="00AD7868">
        <w:rPr>
          <w:rFonts w:ascii="Book Antiqua" w:hAnsi="Book Antiqua" w:cs="宋体"/>
          <w:lang w:val="en-US"/>
        </w:rPr>
        <w:t>, Shibuya D, Yamazaki H, Inoue K, Fukao A, Saito H, Sobue T. The Japanese guidelines for gastric cancer screening. </w:t>
      </w:r>
      <w:r w:rsidRPr="00AD7868">
        <w:rPr>
          <w:rFonts w:ascii="Book Antiqua" w:hAnsi="Book Antiqua" w:cs="宋体"/>
          <w:i/>
          <w:iCs/>
          <w:lang w:val="en-US"/>
        </w:rPr>
        <w:t>Jpn J Clin Oncol</w:t>
      </w:r>
      <w:r w:rsidRPr="00AD7868">
        <w:rPr>
          <w:rFonts w:ascii="Book Antiqua" w:hAnsi="Book Antiqua" w:cs="宋体"/>
          <w:lang w:val="en-US"/>
        </w:rPr>
        <w:t> 2008; </w:t>
      </w:r>
      <w:r w:rsidRPr="00AD7868">
        <w:rPr>
          <w:rFonts w:ascii="Book Antiqua" w:hAnsi="Book Antiqua" w:cs="宋体"/>
          <w:b/>
          <w:bCs/>
          <w:lang w:val="en-US"/>
        </w:rPr>
        <w:t>38</w:t>
      </w:r>
      <w:r w:rsidRPr="00AD7868">
        <w:rPr>
          <w:rFonts w:ascii="Book Antiqua" w:hAnsi="Book Antiqua" w:cs="宋体"/>
          <w:lang w:val="en-US"/>
        </w:rPr>
        <w:t>: 259-267 [PMID: 18344316 DOI: 10.1093/jjco/hyn016]</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36 Schistosomes, liver flukes and Helicobacter pylori. IARC Working Group on the Evaluation of Carcinogenic Risks to Humans. Lyon, 7-14 June 1994. </w:t>
      </w:r>
      <w:r w:rsidRPr="00AD7868">
        <w:rPr>
          <w:rFonts w:ascii="Book Antiqua" w:hAnsi="Book Antiqua" w:cs="宋体"/>
          <w:i/>
          <w:iCs/>
          <w:lang w:val="en-US"/>
        </w:rPr>
        <w:t>IARC Monogr Eval Carcinog Risks Hum</w:t>
      </w:r>
      <w:r w:rsidRPr="00AD7868">
        <w:rPr>
          <w:rFonts w:ascii="Book Antiqua" w:hAnsi="Book Antiqua" w:cs="宋体"/>
          <w:lang w:val="en-US"/>
        </w:rPr>
        <w:t> 1994; </w:t>
      </w:r>
      <w:r w:rsidRPr="00AD7868">
        <w:rPr>
          <w:rFonts w:ascii="Book Antiqua" w:hAnsi="Book Antiqua" w:cs="宋体"/>
          <w:b/>
          <w:bCs/>
          <w:lang w:val="en-US"/>
        </w:rPr>
        <w:t>61</w:t>
      </w:r>
      <w:r w:rsidRPr="00AD7868">
        <w:rPr>
          <w:rFonts w:ascii="Book Antiqua" w:hAnsi="Book Antiqua" w:cs="宋体"/>
          <w:lang w:val="en-US"/>
        </w:rPr>
        <w:t>: 1-241 [PMID: 7715068]</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37 </w:t>
      </w:r>
      <w:r w:rsidRPr="00AD7868">
        <w:rPr>
          <w:rFonts w:ascii="Book Antiqua" w:hAnsi="Book Antiqua" w:cs="宋体"/>
          <w:b/>
          <w:bCs/>
          <w:lang w:val="en-US"/>
        </w:rPr>
        <w:t>Areia M</w:t>
      </w:r>
      <w:r w:rsidRPr="00AD7868">
        <w:rPr>
          <w:rFonts w:ascii="Book Antiqua" w:hAnsi="Book Antiqua" w:cs="宋体"/>
          <w:lang w:val="en-US"/>
        </w:rPr>
        <w:t>, Carvalho R, Cadime AT, Rocha Gonçalves F, Dinis-Ribeiro M. Screening for gastric cancer and surveillance of premalignant lesions: a systematic review of cost-effectiveness studies. </w:t>
      </w:r>
      <w:r w:rsidRPr="00AD7868">
        <w:rPr>
          <w:rFonts w:ascii="Book Antiqua" w:hAnsi="Book Antiqua" w:cs="宋体"/>
          <w:i/>
          <w:iCs/>
          <w:lang w:val="en-US"/>
        </w:rPr>
        <w:t>Helicobacter</w:t>
      </w:r>
      <w:r w:rsidRPr="00AD7868">
        <w:rPr>
          <w:rFonts w:ascii="Book Antiqua" w:hAnsi="Book Antiqua" w:cs="宋体"/>
          <w:lang w:val="en-US"/>
        </w:rPr>
        <w:t> 2013; </w:t>
      </w:r>
      <w:r w:rsidRPr="00AD7868">
        <w:rPr>
          <w:rFonts w:ascii="Book Antiqua" w:hAnsi="Book Antiqua" w:cs="宋体"/>
          <w:b/>
          <w:bCs/>
          <w:lang w:val="en-US"/>
        </w:rPr>
        <w:t>18</w:t>
      </w:r>
      <w:r w:rsidRPr="00AD7868">
        <w:rPr>
          <w:rFonts w:ascii="Book Antiqua" w:hAnsi="Book Antiqua" w:cs="宋体"/>
          <w:lang w:val="en-US"/>
        </w:rPr>
        <w:t>: 325-337 [PMID: 23566268 DOI: 10.1111/hel.12050]</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lastRenderedPageBreak/>
        <w:t>38 </w:t>
      </w:r>
      <w:r w:rsidRPr="00AD7868">
        <w:rPr>
          <w:rFonts w:ascii="Book Antiqua" w:hAnsi="Book Antiqua" w:cs="宋体"/>
          <w:b/>
          <w:bCs/>
          <w:lang w:val="en-US"/>
        </w:rPr>
        <w:t>Yeh JM</w:t>
      </w:r>
      <w:r w:rsidRPr="00AD7868">
        <w:rPr>
          <w:rFonts w:ascii="Book Antiqua" w:hAnsi="Book Antiqua" w:cs="宋体"/>
          <w:lang w:val="en-US"/>
        </w:rPr>
        <w:t>, Kuntz KM, Ezzati M, Goldie SJ. Exploring the cost-effectiveness of Helicobacter pylori screening to prevent gastric cancer in China in anticipation of clinical trial results. </w:t>
      </w:r>
      <w:r w:rsidRPr="00AD7868">
        <w:rPr>
          <w:rFonts w:ascii="Book Antiqua" w:hAnsi="Book Antiqua" w:cs="宋体"/>
          <w:i/>
          <w:iCs/>
          <w:lang w:val="en-US"/>
        </w:rPr>
        <w:t>Int J Cancer</w:t>
      </w:r>
      <w:r w:rsidRPr="00AD7868">
        <w:rPr>
          <w:rFonts w:ascii="Book Antiqua" w:hAnsi="Book Antiqua" w:cs="宋体"/>
          <w:lang w:val="en-US"/>
        </w:rPr>
        <w:t> 2009; </w:t>
      </w:r>
      <w:r w:rsidRPr="00AD7868">
        <w:rPr>
          <w:rFonts w:ascii="Book Antiqua" w:hAnsi="Book Antiqua" w:cs="宋体"/>
          <w:b/>
          <w:bCs/>
          <w:lang w:val="en-US"/>
        </w:rPr>
        <w:t>124</w:t>
      </w:r>
      <w:r w:rsidRPr="00AD7868">
        <w:rPr>
          <w:rFonts w:ascii="Book Antiqua" w:hAnsi="Book Antiqua" w:cs="宋体"/>
          <w:lang w:val="en-US"/>
        </w:rPr>
        <w:t>: 157-166 [PMID: 18823009 DOI: 10.1002/ijc.23864]</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39 </w:t>
      </w:r>
      <w:r w:rsidRPr="00AD7868">
        <w:rPr>
          <w:rFonts w:ascii="Book Antiqua" w:hAnsi="Book Antiqua" w:cs="宋体"/>
          <w:b/>
          <w:bCs/>
          <w:lang w:val="en-US"/>
        </w:rPr>
        <w:t>Samloff IM</w:t>
      </w:r>
      <w:r w:rsidRPr="00AD7868">
        <w:rPr>
          <w:rFonts w:ascii="Book Antiqua" w:hAnsi="Book Antiqua" w:cs="宋体"/>
          <w:lang w:val="en-US"/>
        </w:rPr>
        <w:t>, Varis K, Ihamaki T, Siurala M, Rotter JI. Relationships among serum pepsinogen I, serum pepsinogen II, and gastric mucosal histology. A study in relatives of patients with pernicious anemia. </w:t>
      </w:r>
      <w:r w:rsidRPr="00AD7868">
        <w:rPr>
          <w:rFonts w:ascii="Book Antiqua" w:hAnsi="Book Antiqua" w:cs="宋体"/>
          <w:i/>
          <w:iCs/>
          <w:lang w:val="en-US"/>
        </w:rPr>
        <w:t>Gastroenterology</w:t>
      </w:r>
      <w:r w:rsidRPr="00AD7868">
        <w:rPr>
          <w:rFonts w:ascii="Book Antiqua" w:hAnsi="Book Antiqua" w:cs="宋体"/>
          <w:lang w:val="en-US"/>
        </w:rPr>
        <w:t> 1982; </w:t>
      </w:r>
      <w:r w:rsidRPr="00AD7868">
        <w:rPr>
          <w:rFonts w:ascii="Book Antiqua" w:hAnsi="Book Antiqua" w:cs="宋体"/>
          <w:b/>
          <w:bCs/>
          <w:lang w:val="en-US"/>
        </w:rPr>
        <w:t>83</w:t>
      </w:r>
      <w:r w:rsidRPr="00AD7868">
        <w:rPr>
          <w:rFonts w:ascii="Book Antiqua" w:hAnsi="Book Antiqua" w:cs="宋体"/>
          <w:lang w:val="en-US"/>
        </w:rPr>
        <w:t>: 204-209 [PMID: 7084603]</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40 </w:t>
      </w:r>
      <w:r w:rsidRPr="00AD7868">
        <w:rPr>
          <w:rFonts w:ascii="Book Antiqua" w:hAnsi="Book Antiqua" w:cs="宋体"/>
          <w:b/>
          <w:bCs/>
          <w:lang w:val="en-US"/>
        </w:rPr>
        <w:t>Nardone G</w:t>
      </w:r>
      <w:r w:rsidRPr="00AD7868">
        <w:rPr>
          <w:rFonts w:ascii="Book Antiqua" w:hAnsi="Book Antiqua" w:cs="宋体"/>
          <w:lang w:val="en-US"/>
        </w:rPr>
        <w:t>, Rocco A, Staibano S, Mezza E, Autiero G, Compare D, De Rosa G, Budillon G. Diagnostic accuracy of the serum profile of gastric mucosa in relation to histological and morphometric diagnosis of atrophy. </w:t>
      </w:r>
      <w:r w:rsidRPr="00AD7868">
        <w:rPr>
          <w:rFonts w:ascii="Book Antiqua" w:hAnsi="Book Antiqua" w:cs="宋体"/>
          <w:i/>
          <w:iCs/>
          <w:lang w:val="en-US"/>
        </w:rPr>
        <w:t>Aliment Pharmacol Ther</w:t>
      </w:r>
      <w:r w:rsidRPr="00AD7868">
        <w:rPr>
          <w:rFonts w:ascii="Book Antiqua" w:hAnsi="Book Antiqua" w:cs="宋体"/>
          <w:lang w:val="en-US"/>
        </w:rPr>
        <w:t> 2005; </w:t>
      </w:r>
      <w:r w:rsidRPr="00AD7868">
        <w:rPr>
          <w:rFonts w:ascii="Book Antiqua" w:hAnsi="Book Antiqua" w:cs="宋体"/>
          <w:b/>
          <w:bCs/>
          <w:lang w:val="en-US"/>
        </w:rPr>
        <w:t>22</w:t>
      </w:r>
      <w:r w:rsidRPr="00AD7868">
        <w:rPr>
          <w:rFonts w:ascii="Book Antiqua" w:hAnsi="Book Antiqua" w:cs="宋体"/>
          <w:lang w:val="en-US"/>
        </w:rPr>
        <w:t>: 1139-1146 [PMID: 16305728 DOI: 10.1111/j.1365-2036.2005.02734.x]</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41 </w:t>
      </w:r>
      <w:r w:rsidRPr="00AD7868">
        <w:rPr>
          <w:rFonts w:ascii="Book Antiqua" w:hAnsi="Book Antiqua" w:cs="宋体"/>
          <w:b/>
          <w:bCs/>
          <w:lang w:val="en-US"/>
        </w:rPr>
        <w:t>Di Mario F</w:t>
      </w:r>
      <w:r w:rsidRPr="00AD7868">
        <w:rPr>
          <w:rFonts w:ascii="Book Antiqua" w:hAnsi="Book Antiqua" w:cs="宋体"/>
          <w:lang w:val="en-US"/>
        </w:rPr>
        <w:t>, Cavallaro LG, Moussa AM, Caruana P, Merli R, Maini A, Bertolini S, Dal Bó N, Rugge M, Cavestro GM, Aragona G, Plebani M, Franzé A, Nervi G. Usefulness of serum pepsinogens in Helicobacter pylori chronic gastritis: relationship with inflammation, activity, and density of the bacterium. </w:t>
      </w:r>
      <w:r w:rsidRPr="00AD7868">
        <w:rPr>
          <w:rFonts w:ascii="Book Antiqua" w:hAnsi="Book Antiqua" w:cs="宋体"/>
          <w:i/>
          <w:iCs/>
          <w:lang w:val="en-US"/>
        </w:rPr>
        <w:t>Dig Dis Sci</w:t>
      </w:r>
      <w:r w:rsidRPr="00AD7868">
        <w:rPr>
          <w:rFonts w:ascii="Book Antiqua" w:hAnsi="Book Antiqua" w:cs="宋体"/>
          <w:lang w:val="en-US"/>
        </w:rPr>
        <w:t> 2006; </w:t>
      </w:r>
      <w:r w:rsidRPr="00AD7868">
        <w:rPr>
          <w:rFonts w:ascii="Book Antiqua" w:hAnsi="Book Antiqua" w:cs="宋体"/>
          <w:b/>
          <w:bCs/>
          <w:lang w:val="en-US"/>
        </w:rPr>
        <w:t>51</w:t>
      </w:r>
      <w:r w:rsidRPr="00AD7868">
        <w:rPr>
          <w:rFonts w:ascii="Book Antiqua" w:hAnsi="Book Antiqua" w:cs="宋体"/>
          <w:lang w:val="en-US"/>
        </w:rPr>
        <w:t>: 1791-1795 [PMID: 17203556 DOI: 10.1007/s10620-006-9206-1]</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42 </w:t>
      </w:r>
      <w:r w:rsidRPr="00AD7868">
        <w:rPr>
          <w:rFonts w:ascii="Book Antiqua" w:hAnsi="Book Antiqua" w:cs="宋体"/>
          <w:b/>
          <w:bCs/>
          <w:lang w:val="en-US"/>
        </w:rPr>
        <w:t>Bodger K</w:t>
      </w:r>
      <w:r w:rsidRPr="00AD7868">
        <w:rPr>
          <w:rFonts w:ascii="Book Antiqua" w:hAnsi="Book Antiqua" w:cs="宋体"/>
          <w:lang w:val="en-US"/>
        </w:rPr>
        <w:t>, Wyatt JI, Heatley RV. Variation in serum pepsinogens with severity and topography of Helicobacter pylori-associated chronic gastritis in dyspeptic patients referred for endoscopy. </w:t>
      </w:r>
      <w:r w:rsidRPr="00AD7868">
        <w:rPr>
          <w:rFonts w:ascii="Book Antiqua" w:hAnsi="Book Antiqua" w:cs="宋体"/>
          <w:i/>
          <w:iCs/>
          <w:lang w:val="en-US"/>
        </w:rPr>
        <w:t>Helicobacter</w:t>
      </w:r>
      <w:r w:rsidRPr="00AD7868">
        <w:rPr>
          <w:rFonts w:ascii="Book Antiqua" w:hAnsi="Book Antiqua" w:cs="宋体"/>
          <w:lang w:val="en-US"/>
        </w:rPr>
        <w:t> 2001; </w:t>
      </w:r>
      <w:r w:rsidRPr="00AD7868">
        <w:rPr>
          <w:rFonts w:ascii="Book Antiqua" w:hAnsi="Book Antiqua" w:cs="宋体"/>
          <w:b/>
          <w:bCs/>
          <w:lang w:val="en-US"/>
        </w:rPr>
        <w:t>6</w:t>
      </w:r>
      <w:r w:rsidRPr="00AD7868">
        <w:rPr>
          <w:rFonts w:ascii="Book Antiqua" w:hAnsi="Book Antiqua" w:cs="宋体"/>
          <w:lang w:val="en-US"/>
        </w:rPr>
        <w:t>: 216-224 [PMID: 11683924 DOI: 10.1046/j.1523-5378.2001.00031.x]</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43 </w:t>
      </w:r>
      <w:r w:rsidRPr="00AD7868">
        <w:rPr>
          <w:rFonts w:ascii="Book Antiqua" w:hAnsi="Book Antiqua" w:cs="宋体"/>
          <w:b/>
          <w:bCs/>
          <w:lang w:val="en-US"/>
        </w:rPr>
        <w:t>Oishi Y</w:t>
      </w:r>
      <w:r w:rsidRPr="00AD7868">
        <w:rPr>
          <w:rFonts w:ascii="Book Antiqua" w:hAnsi="Book Antiqua" w:cs="宋体"/>
          <w:lang w:val="en-US"/>
        </w:rPr>
        <w:t>, Kiyohara Y, Kubo M, Tanaka K, Tanizaki Y, Ninomiya T, Doi Y, Shikata K, Yonemoto K, Shirota T, Matsumoto T, Iida M. The serum pepsinogen test as a predictor of gastric cancer: the Hisayama study. </w:t>
      </w:r>
      <w:r w:rsidRPr="00AD7868">
        <w:rPr>
          <w:rFonts w:ascii="Book Antiqua" w:hAnsi="Book Antiqua" w:cs="宋体"/>
          <w:i/>
          <w:iCs/>
          <w:lang w:val="en-US"/>
        </w:rPr>
        <w:t>Am J Epidemiol</w:t>
      </w:r>
      <w:r w:rsidRPr="00AD7868">
        <w:rPr>
          <w:rFonts w:ascii="Book Antiqua" w:hAnsi="Book Antiqua" w:cs="宋体"/>
          <w:lang w:val="en-US"/>
        </w:rPr>
        <w:t> 2006; </w:t>
      </w:r>
      <w:r w:rsidRPr="00AD7868">
        <w:rPr>
          <w:rFonts w:ascii="Book Antiqua" w:hAnsi="Book Antiqua" w:cs="宋体"/>
          <w:b/>
          <w:bCs/>
          <w:lang w:val="en-US"/>
        </w:rPr>
        <w:t>163</w:t>
      </w:r>
      <w:r w:rsidRPr="00AD7868">
        <w:rPr>
          <w:rFonts w:ascii="Book Antiqua" w:hAnsi="Book Antiqua" w:cs="宋体"/>
          <w:lang w:val="en-US"/>
        </w:rPr>
        <w:t>: 629-637 [PMID: 16443800 DOI: 10.1093/aje/kwj088]</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44 </w:t>
      </w:r>
      <w:r w:rsidRPr="00AD7868">
        <w:rPr>
          <w:rFonts w:ascii="Book Antiqua" w:hAnsi="Book Antiqua" w:cs="宋体"/>
          <w:b/>
          <w:bCs/>
          <w:lang w:val="en-US"/>
        </w:rPr>
        <w:t>Correa P</w:t>
      </w:r>
      <w:r w:rsidRPr="00AD7868">
        <w:rPr>
          <w:rFonts w:ascii="Book Antiqua" w:hAnsi="Book Antiqua" w:cs="宋体"/>
          <w:lang w:val="en-US"/>
        </w:rPr>
        <w:t>. Serum pepsinogens in gastric cancer screening. </w:t>
      </w:r>
      <w:r w:rsidRPr="00AD7868">
        <w:rPr>
          <w:rFonts w:ascii="Book Antiqua" w:hAnsi="Book Antiqua" w:cs="宋体"/>
          <w:i/>
          <w:iCs/>
          <w:lang w:val="en-US"/>
        </w:rPr>
        <w:t>Dig Dis Sci</w:t>
      </w:r>
      <w:r w:rsidRPr="00AD7868">
        <w:rPr>
          <w:rFonts w:ascii="Book Antiqua" w:hAnsi="Book Antiqua" w:cs="宋体"/>
          <w:lang w:val="en-US"/>
        </w:rPr>
        <w:t> 2010; </w:t>
      </w:r>
      <w:r w:rsidRPr="00AD7868">
        <w:rPr>
          <w:rFonts w:ascii="Book Antiqua" w:hAnsi="Book Antiqua" w:cs="宋体"/>
          <w:b/>
          <w:bCs/>
          <w:lang w:val="en-US"/>
        </w:rPr>
        <w:t>55</w:t>
      </w:r>
      <w:r w:rsidRPr="00AD7868">
        <w:rPr>
          <w:rFonts w:ascii="Book Antiqua" w:hAnsi="Book Antiqua" w:cs="宋体"/>
          <w:lang w:val="en-US"/>
        </w:rPr>
        <w:t>: 2123-2125 [PMID: 20428942 DOI: 10.1007/s10620-010-1248-8]</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45 </w:t>
      </w:r>
      <w:r w:rsidRPr="00AD7868">
        <w:rPr>
          <w:rFonts w:ascii="Book Antiqua" w:hAnsi="Book Antiqua" w:cs="宋体"/>
          <w:b/>
          <w:bCs/>
          <w:lang w:val="en-US"/>
        </w:rPr>
        <w:t>Dinis-Ribeiro M</w:t>
      </w:r>
      <w:r w:rsidRPr="00AD7868">
        <w:rPr>
          <w:rFonts w:ascii="Book Antiqua" w:hAnsi="Book Antiqua" w:cs="宋体"/>
          <w:lang w:val="en-US"/>
        </w:rPr>
        <w:t>, da Costa-Pereira A, Lopes C, Barbosa J, Guilherme M, Moreira-Dias L, Lomba-Viana H, Silva R, Abreu N, Lomba-Viana R. Validity of serum pepsinogen I/II ratio for the diagnosis of gastric epithelial dysplasia and intestinal metaplasia during the follow-up of patients at risk for intestinal-type gastric adenocarcinoma. </w:t>
      </w:r>
      <w:r w:rsidRPr="00AD7868">
        <w:rPr>
          <w:rFonts w:ascii="Book Antiqua" w:hAnsi="Book Antiqua" w:cs="宋体"/>
          <w:i/>
          <w:iCs/>
          <w:lang w:val="en-US"/>
        </w:rPr>
        <w:t>Neoplasia</w:t>
      </w:r>
      <w:r w:rsidRPr="00AD7868">
        <w:rPr>
          <w:rFonts w:ascii="Book Antiqua" w:hAnsi="Book Antiqua" w:cs="宋体"/>
          <w:lang w:val="en-US"/>
        </w:rPr>
        <w:t> 2004; </w:t>
      </w:r>
      <w:r w:rsidRPr="00AD7868">
        <w:rPr>
          <w:rFonts w:ascii="Book Antiqua" w:hAnsi="Book Antiqua" w:cs="宋体"/>
          <w:b/>
          <w:bCs/>
          <w:lang w:val="en-US"/>
        </w:rPr>
        <w:t>6</w:t>
      </w:r>
      <w:r w:rsidRPr="00AD7868">
        <w:rPr>
          <w:rFonts w:ascii="Book Antiqua" w:hAnsi="Book Antiqua" w:cs="宋体"/>
          <w:lang w:val="en-US"/>
        </w:rPr>
        <w:t>: 449-456 [PMID: 15548353 DOI: 10.1593/neo.03505]</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46 </w:t>
      </w:r>
      <w:r w:rsidRPr="00AD7868">
        <w:rPr>
          <w:rFonts w:ascii="Book Antiqua" w:hAnsi="Book Antiqua" w:cs="宋体"/>
          <w:b/>
          <w:bCs/>
          <w:lang w:val="en-US"/>
        </w:rPr>
        <w:t>Leung WK</w:t>
      </w:r>
      <w:r w:rsidRPr="00AD7868">
        <w:rPr>
          <w:rFonts w:ascii="Book Antiqua" w:hAnsi="Book Antiqua" w:cs="宋体"/>
          <w:lang w:val="en-US"/>
        </w:rPr>
        <w:t xml:space="preserve">, Wu MS, Kakugawa Y, Kim JJ, Yeoh KG, Goh KL, Wu KC, Wu DC, Sollano J, Kachintorn U, Gotoda T, Lin JT, You WC, Ng EK, Sung JJ. Screening for gastric cancer in </w:t>
      </w:r>
      <w:r w:rsidRPr="00AD7868">
        <w:rPr>
          <w:rFonts w:ascii="Book Antiqua" w:hAnsi="Book Antiqua" w:cs="宋体"/>
          <w:lang w:val="en-US"/>
        </w:rPr>
        <w:lastRenderedPageBreak/>
        <w:t>Asia: current evidence and practice. </w:t>
      </w:r>
      <w:r w:rsidRPr="00AD7868">
        <w:rPr>
          <w:rFonts w:ascii="Book Antiqua" w:hAnsi="Book Antiqua" w:cs="宋体"/>
          <w:i/>
          <w:iCs/>
          <w:lang w:val="en-US"/>
        </w:rPr>
        <w:t>Lancet Oncol</w:t>
      </w:r>
      <w:r w:rsidRPr="00AD7868">
        <w:rPr>
          <w:rFonts w:ascii="Book Antiqua" w:hAnsi="Book Antiqua" w:cs="宋体"/>
          <w:lang w:val="en-US"/>
        </w:rPr>
        <w:t> 2008; </w:t>
      </w:r>
      <w:r w:rsidRPr="00AD7868">
        <w:rPr>
          <w:rFonts w:ascii="Book Antiqua" w:hAnsi="Book Antiqua" w:cs="宋体"/>
          <w:b/>
          <w:bCs/>
          <w:lang w:val="en-US"/>
        </w:rPr>
        <w:t>9</w:t>
      </w:r>
      <w:r w:rsidRPr="00AD7868">
        <w:rPr>
          <w:rFonts w:ascii="Book Antiqua" w:hAnsi="Book Antiqua" w:cs="宋体"/>
          <w:lang w:val="en-US"/>
        </w:rPr>
        <w:t>: 279-287 [PMID: 18308253 DOI: 10.1016/S1470-2045(08)70072-X]</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47 </w:t>
      </w:r>
      <w:r w:rsidRPr="00AD7868">
        <w:rPr>
          <w:rFonts w:ascii="Book Antiqua" w:hAnsi="Book Antiqua" w:cs="宋体"/>
          <w:b/>
          <w:bCs/>
          <w:lang w:val="en-US"/>
        </w:rPr>
        <w:t>Watabe H</w:t>
      </w:r>
      <w:r w:rsidRPr="00AD7868">
        <w:rPr>
          <w:rFonts w:ascii="Book Antiqua" w:hAnsi="Book Antiqua" w:cs="宋体"/>
          <w:lang w:val="en-US"/>
        </w:rPr>
        <w:t>, Mitsushima T, Yamaji Y, Okamoto M, Wada R, Kokubo T, Doi H, Yoshida H, Kawabe T, Omata M. Predicting the development of gastric cancer from combining Helicobacter pylori antibodies and serum pepsinogen status: a prospective endoscopic cohort study. </w:t>
      </w:r>
      <w:r w:rsidRPr="00AD7868">
        <w:rPr>
          <w:rFonts w:ascii="Book Antiqua" w:hAnsi="Book Antiqua" w:cs="宋体"/>
          <w:i/>
          <w:iCs/>
          <w:lang w:val="en-US"/>
        </w:rPr>
        <w:t>Gut</w:t>
      </w:r>
      <w:r w:rsidRPr="00AD7868">
        <w:rPr>
          <w:rFonts w:ascii="Book Antiqua" w:hAnsi="Book Antiqua" w:cs="宋体"/>
          <w:lang w:val="en-US"/>
        </w:rPr>
        <w:t> 2005; </w:t>
      </w:r>
      <w:r w:rsidRPr="00AD7868">
        <w:rPr>
          <w:rFonts w:ascii="Book Antiqua" w:hAnsi="Book Antiqua" w:cs="宋体"/>
          <w:b/>
          <w:bCs/>
          <w:lang w:val="en-US"/>
        </w:rPr>
        <w:t>54</w:t>
      </w:r>
      <w:r w:rsidRPr="00AD7868">
        <w:rPr>
          <w:rFonts w:ascii="Book Antiqua" w:hAnsi="Book Antiqua" w:cs="宋体"/>
          <w:lang w:val="en-US"/>
        </w:rPr>
        <w:t>: 764-768 [PMID: 15888780 DOI: 10.1136/gut.2004.055400]</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48 </w:t>
      </w:r>
      <w:r w:rsidRPr="00AD7868">
        <w:rPr>
          <w:rFonts w:ascii="Book Antiqua" w:hAnsi="Book Antiqua" w:cs="宋体"/>
          <w:b/>
          <w:bCs/>
          <w:lang w:val="en-US"/>
        </w:rPr>
        <w:t>Sipponen P</w:t>
      </w:r>
      <w:r w:rsidRPr="00AD7868">
        <w:rPr>
          <w:rFonts w:ascii="Book Antiqua" w:hAnsi="Book Antiqua" w:cs="宋体"/>
          <w:lang w:val="en-US"/>
        </w:rPr>
        <w:t>, Graham DY. Importance of atrophic gastritis in diagnostics and prevention of gastric cancer: application of plasma biomarkers. </w:t>
      </w:r>
      <w:r w:rsidRPr="00AD7868">
        <w:rPr>
          <w:rFonts w:ascii="Book Antiqua" w:hAnsi="Book Antiqua" w:cs="宋体"/>
          <w:i/>
          <w:iCs/>
          <w:lang w:val="en-US"/>
        </w:rPr>
        <w:t>Scand J Gastroenterol</w:t>
      </w:r>
      <w:r w:rsidRPr="00AD7868">
        <w:rPr>
          <w:rFonts w:ascii="Book Antiqua" w:hAnsi="Book Antiqua" w:cs="宋体"/>
          <w:lang w:val="en-US"/>
        </w:rPr>
        <w:t> 2007; </w:t>
      </w:r>
      <w:r w:rsidRPr="00AD7868">
        <w:rPr>
          <w:rFonts w:ascii="Book Antiqua" w:hAnsi="Book Antiqua" w:cs="宋体"/>
          <w:b/>
          <w:bCs/>
          <w:lang w:val="en-US"/>
        </w:rPr>
        <w:t>42</w:t>
      </w:r>
      <w:r w:rsidRPr="00AD7868">
        <w:rPr>
          <w:rFonts w:ascii="Book Antiqua" w:hAnsi="Book Antiqua" w:cs="宋体"/>
          <w:lang w:val="en-US"/>
        </w:rPr>
        <w:t>: 2-10 [PMID: 17190755 DOI: 10.1080/00365520600863720]</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49 </w:t>
      </w:r>
      <w:r w:rsidRPr="00AD7868">
        <w:rPr>
          <w:rFonts w:ascii="Book Antiqua" w:hAnsi="Book Antiqua" w:cs="宋体"/>
          <w:b/>
          <w:bCs/>
          <w:lang w:val="en-US"/>
        </w:rPr>
        <w:t>Väänänen H</w:t>
      </w:r>
      <w:r w:rsidRPr="00AD7868">
        <w:rPr>
          <w:rFonts w:ascii="Book Antiqua" w:hAnsi="Book Antiqua" w:cs="宋体"/>
          <w:lang w:val="en-US"/>
        </w:rPr>
        <w:t>, Vauhkonen M, Helske T, Kääriäinen I, Rasmussen M, Tunturi-Hihnala H, Koskenpato J, Sotka M, Turunen M, Sandström R, Ristikankare M, Jussila A, Sipponen P. Non-endoscopic diagnosis of atrophic gastritis with a blood test. Correlation between gastric histology and serum levels of gastrin-17 and pepsinogen I: a multicentre study. </w:t>
      </w:r>
      <w:r w:rsidRPr="00AD7868">
        <w:rPr>
          <w:rFonts w:ascii="Book Antiqua" w:hAnsi="Book Antiqua" w:cs="宋体"/>
          <w:i/>
          <w:iCs/>
          <w:lang w:val="en-US"/>
        </w:rPr>
        <w:t>Eur J Gastroenterol Hepatol</w:t>
      </w:r>
      <w:r w:rsidRPr="00AD7868">
        <w:rPr>
          <w:rFonts w:ascii="Book Antiqua" w:hAnsi="Book Antiqua" w:cs="宋体"/>
          <w:lang w:val="en-US"/>
        </w:rPr>
        <w:t> 2003; </w:t>
      </w:r>
      <w:r w:rsidRPr="00AD7868">
        <w:rPr>
          <w:rFonts w:ascii="Book Antiqua" w:hAnsi="Book Antiqua" w:cs="宋体"/>
          <w:b/>
          <w:bCs/>
          <w:lang w:val="en-US"/>
        </w:rPr>
        <w:t>15</w:t>
      </w:r>
      <w:r w:rsidRPr="00AD7868">
        <w:rPr>
          <w:rFonts w:ascii="Book Antiqua" w:hAnsi="Book Antiqua" w:cs="宋体"/>
          <w:lang w:val="en-US"/>
        </w:rPr>
        <w:t>: 885-891 [PMID: 12867799 DOI: 10.1097/00042737-200308000-00009]</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50 </w:t>
      </w:r>
      <w:r w:rsidRPr="00AD7868">
        <w:rPr>
          <w:rFonts w:ascii="Book Antiqua" w:hAnsi="Book Antiqua" w:cs="宋体"/>
          <w:b/>
          <w:bCs/>
          <w:lang w:val="en-US"/>
        </w:rPr>
        <w:t>Di Mario F</w:t>
      </w:r>
      <w:r w:rsidRPr="00AD7868">
        <w:rPr>
          <w:rFonts w:ascii="Book Antiqua" w:hAnsi="Book Antiqua" w:cs="宋体"/>
          <w:lang w:val="en-US"/>
        </w:rPr>
        <w:t>, Moussa AM, Caruana P, Merli R, Cavallaro LG, Cavestro GM, Dal Bò N, Iori V, Pilotto A, Leandro G, Franzè A, Rugge M. 'Serological biopsy' in first-degree relatives of patients with gastric cancer affected by Helicobacter pylori infection. </w:t>
      </w:r>
      <w:r w:rsidRPr="00AD7868">
        <w:rPr>
          <w:rFonts w:ascii="Book Antiqua" w:hAnsi="Book Antiqua" w:cs="宋体"/>
          <w:i/>
          <w:iCs/>
          <w:lang w:val="en-US"/>
        </w:rPr>
        <w:t>Scand J Gastroenterol</w:t>
      </w:r>
      <w:r w:rsidRPr="00AD7868">
        <w:rPr>
          <w:rFonts w:ascii="Book Antiqua" w:hAnsi="Book Antiqua" w:cs="宋体"/>
          <w:lang w:val="en-US"/>
        </w:rPr>
        <w:t> 2003; </w:t>
      </w:r>
      <w:r w:rsidRPr="00AD7868">
        <w:rPr>
          <w:rFonts w:ascii="Book Antiqua" w:hAnsi="Book Antiqua" w:cs="宋体"/>
          <w:b/>
          <w:bCs/>
          <w:lang w:val="en-US"/>
        </w:rPr>
        <w:t>38</w:t>
      </w:r>
      <w:r w:rsidRPr="00AD7868">
        <w:rPr>
          <w:rFonts w:ascii="Book Antiqua" w:hAnsi="Book Antiqua" w:cs="宋体"/>
          <w:lang w:val="en-US"/>
        </w:rPr>
        <w:t>: 1223-1227 [PMID: 14750641 DOI: 10.1080/00365520310007044]</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51 </w:t>
      </w:r>
      <w:r w:rsidRPr="00AD7868">
        <w:rPr>
          <w:rFonts w:ascii="Book Antiqua" w:hAnsi="Book Antiqua" w:cs="宋体"/>
          <w:b/>
          <w:bCs/>
          <w:lang w:val="en-US"/>
        </w:rPr>
        <w:t>Tashiro A</w:t>
      </w:r>
      <w:r w:rsidRPr="00AD7868">
        <w:rPr>
          <w:rFonts w:ascii="Book Antiqua" w:hAnsi="Book Antiqua" w:cs="宋体"/>
          <w:lang w:val="en-US"/>
        </w:rPr>
        <w:t>, Sano M, Kinameri K, Fujita K, Takeuchi Y. Comparing mass screening techniques for gastric cancer in Japan. </w:t>
      </w:r>
      <w:r w:rsidRPr="00AD7868">
        <w:rPr>
          <w:rFonts w:ascii="Book Antiqua" w:hAnsi="Book Antiqua" w:cs="宋体"/>
          <w:i/>
          <w:iCs/>
          <w:lang w:val="en-US"/>
        </w:rPr>
        <w:t>World J Gastroenterol</w:t>
      </w:r>
      <w:r w:rsidRPr="00AD7868">
        <w:rPr>
          <w:rFonts w:ascii="Book Antiqua" w:hAnsi="Book Antiqua" w:cs="宋体"/>
          <w:lang w:val="en-US"/>
        </w:rPr>
        <w:t> 2006; </w:t>
      </w:r>
      <w:r w:rsidRPr="00AD7868">
        <w:rPr>
          <w:rFonts w:ascii="Book Antiqua" w:hAnsi="Book Antiqua" w:cs="宋体"/>
          <w:b/>
          <w:bCs/>
          <w:lang w:val="en-US"/>
        </w:rPr>
        <w:t>12</w:t>
      </w:r>
      <w:r w:rsidRPr="00AD7868">
        <w:rPr>
          <w:rFonts w:ascii="Book Antiqua" w:hAnsi="Book Antiqua" w:cs="宋体"/>
          <w:lang w:val="en-US"/>
        </w:rPr>
        <w:t>: 4873-4874 [PMID: 16937471]</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52 </w:t>
      </w:r>
      <w:r w:rsidRPr="00AD7868">
        <w:rPr>
          <w:rFonts w:ascii="Book Antiqua" w:hAnsi="Book Antiqua" w:cs="宋体"/>
          <w:b/>
          <w:bCs/>
          <w:lang w:val="en-US"/>
        </w:rPr>
        <w:t>Riecken B</w:t>
      </w:r>
      <w:r w:rsidRPr="00AD7868">
        <w:rPr>
          <w:rFonts w:ascii="Book Antiqua" w:hAnsi="Book Antiqua" w:cs="宋体"/>
          <w:lang w:val="en-US"/>
        </w:rPr>
        <w:t>, Pfeiffer R, Ma JL, Jin ML, Li JY, Liu WD, Zhang L, Chang YS, Gail MH, You WC. No impact of repeated endoscopic screens on gastric cancer mortality in a prospectively followed Chinese population at high risk. </w:t>
      </w:r>
      <w:r w:rsidRPr="00AD7868">
        <w:rPr>
          <w:rFonts w:ascii="Book Antiqua" w:hAnsi="Book Antiqua" w:cs="宋体"/>
          <w:i/>
          <w:iCs/>
          <w:lang w:val="en-US"/>
        </w:rPr>
        <w:t>Prev Med</w:t>
      </w:r>
      <w:r w:rsidRPr="00AD7868">
        <w:rPr>
          <w:rFonts w:ascii="Book Antiqua" w:hAnsi="Book Antiqua" w:cs="宋体"/>
          <w:lang w:val="en-US"/>
        </w:rPr>
        <w:t> 2002; </w:t>
      </w:r>
      <w:r w:rsidRPr="00AD7868">
        <w:rPr>
          <w:rFonts w:ascii="Book Antiqua" w:hAnsi="Book Antiqua" w:cs="宋体"/>
          <w:b/>
          <w:bCs/>
          <w:lang w:val="en-US"/>
        </w:rPr>
        <w:t>34</w:t>
      </w:r>
      <w:r w:rsidRPr="00AD7868">
        <w:rPr>
          <w:rFonts w:ascii="Book Antiqua" w:hAnsi="Book Antiqua" w:cs="宋体"/>
          <w:lang w:val="en-US"/>
        </w:rPr>
        <w:t>: 22-28 [PMID: 11749093 DOI: 10.1006/pmed.2001.0925]</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53 </w:t>
      </w:r>
      <w:r w:rsidRPr="00AD7868">
        <w:rPr>
          <w:rFonts w:ascii="Book Antiqua" w:hAnsi="Book Antiqua" w:cs="宋体"/>
          <w:b/>
          <w:bCs/>
          <w:lang w:val="en-US"/>
        </w:rPr>
        <w:t>Correa P</w:t>
      </w:r>
      <w:r w:rsidRPr="00AD7868">
        <w:rPr>
          <w:rFonts w:ascii="Book Antiqua" w:hAnsi="Book Antiqua" w:cs="宋体"/>
          <w:lang w:val="en-US"/>
        </w:rPr>
        <w:t>, Fontham ET, Bravo JC, Bravo LE, Ruiz B, Zarama G, Realpe JL, Malcom GT, Li D, Johnson WD, Mera R. Chemoprevention of gastric dysplasia: randomized trial of antioxidant supplements and anti-helicobacter pylori therapy. </w:t>
      </w:r>
      <w:r w:rsidRPr="00AD7868">
        <w:rPr>
          <w:rFonts w:ascii="Book Antiqua" w:hAnsi="Book Antiqua" w:cs="宋体"/>
          <w:i/>
          <w:iCs/>
          <w:lang w:val="en-US"/>
        </w:rPr>
        <w:t>J Natl Cancer Inst</w:t>
      </w:r>
      <w:r w:rsidRPr="00AD7868">
        <w:rPr>
          <w:rFonts w:ascii="Book Antiqua" w:hAnsi="Book Antiqua" w:cs="宋体"/>
          <w:lang w:val="en-US"/>
        </w:rPr>
        <w:t> 2000; </w:t>
      </w:r>
      <w:r w:rsidRPr="00AD7868">
        <w:rPr>
          <w:rFonts w:ascii="Book Antiqua" w:hAnsi="Book Antiqua" w:cs="宋体"/>
          <w:b/>
          <w:bCs/>
          <w:lang w:val="en-US"/>
        </w:rPr>
        <w:t>92</w:t>
      </w:r>
      <w:r w:rsidRPr="00AD7868">
        <w:rPr>
          <w:rFonts w:ascii="Book Antiqua" w:hAnsi="Book Antiqua" w:cs="宋体"/>
          <w:lang w:val="en-US"/>
        </w:rPr>
        <w:t>: 1881-1888 [PMID: 11106679 DOI: 10.1093/jnci/92.23.1881]</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54 </w:t>
      </w:r>
      <w:r w:rsidRPr="00AD7868">
        <w:rPr>
          <w:rFonts w:ascii="Book Antiqua" w:hAnsi="Book Antiqua" w:cs="宋体"/>
          <w:b/>
          <w:bCs/>
          <w:lang w:val="en-US"/>
        </w:rPr>
        <w:t>Fuccio L</w:t>
      </w:r>
      <w:r w:rsidRPr="00AD7868">
        <w:rPr>
          <w:rFonts w:ascii="Book Antiqua" w:hAnsi="Book Antiqua" w:cs="宋体"/>
          <w:lang w:val="en-US"/>
        </w:rPr>
        <w:t xml:space="preserve">, Zagari RM, Eusebi LH, Laterza L, Cennamo V, Ceroni L, Grilli D, Bazzoli F. Meta-analysis: can Helicobacter pylori eradication treatment reduce the risk for gastric </w:t>
      </w:r>
      <w:r w:rsidRPr="00AD7868">
        <w:rPr>
          <w:rFonts w:ascii="Book Antiqua" w:hAnsi="Book Antiqua" w:cs="宋体"/>
          <w:lang w:val="en-US"/>
        </w:rPr>
        <w:lastRenderedPageBreak/>
        <w:t>cancer? </w:t>
      </w:r>
      <w:r w:rsidRPr="00AD7868">
        <w:rPr>
          <w:rFonts w:ascii="Book Antiqua" w:hAnsi="Book Antiqua" w:cs="宋体"/>
          <w:i/>
          <w:iCs/>
          <w:lang w:val="en-US"/>
        </w:rPr>
        <w:t>Ann Intern Med</w:t>
      </w:r>
      <w:r w:rsidRPr="00AD7868">
        <w:rPr>
          <w:rFonts w:ascii="Book Antiqua" w:hAnsi="Book Antiqua" w:cs="宋体"/>
          <w:lang w:val="en-US"/>
        </w:rPr>
        <w:t> 2009; </w:t>
      </w:r>
      <w:r w:rsidRPr="00AD7868">
        <w:rPr>
          <w:rFonts w:ascii="Book Antiqua" w:hAnsi="Book Antiqua" w:cs="宋体"/>
          <w:b/>
          <w:bCs/>
          <w:lang w:val="en-US"/>
        </w:rPr>
        <w:t>151</w:t>
      </w:r>
      <w:r w:rsidRPr="00AD7868">
        <w:rPr>
          <w:rFonts w:ascii="Book Antiqua" w:hAnsi="Book Antiqua" w:cs="宋体"/>
          <w:lang w:val="en-US"/>
        </w:rPr>
        <w:t>: 121-128 [PMID: 19620164 DOI: 10.7326/0003-4819-151-7-200910060-00015]</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55 </w:t>
      </w:r>
      <w:r w:rsidRPr="00AD7868">
        <w:rPr>
          <w:rFonts w:ascii="Book Antiqua" w:hAnsi="Book Antiqua" w:cs="宋体"/>
          <w:b/>
          <w:bCs/>
          <w:lang w:val="en-US"/>
        </w:rPr>
        <w:t>Wong BC</w:t>
      </w:r>
      <w:r w:rsidRPr="00AD7868">
        <w:rPr>
          <w:rFonts w:ascii="Book Antiqua" w:hAnsi="Book Antiqua" w:cs="宋体"/>
          <w:lang w:val="en-US"/>
        </w:rPr>
        <w:t>, Lam SK, Wong WM, Chen JS, Zheng TT, Feng RE, Lai KC, Hu WH, Yuen ST, Leung SY, Fong DY, Ho J, Ching CK, Chen JS. Helicobacter pylori eradication to prevent gastric cancer in a high-risk region of China: a randomized controlled trial. </w:t>
      </w:r>
      <w:r w:rsidRPr="00AD7868">
        <w:rPr>
          <w:rFonts w:ascii="Book Antiqua" w:hAnsi="Book Antiqua" w:cs="宋体"/>
          <w:i/>
          <w:iCs/>
          <w:lang w:val="en-US"/>
        </w:rPr>
        <w:t>JAMA</w:t>
      </w:r>
      <w:r w:rsidRPr="00AD7868">
        <w:rPr>
          <w:rFonts w:ascii="Book Antiqua" w:hAnsi="Book Antiqua" w:cs="宋体"/>
          <w:lang w:val="en-US"/>
        </w:rPr>
        <w:t> 2004; </w:t>
      </w:r>
      <w:r w:rsidRPr="00AD7868">
        <w:rPr>
          <w:rFonts w:ascii="Book Antiqua" w:hAnsi="Book Antiqua" w:cs="宋体"/>
          <w:b/>
          <w:bCs/>
          <w:lang w:val="en-US"/>
        </w:rPr>
        <w:t>291</w:t>
      </w:r>
      <w:r w:rsidRPr="00AD7868">
        <w:rPr>
          <w:rFonts w:ascii="Book Antiqua" w:hAnsi="Book Antiqua" w:cs="宋体"/>
          <w:lang w:val="en-US"/>
        </w:rPr>
        <w:t>: 187-194 [PMID: 14722144 DOI: 10.1001/jama.291.2.187]</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 xml:space="preserve">56 </w:t>
      </w:r>
      <w:r w:rsidRPr="00AD7868">
        <w:rPr>
          <w:rFonts w:ascii="Book Antiqua" w:hAnsi="Book Antiqua" w:cs="宋体"/>
          <w:b/>
          <w:lang w:val="en-US"/>
        </w:rPr>
        <w:t>Yanaoka K,</w:t>
      </w:r>
      <w:r w:rsidRPr="00AD7868">
        <w:rPr>
          <w:rFonts w:ascii="Book Antiqua" w:hAnsi="Book Antiqua" w:cs="宋体"/>
          <w:lang w:val="en-US"/>
        </w:rPr>
        <w:t xml:space="preserve"> Oka M, Ohata H, Yoshimura N, Deguchi H, Mukoubayashi C, Enomoto S, Inoue I, Iguchi M, Maekita T, Ueda K, Utsunomiya H, Tamai H, Fujishiro M, Iwane M, Takeshita T, Mohara O, Ichinose M. Eradication of Helicobacter pylori prevents cancer development in subjects with mild gastric atrophy identified by serum pepsinogen levels. </w:t>
      </w:r>
      <w:r w:rsidRPr="00AD7868">
        <w:rPr>
          <w:rFonts w:ascii="Book Antiqua" w:hAnsi="Book Antiqua" w:cs="宋体"/>
          <w:i/>
          <w:lang w:val="en-US"/>
        </w:rPr>
        <w:t xml:space="preserve">Int J Cancer </w:t>
      </w:r>
      <w:r w:rsidRPr="00AD7868">
        <w:rPr>
          <w:rFonts w:ascii="Book Antiqua" w:hAnsi="Book Antiqua" w:cs="宋体"/>
          <w:lang w:val="en-US"/>
        </w:rPr>
        <w:t xml:space="preserve">2009; </w:t>
      </w:r>
      <w:r w:rsidRPr="00AD7868">
        <w:rPr>
          <w:rFonts w:ascii="Book Antiqua" w:hAnsi="Book Antiqua" w:cs="宋体"/>
          <w:b/>
          <w:lang w:val="en-US"/>
        </w:rPr>
        <w:t>125</w:t>
      </w:r>
      <w:r w:rsidRPr="00AD7868">
        <w:rPr>
          <w:rFonts w:ascii="Book Antiqua" w:hAnsi="Book Antiqua" w:cs="宋体"/>
          <w:lang w:val="en-US"/>
        </w:rPr>
        <w:t>: 2697-2703 [PMID: 19610064]</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57 </w:t>
      </w:r>
      <w:r w:rsidRPr="00AD7868">
        <w:rPr>
          <w:rFonts w:ascii="Book Antiqua" w:hAnsi="Book Antiqua" w:cs="宋体"/>
          <w:b/>
          <w:bCs/>
          <w:lang w:val="en-US"/>
        </w:rPr>
        <w:t>Wu CY</w:t>
      </w:r>
      <w:r w:rsidRPr="00AD7868">
        <w:rPr>
          <w:rFonts w:ascii="Book Antiqua" w:hAnsi="Book Antiqua" w:cs="宋体"/>
          <w:lang w:val="en-US"/>
        </w:rPr>
        <w:t>, Kuo KN, Wu MS, Chen YJ, Wang CB, Lin JT. Early Helicobacter pylori eradication decreases risk of gastric cancer in patients with peptic ulcer disease. </w:t>
      </w:r>
      <w:r w:rsidRPr="00AD7868">
        <w:rPr>
          <w:rFonts w:ascii="Book Antiqua" w:hAnsi="Book Antiqua" w:cs="宋体"/>
          <w:i/>
          <w:iCs/>
          <w:lang w:val="en-US"/>
        </w:rPr>
        <w:t>Gastroenterology</w:t>
      </w:r>
      <w:r w:rsidRPr="00AD7868">
        <w:rPr>
          <w:rFonts w:ascii="Book Antiqua" w:hAnsi="Book Antiqua" w:cs="宋体"/>
          <w:lang w:val="en-US"/>
        </w:rPr>
        <w:t> 2009; </w:t>
      </w:r>
      <w:r w:rsidRPr="00AD7868">
        <w:rPr>
          <w:rFonts w:ascii="Book Antiqua" w:hAnsi="Book Antiqua" w:cs="宋体"/>
          <w:b/>
          <w:bCs/>
          <w:lang w:val="en-US"/>
        </w:rPr>
        <w:t>137</w:t>
      </w:r>
      <w:r w:rsidRPr="00AD7868">
        <w:rPr>
          <w:rFonts w:ascii="Book Antiqua" w:hAnsi="Book Antiqua" w:cs="宋体"/>
          <w:lang w:val="en-US"/>
        </w:rPr>
        <w:t>: 1641-8.e1-2 [PMID: 19664631 DOI: 10.1053/j.gastro.2009.07.060]</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58 </w:t>
      </w:r>
      <w:r w:rsidRPr="00AD7868">
        <w:rPr>
          <w:rFonts w:ascii="Book Antiqua" w:hAnsi="Book Antiqua" w:cs="宋体"/>
          <w:b/>
          <w:bCs/>
          <w:lang w:val="en-US"/>
        </w:rPr>
        <w:t>Nardone G</w:t>
      </w:r>
      <w:r w:rsidRPr="00AD7868">
        <w:rPr>
          <w:rFonts w:ascii="Book Antiqua" w:hAnsi="Book Antiqua" w:cs="宋体"/>
          <w:lang w:val="en-US"/>
        </w:rPr>
        <w:t>, Rocco A, Vaira D, Staibano S, Budillon A, Tatangelo F, Sciulli MG, Perna F, Salvatore G, Di Benedetto M, De Rosa G, Patrignani P. Expression of COX-2, mPGE-synthase1, MDR-1 (P-gp), and Bcl-xL: a molecular pathway of H pylori-related gastric carcinogenesis. </w:t>
      </w:r>
      <w:r w:rsidRPr="00AD7868">
        <w:rPr>
          <w:rFonts w:ascii="Book Antiqua" w:hAnsi="Book Antiqua" w:cs="宋体"/>
          <w:i/>
          <w:iCs/>
          <w:lang w:val="en-US"/>
        </w:rPr>
        <w:t>J Pathol</w:t>
      </w:r>
      <w:r w:rsidRPr="00AD7868">
        <w:rPr>
          <w:rFonts w:ascii="Book Antiqua" w:hAnsi="Book Antiqua" w:cs="宋体"/>
          <w:lang w:val="en-US"/>
        </w:rPr>
        <w:t> 2004; </w:t>
      </w:r>
      <w:r w:rsidRPr="00AD7868">
        <w:rPr>
          <w:rFonts w:ascii="Book Antiqua" w:hAnsi="Book Antiqua" w:cs="宋体"/>
          <w:b/>
          <w:bCs/>
          <w:lang w:val="en-US"/>
        </w:rPr>
        <w:t>202</w:t>
      </w:r>
      <w:r w:rsidRPr="00AD7868">
        <w:rPr>
          <w:rFonts w:ascii="Book Antiqua" w:hAnsi="Book Antiqua" w:cs="宋体"/>
          <w:lang w:val="en-US"/>
        </w:rPr>
        <w:t>: 305-312 [PMID: 14991895 DOI: 10.1002/path.1512]</w:t>
      </w:r>
    </w:p>
    <w:p w:rsidR="00F10C6E" w:rsidRPr="003D482F" w:rsidRDefault="00F10C6E" w:rsidP="00BB1CAA">
      <w:pPr>
        <w:spacing w:line="360" w:lineRule="auto"/>
        <w:jc w:val="both"/>
        <w:rPr>
          <w:rFonts w:ascii="Book Antiqua" w:hAnsi="Book Antiqua" w:cs="宋体"/>
        </w:rPr>
      </w:pPr>
      <w:r w:rsidRPr="00AD7868">
        <w:rPr>
          <w:rFonts w:ascii="Book Antiqua" w:hAnsi="Book Antiqua" w:cs="宋体"/>
          <w:lang w:val="en-US"/>
        </w:rPr>
        <w:t>59 </w:t>
      </w:r>
      <w:r w:rsidRPr="00AD7868">
        <w:rPr>
          <w:rFonts w:ascii="Book Antiqua" w:hAnsi="Book Antiqua" w:cs="宋体"/>
          <w:b/>
          <w:bCs/>
          <w:lang w:val="en-US"/>
        </w:rPr>
        <w:t>Thun MJ</w:t>
      </w:r>
      <w:r w:rsidRPr="00AD7868">
        <w:rPr>
          <w:rFonts w:ascii="Book Antiqua" w:hAnsi="Book Antiqua" w:cs="宋体"/>
          <w:lang w:val="en-US"/>
        </w:rPr>
        <w:t>, Namboodiri MM, Calle EE, Flanders WD, Heath CW. Aspirin use and risk of fatal cancer. </w:t>
      </w:r>
      <w:r w:rsidRPr="003D482F">
        <w:rPr>
          <w:rFonts w:ascii="Book Antiqua" w:hAnsi="Book Antiqua" w:cs="宋体"/>
          <w:i/>
          <w:iCs/>
        </w:rPr>
        <w:t>Cancer Res</w:t>
      </w:r>
      <w:r w:rsidRPr="003D482F">
        <w:rPr>
          <w:rFonts w:ascii="Book Antiqua" w:hAnsi="Book Antiqua" w:cs="宋体"/>
        </w:rPr>
        <w:t> 1993; </w:t>
      </w:r>
      <w:r w:rsidRPr="003D482F">
        <w:rPr>
          <w:rFonts w:ascii="Book Antiqua" w:hAnsi="Book Antiqua" w:cs="宋体"/>
          <w:b/>
          <w:bCs/>
        </w:rPr>
        <w:t>53</w:t>
      </w:r>
      <w:r w:rsidRPr="003D482F">
        <w:rPr>
          <w:rFonts w:ascii="Book Antiqua" w:hAnsi="Book Antiqua" w:cs="宋体"/>
        </w:rPr>
        <w:t>: 1322-1327 [PMID: 8443812]</w:t>
      </w:r>
    </w:p>
    <w:p w:rsidR="00F10C6E" w:rsidRPr="00AD7868" w:rsidRDefault="00F10C6E" w:rsidP="00BB1CAA">
      <w:pPr>
        <w:spacing w:line="360" w:lineRule="auto"/>
        <w:jc w:val="both"/>
        <w:rPr>
          <w:rFonts w:ascii="Book Antiqua" w:hAnsi="Book Antiqua" w:cs="宋体"/>
          <w:lang w:val="en-US"/>
        </w:rPr>
      </w:pPr>
      <w:r w:rsidRPr="003D482F">
        <w:rPr>
          <w:rFonts w:ascii="Book Antiqua" w:hAnsi="Book Antiqua" w:cs="宋体"/>
        </w:rPr>
        <w:t>60 </w:t>
      </w:r>
      <w:r w:rsidRPr="003D482F">
        <w:rPr>
          <w:rFonts w:ascii="Book Antiqua" w:hAnsi="Book Antiqua" w:cs="宋体"/>
          <w:b/>
          <w:bCs/>
        </w:rPr>
        <w:t>Bosetti C</w:t>
      </w:r>
      <w:r w:rsidRPr="003D482F">
        <w:rPr>
          <w:rFonts w:ascii="Book Antiqua" w:hAnsi="Book Antiqua" w:cs="宋体"/>
        </w:rPr>
        <w:t>, Rosato V, Gallus S, Cuzick J, La Vecchia C. Aspirin and cancer risk: a quantitative review to 2011. </w:t>
      </w:r>
      <w:r w:rsidRPr="00AD7868">
        <w:rPr>
          <w:rFonts w:ascii="Book Antiqua" w:hAnsi="Book Antiqua" w:cs="宋体"/>
          <w:i/>
          <w:iCs/>
          <w:lang w:val="en-US"/>
        </w:rPr>
        <w:t>Ann Oncol</w:t>
      </w:r>
      <w:r w:rsidRPr="00AD7868">
        <w:rPr>
          <w:rFonts w:ascii="Book Antiqua" w:hAnsi="Book Antiqua" w:cs="宋体"/>
          <w:lang w:val="en-US"/>
        </w:rPr>
        <w:t> 2012; </w:t>
      </w:r>
      <w:r w:rsidRPr="00AD7868">
        <w:rPr>
          <w:rFonts w:ascii="Book Antiqua" w:hAnsi="Book Antiqua" w:cs="宋体"/>
          <w:b/>
          <w:bCs/>
          <w:lang w:val="en-US"/>
        </w:rPr>
        <w:t>23</w:t>
      </w:r>
      <w:r w:rsidRPr="00AD7868">
        <w:rPr>
          <w:rFonts w:ascii="Book Antiqua" w:hAnsi="Book Antiqua" w:cs="宋体"/>
          <w:lang w:val="en-US"/>
        </w:rPr>
        <w:t>: 1403-1415 [PMID: 22517822 DOI: 10.1093/annonc/mds113]</w:t>
      </w:r>
    </w:p>
    <w:p w:rsidR="00F10C6E" w:rsidRPr="00AD7868" w:rsidRDefault="00F10C6E" w:rsidP="00BB1CAA">
      <w:pPr>
        <w:spacing w:line="360" w:lineRule="auto"/>
        <w:rPr>
          <w:rFonts w:ascii="Book Antiqua" w:hAnsi="Book Antiqua" w:cs="宋体"/>
          <w:lang w:val="en-US"/>
        </w:rPr>
      </w:pPr>
      <w:r w:rsidRPr="00AD7868">
        <w:rPr>
          <w:rFonts w:ascii="Book Antiqua" w:hAnsi="Book Antiqua" w:cs="宋体"/>
          <w:lang w:val="en-US"/>
        </w:rPr>
        <w:t xml:space="preserve">61 </w:t>
      </w:r>
      <w:r w:rsidRPr="00AD7868">
        <w:rPr>
          <w:rFonts w:ascii="Book Antiqua" w:hAnsi="Book Antiqua" w:cs="宋体"/>
          <w:b/>
          <w:lang w:val="en-US"/>
        </w:rPr>
        <w:t>Harris RE</w:t>
      </w:r>
      <w:r w:rsidRPr="00AD7868">
        <w:rPr>
          <w:rFonts w:ascii="Book Antiqua" w:hAnsi="Book Antiqua" w:cs="宋体"/>
          <w:lang w:val="en-US"/>
        </w:rPr>
        <w:t>, Beebe J and Alshafie GA: Reduction in cancer risk by selective and nonselective cyclooxygenase-2 (COX-2) inhibitors.</w:t>
      </w:r>
      <w:r w:rsidRPr="00AD7868">
        <w:rPr>
          <w:rFonts w:ascii="Book Antiqua" w:hAnsi="Book Antiqua" w:cs="宋体"/>
          <w:i/>
          <w:lang w:val="en-US"/>
        </w:rPr>
        <w:t xml:space="preserve"> J Exp Pharmacol </w:t>
      </w:r>
      <w:r w:rsidRPr="00AD7868">
        <w:rPr>
          <w:rFonts w:ascii="Book Antiqua" w:hAnsi="Book Antiqua" w:cs="宋体"/>
          <w:lang w:val="en-US"/>
        </w:rPr>
        <w:t xml:space="preserve">2012; </w:t>
      </w:r>
      <w:r w:rsidRPr="00AD7868">
        <w:rPr>
          <w:rFonts w:ascii="Book Antiqua" w:hAnsi="Book Antiqua" w:cs="宋体"/>
          <w:b/>
          <w:lang w:val="en-US"/>
        </w:rPr>
        <w:t>6</w:t>
      </w:r>
      <w:r w:rsidRPr="00AD7868">
        <w:rPr>
          <w:rFonts w:ascii="Book Antiqua" w:hAnsi="Book Antiqua" w:cs="宋体"/>
          <w:lang w:val="en-US"/>
        </w:rPr>
        <w:t xml:space="preserve">: 491-496 [DOI: 10.2147/JEP.S23826] </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62 </w:t>
      </w:r>
      <w:r w:rsidRPr="00AD7868">
        <w:rPr>
          <w:rFonts w:ascii="Book Antiqua" w:hAnsi="Book Antiqua" w:cs="宋体"/>
          <w:b/>
          <w:bCs/>
          <w:lang w:val="en-US"/>
        </w:rPr>
        <w:t>Lin JT</w:t>
      </w:r>
      <w:r w:rsidRPr="00AD7868">
        <w:rPr>
          <w:rFonts w:ascii="Book Antiqua" w:hAnsi="Book Antiqua" w:cs="宋体"/>
          <w:lang w:val="en-US"/>
        </w:rPr>
        <w:t>. Screening of gastric cancer: who, when, and how. </w:t>
      </w:r>
      <w:r w:rsidRPr="00AD7868">
        <w:rPr>
          <w:rFonts w:ascii="Book Antiqua" w:hAnsi="Book Antiqua" w:cs="宋体"/>
          <w:i/>
          <w:iCs/>
          <w:lang w:val="en-US"/>
        </w:rPr>
        <w:t>Clin Gastroenterol Hepatol</w:t>
      </w:r>
      <w:r w:rsidRPr="00AD7868">
        <w:rPr>
          <w:rFonts w:ascii="Book Antiqua" w:hAnsi="Book Antiqua" w:cs="宋体"/>
          <w:lang w:val="en-US"/>
        </w:rPr>
        <w:t> 2014; </w:t>
      </w:r>
      <w:r w:rsidRPr="00AD7868">
        <w:rPr>
          <w:rFonts w:ascii="Book Antiqua" w:hAnsi="Book Antiqua" w:cs="宋体"/>
          <w:b/>
          <w:bCs/>
          <w:lang w:val="en-US"/>
        </w:rPr>
        <w:t>12</w:t>
      </w:r>
      <w:r w:rsidRPr="00AD7868">
        <w:rPr>
          <w:rFonts w:ascii="Book Antiqua" w:hAnsi="Book Antiqua" w:cs="宋体"/>
          <w:lang w:val="en-US"/>
        </w:rPr>
        <w:t>: 135-138 [PMID: 24107396 DOI: 10.1016/j.cgh.2013.09.064]</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63 </w:t>
      </w:r>
      <w:r w:rsidRPr="00AD7868">
        <w:rPr>
          <w:rFonts w:ascii="Book Antiqua" w:hAnsi="Book Antiqua" w:cs="宋体"/>
          <w:b/>
          <w:bCs/>
          <w:lang w:val="en-US"/>
        </w:rPr>
        <w:t>Nardone G</w:t>
      </w:r>
      <w:r w:rsidRPr="00AD7868">
        <w:rPr>
          <w:rFonts w:ascii="Book Antiqua" w:hAnsi="Book Antiqua" w:cs="宋体"/>
          <w:lang w:val="en-US"/>
        </w:rPr>
        <w:t>, Rocco A, Malfertheiner P. Review article: helicobacter pylori and molecular events in precancerous gastric lesions. </w:t>
      </w:r>
      <w:r w:rsidRPr="00AD7868">
        <w:rPr>
          <w:rFonts w:ascii="Book Antiqua" w:hAnsi="Book Antiqua" w:cs="宋体"/>
          <w:i/>
          <w:iCs/>
          <w:lang w:val="en-US"/>
        </w:rPr>
        <w:t>Aliment Pharmacol Ther</w:t>
      </w:r>
      <w:r w:rsidRPr="00AD7868">
        <w:rPr>
          <w:rFonts w:ascii="Book Antiqua" w:hAnsi="Book Antiqua" w:cs="宋体"/>
          <w:lang w:val="en-US"/>
        </w:rPr>
        <w:t> 2004; </w:t>
      </w:r>
      <w:r w:rsidRPr="00AD7868">
        <w:rPr>
          <w:rFonts w:ascii="Book Antiqua" w:hAnsi="Book Antiqua" w:cs="宋体"/>
          <w:b/>
          <w:bCs/>
          <w:lang w:val="en-US"/>
        </w:rPr>
        <w:t>20</w:t>
      </w:r>
      <w:r w:rsidRPr="00AD7868">
        <w:rPr>
          <w:rFonts w:ascii="Book Antiqua" w:hAnsi="Book Antiqua" w:cs="宋体"/>
          <w:lang w:val="en-US"/>
        </w:rPr>
        <w:t>: 261-270 [PMID: 15274662 DOI: 10.1111/j.1365-2036.2004.02075.x]</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lastRenderedPageBreak/>
        <w:t>64 </w:t>
      </w:r>
      <w:r w:rsidRPr="00AD7868">
        <w:rPr>
          <w:rFonts w:ascii="Book Antiqua" w:hAnsi="Book Antiqua" w:cs="宋体"/>
          <w:b/>
          <w:bCs/>
          <w:lang w:val="en-US"/>
        </w:rPr>
        <w:t>Nardone G</w:t>
      </w:r>
      <w:r w:rsidRPr="00AD7868">
        <w:rPr>
          <w:rFonts w:ascii="Book Antiqua" w:hAnsi="Book Antiqua" w:cs="宋体"/>
          <w:lang w:val="en-US"/>
        </w:rPr>
        <w:t>, Rocco A, Compare D, De Colibus P, Autiero G, Pica L, de Nucci G, Gasbarrini G. Is screening for and surveillance of atrophic gastritis advisable? </w:t>
      </w:r>
      <w:r w:rsidRPr="00AD7868">
        <w:rPr>
          <w:rFonts w:ascii="Book Antiqua" w:hAnsi="Book Antiqua" w:cs="宋体"/>
          <w:i/>
          <w:iCs/>
          <w:lang w:val="en-US"/>
        </w:rPr>
        <w:t>Dig Dis</w:t>
      </w:r>
      <w:r w:rsidRPr="00AD7868">
        <w:rPr>
          <w:rFonts w:ascii="Book Antiqua" w:hAnsi="Book Antiqua" w:cs="宋体"/>
          <w:lang w:val="en-US"/>
        </w:rPr>
        <w:t> 2007; </w:t>
      </w:r>
      <w:r w:rsidRPr="00AD7868">
        <w:rPr>
          <w:rFonts w:ascii="Book Antiqua" w:hAnsi="Book Antiqua" w:cs="宋体"/>
          <w:b/>
          <w:bCs/>
          <w:lang w:val="en-US"/>
        </w:rPr>
        <w:t>25</w:t>
      </w:r>
      <w:r w:rsidRPr="00AD7868">
        <w:rPr>
          <w:rFonts w:ascii="Book Antiqua" w:hAnsi="Book Antiqua" w:cs="宋体"/>
          <w:lang w:val="en-US"/>
        </w:rPr>
        <w:t>: 214-217 [PMID: 17827942 DOI: 10.1159/000103887]</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65 </w:t>
      </w:r>
      <w:r w:rsidRPr="00AD7868">
        <w:rPr>
          <w:rFonts w:ascii="Book Antiqua" w:hAnsi="Book Antiqua" w:cs="宋体"/>
          <w:b/>
          <w:bCs/>
          <w:lang w:val="en-US"/>
        </w:rPr>
        <w:t>den Hoed CM</w:t>
      </w:r>
      <w:r w:rsidRPr="00AD7868">
        <w:rPr>
          <w:rFonts w:ascii="Book Antiqua" w:hAnsi="Book Antiqua" w:cs="宋体"/>
          <w:lang w:val="en-US"/>
        </w:rPr>
        <w:t>, Holster IL, Capelle LG, de Vries AC, den Hartog B, Ter Borg F, Biermann K, Kuipers EJ. Follow-up of premalignant lesions in patients at risk for progression to gastric cancer. </w:t>
      </w:r>
      <w:r w:rsidRPr="00AD7868">
        <w:rPr>
          <w:rFonts w:ascii="Book Antiqua" w:hAnsi="Book Antiqua" w:cs="宋体"/>
          <w:i/>
          <w:iCs/>
          <w:lang w:val="en-US"/>
        </w:rPr>
        <w:t>Endoscopy</w:t>
      </w:r>
      <w:r w:rsidRPr="00AD7868">
        <w:rPr>
          <w:rFonts w:ascii="Book Antiqua" w:hAnsi="Book Antiqua" w:cs="宋体"/>
          <w:lang w:val="en-US"/>
        </w:rPr>
        <w:t> 2013; </w:t>
      </w:r>
      <w:r w:rsidRPr="00AD7868">
        <w:rPr>
          <w:rFonts w:ascii="Book Antiqua" w:hAnsi="Book Antiqua" w:cs="宋体"/>
          <w:b/>
          <w:bCs/>
          <w:lang w:val="en-US"/>
        </w:rPr>
        <w:t>45</w:t>
      </w:r>
      <w:r w:rsidRPr="00AD7868">
        <w:rPr>
          <w:rFonts w:ascii="Book Antiqua" w:hAnsi="Book Antiqua" w:cs="宋体"/>
          <w:lang w:val="en-US"/>
        </w:rPr>
        <w:t>: 249-256 [PMID: 23533073 DOI: 10.1055/s-0032-1326379]</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66 </w:t>
      </w:r>
      <w:r w:rsidRPr="00AD7868">
        <w:rPr>
          <w:rFonts w:ascii="Book Antiqua" w:hAnsi="Book Antiqua" w:cs="宋体"/>
          <w:b/>
          <w:bCs/>
          <w:lang w:val="en-US"/>
        </w:rPr>
        <w:t>Tava F</w:t>
      </w:r>
      <w:r w:rsidRPr="00AD7868">
        <w:rPr>
          <w:rFonts w:ascii="Book Antiqua" w:hAnsi="Book Antiqua" w:cs="宋体"/>
          <w:lang w:val="en-US"/>
        </w:rPr>
        <w:t>, Luinetti O, Ghigna MR, Alvisi C, Perego M, Trespi E, Klersy C, Fratti C, Fiocca R, Solcia E. Type or extension of intestinal metaplasia and immature/atypical "indefinite-for-dysplasia" lesions as predictors of gastric neoplasia. </w:t>
      </w:r>
      <w:r w:rsidRPr="00AD7868">
        <w:rPr>
          <w:rFonts w:ascii="Book Antiqua" w:hAnsi="Book Antiqua" w:cs="宋体"/>
          <w:i/>
          <w:iCs/>
          <w:lang w:val="en-US"/>
        </w:rPr>
        <w:t>Hum Pathol</w:t>
      </w:r>
      <w:r w:rsidRPr="00AD7868">
        <w:rPr>
          <w:rFonts w:ascii="Book Antiqua" w:hAnsi="Book Antiqua" w:cs="宋体"/>
          <w:lang w:val="en-US"/>
        </w:rPr>
        <w:t> 2006; </w:t>
      </w:r>
      <w:r w:rsidRPr="00AD7868">
        <w:rPr>
          <w:rFonts w:ascii="Book Antiqua" w:hAnsi="Book Antiqua" w:cs="宋体"/>
          <w:b/>
          <w:bCs/>
          <w:lang w:val="en-US"/>
        </w:rPr>
        <w:t>37</w:t>
      </w:r>
      <w:r w:rsidRPr="00AD7868">
        <w:rPr>
          <w:rFonts w:ascii="Book Antiqua" w:hAnsi="Book Antiqua" w:cs="宋体"/>
          <w:lang w:val="en-US"/>
        </w:rPr>
        <w:t>: 1489-1497 [PMID: 16949645 DOI: 10.1016/j.humpath.2006.05.012]</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67 </w:t>
      </w:r>
      <w:r w:rsidRPr="00AD7868">
        <w:rPr>
          <w:rFonts w:ascii="Book Antiqua" w:hAnsi="Book Antiqua" w:cs="宋体"/>
          <w:b/>
          <w:bCs/>
          <w:lang w:val="en-US"/>
        </w:rPr>
        <w:t>de Vries AC</w:t>
      </w:r>
      <w:r w:rsidRPr="00AD7868">
        <w:rPr>
          <w:rFonts w:ascii="Book Antiqua" w:hAnsi="Book Antiqua" w:cs="宋体"/>
          <w:lang w:val="en-US"/>
        </w:rPr>
        <w:t>, van Grieken NC, Looman CW, Casparie MK, de Vries E, Meijer GA, Kuipers EJ. Gastric cancer risk in patients with premalignant gastric lesions: a nationwide cohort study in the Netherlands. </w:t>
      </w:r>
      <w:r w:rsidRPr="00AD7868">
        <w:rPr>
          <w:rFonts w:ascii="Book Antiqua" w:hAnsi="Book Antiqua" w:cs="宋体"/>
          <w:i/>
          <w:iCs/>
          <w:lang w:val="en-US"/>
        </w:rPr>
        <w:t>Gastroenterology</w:t>
      </w:r>
      <w:r w:rsidRPr="00AD7868">
        <w:rPr>
          <w:rFonts w:ascii="Book Antiqua" w:hAnsi="Book Antiqua" w:cs="宋体"/>
          <w:lang w:val="en-US"/>
        </w:rPr>
        <w:t> 2008; </w:t>
      </w:r>
      <w:r w:rsidRPr="00AD7868">
        <w:rPr>
          <w:rFonts w:ascii="Book Antiqua" w:hAnsi="Book Antiqua" w:cs="宋体"/>
          <w:b/>
          <w:bCs/>
          <w:lang w:val="en-US"/>
        </w:rPr>
        <w:t>134</w:t>
      </w:r>
      <w:r w:rsidRPr="00AD7868">
        <w:rPr>
          <w:rFonts w:ascii="Book Antiqua" w:hAnsi="Book Antiqua" w:cs="宋体"/>
          <w:lang w:val="en-US"/>
        </w:rPr>
        <w:t>: 945-952 [PMID: 18395075 DOI: 10.1053/j.gastro.2008.01.071]</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68 </w:t>
      </w:r>
      <w:r w:rsidRPr="00AD7868">
        <w:rPr>
          <w:rFonts w:ascii="Book Antiqua" w:hAnsi="Book Antiqua" w:cs="宋体"/>
          <w:b/>
          <w:bCs/>
          <w:lang w:val="en-US"/>
        </w:rPr>
        <w:t>Areia M</w:t>
      </w:r>
      <w:r w:rsidRPr="00AD7868">
        <w:rPr>
          <w:rFonts w:ascii="Book Antiqua" w:hAnsi="Book Antiqua" w:cs="宋体"/>
          <w:lang w:val="en-US"/>
        </w:rPr>
        <w:t>, Amaro P, Dinis-Ribeiro M, Cipriano MA, Marinho C, Costa-Pereira A, Lopes C, Moreira-Dias L, Romãozinho JM, Gouveia H, Freitas D, Leitão MC. External validation of a classification for methylene blue magnification chromoendoscopy in premalignant gastric lesions. </w:t>
      </w:r>
      <w:r w:rsidRPr="00AD7868">
        <w:rPr>
          <w:rFonts w:ascii="Book Antiqua" w:hAnsi="Book Antiqua" w:cs="宋体"/>
          <w:i/>
          <w:iCs/>
          <w:lang w:val="en-US"/>
        </w:rPr>
        <w:t>Gastrointest Endosc</w:t>
      </w:r>
      <w:r w:rsidRPr="00AD7868">
        <w:rPr>
          <w:rFonts w:ascii="Book Antiqua" w:hAnsi="Book Antiqua" w:cs="宋体"/>
          <w:lang w:val="en-US"/>
        </w:rPr>
        <w:t> 2008; </w:t>
      </w:r>
      <w:r w:rsidRPr="00AD7868">
        <w:rPr>
          <w:rFonts w:ascii="Book Antiqua" w:hAnsi="Book Antiqua" w:cs="宋体"/>
          <w:b/>
          <w:bCs/>
          <w:lang w:val="en-US"/>
        </w:rPr>
        <w:t>67</w:t>
      </w:r>
      <w:r w:rsidRPr="00AD7868">
        <w:rPr>
          <w:rFonts w:ascii="Book Antiqua" w:hAnsi="Book Antiqua" w:cs="宋体"/>
          <w:lang w:val="en-US"/>
        </w:rPr>
        <w:t>: 1011-1018 [PMID: 18178207 DOI: 10.1016/j.gie.2007.08.044]</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69 </w:t>
      </w:r>
      <w:r w:rsidRPr="00AD7868">
        <w:rPr>
          <w:rFonts w:ascii="Book Antiqua" w:hAnsi="Book Antiqua" w:cs="宋体"/>
          <w:b/>
          <w:bCs/>
          <w:lang w:val="en-US"/>
        </w:rPr>
        <w:t>Mouzyka S</w:t>
      </w:r>
      <w:r w:rsidRPr="00AD7868">
        <w:rPr>
          <w:rFonts w:ascii="Book Antiqua" w:hAnsi="Book Antiqua" w:cs="宋体"/>
          <w:lang w:val="en-US"/>
        </w:rPr>
        <w:t>, Fedoseeva A. Chromoendoscopy with hematoxylin in the classification of gastric lesions. </w:t>
      </w:r>
      <w:r w:rsidRPr="00AD7868">
        <w:rPr>
          <w:rFonts w:ascii="Book Antiqua" w:hAnsi="Book Antiqua" w:cs="宋体"/>
          <w:i/>
          <w:iCs/>
          <w:lang w:val="en-US"/>
        </w:rPr>
        <w:t>Gastric Cancer</w:t>
      </w:r>
      <w:r w:rsidRPr="00AD7868">
        <w:rPr>
          <w:rFonts w:ascii="Book Antiqua" w:hAnsi="Book Antiqua" w:cs="宋体"/>
          <w:lang w:val="en-US"/>
        </w:rPr>
        <w:t> 2008; </w:t>
      </w:r>
      <w:r w:rsidRPr="00AD7868">
        <w:rPr>
          <w:rFonts w:ascii="Book Antiqua" w:hAnsi="Book Antiqua" w:cs="宋体"/>
          <w:b/>
          <w:bCs/>
          <w:lang w:val="en-US"/>
        </w:rPr>
        <w:t>11</w:t>
      </w:r>
      <w:r w:rsidRPr="00AD7868">
        <w:rPr>
          <w:rFonts w:ascii="Book Antiqua" w:hAnsi="Book Antiqua" w:cs="宋体"/>
          <w:lang w:val="en-US"/>
        </w:rPr>
        <w:t>: 15-21; discussion 21-2 [PMID: 18373173 DOI: 10.1007/s10120-007-0445-4]</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70 </w:t>
      </w:r>
      <w:r w:rsidRPr="00AD7868">
        <w:rPr>
          <w:rFonts w:ascii="Book Antiqua" w:hAnsi="Book Antiqua" w:cs="宋体"/>
          <w:b/>
          <w:bCs/>
          <w:lang w:val="en-US"/>
        </w:rPr>
        <w:t>Tanaka K</w:t>
      </w:r>
      <w:r w:rsidRPr="00AD7868">
        <w:rPr>
          <w:rFonts w:ascii="Book Antiqua" w:hAnsi="Book Antiqua" w:cs="宋体"/>
          <w:lang w:val="en-US"/>
        </w:rPr>
        <w:t>, Toyoda H, Kadowaki S, Hamada Y, Kosaka R, Matsuzaki S, Shiraishi T, Imoto I, Takei Y. Surface pattern classification by enhanced-magnification endoscopy for identifying early gastric cancers. </w:t>
      </w:r>
      <w:r w:rsidRPr="00AD7868">
        <w:rPr>
          <w:rFonts w:ascii="Book Antiqua" w:hAnsi="Book Antiqua" w:cs="宋体"/>
          <w:i/>
          <w:iCs/>
          <w:lang w:val="en-US"/>
        </w:rPr>
        <w:t>Gastrointest Endosc</w:t>
      </w:r>
      <w:r w:rsidRPr="00AD7868">
        <w:rPr>
          <w:rFonts w:ascii="Book Antiqua" w:hAnsi="Book Antiqua" w:cs="宋体"/>
          <w:lang w:val="en-US"/>
        </w:rPr>
        <w:t> 2008; </w:t>
      </w:r>
      <w:r w:rsidRPr="00AD7868">
        <w:rPr>
          <w:rFonts w:ascii="Book Antiqua" w:hAnsi="Book Antiqua" w:cs="宋体"/>
          <w:b/>
          <w:bCs/>
          <w:lang w:val="en-US"/>
        </w:rPr>
        <w:t>67</w:t>
      </w:r>
      <w:r w:rsidRPr="00AD7868">
        <w:rPr>
          <w:rFonts w:ascii="Book Antiqua" w:hAnsi="Book Antiqua" w:cs="宋体"/>
          <w:lang w:val="en-US"/>
        </w:rPr>
        <w:t>: 430-437 [PMID: 18294504 DOI: 10.1016/j.gie.2007.10.042]</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71 </w:t>
      </w:r>
      <w:r w:rsidRPr="00AD7868">
        <w:rPr>
          <w:rFonts w:ascii="Book Antiqua" w:hAnsi="Book Antiqua" w:cs="宋体"/>
          <w:b/>
          <w:bCs/>
          <w:lang w:val="en-US"/>
        </w:rPr>
        <w:t>Tahara T</w:t>
      </w:r>
      <w:r w:rsidRPr="00AD7868">
        <w:rPr>
          <w:rFonts w:ascii="Book Antiqua" w:hAnsi="Book Antiqua" w:cs="宋体"/>
          <w:lang w:val="en-US"/>
        </w:rPr>
        <w:t>, Shibata T, Nakamura M, Yoshioka D, Okubo M, Arisawa T, Hirata I. Gastric mucosal pattern by using magnifying narrow-band imaging endoscopy clearly distinguishes histological and serological severity of chronic gastritis. </w:t>
      </w:r>
      <w:r w:rsidRPr="00AD7868">
        <w:rPr>
          <w:rFonts w:ascii="Book Antiqua" w:hAnsi="Book Antiqua" w:cs="宋体"/>
          <w:i/>
          <w:iCs/>
          <w:lang w:val="en-US"/>
        </w:rPr>
        <w:t>Gastrointest Endosc</w:t>
      </w:r>
      <w:r w:rsidRPr="00AD7868">
        <w:rPr>
          <w:rFonts w:ascii="Book Antiqua" w:hAnsi="Book Antiqua" w:cs="宋体"/>
          <w:lang w:val="en-US"/>
        </w:rPr>
        <w:t> 2009; </w:t>
      </w:r>
      <w:r w:rsidRPr="00AD7868">
        <w:rPr>
          <w:rFonts w:ascii="Book Antiqua" w:hAnsi="Book Antiqua" w:cs="宋体"/>
          <w:b/>
          <w:bCs/>
          <w:lang w:val="en-US"/>
        </w:rPr>
        <w:t>70</w:t>
      </w:r>
      <w:r w:rsidRPr="00AD7868">
        <w:rPr>
          <w:rFonts w:ascii="Book Antiqua" w:hAnsi="Book Antiqua" w:cs="宋体"/>
          <w:lang w:val="en-US"/>
        </w:rPr>
        <w:t>: 246-253 [PMID: 19386303 DOI: 10.1016/j.gie.2008.11.046]</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lastRenderedPageBreak/>
        <w:t>72 </w:t>
      </w:r>
      <w:r w:rsidRPr="00AD7868">
        <w:rPr>
          <w:rFonts w:ascii="Book Antiqua" w:hAnsi="Book Antiqua" w:cs="宋体"/>
          <w:b/>
          <w:bCs/>
          <w:lang w:val="en-US"/>
        </w:rPr>
        <w:t>Bansal A</w:t>
      </w:r>
      <w:r w:rsidRPr="00AD7868">
        <w:rPr>
          <w:rFonts w:ascii="Book Antiqua" w:hAnsi="Book Antiqua" w:cs="宋体"/>
          <w:lang w:val="en-US"/>
        </w:rPr>
        <w:t>, Ulusarac O, Mathur S, Sharma P. Correlation between narrow band imaging and nonneoplastic gastric pathology: a pilot feasibility trial. </w:t>
      </w:r>
      <w:r w:rsidRPr="00AD7868">
        <w:rPr>
          <w:rFonts w:ascii="Book Antiqua" w:hAnsi="Book Antiqua" w:cs="宋体"/>
          <w:i/>
          <w:iCs/>
          <w:lang w:val="en-US"/>
        </w:rPr>
        <w:t>Gastrointest Endosc</w:t>
      </w:r>
      <w:r w:rsidRPr="00AD7868">
        <w:rPr>
          <w:rFonts w:ascii="Book Antiqua" w:hAnsi="Book Antiqua" w:cs="宋体"/>
          <w:lang w:val="en-US"/>
        </w:rPr>
        <w:t> 2008; </w:t>
      </w:r>
      <w:r w:rsidRPr="00AD7868">
        <w:rPr>
          <w:rFonts w:ascii="Book Antiqua" w:hAnsi="Book Antiqua" w:cs="宋体"/>
          <w:b/>
          <w:bCs/>
          <w:lang w:val="en-US"/>
        </w:rPr>
        <w:t>67</w:t>
      </w:r>
      <w:r w:rsidRPr="00AD7868">
        <w:rPr>
          <w:rFonts w:ascii="Book Antiqua" w:hAnsi="Book Antiqua" w:cs="宋体"/>
          <w:lang w:val="en-US"/>
        </w:rPr>
        <w:t>: 210-216 [PMID: 18226682 DOI: 10.1016/j.gie.2007.06.009]</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73 </w:t>
      </w:r>
      <w:r w:rsidRPr="00AD7868">
        <w:rPr>
          <w:rFonts w:ascii="Book Antiqua" w:hAnsi="Book Antiqua" w:cs="宋体"/>
          <w:b/>
          <w:bCs/>
          <w:lang w:val="en-US"/>
        </w:rPr>
        <w:t>Kato M</w:t>
      </w:r>
      <w:r w:rsidRPr="00AD7868">
        <w:rPr>
          <w:rFonts w:ascii="Book Antiqua" w:hAnsi="Book Antiqua" w:cs="宋体"/>
          <w:lang w:val="en-US"/>
        </w:rPr>
        <w:t>, Kaise M, Yonezawa J, Toyoizumi H, Yoshimura N, Yoshida Y, Kawamura M, Tajiri H. Magnifying endoscopy with narrow-band imaging achieves superior accuracy in the differential diagnosis of superficial gastric lesions identified with white-light endoscopy: a prospective study. </w:t>
      </w:r>
      <w:r w:rsidRPr="00AD7868">
        <w:rPr>
          <w:rFonts w:ascii="Book Antiqua" w:hAnsi="Book Antiqua" w:cs="宋体"/>
          <w:i/>
          <w:iCs/>
          <w:lang w:val="en-US"/>
        </w:rPr>
        <w:t>Gastrointest Endosc</w:t>
      </w:r>
      <w:r w:rsidRPr="00AD7868">
        <w:rPr>
          <w:rFonts w:ascii="Book Antiqua" w:hAnsi="Book Antiqua" w:cs="宋体"/>
          <w:lang w:val="en-US"/>
        </w:rPr>
        <w:t> 2010; </w:t>
      </w:r>
      <w:r w:rsidRPr="00AD7868">
        <w:rPr>
          <w:rFonts w:ascii="Book Antiqua" w:hAnsi="Book Antiqua" w:cs="宋体"/>
          <w:b/>
          <w:bCs/>
          <w:lang w:val="en-US"/>
        </w:rPr>
        <w:t>72</w:t>
      </w:r>
      <w:r w:rsidRPr="00AD7868">
        <w:rPr>
          <w:rFonts w:ascii="Book Antiqua" w:hAnsi="Book Antiqua" w:cs="宋体"/>
          <w:lang w:val="en-US"/>
        </w:rPr>
        <w:t>: 523-529 [PMID: 20598685 DOI: 10.1016/j.gie.2010.04.041]</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74 </w:t>
      </w:r>
      <w:r w:rsidRPr="00AD7868">
        <w:rPr>
          <w:rFonts w:ascii="Book Antiqua" w:hAnsi="Book Antiqua" w:cs="宋体"/>
          <w:b/>
          <w:bCs/>
          <w:lang w:val="en-US"/>
        </w:rPr>
        <w:t>Dixon MF</w:t>
      </w:r>
      <w:r w:rsidRPr="00AD7868">
        <w:rPr>
          <w:rFonts w:ascii="Book Antiqua" w:hAnsi="Book Antiqua" w:cs="宋体"/>
          <w:lang w:val="en-US"/>
        </w:rPr>
        <w:t>, Genta RM, Yardley JH, Correa P. Classification and grading of gastritis. The updated Sydney System. International Workshop on the Histopathology of Gastritis, Houston 1994. </w:t>
      </w:r>
      <w:r w:rsidRPr="00AD7868">
        <w:rPr>
          <w:rFonts w:ascii="Book Antiqua" w:hAnsi="Book Antiqua" w:cs="宋体"/>
          <w:i/>
          <w:iCs/>
          <w:lang w:val="en-US"/>
        </w:rPr>
        <w:t>Am J Surg Pathol</w:t>
      </w:r>
      <w:r w:rsidRPr="00AD7868">
        <w:rPr>
          <w:rFonts w:ascii="Book Antiqua" w:hAnsi="Book Antiqua" w:cs="宋体"/>
          <w:lang w:val="en-US"/>
        </w:rPr>
        <w:t> 1996; </w:t>
      </w:r>
      <w:r w:rsidRPr="00AD7868">
        <w:rPr>
          <w:rFonts w:ascii="Book Antiqua" w:hAnsi="Book Antiqua" w:cs="宋体"/>
          <w:b/>
          <w:bCs/>
          <w:lang w:val="en-US"/>
        </w:rPr>
        <w:t>20</w:t>
      </w:r>
      <w:r w:rsidRPr="00AD7868">
        <w:rPr>
          <w:rFonts w:ascii="Book Antiqua" w:hAnsi="Book Antiqua" w:cs="宋体"/>
          <w:lang w:val="en-US"/>
        </w:rPr>
        <w:t>: 1161-1181 [PMID: 8827022]</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75 </w:t>
      </w:r>
      <w:r w:rsidRPr="00AD7868">
        <w:rPr>
          <w:rFonts w:ascii="Book Antiqua" w:hAnsi="Book Antiqua" w:cs="宋体"/>
          <w:b/>
          <w:bCs/>
          <w:lang w:val="en-US"/>
        </w:rPr>
        <w:t>El-Zimaity HM</w:t>
      </w:r>
      <w:r w:rsidRPr="00AD7868">
        <w:rPr>
          <w:rFonts w:ascii="Book Antiqua" w:hAnsi="Book Antiqua" w:cs="宋体"/>
          <w:lang w:val="en-US"/>
        </w:rPr>
        <w:t>, Graham DY. Evaluation of gastric mucosal biopsy site and number for identification of Helicobacter pylori or intestinal metaplasia: role of the Sydney System. </w:t>
      </w:r>
      <w:r w:rsidRPr="00AD7868">
        <w:rPr>
          <w:rFonts w:ascii="Book Antiqua" w:hAnsi="Book Antiqua" w:cs="宋体"/>
          <w:i/>
          <w:iCs/>
          <w:lang w:val="en-US"/>
        </w:rPr>
        <w:t>Hum Pathol</w:t>
      </w:r>
      <w:r w:rsidRPr="00AD7868">
        <w:rPr>
          <w:rFonts w:ascii="Book Antiqua" w:hAnsi="Book Antiqua" w:cs="宋体"/>
          <w:lang w:val="en-US"/>
        </w:rPr>
        <w:t> 1999; </w:t>
      </w:r>
      <w:r w:rsidRPr="00AD7868">
        <w:rPr>
          <w:rFonts w:ascii="Book Antiqua" w:hAnsi="Book Antiqua" w:cs="宋体"/>
          <w:b/>
          <w:bCs/>
          <w:lang w:val="en-US"/>
        </w:rPr>
        <w:t>30</w:t>
      </w:r>
      <w:r w:rsidRPr="00AD7868">
        <w:rPr>
          <w:rFonts w:ascii="Book Antiqua" w:hAnsi="Book Antiqua" w:cs="宋体"/>
          <w:lang w:val="en-US"/>
        </w:rPr>
        <w:t>: 72-77 [PMID: 9923930 DOI: 10.1016/S0046-8177(99)90303-9]</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76 </w:t>
      </w:r>
      <w:r w:rsidRPr="00AD7868">
        <w:rPr>
          <w:rFonts w:ascii="Book Antiqua" w:hAnsi="Book Antiqua" w:cs="宋体"/>
          <w:b/>
          <w:bCs/>
          <w:lang w:val="en-US"/>
        </w:rPr>
        <w:t>de Vries AC</w:t>
      </w:r>
      <w:r w:rsidRPr="00AD7868">
        <w:rPr>
          <w:rFonts w:ascii="Book Antiqua" w:hAnsi="Book Antiqua" w:cs="宋体"/>
          <w:lang w:val="en-US"/>
        </w:rPr>
        <w:t>, Haringsma J, de Vries RA, Ter Borg F, van Grieken NC, Meijer GA, van Dekken H, Kuipers EJ. Biopsy strategies for endoscopic surveillance of pre-malignant gastric lesions. </w:t>
      </w:r>
      <w:r w:rsidRPr="00AD7868">
        <w:rPr>
          <w:rFonts w:ascii="Book Antiqua" w:hAnsi="Book Antiqua" w:cs="宋体"/>
          <w:i/>
          <w:iCs/>
          <w:lang w:val="en-US"/>
        </w:rPr>
        <w:t>Helicobacter</w:t>
      </w:r>
      <w:r w:rsidRPr="00AD7868">
        <w:rPr>
          <w:rFonts w:ascii="Book Antiqua" w:hAnsi="Book Antiqua" w:cs="宋体"/>
          <w:lang w:val="en-US"/>
        </w:rPr>
        <w:t> 2010; </w:t>
      </w:r>
      <w:r w:rsidRPr="00AD7868">
        <w:rPr>
          <w:rFonts w:ascii="Book Antiqua" w:hAnsi="Book Antiqua" w:cs="宋体"/>
          <w:b/>
          <w:bCs/>
          <w:lang w:val="en-US"/>
        </w:rPr>
        <w:t>15</w:t>
      </w:r>
      <w:r w:rsidRPr="00AD7868">
        <w:rPr>
          <w:rFonts w:ascii="Book Antiqua" w:hAnsi="Book Antiqua" w:cs="宋体"/>
          <w:lang w:val="en-US"/>
        </w:rPr>
        <w:t>: 259-264 [PMID: 20633186 DOI: 10.1111/j.1523-5378.2010.00760.x]</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77 </w:t>
      </w:r>
      <w:r w:rsidRPr="00AD7868">
        <w:rPr>
          <w:rFonts w:ascii="Book Antiqua" w:hAnsi="Book Antiqua" w:cs="宋体"/>
          <w:b/>
          <w:bCs/>
          <w:lang w:val="en-US"/>
        </w:rPr>
        <w:t>Inoue M</w:t>
      </w:r>
      <w:r w:rsidRPr="00AD7868">
        <w:rPr>
          <w:rFonts w:ascii="Book Antiqua" w:hAnsi="Book Antiqua" w:cs="宋体"/>
          <w:lang w:val="en-US"/>
        </w:rPr>
        <w:t>, Kobayashi S, Matsuura A, Hamajima N, Tajima K, Tominaga S. Agreement of endoscopic findings and serum pepsinogen levels as an indicator of atrophic gastritis. </w:t>
      </w:r>
      <w:r w:rsidRPr="00AD7868">
        <w:rPr>
          <w:rFonts w:ascii="Book Antiqua" w:hAnsi="Book Antiqua" w:cs="宋体"/>
          <w:i/>
          <w:iCs/>
          <w:lang w:val="en-US"/>
        </w:rPr>
        <w:t>Cancer Epidemiol Biomarkers Prev</w:t>
      </w:r>
      <w:r w:rsidRPr="00AD7868">
        <w:rPr>
          <w:rFonts w:ascii="Book Antiqua" w:hAnsi="Book Antiqua" w:cs="宋体"/>
          <w:lang w:val="en-US"/>
        </w:rPr>
        <w:t> 1998; </w:t>
      </w:r>
      <w:r w:rsidRPr="00AD7868">
        <w:rPr>
          <w:rFonts w:ascii="Book Antiqua" w:hAnsi="Book Antiqua" w:cs="宋体"/>
          <w:b/>
          <w:bCs/>
          <w:lang w:val="en-US"/>
        </w:rPr>
        <w:t>7</w:t>
      </w:r>
      <w:r w:rsidRPr="00AD7868">
        <w:rPr>
          <w:rFonts w:ascii="Book Antiqua" w:hAnsi="Book Antiqua" w:cs="宋体"/>
          <w:lang w:val="en-US"/>
        </w:rPr>
        <w:t>: 261-263 [PMID: 9521444]</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78 </w:t>
      </w:r>
      <w:r w:rsidRPr="00AD7868">
        <w:rPr>
          <w:rFonts w:ascii="Book Antiqua" w:hAnsi="Book Antiqua" w:cs="宋体"/>
          <w:b/>
          <w:bCs/>
          <w:lang w:val="en-US"/>
        </w:rPr>
        <w:t>Kuipers EJ</w:t>
      </w:r>
      <w:r w:rsidRPr="00AD7868">
        <w:rPr>
          <w:rFonts w:ascii="Book Antiqua" w:hAnsi="Book Antiqua" w:cs="宋体"/>
          <w:lang w:val="en-US"/>
        </w:rPr>
        <w:t>. In through the outdoor: serology for atrophic gastritis. </w:t>
      </w:r>
      <w:r w:rsidRPr="00AD7868">
        <w:rPr>
          <w:rFonts w:ascii="Book Antiqua" w:hAnsi="Book Antiqua" w:cs="宋体"/>
          <w:i/>
          <w:iCs/>
          <w:lang w:val="en-US"/>
        </w:rPr>
        <w:t>Eur J Gastroenterol Hepatol</w:t>
      </w:r>
      <w:r w:rsidRPr="00AD7868">
        <w:rPr>
          <w:rFonts w:ascii="Book Antiqua" w:hAnsi="Book Antiqua" w:cs="宋体"/>
          <w:lang w:val="en-US"/>
        </w:rPr>
        <w:t> 2003; </w:t>
      </w:r>
      <w:r w:rsidRPr="00AD7868">
        <w:rPr>
          <w:rFonts w:ascii="Book Antiqua" w:hAnsi="Book Antiqua" w:cs="宋体"/>
          <w:b/>
          <w:bCs/>
          <w:lang w:val="en-US"/>
        </w:rPr>
        <w:t>15</w:t>
      </w:r>
      <w:r w:rsidRPr="00AD7868">
        <w:rPr>
          <w:rFonts w:ascii="Book Antiqua" w:hAnsi="Book Antiqua" w:cs="宋体"/>
          <w:lang w:val="en-US"/>
        </w:rPr>
        <w:t>: 877-879 [PMID: 12867797 DOI: 10.1097/00042737-200308000-00007]</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79 </w:t>
      </w:r>
      <w:r w:rsidRPr="00AD7868">
        <w:rPr>
          <w:rFonts w:ascii="Book Antiqua" w:hAnsi="Book Antiqua" w:cs="宋体"/>
          <w:b/>
          <w:bCs/>
          <w:lang w:val="en-US"/>
        </w:rPr>
        <w:t>Graham DY</w:t>
      </w:r>
      <w:r w:rsidRPr="00AD7868">
        <w:rPr>
          <w:rFonts w:ascii="Book Antiqua" w:hAnsi="Book Antiqua" w:cs="宋体"/>
          <w:lang w:val="en-US"/>
        </w:rPr>
        <w:t>, Nurgalieva ZZ, El-Zimaity HM, Opekun AR, Campos A, Guerrero L, Chavez A, Cardenas V. Noninvasive versus histologic detection of gastric atrophy in a Hispanic population in North America. </w:t>
      </w:r>
      <w:r w:rsidRPr="00AD7868">
        <w:rPr>
          <w:rFonts w:ascii="Book Antiqua" w:hAnsi="Book Antiqua" w:cs="宋体"/>
          <w:i/>
          <w:iCs/>
          <w:lang w:val="en-US"/>
        </w:rPr>
        <w:t>Clin Gastroenterol Hepatol</w:t>
      </w:r>
      <w:r w:rsidRPr="00AD7868">
        <w:rPr>
          <w:rFonts w:ascii="Book Antiqua" w:hAnsi="Book Antiqua" w:cs="宋体"/>
          <w:lang w:val="en-US"/>
        </w:rPr>
        <w:t> 2006; </w:t>
      </w:r>
      <w:r w:rsidRPr="00AD7868">
        <w:rPr>
          <w:rFonts w:ascii="Book Antiqua" w:hAnsi="Book Antiqua" w:cs="宋体"/>
          <w:b/>
          <w:bCs/>
          <w:lang w:val="en-US"/>
        </w:rPr>
        <w:t>4</w:t>
      </w:r>
      <w:r w:rsidRPr="00AD7868">
        <w:rPr>
          <w:rFonts w:ascii="Book Antiqua" w:hAnsi="Book Antiqua" w:cs="宋体"/>
          <w:lang w:val="en-US"/>
        </w:rPr>
        <w:t>: 306-314 [PMID: 16527693 DOI: 10.1016/j.cgh.2005.11.003]</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80 </w:t>
      </w:r>
      <w:r w:rsidRPr="00AD7868">
        <w:rPr>
          <w:rFonts w:ascii="Book Antiqua" w:hAnsi="Book Antiqua" w:cs="宋体"/>
          <w:b/>
          <w:bCs/>
          <w:lang w:val="en-US"/>
        </w:rPr>
        <w:t>Storskrubb T</w:t>
      </w:r>
      <w:r w:rsidRPr="00AD7868">
        <w:rPr>
          <w:rFonts w:ascii="Book Antiqua" w:hAnsi="Book Antiqua" w:cs="宋体"/>
          <w:lang w:val="en-US"/>
        </w:rPr>
        <w:t>, Aro P, Ronkainen J, Sipponen P, Nyhlin H, Talley NJ, Engstrand L, Stolte M, Vieth M, Walker M, Agréus L. Serum biomarkers provide an accurate method for diagnosis of atrophic gastritis in a general population: The Kalixanda study. </w:t>
      </w:r>
      <w:r w:rsidRPr="00AD7868">
        <w:rPr>
          <w:rFonts w:ascii="Book Antiqua" w:hAnsi="Book Antiqua" w:cs="宋体"/>
          <w:i/>
          <w:iCs/>
          <w:lang w:val="en-US"/>
        </w:rPr>
        <w:t>Scand J Gastroenterol</w:t>
      </w:r>
      <w:r w:rsidRPr="00AD7868">
        <w:rPr>
          <w:rFonts w:ascii="Book Antiqua" w:hAnsi="Book Antiqua" w:cs="宋体"/>
          <w:lang w:val="en-US"/>
        </w:rPr>
        <w:t> 2008; </w:t>
      </w:r>
      <w:r w:rsidRPr="00AD7868">
        <w:rPr>
          <w:rFonts w:ascii="Book Antiqua" w:hAnsi="Book Antiqua" w:cs="宋体"/>
          <w:b/>
          <w:bCs/>
          <w:lang w:val="en-US"/>
        </w:rPr>
        <w:t>43</w:t>
      </w:r>
      <w:r w:rsidRPr="00AD7868">
        <w:rPr>
          <w:rFonts w:ascii="Book Antiqua" w:hAnsi="Book Antiqua" w:cs="宋体"/>
          <w:lang w:val="en-US"/>
        </w:rPr>
        <w:t>: 1448-1455 [PMID: 18663663 DOI: 10.1080/00365520802273025]</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lastRenderedPageBreak/>
        <w:t>81 </w:t>
      </w:r>
      <w:r w:rsidRPr="00AD7868">
        <w:rPr>
          <w:rFonts w:ascii="Book Antiqua" w:hAnsi="Book Antiqua" w:cs="宋体"/>
          <w:b/>
          <w:bCs/>
          <w:lang w:val="en-US"/>
        </w:rPr>
        <w:t>Iijima K</w:t>
      </w:r>
      <w:r w:rsidRPr="00AD7868">
        <w:rPr>
          <w:rFonts w:ascii="Book Antiqua" w:hAnsi="Book Antiqua" w:cs="宋体"/>
          <w:lang w:val="en-US"/>
        </w:rPr>
        <w:t>, Abe Y, Kikuchi R, Koike T, Ohara S, Sipponen P, Shimosegawa T. Serum biomarker tests are useful in delineating between patients with gastric atrophy and normal, healthy stomach. </w:t>
      </w:r>
      <w:r w:rsidRPr="00AD7868">
        <w:rPr>
          <w:rFonts w:ascii="Book Antiqua" w:hAnsi="Book Antiqua" w:cs="宋体"/>
          <w:i/>
          <w:iCs/>
          <w:lang w:val="en-US"/>
        </w:rPr>
        <w:t>World J Gastroenterol</w:t>
      </w:r>
      <w:r w:rsidRPr="00AD7868">
        <w:rPr>
          <w:rFonts w:ascii="Book Antiqua" w:hAnsi="Book Antiqua" w:cs="宋体"/>
          <w:lang w:val="en-US"/>
        </w:rPr>
        <w:t> 2009; </w:t>
      </w:r>
      <w:r w:rsidRPr="00AD7868">
        <w:rPr>
          <w:rFonts w:ascii="Book Antiqua" w:hAnsi="Book Antiqua" w:cs="宋体"/>
          <w:b/>
          <w:bCs/>
          <w:lang w:val="en-US"/>
        </w:rPr>
        <w:t>15</w:t>
      </w:r>
      <w:r w:rsidRPr="00AD7868">
        <w:rPr>
          <w:rFonts w:ascii="Book Antiqua" w:hAnsi="Book Antiqua" w:cs="宋体"/>
          <w:lang w:val="en-US"/>
        </w:rPr>
        <w:t>: 853-859 [PMID: 19230047 DOI: 10.3748/wjg.15.853]</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82 </w:t>
      </w:r>
      <w:r w:rsidRPr="00AD7868">
        <w:rPr>
          <w:rFonts w:ascii="Book Antiqua" w:hAnsi="Book Antiqua" w:cs="宋体"/>
          <w:b/>
          <w:bCs/>
          <w:lang w:val="en-US"/>
        </w:rPr>
        <w:t>Dinis-Ribeiro M</w:t>
      </w:r>
      <w:r w:rsidRPr="00AD7868">
        <w:rPr>
          <w:rFonts w:ascii="Book Antiqua" w:hAnsi="Book Antiqua" w:cs="宋体"/>
          <w:lang w:val="en-US"/>
        </w:rPr>
        <w:t>, Yamaki G, Miki K, Costa-Pereira A, Matsukawa M, Kurihara M. Meta-analysis on the validity of pepsinogen test for gastric carcinoma, dysplasia or chronic atrophic gastritis screening. </w:t>
      </w:r>
      <w:r w:rsidRPr="00AD7868">
        <w:rPr>
          <w:rFonts w:ascii="Book Antiqua" w:hAnsi="Book Antiqua" w:cs="宋体"/>
          <w:i/>
          <w:iCs/>
          <w:lang w:val="en-US"/>
        </w:rPr>
        <w:t>J Med Screen</w:t>
      </w:r>
      <w:r w:rsidRPr="00AD7868">
        <w:rPr>
          <w:rFonts w:ascii="Book Antiqua" w:hAnsi="Book Antiqua" w:cs="宋体"/>
          <w:lang w:val="en-US"/>
        </w:rPr>
        <w:t> 2004; </w:t>
      </w:r>
      <w:r w:rsidRPr="00AD7868">
        <w:rPr>
          <w:rFonts w:ascii="Book Antiqua" w:hAnsi="Book Antiqua" w:cs="宋体"/>
          <w:b/>
          <w:bCs/>
          <w:lang w:val="en-US"/>
        </w:rPr>
        <w:t>11</w:t>
      </w:r>
      <w:r w:rsidRPr="00AD7868">
        <w:rPr>
          <w:rFonts w:ascii="Book Antiqua" w:hAnsi="Book Antiqua" w:cs="宋体"/>
          <w:lang w:val="en-US"/>
        </w:rPr>
        <w:t>: 141-147 [PMID: 15333273 DOI: 10.1258/0969141041732184]</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83 </w:t>
      </w:r>
      <w:r w:rsidRPr="00AD7868">
        <w:rPr>
          <w:rFonts w:ascii="Book Antiqua" w:hAnsi="Book Antiqua" w:cs="宋体"/>
          <w:b/>
          <w:bCs/>
          <w:lang w:val="en-US"/>
        </w:rPr>
        <w:t>Khimerik TIu</w:t>
      </w:r>
      <w:r w:rsidRPr="00AD7868">
        <w:rPr>
          <w:rFonts w:ascii="Book Antiqua" w:hAnsi="Book Antiqua" w:cs="宋体"/>
          <w:lang w:val="en-US"/>
        </w:rPr>
        <w:t>. [Study of the chemical makeup of lignin after fungal infestation by Aspergillus flavus and A. niger]. </w:t>
      </w:r>
      <w:r w:rsidRPr="00AD7868">
        <w:rPr>
          <w:rFonts w:ascii="Book Antiqua" w:hAnsi="Book Antiqua" w:cs="宋体"/>
          <w:i/>
          <w:iCs/>
          <w:lang w:val="en-US"/>
        </w:rPr>
        <w:t>Mikrobiol Zh</w:t>
      </w:r>
      <w:r w:rsidRPr="00AD7868">
        <w:rPr>
          <w:rFonts w:ascii="Book Antiqua" w:hAnsi="Book Antiqua" w:cs="宋体"/>
          <w:lang w:val="en-US"/>
        </w:rPr>
        <w:t> 1977; </w:t>
      </w:r>
      <w:r w:rsidRPr="00AD7868">
        <w:rPr>
          <w:rFonts w:ascii="Book Antiqua" w:hAnsi="Book Antiqua" w:cs="宋体"/>
          <w:b/>
          <w:bCs/>
          <w:lang w:val="en-US"/>
        </w:rPr>
        <w:t>39</w:t>
      </w:r>
      <w:r w:rsidRPr="00AD7868">
        <w:rPr>
          <w:rFonts w:ascii="Book Antiqua" w:hAnsi="Book Antiqua" w:cs="宋体"/>
          <w:lang w:val="en-US"/>
        </w:rPr>
        <w:t>: 355-356 [PMID: 408590 DOI: 10.1136/gut.26.12.1319]</w:t>
      </w:r>
    </w:p>
    <w:p w:rsidR="00F10C6E" w:rsidRPr="00AD7868" w:rsidRDefault="00F10C6E" w:rsidP="00BB1CAA">
      <w:pPr>
        <w:spacing w:line="360" w:lineRule="auto"/>
        <w:jc w:val="both"/>
        <w:rPr>
          <w:rFonts w:ascii="Book Antiqua" w:hAnsi="Book Antiqua" w:cs="宋体"/>
          <w:lang w:val="es-ES"/>
        </w:rPr>
      </w:pPr>
      <w:r w:rsidRPr="00AD7868">
        <w:rPr>
          <w:rFonts w:ascii="Book Antiqua" w:hAnsi="Book Antiqua" w:cs="宋体"/>
          <w:lang w:val="en-US"/>
        </w:rPr>
        <w:t>84 </w:t>
      </w:r>
      <w:r w:rsidRPr="00AD7868">
        <w:rPr>
          <w:rFonts w:ascii="Book Antiqua" w:hAnsi="Book Antiqua" w:cs="宋体"/>
          <w:b/>
          <w:bCs/>
          <w:lang w:val="en-US"/>
        </w:rPr>
        <w:t>Reis CA</w:t>
      </w:r>
      <w:r w:rsidRPr="00AD7868">
        <w:rPr>
          <w:rFonts w:ascii="Book Antiqua" w:hAnsi="Book Antiqua" w:cs="宋体"/>
          <w:lang w:val="en-US"/>
        </w:rPr>
        <w:t>, David L, Correa P, Carneiro F, de Bolós C, Garcia E, Mandel U, Clausen H, Sobrinho-Simões M. Intestinal metaplasia of human stomach displays distinct patterns of mucin (MUC1, MUC2, MUC5AC, and MUC6) expression. </w:t>
      </w:r>
      <w:r w:rsidRPr="00AD7868">
        <w:rPr>
          <w:rFonts w:ascii="Book Antiqua" w:hAnsi="Book Antiqua" w:cs="宋体"/>
          <w:i/>
          <w:iCs/>
          <w:lang w:val="es-ES"/>
        </w:rPr>
        <w:t>Cancer Res</w:t>
      </w:r>
      <w:r w:rsidRPr="00AD7868">
        <w:rPr>
          <w:rFonts w:ascii="Book Antiqua" w:hAnsi="Book Antiqua" w:cs="宋体"/>
          <w:lang w:val="es-ES"/>
        </w:rPr>
        <w:t> 1999; </w:t>
      </w:r>
      <w:r w:rsidRPr="00AD7868">
        <w:rPr>
          <w:rFonts w:ascii="Book Antiqua" w:hAnsi="Book Antiqua" w:cs="宋体"/>
          <w:b/>
          <w:bCs/>
          <w:lang w:val="es-ES"/>
        </w:rPr>
        <w:t>59</w:t>
      </w:r>
      <w:r w:rsidRPr="00AD7868">
        <w:rPr>
          <w:rFonts w:ascii="Book Antiqua" w:hAnsi="Book Antiqua" w:cs="宋体"/>
          <w:lang w:val="es-ES"/>
        </w:rPr>
        <w:t>: 1003-1007 [PMID: 10070955]</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s-ES"/>
        </w:rPr>
        <w:t>85 </w:t>
      </w:r>
      <w:r w:rsidRPr="00AD7868">
        <w:rPr>
          <w:rFonts w:ascii="Book Antiqua" w:hAnsi="Book Antiqua" w:cs="宋体"/>
          <w:b/>
          <w:bCs/>
          <w:lang w:val="es-ES"/>
        </w:rPr>
        <w:t>Gutiérrez-González L</w:t>
      </w:r>
      <w:r w:rsidRPr="00AD7868">
        <w:rPr>
          <w:rFonts w:ascii="Book Antiqua" w:hAnsi="Book Antiqua" w:cs="宋体"/>
          <w:lang w:val="es-ES"/>
        </w:rPr>
        <w:t xml:space="preserve">, Wright NA. </w:t>
      </w:r>
      <w:r w:rsidRPr="00AD7868">
        <w:rPr>
          <w:rFonts w:ascii="Book Antiqua" w:hAnsi="Book Antiqua" w:cs="宋体"/>
          <w:lang w:val="en-US"/>
        </w:rPr>
        <w:t>Biology of intestinal metaplasia in 2008: more than a simple phenotypic alteration. </w:t>
      </w:r>
      <w:r w:rsidRPr="00AD7868">
        <w:rPr>
          <w:rFonts w:ascii="Book Antiqua" w:hAnsi="Book Antiqua" w:cs="宋体"/>
          <w:i/>
          <w:iCs/>
          <w:lang w:val="en-US"/>
        </w:rPr>
        <w:t>Dig Liver Dis</w:t>
      </w:r>
      <w:r w:rsidRPr="00AD7868">
        <w:rPr>
          <w:rFonts w:ascii="Book Antiqua" w:hAnsi="Book Antiqua" w:cs="宋体"/>
          <w:lang w:val="en-US"/>
        </w:rPr>
        <w:t> 2008; </w:t>
      </w:r>
      <w:r w:rsidRPr="00AD7868">
        <w:rPr>
          <w:rFonts w:ascii="Book Antiqua" w:hAnsi="Book Antiqua" w:cs="宋体"/>
          <w:b/>
          <w:bCs/>
          <w:lang w:val="en-US"/>
        </w:rPr>
        <w:t>40</w:t>
      </w:r>
      <w:r w:rsidRPr="00AD7868">
        <w:rPr>
          <w:rFonts w:ascii="Book Antiqua" w:hAnsi="Book Antiqua" w:cs="宋体"/>
          <w:lang w:val="en-US"/>
        </w:rPr>
        <w:t>: 510-522 [PMID: 18400571 DOI: 10.1016/j.dld.2008.02.029]</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86 </w:t>
      </w:r>
      <w:r w:rsidRPr="00AD7868">
        <w:rPr>
          <w:rFonts w:ascii="Book Antiqua" w:hAnsi="Book Antiqua" w:cs="宋体"/>
          <w:b/>
          <w:bCs/>
          <w:lang w:val="en-US"/>
        </w:rPr>
        <w:t>Rugge M</w:t>
      </w:r>
      <w:r w:rsidRPr="00AD7868">
        <w:rPr>
          <w:rFonts w:ascii="Book Antiqua" w:hAnsi="Book Antiqua" w:cs="宋体"/>
          <w:lang w:val="en-US"/>
        </w:rPr>
        <w:t>, Genta RM. Staging gastritis: an international proposal. </w:t>
      </w:r>
      <w:r w:rsidRPr="00AD7868">
        <w:rPr>
          <w:rFonts w:ascii="Book Antiqua" w:hAnsi="Book Antiqua" w:cs="宋体"/>
          <w:i/>
          <w:iCs/>
          <w:lang w:val="en-US"/>
        </w:rPr>
        <w:t>Gastroenterology</w:t>
      </w:r>
      <w:r w:rsidRPr="00AD7868">
        <w:rPr>
          <w:rFonts w:ascii="Book Antiqua" w:hAnsi="Book Antiqua" w:cs="宋体"/>
          <w:lang w:val="en-US"/>
        </w:rPr>
        <w:t> 2005; </w:t>
      </w:r>
      <w:r w:rsidRPr="00AD7868">
        <w:rPr>
          <w:rFonts w:ascii="Book Antiqua" w:hAnsi="Book Antiqua" w:cs="宋体"/>
          <w:b/>
          <w:bCs/>
          <w:lang w:val="en-US"/>
        </w:rPr>
        <w:t>129</w:t>
      </w:r>
      <w:r w:rsidRPr="00AD7868">
        <w:rPr>
          <w:rFonts w:ascii="Book Antiqua" w:hAnsi="Book Antiqua" w:cs="宋体"/>
          <w:lang w:val="en-US"/>
        </w:rPr>
        <w:t>: 1807-1808 [PMID: 16285989 DOI: 10.1053/j.gastro.2005.09.056]</w:t>
      </w:r>
    </w:p>
    <w:p w:rsidR="00F10C6E" w:rsidRPr="003D482F" w:rsidRDefault="00F10C6E" w:rsidP="00BB1CAA">
      <w:pPr>
        <w:spacing w:line="360" w:lineRule="auto"/>
        <w:jc w:val="both"/>
        <w:rPr>
          <w:rFonts w:ascii="Book Antiqua" w:hAnsi="Book Antiqua" w:cs="宋体"/>
        </w:rPr>
      </w:pPr>
      <w:r w:rsidRPr="00AD7868">
        <w:rPr>
          <w:rFonts w:ascii="Book Antiqua" w:hAnsi="Book Antiqua" w:cs="宋体"/>
          <w:lang w:val="en-US"/>
        </w:rPr>
        <w:t>87 </w:t>
      </w:r>
      <w:r w:rsidRPr="00AD7868">
        <w:rPr>
          <w:rFonts w:ascii="Book Antiqua" w:hAnsi="Book Antiqua" w:cs="宋体"/>
          <w:b/>
          <w:bCs/>
          <w:lang w:val="en-US"/>
        </w:rPr>
        <w:t>Capelle LG</w:t>
      </w:r>
      <w:r w:rsidRPr="00AD7868">
        <w:rPr>
          <w:rFonts w:ascii="Book Antiqua" w:hAnsi="Book Antiqua" w:cs="宋体"/>
          <w:lang w:val="en-US"/>
        </w:rPr>
        <w:t>, de Vries AC, Haringsma J, Ter Borg F, de Vries RA, Bruno MJ, van Dekken H, Meijer J, van Grieken NC, Kuipers EJ. The staging of gastritis with the OLGA system by using intestinal metaplasia as an accurate alternative for atrophic gastritis. </w:t>
      </w:r>
      <w:r w:rsidRPr="003D482F">
        <w:rPr>
          <w:rFonts w:ascii="Book Antiqua" w:hAnsi="Book Antiqua" w:cs="宋体"/>
          <w:i/>
          <w:iCs/>
        </w:rPr>
        <w:t>Gastrointest Endosc</w:t>
      </w:r>
      <w:r w:rsidRPr="003D482F">
        <w:rPr>
          <w:rFonts w:ascii="Book Antiqua" w:hAnsi="Book Antiqua" w:cs="宋体"/>
        </w:rPr>
        <w:t> 2010; </w:t>
      </w:r>
      <w:r w:rsidRPr="003D482F">
        <w:rPr>
          <w:rFonts w:ascii="Book Antiqua" w:hAnsi="Book Antiqua" w:cs="宋体"/>
          <w:b/>
          <w:bCs/>
        </w:rPr>
        <w:t>71</w:t>
      </w:r>
      <w:r w:rsidRPr="003D482F">
        <w:rPr>
          <w:rFonts w:ascii="Book Antiqua" w:hAnsi="Book Antiqua" w:cs="宋体"/>
        </w:rPr>
        <w:t>: 1150-1158 [PMID: 20381801 DOI: 10.1016/j.gie.2009.12.029]</w:t>
      </w:r>
    </w:p>
    <w:p w:rsidR="00F10C6E" w:rsidRPr="00AD7868" w:rsidRDefault="00F10C6E" w:rsidP="00BB1CAA">
      <w:pPr>
        <w:spacing w:line="360" w:lineRule="auto"/>
        <w:jc w:val="both"/>
        <w:rPr>
          <w:rFonts w:ascii="Book Antiqua" w:hAnsi="Book Antiqua" w:cs="宋体"/>
          <w:lang w:val="en-US"/>
        </w:rPr>
      </w:pPr>
      <w:r w:rsidRPr="003D482F">
        <w:rPr>
          <w:rFonts w:ascii="Book Antiqua" w:hAnsi="Book Antiqua" w:cs="宋体"/>
        </w:rPr>
        <w:t>88 </w:t>
      </w:r>
      <w:r w:rsidRPr="003D482F">
        <w:rPr>
          <w:rFonts w:ascii="Book Antiqua" w:hAnsi="Book Antiqua" w:cs="宋体"/>
          <w:b/>
          <w:bCs/>
        </w:rPr>
        <w:t>Rugge M</w:t>
      </w:r>
      <w:r w:rsidRPr="003D482F">
        <w:rPr>
          <w:rFonts w:ascii="Book Antiqua" w:hAnsi="Book Antiqua" w:cs="宋体"/>
        </w:rPr>
        <w:t xml:space="preserve">, Meggio A, Pennelli G, Piscioli F, Giacomelli L, De Pretis G, Graham DY. </w:t>
      </w:r>
      <w:r w:rsidRPr="00AD7868">
        <w:rPr>
          <w:rFonts w:ascii="Book Antiqua" w:hAnsi="Book Antiqua" w:cs="宋体"/>
          <w:lang w:val="en-US"/>
        </w:rPr>
        <w:t>Gastritis staging in clinical practice: the OLGA staging system. </w:t>
      </w:r>
      <w:r w:rsidRPr="00AD7868">
        <w:rPr>
          <w:rFonts w:ascii="Book Antiqua" w:hAnsi="Book Antiqua" w:cs="宋体"/>
          <w:i/>
          <w:iCs/>
          <w:lang w:val="en-US"/>
        </w:rPr>
        <w:t>Gut</w:t>
      </w:r>
      <w:r w:rsidRPr="00AD7868">
        <w:rPr>
          <w:rFonts w:ascii="Book Antiqua" w:hAnsi="Book Antiqua" w:cs="宋体"/>
          <w:lang w:val="en-US"/>
        </w:rPr>
        <w:t> 2007; </w:t>
      </w:r>
      <w:r w:rsidRPr="00AD7868">
        <w:rPr>
          <w:rFonts w:ascii="Book Antiqua" w:hAnsi="Book Antiqua" w:cs="宋体"/>
          <w:b/>
          <w:bCs/>
          <w:lang w:val="en-US"/>
        </w:rPr>
        <w:t>56</w:t>
      </w:r>
      <w:r w:rsidRPr="00AD7868">
        <w:rPr>
          <w:rFonts w:ascii="Book Antiqua" w:hAnsi="Book Antiqua" w:cs="宋体"/>
          <w:lang w:val="en-US"/>
        </w:rPr>
        <w:t>: 631-636 [PMID: 17142647]</w:t>
      </w:r>
    </w:p>
    <w:p w:rsidR="00F10C6E" w:rsidRPr="003D482F" w:rsidRDefault="00F10C6E" w:rsidP="00BB1CAA">
      <w:pPr>
        <w:spacing w:line="360" w:lineRule="auto"/>
        <w:jc w:val="both"/>
        <w:rPr>
          <w:rFonts w:ascii="Book Antiqua" w:hAnsi="Book Antiqua" w:cs="宋体"/>
        </w:rPr>
      </w:pPr>
      <w:r w:rsidRPr="00AD7868">
        <w:rPr>
          <w:rFonts w:ascii="Book Antiqua" w:hAnsi="Book Antiqua" w:cs="宋体"/>
          <w:lang w:val="en-US"/>
        </w:rPr>
        <w:t>89</w:t>
      </w:r>
      <w:r w:rsidRPr="00AD7868">
        <w:rPr>
          <w:rFonts w:ascii="Book Antiqua" w:hAnsi="Book Antiqua" w:cs="宋体"/>
          <w:b/>
          <w:lang w:val="en-US"/>
        </w:rPr>
        <w:t xml:space="preserve"> Satoh K,</w:t>
      </w:r>
      <w:r w:rsidRPr="00AD7868">
        <w:rPr>
          <w:rFonts w:ascii="Book Antiqua" w:hAnsi="Book Antiqua" w:cs="宋体"/>
          <w:lang w:val="en-US"/>
        </w:rPr>
        <w:t xml:space="preserve"> Osawa H, Yoshizawa M, Nakano H, Hirasawa T, Kihira K, Sugano K. Assessment of atrophic gastritis using the OLGA system. </w:t>
      </w:r>
      <w:r w:rsidRPr="003D482F">
        <w:rPr>
          <w:rFonts w:ascii="Book Antiqua" w:hAnsi="Book Antiqua" w:cs="宋体"/>
          <w:i/>
        </w:rPr>
        <w:t>Helicobacter</w:t>
      </w:r>
      <w:r w:rsidRPr="003D482F">
        <w:rPr>
          <w:rFonts w:ascii="Book Antiqua" w:hAnsi="Book Antiqua" w:cs="宋体"/>
        </w:rPr>
        <w:t xml:space="preserve"> 2008; </w:t>
      </w:r>
      <w:r w:rsidRPr="003D482F">
        <w:rPr>
          <w:rFonts w:ascii="Book Antiqua" w:hAnsi="Book Antiqua" w:cs="宋体"/>
          <w:b/>
        </w:rPr>
        <w:t>13</w:t>
      </w:r>
      <w:r w:rsidRPr="003D482F">
        <w:rPr>
          <w:rFonts w:ascii="Book Antiqua" w:hAnsi="Book Antiqua" w:cs="宋体"/>
        </w:rPr>
        <w:t>: 225-229 [PMID: 18466398]</w:t>
      </w:r>
    </w:p>
    <w:p w:rsidR="00F10C6E" w:rsidRPr="00AD7868" w:rsidRDefault="00F10C6E" w:rsidP="00BB1CAA">
      <w:pPr>
        <w:spacing w:line="360" w:lineRule="auto"/>
        <w:jc w:val="both"/>
        <w:rPr>
          <w:rFonts w:ascii="Book Antiqua" w:hAnsi="Book Antiqua" w:cs="宋体"/>
          <w:lang w:val="en-US"/>
        </w:rPr>
      </w:pPr>
      <w:r w:rsidRPr="003D482F">
        <w:rPr>
          <w:rFonts w:ascii="Book Antiqua" w:hAnsi="Book Antiqua" w:cs="宋体"/>
        </w:rPr>
        <w:lastRenderedPageBreak/>
        <w:t>90 </w:t>
      </w:r>
      <w:r w:rsidRPr="003D482F">
        <w:rPr>
          <w:rFonts w:ascii="Book Antiqua" w:hAnsi="Book Antiqua" w:cs="宋体"/>
          <w:b/>
          <w:bCs/>
        </w:rPr>
        <w:t>Rugge M</w:t>
      </w:r>
      <w:r w:rsidRPr="003D482F">
        <w:rPr>
          <w:rFonts w:ascii="Book Antiqua" w:hAnsi="Book Antiqua" w:cs="宋体"/>
        </w:rPr>
        <w:t xml:space="preserve">, de Boni M, Pennelli G, de Bona M, Giacomelli L, Fassan M, Basso D, Plebani M, Graham DY. </w:t>
      </w:r>
      <w:r w:rsidRPr="00AD7868">
        <w:rPr>
          <w:rFonts w:ascii="Book Antiqua" w:hAnsi="Book Antiqua" w:cs="宋体"/>
          <w:lang w:val="en-US"/>
        </w:rPr>
        <w:t>Gastritis OLGA-staging and gastric cancer risk: a twelve-year clinico-pathological follow-up study. </w:t>
      </w:r>
      <w:r w:rsidRPr="00AD7868">
        <w:rPr>
          <w:rFonts w:ascii="Book Antiqua" w:hAnsi="Book Antiqua" w:cs="宋体"/>
          <w:i/>
          <w:iCs/>
          <w:lang w:val="en-US"/>
        </w:rPr>
        <w:t>Aliment Pharmacol Ther</w:t>
      </w:r>
      <w:r w:rsidRPr="00AD7868">
        <w:rPr>
          <w:rFonts w:ascii="Book Antiqua" w:hAnsi="Book Antiqua" w:cs="宋体"/>
          <w:lang w:val="en-US"/>
        </w:rPr>
        <w:t> 2010; </w:t>
      </w:r>
      <w:r w:rsidRPr="00AD7868">
        <w:rPr>
          <w:rFonts w:ascii="Book Antiqua" w:hAnsi="Book Antiqua" w:cs="宋体"/>
          <w:b/>
          <w:bCs/>
          <w:lang w:val="en-US"/>
        </w:rPr>
        <w:t>31</w:t>
      </w:r>
      <w:r w:rsidRPr="00AD7868">
        <w:rPr>
          <w:rFonts w:ascii="Book Antiqua" w:hAnsi="Book Antiqua" w:cs="宋体"/>
          <w:lang w:val="en-US"/>
        </w:rPr>
        <w:t>: 1104-1111 [PMID: 20180784]</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91 </w:t>
      </w:r>
      <w:r w:rsidRPr="00AD7868">
        <w:rPr>
          <w:rFonts w:ascii="Book Antiqua" w:hAnsi="Book Antiqua" w:cs="宋体"/>
          <w:b/>
          <w:bCs/>
          <w:lang w:val="en-US"/>
        </w:rPr>
        <w:t>Cho SJ</w:t>
      </w:r>
      <w:r w:rsidRPr="00AD7868">
        <w:rPr>
          <w:rFonts w:ascii="Book Antiqua" w:hAnsi="Book Antiqua" w:cs="宋体"/>
          <w:lang w:val="en-US"/>
        </w:rPr>
        <w:t>, Choi IJ, Kook MC, Nam BH, Kim CG, Lee JY, Ryu KW, Kim YW. Staging of intestinal- and diffuse-type gastric cancers with the OLGA and OLGIM staging systems. </w:t>
      </w:r>
      <w:r w:rsidRPr="00AD7868">
        <w:rPr>
          <w:rFonts w:ascii="Book Antiqua" w:hAnsi="Book Antiqua" w:cs="宋体"/>
          <w:i/>
          <w:iCs/>
          <w:lang w:val="en-US"/>
        </w:rPr>
        <w:t>Aliment Pharmacol Ther</w:t>
      </w:r>
      <w:r w:rsidRPr="00AD7868">
        <w:rPr>
          <w:rFonts w:ascii="Book Antiqua" w:hAnsi="Book Antiqua" w:cs="宋体"/>
          <w:lang w:val="en-US"/>
        </w:rPr>
        <w:t> 2013; </w:t>
      </w:r>
      <w:r w:rsidRPr="00AD7868">
        <w:rPr>
          <w:rFonts w:ascii="Book Antiqua" w:hAnsi="Book Antiqua" w:cs="宋体"/>
          <w:b/>
          <w:bCs/>
          <w:lang w:val="en-US"/>
        </w:rPr>
        <w:t>38</w:t>
      </w:r>
      <w:r w:rsidRPr="00AD7868">
        <w:rPr>
          <w:rFonts w:ascii="Book Antiqua" w:hAnsi="Book Antiqua" w:cs="宋体"/>
          <w:lang w:val="en-US"/>
        </w:rPr>
        <w:t>: 1292-1302 [PMID: 24134499 DOI: 10.1111/apt.12515]</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92 </w:t>
      </w:r>
      <w:r w:rsidRPr="00AD7868">
        <w:rPr>
          <w:rFonts w:ascii="Book Antiqua" w:hAnsi="Book Antiqua" w:cs="宋体"/>
          <w:b/>
          <w:bCs/>
          <w:lang w:val="en-US"/>
        </w:rPr>
        <w:t>Yamaguchi H</w:t>
      </w:r>
      <w:r w:rsidRPr="00AD7868">
        <w:rPr>
          <w:rFonts w:ascii="Book Antiqua" w:hAnsi="Book Antiqua" w:cs="宋体"/>
          <w:lang w:val="en-US"/>
        </w:rPr>
        <w:t>, Goldenring JR, Kaminishi M, Lee JR. Identification of spasmolytic polypeptide expressing metaplasia (SPEM) in remnant gastric cancer and surveillance postgastrectomy biopsies. </w:t>
      </w:r>
      <w:r w:rsidRPr="00AD7868">
        <w:rPr>
          <w:rFonts w:ascii="Book Antiqua" w:hAnsi="Book Antiqua" w:cs="宋体"/>
          <w:i/>
          <w:iCs/>
          <w:lang w:val="en-US"/>
        </w:rPr>
        <w:t>Dig Dis Sci</w:t>
      </w:r>
      <w:r w:rsidRPr="00AD7868">
        <w:rPr>
          <w:rFonts w:ascii="Book Antiqua" w:hAnsi="Book Antiqua" w:cs="宋体"/>
          <w:lang w:val="en-US"/>
        </w:rPr>
        <w:t> 2002; </w:t>
      </w:r>
      <w:r w:rsidRPr="00AD7868">
        <w:rPr>
          <w:rFonts w:ascii="Book Antiqua" w:hAnsi="Book Antiqua" w:cs="宋体"/>
          <w:b/>
          <w:bCs/>
          <w:lang w:val="en-US"/>
        </w:rPr>
        <w:t>47</w:t>
      </w:r>
      <w:r w:rsidRPr="00AD7868">
        <w:rPr>
          <w:rFonts w:ascii="Book Antiqua" w:hAnsi="Book Antiqua" w:cs="宋体"/>
          <w:lang w:val="en-US"/>
        </w:rPr>
        <w:t>: 573-578 [PMID: 11911345 DOI: 10.1023/A: 1017920220149]</w:t>
      </w:r>
    </w:p>
    <w:p w:rsidR="00F10C6E" w:rsidRPr="003D482F" w:rsidRDefault="00F10C6E" w:rsidP="00BB1CAA">
      <w:pPr>
        <w:spacing w:line="360" w:lineRule="auto"/>
        <w:jc w:val="both"/>
        <w:rPr>
          <w:rFonts w:ascii="Book Antiqua" w:hAnsi="Book Antiqua" w:cs="宋体"/>
        </w:rPr>
      </w:pPr>
      <w:r w:rsidRPr="00AD7868">
        <w:rPr>
          <w:rFonts w:ascii="Book Antiqua" w:hAnsi="Book Antiqua" w:cs="宋体"/>
          <w:lang w:val="en-US"/>
        </w:rPr>
        <w:t>93 </w:t>
      </w:r>
      <w:r w:rsidRPr="00AD7868">
        <w:rPr>
          <w:rFonts w:ascii="Book Antiqua" w:hAnsi="Book Antiqua" w:cs="宋体"/>
          <w:b/>
          <w:bCs/>
          <w:lang w:val="en-US"/>
        </w:rPr>
        <w:t>Lee JR</w:t>
      </w:r>
      <w:r w:rsidRPr="00AD7868">
        <w:rPr>
          <w:rFonts w:ascii="Book Antiqua" w:hAnsi="Book Antiqua" w:cs="宋体"/>
          <w:lang w:val="en-US"/>
        </w:rPr>
        <w:t>, Baxter TM, Yamaguchi H, Wang TC, Goldenring JR, Anderson MG. Differential protein analysis of spasomolytic polypeptide expressing metaplasia using laser capture microdissection and two-dimensional difference gel electrophoresis. </w:t>
      </w:r>
      <w:r w:rsidRPr="003D482F">
        <w:rPr>
          <w:rFonts w:ascii="Book Antiqua" w:hAnsi="Book Antiqua" w:cs="宋体"/>
          <w:i/>
          <w:iCs/>
        </w:rPr>
        <w:t>Appl Immunohistochem Mol Morphol</w:t>
      </w:r>
      <w:r w:rsidRPr="003D482F">
        <w:rPr>
          <w:rFonts w:ascii="Book Antiqua" w:hAnsi="Book Antiqua" w:cs="宋体"/>
        </w:rPr>
        <w:t> 2003; </w:t>
      </w:r>
      <w:r w:rsidRPr="003D482F">
        <w:rPr>
          <w:rFonts w:ascii="Book Antiqua" w:hAnsi="Book Antiqua" w:cs="宋体"/>
          <w:b/>
          <w:bCs/>
        </w:rPr>
        <w:t>11</w:t>
      </w:r>
      <w:r w:rsidRPr="003D482F">
        <w:rPr>
          <w:rFonts w:ascii="Book Antiqua" w:hAnsi="Book Antiqua" w:cs="宋体"/>
        </w:rPr>
        <w:t>: 188-193 [PMID: 12778007 DOI: 10.1097/00129039-200306000-00018]</w:t>
      </w:r>
    </w:p>
    <w:p w:rsidR="00F10C6E" w:rsidRPr="00AD7868" w:rsidRDefault="00F10C6E" w:rsidP="00BB1CAA">
      <w:pPr>
        <w:spacing w:line="360" w:lineRule="auto"/>
        <w:jc w:val="both"/>
        <w:rPr>
          <w:rFonts w:ascii="Book Antiqua" w:hAnsi="Book Antiqua" w:cs="宋体"/>
          <w:lang w:val="en-US"/>
        </w:rPr>
      </w:pPr>
      <w:r w:rsidRPr="003D482F">
        <w:rPr>
          <w:rFonts w:ascii="Book Antiqua" w:hAnsi="Book Antiqua" w:cs="宋体"/>
        </w:rPr>
        <w:t>94 </w:t>
      </w:r>
      <w:r w:rsidRPr="003D482F">
        <w:rPr>
          <w:rFonts w:ascii="Book Antiqua" w:hAnsi="Book Antiqua" w:cs="宋体"/>
          <w:b/>
          <w:bCs/>
        </w:rPr>
        <w:t>Goldenring JR</w:t>
      </w:r>
      <w:r w:rsidRPr="003D482F">
        <w:rPr>
          <w:rFonts w:ascii="Book Antiqua" w:hAnsi="Book Antiqua" w:cs="宋体"/>
        </w:rPr>
        <w:t xml:space="preserve">, Nam KT, Wang TC, Mills JC, Wright NA. </w:t>
      </w:r>
      <w:r w:rsidRPr="00AD7868">
        <w:rPr>
          <w:rFonts w:ascii="Book Antiqua" w:hAnsi="Book Antiqua" w:cs="宋体"/>
          <w:lang w:val="en-US"/>
        </w:rPr>
        <w:t>Spasmolytic polypeptide-expressing metaplasia and intestinal metaplasia: time for reevaluation of metaplasias and the origins of gastric cancer. </w:t>
      </w:r>
      <w:r w:rsidRPr="00AD7868">
        <w:rPr>
          <w:rFonts w:ascii="Book Antiqua" w:hAnsi="Book Antiqua" w:cs="宋体"/>
          <w:i/>
          <w:iCs/>
          <w:lang w:val="en-US"/>
        </w:rPr>
        <w:t>Gastroenterology</w:t>
      </w:r>
      <w:r w:rsidRPr="00AD7868">
        <w:rPr>
          <w:rFonts w:ascii="Book Antiqua" w:hAnsi="Book Antiqua" w:cs="宋体"/>
          <w:lang w:val="en-US"/>
        </w:rPr>
        <w:t> 2010; </w:t>
      </w:r>
      <w:r w:rsidRPr="00AD7868">
        <w:rPr>
          <w:rFonts w:ascii="Book Antiqua" w:hAnsi="Book Antiqua" w:cs="宋体"/>
          <w:b/>
          <w:bCs/>
          <w:lang w:val="en-US"/>
        </w:rPr>
        <w:t>138</w:t>
      </w:r>
      <w:r w:rsidRPr="00AD7868">
        <w:rPr>
          <w:rFonts w:ascii="Book Antiqua" w:hAnsi="Book Antiqua" w:cs="宋体"/>
          <w:lang w:val="en-US"/>
        </w:rPr>
        <w:t>: 2207-210, 2210.e1 [PMID: 20450866 DOI: 10.1053/j.gastro.2010.04.023]</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95 </w:t>
      </w:r>
      <w:r w:rsidRPr="00AD7868">
        <w:rPr>
          <w:rFonts w:ascii="Book Antiqua" w:hAnsi="Book Antiqua" w:cs="宋体"/>
          <w:b/>
          <w:bCs/>
          <w:lang w:val="en-US"/>
        </w:rPr>
        <w:t>Yamada H</w:t>
      </w:r>
      <w:r w:rsidRPr="00AD7868">
        <w:rPr>
          <w:rFonts w:ascii="Book Antiqua" w:hAnsi="Book Antiqua" w:cs="宋体"/>
          <w:lang w:val="en-US"/>
        </w:rPr>
        <w:t>, Ikegami M, Shimoda T, Takagi N, Maruyama M. Long-term follow-up study of gastric adenoma/dysplasia. </w:t>
      </w:r>
      <w:r w:rsidRPr="00AD7868">
        <w:rPr>
          <w:rFonts w:ascii="Book Antiqua" w:hAnsi="Book Antiqua" w:cs="宋体"/>
          <w:i/>
          <w:iCs/>
          <w:lang w:val="en-US"/>
        </w:rPr>
        <w:t>Endoscopy</w:t>
      </w:r>
      <w:r w:rsidRPr="00AD7868">
        <w:rPr>
          <w:rFonts w:ascii="Book Antiqua" w:hAnsi="Book Antiqua" w:cs="宋体"/>
          <w:lang w:val="en-US"/>
        </w:rPr>
        <w:t> 2004; </w:t>
      </w:r>
      <w:r w:rsidRPr="00AD7868">
        <w:rPr>
          <w:rFonts w:ascii="Book Antiqua" w:hAnsi="Book Antiqua" w:cs="宋体"/>
          <w:b/>
          <w:bCs/>
          <w:lang w:val="en-US"/>
        </w:rPr>
        <w:t>36</w:t>
      </w:r>
      <w:r w:rsidRPr="00AD7868">
        <w:rPr>
          <w:rFonts w:ascii="Book Antiqua" w:hAnsi="Book Antiqua" w:cs="宋体"/>
          <w:lang w:val="en-US"/>
        </w:rPr>
        <w:t>: 390-396 [PMID: 15100945 DOI: 10.1055/s-2004-814330]</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96 </w:t>
      </w:r>
      <w:r w:rsidRPr="00AD7868">
        <w:rPr>
          <w:rFonts w:ascii="Book Antiqua" w:hAnsi="Book Antiqua" w:cs="宋体"/>
          <w:b/>
          <w:bCs/>
          <w:lang w:val="en-US"/>
        </w:rPr>
        <w:t>Park SY</w:t>
      </w:r>
      <w:r w:rsidRPr="00AD7868">
        <w:rPr>
          <w:rFonts w:ascii="Book Antiqua" w:hAnsi="Book Antiqua" w:cs="宋体"/>
          <w:lang w:val="en-US"/>
        </w:rPr>
        <w:t>, Jeon SW, Jung MK, Cho CM, Tak WY, Kweon YO, Kim SK, Choi YH. Long-term follow-up study of gastric intraepithelial neoplasias: progression from low-grade dysplasia to invasive carcinoma. </w:t>
      </w:r>
      <w:r w:rsidRPr="00AD7868">
        <w:rPr>
          <w:rFonts w:ascii="Book Antiqua" w:hAnsi="Book Antiqua" w:cs="宋体"/>
          <w:i/>
          <w:iCs/>
          <w:lang w:val="en-US"/>
        </w:rPr>
        <w:t>Eur J Gastroenterol Hepatol</w:t>
      </w:r>
      <w:r w:rsidRPr="00AD7868">
        <w:rPr>
          <w:rFonts w:ascii="Book Antiqua" w:hAnsi="Book Antiqua" w:cs="宋体"/>
          <w:lang w:val="en-US"/>
        </w:rPr>
        <w:t> 2008; </w:t>
      </w:r>
      <w:r w:rsidRPr="00AD7868">
        <w:rPr>
          <w:rFonts w:ascii="Book Antiqua" w:hAnsi="Book Antiqua" w:cs="宋体"/>
          <w:b/>
          <w:bCs/>
          <w:lang w:val="en-US"/>
        </w:rPr>
        <w:t>20</w:t>
      </w:r>
      <w:r w:rsidRPr="00AD7868">
        <w:rPr>
          <w:rFonts w:ascii="Book Antiqua" w:hAnsi="Book Antiqua" w:cs="宋体"/>
          <w:lang w:val="en-US"/>
        </w:rPr>
        <w:t>: 966-970 [PMID: 18787462 DOI: 10.1097/MEG.0b013e3283013d58]</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97 </w:t>
      </w:r>
      <w:r w:rsidRPr="00AD7868">
        <w:rPr>
          <w:rFonts w:ascii="Book Antiqua" w:hAnsi="Book Antiqua" w:cs="宋体"/>
          <w:b/>
          <w:bCs/>
          <w:lang w:val="en-US"/>
        </w:rPr>
        <w:t>Lauwers GY</w:t>
      </w:r>
      <w:r w:rsidRPr="00AD7868">
        <w:rPr>
          <w:rFonts w:ascii="Book Antiqua" w:hAnsi="Book Antiqua" w:cs="宋体"/>
          <w:lang w:val="en-US"/>
        </w:rPr>
        <w:t>, Shimizu M, Correa P, Riddell RH, Kato Y, Lewin KJ, Yamabe H, Sheahan DG, Lewin D, Sipponen P, Kubilis PS, Watanabe H. Evaluation of gastric biopsies for neoplasia: differences between Japanese and Western pathologists. </w:t>
      </w:r>
      <w:r w:rsidRPr="00AD7868">
        <w:rPr>
          <w:rFonts w:ascii="Book Antiqua" w:hAnsi="Book Antiqua" w:cs="宋体"/>
          <w:i/>
          <w:iCs/>
          <w:lang w:val="en-US"/>
        </w:rPr>
        <w:t>Am J Surg Pathol</w:t>
      </w:r>
      <w:r w:rsidRPr="00AD7868">
        <w:rPr>
          <w:rFonts w:ascii="Book Antiqua" w:hAnsi="Book Antiqua" w:cs="宋体"/>
          <w:lang w:val="en-US"/>
        </w:rPr>
        <w:t> 1999; </w:t>
      </w:r>
      <w:r w:rsidRPr="00AD7868">
        <w:rPr>
          <w:rFonts w:ascii="Book Antiqua" w:hAnsi="Book Antiqua" w:cs="宋体"/>
          <w:b/>
          <w:bCs/>
          <w:lang w:val="en-US"/>
        </w:rPr>
        <w:t>23</w:t>
      </w:r>
      <w:r w:rsidRPr="00AD7868">
        <w:rPr>
          <w:rFonts w:ascii="Book Antiqua" w:hAnsi="Book Antiqua" w:cs="宋体"/>
          <w:lang w:val="en-US"/>
        </w:rPr>
        <w:t>: 511-518 [PMID: 10328081 DOI: 10.1097/00000478-199905000-00003]</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98</w:t>
      </w:r>
      <w:r w:rsidRPr="00AD7868">
        <w:rPr>
          <w:rFonts w:ascii="Book Antiqua" w:hAnsi="Book Antiqua" w:cs="宋体"/>
          <w:b/>
          <w:lang w:val="en-US"/>
        </w:rPr>
        <w:t xml:space="preserve"> Lauwers GY, </w:t>
      </w:r>
      <w:r w:rsidRPr="00AD7868">
        <w:rPr>
          <w:rFonts w:ascii="Book Antiqua" w:hAnsi="Book Antiqua" w:cs="宋体"/>
          <w:lang w:val="en-US"/>
        </w:rPr>
        <w:t xml:space="preserve">Carneiro F, Graham DY, Curado M-P, Franceschi S, Montgomery E, Tatematsu M, Hattori T. Gastric carcinoma. In: Bosman FT, Carneiro F, Hruban RH, Theise </w:t>
      </w:r>
      <w:r w:rsidRPr="00AD7868">
        <w:rPr>
          <w:rFonts w:ascii="Book Antiqua" w:hAnsi="Book Antiqua" w:cs="宋体"/>
          <w:lang w:val="en-US"/>
        </w:rPr>
        <w:lastRenderedPageBreak/>
        <w:t>ND (eds) WHO Classification of tumours of the digestive system, 4th edn. IARC, Lyon, 2010: 48–58.</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99 </w:t>
      </w:r>
      <w:r w:rsidRPr="00AD7868">
        <w:rPr>
          <w:rFonts w:ascii="Book Antiqua" w:hAnsi="Book Antiqua" w:cs="宋体"/>
          <w:b/>
          <w:bCs/>
          <w:lang w:val="en-US"/>
        </w:rPr>
        <w:t>Dinis-Ribeiro M</w:t>
      </w:r>
      <w:r w:rsidRPr="00AD7868">
        <w:rPr>
          <w:rFonts w:ascii="Book Antiqua" w:hAnsi="Book Antiqua" w:cs="宋体"/>
          <w:lang w:val="en-US"/>
        </w:rPr>
        <w:t>, Areia M, de Vries AC, Marcos-Pinto R, Monteiro-Soares M, O'Connor A, Pereira C, Pimentel-Nunes P, Correia R, Ensari A, Dumonceau JM, Machado JC, Macedo G, Malfertheiner P, Matysiak-Budnik T, Megraud F, Miki K, O'Morain C, Peek RM, Ponchon T, Ristimaki A, Rembacken B, Carneiro F, Kuipers EJ. Management of precancerous conditions and lesions in the stomach (MAPS): guideline from the European Society of Gastrointestinal Endoscopy (ESGE), European Helicobacter Study Group (EHSG), European Society of Pathology (ESP), and the Sociedade Portuguesa de Endoscopia Digestiva (SPED). </w:t>
      </w:r>
      <w:r w:rsidRPr="00AD7868">
        <w:rPr>
          <w:rFonts w:ascii="Book Antiqua" w:hAnsi="Book Antiqua" w:cs="宋体"/>
          <w:i/>
          <w:iCs/>
          <w:lang w:val="en-US"/>
        </w:rPr>
        <w:t>Endoscopy</w:t>
      </w:r>
      <w:r w:rsidRPr="00AD7868">
        <w:rPr>
          <w:rFonts w:ascii="Book Antiqua" w:hAnsi="Book Antiqua" w:cs="宋体"/>
          <w:lang w:val="en-US"/>
        </w:rPr>
        <w:t> 2012; </w:t>
      </w:r>
      <w:r w:rsidRPr="00AD7868">
        <w:rPr>
          <w:rFonts w:ascii="Book Antiqua" w:hAnsi="Book Antiqua" w:cs="宋体"/>
          <w:b/>
          <w:bCs/>
          <w:lang w:val="en-US"/>
        </w:rPr>
        <w:t>44</w:t>
      </w:r>
      <w:r w:rsidRPr="00AD7868">
        <w:rPr>
          <w:rFonts w:ascii="Book Antiqua" w:hAnsi="Book Antiqua" w:cs="宋体"/>
          <w:lang w:val="en-US"/>
        </w:rPr>
        <w:t>: 74-94 [PMID: 22198778 DOI: 10.1055/s-0031-1291491]</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100 </w:t>
      </w:r>
      <w:r w:rsidRPr="00AD7868">
        <w:rPr>
          <w:rFonts w:ascii="Book Antiqua" w:hAnsi="Book Antiqua" w:cs="宋体"/>
          <w:b/>
          <w:bCs/>
          <w:lang w:val="en-US"/>
        </w:rPr>
        <w:t>Dinis-Ribeiro M</w:t>
      </w:r>
      <w:r w:rsidRPr="00AD7868">
        <w:rPr>
          <w:rFonts w:ascii="Book Antiqua" w:hAnsi="Book Antiqua" w:cs="宋体"/>
          <w:lang w:val="en-US"/>
        </w:rPr>
        <w:t>, da Costa-Pereira A, Lopes C, Moreira-Dias L. Feasibility and cost-effectiveness of using magnification chromoendoscopy and pepsinogen serum levels for the follow-up of patients with atrophic chronic gastritis and intestinal metaplasia. </w:t>
      </w:r>
      <w:r w:rsidRPr="00AD7868">
        <w:rPr>
          <w:rFonts w:ascii="Book Antiqua" w:hAnsi="Book Antiqua" w:cs="宋体"/>
          <w:i/>
          <w:iCs/>
          <w:lang w:val="en-US"/>
        </w:rPr>
        <w:t>J Gastroenterol Hepatol</w:t>
      </w:r>
      <w:r w:rsidRPr="00AD7868">
        <w:rPr>
          <w:rFonts w:ascii="Book Antiqua" w:hAnsi="Book Antiqua" w:cs="宋体"/>
          <w:lang w:val="en-US"/>
        </w:rPr>
        <w:t> 2007; </w:t>
      </w:r>
      <w:r w:rsidRPr="00AD7868">
        <w:rPr>
          <w:rFonts w:ascii="Book Antiqua" w:hAnsi="Book Antiqua" w:cs="宋体"/>
          <w:b/>
          <w:bCs/>
          <w:lang w:val="en-US"/>
        </w:rPr>
        <w:t>22</w:t>
      </w:r>
      <w:r w:rsidRPr="00AD7868">
        <w:rPr>
          <w:rFonts w:ascii="Book Antiqua" w:hAnsi="Book Antiqua" w:cs="宋体"/>
          <w:lang w:val="en-US"/>
        </w:rPr>
        <w:t>: 1594-1604 [PMID: 17845687 DOI: 10.1111/j.1440-1746.2007.04863.x]</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101 </w:t>
      </w:r>
      <w:r w:rsidRPr="00AD7868">
        <w:rPr>
          <w:rFonts w:ascii="Book Antiqua" w:hAnsi="Book Antiqua" w:cs="宋体"/>
          <w:b/>
          <w:bCs/>
          <w:lang w:val="en-US"/>
        </w:rPr>
        <w:t>Hassan C</w:t>
      </w:r>
      <w:r w:rsidRPr="00AD7868">
        <w:rPr>
          <w:rFonts w:ascii="Book Antiqua" w:hAnsi="Book Antiqua" w:cs="宋体"/>
          <w:lang w:val="en-US"/>
        </w:rPr>
        <w:t>, Zullo A, Di Giulio E, Annibale B, Lahner E, De Francesco V, Ierardi E. Cost-effectiveness of endoscopic surveillance for gastric intestinal metaplasia. </w:t>
      </w:r>
      <w:r w:rsidRPr="00AD7868">
        <w:rPr>
          <w:rFonts w:ascii="Book Antiqua" w:hAnsi="Book Antiqua" w:cs="宋体"/>
          <w:i/>
          <w:iCs/>
          <w:lang w:val="en-US"/>
        </w:rPr>
        <w:t>Helicobacter</w:t>
      </w:r>
      <w:r w:rsidRPr="00AD7868">
        <w:rPr>
          <w:rFonts w:ascii="Book Antiqua" w:hAnsi="Book Antiqua" w:cs="宋体"/>
          <w:lang w:val="en-US"/>
        </w:rPr>
        <w:t> 2010; </w:t>
      </w:r>
      <w:r w:rsidRPr="00AD7868">
        <w:rPr>
          <w:rFonts w:ascii="Book Antiqua" w:hAnsi="Book Antiqua" w:cs="宋体"/>
          <w:b/>
          <w:bCs/>
          <w:lang w:val="en-US"/>
        </w:rPr>
        <w:t>15</w:t>
      </w:r>
      <w:r w:rsidRPr="00AD7868">
        <w:rPr>
          <w:rFonts w:ascii="Book Antiqua" w:hAnsi="Book Antiqua" w:cs="宋体"/>
          <w:lang w:val="en-US"/>
        </w:rPr>
        <w:t>: 221-226 [PMID: 20557364 DOI: 10.1111/j.1523-5378.2010.00752.x]</w:t>
      </w:r>
    </w:p>
    <w:p w:rsidR="00F10C6E" w:rsidRPr="00AD7868" w:rsidRDefault="00F10C6E" w:rsidP="00BB1CAA">
      <w:pPr>
        <w:spacing w:line="360" w:lineRule="auto"/>
        <w:jc w:val="both"/>
        <w:rPr>
          <w:rFonts w:ascii="Book Antiqua" w:hAnsi="Book Antiqua" w:cs="宋体"/>
          <w:lang w:val="en-US"/>
        </w:rPr>
      </w:pPr>
      <w:r w:rsidRPr="00AD7868">
        <w:rPr>
          <w:rFonts w:ascii="Book Antiqua" w:hAnsi="Book Antiqua" w:cs="宋体"/>
          <w:lang w:val="en-US"/>
        </w:rPr>
        <w:t>102 </w:t>
      </w:r>
      <w:r w:rsidRPr="00AD7868">
        <w:rPr>
          <w:rFonts w:ascii="Book Antiqua" w:hAnsi="Book Antiqua" w:cs="宋体"/>
          <w:b/>
          <w:bCs/>
          <w:lang w:val="en-US"/>
        </w:rPr>
        <w:t>Yeh JM</w:t>
      </w:r>
      <w:r w:rsidRPr="00AD7868">
        <w:rPr>
          <w:rFonts w:ascii="Book Antiqua" w:hAnsi="Book Antiqua" w:cs="宋体"/>
          <w:lang w:val="en-US"/>
        </w:rPr>
        <w:t>, Hur C, Kuntz KM, Ezzati M, Goldie SJ. Cost-effectiveness of treatment and endoscopic surveillance of precancerous lesions to prevent gastric cancer. </w:t>
      </w:r>
      <w:r w:rsidRPr="00AD7868">
        <w:rPr>
          <w:rFonts w:ascii="Book Antiqua" w:hAnsi="Book Antiqua" w:cs="宋体"/>
          <w:i/>
          <w:iCs/>
          <w:lang w:val="en-US"/>
        </w:rPr>
        <w:t>Cancer</w:t>
      </w:r>
      <w:r w:rsidRPr="00AD7868">
        <w:rPr>
          <w:rFonts w:ascii="Book Antiqua" w:hAnsi="Book Antiqua" w:cs="宋体"/>
          <w:lang w:val="en-US"/>
        </w:rPr>
        <w:t> 2010; </w:t>
      </w:r>
      <w:r w:rsidRPr="00AD7868">
        <w:rPr>
          <w:rFonts w:ascii="Book Antiqua" w:hAnsi="Book Antiqua" w:cs="宋体"/>
          <w:b/>
          <w:bCs/>
          <w:lang w:val="en-US"/>
        </w:rPr>
        <w:t>116</w:t>
      </w:r>
      <w:r w:rsidRPr="00AD7868">
        <w:rPr>
          <w:rFonts w:ascii="Book Antiqua" w:hAnsi="Book Antiqua" w:cs="宋体"/>
          <w:lang w:val="en-US"/>
        </w:rPr>
        <w:t>: 2941-2953 [PMID: 20564399 DOI: 10.1002/cncr.25030]</w:t>
      </w:r>
    </w:p>
    <w:p w:rsidR="00F10C6E" w:rsidRPr="00AD7868" w:rsidRDefault="00F10C6E" w:rsidP="00BB1CAA">
      <w:pPr>
        <w:spacing w:line="360" w:lineRule="auto"/>
        <w:jc w:val="both"/>
        <w:rPr>
          <w:rFonts w:ascii="Book Antiqua" w:hAnsi="Book Antiqua"/>
          <w:lang w:val="en-US"/>
        </w:rPr>
      </w:pPr>
    </w:p>
    <w:p w:rsidR="00F10C6E" w:rsidRPr="00AD7868" w:rsidRDefault="00F10C6E" w:rsidP="00BB1CAA">
      <w:pPr>
        <w:autoSpaceDE w:val="0"/>
        <w:autoSpaceDN w:val="0"/>
        <w:adjustRightInd w:val="0"/>
        <w:spacing w:line="360" w:lineRule="auto"/>
        <w:jc w:val="both"/>
        <w:rPr>
          <w:rFonts w:ascii="Book Antiqua" w:hAnsi="Book Antiqua"/>
          <w:bCs/>
          <w:iCs/>
          <w:lang w:val="en-US" w:eastAsia="zh-CN"/>
        </w:rPr>
      </w:pPr>
    </w:p>
    <w:p w:rsidR="00F10C6E" w:rsidRPr="00AD7868" w:rsidRDefault="00F10C6E" w:rsidP="00D95E46">
      <w:pPr>
        <w:pStyle w:val="ab"/>
        <w:wordWrap w:val="0"/>
        <w:spacing w:line="360" w:lineRule="auto"/>
        <w:ind w:right="240"/>
        <w:jc w:val="right"/>
        <w:rPr>
          <w:rFonts w:ascii="Book Antiqua" w:hAnsi="Book Antiqua"/>
          <w:b/>
          <w:bCs/>
          <w:color w:val="000000"/>
          <w:lang w:val="en-US" w:eastAsia="zh-CN"/>
        </w:rPr>
      </w:pPr>
      <w:bookmarkStart w:id="22" w:name="OLE_LINK277"/>
      <w:bookmarkStart w:id="23" w:name="OLE_LINK278"/>
      <w:bookmarkStart w:id="24" w:name="OLE_LINK279"/>
      <w:bookmarkStart w:id="25" w:name="OLE_LINK290"/>
      <w:bookmarkStart w:id="26" w:name="OLE_LINK301"/>
      <w:bookmarkStart w:id="27" w:name="OLE_LINK312"/>
      <w:bookmarkStart w:id="28" w:name="OLE_LINK315"/>
      <w:bookmarkStart w:id="29" w:name="OLE_LINK316"/>
      <w:bookmarkStart w:id="30" w:name="OLE_LINK317"/>
      <w:bookmarkStart w:id="31" w:name="OLE_LINK318"/>
      <w:bookmarkStart w:id="32" w:name="OLE_LINK326"/>
      <w:bookmarkStart w:id="33" w:name="OLE_LINK335"/>
      <w:bookmarkStart w:id="34" w:name="OLE_LINK339"/>
      <w:bookmarkStart w:id="35" w:name="OLE_LINK348"/>
      <w:bookmarkStart w:id="36" w:name="OLE_LINK399"/>
      <w:r w:rsidRPr="00AD7868">
        <w:rPr>
          <w:rStyle w:val="ad"/>
          <w:rFonts w:ascii="Book Antiqua" w:hAnsi="Book Antiqua" w:cs="Arial"/>
          <w:bCs w:val="0"/>
          <w:noProof/>
          <w:color w:val="000000"/>
          <w:lang w:val="en-US"/>
        </w:rPr>
        <w:t>P-Reviewers</w:t>
      </w:r>
      <w:r w:rsidRPr="00AD7868">
        <w:rPr>
          <w:rStyle w:val="ad"/>
          <w:rFonts w:ascii="Book Antiqua" w:hAnsi="Book Antiqua" w:cs="Arial"/>
          <w:bCs w:val="0"/>
          <w:noProof/>
          <w:color w:val="000000"/>
          <w:lang w:val="en-US" w:eastAsia="zh-CN"/>
        </w:rPr>
        <w:t>:</w:t>
      </w:r>
      <w:r w:rsidRPr="00AD7868">
        <w:rPr>
          <w:rFonts w:ascii="Book Antiqua" w:hAnsi="Book Antiqua"/>
          <w:bCs/>
          <w:color w:val="000000"/>
          <w:lang w:val="en-US"/>
        </w:rPr>
        <w:t xml:space="preserve"> Kotzampassakis</w:t>
      </w:r>
      <w:r w:rsidRPr="00AD7868">
        <w:rPr>
          <w:rFonts w:ascii="Book Antiqua" w:hAnsi="Book Antiqua"/>
          <w:bCs/>
          <w:color w:val="000000"/>
          <w:lang w:val="en-US" w:eastAsia="zh-CN"/>
        </w:rPr>
        <w:t xml:space="preserve"> N,</w:t>
      </w:r>
      <w:r w:rsidRPr="00AD7868">
        <w:rPr>
          <w:rFonts w:ascii="Book Antiqua" w:hAnsi="Book Antiqua"/>
          <w:bCs/>
          <w:color w:val="000000"/>
          <w:lang w:val="en-US"/>
        </w:rPr>
        <w:t xml:space="preserve">  Park</w:t>
      </w:r>
      <w:r w:rsidRPr="00AD7868">
        <w:rPr>
          <w:rFonts w:ascii="Book Antiqua" w:hAnsi="Book Antiqua"/>
          <w:bCs/>
          <w:color w:val="000000"/>
          <w:lang w:val="en-US" w:eastAsia="zh-CN"/>
        </w:rPr>
        <w:t xml:space="preserve"> WS,</w:t>
      </w:r>
      <w:r w:rsidRPr="00AD7868">
        <w:rPr>
          <w:rFonts w:ascii="Book Antiqua" w:hAnsi="Book Antiqua"/>
          <w:bCs/>
          <w:color w:val="000000"/>
          <w:lang w:val="en-US"/>
        </w:rPr>
        <w:t xml:space="preserve"> Peleteiro</w:t>
      </w:r>
      <w:r w:rsidRPr="00AD7868">
        <w:rPr>
          <w:rFonts w:ascii="Book Antiqua" w:hAnsi="Book Antiqua"/>
          <w:bCs/>
          <w:color w:val="000000"/>
          <w:lang w:val="en-US" w:eastAsia="zh-CN"/>
        </w:rPr>
        <w:t xml:space="preserve"> B </w:t>
      </w:r>
      <w:r w:rsidRPr="00AD7868">
        <w:rPr>
          <w:rFonts w:ascii="Book Antiqua" w:hAnsi="Book Antiqua"/>
          <w:b/>
          <w:bCs/>
          <w:color w:val="000000"/>
          <w:lang w:val="en-US"/>
        </w:rPr>
        <w:t>S-Editor</w:t>
      </w:r>
      <w:r w:rsidRPr="00AD7868">
        <w:rPr>
          <w:rFonts w:ascii="Book Antiqua" w:hAnsi="Book Antiqua"/>
          <w:b/>
          <w:bCs/>
          <w:color w:val="000000"/>
          <w:lang w:val="en-US" w:eastAsia="zh-CN"/>
        </w:rPr>
        <w:t>:</w:t>
      </w:r>
      <w:r w:rsidRPr="00AD7868">
        <w:rPr>
          <w:rFonts w:ascii="Book Antiqua" w:hAnsi="Book Antiqua"/>
          <w:bCs/>
          <w:color w:val="000000"/>
          <w:lang w:val="en-US"/>
        </w:rPr>
        <w:t xml:space="preserve"> </w:t>
      </w:r>
      <w:r w:rsidRPr="00AD7868">
        <w:rPr>
          <w:rFonts w:ascii="Book Antiqua" w:hAnsi="Book Antiqua"/>
          <w:bCs/>
          <w:color w:val="000000"/>
          <w:lang w:val="en-US" w:eastAsia="zh-CN"/>
        </w:rPr>
        <w:t>Qi Y</w:t>
      </w:r>
    </w:p>
    <w:p w:rsidR="00F10C6E" w:rsidRPr="00AD7868" w:rsidRDefault="00F10C6E" w:rsidP="00BB1CAA">
      <w:pPr>
        <w:pStyle w:val="ab"/>
        <w:spacing w:line="360" w:lineRule="auto"/>
        <w:ind w:right="240"/>
        <w:jc w:val="right"/>
        <w:rPr>
          <w:rFonts w:ascii="Book Antiqua" w:hAnsi="Book Antiqua"/>
          <w:b/>
          <w:bCs/>
          <w:color w:val="000000"/>
          <w:lang w:val="en-US" w:eastAsia="zh-CN"/>
        </w:rPr>
      </w:pPr>
      <w:r w:rsidRPr="00AD7868">
        <w:rPr>
          <w:rFonts w:ascii="Book Antiqua" w:hAnsi="Book Antiqua"/>
          <w:b/>
          <w:bCs/>
          <w:color w:val="000000"/>
          <w:lang w:val="en-US"/>
        </w:rPr>
        <w:t>L-Editor</w:t>
      </w:r>
      <w:r w:rsidRPr="00AD7868">
        <w:rPr>
          <w:rFonts w:ascii="Book Antiqua" w:hAnsi="Book Antiqua"/>
          <w:b/>
          <w:bCs/>
          <w:color w:val="000000"/>
          <w:lang w:val="en-US" w:eastAsia="zh-CN"/>
        </w:rPr>
        <w:t>:</w:t>
      </w:r>
      <w:r w:rsidRPr="00AD7868">
        <w:rPr>
          <w:rFonts w:ascii="Book Antiqua" w:hAnsi="Book Antiqua"/>
          <w:b/>
          <w:bCs/>
          <w:color w:val="000000"/>
          <w:lang w:val="en-US"/>
        </w:rPr>
        <w:t xml:space="preserve">   E-Editor</w:t>
      </w:r>
      <w:r w:rsidRPr="00AD7868">
        <w:rPr>
          <w:rFonts w:ascii="Book Antiqua" w:hAnsi="Book Antiqua"/>
          <w:b/>
          <w:bCs/>
          <w:color w:val="000000"/>
          <w:lang w:val="en-US" w:eastAsia="zh-CN"/>
        </w:rPr>
        <w:t>:</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F10C6E" w:rsidRPr="008F0357" w:rsidRDefault="00F10C6E">
      <w:pPr>
        <w:rPr>
          <w:rFonts w:ascii="Book Antiqua" w:hAnsi="Book Antiqua"/>
          <w:bCs/>
          <w:iCs/>
          <w:lang w:val="en-US"/>
        </w:rPr>
      </w:pPr>
      <w:r w:rsidRPr="008F0357">
        <w:rPr>
          <w:rFonts w:ascii="Book Antiqua" w:hAnsi="Book Antiqua"/>
          <w:bCs/>
          <w:iCs/>
          <w:lang w:val="en-US"/>
        </w:rPr>
        <w:br w:type="page"/>
      </w:r>
    </w:p>
    <w:p w:rsidR="00F10C6E" w:rsidRPr="008F0357" w:rsidRDefault="00F10C6E" w:rsidP="00174C31">
      <w:pPr>
        <w:spacing w:line="360" w:lineRule="auto"/>
        <w:jc w:val="both"/>
        <w:rPr>
          <w:rFonts w:ascii="Book Antiqua" w:hAnsi="Book Antiqua"/>
          <w:lang w:val="en-US"/>
        </w:rPr>
      </w:pPr>
      <w:r>
        <w:rPr>
          <w:rFonts w:ascii="Book Antiqua" w:hAnsi="Book Antiqua"/>
          <w:b/>
          <w:lang w:val="en-US"/>
        </w:rPr>
        <w:t>Figure 1</w:t>
      </w:r>
      <w:r>
        <w:rPr>
          <w:rFonts w:ascii="Book Antiqua" w:hAnsi="Book Antiqua"/>
          <w:b/>
          <w:lang w:val="en-US" w:eastAsia="zh-CN"/>
        </w:rPr>
        <w:t xml:space="preserve"> </w:t>
      </w:r>
      <w:r w:rsidRPr="008F0357">
        <w:rPr>
          <w:rFonts w:ascii="Book Antiqua" w:hAnsi="Book Antiqua"/>
          <w:b/>
          <w:lang w:val="en-US"/>
        </w:rPr>
        <w:t>“Hypothetical” screening program for gastric cancer according to geographic area and individual risk</w:t>
      </w:r>
      <w:r w:rsidRPr="008F0357">
        <w:rPr>
          <w:rFonts w:ascii="Book Antiqua" w:hAnsi="Book Antiqua"/>
          <w:lang w:val="en-US"/>
        </w:rPr>
        <w:t>.</w:t>
      </w:r>
      <w:r w:rsidRPr="008F0357">
        <w:rPr>
          <w:rFonts w:ascii="Book Antiqua" w:hAnsi="Book Antiqua"/>
          <w:lang w:val="en-US" w:eastAsia="zh-CN"/>
        </w:rPr>
        <w:t xml:space="preserve"> </w:t>
      </w:r>
      <w:r w:rsidRPr="00280FF9">
        <w:rPr>
          <w:rFonts w:ascii="Book Antiqua" w:hAnsi="Book Antiqua"/>
          <w:i/>
          <w:lang w:val="en-US"/>
        </w:rPr>
        <w:t>H</w:t>
      </w:r>
      <w:r w:rsidRPr="00280FF9">
        <w:rPr>
          <w:rFonts w:ascii="Book Antiqua" w:hAnsi="Book Antiqua"/>
          <w:i/>
          <w:lang w:val="en-US" w:eastAsia="zh-CN"/>
        </w:rPr>
        <w:t>.</w:t>
      </w:r>
      <w:r w:rsidRPr="008F0357">
        <w:rPr>
          <w:rFonts w:ascii="Book Antiqua" w:hAnsi="Book Antiqua"/>
          <w:i/>
          <w:lang w:val="en-US"/>
        </w:rPr>
        <w:t xml:space="preserve"> pylori</w:t>
      </w:r>
      <w:r w:rsidRPr="008F0357">
        <w:rPr>
          <w:rFonts w:ascii="Book Antiqua" w:hAnsi="Book Antiqua"/>
          <w:lang w:val="en-US"/>
        </w:rPr>
        <w:t>:</w:t>
      </w:r>
      <w:r w:rsidRPr="008F0357">
        <w:rPr>
          <w:rFonts w:ascii="Book Antiqua" w:hAnsi="Book Antiqua"/>
          <w:i/>
          <w:lang w:val="en-US"/>
        </w:rPr>
        <w:t xml:space="preserve"> Helicobacter pylori; </w:t>
      </w:r>
      <w:r w:rsidRPr="00D95E46">
        <w:rPr>
          <w:rFonts w:ascii="Book Antiqua" w:hAnsi="Book Antiqua"/>
          <w:lang w:val="en-US"/>
        </w:rPr>
        <w:t xml:space="preserve">PG: </w:t>
      </w:r>
      <w:r w:rsidRPr="008F0357">
        <w:rPr>
          <w:rFonts w:ascii="Book Antiqua" w:hAnsi="Book Antiqua"/>
          <w:lang w:val="en-US"/>
        </w:rPr>
        <w:t>Pepsinogen.</w:t>
      </w:r>
    </w:p>
    <w:p w:rsidR="00F10C6E" w:rsidRPr="005E19CF" w:rsidRDefault="00F322D4" w:rsidP="005E19CF">
      <w:pPr>
        <w:rPr>
          <w:rFonts w:ascii="宋体" w:cs="宋体"/>
          <w:lang w:val="en-US" w:eastAsia="zh-CN"/>
        </w:rPr>
      </w:pPr>
      <w:r>
        <w:rPr>
          <w:rFonts w:ascii="宋体" w:cs="宋体"/>
          <w:noProof/>
          <w:lang w:val="en-US" w:eastAsia="zh-CN"/>
        </w:rPr>
        <w:drawing>
          <wp:inline distT="0" distB="0" distL="0" distR="0">
            <wp:extent cx="6503035" cy="32188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3035" cy="3218815"/>
                    </a:xfrm>
                    <a:prstGeom prst="rect">
                      <a:avLst/>
                    </a:prstGeom>
                    <a:noFill/>
                    <a:ln>
                      <a:noFill/>
                    </a:ln>
                  </pic:spPr>
                </pic:pic>
              </a:graphicData>
            </a:graphic>
          </wp:inline>
        </w:drawing>
      </w:r>
    </w:p>
    <w:p w:rsidR="00F10C6E" w:rsidRPr="008F0357" w:rsidRDefault="00F10C6E" w:rsidP="00174C31">
      <w:pPr>
        <w:spacing w:line="360" w:lineRule="auto"/>
        <w:jc w:val="both"/>
        <w:rPr>
          <w:rFonts w:ascii="Book Antiqua" w:hAnsi="Book Antiqua"/>
          <w:lang w:val="en-US"/>
        </w:rPr>
      </w:pPr>
    </w:p>
    <w:p w:rsidR="00F10C6E" w:rsidRPr="008F0357" w:rsidRDefault="00F10C6E" w:rsidP="00174C31">
      <w:pPr>
        <w:spacing w:line="360" w:lineRule="auto"/>
        <w:jc w:val="both"/>
        <w:rPr>
          <w:rFonts w:ascii="Book Antiqua" w:hAnsi="Book Antiqua"/>
          <w:b/>
          <w:lang w:val="en-US" w:eastAsia="zh-CN"/>
        </w:rPr>
      </w:pPr>
      <w:r>
        <w:rPr>
          <w:rFonts w:ascii="Book Antiqua" w:hAnsi="Book Antiqua"/>
          <w:b/>
          <w:lang w:val="en-US"/>
        </w:rPr>
        <w:t>Figure 2</w:t>
      </w:r>
      <w:r>
        <w:rPr>
          <w:rFonts w:ascii="Book Antiqua" w:hAnsi="Book Antiqua"/>
          <w:b/>
          <w:lang w:val="en-US" w:eastAsia="zh-CN"/>
        </w:rPr>
        <w:t xml:space="preserve"> </w:t>
      </w:r>
      <w:r w:rsidRPr="008F0357">
        <w:rPr>
          <w:rFonts w:ascii="Book Antiqua" w:hAnsi="Book Antiqua"/>
          <w:b/>
          <w:lang w:val="en-US"/>
        </w:rPr>
        <w:t>Surveillance protocol of gastric precancerous lesions according to the guidelines of a recent International Consensus Project</w:t>
      </w:r>
      <w:r w:rsidRPr="008F0357">
        <w:rPr>
          <w:rFonts w:ascii="Book Antiqua" w:hAnsi="Book Antiqua"/>
          <w:b/>
          <w:vertAlign w:val="superscript"/>
          <w:lang w:val="en-US"/>
        </w:rPr>
        <w:t>[99]</w:t>
      </w:r>
      <w:r w:rsidRPr="008F0357">
        <w:rPr>
          <w:rFonts w:ascii="Book Antiqua" w:hAnsi="Book Antiqua"/>
          <w:b/>
          <w:lang w:val="en-US" w:eastAsia="zh-CN"/>
        </w:rPr>
        <w:t>.</w:t>
      </w:r>
    </w:p>
    <w:p w:rsidR="00F10C6E" w:rsidRPr="005E19CF" w:rsidRDefault="00F322D4" w:rsidP="005E19CF">
      <w:pPr>
        <w:rPr>
          <w:rFonts w:ascii="宋体" w:cs="宋体"/>
          <w:lang w:val="en-US" w:eastAsia="zh-CN"/>
        </w:rPr>
      </w:pPr>
      <w:r>
        <w:rPr>
          <w:rFonts w:ascii="宋体" w:cs="宋体"/>
          <w:noProof/>
          <w:lang w:val="en-US" w:eastAsia="zh-CN"/>
        </w:rPr>
        <w:drawing>
          <wp:inline distT="0" distB="0" distL="0" distR="0">
            <wp:extent cx="6671310" cy="33064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1310" cy="3306445"/>
                    </a:xfrm>
                    <a:prstGeom prst="rect">
                      <a:avLst/>
                    </a:prstGeom>
                    <a:noFill/>
                    <a:ln>
                      <a:noFill/>
                    </a:ln>
                  </pic:spPr>
                </pic:pic>
              </a:graphicData>
            </a:graphic>
          </wp:inline>
        </w:drawing>
      </w:r>
    </w:p>
    <w:p w:rsidR="00F10C6E" w:rsidRPr="008F0357" w:rsidRDefault="00F10C6E" w:rsidP="000A2D1C">
      <w:pPr>
        <w:pStyle w:val="ab"/>
        <w:autoSpaceDE w:val="0"/>
        <w:autoSpaceDN w:val="0"/>
        <w:adjustRightInd w:val="0"/>
        <w:spacing w:line="360" w:lineRule="auto"/>
        <w:jc w:val="both"/>
        <w:rPr>
          <w:rFonts w:ascii="Book Antiqua" w:hAnsi="Book Antiqua"/>
          <w:bCs/>
          <w:iCs/>
          <w:lang w:val="en-US"/>
        </w:rPr>
      </w:pPr>
    </w:p>
    <w:sectPr w:rsidR="00F10C6E" w:rsidRPr="008F0357" w:rsidSect="00A1155B">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52" w:rsidRDefault="00732B52">
      <w:r>
        <w:separator/>
      </w:r>
    </w:p>
  </w:endnote>
  <w:endnote w:type="continuationSeparator" w:id="0">
    <w:p w:rsidR="00732B52" w:rsidRDefault="0073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6E" w:rsidRDefault="00F10C6E" w:rsidP="002A134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10C6E" w:rsidRDefault="00F10C6E" w:rsidP="002A134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6E" w:rsidRDefault="00F10C6E" w:rsidP="002A134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322D4">
      <w:rPr>
        <w:rStyle w:val="a8"/>
        <w:noProof/>
      </w:rPr>
      <w:t>1</w:t>
    </w:r>
    <w:r>
      <w:rPr>
        <w:rStyle w:val="a8"/>
      </w:rPr>
      <w:fldChar w:fldCharType="end"/>
    </w:r>
  </w:p>
  <w:p w:rsidR="00F10C6E" w:rsidRDefault="00F10C6E" w:rsidP="002A134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52" w:rsidRDefault="00732B52">
      <w:r>
        <w:separator/>
      </w:r>
    </w:p>
  </w:footnote>
  <w:footnote w:type="continuationSeparator" w:id="0">
    <w:p w:rsidR="00732B52" w:rsidRDefault="00732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09E4"/>
    <w:multiLevelType w:val="hybridMultilevel"/>
    <w:tmpl w:val="6AACAD60"/>
    <w:lvl w:ilvl="0" w:tplc="FFFFFFFF">
      <w:start w:val="1"/>
      <w:numFmt w:val="decimal"/>
      <w:lvlText w:val="%1."/>
      <w:lvlJc w:val="left"/>
      <w:pPr>
        <w:tabs>
          <w:tab w:val="num" w:pos="454"/>
        </w:tabs>
        <w:ind w:left="454" w:hanging="454"/>
      </w:pPr>
      <w:rPr>
        <w:rFonts w:ascii="Times New Roman" w:hAnsi="Times New Roman" w:cs="Times New Roman" w:hint="default"/>
        <w:b w:val="0"/>
        <w:i w:val="0"/>
        <w:sz w:val="24"/>
        <w:szCs w:val="24"/>
        <w:vertAlign w:val="baseline"/>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E147894"/>
    <w:multiLevelType w:val="hybridMultilevel"/>
    <w:tmpl w:val="36945060"/>
    <w:lvl w:ilvl="0" w:tplc="D452DFB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2F633611"/>
    <w:multiLevelType w:val="hybridMultilevel"/>
    <w:tmpl w:val="5706E610"/>
    <w:lvl w:ilvl="0" w:tplc="BE9C083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FE19E7"/>
    <w:multiLevelType w:val="hybridMultilevel"/>
    <w:tmpl w:val="785269C2"/>
    <w:lvl w:ilvl="0" w:tplc="C8B0B96A">
      <w:start w:val="1"/>
      <w:numFmt w:val="decimal"/>
      <w:lvlText w:val="%1."/>
      <w:lvlJc w:val="left"/>
      <w:pPr>
        <w:ind w:left="720" w:hanging="360"/>
      </w:pPr>
      <w:rPr>
        <w:rFonts w:ascii="Times New Roman" w:hAnsi="Times New Roman" w:cs="Times New Roman" w:hint="default"/>
        <w:b w:val="0"/>
        <w:i w:val="0"/>
        <w:sz w:val="2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50E22BE4"/>
    <w:multiLevelType w:val="hybridMultilevel"/>
    <w:tmpl w:val="01CE77BE"/>
    <w:lvl w:ilvl="0" w:tplc="28CA2CCE">
      <w:start w:val="1"/>
      <w:numFmt w:val="bullet"/>
      <w:lvlText w:val=""/>
      <w:lvlJc w:val="left"/>
      <w:pPr>
        <w:tabs>
          <w:tab w:val="num" w:pos="720"/>
        </w:tabs>
        <w:ind w:left="720" w:hanging="360"/>
      </w:pPr>
      <w:rPr>
        <w:rFonts w:ascii="Wingdings" w:hAnsi="Wingdings" w:hint="default"/>
      </w:rPr>
    </w:lvl>
    <w:lvl w:ilvl="1" w:tplc="55922A5C" w:tentative="1">
      <w:start w:val="1"/>
      <w:numFmt w:val="bullet"/>
      <w:lvlText w:val=""/>
      <w:lvlJc w:val="left"/>
      <w:pPr>
        <w:tabs>
          <w:tab w:val="num" w:pos="1440"/>
        </w:tabs>
        <w:ind w:left="1440" w:hanging="360"/>
      </w:pPr>
      <w:rPr>
        <w:rFonts w:ascii="Wingdings" w:hAnsi="Wingdings" w:hint="default"/>
      </w:rPr>
    </w:lvl>
    <w:lvl w:ilvl="2" w:tplc="970066CC" w:tentative="1">
      <w:start w:val="1"/>
      <w:numFmt w:val="bullet"/>
      <w:lvlText w:val=""/>
      <w:lvlJc w:val="left"/>
      <w:pPr>
        <w:tabs>
          <w:tab w:val="num" w:pos="2160"/>
        </w:tabs>
        <w:ind w:left="2160" w:hanging="360"/>
      </w:pPr>
      <w:rPr>
        <w:rFonts w:ascii="Wingdings" w:hAnsi="Wingdings" w:hint="default"/>
      </w:rPr>
    </w:lvl>
    <w:lvl w:ilvl="3" w:tplc="15246C7A" w:tentative="1">
      <w:start w:val="1"/>
      <w:numFmt w:val="bullet"/>
      <w:lvlText w:val=""/>
      <w:lvlJc w:val="left"/>
      <w:pPr>
        <w:tabs>
          <w:tab w:val="num" w:pos="2880"/>
        </w:tabs>
        <w:ind w:left="2880" w:hanging="360"/>
      </w:pPr>
      <w:rPr>
        <w:rFonts w:ascii="Wingdings" w:hAnsi="Wingdings" w:hint="default"/>
      </w:rPr>
    </w:lvl>
    <w:lvl w:ilvl="4" w:tplc="EB104ABE" w:tentative="1">
      <w:start w:val="1"/>
      <w:numFmt w:val="bullet"/>
      <w:lvlText w:val=""/>
      <w:lvlJc w:val="left"/>
      <w:pPr>
        <w:tabs>
          <w:tab w:val="num" w:pos="3600"/>
        </w:tabs>
        <w:ind w:left="3600" w:hanging="360"/>
      </w:pPr>
      <w:rPr>
        <w:rFonts w:ascii="Wingdings" w:hAnsi="Wingdings" w:hint="default"/>
      </w:rPr>
    </w:lvl>
    <w:lvl w:ilvl="5" w:tplc="B908E0BE" w:tentative="1">
      <w:start w:val="1"/>
      <w:numFmt w:val="bullet"/>
      <w:lvlText w:val=""/>
      <w:lvlJc w:val="left"/>
      <w:pPr>
        <w:tabs>
          <w:tab w:val="num" w:pos="4320"/>
        </w:tabs>
        <w:ind w:left="4320" w:hanging="360"/>
      </w:pPr>
      <w:rPr>
        <w:rFonts w:ascii="Wingdings" w:hAnsi="Wingdings" w:hint="default"/>
      </w:rPr>
    </w:lvl>
    <w:lvl w:ilvl="6" w:tplc="6D4A3F8E" w:tentative="1">
      <w:start w:val="1"/>
      <w:numFmt w:val="bullet"/>
      <w:lvlText w:val=""/>
      <w:lvlJc w:val="left"/>
      <w:pPr>
        <w:tabs>
          <w:tab w:val="num" w:pos="5040"/>
        </w:tabs>
        <w:ind w:left="5040" w:hanging="360"/>
      </w:pPr>
      <w:rPr>
        <w:rFonts w:ascii="Wingdings" w:hAnsi="Wingdings" w:hint="default"/>
      </w:rPr>
    </w:lvl>
    <w:lvl w:ilvl="7" w:tplc="816A4940" w:tentative="1">
      <w:start w:val="1"/>
      <w:numFmt w:val="bullet"/>
      <w:lvlText w:val=""/>
      <w:lvlJc w:val="left"/>
      <w:pPr>
        <w:tabs>
          <w:tab w:val="num" w:pos="5760"/>
        </w:tabs>
        <w:ind w:left="5760" w:hanging="360"/>
      </w:pPr>
      <w:rPr>
        <w:rFonts w:ascii="Wingdings" w:hAnsi="Wingdings" w:hint="default"/>
      </w:rPr>
    </w:lvl>
    <w:lvl w:ilvl="8" w:tplc="984E6DB4" w:tentative="1">
      <w:start w:val="1"/>
      <w:numFmt w:val="bullet"/>
      <w:lvlText w:val=""/>
      <w:lvlJc w:val="left"/>
      <w:pPr>
        <w:tabs>
          <w:tab w:val="num" w:pos="6480"/>
        </w:tabs>
        <w:ind w:left="6480" w:hanging="360"/>
      </w:pPr>
      <w:rPr>
        <w:rFonts w:ascii="Wingdings" w:hAnsi="Wingdings" w:hint="default"/>
      </w:rPr>
    </w:lvl>
  </w:abstractNum>
  <w:abstractNum w:abstractNumId="5">
    <w:nsid w:val="7C021FCD"/>
    <w:multiLevelType w:val="singleLevel"/>
    <w:tmpl w:val="C7F46396"/>
    <w:lvl w:ilvl="0">
      <w:start w:val="1"/>
      <w:numFmt w:val="decimal"/>
      <w:lvlText w:val="%1."/>
      <w:lvlJc w:val="left"/>
      <w:pPr>
        <w:tabs>
          <w:tab w:val="num" w:pos="360"/>
        </w:tabs>
        <w:ind w:left="360" w:hanging="360"/>
      </w:pPr>
      <w:rPr>
        <w:rFonts w:cs="Times New Roman"/>
        <w:b w:val="0"/>
        <w:i w:val="0"/>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0A"/>
    <w:rsid w:val="00006F8B"/>
    <w:rsid w:val="00007A5F"/>
    <w:rsid w:val="00021A4E"/>
    <w:rsid w:val="0002426E"/>
    <w:rsid w:val="0002696C"/>
    <w:rsid w:val="00034650"/>
    <w:rsid w:val="00041772"/>
    <w:rsid w:val="00042490"/>
    <w:rsid w:val="000509DC"/>
    <w:rsid w:val="00051544"/>
    <w:rsid w:val="000610D9"/>
    <w:rsid w:val="00061E10"/>
    <w:rsid w:val="00064D06"/>
    <w:rsid w:val="0007481A"/>
    <w:rsid w:val="00091C8F"/>
    <w:rsid w:val="00097CCA"/>
    <w:rsid w:val="000A2D1C"/>
    <w:rsid w:val="000A7AE2"/>
    <w:rsid w:val="000A7D06"/>
    <w:rsid w:val="000B05F9"/>
    <w:rsid w:val="000B3DDA"/>
    <w:rsid w:val="000B6029"/>
    <w:rsid w:val="000B63E7"/>
    <w:rsid w:val="000B71DF"/>
    <w:rsid w:val="000B73E9"/>
    <w:rsid w:val="000C1AAE"/>
    <w:rsid w:val="000C2487"/>
    <w:rsid w:val="000C2B50"/>
    <w:rsid w:val="000D0DB7"/>
    <w:rsid w:val="000E275B"/>
    <w:rsid w:val="000E5886"/>
    <w:rsid w:val="000E709B"/>
    <w:rsid w:val="000F0A9E"/>
    <w:rsid w:val="000F61BD"/>
    <w:rsid w:val="00106519"/>
    <w:rsid w:val="00111FEC"/>
    <w:rsid w:val="00117189"/>
    <w:rsid w:val="00123998"/>
    <w:rsid w:val="001268E7"/>
    <w:rsid w:val="00127AAD"/>
    <w:rsid w:val="00127AE0"/>
    <w:rsid w:val="0013494F"/>
    <w:rsid w:val="001365F9"/>
    <w:rsid w:val="00141A77"/>
    <w:rsid w:val="0014389C"/>
    <w:rsid w:val="00143A8A"/>
    <w:rsid w:val="0014690A"/>
    <w:rsid w:val="0014728C"/>
    <w:rsid w:val="00152980"/>
    <w:rsid w:val="00154822"/>
    <w:rsid w:val="00155D66"/>
    <w:rsid w:val="00163909"/>
    <w:rsid w:val="00163E8D"/>
    <w:rsid w:val="00164567"/>
    <w:rsid w:val="00165A74"/>
    <w:rsid w:val="00167BA9"/>
    <w:rsid w:val="001721B4"/>
    <w:rsid w:val="00174C31"/>
    <w:rsid w:val="00176DF1"/>
    <w:rsid w:val="00184C07"/>
    <w:rsid w:val="001865B1"/>
    <w:rsid w:val="001929C1"/>
    <w:rsid w:val="001941E2"/>
    <w:rsid w:val="0019705D"/>
    <w:rsid w:val="001A5052"/>
    <w:rsid w:val="001B14E0"/>
    <w:rsid w:val="001B3673"/>
    <w:rsid w:val="001C66BB"/>
    <w:rsid w:val="001D03A1"/>
    <w:rsid w:val="001D1E60"/>
    <w:rsid w:val="001D1F9C"/>
    <w:rsid w:val="001D26FC"/>
    <w:rsid w:val="001D36F4"/>
    <w:rsid w:val="001D7D05"/>
    <w:rsid w:val="001E0A92"/>
    <w:rsid w:val="001E2449"/>
    <w:rsid w:val="001E2DCC"/>
    <w:rsid w:val="001E2F8D"/>
    <w:rsid w:val="001E419A"/>
    <w:rsid w:val="001E5FBA"/>
    <w:rsid w:val="001F1DF4"/>
    <w:rsid w:val="001F483B"/>
    <w:rsid w:val="00210E55"/>
    <w:rsid w:val="002132D1"/>
    <w:rsid w:val="00213961"/>
    <w:rsid w:val="0021424F"/>
    <w:rsid w:val="00216DD2"/>
    <w:rsid w:val="002211AF"/>
    <w:rsid w:val="0022282F"/>
    <w:rsid w:val="002252C7"/>
    <w:rsid w:val="00227B90"/>
    <w:rsid w:val="00232F7E"/>
    <w:rsid w:val="00241B04"/>
    <w:rsid w:val="00245864"/>
    <w:rsid w:val="00246651"/>
    <w:rsid w:val="00261342"/>
    <w:rsid w:val="002619F5"/>
    <w:rsid w:val="00262381"/>
    <w:rsid w:val="00262A44"/>
    <w:rsid w:val="00264CFC"/>
    <w:rsid w:val="002713AA"/>
    <w:rsid w:val="00275C02"/>
    <w:rsid w:val="00280237"/>
    <w:rsid w:val="002805AF"/>
    <w:rsid w:val="00280CBF"/>
    <w:rsid w:val="00280FF9"/>
    <w:rsid w:val="002812E4"/>
    <w:rsid w:val="00281DE7"/>
    <w:rsid w:val="00286249"/>
    <w:rsid w:val="002878FC"/>
    <w:rsid w:val="0029006E"/>
    <w:rsid w:val="00290C1E"/>
    <w:rsid w:val="00295A27"/>
    <w:rsid w:val="002A0A88"/>
    <w:rsid w:val="002A1344"/>
    <w:rsid w:val="002B0C17"/>
    <w:rsid w:val="002C2B46"/>
    <w:rsid w:val="002D5490"/>
    <w:rsid w:val="002D59AD"/>
    <w:rsid w:val="002D684C"/>
    <w:rsid w:val="002D7B68"/>
    <w:rsid w:val="002E39F4"/>
    <w:rsid w:val="002E5B4B"/>
    <w:rsid w:val="002F10B0"/>
    <w:rsid w:val="002F1BEE"/>
    <w:rsid w:val="002F6909"/>
    <w:rsid w:val="002F6917"/>
    <w:rsid w:val="0030071F"/>
    <w:rsid w:val="003045B7"/>
    <w:rsid w:val="003059DE"/>
    <w:rsid w:val="0030703C"/>
    <w:rsid w:val="00312194"/>
    <w:rsid w:val="00317216"/>
    <w:rsid w:val="00326C17"/>
    <w:rsid w:val="00330242"/>
    <w:rsid w:val="00332362"/>
    <w:rsid w:val="00336089"/>
    <w:rsid w:val="00340134"/>
    <w:rsid w:val="00341E59"/>
    <w:rsid w:val="00342415"/>
    <w:rsid w:val="00342AFE"/>
    <w:rsid w:val="00342FE2"/>
    <w:rsid w:val="00344941"/>
    <w:rsid w:val="00350F34"/>
    <w:rsid w:val="00351763"/>
    <w:rsid w:val="003519FC"/>
    <w:rsid w:val="00354B3C"/>
    <w:rsid w:val="00356C85"/>
    <w:rsid w:val="00360AE9"/>
    <w:rsid w:val="00373B0F"/>
    <w:rsid w:val="00376870"/>
    <w:rsid w:val="003A05E1"/>
    <w:rsid w:val="003A0CC8"/>
    <w:rsid w:val="003A1143"/>
    <w:rsid w:val="003A2FB3"/>
    <w:rsid w:val="003A4FD5"/>
    <w:rsid w:val="003A71DD"/>
    <w:rsid w:val="003B39AD"/>
    <w:rsid w:val="003B5810"/>
    <w:rsid w:val="003C0DF3"/>
    <w:rsid w:val="003C4E5D"/>
    <w:rsid w:val="003C6543"/>
    <w:rsid w:val="003D35A6"/>
    <w:rsid w:val="003D482F"/>
    <w:rsid w:val="003E04C2"/>
    <w:rsid w:val="003E195B"/>
    <w:rsid w:val="003E37EA"/>
    <w:rsid w:val="003E54BB"/>
    <w:rsid w:val="003F28E0"/>
    <w:rsid w:val="003F3D3E"/>
    <w:rsid w:val="003F40CA"/>
    <w:rsid w:val="003F7CE5"/>
    <w:rsid w:val="00400409"/>
    <w:rsid w:val="004128B0"/>
    <w:rsid w:val="004160C4"/>
    <w:rsid w:val="00416DE1"/>
    <w:rsid w:val="004273AD"/>
    <w:rsid w:val="00427F69"/>
    <w:rsid w:val="004303FE"/>
    <w:rsid w:val="00430BC5"/>
    <w:rsid w:val="004326DB"/>
    <w:rsid w:val="0044676D"/>
    <w:rsid w:val="00451EA7"/>
    <w:rsid w:val="004551FA"/>
    <w:rsid w:val="00461A57"/>
    <w:rsid w:val="004620E0"/>
    <w:rsid w:val="00467FAC"/>
    <w:rsid w:val="00476AA3"/>
    <w:rsid w:val="00476EAA"/>
    <w:rsid w:val="004773A8"/>
    <w:rsid w:val="00477CCE"/>
    <w:rsid w:val="0048206B"/>
    <w:rsid w:val="00483B1C"/>
    <w:rsid w:val="004906A2"/>
    <w:rsid w:val="00495A8E"/>
    <w:rsid w:val="004A24CF"/>
    <w:rsid w:val="004A2AD0"/>
    <w:rsid w:val="004A449D"/>
    <w:rsid w:val="004A51CF"/>
    <w:rsid w:val="004A5F35"/>
    <w:rsid w:val="004B3A40"/>
    <w:rsid w:val="004C6CF5"/>
    <w:rsid w:val="004D31AE"/>
    <w:rsid w:val="004D5D3E"/>
    <w:rsid w:val="004D5E3B"/>
    <w:rsid w:val="004D7754"/>
    <w:rsid w:val="004E4F68"/>
    <w:rsid w:val="004F01C9"/>
    <w:rsid w:val="004F1828"/>
    <w:rsid w:val="004F2270"/>
    <w:rsid w:val="005070D0"/>
    <w:rsid w:val="0050752A"/>
    <w:rsid w:val="00514D52"/>
    <w:rsid w:val="00515BF0"/>
    <w:rsid w:val="00516A54"/>
    <w:rsid w:val="00520BF4"/>
    <w:rsid w:val="00523A9B"/>
    <w:rsid w:val="00523DD6"/>
    <w:rsid w:val="00526630"/>
    <w:rsid w:val="00527D06"/>
    <w:rsid w:val="005367CF"/>
    <w:rsid w:val="0054172D"/>
    <w:rsid w:val="00542C7D"/>
    <w:rsid w:val="005473DF"/>
    <w:rsid w:val="005507B9"/>
    <w:rsid w:val="00550DD1"/>
    <w:rsid w:val="00553147"/>
    <w:rsid w:val="00553C10"/>
    <w:rsid w:val="0055698E"/>
    <w:rsid w:val="00560897"/>
    <w:rsid w:val="00563FC2"/>
    <w:rsid w:val="0056582B"/>
    <w:rsid w:val="00572339"/>
    <w:rsid w:val="00572FE8"/>
    <w:rsid w:val="00573912"/>
    <w:rsid w:val="00576EAD"/>
    <w:rsid w:val="00586F30"/>
    <w:rsid w:val="00596870"/>
    <w:rsid w:val="005A197A"/>
    <w:rsid w:val="005A7749"/>
    <w:rsid w:val="005B0225"/>
    <w:rsid w:val="005B0575"/>
    <w:rsid w:val="005B1650"/>
    <w:rsid w:val="005B1A48"/>
    <w:rsid w:val="005C531E"/>
    <w:rsid w:val="005D30D1"/>
    <w:rsid w:val="005D7AF6"/>
    <w:rsid w:val="005E007A"/>
    <w:rsid w:val="005E0EA1"/>
    <w:rsid w:val="005E19CF"/>
    <w:rsid w:val="005F01B3"/>
    <w:rsid w:val="005F4812"/>
    <w:rsid w:val="005F5CA9"/>
    <w:rsid w:val="00613DE0"/>
    <w:rsid w:val="006140A5"/>
    <w:rsid w:val="00616EE7"/>
    <w:rsid w:val="0062331E"/>
    <w:rsid w:val="00627842"/>
    <w:rsid w:val="0063204C"/>
    <w:rsid w:val="0063557D"/>
    <w:rsid w:val="00637C4A"/>
    <w:rsid w:val="006449E0"/>
    <w:rsid w:val="00660403"/>
    <w:rsid w:val="0066357E"/>
    <w:rsid w:val="00666612"/>
    <w:rsid w:val="00667FCA"/>
    <w:rsid w:val="006719DF"/>
    <w:rsid w:val="00673A62"/>
    <w:rsid w:val="006750F5"/>
    <w:rsid w:val="00675CFF"/>
    <w:rsid w:val="00676E1F"/>
    <w:rsid w:val="00684C05"/>
    <w:rsid w:val="00691366"/>
    <w:rsid w:val="006B03F3"/>
    <w:rsid w:val="006B3336"/>
    <w:rsid w:val="006B3F28"/>
    <w:rsid w:val="006B46FA"/>
    <w:rsid w:val="006C0129"/>
    <w:rsid w:val="006C3305"/>
    <w:rsid w:val="006C5913"/>
    <w:rsid w:val="006C6F18"/>
    <w:rsid w:val="006D4450"/>
    <w:rsid w:val="006D447B"/>
    <w:rsid w:val="006D7B4C"/>
    <w:rsid w:val="006E68F8"/>
    <w:rsid w:val="006F3266"/>
    <w:rsid w:val="006F3BD2"/>
    <w:rsid w:val="006F3DC3"/>
    <w:rsid w:val="00700A5F"/>
    <w:rsid w:val="00703911"/>
    <w:rsid w:val="00707D69"/>
    <w:rsid w:val="00714AA8"/>
    <w:rsid w:val="00715A74"/>
    <w:rsid w:val="00726C70"/>
    <w:rsid w:val="00727DAE"/>
    <w:rsid w:val="00732B52"/>
    <w:rsid w:val="00737612"/>
    <w:rsid w:val="00744DB0"/>
    <w:rsid w:val="0075370A"/>
    <w:rsid w:val="00755DAA"/>
    <w:rsid w:val="00756918"/>
    <w:rsid w:val="00763054"/>
    <w:rsid w:val="00765A55"/>
    <w:rsid w:val="0077189E"/>
    <w:rsid w:val="007739DE"/>
    <w:rsid w:val="0078030A"/>
    <w:rsid w:val="00787488"/>
    <w:rsid w:val="007876AE"/>
    <w:rsid w:val="0079230B"/>
    <w:rsid w:val="00792E65"/>
    <w:rsid w:val="00794A68"/>
    <w:rsid w:val="00796A14"/>
    <w:rsid w:val="0079708E"/>
    <w:rsid w:val="00797FF2"/>
    <w:rsid w:val="007A0386"/>
    <w:rsid w:val="007A14DF"/>
    <w:rsid w:val="007A163A"/>
    <w:rsid w:val="007A2170"/>
    <w:rsid w:val="007A3A04"/>
    <w:rsid w:val="007A46C4"/>
    <w:rsid w:val="007B13E4"/>
    <w:rsid w:val="007B3D22"/>
    <w:rsid w:val="007B6266"/>
    <w:rsid w:val="007C371B"/>
    <w:rsid w:val="007C4617"/>
    <w:rsid w:val="007C54F2"/>
    <w:rsid w:val="007C5CCB"/>
    <w:rsid w:val="007D3E3A"/>
    <w:rsid w:val="007D58E7"/>
    <w:rsid w:val="007E32F0"/>
    <w:rsid w:val="007E7AA6"/>
    <w:rsid w:val="007F2516"/>
    <w:rsid w:val="007F31F1"/>
    <w:rsid w:val="007F50C0"/>
    <w:rsid w:val="00804E42"/>
    <w:rsid w:val="008061B6"/>
    <w:rsid w:val="0081458F"/>
    <w:rsid w:val="00815596"/>
    <w:rsid w:val="00816932"/>
    <w:rsid w:val="00816E0A"/>
    <w:rsid w:val="008216B2"/>
    <w:rsid w:val="00851333"/>
    <w:rsid w:val="00856A09"/>
    <w:rsid w:val="00856AB7"/>
    <w:rsid w:val="00860947"/>
    <w:rsid w:val="00862F0D"/>
    <w:rsid w:val="00864E60"/>
    <w:rsid w:val="008651C9"/>
    <w:rsid w:val="00872741"/>
    <w:rsid w:val="00880A76"/>
    <w:rsid w:val="00882DD0"/>
    <w:rsid w:val="00884EB6"/>
    <w:rsid w:val="00887117"/>
    <w:rsid w:val="008918E6"/>
    <w:rsid w:val="00892DB9"/>
    <w:rsid w:val="008943F7"/>
    <w:rsid w:val="00894B75"/>
    <w:rsid w:val="008A435A"/>
    <w:rsid w:val="008B19F5"/>
    <w:rsid w:val="008B1A3C"/>
    <w:rsid w:val="008C06A1"/>
    <w:rsid w:val="008C3767"/>
    <w:rsid w:val="008C6457"/>
    <w:rsid w:val="008D0206"/>
    <w:rsid w:val="008D08A7"/>
    <w:rsid w:val="008D3C94"/>
    <w:rsid w:val="008D58B7"/>
    <w:rsid w:val="008D7CBA"/>
    <w:rsid w:val="008E4695"/>
    <w:rsid w:val="008E6B84"/>
    <w:rsid w:val="008F0357"/>
    <w:rsid w:val="008F1DF7"/>
    <w:rsid w:val="008F519F"/>
    <w:rsid w:val="008F5613"/>
    <w:rsid w:val="008F7A02"/>
    <w:rsid w:val="008F7F1F"/>
    <w:rsid w:val="008F7F42"/>
    <w:rsid w:val="00900786"/>
    <w:rsid w:val="00907D3F"/>
    <w:rsid w:val="00910510"/>
    <w:rsid w:val="00913576"/>
    <w:rsid w:val="00916F33"/>
    <w:rsid w:val="00923990"/>
    <w:rsid w:val="009339D0"/>
    <w:rsid w:val="00934F8D"/>
    <w:rsid w:val="0093723D"/>
    <w:rsid w:val="00937726"/>
    <w:rsid w:val="0094459F"/>
    <w:rsid w:val="009451EB"/>
    <w:rsid w:val="00947347"/>
    <w:rsid w:val="009519BC"/>
    <w:rsid w:val="00956F61"/>
    <w:rsid w:val="0096566B"/>
    <w:rsid w:val="00972D22"/>
    <w:rsid w:val="00977CC0"/>
    <w:rsid w:val="00984E8A"/>
    <w:rsid w:val="009906A5"/>
    <w:rsid w:val="009B31E2"/>
    <w:rsid w:val="009B739A"/>
    <w:rsid w:val="009C0EE9"/>
    <w:rsid w:val="009C21D8"/>
    <w:rsid w:val="009C4661"/>
    <w:rsid w:val="009D6537"/>
    <w:rsid w:val="009E0212"/>
    <w:rsid w:val="009E62A7"/>
    <w:rsid w:val="009F11BC"/>
    <w:rsid w:val="009F5BC9"/>
    <w:rsid w:val="00A03CCE"/>
    <w:rsid w:val="00A1155B"/>
    <w:rsid w:val="00A13F2E"/>
    <w:rsid w:val="00A20CD9"/>
    <w:rsid w:val="00A3696A"/>
    <w:rsid w:val="00A37490"/>
    <w:rsid w:val="00A37E17"/>
    <w:rsid w:val="00A54F72"/>
    <w:rsid w:val="00A55507"/>
    <w:rsid w:val="00A614C8"/>
    <w:rsid w:val="00A66C10"/>
    <w:rsid w:val="00A67A8E"/>
    <w:rsid w:val="00A72515"/>
    <w:rsid w:val="00A74505"/>
    <w:rsid w:val="00A809A9"/>
    <w:rsid w:val="00A8348C"/>
    <w:rsid w:val="00A9041F"/>
    <w:rsid w:val="00A914D3"/>
    <w:rsid w:val="00A93222"/>
    <w:rsid w:val="00A948B8"/>
    <w:rsid w:val="00A97130"/>
    <w:rsid w:val="00AA0027"/>
    <w:rsid w:val="00AA4AD2"/>
    <w:rsid w:val="00AA4DFE"/>
    <w:rsid w:val="00AA692A"/>
    <w:rsid w:val="00AA785D"/>
    <w:rsid w:val="00AA7BAF"/>
    <w:rsid w:val="00AB401F"/>
    <w:rsid w:val="00AB5427"/>
    <w:rsid w:val="00AC127B"/>
    <w:rsid w:val="00AC1334"/>
    <w:rsid w:val="00AC27E6"/>
    <w:rsid w:val="00AC2E42"/>
    <w:rsid w:val="00AC2EBC"/>
    <w:rsid w:val="00AC60D7"/>
    <w:rsid w:val="00AC7658"/>
    <w:rsid w:val="00AD22BE"/>
    <w:rsid w:val="00AD7868"/>
    <w:rsid w:val="00AD7F83"/>
    <w:rsid w:val="00AE0DC0"/>
    <w:rsid w:val="00AE4CDC"/>
    <w:rsid w:val="00AE4EFB"/>
    <w:rsid w:val="00AE7B4C"/>
    <w:rsid w:val="00AF0965"/>
    <w:rsid w:val="00AF23AC"/>
    <w:rsid w:val="00AF46CE"/>
    <w:rsid w:val="00AF4A04"/>
    <w:rsid w:val="00AF4E4D"/>
    <w:rsid w:val="00AF507F"/>
    <w:rsid w:val="00B02AC5"/>
    <w:rsid w:val="00B05EE0"/>
    <w:rsid w:val="00B11B4F"/>
    <w:rsid w:val="00B256A6"/>
    <w:rsid w:val="00B259FC"/>
    <w:rsid w:val="00B26AE5"/>
    <w:rsid w:val="00B32827"/>
    <w:rsid w:val="00B35257"/>
    <w:rsid w:val="00B3633F"/>
    <w:rsid w:val="00B4030C"/>
    <w:rsid w:val="00B414F2"/>
    <w:rsid w:val="00B43D49"/>
    <w:rsid w:val="00B46707"/>
    <w:rsid w:val="00B50844"/>
    <w:rsid w:val="00B5436F"/>
    <w:rsid w:val="00B546CA"/>
    <w:rsid w:val="00B565C5"/>
    <w:rsid w:val="00B6414E"/>
    <w:rsid w:val="00B66F17"/>
    <w:rsid w:val="00B70A72"/>
    <w:rsid w:val="00B74900"/>
    <w:rsid w:val="00B7711C"/>
    <w:rsid w:val="00B81FC3"/>
    <w:rsid w:val="00B90B1E"/>
    <w:rsid w:val="00B97E91"/>
    <w:rsid w:val="00BB0BD3"/>
    <w:rsid w:val="00BB1CAA"/>
    <w:rsid w:val="00BC05CF"/>
    <w:rsid w:val="00BC1468"/>
    <w:rsid w:val="00BD0276"/>
    <w:rsid w:val="00BD312A"/>
    <w:rsid w:val="00BD4FBE"/>
    <w:rsid w:val="00BD65E6"/>
    <w:rsid w:val="00BE5FD0"/>
    <w:rsid w:val="00BE64CF"/>
    <w:rsid w:val="00BF2831"/>
    <w:rsid w:val="00BF294F"/>
    <w:rsid w:val="00BF65E2"/>
    <w:rsid w:val="00C02890"/>
    <w:rsid w:val="00C0412B"/>
    <w:rsid w:val="00C0760D"/>
    <w:rsid w:val="00C12B68"/>
    <w:rsid w:val="00C134FC"/>
    <w:rsid w:val="00C143CF"/>
    <w:rsid w:val="00C20FEF"/>
    <w:rsid w:val="00C242DB"/>
    <w:rsid w:val="00C33004"/>
    <w:rsid w:val="00C35EA0"/>
    <w:rsid w:val="00C37F5A"/>
    <w:rsid w:val="00C420E2"/>
    <w:rsid w:val="00C44E6E"/>
    <w:rsid w:val="00C463B3"/>
    <w:rsid w:val="00C50881"/>
    <w:rsid w:val="00C5185E"/>
    <w:rsid w:val="00C53DBC"/>
    <w:rsid w:val="00C542BB"/>
    <w:rsid w:val="00C54669"/>
    <w:rsid w:val="00C61B09"/>
    <w:rsid w:val="00C62982"/>
    <w:rsid w:val="00C65F59"/>
    <w:rsid w:val="00C71A3C"/>
    <w:rsid w:val="00C71D02"/>
    <w:rsid w:val="00C71E36"/>
    <w:rsid w:val="00C71EA0"/>
    <w:rsid w:val="00C774EE"/>
    <w:rsid w:val="00C77C99"/>
    <w:rsid w:val="00C865D6"/>
    <w:rsid w:val="00C87424"/>
    <w:rsid w:val="00C9004A"/>
    <w:rsid w:val="00C94C09"/>
    <w:rsid w:val="00CA56C1"/>
    <w:rsid w:val="00CA579C"/>
    <w:rsid w:val="00CA7F79"/>
    <w:rsid w:val="00CB57DF"/>
    <w:rsid w:val="00CD501C"/>
    <w:rsid w:val="00CE1ECA"/>
    <w:rsid w:val="00CE4CB3"/>
    <w:rsid w:val="00CE5A80"/>
    <w:rsid w:val="00CE5FBF"/>
    <w:rsid w:val="00CF2161"/>
    <w:rsid w:val="00CF7616"/>
    <w:rsid w:val="00D0182F"/>
    <w:rsid w:val="00D01CF2"/>
    <w:rsid w:val="00D03E6D"/>
    <w:rsid w:val="00D077C1"/>
    <w:rsid w:val="00D2164F"/>
    <w:rsid w:val="00D22FBE"/>
    <w:rsid w:val="00D25F11"/>
    <w:rsid w:val="00D271F2"/>
    <w:rsid w:val="00D30519"/>
    <w:rsid w:val="00D305B6"/>
    <w:rsid w:val="00D31BB1"/>
    <w:rsid w:val="00D335B4"/>
    <w:rsid w:val="00D34D45"/>
    <w:rsid w:val="00D35E20"/>
    <w:rsid w:val="00D40C7F"/>
    <w:rsid w:val="00D42AE1"/>
    <w:rsid w:val="00D44D16"/>
    <w:rsid w:val="00D45B76"/>
    <w:rsid w:val="00D464F9"/>
    <w:rsid w:val="00D60C5B"/>
    <w:rsid w:val="00D631A2"/>
    <w:rsid w:val="00D65AF7"/>
    <w:rsid w:val="00D66619"/>
    <w:rsid w:val="00D71EC0"/>
    <w:rsid w:val="00D7586D"/>
    <w:rsid w:val="00D75D72"/>
    <w:rsid w:val="00D824A8"/>
    <w:rsid w:val="00D8333E"/>
    <w:rsid w:val="00D85C2A"/>
    <w:rsid w:val="00D873AF"/>
    <w:rsid w:val="00D92955"/>
    <w:rsid w:val="00D95E46"/>
    <w:rsid w:val="00DA12B1"/>
    <w:rsid w:val="00DA1D64"/>
    <w:rsid w:val="00DA5AF7"/>
    <w:rsid w:val="00DB65D2"/>
    <w:rsid w:val="00DC0360"/>
    <w:rsid w:val="00DC071C"/>
    <w:rsid w:val="00DC2259"/>
    <w:rsid w:val="00DC43D3"/>
    <w:rsid w:val="00DC51A2"/>
    <w:rsid w:val="00DC55F6"/>
    <w:rsid w:val="00DD6158"/>
    <w:rsid w:val="00DE09BA"/>
    <w:rsid w:val="00DE0F89"/>
    <w:rsid w:val="00DE1C25"/>
    <w:rsid w:val="00DE1D95"/>
    <w:rsid w:val="00DE373B"/>
    <w:rsid w:val="00DF4C11"/>
    <w:rsid w:val="00DF4EFB"/>
    <w:rsid w:val="00E01F22"/>
    <w:rsid w:val="00E03D79"/>
    <w:rsid w:val="00E05B9E"/>
    <w:rsid w:val="00E06675"/>
    <w:rsid w:val="00E069C7"/>
    <w:rsid w:val="00E078C3"/>
    <w:rsid w:val="00E11822"/>
    <w:rsid w:val="00E1221D"/>
    <w:rsid w:val="00E133A1"/>
    <w:rsid w:val="00E14CDF"/>
    <w:rsid w:val="00E14E04"/>
    <w:rsid w:val="00E16149"/>
    <w:rsid w:val="00E1782C"/>
    <w:rsid w:val="00E20D4D"/>
    <w:rsid w:val="00E21EBD"/>
    <w:rsid w:val="00E33BDD"/>
    <w:rsid w:val="00E33DCA"/>
    <w:rsid w:val="00E3694B"/>
    <w:rsid w:val="00E413CA"/>
    <w:rsid w:val="00E43F1C"/>
    <w:rsid w:val="00E4518D"/>
    <w:rsid w:val="00E47506"/>
    <w:rsid w:val="00E50B8B"/>
    <w:rsid w:val="00E52563"/>
    <w:rsid w:val="00E64101"/>
    <w:rsid w:val="00E64993"/>
    <w:rsid w:val="00E6724F"/>
    <w:rsid w:val="00E72D9D"/>
    <w:rsid w:val="00E8638B"/>
    <w:rsid w:val="00E878D2"/>
    <w:rsid w:val="00E87DD7"/>
    <w:rsid w:val="00E9141D"/>
    <w:rsid w:val="00E9468E"/>
    <w:rsid w:val="00E94A5E"/>
    <w:rsid w:val="00E95333"/>
    <w:rsid w:val="00EA0EEC"/>
    <w:rsid w:val="00EA1871"/>
    <w:rsid w:val="00EB6393"/>
    <w:rsid w:val="00EC2A09"/>
    <w:rsid w:val="00EC31BF"/>
    <w:rsid w:val="00EC36BD"/>
    <w:rsid w:val="00EC4587"/>
    <w:rsid w:val="00ED2FFD"/>
    <w:rsid w:val="00ED5893"/>
    <w:rsid w:val="00EE308F"/>
    <w:rsid w:val="00EE5EAD"/>
    <w:rsid w:val="00EF3642"/>
    <w:rsid w:val="00EF4A46"/>
    <w:rsid w:val="00F01263"/>
    <w:rsid w:val="00F10C6E"/>
    <w:rsid w:val="00F1163C"/>
    <w:rsid w:val="00F11B8E"/>
    <w:rsid w:val="00F16608"/>
    <w:rsid w:val="00F21DFC"/>
    <w:rsid w:val="00F22AB7"/>
    <w:rsid w:val="00F322D4"/>
    <w:rsid w:val="00F36337"/>
    <w:rsid w:val="00F4132F"/>
    <w:rsid w:val="00F4138C"/>
    <w:rsid w:val="00F446B5"/>
    <w:rsid w:val="00F517F6"/>
    <w:rsid w:val="00F55EA3"/>
    <w:rsid w:val="00F56D9A"/>
    <w:rsid w:val="00F57B74"/>
    <w:rsid w:val="00F7260A"/>
    <w:rsid w:val="00F770D4"/>
    <w:rsid w:val="00F774FB"/>
    <w:rsid w:val="00F87279"/>
    <w:rsid w:val="00F96E0F"/>
    <w:rsid w:val="00F97CF3"/>
    <w:rsid w:val="00FB32FE"/>
    <w:rsid w:val="00FB50CF"/>
    <w:rsid w:val="00FB7C92"/>
    <w:rsid w:val="00FC7812"/>
    <w:rsid w:val="00FD1260"/>
    <w:rsid w:val="00FD1613"/>
    <w:rsid w:val="00FD29AD"/>
    <w:rsid w:val="00FF0230"/>
    <w:rsid w:val="00FF1FC9"/>
    <w:rsid w:val="00FF5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55B"/>
    <w:rPr>
      <w:kern w:val="0"/>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16DE1"/>
    <w:rPr>
      <w:rFonts w:cs="Times New Roman"/>
      <w:color w:val="0000FF"/>
      <w:u w:val="single"/>
    </w:rPr>
  </w:style>
  <w:style w:type="paragraph" w:styleId="a4">
    <w:name w:val="Body Text Indent"/>
    <w:basedOn w:val="a"/>
    <w:link w:val="Char"/>
    <w:uiPriority w:val="99"/>
    <w:rsid w:val="00DC0360"/>
    <w:pPr>
      <w:jc w:val="both"/>
    </w:pPr>
    <w:rPr>
      <w:i/>
      <w:szCs w:val="20"/>
      <w:lang w:val="en-GB"/>
    </w:rPr>
  </w:style>
  <w:style w:type="character" w:customStyle="1" w:styleId="Char">
    <w:name w:val="正文文本缩进 Char"/>
    <w:basedOn w:val="a0"/>
    <w:link w:val="a4"/>
    <w:uiPriority w:val="99"/>
    <w:locked/>
    <w:rsid w:val="005507B9"/>
    <w:rPr>
      <w:rFonts w:cs="Times New Roman"/>
      <w:i/>
      <w:sz w:val="24"/>
      <w:lang w:val="en-GB"/>
    </w:rPr>
  </w:style>
  <w:style w:type="paragraph" w:styleId="a5">
    <w:name w:val="Balloon Text"/>
    <w:basedOn w:val="a"/>
    <w:link w:val="Char0"/>
    <w:uiPriority w:val="99"/>
    <w:rsid w:val="005F5CA9"/>
    <w:rPr>
      <w:rFonts w:ascii="Tahoma" w:hAnsi="Tahoma" w:cs="Tahoma"/>
      <w:sz w:val="16"/>
      <w:szCs w:val="16"/>
    </w:rPr>
  </w:style>
  <w:style w:type="character" w:customStyle="1" w:styleId="Char0">
    <w:name w:val="批注框文本 Char"/>
    <w:basedOn w:val="a0"/>
    <w:link w:val="a5"/>
    <w:uiPriority w:val="99"/>
    <w:locked/>
    <w:rsid w:val="005507B9"/>
    <w:rPr>
      <w:rFonts w:ascii="Tahoma" w:hAnsi="Tahoma" w:cs="Tahoma"/>
      <w:sz w:val="16"/>
      <w:szCs w:val="16"/>
    </w:rPr>
  </w:style>
  <w:style w:type="paragraph" w:styleId="HTML">
    <w:name w:val="HTML Preformatted"/>
    <w:basedOn w:val="a"/>
    <w:link w:val="HTMLChar"/>
    <w:uiPriority w:val="99"/>
    <w:rsid w:val="001E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locked/>
    <w:rsid w:val="005507B9"/>
    <w:rPr>
      <w:rFonts w:ascii="Courier New" w:hAnsi="Courier New" w:cs="Courier New"/>
    </w:rPr>
  </w:style>
  <w:style w:type="paragraph" w:styleId="a6">
    <w:name w:val="Body Text"/>
    <w:basedOn w:val="a"/>
    <w:link w:val="Char1"/>
    <w:uiPriority w:val="99"/>
    <w:rsid w:val="001E0A92"/>
    <w:pPr>
      <w:spacing w:after="120"/>
    </w:pPr>
  </w:style>
  <w:style w:type="character" w:customStyle="1" w:styleId="Char1">
    <w:name w:val="正文文本 Char"/>
    <w:basedOn w:val="a0"/>
    <w:link w:val="a6"/>
    <w:uiPriority w:val="99"/>
    <w:locked/>
    <w:rsid w:val="005507B9"/>
    <w:rPr>
      <w:rFonts w:cs="Times New Roman"/>
      <w:sz w:val="24"/>
      <w:szCs w:val="24"/>
    </w:rPr>
  </w:style>
  <w:style w:type="paragraph" w:styleId="2">
    <w:name w:val="Body Text 2"/>
    <w:basedOn w:val="a"/>
    <w:link w:val="2Char"/>
    <w:uiPriority w:val="99"/>
    <w:rsid w:val="002F10B0"/>
    <w:pPr>
      <w:spacing w:after="120" w:line="480" w:lineRule="auto"/>
    </w:pPr>
  </w:style>
  <w:style w:type="character" w:customStyle="1" w:styleId="2Char">
    <w:name w:val="正文文本 2 Char"/>
    <w:basedOn w:val="a0"/>
    <w:link w:val="2"/>
    <w:uiPriority w:val="99"/>
    <w:locked/>
    <w:rsid w:val="005507B9"/>
    <w:rPr>
      <w:rFonts w:cs="Times New Roman"/>
      <w:sz w:val="24"/>
      <w:szCs w:val="24"/>
    </w:rPr>
  </w:style>
  <w:style w:type="paragraph" w:customStyle="1" w:styleId="affiliation2">
    <w:name w:val="affiliation2"/>
    <w:basedOn w:val="a"/>
    <w:uiPriority w:val="99"/>
    <w:rsid w:val="002F10B0"/>
    <w:pPr>
      <w:spacing w:before="240" w:after="120" w:line="288" w:lineRule="atLeast"/>
      <w:ind w:left="120"/>
    </w:pPr>
    <w:rPr>
      <w:color w:val="000000"/>
      <w:sz w:val="19"/>
      <w:szCs w:val="19"/>
    </w:rPr>
  </w:style>
  <w:style w:type="paragraph" w:styleId="a7">
    <w:name w:val="footer"/>
    <w:basedOn w:val="a"/>
    <w:link w:val="Char2"/>
    <w:uiPriority w:val="99"/>
    <w:rsid w:val="002A1344"/>
    <w:pPr>
      <w:tabs>
        <w:tab w:val="center" w:pos="4819"/>
        <w:tab w:val="right" w:pos="9638"/>
      </w:tabs>
    </w:pPr>
  </w:style>
  <w:style w:type="character" w:customStyle="1" w:styleId="Char2">
    <w:name w:val="页脚 Char"/>
    <w:basedOn w:val="a0"/>
    <w:link w:val="a7"/>
    <w:uiPriority w:val="99"/>
    <w:semiHidden/>
    <w:rsid w:val="006108CC"/>
    <w:rPr>
      <w:kern w:val="0"/>
      <w:sz w:val="18"/>
      <w:szCs w:val="18"/>
      <w:lang w:val="it-IT" w:eastAsia="it-IT"/>
    </w:rPr>
  </w:style>
  <w:style w:type="character" w:styleId="a8">
    <w:name w:val="page number"/>
    <w:basedOn w:val="a0"/>
    <w:uiPriority w:val="99"/>
    <w:rsid w:val="002A1344"/>
    <w:rPr>
      <w:rFonts w:cs="Times New Roman"/>
    </w:rPr>
  </w:style>
  <w:style w:type="table" w:styleId="a9">
    <w:name w:val="Table Grid"/>
    <w:basedOn w:val="a1"/>
    <w:uiPriority w:val="99"/>
    <w:rsid w:val="00F770D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B7711C"/>
    <w:rPr>
      <w:rFonts w:cs="Times New Roman"/>
    </w:rPr>
  </w:style>
  <w:style w:type="paragraph" w:customStyle="1" w:styleId="Pa19">
    <w:name w:val="Pa19"/>
    <w:basedOn w:val="a"/>
    <w:next w:val="a"/>
    <w:uiPriority w:val="99"/>
    <w:rsid w:val="00A614C8"/>
    <w:pPr>
      <w:autoSpaceDE w:val="0"/>
      <w:autoSpaceDN w:val="0"/>
      <w:adjustRightInd w:val="0"/>
      <w:spacing w:line="161" w:lineRule="atLeast"/>
    </w:pPr>
    <w:rPr>
      <w:rFonts w:ascii="Univers" w:hAnsi="Univers"/>
    </w:rPr>
  </w:style>
  <w:style w:type="character" w:styleId="aa">
    <w:name w:val="Emphasis"/>
    <w:basedOn w:val="a0"/>
    <w:uiPriority w:val="99"/>
    <w:qFormat/>
    <w:rsid w:val="00F446B5"/>
    <w:rPr>
      <w:rFonts w:cs="Times New Roman"/>
      <w:i/>
      <w:iCs/>
    </w:rPr>
  </w:style>
  <w:style w:type="character" w:customStyle="1" w:styleId="apple-converted-space">
    <w:name w:val="apple-converted-space"/>
    <w:basedOn w:val="a0"/>
    <w:uiPriority w:val="99"/>
    <w:rsid w:val="00F446B5"/>
    <w:rPr>
      <w:rFonts w:cs="Times New Roman"/>
    </w:rPr>
  </w:style>
  <w:style w:type="character" w:customStyle="1" w:styleId="highlight">
    <w:name w:val="highlight"/>
    <w:basedOn w:val="a0"/>
    <w:uiPriority w:val="99"/>
    <w:rsid w:val="000C2487"/>
    <w:rPr>
      <w:rFonts w:cs="Times New Roman"/>
    </w:rPr>
  </w:style>
  <w:style w:type="paragraph" w:styleId="ab">
    <w:name w:val="List Paragraph"/>
    <w:basedOn w:val="a"/>
    <w:uiPriority w:val="99"/>
    <w:qFormat/>
    <w:rsid w:val="006F3266"/>
    <w:pPr>
      <w:ind w:left="720"/>
      <w:contextualSpacing/>
    </w:pPr>
  </w:style>
  <w:style w:type="paragraph" w:styleId="ac">
    <w:name w:val="Plain Text"/>
    <w:basedOn w:val="a"/>
    <w:link w:val="Char3"/>
    <w:uiPriority w:val="99"/>
    <w:rsid w:val="005507B9"/>
    <w:pPr>
      <w:widowControl w:val="0"/>
      <w:jc w:val="both"/>
    </w:pPr>
    <w:rPr>
      <w:rFonts w:ascii="宋体" w:hAnsi="Courier New" w:cs="Courier New"/>
      <w:kern w:val="2"/>
      <w:sz w:val="21"/>
      <w:szCs w:val="21"/>
      <w:lang w:val="en-US" w:eastAsia="zh-CN"/>
    </w:rPr>
  </w:style>
  <w:style w:type="character" w:customStyle="1" w:styleId="Char3">
    <w:name w:val="纯文本 Char"/>
    <w:basedOn w:val="a0"/>
    <w:link w:val="ac"/>
    <w:uiPriority w:val="99"/>
    <w:locked/>
    <w:rsid w:val="005507B9"/>
    <w:rPr>
      <w:rFonts w:ascii="宋体" w:eastAsia="宋体" w:hAnsi="Courier New" w:cs="Courier New"/>
      <w:kern w:val="2"/>
      <w:sz w:val="21"/>
      <w:szCs w:val="21"/>
      <w:lang w:val="en-US" w:eastAsia="zh-CN"/>
    </w:rPr>
  </w:style>
  <w:style w:type="character" w:styleId="ad">
    <w:name w:val="Strong"/>
    <w:basedOn w:val="a0"/>
    <w:uiPriority w:val="99"/>
    <w:qFormat/>
    <w:rsid w:val="005507B9"/>
    <w:rPr>
      <w:rFonts w:cs="Times New Roman"/>
      <w:b/>
      <w:bCs/>
    </w:rPr>
  </w:style>
  <w:style w:type="character" w:customStyle="1" w:styleId="ref-journal">
    <w:name w:val="ref-journal"/>
    <w:basedOn w:val="a0"/>
    <w:uiPriority w:val="99"/>
    <w:rsid w:val="005507B9"/>
    <w:rPr>
      <w:rFonts w:cs="Times New Roman"/>
    </w:rPr>
  </w:style>
  <w:style w:type="character" w:customStyle="1" w:styleId="ref-vol">
    <w:name w:val="ref-vol"/>
    <w:basedOn w:val="a0"/>
    <w:uiPriority w:val="99"/>
    <w:rsid w:val="005507B9"/>
    <w:rPr>
      <w:rFonts w:cs="Times New Roman"/>
    </w:rPr>
  </w:style>
  <w:style w:type="paragraph" w:styleId="z-">
    <w:name w:val="HTML Top of Form"/>
    <w:basedOn w:val="a"/>
    <w:next w:val="a"/>
    <w:link w:val="z-Char"/>
    <w:hidden/>
    <w:uiPriority w:val="99"/>
    <w:rsid w:val="005507B9"/>
    <w:pPr>
      <w:pBdr>
        <w:bottom w:val="single" w:sz="6" w:space="1" w:color="auto"/>
      </w:pBdr>
      <w:jc w:val="center"/>
    </w:pPr>
    <w:rPr>
      <w:rFonts w:ascii="Arial" w:hAnsi="Arial" w:cs="Arial"/>
      <w:vanish/>
      <w:sz w:val="16"/>
      <w:szCs w:val="16"/>
      <w:lang w:val="en-US" w:eastAsia="zh-CN"/>
    </w:rPr>
  </w:style>
  <w:style w:type="character" w:customStyle="1" w:styleId="z-Char">
    <w:name w:val="z-窗体顶端 Char"/>
    <w:basedOn w:val="a0"/>
    <w:link w:val="z-"/>
    <w:uiPriority w:val="99"/>
    <w:locked/>
    <w:rsid w:val="005507B9"/>
    <w:rPr>
      <w:rFonts w:ascii="Arial" w:eastAsia="宋体" w:hAnsi="Arial" w:cs="Arial"/>
      <w:vanish/>
      <w:sz w:val="16"/>
      <w:szCs w:val="16"/>
      <w:lang w:val="en-US" w:eastAsia="zh-CN"/>
    </w:rPr>
  </w:style>
  <w:style w:type="paragraph" w:styleId="z-0">
    <w:name w:val="HTML Bottom of Form"/>
    <w:basedOn w:val="a"/>
    <w:next w:val="a"/>
    <w:link w:val="z-Char0"/>
    <w:hidden/>
    <w:uiPriority w:val="99"/>
    <w:rsid w:val="005507B9"/>
    <w:pPr>
      <w:pBdr>
        <w:top w:val="single" w:sz="6" w:space="1" w:color="auto"/>
      </w:pBdr>
      <w:jc w:val="center"/>
    </w:pPr>
    <w:rPr>
      <w:rFonts w:ascii="Arial" w:hAnsi="Arial" w:cs="Arial"/>
      <w:vanish/>
      <w:sz w:val="16"/>
      <w:szCs w:val="16"/>
      <w:lang w:val="en-US" w:eastAsia="zh-CN"/>
    </w:rPr>
  </w:style>
  <w:style w:type="character" w:customStyle="1" w:styleId="z-Char0">
    <w:name w:val="z-窗体底端 Char"/>
    <w:basedOn w:val="a0"/>
    <w:link w:val="z-0"/>
    <w:uiPriority w:val="99"/>
    <w:locked/>
    <w:rsid w:val="005507B9"/>
    <w:rPr>
      <w:rFonts w:ascii="Arial" w:eastAsia="宋体" w:hAnsi="Arial" w:cs="Arial"/>
      <w:vanish/>
      <w:sz w:val="16"/>
      <w:szCs w:val="16"/>
      <w:lang w:val="en-US" w:eastAsia="zh-CN"/>
    </w:rPr>
  </w:style>
  <w:style w:type="character" w:styleId="ae">
    <w:name w:val="FollowedHyperlink"/>
    <w:basedOn w:val="a0"/>
    <w:uiPriority w:val="99"/>
    <w:rsid w:val="005507B9"/>
    <w:rPr>
      <w:rFonts w:cs="Times New Roman"/>
      <w:color w:val="800080"/>
      <w:u w:val="single"/>
    </w:rPr>
  </w:style>
  <w:style w:type="paragraph" w:styleId="af">
    <w:name w:val="header"/>
    <w:basedOn w:val="a"/>
    <w:link w:val="Char4"/>
    <w:uiPriority w:val="99"/>
    <w:rsid w:val="000A2D1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locked/>
    <w:rsid w:val="000A2D1C"/>
    <w:rPr>
      <w:rFonts w:cs="Times New Roman"/>
      <w:sz w:val="18"/>
      <w:szCs w:val="18"/>
    </w:rPr>
  </w:style>
  <w:style w:type="paragraph" w:customStyle="1" w:styleId="p0">
    <w:name w:val="p0"/>
    <w:basedOn w:val="a"/>
    <w:uiPriority w:val="99"/>
    <w:rsid w:val="000A2D1C"/>
    <w:pPr>
      <w:spacing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55B"/>
    <w:rPr>
      <w:kern w:val="0"/>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16DE1"/>
    <w:rPr>
      <w:rFonts w:cs="Times New Roman"/>
      <w:color w:val="0000FF"/>
      <w:u w:val="single"/>
    </w:rPr>
  </w:style>
  <w:style w:type="paragraph" w:styleId="a4">
    <w:name w:val="Body Text Indent"/>
    <w:basedOn w:val="a"/>
    <w:link w:val="Char"/>
    <w:uiPriority w:val="99"/>
    <w:rsid w:val="00DC0360"/>
    <w:pPr>
      <w:jc w:val="both"/>
    </w:pPr>
    <w:rPr>
      <w:i/>
      <w:szCs w:val="20"/>
      <w:lang w:val="en-GB"/>
    </w:rPr>
  </w:style>
  <w:style w:type="character" w:customStyle="1" w:styleId="Char">
    <w:name w:val="正文文本缩进 Char"/>
    <w:basedOn w:val="a0"/>
    <w:link w:val="a4"/>
    <w:uiPriority w:val="99"/>
    <w:locked/>
    <w:rsid w:val="005507B9"/>
    <w:rPr>
      <w:rFonts w:cs="Times New Roman"/>
      <w:i/>
      <w:sz w:val="24"/>
      <w:lang w:val="en-GB"/>
    </w:rPr>
  </w:style>
  <w:style w:type="paragraph" w:styleId="a5">
    <w:name w:val="Balloon Text"/>
    <w:basedOn w:val="a"/>
    <w:link w:val="Char0"/>
    <w:uiPriority w:val="99"/>
    <w:rsid w:val="005F5CA9"/>
    <w:rPr>
      <w:rFonts w:ascii="Tahoma" w:hAnsi="Tahoma" w:cs="Tahoma"/>
      <w:sz w:val="16"/>
      <w:szCs w:val="16"/>
    </w:rPr>
  </w:style>
  <w:style w:type="character" w:customStyle="1" w:styleId="Char0">
    <w:name w:val="批注框文本 Char"/>
    <w:basedOn w:val="a0"/>
    <w:link w:val="a5"/>
    <w:uiPriority w:val="99"/>
    <w:locked/>
    <w:rsid w:val="005507B9"/>
    <w:rPr>
      <w:rFonts w:ascii="Tahoma" w:hAnsi="Tahoma" w:cs="Tahoma"/>
      <w:sz w:val="16"/>
      <w:szCs w:val="16"/>
    </w:rPr>
  </w:style>
  <w:style w:type="paragraph" w:styleId="HTML">
    <w:name w:val="HTML Preformatted"/>
    <w:basedOn w:val="a"/>
    <w:link w:val="HTMLChar"/>
    <w:uiPriority w:val="99"/>
    <w:rsid w:val="001E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locked/>
    <w:rsid w:val="005507B9"/>
    <w:rPr>
      <w:rFonts w:ascii="Courier New" w:hAnsi="Courier New" w:cs="Courier New"/>
    </w:rPr>
  </w:style>
  <w:style w:type="paragraph" w:styleId="a6">
    <w:name w:val="Body Text"/>
    <w:basedOn w:val="a"/>
    <w:link w:val="Char1"/>
    <w:uiPriority w:val="99"/>
    <w:rsid w:val="001E0A92"/>
    <w:pPr>
      <w:spacing w:after="120"/>
    </w:pPr>
  </w:style>
  <w:style w:type="character" w:customStyle="1" w:styleId="Char1">
    <w:name w:val="正文文本 Char"/>
    <w:basedOn w:val="a0"/>
    <w:link w:val="a6"/>
    <w:uiPriority w:val="99"/>
    <w:locked/>
    <w:rsid w:val="005507B9"/>
    <w:rPr>
      <w:rFonts w:cs="Times New Roman"/>
      <w:sz w:val="24"/>
      <w:szCs w:val="24"/>
    </w:rPr>
  </w:style>
  <w:style w:type="paragraph" w:styleId="2">
    <w:name w:val="Body Text 2"/>
    <w:basedOn w:val="a"/>
    <w:link w:val="2Char"/>
    <w:uiPriority w:val="99"/>
    <w:rsid w:val="002F10B0"/>
    <w:pPr>
      <w:spacing w:after="120" w:line="480" w:lineRule="auto"/>
    </w:pPr>
  </w:style>
  <w:style w:type="character" w:customStyle="1" w:styleId="2Char">
    <w:name w:val="正文文本 2 Char"/>
    <w:basedOn w:val="a0"/>
    <w:link w:val="2"/>
    <w:uiPriority w:val="99"/>
    <w:locked/>
    <w:rsid w:val="005507B9"/>
    <w:rPr>
      <w:rFonts w:cs="Times New Roman"/>
      <w:sz w:val="24"/>
      <w:szCs w:val="24"/>
    </w:rPr>
  </w:style>
  <w:style w:type="paragraph" w:customStyle="1" w:styleId="affiliation2">
    <w:name w:val="affiliation2"/>
    <w:basedOn w:val="a"/>
    <w:uiPriority w:val="99"/>
    <w:rsid w:val="002F10B0"/>
    <w:pPr>
      <w:spacing w:before="240" w:after="120" w:line="288" w:lineRule="atLeast"/>
      <w:ind w:left="120"/>
    </w:pPr>
    <w:rPr>
      <w:color w:val="000000"/>
      <w:sz w:val="19"/>
      <w:szCs w:val="19"/>
    </w:rPr>
  </w:style>
  <w:style w:type="paragraph" w:styleId="a7">
    <w:name w:val="footer"/>
    <w:basedOn w:val="a"/>
    <w:link w:val="Char2"/>
    <w:uiPriority w:val="99"/>
    <w:rsid w:val="002A1344"/>
    <w:pPr>
      <w:tabs>
        <w:tab w:val="center" w:pos="4819"/>
        <w:tab w:val="right" w:pos="9638"/>
      </w:tabs>
    </w:pPr>
  </w:style>
  <w:style w:type="character" w:customStyle="1" w:styleId="Char2">
    <w:name w:val="页脚 Char"/>
    <w:basedOn w:val="a0"/>
    <w:link w:val="a7"/>
    <w:uiPriority w:val="99"/>
    <w:semiHidden/>
    <w:rsid w:val="006108CC"/>
    <w:rPr>
      <w:kern w:val="0"/>
      <w:sz w:val="18"/>
      <w:szCs w:val="18"/>
      <w:lang w:val="it-IT" w:eastAsia="it-IT"/>
    </w:rPr>
  </w:style>
  <w:style w:type="character" w:styleId="a8">
    <w:name w:val="page number"/>
    <w:basedOn w:val="a0"/>
    <w:uiPriority w:val="99"/>
    <w:rsid w:val="002A1344"/>
    <w:rPr>
      <w:rFonts w:cs="Times New Roman"/>
    </w:rPr>
  </w:style>
  <w:style w:type="table" w:styleId="a9">
    <w:name w:val="Table Grid"/>
    <w:basedOn w:val="a1"/>
    <w:uiPriority w:val="99"/>
    <w:rsid w:val="00F770D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B7711C"/>
    <w:rPr>
      <w:rFonts w:cs="Times New Roman"/>
    </w:rPr>
  </w:style>
  <w:style w:type="paragraph" w:customStyle="1" w:styleId="Pa19">
    <w:name w:val="Pa19"/>
    <w:basedOn w:val="a"/>
    <w:next w:val="a"/>
    <w:uiPriority w:val="99"/>
    <w:rsid w:val="00A614C8"/>
    <w:pPr>
      <w:autoSpaceDE w:val="0"/>
      <w:autoSpaceDN w:val="0"/>
      <w:adjustRightInd w:val="0"/>
      <w:spacing w:line="161" w:lineRule="atLeast"/>
    </w:pPr>
    <w:rPr>
      <w:rFonts w:ascii="Univers" w:hAnsi="Univers"/>
    </w:rPr>
  </w:style>
  <w:style w:type="character" w:styleId="aa">
    <w:name w:val="Emphasis"/>
    <w:basedOn w:val="a0"/>
    <w:uiPriority w:val="99"/>
    <w:qFormat/>
    <w:rsid w:val="00F446B5"/>
    <w:rPr>
      <w:rFonts w:cs="Times New Roman"/>
      <w:i/>
      <w:iCs/>
    </w:rPr>
  </w:style>
  <w:style w:type="character" w:customStyle="1" w:styleId="apple-converted-space">
    <w:name w:val="apple-converted-space"/>
    <w:basedOn w:val="a0"/>
    <w:uiPriority w:val="99"/>
    <w:rsid w:val="00F446B5"/>
    <w:rPr>
      <w:rFonts w:cs="Times New Roman"/>
    </w:rPr>
  </w:style>
  <w:style w:type="character" w:customStyle="1" w:styleId="highlight">
    <w:name w:val="highlight"/>
    <w:basedOn w:val="a0"/>
    <w:uiPriority w:val="99"/>
    <w:rsid w:val="000C2487"/>
    <w:rPr>
      <w:rFonts w:cs="Times New Roman"/>
    </w:rPr>
  </w:style>
  <w:style w:type="paragraph" w:styleId="ab">
    <w:name w:val="List Paragraph"/>
    <w:basedOn w:val="a"/>
    <w:uiPriority w:val="99"/>
    <w:qFormat/>
    <w:rsid w:val="006F3266"/>
    <w:pPr>
      <w:ind w:left="720"/>
      <w:contextualSpacing/>
    </w:pPr>
  </w:style>
  <w:style w:type="paragraph" w:styleId="ac">
    <w:name w:val="Plain Text"/>
    <w:basedOn w:val="a"/>
    <w:link w:val="Char3"/>
    <w:uiPriority w:val="99"/>
    <w:rsid w:val="005507B9"/>
    <w:pPr>
      <w:widowControl w:val="0"/>
      <w:jc w:val="both"/>
    </w:pPr>
    <w:rPr>
      <w:rFonts w:ascii="宋体" w:hAnsi="Courier New" w:cs="Courier New"/>
      <w:kern w:val="2"/>
      <w:sz w:val="21"/>
      <w:szCs w:val="21"/>
      <w:lang w:val="en-US" w:eastAsia="zh-CN"/>
    </w:rPr>
  </w:style>
  <w:style w:type="character" w:customStyle="1" w:styleId="Char3">
    <w:name w:val="纯文本 Char"/>
    <w:basedOn w:val="a0"/>
    <w:link w:val="ac"/>
    <w:uiPriority w:val="99"/>
    <w:locked/>
    <w:rsid w:val="005507B9"/>
    <w:rPr>
      <w:rFonts w:ascii="宋体" w:eastAsia="宋体" w:hAnsi="Courier New" w:cs="Courier New"/>
      <w:kern w:val="2"/>
      <w:sz w:val="21"/>
      <w:szCs w:val="21"/>
      <w:lang w:val="en-US" w:eastAsia="zh-CN"/>
    </w:rPr>
  </w:style>
  <w:style w:type="character" w:styleId="ad">
    <w:name w:val="Strong"/>
    <w:basedOn w:val="a0"/>
    <w:uiPriority w:val="99"/>
    <w:qFormat/>
    <w:rsid w:val="005507B9"/>
    <w:rPr>
      <w:rFonts w:cs="Times New Roman"/>
      <w:b/>
      <w:bCs/>
    </w:rPr>
  </w:style>
  <w:style w:type="character" w:customStyle="1" w:styleId="ref-journal">
    <w:name w:val="ref-journal"/>
    <w:basedOn w:val="a0"/>
    <w:uiPriority w:val="99"/>
    <w:rsid w:val="005507B9"/>
    <w:rPr>
      <w:rFonts w:cs="Times New Roman"/>
    </w:rPr>
  </w:style>
  <w:style w:type="character" w:customStyle="1" w:styleId="ref-vol">
    <w:name w:val="ref-vol"/>
    <w:basedOn w:val="a0"/>
    <w:uiPriority w:val="99"/>
    <w:rsid w:val="005507B9"/>
    <w:rPr>
      <w:rFonts w:cs="Times New Roman"/>
    </w:rPr>
  </w:style>
  <w:style w:type="paragraph" w:styleId="z-">
    <w:name w:val="HTML Top of Form"/>
    <w:basedOn w:val="a"/>
    <w:next w:val="a"/>
    <w:link w:val="z-Char"/>
    <w:hidden/>
    <w:uiPriority w:val="99"/>
    <w:rsid w:val="005507B9"/>
    <w:pPr>
      <w:pBdr>
        <w:bottom w:val="single" w:sz="6" w:space="1" w:color="auto"/>
      </w:pBdr>
      <w:jc w:val="center"/>
    </w:pPr>
    <w:rPr>
      <w:rFonts w:ascii="Arial" w:hAnsi="Arial" w:cs="Arial"/>
      <w:vanish/>
      <w:sz w:val="16"/>
      <w:szCs w:val="16"/>
      <w:lang w:val="en-US" w:eastAsia="zh-CN"/>
    </w:rPr>
  </w:style>
  <w:style w:type="character" w:customStyle="1" w:styleId="z-Char">
    <w:name w:val="z-窗体顶端 Char"/>
    <w:basedOn w:val="a0"/>
    <w:link w:val="z-"/>
    <w:uiPriority w:val="99"/>
    <w:locked/>
    <w:rsid w:val="005507B9"/>
    <w:rPr>
      <w:rFonts w:ascii="Arial" w:eastAsia="宋体" w:hAnsi="Arial" w:cs="Arial"/>
      <w:vanish/>
      <w:sz w:val="16"/>
      <w:szCs w:val="16"/>
      <w:lang w:val="en-US" w:eastAsia="zh-CN"/>
    </w:rPr>
  </w:style>
  <w:style w:type="paragraph" w:styleId="z-0">
    <w:name w:val="HTML Bottom of Form"/>
    <w:basedOn w:val="a"/>
    <w:next w:val="a"/>
    <w:link w:val="z-Char0"/>
    <w:hidden/>
    <w:uiPriority w:val="99"/>
    <w:rsid w:val="005507B9"/>
    <w:pPr>
      <w:pBdr>
        <w:top w:val="single" w:sz="6" w:space="1" w:color="auto"/>
      </w:pBdr>
      <w:jc w:val="center"/>
    </w:pPr>
    <w:rPr>
      <w:rFonts w:ascii="Arial" w:hAnsi="Arial" w:cs="Arial"/>
      <w:vanish/>
      <w:sz w:val="16"/>
      <w:szCs w:val="16"/>
      <w:lang w:val="en-US" w:eastAsia="zh-CN"/>
    </w:rPr>
  </w:style>
  <w:style w:type="character" w:customStyle="1" w:styleId="z-Char0">
    <w:name w:val="z-窗体底端 Char"/>
    <w:basedOn w:val="a0"/>
    <w:link w:val="z-0"/>
    <w:uiPriority w:val="99"/>
    <w:locked/>
    <w:rsid w:val="005507B9"/>
    <w:rPr>
      <w:rFonts w:ascii="Arial" w:eastAsia="宋体" w:hAnsi="Arial" w:cs="Arial"/>
      <w:vanish/>
      <w:sz w:val="16"/>
      <w:szCs w:val="16"/>
      <w:lang w:val="en-US" w:eastAsia="zh-CN"/>
    </w:rPr>
  </w:style>
  <w:style w:type="character" w:styleId="ae">
    <w:name w:val="FollowedHyperlink"/>
    <w:basedOn w:val="a0"/>
    <w:uiPriority w:val="99"/>
    <w:rsid w:val="005507B9"/>
    <w:rPr>
      <w:rFonts w:cs="Times New Roman"/>
      <w:color w:val="800080"/>
      <w:u w:val="single"/>
    </w:rPr>
  </w:style>
  <w:style w:type="paragraph" w:styleId="af">
    <w:name w:val="header"/>
    <w:basedOn w:val="a"/>
    <w:link w:val="Char4"/>
    <w:uiPriority w:val="99"/>
    <w:rsid w:val="000A2D1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locked/>
    <w:rsid w:val="000A2D1C"/>
    <w:rPr>
      <w:rFonts w:cs="Times New Roman"/>
      <w:sz w:val="18"/>
      <w:szCs w:val="18"/>
    </w:rPr>
  </w:style>
  <w:style w:type="paragraph" w:customStyle="1" w:styleId="p0">
    <w:name w:val="p0"/>
    <w:basedOn w:val="a"/>
    <w:uiPriority w:val="99"/>
    <w:rsid w:val="000A2D1C"/>
    <w:pPr>
      <w:spacing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27917">
      <w:marLeft w:val="0"/>
      <w:marRight w:val="0"/>
      <w:marTop w:val="0"/>
      <w:marBottom w:val="0"/>
      <w:divBdr>
        <w:top w:val="none" w:sz="0" w:space="0" w:color="auto"/>
        <w:left w:val="none" w:sz="0" w:space="0" w:color="auto"/>
        <w:bottom w:val="none" w:sz="0" w:space="0" w:color="auto"/>
        <w:right w:val="none" w:sz="0" w:space="0" w:color="auto"/>
      </w:divBdr>
    </w:div>
    <w:div w:id="1030227923">
      <w:marLeft w:val="0"/>
      <w:marRight w:val="0"/>
      <w:marTop w:val="0"/>
      <w:marBottom w:val="0"/>
      <w:divBdr>
        <w:top w:val="none" w:sz="0" w:space="0" w:color="auto"/>
        <w:left w:val="none" w:sz="0" w:space="0" w:color="auto"/>
        <w:bottom w:val="none" w:sz="0" w:space="0" w:color="auto"/>
        <w:right w:val="none" w:sz="0" w:space="0" w:color="auto"/>
      </w:divBdr>
      <w:divsChild>
        <w:div w:id="1030227939">
          <w:marLeft w:val="0"/>
          <w:marRight w:val="0"/>
          <w:marTop w:val="0"/>
          <w:marBottom w:val="0"/>
          <w:divBdr>
            <w:top w:val="none" w:sz="0" w:space="0" w:color="auto"/>
            <w:left w:val="none" w:sz="0" w:space="0" w:color="auto"/>
            <w:bottom w:val="none" w:sz="0" w:space="0" w:color="auto"/>
            <w:right w:val="none" w:sz="0" w:space="0" w:color="auto"/>
          </w:divBdr>
        </w:div>
      </w:divsChild>
    </w:div>
    <w:div w:id="1030227925">
      <w:marLeft w:val="0"/>
      <w:marRight w:val="0"/>
      <w:marTop w:val="0"/>
      <w:marBottom w:val="0"/>
      <w:divBdr>
        <w:top w:val="none" w:sz="0" w:space="0" w:color="auto"/>
        <w:left w:val="none" w:sz="0" w:space="0" w:color="auto"/>
        <w:bottom w:val="none" w:sz="0" w:space="0" w:color="auto"/>
        <w:right w:val="none" w:sz="0" w:space="0" w:color="auto"/>
      </w:divBdr>
      <w:divsChild>
        <w:div w:id="1030228041">
          <w:marLeft w:val="0"/>
          <w:marRight w:val="0"/>
          <w:marTop w:val="0"/>
          <w:marBottom w:val="0"/>
          <w:divBdr>
            <w:top w:val="none" w:sz="0" w:space="0" w:color="auto"/>
            <w:left w:val="none" w:sz="0" w:space="0" w:color="auto"/>
            <w:bottom w:val="none" w:sz="0" w:space="0" w:color="auto"/>
            <w:right w:val="none" w:sz="0" w:space="0" w:color="auto"/>
          </w:divBdr>
        </w:div>
      </w:divsChild>
    </w:div>
    <w:div w:id="1030227926">
      <w:marLeft w:val="0"/>
      <w:marRight w:val="0"/>
      <w:marTop w:val="0"/>
      <w:marBottom w:val="0"/>
      <w:divBdr>
        <w:top w:val="none" w:sz="0" w:space="0" w:color="auto"/>
        <w:left w:val="none" w:sz="0" w:space="0" w:color="auto"/>
        <w:bottom w:val="none" w:sz="0" w:space="0" w:color="auto"/>
        <w:right w:val="none" w:sz="0" w:space="0" w:color="auto"/>
      </w:divBdr>
      <w:divsChild>
        <w:div w:id="1030227990">
          <w:marLeft w:val="0"/>
          <w:marRight w:val="0"/>
          <w:marTop w:val="0"/>
          <w:marBottom w:val="0"/>
          <w:divBdr>
            <w:top w:val="none" w:sz="0" w:space="0" w:color="auto"/>
            <w:left w:val="none" w:sz="0" w:space="0" w:color="auto"/>
            <w:bottom w:val="none" w:sz="0" w:space="0" w:color="auto"/>
            <w:right w:val="none" w:sz="0" w:space="0" w:color="auto"/>
          </w:divBdr>
          <w:divsChild>
            <w:div w:id="10302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7931">
      <w:marLeft w:val="0"/>
      <w:marRight w:val="0"/>
      <w:marTop w:val="0"/>
      <w:marBottom w:val="0"/>
      <w:divBdr>
        <w:top w:val="none" w:sz="0" w:space="0" w:color="auto"/>
        <w:left w:val="none" w:sz="0" w:space="0" w:color="auto"/>
        <w:bottom w:val="none" w:sz="0" w:space="0" w:color="auto"/>
        <w:right w:val="none" w:sz="0" w:space="0" w:color="auto"/>
      </w:divBdr>
      <w:divsChild>
        <w:div w:id="1030228013">
          <w:marLeft w:val="0"/>
          <w:marRight w:val="0"/>
          <w:marTop w:val="0"/>
          <w:marBottom w:val="0"/>
          <w:divBdr>
            <w:top w:val="none" w:sz="0" w:space="0" w:color="auto"/>
            <w:left w:val="none" w:sz="0" w:space="0" w:color="auto"/>
            <w:bottom w:val="none" w:sz="0" w:space="0" w:color="auto"/>
            <w:right w:val="none" w:sz="0" w:space="0" w:color="auto"/>
          </w:divBdr>
        </w:div>
      </w:divsChild>
    </w:div>
    <w:div w:id="1030227933">
      <w:marLeft w:val="0"/>
      <w:marRight w:val="0"/>
      <w:marTop w:val="0"/>
      <w:marBottom w:val="0"/>
      <w:divBdr>
        <w:top w:val="none" w:sz="0" w:space="0" w:color="auto"/>
        <w:left w:val="none" w:sz="0" w:space="0" w:color="auto"/>
        <w:bottom w:val="none" w:sz="0" w:space="0" w:color="auto"/>
        <w:right w:val="none" w:sz="0" w:space="0" w:color="auto"/>
      </w:divBdr>
      <w:divsChild>
        <w:div w:id="1030227968">
          <w:marLeft w:val="0"/>
          <w:marRight w:val="0"/>
          <w:marTop w:val="0"/>
          <w:marBottom w:val="0"/>
          <w:divBdr>
            <w:top w:val="none" w:sz="0" w:space="0" w:color="auto"/>
            <w:left w:val="none" w:sz="0" w:space="0" w:color="auto"/>
            <w:bottom w:val="none" w:sz="0" w:space="0" w:color="auto"/>
            <w:right w:val="none" w:sz="0" w:space="0" w:color="auto"/>
          </w:divBdr>
        </w:div>
      </w:divsChild>
    </w:div>
    <w:div w:id="1030227936">
      <w:marLeft w:val="0"/>
      <w:marRight w:val="0"/>
      <w:marTop w:val="0"/>
      <w:marBottom w:val="0"/>
      <w:divBdr>
        <w:top w:val="none" w:sz="0" w:space="0" w:color="auto"/>
        <w:left w:val="none" w:sz="0" w:space="0" w:color="auto"/>
        <w:bottom w:val="none" w:sz="0" w:space="0" w:color="auto"/>
        <w:right w:val="none" w:sz="0" w:space="0" w:color="auto"/>
      </w:divBdr>
      <w:divsChild>
        <w:div w:id="1030228014">
          <w:marLeft w:val="0"/>
          <w:marRight w:val="0"/>
          <w:marTop w:val="0"/>
          <w:marBottom w:val="0"/>
          <w:divBdr>
            <w:top w:val="none" w:sz="0" w:space="0" w:color="auto"/>
            <w:left w:val="none" w:sz="0" w:space="0" w:color="auto"/>
            <w:bottom w:val="none" w:sz="0" w:space="0" w:color="auto"/>
            <w:right w:val="none" w:sz="0" w:space="0" w:color="auto"/>
          </w:divBdr>
        </w:div>
      </w:divsChild>
    </w:div>
    <w:div w:id="1030227938">
      <w:marLeft w:val="0"/>
      <w:marRight w:val="0"/>
      <w:marTop w:val="0"/>
      <w:marBottom w:val="0"/>
      <w:divBdr>
        <w:top w:val="none" w:sz="0" w:space="0" w:color="auto"/>
        <w:left w:val="none" w:sz="0" w:space="0" w:color="auto"/>
        <w:bottom w:val="none" w:sz="0" w:space="0" w:color="auto"/>
        <w:right w:val="none" w:sz="0" w:space="0" w:color="auto"/>
      </w:divBdr>
    </w:div>
    <w:div w:id="1030227944">
      <w:marLeft w:val="0"/>
      <w:marRight w:val="0"/>
      <w:marTop w:val="0"/>
      <w:marBottom w:val="0"/>
      <w:divBdr>
        <w:top w:val="none" w:sz="0" w:space="0" w:color="auto"/>
        <w:left w:val="none" w:sz="0" w:space="0" w:color="auto"/>
        <w:bottom w:val="none" w:sz="0" w:space="0" w:color="auto"/>
        <w:right w:val="none" w:sz="0" w:space="0" w:color="auto"/>
      </w:divBdr>
      <w:divsChild>
        <w:div w:id="1030227967">
          <w:marLeft w:val="0"/>
          <w:marRight w:val="0"/>
          <w:marTop w:val="0"/>
          <w:marBottom w:val="0"/>
          <w:divBdr>
            <w:top w:val="none" w:sz="0" w:space="0" w:color="auto"/>
            <w:left w:val="none" w:sz="0" w:space="0" w:color="auto"/>
            <w:bottom w:val="none" w:sz="0" w:space="0" w:color="auto"/>
            <w:right w:val="none" w:sz="0" w:space="0" w:color="auto"/>
          </w:divBdr>
        </w:div>
      </w:divsChild>
    </w:div>
    <w:div w:id="1030227947">
      <w:marLeft w:val="0"/>
      <w:marRight w:val="0"/>
      <w:marTop w:val="0"/>
      <w:marBottom w:val="0"/>
      <w:divBdr>
        <w:top w:val="none" w:sz="0" w:space="0" w:color="auto"/>
        <w:left w:val="none" w:sz="0" w:space="0" w:color="auto"/>
        <w:bottom w:val="none" w:sz="0" w:space="0" w:color="auto"/>
        <w:right w:val="none" w:sz="0" w:space="0" w:color="auto"/>
      </w:divBdr>
      <w:divsChild>
        <w:div w:id="1030227951">
          <w:marLeft w:val="0"/>
          <w:marRight w:val="0"/>
          <w:marTop w:val="0"/>
          <w:marBottom w:val="0"/>
          <w:divBdr>
            <w:top w:val="none" w:sz="0" w:space="0" w:color="auto"/>
            <w:left w:val="none" w:sz="0" w:space="0" w:color="auto"/>
            <w:bottom w:val="none" w:sz="0" w:space="0" w:color="auto"/>
            <w:right w:val="none" w:sz="0" w:space="0" w:color="auto"/>
          </w:divBdr>
        </w:div>
      </w:divsChild>
    </w:div>
    <w:div w:id="1030227952">
      <w:marLeft w:val="0"/>
      <w:marRight w:val="0"/>
      <w:marTop w:val="0"/>
      <w:marBottom w:val="0"/>
      <w:divBdr>
        <w:top w:val="none" w:sz="0" w:space="0" w:color="auto"/>
        <w:left w:val="none" w:sz="0" w:space="0" w:color="auto"/>
        <w:bottom w:val="none" w:sz="0" w:space="0" w:color="auto"/>
        <w:right w:val="none" w:sz="0" w:space="0" w:color="auto"/>
      </w:divBdr>
      <w:divsChild>
        <w:div w:id="1030227924">
          <w:marLeft w:val="0"/>
          <w:marRight w:val="0"/>
          <w:marTop w:val="0"/>
          <w:marBottom w:val="0"/>
          <w:divBdr>
            <w:top w:val="none" w:sz="0" w:space="0" w:color="auto"/>
            <w:left w:val="none" w:sz="0" w:space="0" w:color="auto"/>
            <w:bottom w:val="none" w:sz="0" w:space="0" w:color="auto"/>
            <w:right w:val="none" w:sz="0" w:space="0" w:color="auto"/>
          </w:divBdr>
        </w:div>
      </w:divsChild>
    </w:div>
    <w:div w:id="1030227954">
      <w:marLeft w:val="0"/>
      <w:marRight w:val="0"/>
      <w:marTop w:val="0"/>
      <w:marBottom w:val="0"/>
      <w:divBdr>
        <w:top w:val="none" w:sz="0" w:space="0" w:color="auto"/>
        <w:left w:val="none" w:sz="0" w:space="0" w:color="auto"/>
        <w:bottom w:val="none" w:sz="0" w:space="0" w:color="auto"/>
        <w:right w:val="none" w:sz="0" w:space="0" w:color="auto"/>
      </w:divBdr>
    </w:div>
    <w:div w:id="1030227956">
      <w:marLeft w:val="0"/>
      <w:marRight w:val="0"/>
      <w:marTop w:val="0"/>
      <w:marBottom w:val="0"/>
      <w:divBdr>
        <w:top w:val="none" w:sz="0" w:space="0" w:color="auto"/>
        <w:left w:val="none" w:sz="0" w:space="0" w:color="auto"/>
        <w:bottom w:val="none" w:sz="0" w:space="0" w:color="auto"/>
        <w:right w:val="none" w:sz="0" w:space="0" w:color="auto"/>
      </w:divBdr>
      <w:divsChild>
        <w:div w:id="1030227937">
          <w:marLeft w:val="0"/>
          <w:marRight w:val="0"/>
          <w:marTop w:val="0"/>
          <w:marBottom w:val="0"/>
          <w:divBdr>
            <w:top w:val="none" w:sz="0" w:space="0" w:color="auto"/>
            <w:left w:val="none" w:sz="0" w:space="0" w:color="auto"/>
            <w:bottom w:val="none" w:sz="0" w:space="0" w:color="auto"/>
            <w:right w:val="none" w:sz="0" w:space="0" w:color="auto"/>
          </w:divBdr>
          <w:divsChild>
            <w:div w:id="10302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7958">
      <w:marLeft w:val="0"/>
      <w:marRight w:val="0"/>
      <w:marTop w:val="0"/>
      <w:marBottom w:val="0"/>
      <w:divBdr>
        <w:top w:val="none" w:sz="0" w:space="0" w:color="auto"/>
        <w:left w:val="none" w:sz="0" w:space="0" w:color="auto"/>
        <w:bottom w:val="none" w:sz="0" w:space="0" w:color="auto"/>
        <w:right w:val="none" w:sz="0" w:space="0" w:color="auto"/>
      </w:divBdr>
      <w:divsChild>
        <w:div w:id="1030227965">
          <w:marLeft w:val="0"/>
          <w:marRight w:val="0"/>
          <w:marTop w:val="0"/>
          <w:marBottom w:val="0"/>
          <w:divBdr>
            <w:top w:val="none" w:sz="0" w:space="0" w:color="auto"/>
            <w:left w:val="none" w:sz="0" w:space="0" w:color="auto"/>
            <w:bottom w:val="none" w:sz="0" w:space="0" w:color="auto"/>
            <w:right w:val="none" w:sz="0" w:space="0" w:color="auto"/>
          </w:divBdr>
        </w:div>
      </w:divsChild>
    </w:div>
    <w:div w:id="1030227959">
      <w:marLeft w:val="0"/>
      <w:marRight w:val="0"/>
      <w:marTop w:val="0"/>
      <w:marBottom w:val="0"/>
      <w:divBdr>
        <w:top w:val="none" w:sz="0" w:space="0" w:color="auto"/>
        <w:left w:val="none" w:sz="0" w:space="0" w:color="auto"/>
        <w:bottom w:val="none" w:sz="0" w:space="0" w:color="auto"/>
        <w:right w:val="none" w:sz="0" w:space="0" w:color="auto"/>
      </w:divBdr>
    </w:div>
    <w:div w:id="1030227960">
      <w:marLeft w:val="0"/>
      <w:marRight w:val="0"/>
      <w:marTop w:val="0"/>
      <w:marBottom w:val="0"/>
      <w:divBdr>
        <w:top w:val="none" w:sz="0" w:space="0" w:color="auto"/>
        <w:left w:val="none" w:sz="0" w:space="0" w:color="auto"/>
        <w:bottom w:val="none" w:sz="0" w:space="0" w:color="auto"/>
        <w:right w:val="none" w:sz="0" w:space="0" w:color="auto"/>
      </w:divBdr>
    </w:div>
    <w:div w:id="1030227961">
      <w:marLeft w:val="0"/>
      <w:marRight w:val="0"/>
      <w:marTop w:val="0"/>
      <w:marBottom w:val="0"/>
      <w:divBdr>
        <w:top w:val="none" w:sz="0" w:space="0" w:color="auto"/>
        <w:left w:val="none" w:sz="0" w:space="0" w:color="auto"/>
        <w:bottom w:val="none" w:sz="0" w:space="0" w:color="auto"/>
        <w:right w:val="none" w:sz="0" w:space="0" w:color="auto"/>
      </w:divBdr>
    </w:div>
    <w:div w:id="1030227962">
      <w:marLeft w:val="0"/>
      <w:marRight w:val="0"/>
      <w:marTop w:val="0"/>
      <w:marBottom w:val="0"/>
      <w:divBdr>
        <w:top w:val="none" w:sz="0" w:space="0" w:color="auto"/>
        <w:left w:val="none" w:sz="0" w:space="0" w:color="auto"/>
        <w:bottom w:val="none" w:sz="0" w:space="0" w:color="auto"/>
        <w:right w:val="none" w:sz="0" w:space="0" w:color="auto"/>
      </w:divBdr>
    </w:div>
    <w:div w:id="1030227964">
      <w:marLeft w:val="0"/>
      <w:marRight w:val="0"/>
      <w:marTop w:val="0"/>
      <w:marBottom w:val="0"/>
      <w:divBdr>
        <w:top w:val="none" w:sz="0" w:space="0" w:color="auto"/>
        <w:left w:val="none" w:sz="0" w:space="0" w:color="auto"/>
        <w:bottom w:val="none" w:sz="0" w:space="0" w:color="auto"/>
        <w:right w:val="none" w:sz="0" w:space="0" w:color="auto"/>
      </w:divBdr>
      <w:divsChild>
        <w:div w:id="1030228007">
          <w:marLeft w:val="0"/>
          <w:marRight w:val="0"/>
          <w:marTop w:val="0"/>
          <w:marBottom w:val="0"/>
          <w:divBdr>
            <w:top w:val="none" w:sz="0" w:space="0" w:color="auto"/>
            <w:left w:val="none" w:sz="0" w:space="0" w:color="auto"/>
            <w:bottom w:val="none" w:sz="0" w:space="0" w:color="auto"/>
            <w:right w:val="none" w:sz="0" w:space="0" w:color="auto"/>
          </w:divBdr>
        </w:div>
      </w:divsChild>
    </w:div>
    <w:div w:id="1030227966">
      <w:marLeft w:val="0"/>
      <w:marRight w:val="0"/>
      <w:marTop w:val="0"/>
      <w:marBottom w:val="0"/>
      <w:divBdr>
        <w:top w:val="none" w:sz="0" w:space="0" w:color="auto"/>
        <w:left w:val="none" w:sz="0" w:space="0" w:color="auto"/>
        <w:bottom w:val="none" w:sz="0" w:space="0" w:color="auto"/>
        <w:right w:val="none" w:sz="0" w:space="0" w:color="auto"/>
      </w:divBdr>
      <w:divsChild>
        <w:div w:id="1030227935">
          <w:marLeft w:val="0"/>
          <w:marRight w:val="0"/>
          <w:marTop w:val="0"/>
          <w:marBottom w:val="0"/>
          <w:divBdr>
            <w:top w:val="none" w:sz="0" w:space="0" w:color="auto"/>
            <w:left w:val="none" w:sz="0" w:space="0" w:color="auto"/>
            <w:bottom w:val="none" w:sz="0" w:space="0" w:color="auto"/>
            <w:right w:val="none" w:sz="0" w:space="0" w:color="auto"/>
          </w:divBdr>
        </w:div>
      </w:divsChild>
    </w:div>
    <w:div w:id="1030227971">
      <w:marLeft w:val="0"/>
      <w:marRight w:val="0"/>
      <w:marTop w:val="0"/>
      <w:marBottom w:val="0"/>
      <w:divBdr>
        <w:top w:val="none" w:sz="0" w:space="0" w:color="auto"/>
        <w:left w:val="none" w:sz="0" w:space="0" w:color="auto"/>
        <w:bottom w:val="none" w:sz="0" w:space="0" w:color="auto"/>
        <w:right w:val="none" w:sz="0" w:space="0" w:color="auto"/>
      </w:divBdr>
    </w:div>
    <w:div w:id="1030227976">
      <w:marLeft w:val="0"/>
      <w:marRight w:val="0"/>
      <w:marTop w:val="0"/>
      <w:marBottom w:val="0"/>
      <w:divBdr>
        <w:top w:val="none" w:sz="0" w:space="0" w:color="auto"/>
        <w:left w:val="none" w:sz="0" w:space="0" w:color="auto"/>
        <w:bottom w:val="none" w:sz="0" w:space="0" w:color="auto"/>
        <w:right w:val="none" w:sz="0" w:space="0" w:color="auto"/>
      </w:divBdr>
      <w:divsChild>
        <w:div w:id="1030228074">
          <w:marLeft w:val="0"/>
          <w:marRight w:val="0"/>
          <w:marTop w:val="0"/>
          <w:marBottom w:val="0"/>
          <w:divBdr>
            <w:top w:val="none" w:sz="0" w:space="0" w:color="auto"/>
            <w:left w:val="none" w:sz="0" w:space="0" w:color="auto"/>
            <w:bottom w:val="none" w:sz="0" w:space="0" w:color="auto"/>
            <w:right w:val="none" w:sz="0" w:space="0" w:color="auto"/>
          </w:divBdr>
          <w:divsChild>
            <w:div w:id="1030227919">
              <w:marLeft w:val="0"/>
              <w:marRight w:val="0"/>
              <w:marTop w:val="0"/>
              <w:marBottom w:val="0"/>
              <w:divBdr>
                <w:top w:val="none" w:sz="0" w:space="0" w:color="auto"/>
                <w:left w:val="none" w:sz="0" w:space="0" w:color="auto"/>
                <w:bottom w:val="none" w:sz="0" w:space="0" w:color="auto"/>
                <w:right w:val="none" w:sz="0" w:space="0" w:color="auto"/>
              </w:divBdr>
            </w:div>
            <w:div w:id="1030227940">
              <w:marLeft w:val="0"/>
              <w:marRight w:val="0"/>
              <w:marTop w:val="0"/>
              <w:marBottom w:val="0"/>
              <w:divBdr>
                <w:top w:val="none" w:sz="0" w:space="0" w:color="auto"/>
                <w:left w:val="none" w:sz="0" w:space="0" w:color="auto"/>
                <w:bottom w:val="none" w:sz="0" w:space="0" w:color="auto"/>
                <w:right w:val="none" w:sz="0" w:space="0" w:color="auto"/>
              </w:divBdr>
            </w:div>
            <w:div w:id="1030227943">
              <w:marLeft w:val="0"/>
              <w:marRight w:val="0"/>
              <w:marTop w:val="0"/>
              <w:marBottom w:val="0"/>
              <w:divBdr>
                <w:top w:val="none" w:sz="0" w:space="0" w:color="auto"/>
                <w:left w:val="none" w:sz="0" w:space="0" w:color="auto"/>
                <w:bottom w:val="none" w:sz="0" w:space="0" w:color="auto"/>
                <w:right w:val="none" w:sz="0" w:space="0" w:color="auto"/>
              </w:divBdr>
            </w:div>
            <w:div w:id="1030228002">
              <w:marLeft w:val="0"/>
              <w:marRight w:val="0"/>
              <w:marTop w:val="0"/>
              <w:marBottom w:val="0"/>
              <w:divBdr>
                <w:top w:val="none" w:sz="0" w:space="0" w:color="auto"/>
                <w:left w:val="none" w:sz="0" w:space="0" w:color="auto"/>
                <w:bottom w:val="none" w:sz="0" w:space="0" w:color="auto"/>
                <w:right w:val="none" w:sz="0" w:space="0" w:color="auto"/>
              </w:divBdr>
            </w:div>
            <w:div w:id="10302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7978">
      <w:marLeft w:val="0"/>
      <w:marRight w:val="0"/>
      <w:marTop w:val="0"/>
      <w:marBottom w:val="0"/>
      <w:divBdr>
        <w:top w:val="none" w:sz="0" w:space="0" w:color="auto"/>
        <w:left w:val="none" w:sz="0" w:space="0" w:color="auto"/>
        <w:bottom w:val="none" w:sz="0" w:space="0" w:color="auto"/>
        <w:right w:val="none" w:sz="0" w:space="0" w:color="auto"/>
      </w:divBdr>
      <w:divsChild>
        <w:div w:id="1030228076">
          <w:marLeft w:val="0"/>
          <w:marRight w:val="0"/>
          <w:marTop w:val="0"/>
          <w:marBottom w:val="0"/>
          <w:divBdr>
            <w:top w:val="none" w:sz="0" w:space="0" w:color="auto"/>
            <w:left w:val="none" w:sz="0" w:space="0" w:color="auto"/>
            <w:bottom w:val="none" w:sz="0" w:space="0" w:color="auto"/>
            <w:right w:val="none" w:sz="0" w:space="0" w:color="auto"/>
          </w:divBdr>
          <w:divsChild>
            <w:div w:id="1030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7979">
      <w:marLeft w:val="0"/>
      <w:marRight w:val="0"/>
      <w:marTop w:val="0"/>
      <w:marBottom w:val="0"/>
      <w:divBdr>
        <w:top w:val="none" w:sz="0" w:space="0" w:color="auto"/>
        <w:left w:val="none" w:sz="0" w:space="0" w:color="auto"/>
        <w:bottom w:val="none" w:sz="0" w:space="0" w:color="auto"/>
        <w:right w:val="none" w:sz="0" w:space="0" w:color="auto"/>
      </w:divBdr>
      <w:divsChild>
        <w:div w:id="1030227942">
          <w:marLeft w:val="0"/>
          <w:marRight w:val="0"/>
          <w:marTop w:val="0"/>
          <w:marBottom w:val="0"/>
          <w:divBdr>
            <w:top w:val="none" w:sz="0" w:space="0" w:color="auto"/>
            <w:left w:val="none" w:sz="0" w:space="0" w:color="auto"/>
            <w:bottom w:val="none" w:sz="0" w:space="0" w:color="auto"/>
            <w:right w:val="none" w:sz="0" w:space="0" w:color="auto"/>
          </w:divBdr>
        </w:div>
      </w:divsChild>
    </w:div>
    <w:div w:id="1030227981">
      <w:marLeft w:val="0"/>
      <w:marRight w:val="0"/>
      <w:marTop w:val="0"/>
      <w:marBottom w:val="0"/>
      <w:divBdr>
        <w:top w:val="none" w:sz="0" w:space="0" w:color="auto"/>
        <w:left w:val="none" w:sz="0" w:space="0" w:color="auto"/>
        <w:bottom w:val="none" w:sz="0" w:space="0" w:color="auto"/>
        <w:right w:val="none" w:sz="0" w:space="0" w:color="auto"/>
      </w:divBdr>
      <w:divsChild>
        <w:div w:id="1030228083">
          <w:marLeft w:val="0"/>
          <w:marRight w:val="0"/>
          <w:marTop w:val="0"/>
          <w:marBottom w:val="0"/>
          <w:divBdr>
            <w:top w:val="none" w:sz="0" w:space="0" w:color="auto"/>
            <w:left w:val="none" w:sz="0" w:space="0" w:color="auto"/>
            <w:bottom w:val="none" w:sz="0" w:space="0" w:color="auto"/>
            <w:right w:val="none" w:sz="0" w:space="0" w:color="auto"/>
          </w:divBdr>
          <w:divsChild>
            <w:div w:id="10302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7985">
      <w:marLeft w:val="0"/>
      <w:marRight w:val="0"/>
      <w:marTop w:val="0"/>
      <w:marBottom w:val="0"/>
      <w:divBdr>
        <w:top w:val="none" w:sz="0" w:space="0" w:color="auto"/>
        <w:left w:val="none" w:sz="0" w:space="0" w:color="auto"/>
        <w:bottom w:val="none" w:sz="0" w:space="0" w:color="auto"/>
        <w:right w:val="none" w:sz="0" w:space="0" w:color="auto"/>
      </w:divBdr>
      <w:divsChild>
        <w:div w:id="1030228073">
          <w:marLeft w:val="0"/>
          <w:marRight w:val="0"/>
          <w:marTop w:val="0"/>
          <w:marBottom w:val="0"/>
          <w:divBdr>
            <w:top w:val="none" w:sz="0" w:space="0" w:color="auto"/>
            <w:left w:val="none" w:sz="0" w:space="0" w:color="auto"/>
            <w:bottom w:val="none" w:sz="0" w:space="0" w:color="auto"/>
            <w:right w:val="none" w:sz="0" w:space="0" w:color="auto"/>
          </w:divBdr>
        </w:div>
      </w:divsChild>
    </w:div>
    <w:div w:id="1030227989">
      <w:marLeft w:val="0"/>
      <w:marRight w:val="0"/>
      <w:marTop w:val="0"/>
      <w:marBottom w:val="0"/>
      <w:divBdr>
        <w:top w:val="none" w:sz="0" w:space="0" w:color="auto"/>
        <w:left w:val="none" w:sz="0" w:space="0" w:color="auto"/>
        <w:bottom w:val="none" w:sz="0" w:space="0" w:color="auto"/>
        <w:right w:val="none" w:sz="0" w:space="0" w:color="auto"/>
      </w:divBdr>
    </w:div>
    <w:div w:id="1030227992">
      <w:marLeft w:val="0"/>
      <w:marRight w:val="0"/>
      <w:marTop w:val="0"/>
      <w:marBottom w:val="0"/>
      <w:divBdr>
        <w:top w:val="none" w:sz="0" w:space="0" w:color="auto"/>
        <w:left w:val="none" w:sz="0" w:space="0" w:color="auto"/>
        <w:bottom w:val="none" w:sz="0" w:space="0" w:color="auto"/>
        <w:right w:val="none" w:sz="0" w:space="0" w:color="auto"/>
      </w:divBdr>
      <w:divsChild>
        <w:div w:id="1030227929">
          <w:marLeft w:val="0"/>
          <w:marRight w:val="0"/>
          <w:marTop w:val="0"/>
          <w:marBottom w:val="0"/>
          <w:divBdr>
            <w:top w:val="none" w:sz="0" w:space="0" w:color="auto"/>
            <w:left w:val="none" w:sz="0" w:space="0" w:color="auto"/>
            <w:bottom w:val="none" w:sz="0" w:space="0" w:color="auto"/>
            <w:right w:val="none" w:sz="0" w:space="0" w:color="auto"/>
          </w:divBdr>
          <w:divsChild>
            <w:div w:id="10302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7994">
      <w:marLeft w:val="0"/>
      <w:marRight w:val="0"/>
      <w:marTop w:val="0"/>
      <w:marBottom w:val="0"/>
      <w:divBdr>
        <w:top w:val="none" w:sz="0" w:space="0" w:color="auto"/>
        <w:left w:val="none" w:sz="0" w:space="0" w:color="auto"/>
        <w:bottom w:val="none" w:sz="0" w:space="0" w:color="auto"/>
        <w:right w:val="none" w:sz="0" w:space="0" w:color="auto"/>
      </w:divBdr>
      <w:divsChild>
        <w:div w:id="1030227949">
          <w:marLeft w:val="0"/>
          <w:marRight w:val="0"/>
          <w:marTop w:val="0"/>
          <w:marBottom w:val="0"/>
          <w:divBdr>
            <w:top w:val="none" w:sz="0" w:space="0" w:color="auto"/>
            <w:left w:val="none" w:sz="0" w:space="0" w:color="auto"/>
            <w:bottom w:val="none" w:sz="0" w:space="0" w:color="auto"/>
            <w:right w:val="none" w:sz="0" w:space="0" w:color="auto"/>
          </w:divBdr>
          <w:divsChild>
            <w:div w:id="10302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7995">
      <w:marLeft w:val="0"/>
      <w:marRight w:val="0"/>
      <w:marTop w:val="0"/>
      <w:marBottom w:val="0"/>
      <w:divBdr>
        <w:top w:val="none" w:sz="0" w:space="0" w:color="auto"/>
        <w:left w:val="none" w:sz="0" w:space="0" w:color="auto"/>
        <w:bottom w:val="none" w:sz="0" w:space="0" w:color="auto"/>
        <w:right w:val="none" w:sz="0" w:space="0" w:color="auto"/>
      </w:divBdr>
    </w:div>
    <w:div w:id="1030227996">
      <w:marLeft w:val="0"/>
      <w:marRight w:val="0"/>
      <w:marTop w:val="0"/>
      <w:marBottom w:val="0"/>
      <w:divBdr>
        <w:top w:val="none" w:sz="0" w:space="0" w:color="auto"/>
        <w:left w:val="none" w:sz="0" w:space="0" w:color="auto"/>
        <w:bottom w:val="none" w:sz="0" w:space="0" w:color="auto"/>
        <w:right w:val="none" w:sz="0" w:space="0" w:color="auto"/>
      </w:divBdr>
      <w:divsChild>
        <w:div w:id="1030227930">
          <w:marLeft w:val="0"/>
          <w:marRight w:val="0"/>
          <w:marTop w:val="240"/>
          <w:marBottom w:val="0"/>
          <w:divBdr>
            <w:top w:val="none" w:sz="0" w:space="0" w:color="auto"/>
            <w:left w:val="none" w:sz="0" w:space="0" w:color="auto"/>
            <w:bottom w:val="none" w:sz="0" w:space="0" w:color="auto"/>
            <w:right w:val="none" w:sz="0" w:space="0" w:color="auto"/>
          </w:divBdr>
          <w:divsChild>
            <w:div w:id="1030227953">
              <w:marLeft w:val="0"/>
              <w:marRight w:val="0"/>
              <w:marTop w:val="0"/>
              <w:marBottom w:val="0"/>
              <w:divBdr>
                <w:top w:val="none" w:sz="0" w:space="0" w:color="auto"/>
                <w:left w:val="none" w:sz="0" w:space="0" w:color="auto"/>
                <w:bottom w:val="none" w:sz="0" w:space="0" w:color="auto"/>
                <w:right w:val="none" w:sz="0" w:space="0" w:color="auto"/>
              </w:divBdr>
              <w:divsChild>
                <w:div w:id="10302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27999">
      <w:marLeft w:val="0"/>
      <w:marRight w:val="0"/>
      <w:marTop w:val="0"/>
      <w:marBottom w:val="0"/>
      <w:divBdr>
        <w:top w:val="none" w:sz="0" w:space="0" w:color="auto"/>
        <w:left w:val="none" w:sz="0" w:space="0" w:color="auto"/>
        <w:bottom w:val="none" w:sz="0" w:space="0" w:color="auto"/>
        <w:right w:val="none" w:sz="0" w:space="0" w:color="auto"/>
      </w:divBdr>
      <w:divsChild>
        <w:div w:id="1030228020">
          <w:marLeft w:val="0"/>
          <w:marRight w:val="0"/>
          <w:marTop w:val="0"/>
          <w:marBottom w:val="0"/>
          <w:divBdr>
            <w:top w:val="none" w:sz="0" w:space="0" w:color="auto"/>
            <w:left w:val="none" w:sz="0" w:space="0" w:color="auto"/>
            <w:bottom w:val="none" w:sz="0" w:space="0" w:color="auto"/>
            <w:right w:val="none" w:sz="0" w:space="0" w:color="auto"/>
          </w:divBdr>
        </w:div>
      </w:divsChild>
    </w:div>
    <w:div w:id="1030228003">
      <w:marLeft w:val="0"/>
      <w:marRight w:val="0"/>
      <w:marTop w:val="0"/>
      <w:marBottom w:val="0"/>
      <w:divBdr>
        <w:top w:val="none" w:sz="0" w:space="0" w:color="auto"/>
        <w:left w:val="none" w:sz="0" w:space="0" w:color="auto"/>
        <w:bottom w:val="none" w:sz="0" w:space="0" w:color="auto"/>
        <w:right w:val="none" w:sz="0" w:space="0" w:color="auto"/>
      </w:divBdr>
      <w:divsChild>
        <w:div w:id="1030227920">
          <w:marLeft w:val="0"/>
          <w:marRight w:val="0"/>
          <w:marTop w:val="0"/>
          <w:marBottom w:val="0"/>
          <w:divBdr>
            <w:top w:val="none" w:sz="0" w:space="0" w:color="auto"/>
            <w:left w:val="none" w:sz="0" w:space="0" w:color="auto"/>
            <w:bottom w:val="none" w:sz="0" w:space="0" w:color="auto"/>
            <w:right w:val="none" w:sz="0" w:space="0" w:color="auto"/>
          </w:divBdr>
        </w:div>
        <w:div w:id="1030227975">
          <w:marLeft w:val="0"/>
          <w:marRight w:val="0"/>
          <w:marTop w:val="0"/>
          <w:marBottom w:val="0"/>
          <w:divBdr>
            <w:top w:val="none" w:sz="0" w:space="0" w:color="auto"/>
            <w:left w:val="none" w:sz="0" w:space="0" w:color="auto"/>
            <w:bottom w:val="none" w:sz="0" w:space="0" w:color="auto"/>
            <w:right w:val="none" w:sz="0" w:space="0" w:color="auto"/>
          </w:divBdr>
        </w:div>
        <w:div w:id="1030227982">
          <w:marLeft w:val="0"/>
          <w:marRight w:val="0"/>
          <w:marTop w:val="0"/>
          <w:marBottom w:val="0"/>
          <w:divBdr>
            <w:top w:val="none" w:sz="0" w:space="0" w:color="auto"/>
            <w:left w:val="none" w:sz="0" w:space="0" w:color="auto"/>
            <w:bottom w:val="none" w:sz="0" w:space="0" w:color="auto"/>
            <w:right w:val="none" w:sz="0" w:space="0" w:color="auto"/>
          </w:divBdr>
        </w:div>
        <w:div w:id="1030227984">
          <w:marLeft w:val="0"/>
          <w:marRight w:val="0"/>
          <w:marTop w:val="0"/>
          <w:marBottom w:val="0"/>
          <w:divBdr>
            <w:top w:val="none" w:sz="0" w:space="0" w:color="auto"/>
            <w:left w:val="none" w:sz="0" w:space="0" w:color="auto"/>
            <w:bottom w:val="none" w:sz="0" w:space="0" w:color="auto"/>
            <w:right w:val="none" w:sz="0" w:space="0" w:color="auto"/>
          </w:divBdr>
        </w:div>
        <w:div w:id="1030227991">
          <w:marLeft w:val="0"/>
          <w:marRight w:val="0"/>
          <w:marTop w:val="0"/>
          <w:marBottom w:val="0"/>
          <w:divBdr>
            <w:top w:val="none" w:sz="0" w:space="0" w:color="auto"/>
            <w:left w:val="none" w:sz="0" w:space="0" w:color="auto"/>
            <w:bottom w:val="none" w:sz="0" w:space="0" w:color="auto"/>
            <w:right w:val="none" w:sz="0" w:space="0" w:color="auto"/>
          </w:divBdr>
        </w:div>
        <w:div w:id="1030228001">
          <w:marLeft w:val="0"/>
          <w:marRight w:val="0"/>
          <w:marTop w:val="0"/>
          <w:marBottom w:val="0"/>
          <w:divBdr>
            <w:top w:val="none" w:sz="0" w:space="0" w:color="auto"/>
            <w:left w:val="none" w:sz="0" w:space="0" w:color="auto"/>
            <w:bottom w:val="none" w:sz="0" w:space="0" w:color="auto"/>
            <w:right w:val="none" w:sz="0" w:space="0" w:color="auto"/>
          </w:divBdr>
        </w:div>
        <w:div w:id="1030228006">
          <w:marLeft w:val="0"/>
          <w:marRight w:val="0"/>
          <w:marTop w:val="0"/>
          <w:marBottom w:val="0"/>
          <w:divBdr>
            <w:top w:val="none" w:sz="0" w:space="0" w:color="auto"/>
            <w:left w:val="none" w:sz="0" w:space="0" w:color="auto"/>
            <w:bottom w:val="none" w:sz="0" w:space="0" w:color="auto"/>
            <w:right w:val="none" w:sz="0" w:space="0" w:color="auto"/>
          </w:divBdr>
        </w:div>
        <w:div w:id="1030228045">
          <w:marLeft w:val="0"/>
          <w:marRight w:val="0"/>
          <w:marTop w:val="0"/>
          <w:marBottom w:val="0"/>
          <w:divBdr>
            <w:top w:val="none" w:sz="0" w:space="0" w:color="auto"/>
            <w:left w:val="none" w:sz="0" w:space="0" w:color="auto"/>
            <w:bottom w:val="none" w:sz="0" w:space="0" w:color="auto"/>
            <w:right w:val="none" w:sz="0" w:space="0" w:color="auto"/>
          </w:divBdr>
        </w:div>
        <w:div w:id="1030228050">
          <w:marLeft w:val="0"/>
          <w:marRight w:val="0"/>
          <w:marTop w:val="0"/>
          <w:marBottom w:val="0"/>
          <w:divBdr>
            <w:top w:val="none" w:sz="0" w:space="0" w:color="auto"/>
            <w:left w:val="none" w:sz="0" w:space="0" w:color="auto"/>
            <w:bottom w:val="none" w:sz="0" w:space="0" w:color="auto"/>
            <w:right w:val="none" w:sz="0" w:space="0" w:color="auto"/>
          </w:divBdr>
        </w:div>
        <w:div w:id="1030228078">
          <w:marLeft w:val="0"/>
          <w:marRight w:val="0"/>
          <w:marTop w:val="0"/>
          <w:marBottom w:val="0"/>
          <w:divBdr>
            <w:top w:val="none" w:sz="0" w:space="0" w:color="auto"/>
            <w:left w:val="none" w:sz="0" w:space="0" w:color="auto"/>
            <w:bottom w:val="none" w:sz="0" w:space="0" w:color="auto"/>
            <w:right w:val="none" w:sz="0" w:space="0" w:color="auto"/>
          </w:divBdr>
        </w:div>
      </w:divsChild>
    </w:div>
    <w:div w:id="1030228009">
      <w:marLeft w:val="0"/>
      <w:marRight w:val="0"/>
      <w:marTop w:val="0"/>
      <w:marBottom w:val="0"/>
      <w:divBdr>
        <w:top w:val="none" w:sz="0" w:space="0" w:color="auto"/>
        <w:left w:val="none" w:sz="0" w:space="0" w:color="auto"/>
        <w:bottom w:val="none" w:sz="0" w:space="0" w:color="auto"/>
        <w:right w:val="none" w:sz="0" w:space="0" w:color="auto"/>
      </w:divBdr>
      <w:divsChild>
        <w:div w:id="1030227970">
          <w:marLeft w:val="0"/>
          <w:marRight w:val="0"/>
          <w:marTop w:val="0"/>
          <w:marBottom w:val="0"/>
          <w:divBdr>
            <w:top w:val="none" w:sz="0" w:space="0" w:color="auto"/>
            <w:left w:val="none" w:sz="0" w:space="0" w:color="auto"/>
            <w:bottom w:val="none" w:sz="0" w:space="0" w:color="auto"/>
            <w:right w:val="none" w:sz="0" w:space="0" w:color="auto"/>
          </w:divBdr>
          <w:divsChild>
            <w:div w:id="10302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011">
      <w:marLeft w:val="0"/>
      <w:marRight w:val="0"/>
      <w:marTop w:val="0"/>
      <w:marBottom w:val="0"/>
      <w:divBdr>
        <w:top w:val="none" w:sz="0" w:space="0" w:color="auto"/>
        <w:left w:val="none" w:sz="0" w:space="0" w:color="auto"/>
        <w:bottom w:val="none" w:sz="0" w:space="0" w:color="auto"/>
        <w:right w:val="none" w:sz="0" w:space="0" w:color="auto"/>
      </w:divBdr>
      <w:divsChild>
        <w:div w:id="1030227918">
          <w:marLeft w:val="0"/>
          <w:marRight w:val="0"/>
          <w:marTop w:val="0"/>
          <w:marBottom w:val="0"/>
          <w:divBdr>
            <w:top w:val="none" w:sz="0" w:space="0" w:color="auto"/>
            <w:left w:val="none" w:sz="0" w:space="0" w:color="auto"/>
            <w:bottom w:val="none" w:sz="0" w:space="0" w:color="auto"/>
            <w:right w:val="none" w:sz="0" w:space="0" w:color="auto"/>
          </w:divBdr>
        </w:div>
      </w:divsChild>
    </w:div>
    <w:div w:id="1030228012">
      <w:marLeft w:val="0"/>
      <w:marRight w:val="0"/>
      <w:marTop w:val="0"/>
      <w:marBottom w:val="0"/>
      <w:divBdr>
        <w:top w:val="none" w:sz="0" w:space="0" w:color="auto"/>
        <w:left w:val="none" w:sz="0" w:space="0" w:color="auto"/>
        <w:bottom w:val="none" w:sz="0" w:space="0" w:color="auto"/>
        <w:right w:val="none" w:sz="0" w:space="0" w:color="auto"/>
      </w:divBdr>
      <w:divsChild>
        <w:div w:id="1030228039">
          <w:marLeft w:val="0"/>
          <w:marRight w:val="0"/>
          <w:marTop w:val="0"/>
          <w:marBottom w:val="0"/>
          <w:divBdr>
            <w:top w:val="none" w:sz="0" w:space="0" w:color="auto"/>
            <w:left w:val="none" w:sz="0" w:space="0" w:color="auto"/>
            <w:bottom w:val="none" w:sz="0" w:space="0" w:color="auto"/>
            <w:right w:val="none" w:sz="0" w:space="0" w:color="auto"/>
          </w:divBdr>
        </w:div>
      </w:divsChild>
    </w:div>
    <w:div w:id="1030228019">
      <w:marLeft w:val="0"/>
      <w:marRight w:val="0"/>
      <w:marTop w:val="0"/>
      <w:marBottom w:val="0"/>
      <w:divBdr>
        <w:top w:val="none" w:sz="0" w:space="0" w:color="auto"/>
        <w:left w:val="none" w:sz="0" w:space="0" w:color="auto"/>
        <w:bottom w:val="none" w:sz="0" w:space="0" w:color="auto"/>
        <w:right w:val="none" w:sz="0" w:space="0" w:color="auto"/>
      </w:divBdr>
    </w:div>
    <w:div w:id="1030228023">
      <w:marLeft w:val="0"/>
      <w:marRight w:val="0"/>
      <w:marTop w:val="0"/>
      <w:marBottom w:val="0"/>
      <w:divBdr>
        <w:top w:val="none" w:sz="0" w:space="0" w:color="auto"/>
        <w:left w:val="none" w:sz="0" w:space="0" w:color="auto"/>
        <w:bottom w:val="none" w:sz="0" w:space="0" w:color="auto"/>
        <w:right w:val="none" w:sz="0" w:space="0" w:color="auto"/>
      </w:divBdr>
      <w:divsChild>
        <w:div w:id="1030228064">
          <w:marLeft w:val="0"/>
          <w:marRight w:val="0"/>
          <w:marTop w:val="0"/>
          <w:marBottom w:val="0"/>
          <w:divBdr>
            <w:top w:val="none" w:sz="0" w:space="0" w:color="auto"/>
            <w:left w:val="none" w:sz="0" w:space="0" w:color="auto"/>
            <w:bottom w:val="none" w:sz="0" w:space="0" w:color="auto"/>
            <w:right w:val="none" w:sz="0" w:space="0" w:color="auto"/>
          </w:divBdr>
          <w:divsChild>
            <w:div w:id="10302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024">
      <w:marLeft w:val="0"/>
      <w:marRight w:val="0"/>
      <w:marTop w:val="0"/>
      <w:marBottom w:val="0"/>
      <w:divBdr>
        <w:top w:val="none" w:sz="0" w:space="0" w:color="auto"/>
        <w:left w:val="none" w:sz="0" w:space="0" w:color="auto"/>
        <w:bottom w:val="none" w:sz="0" w:space="0" w:color="auto"/>
        <w:right w:val="none" w:sz="0" w:space="0" w:color="auto"/>
      </w:divBdr>
      <w:divsChild>
        <w:div w:id="1030227977">
          <w:marLeft w:val="0"/>
          <w:marRight w:val="0"/>
          <w:marTop w:val="0"/>
          <w:marBottom w:val="0"/>
          <w:divBdr>
            <w:top w:val="none" w:sz="0" w:space="0" w:color="auto"/>
            <w:left w:val="none" w:sz="0" w:space="0" w:color="auto"/>
            <w:bottom w:val="none" w:sz="0" w:space="0" w:color="auto"/>
            <w:right w:val="none" w:sz="0" w:space="0" w:color="auto"/>
          </w:divBdr>
        </w:div>
        <w:div w:id="1030227988">
          <w:marLeft w:val="0"/>
          <w:marRight w:val="0"/>
          <w:marTop w:val="0"/>
          <w:marBottom w:val="0"/>
          <w:divBdr>
            <w:top w:val="none" w:sz="0" w:space="0" w:color="auto"/>
            <w:left w:val="none" w:sz="0" w:space="0" w:color="auto"/>
            <w:bottom w:val="none" w:sz="0" w:space="0" w:color="auto"/>
            <w:right w:val="none" w:sz="0" w:space="0" w:color="auto"/>
          </w:divBdr>
        </w:div>
        <w:div w:id="1030227997">
          <w:marLeft w:val="0"/>
          <w:marRight w:val="0"/>
          <w:marTop w:val="0"/>
          <w:marBottom w:val="0"/>
          <w:divBdr>
            <w:top w:val="none" w:sz="0" w:space="0" w:color="auto"/>
            <w:left w:val="none" w:sz="0" w:space="0" w:color="auto"/>
            <w:bottom w:val="none" w:sz="0" w:space="0" w:color="auto"/>
            <w:right w:val="none" w:sz="0" w:space="0" w:color="auto"/>
          </w:divBdr>
        </w:div>
        <w:div w:id="1030228010">
          <w:marLeft w:val="0"/>
          <w:marRight w:val="0"/>
          <w:marTop w:val="0"/>
          <w:marBottom w:val="0"/>
          <w:divBdr>
            <w:top w:val="none" w:sz="0" w:space="0" w:color="auto"/>
            <w:left w:val="none" w:sz="0" w:space="0" w:color="auto"/>
            <w:bottom w:val="none" w:sz="0" w:space="0" w:color="auto"/>
            <w:right w:val="none" w:sz="0" w:space="0" w:color="auto"/>
          </w:divBdr>
        </w:div>
        <w:div w:id="1030228021">
          <w:marLeft w:val="0"/>
          <w:marRight w:val="0"/>
          <w:marTop w:val="0"/>
          <w:marBottom w:val="0"/>
          <w:divBdr>
            <w:top w:val="none" w:sz="0" w:space="0" w:color="auto"/>
            <w:left w:val="none" w:sz="0" w:space="0" w:color="auto"/>
            <w:bottom w:val="none" w:sz="0" w:space="0" w:color="auto"/>
            <w:right w:val="none" w:sz="0" w:space="0" w:color="auto"/>
          </w:divBdr>
        </w:div>
        <w:div w:id="1030228062">
          <w:marLeft w:val="0"/>
          <w:marRight w:val="0"/>
          <w:marTop w:val="0"/>
          <w:marBottom w:val="0"/>
          <w:divBdr>
            <w:top w:val="none" w:sz="0" w:space="0" w:color="auto"/>
            <w:left w:val="none" w:sz="0" w:space="0" w:color="auto"/>
            <w:bottom w:val="none" w:sz="0" w:space="0" w:color="auto"/>
            <w:right w:val="none" w:sz="0" w:space="0" w:color="auto"/>
          </w:divBdr>
        </w:div>
        <w:div w:id="1030228063">
          <w:marLeft w:val="0"/>
          <w:marRight w:val="0"/>
          <w:marTop w:val="0"/>
          <w:marBottom w:val="0"/>
          <w:divBdr>
            <w:top w:val="none" w:sz="0" w:space="0" w:color="auto"/>
            <w:left w:val="none" w:sz="0" w:space="0" w:color="auto"/>
            <w:bottom w:val="none" w:sz="0" w:space="0" w:color="auto"/>
            <w:right w:val="none" w:sz="0" w:space="0" w:color="auto"/>
          </w:divBdr>
        </w:div>
        <w:div w:id="1030228085">
          <w:marLeft w:val="0"/>
          <w:marRight w:val="0"/>
          <w:marTop w:val="0"/>
          <w:marBottom w:val="0"/>
          <w:divBdr>
            <w:top w:val="none" w:sz="0" w:space="0" w:color="auto"/>
            <w:left w:val="none" w:sz="0" w:space="0" w:color="auto"/>
            <w:bottom w:val="none" w:sz="0" w:space="0" w:color="auto"/>
            <w:right w:val="none" w:sz="0" w:space="0" w:color="auto"/>
          </w:divBdr>
        </w:div>
        <w:div w:id="1030228087">
          <w:marLeft w:val="0"/>
          <w:marRight w:val="0"/>
          <w:marTop w:val="0"/>
          <w:marBottom w:val="0"/>
          <w:divBdr>
            <w:top w:val="none" w:sz="0" w:space="0" w:color="auto"/>
            <w:left w:val="none" w:sz="0" w:space="0" w:color="auto"/>
            <w:bottom w:val="none" w:sz="0" w:space="0" w:color="auto"/>
            <w:right w:val="none" w:sz="0" w:space="0" w:color="auto"/>
          </w:divBdr>
        </w:div>
      </w:divsChild>
    </w:div>
    <w:div w:id="1030228027">
      <w:marLeft w:val="0"/>
      <w:marRight w:val="0"/>
      <w:marTop w:val="0"/>
      <w:marBottom w:val="0"/>
      <w:divBdr>
        <w:top w:val="none" w:sz="0" w:space="0" w:color="auto"/>
        <w:left w:val="none" w:sz="0" w:space="0" w:color="auto"/>
        <w:bottom w:val="none" w:sz="0" w:space="0" w:color="auto"/>
        <w:right w:val="none" w:sz="0" w:space="0" w:color="auto"/>
      </w:divBdr>
      <w:divsChild>
        <w:div w:id="1030227957">
          <w:marLeft w:val="0"/>
          <w:marRight w:val="0"/>
          <w:marTop w:val="0"/>
          <w:marBottom w:val="0"/>
          <w:divBdr>
            <w:top w:val="none" w:sz="0" w:space="0" w:color="auto"/>
            <w:left w:val="none" w:sz="0" w:space="0" w:color="auto"/>
            <w:bottom w:val="none" w:sz="0" w:space="0" w:color="auto"/>
            <w:right w:val="none" w:sz="0" w:space="0" w:color="auto"/>
          </w:divBdr>
        </w:div>
      </w:divsChild>
    </w:div>
    <w:div w:id="1030228030">
      <w:marLeft w:val="0"/>
      <w:marRight w:val="0"/>
      <w:marTop w:val="0"/>
      <w:marBottom w:val="0"/>
      <w:divBdr>
        <w:top w:val="none" w:sz="0" w:space="0" w:color="auto"/>
        <w:left w:val="none" w:sz="0" w:space="0" w:color="auto"/>
        <w:bottom w:val="none" w:sz="0" w:space="0" w:color="auto"/>
        <w:right w:val="none" w:sz="0" w:space="0" w:color="auto"/>
      </w:divBdr>
    </w:div>
    <w:div w:id="1030228032">
      <w:marLeft w:val="0"/>
      <w:marRight w:val="0"/>
      <w:marTop w:val="0"/>
      <w:marBottom w:val="0"/>
      <w:divBdr>
        <w:top w:val="none" w:sz="0" w:space="0" w:color="auto"/>
        <w:left w:val="none" w:sz="0" w:space="0" w:color="auto"/>
        <w:bottom w:val="none" w:sz="0" w:space="0" w:color="auto"/>
        <w:right w:val="none" w:sz="0" w:space="0" w:color="auto"/>
      </w:divBdr>
    </w:div>
    <w:div w:id="1030228033">
      <w:marLeft w:val="0"/>
      <w:marRight w:val="0"/>
      <w:marTop w:val="0"/>
      <w:marBottom w:val="0"/>
      <w:divBdr>
        <w:top w:val="none" w:sz="0" w:space="0" w:color="auto"/>
        <w:left w:val="none" w:sz="0" w:space="0" w:color="auto"/>
        <w:bottom w:val="none" w:sz="0" w:space="0" w:color="auto"/>
        <w:right w:val="none" w:sz="0" w:space="0" w:color="auto"/>
      </w:divBdr>
      <w:divsChild>
        <w:div w:id="1030228036">
          <w:marLeft w:val="0"/>
          <w:marRight w:val="0"/>
          <w:marTop w:val="0"/>
          <w:marBottom w:val="0"/>
          <w:divBdr>
            <w:top w:val="none" w:sz="0" w:space="0" w:color="auto"/>
            <w:left w:val="none" w:sz="0" w:space="0" w:color="auto"/>
            <w:bottom w:val="none" w:sz="0" w:space="0" w:color="auto"/>
            <w:right w:val="none" w:sz="0" w:space="0" w:color="auto"/>
          </w:divBdr>
        </w:div>
      </w:divsChild>
    </w:div>
    <w:div w:id="1030228038">
      <w:marLeft w:val="0"/>
      <w:marRight w:val="0"/>
      <w:marTop w:val="0"/>
      <w:marBottom w:val="0"/>
      <w:divBdr>
        <w:top w:val="none" w:sz="0" w:space="0" w:color="auto"/>
        <w:left w:val="none" w:sz="0" w:space="0" w:color="auto"/>
        <w:bottom w:val="none" w:sz="0" w:space="0" w:color="auto"/>
        <w:right w:val="none" w:sz="0" w:space="0" w:color="auto"/>
      </w:divBdr>
    </w:div>
    <w:div w:id="1030228040">
      <w:marLeft w:val="0"/>
      <w:marRight w:val="0"/>
      <w:marTop w:val="0"/>
      <w:marBottom w:val="0"/>
      <w:divBdr>
        <w:top w:val="none" w:sz="0" w:space="0" w:color="auto"/>
        <w:left w:val="none" w:sz="0" w:space="0" w:color="auto"/>
        <w:bottom w:val="none" w:sz="0" w:space="0" w:color="auto"/>
        <w:right w:val="none" w:sz="0" w:space="0" w:color="auto"/>
      </w:divBdr>
      <w:divsChild>
        <w:div w:id="1030227973">
          <w:marLeft w:val="0"/>
          <w:marRight w:val="0"/>
          <w:marTop w:val="0"/>
          <w:marBottom w:val="0"/>
          <w:divBdr>
            <w:top w:val="none" w:sz="0" w:space="0" w:color="auto"/>
            <w:left w:val="none" w:sz="0" w:space="0" w:color="auto"/>
            <w:bottom w:val="none" w:sz="0" w:space="0" w:color="auto"/>
            <w:right w:val="none" w:sz="0" w:space="0" w:color="auto"/>
          </w:divBdr>
        </w:div>
      </w:divsChild>
    </w:div>
    <w:div w:id="1030228042">
      <w:marLeft w:val="0"/>
      <w:marRight w:val="0"/>
      <w:marTop w:val="0"/>
      <w:marBottom w:val="0"/>
      <w:divBdr>
        <w:top w:val="none" w:sz="0" w:space="0" w:color="auto"/>
        <w:left w:val="none" w:sz="0" w:space="0" w:color="auto"/>
        <w:bottom w:val="none" w:sz="0" w:space="0" w:color="auto"/>
        <w:right w:val="none" w:sz="0" w:space="0" w:color="auto"/>
      </w:divBdr>
      <w:divsChild>
        <w:div w:id="1030227963">
          <w:marLeft w:val="0"/>
          <w:marRight w:val="0"/>
          <w:marTop w:val="0"/>
          <w:marBottom w:val="0"/>
          <w:divBdr>
            <w:top w:val="none" w:sz="0" w:space="0" w:color="auto"/>
            <w:left w:val="none" w:sz="0" w:space="0" w:color="auto"/>
            <w:bottom w:val="none" w:sz="0" w:space="0" w:color="auto"/>
            <w:right w:val="none" w:sz="0" w:space="0" w:color="auto"/>
          </w:divBdr>
          <w:divsChild>
            <w:div w:id="1030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043">
      <w:marLeft w:val="0"/>
      <w:marRight w:val="0"/>
      <w:marTop w:val="0"/>
      <w:marBottom w:val="0"/>
      <w:divBdr>
        <w:top w:val="none" w:sz="0" w:space="0" w:color="auto"/>
        <w:left w:val="none" w:sz="0" w:space="0" w:color="auto"/>
        <w:bottom w:val="none" w:sz="0" w:space="0" w:color="auto"/>
        <w:right w:val="none" w:sz="0" w:space="0" w:color="auto"/>
      </w:divBdr>
      <w:divsChild>
        <w:div w:id="1030227915">
          <w:marLeft w:val="0"/>
          <w:marRight w:val="0"/>
          <w:marTop w:val="0"/>
          <w:marBottom w:val="0"/>
          <w:divBdr>
            <w:top w:val="none" w:sz="0" w:space="0" w:color="auto"/>
            <w:left w:val="none" w:sz="0" w:space="0" w:color="auto"/>
            <w:bottom w:val="none" w:sz="0" w:space="0" w:color="auto"/>
            <w:right w:val="none" w:sz="0" w:space="0" w:color="auto"/>
          </w:divBdr>
        </w:div>
        <w:div w:id="1030227921">
          <w:marLeft w:val="0"/>
          <w:marRight w:val="0"/>
          <w:marTop w:val="0"/>
          <w:marBottom w:val="0"/>
          <w:divBdr>
            <w:top w:val="none" w:sz="0" w:space="0" w:color="auto"/>
            <w:left w:val="none" w:sz="0" w:space="0" w:color="auto"/>
            <w:bottom w:val="none" w:sz="0" w:space="0" w:color="auto"/>
            <w:right w:val="none" w:sz="0" w:space="0" w:color="auto"/>
          </w:divBdr>
        </w:div>
        <w:div w:id="1030227922">
          <w:marLeft w:val="0"/>
          <w:marRight w:val="0"/>
          <w:marTop w:val="0"/>
          <w:marBottom w:val="0"/>
          <w:divBdr>
            <w:top w:val="none" w:sz="0" w:space="0" w:color="auto"/>
            <w:left w:val="none" w:sz="0" w:space="0" w:color="auto"/>
            <w:bottom w:val="none" w:sz="0" w:space="0" w:color="auto"/>
            <w:right w:val="none" w:sz="0" w:space="0" w:color="auto"/>
          </w:divBdr>
        </w:div>
        <w:div w:id="1030227983">
          <w:marLeft w:val="0"/>
          <w:marRight w:val="0"/>
          <w:marTop w:val="0"/>
          <w:marBottom w:val="0"/>
          <w:divBdr>
            <w:top w:val="none" w:sz="0" w:space="0" w:color="auto"/>
            <w:left w:val="none" w:sz="0" w:space="0" w:color="auto"/>
            <w:bottom w:val="none" w:sz="0" w:space="0" w:color="auto"/>
            <w:right w:val="none" w:sz="0" w:space="0" w:color="auto"/>
          </w:divBdr>
        </w:div>
        <w:div w:id="1030227987">
          <w:marLeft w:val="0"/>
          <w:marRight w:val="0"/>
          <w:marTop w:val="0"/>
          <w:marBottom w:val="0"/>
          <w:divBdr>
            <w:top w:val="none" w:sz="0" w:space="0" w:color="auto"/>
            <w:left w:val="none" w:sz="0" w:space="0" w:color="auto"/>
            <w:bottom w:val="none" w:sz="0" w:space="0" w:color="auto"/>
            <w:right w:val="none" w:sz="0" w:space="0" w:color="auto"/>
          </w:divBdr>
        </w:div>
        <w:div w:id="1030228005">
          <w:marLeft w:val="0"/>
          <w:marRight w:val="0"/>
          <w:marTop w:val="0"/>
          <w:marBottom w:val="0"/>
          <w:divBdr>
            <w:top w:val="none" w:sz="0" w:space="0" w:color="auto"/>
            <w:left w:val="none" w:sz="0" w:space="0" w:color="auto"/>
            <w:bottom w:val="none" w:sz="0" w:space="0" w:color="auto"/>
            <w:right w:val="none" w:sz="0" w:space="0" w:color="auto"/>
          </w:divBdr>
        </w:div>
        <w:div w:id="1030228008">
          <w:marLeft w:val="0"/>
          <w:marRight w:val="0"/>
          <w:marTop w:val="0"/>
          <w:marBottom w:val="0"/>
          <w:divBdr>
            <w:top w:val="none" w:sz="0" w:space="0" w:color="auto"/>
            <w:left w:val="none" w:sz="0" w:space="0" w:color="auto"/>
            <w:bottom w:val="none" w:sz="0" w:space="0" w:color="auto"/>
            <w:right w:val="none" w:sz="0" w:space="0" w:color="auto"/>
          </w:divBdr>
        </w:div>
        <w:div w:id="1030228016">
          <w:marLeft w:val="0"/>
          <w:marRight w:val="0"/>
          <w:marTop w:val="0"/>
          <w:marBottom w:val="0"/>
          <w:divBdr>
            <w:top w:val="none" w:sz="0" w:space="0" w:color="auto"/>
            <w:left w:val="none" w:sz="0" w:space="0" w:color="auto"/>
            <w:bottom w:val="none" w:sz="0" w:space="0" w:color="auto"/>
            <w:right w:val="none" w:sz="0" w:space="0" w:color="auto"/>
          </w:divBdr>
        </w:div>
        <w:div w:id="1030228048">
          <w:marLeft w:val="0"/>
          <w:marRight w:val="0"/>
          <w:marTop w:val="0"/>
          <w:marBottom w:val="0"/>
          <w:divBdr>
            <w:top w:val="none" w:sz="0" w:space="0" w:color="auto"/>
            <w:left w:val="none" w:sz="0" w:space="0" w:color="auto"/>
            <w:bottom w:val="none" w:sz="0" w:space="0" w:color="auto"/>
            <w:right w:val="none" w:sz="0" w:space="0" w:color="auto"/>
          </w:divBdr>
        </w:div>
        <w:div w:id="1030228056">
          <w:marLeft w:val="0"/>
          <w:marRight w:val="0"/>
          <w:marTop w:val="0"/>
          <w:marBottom w:val="0"/>
          <w:divBdr>
            <w:top w:val="none" w:sz="0" w:space="0" w:color="auto"/>
            <w:left w:val="none" w:sz="0" w:space="0" w:color="auto"/>
            <w:bottom w:val="none" w:sz="0" w:space="0" w:color="auto"/>
            <w:right w:val="none" w:sz="0" w:space="0" w:color="auto"/>
          </w:divBdr>
        </w:div>
        <w:div w:id="1030228058">
          <w:marLeft w:val="0"/>
          <w:marRight w:val="0"/>
          <w:marTop w:val="0"/>
          <w:marBottom w:val="0"/>
          <w:divBdr>
            <w:top w:val="none" w:sz="0" w:space="0" w:color="auto"/>
            <w:left w:val="none" w:sz="0" w:space="0" w:color="auto"/>
            <w:bottom w:val="none" w:sz="0" w:space="0" w:color="auto"/>
            <w:right w:val="none" w:sz="0" w:space="0" w:color="auto"/>
          </w:divBdr>
        </w:div>
        <w:div w:id="1030228061">
          <w:marLeft w:val="0"/>
          <w:marRight w:val="0"/>
          <w:marTop w:val="0"/>
          <w:marBottom w:val="0"/>
          <w:divBdr>
            <w:top w:val="none" w:sz="0" w:space="0" w:color="auto"/>
            <w:left w:val="none" w:sz="0" w:space="0" w:color="auto"/>
            <w:bottom w:val="none" w:sz="0" w:space="0" w:color="auto"/>
            <w:right w:val="none" w:sz="0" w:space="0" w:color="auto"/>
          </w:divBdr>
        </w:div>
      </w:divsChild>
    </w:div>
    <w:div w:id="1030228044">
      <w:marLeft w:val="0"/>
      <w:marRight w:val="0"/>
      <w:marTop w:val="0"/>
      <w:marBottom w:val="0"/>
      <w:divBdr>
        <w:top w:val="none" w:sz="0" w:space="0" w:color="auto"/>
        <w:left w:val="none" w:sz="0" w:space="0" w:color="auto"/>
        <w:bottom w:val="none" w:sz="0" w:space="0" w:color="auto"/>
        <w:right w:val="none" w:sz="0" w:space="0" w:color="auto"/>
      </w:divBdr>
      <w:divsChild>
        <w:div w:id="1030228037">
          <w:marLeft w:val="0"/>
          <w:marRight w:val="0"/>
          <w:marTop w:val="0"/>
          <w:marBottom w:val="0"/>
          <w:divBdr>
            <w:top w:val="none" w:sz="0" w:space="0" w:color="auto"/>
            <w:left w:val="none" w:sz="0" w:space="0" w:color="auto"/>
            <w:bottom w:val="none" w:sz="0" w:space="0" w:color="auto"/>
            <w:right w:val="none" w:sz="0" w:space="0" w:color="auto"/>
          </w:divBdr>
        </w:div>
      </w:divsChild>
    </w:div>
    <w:div w:id="1030228046">
      <w:marLeft w:val="0"/>
      <w:marRight w:val="0"/>
      <w:marTop w:val="0"/>
      <w:marBottom w:val="0"/>
      <w:divBdr>
        <w:top w:val="none" w:sz="0" w:space="0" w:color="auto"/>
        <w:left w:val="none" w:sz="0" w:space="0" w:color="auto"/>
        <w:bottom w:val="none" w:sz="0" w:space="0" w:color="auto"/>
        <w:right w:val="none" w:sz="0" w:space="0" w:color="auto"/>
      </w:divBdr>
      <w:divsChild>
        <w:div w:id="1030227969">
          <w:marLeft w:val="0"/>
          <w:marRight w:val="0"/>
          <w:marTop w:val="0"/>
          <w:marBottom w:val="0"/>
          <w:divBdr>
            <w:top w:val="none" w:sz="0" w:space="0" w:color="auto"/>
            <w:left w:val="none" w:sz="0" w:space="0" w:color="auto"/>
            <w:bottom w:val="none" w:sz="0" w:space="0" w:color="auto"/>
            <w:right w:val="none" w:sz="0" w:space="0" w:color="auto"/>
          </w:divBdr>
        </w:div>
      </w:divsChild>
    </w:div>
    <w:div w:id="1030228047">
      <w:marLeft w:val="0"/>
      <w:marRight w:val="0"/>
      <w:marTop w:val="0"/>
      <w:marBottom w:val="0"/>
      <w:divBdr>
        <w:top w:val="none" w:sz="0" w:space="0" w:color="auto"/>
        <w:left w:val="none" w:sz="0" w:space="0" w:color="auto"/>
        <w:bottom w:val="none" w:sz="0" w:space="0" w:color="auto"/>
        <w:right w:val="none" w:sz="0" w:space="0" w:color="auto"/>
      </w:divBdr>
      <w:divsChild>
        <w:div w:id="1030227972">
          <w:marLeft w:val="0"/>
          <w:marRight w:val="0"/>
          <w:marTop w:val="0"/>
          <w:marBottom w:val="0"/>
          <w:divBdr>
            <w:top w:val="none" w:sz="0" w:space="0" w:color="auto"/>
            <w:left w:val="none" w:sz="0" w:space="0" w:color="auto"/>
            <w:bottom w:val="none" w:sz="0" w:space="0" w:color="auto"/>
            <w:right w:val="none" w:sz="0" w:space="0" w:color="auto"/>
          </w:divBdr>
          <w:divsChild>
            <w:div w:id="1030227928">
              <w:marLeft w:val="0"/>
              <w:marRight w:val="0"/>
              <w:marTop w:val="0"/>
              <w:marBottom w:val="0"/>
              <w:divBdr>
                <w:top w:val="none" w:sz="0" w:space="0" w:color="auto"/>
                <w:left w:val="none" w:sz="0" w:space="0" w:color="auto"/>
                <w:bottom w:val="none" w:sz="0" w:space="0" w:color="auto"/>
                <w:right w:val="none" w:sz="0" w:space="0" w:color="auto"/>
              </w:divBdr>
            </w:div>
            <w:div w:id="1030227950">
              <w:marLeft w:val="0"/>
              <w:marRight w:val="0"/>
              <w:marTop w:val="0"/>
              <w:marBottom w:val="0"/>
              <w:divBdr>
                <w:top w:val="none" w:sz="0" w:space="0" w:color="auto"/>
                <w:left w:val="none" w:sz="0" w:space="0" w:color="auto"/>
                <w:bottom w:val="none" w:sz="0" w:space="0" w:color="auto"/>
                <w:right w:val="none" w:sz="0" w:space="0" w:color="auto"/>
              </w:divBdr>
            </w:div>
            <w:div w:id="1030227986">
              <w:marLeft w:val="0"/>
              <w:marRight w:val="0"/>
              <w:marTop w:val="0"/>
              <w:marBottom w:val="0"/>
              <w:divBdr>
                <w:top w:val="none" w:sz="0" w:space="0" w:color="auto"/>
                <w:left w:val="none" w:sz="0" w:space="0" w:color="auto"/>
                <w:bottom w:val="none" w:sz="0" w:space="0" w:color="auto"/>
                <w:right w:val="none" w:sz="0" w:space="0" w:color="auto"/>
              </w:divBdr>
            </w:div>
            <w:div w:id="1030227993">
              <w:marLeft w:val="0"/>
              <w:marRight w:val="0"/>
              <w:marTop w:val="0"/>
              <w:marBottom w:val="0"/>
              <w:divBdr>
                <w:top w:val="none" w:sz="0" w:space="0" w:color="auto"/>
                <w:left w:val="none" w:sz="0" w:space="0" w:color="auto"/>
                <w:bottom w:val="none" w:sz="0" w:space="0" w:color="auto"/>
                <w:right w:val="none" w:sz="0" w:space="0" w:color="auto"/>
              </w:divBdr>
            </w:div>
            <w:div w:id="1030228004">
              <w:marLeft w:val="0"/>
              <w:marRight w:val="0"/>
              <w:marTop w:val="0"/>
              <w:marBottom w:val="0"/>
              <w:divBdr>
                <w:top w:val="none" w:sz="0" w:space="0" w:color="auto"/>
                <w:left w:val="none" w:sz="0" w:space="0" w:color="auto"/>
                <w:bottom w:val="none" w:sz="0" w:space="0" w:color="auto"/>
                <w:right w:val="none" w:sz="0" w:space="0" w:color="auto"/>
              </w:divBdr>
            </w:div>
            <w:div w:id="1030228017">
              <w:marLeft w:val="0"/>
              <w:marRight w:val="0"/>
              <w:marTop w:val="0"/>
              <w:marBottom w:val="0"/>
              <w:divBdr>
                <w:top w:val="none" w:sz="0" w:space="0" w:color="auto"/>
                <w:left w:val="none" w:sz="0" w:space="0" w:color="auto"/>
                <w:bottom w:val="none" w:sz="0" w:space="0" w:color="auto"/>
                <w:right w:val="none" w:sz="0" w:space="0" w:color="auto"/>
              </w:divBdr>
            </w:div>
            <w:div w:id="1030228075">
              <w:marLeft w:val="0"/>
              <w:marRight w:val="0"/>
              <w:marTop w:val="0"/>
              <w:marBottom w:val="0"/>
              <w:divBdr>
                <w:top w:val="none" w:sz="0" w:space="0" w:color="auto"/>
                <w:left w:val="none" w:sz="0" w:space="0" w:color="auto"/>
                <w:bottom w:val="none" w:sz="0" w:space="0" w:color="auto"/>
                <w:right w:val="none" w:sz="0" w:space="0" w:color="auto"/>
              </w:divBdr>
            </w:div>
            <w:div w:id="10302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049">
      <w:marLeft w:val="0"/>
      <w:marRight w:val="0"/>
      <w:marTop w:val="0"/>
      <w:marBottom w:val="0"/>
      <w:divBdr>
        <w:top w:val="none" w:sz="0" w:space="0" w:color="auto"/>
        <w:left w:val="none" w:sz="0" w:space="0" w:color="auto"/>
        <w:bottom w:val="none" w:sz="0" w:space="0" w:color="auto"/>
        <w:right w:val="none" w:sz="0" w:space="0" w:color="auto"/>
      </w:divBdr>
      <w:divsChild>
        <w:div w:id="1030228065">
          <w:marLeft w:val="0"/>
          <w:marRight w:val="0"/>
          <w:marTop w:val="0"/>
          <w:marBottom w:val="0"/>
          <w:divBdr>
            <w:top w:val="none" w:sz="0" w:space="0" w:color="auto"/>
            <w:left w:val="none" w:sz="0" w:space="0" w:color="auto"/>
            <w:bottom w:val="none" w:sz="0" w:space="0" w:color="auto"/>
            <w:right w:val="none" w:sz="0" w:space="0" w:color="auto"/>
          </w:divBdr>
          <w:divsChild>
            <w:div w:id="10302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051">
      <w:marLeft w:val="0"/>
      <w:marRight w:val="0"/>
      <w:marTop w:val="0"/>
      <w:marBottom w:val="0"/>
      <w:divBdr>
        <w:top w:val="none" w:sz="0" w:space="0" w:color="auto"/>
        <w:left w:val="none" w:sz="0" w:space="0" w:color="auto"/>
        <w:bottom w:val="none" w:sz="0" w:space="0" w:color="auto"/>
        <w:right w:val="none" w:sz="0" w:space="0" w:color="auto"/>
      </w:divBdr>
      <w:divsChild>
        <w:div w:id="1030227945">
          <w:marLeft w:val="0"/>
          <w:marRight w:val="0"/>
          <w:marTop w:val="0"/>
          <w:marBottom w:val="0"/>
          <w:divBdr>
            <w:top w:val="none" w:sz="0" w:space="0" w:color="auto"/>
            <w:left w:val="none" w:sz="0" w:space="0" w:color="auto"/>
            <w:bottom w:val="none" w:sz="0" w:space="0" w:color="auto"/>
            <w:right w:val="none" w:sz="0" w:space="0" w:color="auto"/>
          </w:divBdr>
          <w:divsChild>
            <w:div w:id="1030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052">
      <w:marLeft w:val="0"/>
      <w:marRight w:val="0"/>
      <w:marTop w:val="0"/>
      <w:marBottom w:val="0"/>
      <w:divBdr>
        <w:top w:val="none" w:sz="0" w:space="0" w:color="auto"/>
        <w:left w:val="none" w:sz="0" w:space="0" w:color="auto"/>
        <w:bottom w:val="none" w:sz="0" w:space="0" w:color="auto"/>
        <w:right w:val="none" w:sz="0" w:space="0" w:color="auto"/>
      </w:divBdr>
      <w:divsChild>
        <w:div w:id="1030227955">
          <w:marLeft w:val="0"/>
          <w:marRight w:val="0"/>
          <w:marTop w:val="0"/>
          <w:marBottom w:val="0"/>
          <w:divBdr>
            <w:top w:val="none" w:sz="0" w:space="0" w:color="auto"/>
            <w:left w:val="none" w:sz="0" w:space="0" w:color="auto"/>
            <w:bottom w:val="none" w:sz="0" w:space="0" w:color="auto"/>
            <w:right w:val="none" w:sz="0" w:space="0" w:color="auto"/>
          </w:divBdr>
        </w:div>
      </w:divsChild>
    </w:div>
    <w:div w:id="1030228053">
      <w:marLeft w:val="0"/>
      <w:marRight w:val="0"/>
      <w:marTop w:val="0"/>
      <w:marBottom w:val="0"/>
      <w:divBdr>
        <w:top w:val="none" w:sz="0" w:space="0" w:color="auto"/>
        <w:left w:val="none" w:sz="0" w:space="0" w:color="auto"/>
        <w:bottom w:val="none" w:sz="0" w:space="0" w:color="auto"/>
        <w:right w:val="none" w:sz="0" w:space="0" w:color="auto"/>
      </w:divBdr>
      <w:divsChild>
        <w:div w:id="1030228026">
          <w:marLeft w:val="0"/>
          <w:marRight w:val="0"/>
          <w:marTop w:val="0"/>
          <w:marBottom w:val="0"/>
          <w:divBdr>
            <w:top w:val="none" w:sz="0" w:space="0" w:color="auto"/>
            <w:left w:val="none" w:sz="0" w:space="0" w:color="auto"/>
            <w:bottom w:val="none" w:sz="0" w:space="0" w:color="auto"/>
            <w:right w:val="none" w:sz="0" w:space="0" w:color="auto"/>
          </w:divBdr>
        </w:div>
      </w:divsChild>
    </w:div>
    <w:div w:id="1030228055">
      <w:marLeft w:val="0"/>
      <w:marRight w:val="0"/>
      <w:marTop w:val="0"/>
      <w:marBottom w:val="0"/>
      <w:divBdr>
        <w:top w:val="none" w:sz="0" w:space="0" w:color="auto"/>
        <w:left w:val="none" w:sz="0" w:space="0" w:color="auto"/>
        <w:bottom w:val="none" w:sz="0" w:space="0" w:color="auto"/>
        <w:right w:val="none" w:sz="0" w:space="0" w:color="auto"/>
      </w:divBdr>
    </w:div>
    <w:div w:id="1030228057">
      <w:marLeft w:val="0"/>
      <w:marRight w:val="0"/>
      <w:marTop w:val="0"/>
      <w:marBottom w:val="0"/>
      <w:divBdr>
        <w:top w:val="none" w:sz="0" w:space="0" w:color="auto"/>
        <w:left w:val="none" w:sz="0" w:space="0" w:color="auto"/>
        <w:bottom w:val="none" w:sz="0" w:space="0" w:color="auto"/>
        <w:right w:val="none" w:sz="0" w:space="0" w:color="auto"/>
      </w:divBdr>
    </w:div>
    <w:div w:id="1030228059">
      <w:marLeft w:val="0"/>
      <w:marRight w:val="0"/>
      <w:marTop w:val="0"/>
      <w:marBottom w:val="0"/>
      <w:divBdr>
        <w:top w:val="none" w:sz="0" w:space="0" w:color="auto"/>
        <w:left w:val="none" w:sz="0" w:space="0" w:color="auto"/>
        <w:bottom w:val="none" w:sz="0" w:space="0" w:color="auto"/>
        <w:right w:val="none" w:sz="0" w:space="0" w:color="auto"/>
      </w:divBdr>
      <w:divsChild>
        <w:div w:id="1030228015">
          <w:marLeft w:val="0"/>
          <w:marRight w:val="0"/>
          <w:marTop w:val="0"/>
          <w:marBottom w:val="0"/>
          <w:divBdr>
            <w:top w:val="none" w:sz="0" w:space="0" w:color="auto"/>
            <w:left w:val="none" w:sz="0" w:space="0" w:color="auto"/>
            <w:bottom w:val="none" w:sz="0" w:space="0" w:color="auto"/>
            <w:right w:val="none" w:sz="0" w:space="0" w:color="auto"/>
          </w:divBdr>
          <w:divsChild>
            <w:div w:id="10302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060">
      <w:marLeft w:val="0"/>
      <w:marRight w:val="0"/>
      <w:marTop w:val="0"/>
      <w:marBottom w:val="0"/>
      <w:divBdr>
        <w:top w:val="none" w:sz="0" w:space="0" w:color="auto"/>
        <w:left w:val="none" w:sz="0" w:space="0" w:color="auto"/>
        <w:bottom w:val="none" w:sz="0" w:space="0" w:color="auto"/>
        <w:right w:val="none" w:sz="0" w:space="0" w:color="auto"/>
      </w:divBdr>
      <w:divsChild>
        <w:div w:id="1030228079">
          <w:marLeft w:val="0"/>
          <w:marRight w:val="0"/>
          <w:marTop w:val="0"/>
          <w:marBottom w:val="0"/>
          <w:divBdr>
            <w:top w:val="none" w:sz="0" w:space="0" w:color="auto"/>
            <w:left w:val="none" w:sz="0" w:space="0" w:color="auto"/>
            <w:bottom w:val="none" w:sz="0" w:space="0" w:color="auto"/>
            <w:right w:val="none" w:sz="0" w:space="0" w:color="auto"/>
          </w:divBdr>
        </w:div>
      </w:divsChild>
    </w:div>
    <w:div w:id="1030228067">
      <w:marLeft w:val="0"/>
      <w:marRight w:val="0"/>
      <w:marTop w:val="0"/>
      <w:marBottom w:val="0"/>
      <w:divBdr>
        <w:top w:val="none" w:sz="0" w:space="0" w:color="auto"/>
        <w:left w:val="none" w:sz="0" w:space="0" w:color="auto"/>
        <w:bottom w:val="none" w:sz="0" w:space="0" w:color="auto"/>
        <w:right w:val="none" w:sz="0" w:space="0" w:color="auto"/>
      </w:divBdr>
    </w:div>
    <w:div w:id="1030228068">
      <w:marLeft w:val="0"/>
      <w:marRight w:val="0"/>
      <w:marTop w:val="0"/>
      <w:marBottom w:val="0"/>
      <w:divBdr>
        <w:top w:val="none" w:sz="0" w:space="0" w:color="auto"/>
        <w:left w:val="none" w:sz="0" w:space="0" w:color="auto"/>
        <w:bottom w:val="none" w:sz="0" w:space="0" w:color="auto"/>
        <w:right w:val="none" w:sz="0" w:space="0" w:color="auto"/>
      </w:divBdr>
      <w:divsChild>
        <w:div w:id="1030227946">
          <w:marLeft w:val="0"/>
          <w:marRight w:val="0"/>
          <w:marTop w:val="0"/>
          <w:marBottom w:val="0"/>
          <w:divBdr>
            <w:top w:val="none" w:sz="0" w:space="0" w:color="auto"/>
            <w:left w:val="none" w:sz="0" w:space="0" w:color="auto"/>
            <w:bottom w:val="none" w:sz="0" w:space="0" w:color="auto"/>
            <w:right w:val="none" w:sz="0" w:space="0" w:color="auto"/>
          </w:divBdr>
          <w:divsChild>
            <w:div w:id="10302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069">
      <w:marLeft w:val="0"/>
      <w:marRight w:val="0"/>
      <w:marTop w:val="0"/>
      <w:marBottom w:val="0"/>
      <w:divBdr>
        <w:top w:val="none" w:sz="0" w:space="0" w:color="auto"/>
        <w:left w:val="none" w:sz="0" w:space="0" w:color="auto"/>
        <w:bottom w:val="none" w:sz="0" w:space="0" w:color="auto"/>
        <w:right w:val="none" w:sz="0" w:space="0" w:color="auto"/>
      </w:divBdr>
    </w:div>
    <w:div w:id="1030228070">
      <w:marLeft w:val="0"/>
      <w:marRight w:val="0"/>
      <w:marTop w:val="0"/>
      <w:marBottom w:val="0"/>
      <w:divBdr>
        <w:top w:val="none" w:sz="0" w:space="0" w:color="auto"/>
        <w:left w:val="none" w:sz="0" w:space="0" w:color="auto"/>
        <w:bottom w:val="none" w:sz="0" w:space="0" w:color="auto"/>
        <w:right w:val="none" w:sz="0" w:space="0" w:color="auto"/>
      </w:divBdr>
      <w:divsChild>
        <w:div w:id="1030228018">
          <w:marLeft w:val="0"/>
          <w:marRight w:val="0"/>
          <w:marTop w:val="0"/>
          <w:marBottom w:val="0"/>
          <w:divBdr>
            <w:top w:val="none" w:sz="0" w:space="0" w:color="auto"/>
            <w:left w:val="none" w:sz="0" w:space="0" w:color="auto"/>
            <w:bottom w:val="none" w:sz="0" w:space="0" w:color="auto"/>
            <w:right w:val="none" w:sz="0" w:space="0" w:color="auto"/>
          </w:divBdr>
        </w:div>
      </w:divsChild>
    </w:div>
    <w:div w:id="1030228071">
      <w:marLeft w:val="0"/>
      <w:marRight w:val="0"/>
      <w:marTop w:val="0"/>
      <w:marBottom w:val="0"/>
      <w:divBdr>
        <w:top w:val="none" w:sz="0" w:space="0" w:color="auto"/>
        <w:left w:val="none" w:sz="0" w:space="0" w:color="auto"/>
        <w:bottom w:val="none" w:sz="0" w:space="0" w:color="auto"/>
        <w:right w:val="none" w:sz="0" w:space="0" w:color="auto"/>
      </w:divBdr>
      <w:divsChild>
        <w:div w:id="1030227916">
          <w:marLeft w:val="0"/>
          <w:marRight w:val="0"/>
          <w:marTop w:val="0"/>
          <w:marBottom w:val="0"/>
          <w:divBdr>
            <w:top w:val="none" w:sz="0" w:space="0" w:color="auto"/>
            <w:left w:val="none" w:sz="0" w:space="0" w:color="auto"/>
            <w:bottom w:val="none" w:sz="0" w:space="0" w:color="auto"/>
            <w:right w:val="none" w:sz="0" w:space="0" w:color="auto"/>
          </w:divBdr>
        </w:div>
      </w:divsChild>
    </w:div>
    <w:div w:id="1030228072">
      <w:marLeft w:val="0"/>
      <w:marRight w:val="0"/>
      <w:marTop w:val="0"/>
      <w:marBottom w:val="0"/>
      <w:divBdr>
        <w:top w:val="none" w:sz="0" w:space="0" w:color="auto"/>
        <w:left w:val="none" w:sz="0" w:space="0" w:color="auto"/>
        <w:bottom w:val="none" w:sz="0" w:space="0" w:color="auto"/>
        <w:right w:val="none" w:sz="0" w:space="0" w:color="auto"/>
      </w:divBdr>
      <w:divsChild>
        <w:div w:id="1030227998">
          <w:marLeft w:val="0"/>
          <w:marRight w:val="0"/>
          <w:marTop w:val="0"/>
          <w:marBottom w:val="0"/>
          <w:divBdr>
            <w:top w:val="none" w:sz="0" w:space="0" w:color="auto"/>
            <w:left w:val="none" w:sz="0" w:space="0" w:color="auto"/>
            <w:bottom w:val="none" w:sz="0" w:space="0" w:color="auto"/>
            <w:right w:val="none" w:sz="0" w:space="0" w:color="auto"/>
          </w:divBdr>
        </w:div>
      </w:divsChild>
    </w:div>
    <w:div w:id="1030228081">
      <w:marLeft w:val="0"/>
      <w:marRight w:val="0"/>
      <w:marTop w:val="0"/>
      <w:marBottom w:val="0"/>
      <w:divBdr>
        <w:top w:val="none" w:sz="0" w:space="0" w:color="auto"/>
        <w:left w:val="none" w:sz="0" w:space="0" w:color="auto"/>
        <w:bottom w:val="none" w:sz="0" w:space="0" w:color="auto"/>
        <w:right w:val="none" w:sz="0" w:space="0" w:color="auto"/>
      </w:divBdr>
    </w:div>
    <w:div w:id="1030228082">
      <w:marLeft w:val="0"/>
      <w:marRight w:val="0"/>
      <w:marTop w:val="0"/>
      <w:marBottom w:val="0"/>
      <w:divBdr>
        <w:top w:val="none" w:sz="0" w:space="0" w:color="auto"/>
        <w:left w:val="none" w:sz="0" w:space="0" w:color="auto"/>
        <w:bottom w:val="none" w:sz="0" w:space="0" w:color="auto"/>
        <w:right w:val="none" w:sz="0" w:space="0" w:color="auto"/>
      </w:divBdr>
      <w:divsChild>
        <w:div w:id="1030227948">
          <w:marLeft w:val="0"/>
          <w:marRight w:val="0"/>
          <w:marTop w:val="0"/>
          <w:marBottom w:val="0"/>
          <w:divBdr>
            <w:top w:val="none" w:sz="0" w:space="0" w:color="auto"/>
            <w:left w:val="none" w:sz="0" w:space="0" w:color="auto"/>
            <w:bottom w:val="none" w:sz="0" w:space="0" w:color="auto"/>
            <w:right w:val="none" w:sz="0" w:space="0" w:color="auto"/>
          </w:divBdr>
          <w:divsChild>
            <w:div w:id="10302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084">
      <w:marLeft w:val="0"/>
      <w:marRight w:val="0"/>
      <w:marTop w:val="0"/>
      <w:marBottom w:val="0"/>
      <w:divBdr>
        <w:top w:val="none" w:sz="0" w:space="0" w:color="auto"/>
        <w:left w:val="none" w:sz="0" w:space="0" w:color="auto"/>
        <w:bottom w:val="none" w:sz="0" w:space="0" w:color="auto"/>
        <w:right w:val="none" w:sz="0" w:space="0" w:color="auto"/>
      </w:divBdr>
      <w:divsChild>
        <w:div w:id="1030227932">
          <w:marLeft w:val="0"/>
          <w:marRight w:val="0"/>
          <w:marTop w:val="0"/>
          <w:marBottom w:val="0"/>
          <w:divBdr>
            <w:top w:val="none" w:sz="0" w:space="0" w:color="auto"/>
            <w:left w:val="none" w:sz="0" w:space="0" w:color="auto"/>
            <w:bottom w:val="none" w:sz="0" w:space="0" w:color="auto"/>
            <w:right w:val="none" w:sz="0" w:space="0" w:color="auto"/>
          </w:divBdr>
          <w:divsChild>
            <w:div w:id="1030227914">
              <w:marLeft w:val="0"/>
              <w:marRight w:val="0"/>
              <w:marTop w:val="0"/>
              <w:marBottom w:val="0"/>
              <w:divBdr>
                <w:top w:val="none" w:sz="0" w:space="0" w:color="auto"/>
                <w:left w:val="none" w:sz="0" w:space="0" w:color="auto"/>
                <w:bottom w:val="none" w:sz="0" w:space="0" w:color="auto"/>
                <w:right w:val="none" w:sz="0" w:space="0" w:color="auto"/>
              </w:divBdr>
            </w:div>
            <w:div w:id="10302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rdone@unina.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9452</Words>
  <Characters>53883</Characters>
  <Application>Microsoft Office Word</Application>
  <DocSecurity>0</DocSecurity>
  <Lines>449</Lines>
  <Paragraphs>126</Paragraphs>
  <ScaleCrop>false</ScaleCrop>
  <Company>Olidata S.p.A.</Company>
  <LinksUpToDate>false</LinksUpToDate>
  <CharactersWithSpaces>63209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for and  surveillance of atrophic gastritis (Endoscopy, Histology, Serum Panel)</dc:title>
  <dc:creator>P4</dc:creator>
  <cp:lastModifiedBy>LS Ma</cp:lastModifiedBy>
  <cp:revision>2</cp:revision>
  <cp:lastPrinted>2014-02-26T12:47:00Z</cp:lastPrinted>
  <dcterms:created xsi:type="dcterms:W3CDTF">2014-05-18T22:24:00Z</dcterms:created>
  <dcterms:modified xsi:type="dcterms:W3CDTF">2014-05-18T22:24:00Z</dcterms:modified>
</cp:coreProperties>
</file>