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77427</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Acute mesenteric ischemia due to percutaneous coronary intervention: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Ding P </w:t>
      </w:r>
      <w:r>
        <w:rPr>
          <w:rFonts w:ascii="Book Antiqua" w:hAnsi="Book Antiqua" w:eastAsia="Book Antiqua" w:cs="Book Antiqua"/>
          <w:i/>
          <w:iCs/>
          <w:color w:val="000000"/>
        </w:rPr>
        <w:t>et al</w:t>
      </w:r>
      <w:r>
        <w:rPr>
          <w:rFonts w:ascii="Book Antiqua" w:hAnsi="Book Antiqua" w:eastAsia="Book Antiqua" w:cs="Book Antiqua"/>
          <w:color w:val="000000"/>
        </w:rPr>
        <w:t>. Acute mesenteric ischemia due to PCI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Peng Ding, Yuan Zhou, Kun-Lan Long, Song Zhang, Pei-Yang Gao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Peng Ding, Kun-Lan Long, Song Zhang, Pei-Yang Gao, </w:t>
      </w:r>
      <w:r>
        <w:rPr>
          <w:rFonts w:hint="eastAsia" w:ascii="Book Antiqua" w:hAnsi="Book Antiqua" w:cs="Book Antiqua"/>
          <w:bCs/>
          <w:color w:val="000000"/>
          <w:lang w:eastAsia="zh-CN"/>
        </w:rPr>
        <w:t xml:space="preserve">Department of </w:t>
      </w:r>
      <w:r>
        <w:rPr>
          <w:rFonts w:ascii="Book Antiqua" w:hAnsi="Book Antiqua" w:eastAsia="Book Antiqua" w:cs="Book Antiqua"/>
          <w:color w:val="000000"/>
        </w:rPr>
        <w:t>Critical Care Medicine, Hospital of Chengdu University of Traditional Chinese Medicine, Chengdu 610072, Sichuan</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Yuan Zhou, </w:t>
      </w:r>
      <w:r>
        <w:rPr>
          <w:rFonts w:hint="eastAsia" w:ascii="Book Antiqua" w:hAnsi="Book Antiqua" w:cs="Book Antiqua"/>
          <w:bCs/>
          <w:color w:val="000000"/>
          <w:lang w:eastAsia="zh-CN"/>
        </w:rPr>
        <w:t xml:space="preserve">Department of </w:t>
      </w:r>
      <w:r>
        <w:rPr>
          <w:rFonts w:ascii="Book Antiqua" w:hAnsi="Book Antiqua" w:eastAsia="Book Antiqua" w:cs="Book Antiqua"/>
          <w:color w:val="000000"/>
        </w:rPr>
        <w:t>Geriatrics, The General Hospital of Western Theater Command,</w:t>
      </w:r>
      <w:r>
        <w:rPr>
          <w:rFonts w:hint="eastAsia" w:ascii="Book Antiqua" w:hAnsi="Book Antiqua" w:cs="Book Antiqua"/>
          <w:color w:val="000000"/>
          <w:lang w:eastAsia="zh-CN"/>
        </w:rPr>
        <w:t xml:space="preserve"> C</w:t>
      </w:r>
      <w:r>
        <w:rPr>
          <w:rFonts w:ascii="Book Antiqua" w:hAnsi="Book Antiqua" w:eastAsia="Book Antiqua" w:cs="Book Antiqua"/>
          <w:color w:val="000000"/>
        </w:rPr>
        <w:t>hengdu 610083, Sichuan</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Ding P collected case data and wrote the manuscript; Zhou Y prepared the photos; Long KL, Z</w:t>
      </w:r>
      <w:r>
        <w:rPr>
          <w:rFonts w:hint="eastAsia" w:ascii="Book Antiqua" w:hAnsi="Book Antiqua" w:cs="Book Antiqua"/>
          <w:color w:val="000000"/>
          <w:lang w:eastAsia="zh-CN"/>
        </w:rPr>
        <w:t>h</w:t>
      </w:r>
      <w:r>
        <w:rPr>
          <w:rFonts w:ascii="Book Antiqua" w:hAnsi="Book Antiqua" w:eastAsia="Book Antiqua" w:cs="Book Antiqua"/>
          <w:color w:val="000000"/>
        </w:rPr>
        <w:t>ang S and Gao PY proofread and revised the manuscript; all authors approved the final version to be published.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Pei-Yang Gao, MD, Chief Physician, Professor, </w:t>
      </w:r>
      <w:r>
        <w:rPr>
          <w:rFonts w:hint="eastAsia" w:ascii="Book Antiqua" w:hAnsi="Book Antiqua" w:cs="Book Antiqua"/>
          <w:bCs/>
          <w:color w:val="000000"/>
          <w:lang w:eastAsia="zh-CN"/>
        </w:rPr>
        <w:t xml:space="preserve">Department of </w:t>
      </w:r>
      <w:r>
        <w:rPr>
          <w:rFonts w:ascii="Book Antiqua" w:hAnsi="Book Antiqua" w:eastAsia="Book Antiqua" w:cs="Book Antiqua"/>
          <w:color w:val="000000"/>
        </w:rPr>
        <w:t>Critical Care Medicine, Hospital of Chengdu University of Traditional Chinese Medicine, No. 39</w:t>
      </w:r>
      <w:r>
        <w:rPr>
          <w:rFonts w:hint="eastAsia" w:ascii="Book Antiqua" w:hAnsi="Book Antiqua" w:cs="Book Antiqua"/>
          <w:color w:val="000000"/>
          <w:lang w:eastAsia="zh-CN"/>
        </w:rPr>
        <w:t xml:space="preserve"> </w:t>
      </w:r>
      <w:r>
        <w:rPr>
          <w:rFonts w:ascii="Book Antiqua" w:hAnsi="Book Antiqua" w:eastAsia="Book Antiqua" w:cs="Book Antiqua"/>
          <w:color w:val="000000"/>
        </w:rPr>
        <w:t>Shi</w:t>
      </w:r>
      <w:r>
        <w:rPr>
          <w:rFonts w:hint="eastAsia" w:ascii="Book Antiqua" w:hAnsi="Book Antiqua" w:cs="Book Antiqua"/>
          <w:color w:val="000000"/>
          <w:lang w:eastAsia="zh-CN"/>
        </w:rPr>
        <w:t>er</w:t>
      </w:r>
      <w:r>
        <w:rPr>
          <w:rFonts w:ascii="Book Antiqua" w:hAnsi="Book Antiqua" w:eastAsia="Book Antiqua" w:cs="Book Antiqua"/>
          <w:color w:val="000000"/>
        </w:rPr>
        <w:t>qiao Road, Jinniu District, Chengdu 610072, Sichuan</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 gaopy930@126.com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May 21,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July 1,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24,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October 6, 2022</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Percutaneous coronary intervention (PCI) is extensively used to treat acute coronary syndromes (ACS). Acute mesenteric ischemia is a life-threatening disease if untreated.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An 81-year-old female presented with 3 d of lethargy and 1 d of dyspnea. On November 16, 2021, the patient developed a coma. Her oxygen saturation</w:t>
      </w:r>
      <w:r>
        <w:rPr>
          <w:rFonts w:hint="eastAsia" w:ascii="Book Antiqua" w:hAnsi="Book Antiqua" w:eastAsia="Book Antiqua" w:cs="Book Antiqua"/>
          <w:color w:val="000000"/>
        </w:rPr>
        <w:t xml:space="preserve"> </w:t>
      </w:r>
      <w:r>
        <w:rPr>
          <w:rFonts w:ascii="Book Antiqua" w:hAnsi="Book Antiqua" w:eastAsia="Book Antiqua" w:cs="Book Antiqua"/>
          <w:color w:val="000000"/>
        </w:rPr>
        <w:t>dropped to 70</w:t>
      </w:r>
      <w:r>
        <w:rPr>
          <w:rFonts w:hint="eastAsia" w:ascii="Book Antiqua" w:hAnsi="Book Antiqua" w:eastAsia="Book Antiqua" w:cs="Book Antiqua"/>
          <w:color w:val="000000"/>
        </w:rPr>
        <w:t>%</w:t>
      </w:r>
      <w:r>
        <w:rPr>
          <w:rFonts w:ascii="Book Antiqua" w:hAnsi="Book Antiqua" w:eastAsia="Book Antiqua" w:cs="Book Antiqua"/>
          <w:color w:val="000000"/>
        </w:rPr>
        <w:t xml:space="preserve">-80%, the patient was admitted to the intensive care unit for further treatment. Chest computed tomography (CT) showed chronic bronchitis, emphysema, and multiple lung infections. Abdominal CT scan showed no obvious abnormalities, but have severely calcified abdominal vessels. The patient received assisted ventilation, and vasoactive, and anti-infection drugs. Troponin level was elevated. Since the patient was in a coma, it could not be determined whether she had chest pain. The cardiologist assumed that the patient had developed ACS; therefore, the patient underwent PCI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left femoral artery approach, and no obvious abnormalities were found in the left and right coronary arteries. On the second postoperative day, the patient presented with abdominal distension and decreased bowel sounds; constipation was considered and a glycerin enema was administered. On day 4, the patient suddenly lost consciousness, and</w:t>
      </w:r>
      <w:r>
        <w:rPr>
          <w:rFonts w:hint="eastAsia" w:ascii="Book Antiqua" w:hAnsi="Book Antiqua" w:eastAsia="Book Antiqua" w:cs="Book Antiqua"/>
          <w:color w:val="000000"/>
        </w:rPr>
        <w:t xml:space="preserve"> </w:t>
      </w:r>
      <w:r>
        <w:rPr>
          <w:rFonts w:ascii="Book Antiqua" w:hAnsi="Book Antiqua" w:eastAsia="Book Antiqua" w:cs="Book Antiqua"/>
          <w:color w:val="000000"/>
        </w:rPr>
        <w:t>had decreased blood pressure, abdominal wall swelling with increased tension, and absence</w:t>
      </w:r>
      <w:r>
        <w:rPr>
          <w:rFonts w:hint="eastAsia" w:ascii="Book Antiqua" w:hAnsi="Book Antiqua" w:eastAsia="Book Antiqua" w:cs="Book Antiqua"/>
          <w:color w:val="000000"/>
        </w:rPr>
        <w:t xml:space="preserve"> </w:t>
      </w:r>
      <w:r>
        <w:rPr>
          <w:rFonts w:ascii="Book Antiqua" w:hAnsi="Book Antiqua" w:eastAsia="Book Antiqua" w:cs="Book Antiqua"/>
          <w:color w:val="000000"/>
        </w:rPr>
        <w:t>of bowel sounds. An urgent abdominal CT scan revealed gas in her hepatic portal system with extensive bowel wall necrosis. The patient died on day 5 due to intractable shock.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potential serious complications in patients undergoing</w:t>
      </w:r>
      <w:r>
        <w:rPr>
          <w:rFonts w:hint="eastAsia" w:ascii="Book Antiqua" w:hAnsi="Book Antiqua" w:cs="Book Antiqua"/>
          <w:color w:val="000000"/>
          <w:lang w:eastAsia="zh-CN"/>
        </w:rPr>
        <w:t xml:space="preserve"> </w:t>
      </w:r>
      <w:r>
        <w:rPr>
          <w:rFonts w:ascii="Book Antiqua" w:hAnsi="Book Antiqua" w:eastAsia="Book Antiqua" w:cs="Book Antiqua"/>
          <w:color w:val="000000"/>
        </w:rPr>
        <w:t>PCI, especially the patients who are hemodynamically unstable</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have severely calcified abdominal vessels, should</w:t>
      </w:r>
      <w:r>
        <w:rPr>
          <w:rFonts w:hint="eastAsia" w:ascii="Book Antiqua" w:hAnsi="Book Antiqua" w:cs="Book Antiqua"/>
          <w:color w:val="000000"/>
          <w:lang w:eastAsia="zh-CN"/>
        </w:rPr>
        <w:t xml:space="preserve"> </w:t>
      </w:r>
      <w:r>
        <w:rPr>
          <w:rFonts w:ascii="Book Antiqua" w:hAnsi="Book Antiqua" w:eastAsia="Book Antiqua" w:cs="Book Antiqua"/>
          <w:color w:val="000000"/>
        </w:rPr>
        <w:t>all be considered.</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Percutaneous coronary</w:t>
      </w:r>
      <w:r>
        <w:rPr>
          <w:rFonts w:hint="eastAsia" w:ascii="Book Antiqua" w:hAnsi="Book Antiqua" w:cs="Book Antiqua"/>
          <w:color w:val="000000"/>
          <w:lang w:eastAsia="zh-CN"/>
        </w:rPr>
        <w:t xml:space="preserve"> </w:t>
      </w:r>
      <w:r>
        <w:rPr>
          <w:rFonts w:ascii="Book Antiqua" w:hAnsi="Book Antiqua" w:eastAsia="Book Antiqua" w:cs="Book Antiqua"/>
          <w:color w:val="000000"/>
        </w:rPr>
        <w:t>intervention; Acute mesenteric ischemia; Acute coronary syndrome; Vascular calcification;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Ding P, Zhou Y, Long KL, Zhang S, Gao PY. Acute mesenteric ischemia due to percutaneous coronary intervention: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10244-10251</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https://www.wjgnet.com/2307-8960/full/v10/i2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10244</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https://dx.doi.org/10.12998/wjcc.v10.i2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10244</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Acute mesenteric ischemia (AMI) is a life-threatening condition. The etiology is mostly the emboli from the heart or thrombosis of atherosclerotic vessel walls involving the superior mesenteric artery. To date, AMI after percutaneous coronary intervention (PCI) has rarely been reported. Here we report a case of AMI after PCI. For hemodynamically unstable patients with sudden abdominal pain after PCI, AMI should be considered.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Percutaneous coronary intervention (PCI) is currently indicated for the treatment of patients with acute coronary syndromes (ACS) and patients with stable angina pectoris who have failed to respond to optimal pharmacological therapy</w:t>
      </w:r>
      <w:r>
        <w:rPr>
          <w:rFonts w:ascii="Book Antiqua" w:hAnsi="Book Antiqua" w:eastAsia="Book Antiqua" w:cs="Book Antiqua"/>
          <w:color w:val="000000"/>
          <w:vertAlign w:val="superscript"/>
        </w:rPr>
        <w:t>[1]</w:t>
      </w:r>
      <w:r>
        <w:rPr>
          <w:rFonts w:ascii="Book Antiqua" w:hAnsi="Book Antiqua" w:eastAsia="Book Antiqua" w:cs="Book Antiqua"/>
          <w:color w:val="000000"/>
        </w:rPr>
        <w:t>. When patients present with ACS, approximately 60% will undergo PCI, with the remainder undergoing coronary artery bypass grafting or medication only. In these cases, invasive treatment may reduce myocardial infarction and death</w:t>
      </w:r>
      <w:r>
        <w:rPr>
          <w:rFonts w:ascii="Book Antiqua" w:hAnsi="Book Antiqua" w:eastAsia="Book Antiqua" w:cs="Book Antiqua"/>
          <w:color w:val="000000"/>
          <w:vertAlign w:val="superscript"/>
        </w:rPr>
        <w:t>[2]</w:t>
      </w:r>
      <w:r>
        <w:rPr>
          <w:rFonts w:ascii="Book Antiqua" w:hAnsi="Book Antiqua" w:eastAsia="Book Antiqua" w:cs="Book Antiqua"/>
          <w:color w:val="000000"/>
        </w:rPr>
        <w:t>. However, the potential complications of PCI treatment remain a concern.</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Mesenteric ischemia (MI) is caused by insufficient blood flow to meet the metabolic demands of the internal organs. Although clinically rare, the mortality rate for acute attacks is 60% to 80%</w:t>
      </w:r>
      <w:r>
        <w:rPr>
          <w:rFonts w:ascii="Book Antiqua" w:hAnsi="Book Antiqua" w:eastAsia="Book Antiqua" w:cs="Book Antiqua"/>
          <w:color w:val="000000"/>
          <w:vertAlign w:val="superscript"/>
        </w:rPr>
        <w:t>[3]</w:t>
      </w:r>
      <w:r>
        <w:rPr>
          <w:rFonts w:ascii="Book Antiqua" w:hAnsi="Book Antiqua" w:eastAsia="Book Antiqua" w:cs="Book Antiqua"/>
          <w:color w:val="000000"/>
        </w:rPr>
        <w:t>. The types of MI include arterial thrombosis or embolism, mesenteric vein thrombosis, and non-occlusive mesenteric ischemia (NOMI)</w:t>
      </w:r>
      <w:r>
        <w:rPr>
          <w:rFonts w:ascii="Book Antiqua" w:hAnsi="Book Antiqua" w:eastAsia="Book Antiqua" w:cs="Book Antiqua"/>
          <w:color w:val="000000"/>
          <w:vertAlign w:val="superscript"/>
        </w:rPr>
        <w:t>[4]</w:t>
      </w:r>
      <w:r>
        <w:rPr>
          <w:rFonts w:ascii="Book Antiqua" w:hAnsi="Book Antiqua" w:eastAsia="Book Antiqua" w:cs="Book Antiqua"/>
          <w:color w:val="000000"/>
        </w:rPr>
        <w:t>. Acute mesenteric ischemia (AMI) following PCI is an extremely rare complication, but due to the difficulty in clinical diagnosis and the tendency to delay diagnosis, the mortality rate remains high.</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patient described in this report underwent urgent PCI due to possible ACS, but presented postoperatively with decreased bowel sounds, distended abdomen, and increased abdominal wall tension. The patient’s abdominal computed tomography (CT) findings showed extensive pneumatosis</w:t>
      </w:r>
      <w:r>
        <w:rPr>
          <w:rFonts w:hint="eastAsia" w:ascii="Book Antiqua" w:hAnsi="Book Antiqua" w:cs="Book Antiqua"/>
          <w:color w:val="000000"/>
          <w:lang w:eastAsia="zh-CN"/>
        </w:rPr>
        <w:t xml:space="preserve"> </w:t>
      </w:r>
      <w:r>
        <w:rPr>
          <w:rFonts w:ascii="Book Antiqua" w:hAnsi="Book Antiqua" w:eastAsia="Book Antiqua" w:cs="Book Antiqua"/>
          <w:color w:val="000000"/>
        </w:rPr>
        <w:t>intestinalis within her hepatic portal system (part of the intestinal wall and mesenteric arteries), as well as extensive necrosis of the intestinal wall.</w:t>
      </w:r>
      <w:r>
        <w:rPr>
          <w:rFonts w:hint="eastAsia" w:ascii="Book Antiqua" w:hAnsi="Book Antiqua" w:cs="Book Antiqua"/>
          <w:color w:val="000000"/>
          <w:lang w:eastAsia="zh-CN"/>
        </w:rPr>
        <w:t xml:space="preserve"> </w:t>
      </w:r>
      <w:r>
        <w:rPr>
          <w:rFonts w:ascii="Book Antiqua" w:hAnsi="Book Antiqua" w:eastAsia="Book Antiqua" w:cs="Book Antiqua"/>
          <w:color w:val="000000"/>
        </w:rPr>
        <w:t>Despite extensive treatment and close attention, the patient died. The purpose of this case report is to provide a reference for the clinical management of patients with acute intestinal ischemic necrosis resulting from PCI.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An</w:t>
      </w:r>
      <w:r>
        <w:rPr>
          <w:rFonts w:hint="eastAsia" w:ascii="Book Antiqua" w:hAnsi="Book Antiqua" w:cs="Book Antiqua"/>
          <w:color w:val="000000"/>
          <w:lang w:eastAsia="zh-CN"/>
        </w:rPr>
        <w:t xml:space="preserve"> </w:t>
      </w:r>
      <w:r>
        <w:rPr>
          <w:rFonts w:ascii="Book Antiqua" w:hAnsi="Book Antiqua" w:eastAsia="Book Antiqua" w:cs="Book Antiqua"/>
          <w:color w:val="000000"/>
        </w:rPr>
        <w:t>81-year-old woman attended a local hospital because of fatigue, lethargy, fever, chills, phlegm and wheezing.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w:t>
      </w:r>
      <w:r>
        <w:rPr>
          <w:rFonts w:hint="eastAsia" w:ascii="Book Antiqua" w:hAnsi="Book Antiqua" w:cs="Book Antiqua"/>
          <w:color w:val="000000"/>
          <w:lang w:eastAsia="zh-CN"/>
        </w:rPr>
        <w:t xml:space="preserve"> </w:t>
      </w:r>
      <w:r>
        <w:rPr>
          <w:rFonts w:ascii="Book Antiqua" w:hAnsi="Book Antiqua" w:eastAsia="Book Antiqua" w:cs="Book Antiqua"/>
          <w:color w:val="000000"/>
        </w:rPr>
        <w:t>developed fatigue, lethargy, fever, chills, phlegm and wheezing three days before admission, but without treatment. On November 16, 2021, the patient developed a coma and was sent to the emergency room</w:t>
      </w:r>
      <w:r>
        <w:rPr>
          <w:rFonts w:hint="eastAsia" w:ascii="Book Antiqua" w:hAnsi="Book Antiqua" w:cs="Book Antiqua"/>
          <w:color w:val="000000"/>
          <w:lang w:eastAsia="zh-CN"/>
        </w:rPr>
        <w:t xml:space="preserve"> </w:t>
      </w:r>
      <w:r>
        <w:rPr>
          <w:rFonts w:ascii="Book Antiqua" w:hAnsi="Book Antiqua" w:eastAsia="Book Antiqua" w:cs="Book Antiqua"/>
          <w:color w:val="000000"/>
        </w:rPr>
        <w:t>of our hospital. As her oxygen saturation dropped to 70</w:t>
      </w:r>
      <w:r>
        <w:rPr>
          <w:rFonts w:hint="eastAsia" w:ascii="Book Antiqua" w:hAnsi="Book Antiqua" w:cs="Book Antiqua"/>
          <w:color w:val="000000"/>
          <w:lang w:eastAsia="zh-CN"/>
        </w:rPr>
        <w:t>%</w:t>
      </w:r>
      <w:r>
        <w:rPr>
          <w:rFonts w:ascii="Book Antiqua" w:hAnsi="Book Antiqua" w:eastAsia="Book Antiqua" w:cs="Book Antiqua"/>
          <w:color w:val="000000"/>
        </w:rPr>
        <w:t>-80%, the patient was admitted to the intensive care units (ICUs) for further treatment after consultation. After admission to the ICU, the patient developed a progressive drop in blood pressure, requiring norepinephrine to maintain a mean arterial pressure</w:t>
      </w:r>
      <w:r>
        <w:rPr>
          <w:rFonts w:hint="eastAsia" w:ascii="Book Antiqua" w:hAnsi="Book Antiqua" w:cs="Book Antiqua"/>
          <w:color w:val="000000"/>
          <w:lang w:eastAsia="zh-CN"/>
        </w:rPr>
        <w:t xml:space="preserve"> </w:t>
      </w:r>
      <w:r>
        <w:rPr>
          <w:rFonts w:ascii="Book Antiqua" w:hAnsi="Book Antiqua" w:eastAsia="Book Antiqua" w:cs="Book Antiqua"/>
          <w:color w:val="000000"/>
        </w:rPr>
        <w:t>&gt; 65 mmHg.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a medical history of chronic obstructive pulmonary disease, and bronchial asthma for more than 50 years and received long-term home oxygen therapy. She had suffered from</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chronic heart insufficiency for five years and was treated with oral bisoprolol. There was no history of abdominal pain</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chronic renal failure.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had no</w:t>
      </w:r>
      <w:r>
        <w:rPr>
          <w:rFonts w:hint="eastAsia" w:ascii="Book Antiqua" w:hAnsi="Book Antiqua" w:cs="Book Antiqua"/>
          <w:color w:val="000000"/>
          <w:lang w:eastAsia="zh-CN"/>
        </w:rPr>
        <w:t xml:space="preserve"> </w:t>
      </w:r>
      <w:r>
        <w:rPr>
          <w:rFonts w:ascii="Book Antiqua" w:hAnsi="Book Antiqua" w:eastAsia="Book Antiqua" w:cs="Book Antiqua"/>
          <w:color w:val="000000"/>
        </w:rPr>
        <w:t>history of smoking or alcohol</w:t>
      </w:r>
      <w:r>
        <w:rPr>
          <w:rFonts w:hint="eastAsia" w:ascii="Book Antiqua" w:hAnsi="Book Antiqua" w:cs="Book Antiqua"/>
          <w:color w:val="000000"/>
          <w:lang w:eastAsia="zh-CN"/>
        </w:rPr>
        <w:t xml:space="preserve"> </w:t>
      </w:r>
      <w:r>
        <w:rPr>
          <w:rFonts w:ascii="Book Antiqua" w:hAnsi="Book Antiqua" w:eastAsia="Book Antiqua" w:cs="Book Antiqua"/>
          <w:color w:val="000000"/>
        </w:rPr>
        <w:t>consumption. There was no relevant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patient's body temperature was 36</w:t>
      </w:r>
      <w:r>
        <w:rPr>
          <w:rFonts w:hint="eastAsia" w:ascii="Book Antiqua" w:hAnsi="Book Antiqua" w:cs="Book Antiqua"/>
          <w:color w:val="000000"/>
          <w:lang w:eastAsia="zh-CN"/>
        </w:rPr>
        <w:t xml:space="preserve"> </w:t>
      </w:r>
      <w:r>
        <w:rPr>
          <w:rFonts w:ascii="Book Antiqua" w:hAnsi="Book Antiqua" w:eastAsia="Book Antiqua" w:cs="Book Antiqua"/>
          <w:color w:val="000000"/>
        </w:rPr>
        <w:t>°C, the pulse was 85 beats/min, the respiratory rate was 18 breaths/min, and the blood pressure was 105/45 mmHg. Breath sounds were decreased in both lungs, and wet rales could be heard at the bottom of both lungs. Cardiac and abdominal examinations were unremarkable.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The initial troponin level was 0.05 ng/mL, and increased later (Figure 1). B-type natriuretic peptide was 4164 pg/mL. Results of arterial blood gas analysis were: </w:t>
      </w:r>
      <w:r>
        <w:rPr>
          <w:rFonts w:hint="eastAsia" w:ascii="Book Antiqua" w:hAnsi="Book Antiqua" w:cs="Book Antiqua"/>
          <w:color w:val="000000"/>
          <w:lang w:eastAsia="zh-CN"/>
        </w:rPr>
        <w:t>C</w:t>
      </w:r>
      <w:r>
        <w:rPr>
          <w:rFonts w:ascii="Book Antiqua" w:hAnsi="Book Antiqua" w:eastAsia="Book Antiqua" w:cs="Book Antiqua"/>
          <w:color w:val="000000"/>
        </w:rPr>
        <w:t xml:space="preserve">arbon dioxide partial pressure 58.7 mmHg, oxygen partial pressure 86.5 mmHg, and oxygenation index 172.97 mmHg; inflammatory indicators: </w:t>
      </w:r>
      <w:r>
        <w:rPr>
          <w:rFonts w:hint="eastAsia" w:ascii="Book Antiqua" w:hAnsi="Book Antiqua" w:cs="Book Antiqua"/>
          <w:color w:val="000000"/>
          <w:lang w:eastAsia="zh-CN"/>
        </w:rPr>
        <w:t>W</w:t>
      </w:r>
      <w:r>
        <w:rPr>
          <w:rFonts w:ascii="Book Antiqua" w:hAnsi="Book Antiqua" w:eastAsia="Book Antiqua" w:cs="Book Antiqua"/>
          <w:color w:val="000000"/>
        </w:rPr>
        <w:t>hite blood cell 8.12</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neutrophil percentage 93.2%, C-reactive protein 298.38 mg/L, procalcitonin 6.26 ng/mL, and interleukin-6 &gt; 5000 pg/mL. The polymerase chain reaction-severe acute respiratory syndrome coronavirus 2 test and multiple blood cultures were</w:t>
      </w:r>
      <w:r>
        <w:rPr>
          <w:rFonts w:hint="eastAsia" w:ascii="Book Antiqua" w:hAnsi="Book Antiqua" w:cs="Book Antiqua"/>
          <w:color w:val="000000"/>
          <w:lang w:eastAsia="zh-CN"/>
        </w:rPr>
        <w:t xml:space="preserve"> </w:t>
      </w:r>
      <w:r>
        <w:rPr>
          <w:rFonts w:ascii="Book Antiqua" w:hAnsi="Book Antiqua" w:eastAsia="Book Antiqua" w:cs="Book Antiqua"/>
          <w:color w:val="000000"/>
        </w:rPr>
        <w:t>negative.</w:t>
      </w:r>
      <w:r>
        <w:rPr>
          <w:rFonts w:hint="eastAsia" w:ascii="Book Antiqua" w:hAnsi="Book Antiqua" w:cs="Book Antiqua"/>
          <w:color w:val="000000"/>
          <w:lang w:eastAsia="zh-CN"/>
        </w:rPr>
        <w:t xml:space="preserve"> </w:t>
      </w:r>
      <w:r>
        <w:rPr>
          <w:rFonts w:ascii="Book Antiqua" w:hAnsi="Book Antiqua" w:eastAsia="Book Antiqua" w:cs="Book Antiqua"/>
          <w:color w:val="000000"/>
        </w:rPr>
        <w:t>Other blood tests, fecal examinations, and coagulation function were all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The initial electrocardiogram (ECG) findings: </w:t>
      </w:r>
      <w:r>
        <w:rPr>
          <w:rFonts w:hint="eastAsia" w:ascii="Book Antiqua" w:hAnsi="Book Antiqua" w:cs="Book Antiqua"/>
          <w:color w:val="000000"/>
          <w:lang w:eastAsia="zh-CN"/>
        </w:rPr>
        <w:t>S</w:t>
      </w:r>
      <w:r>
        <w:rPr>
          <w:rFonts w:ascii="Book Antiqua" w:hAnsi="Book Antiqua" w:eastAsia="Book Antiqua" w:cs="Book Antiqua"/>
          <w:color w:val="000000"/>
        </w:rPr>
        <w:t>inus rhythm, T wave was high and sharp; R wave: V1-V4 progression was poor, V1 was Qr type, and subsequent re-examinations revealed ST-segment elevation (&gt; 0.05 mv) (Figure 2). Echocardiography suggested left</w:t>
      </w:r>
      <w:r>
        <w:rPr>
          <w:rFonts w:hint="eastAsia" w:ascii="Book Antiqua" w:hAnsi="Book Antiqua" w:cs="Book Antiqua"/>
          <w:color w:val="000000"/>
          <w:lang w:eastAsia="zh-CN"/>
        </w:rPr>
        <w:t xml:space="preserve"> </w:t>
      </w:r>
      <w:r>
        <w:rPr>
          <w:rFonts w:ascii="Book Antiqua" w:hAnsi="Book Antiqua" w:eastAsia="Book Antiqua" w:cs="Book Antiqua"/>
          <w:color w:val="000000"/>
        </w:rPr>
        <w:t>atrial enlargement, segmental abnormal motion of the left ventricular wall, left ventricular apical bulge (considered to be ventricular aneurysm formation), decreased left ventricular diastolic function, and lower limit of normal systolic function (LVEF) was 51%. Chest CT showed chronic bronchitis, emphysema, multiple infections in both lungs (mostly in the middle and lower lobe of the right lung), right pleural cavity small effusion, and obvious calcification of aortic arch and coronary artery. An abdominal CT scan (Figure 3) showed no abnormal changes, but obvious abdominal aorta calcification.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AMI and septic shock.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lang w:eastAsia="zh-CN"/>
        </w:rPr>
      </w:pPr>
      <w:r>
        <w:rPr>
          <w:rFonts w:ascii="Book Antiqua" w:hAnsi="Book Antiqua" w:eastAsia="Book Antiqua" w:cs="Book Antiqua"/>
          <w:color w:val="000000"/>
        </w:rPr>
        <w:t>Following admission, the patient received assisted ventilation, vasoactive drugs to maintain blood pressure (the maximum dose of norepinephrine was 1 μg/kg,</w:t>
      </w:r>
      <w:r>
        <w:rPr>
          <w:rFonts w:hint="eastAsia" w:ascii="Book Antiqua" w:hAnsi="Book Antiqua" w:cs="Book Antiqua"/>
          <w:color w:val="000000"/>
          <w:lang w:eastAsia="zh-CN"/>
        </w:rPr>
        <w:t xml:space="preserve"> </w:t>
      </w:r>
      <w:r>
        <w:rPr>
          <w:rFonts w:ascii="Book Antiqua" w:hAnsi="Book Antiqua" w:eastAsia="Book Antiqua" w:cs="Book Antiqua"/>
          <w:color w:val="000000"/>
        </w:rPr>
        <w:t>milrinone and amiodarone to control heart rate, as well as anti-infection and other treatments. However, it was impossible to determine whether she had chest pain as the patient was in a coma.</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cardiologist assumed that the patient had developed ACS; therefore, she was scheduled for PCI. On the second day of admission (November 17</w:t>
      </w:r>
      <w:r>
        <w:rPr>
          <w:rFonts w:hint="eastAsia" w:ascii="Book Antiqua" w:hAnsi="Book Antiqua" w:cs="Book Antiqua"/>
          <w:color w:val="000000"/>
          <w:lang w:eastAsia="zh-CN"/>
        </w:rPr>
        <w:t>, 2021</w:t>
      </w:r>
      <w:r>
        <w:rPr>
          <w:rFonts w:ascii="Book Antiqua" w:hAnsi="Book Antiqua" w:eastAsia="Book Antiqua" w:cs="Book Antiqua"/>
          <w:color w:val="000000"/>
        </w:rPr>
        <w:t xml:space="preserve">), the patient underwent PCI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left femoral artery approach, and the results showed (Figure 4) that there were no significant abnormalities in the left and right coronary arteries. On the second postoperative day (November 18</w:t>
      </w:r>
      <w:r>
        <w:rPr>
          <w:rFonts w:hint="eastAsia" w:ascii="Book Antiqua" w:hAnsi="Book Antiqua" w:cs="Book Antiqua"/>
          <w:color w:val="000000"/>
          <w:lang w:eastAsia="zh-CN"/>
        </w:rPr>
        <w:t>, 2021</w:t>
      </w:r>
      <w:r>
        <w:rPr>
          <w:rFonts w:ascii="Book Antiqua" w:hAnsi="Book Antiqua" w:eastAsia="Book Antiqua" w:cs="Book Antiqua"/>
          <w:color w:val="000000"/>
        </w:rPr>
        <w:t>), the patient developed abdominal distension and decreased bowel sounds (about 1-2/min) and, given that she was elderly, she was considered to have constipation and was prescribed</w:t>
      </w:r>
      <w:r>
        <w:rPr>
          <w:rFonts w:hint="eastAsia" w:ascii="Book Antiqua" w:hAnsi="Book Antiqua" w:cs="Book Antiqua"/>
          <w:color w:val="000000"/>
          <w:lang w:eastAsia="zh-CN"/>
        </w:rPr>
        <w:t xml:space="preserve"> </w:t>
      </w:r>
      <w:r>
        <w:rPr>
          <w:rFonts w:ascii="Book Antiqua" w:hAnsi="Book Antiqua" w:eastAsia="Book Antiqua" w:cs="Book Antiqua"/>
          <w:color w:val="000000"/>
        </w:rPr>
        <w:t>a glycerin enema. On the 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(November 20</w:t>
      </w:r>
      <w:r>
        <w:rPr>
          <w:rFonts w:hint="eastAsia" w:ascii="Book Antiqua" w:hAnsi="Book Antiqua" w:cs="Book Antiqua"/>
          <w:color w:val="000000"/>
          <w:lang w:eastAsia="zh-CN"/>
        </w:rPr>
        <w:t>, 2021</w:t>
      </w:r>
      <w:r>
        <w:rPr>
          <w:rFonts w:ascii="Book Antiqua" w:hAnsi="Book Antiqua" w:eastAsia="Book Antiqua" w:cs="Book Antiqua"/>
          <w:color w:val="000000"/>
        </w:rPr>
        <w:t>), the patient suddenly lost consciousness, her blood pressure dropped, she developed abdominal wall swelling</w:t>
      </w:r>
      <w:r>
        <w:rPr>
          <w:rFonts w:hint="eastAsia" w:ascii="Book Antiqua" w:hAnsi="Book Antiqua" w:cs="Book Antiqua"/>
          <w:color w:val="000000"/>
          <w:lang w:eastAsia="zh-CN"/>
        </w:rPr>
        <w:t xml:space="preserve"> </w:t>
      </w:r>
      <w:r>
        <w:rPr>
          <w:rFonts w:ascii="Book Antiqua" w:hAnsi="Book Antiqua" w:eastAsia="Book Antiqua" w:cs="Book Antiqua"/>
          <w:color w:val="000000"/>
        </w:rPr>
        <w:t>and</w:t>
      </w:r>
      <w:r>
        <w:rPr>
          <w:rFonts w:hint="eastAsia" w:ascii="Book Antiqua" w:hAnsi="Book Antiqua" w:cs="Book Antiqua"/>
          <w:color w:val="000000"/>
          <w:lang w:eastAsia="zh-CN"/>
        </w:rPr>
        <w:t xml:space="preserve"> </w:t>
      </w:r>
      <w:r>
        <w:rPr>
          <w:rFonts w:ascii="Book Antiqua" w:hAnsi="Book Antiqua" w:eastAsia="Book Antiqua" w:cs="Book Antiqua"/>
          <w:color w:val="000000"/>
        </w:rPr>
        <w:t>increased tension, and bowel sounds disappeared. An urgent abdominal CT scan showed (Figure 5) extensive pneumatosis</w:t>
      </w:r>
      <w:r>
        <w:rPr>
          <w:rFonts w:hint="eastAsia" w:ascii="Book Antiqua" w:hAnsi="Book Antiqua" w:cs="Book Antiqua"/>
          <w:color w:val="000000"/>
          <w:lang w:eastAsia="zh-CN"/>
        </w:rPr>
        <w:t xml:space="preserve"> </w:t>
      </w:r>
      <w:r>
        <w:rPr>
          <w:rFonts w:ascii="Book Antiqua" w:hAnsi="Book Antiqua" w:eastAsia="Book Antiqua" w:cs="Book Antiqua"/>
          <w:color w:val="000000"/>
        </w:rPr>
        <w:t>intestinalis within her hepatic portal system (part of the intestinal wall and mesenteric arteries), with a high probability of extensive intestinal wall necrosis.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patient’s condition failed to reverse. Eventually, she</w:t>
      </w:r>
      <w:r>
        <w:rPr>
          <w:rFonts w:hint="eastAsia" w:ascii="Book Antiqua" w:hAnsi="Book Antiqua" w:cs="Book Antiqua"/>
          <w:color w:val="000000"/>
          <w:lang w:eastAsia="zh-CN"/>
        </w:rPr>
        <w:t xml:space="preserve"> </w:t>
      </w:r>
      <w:r>
        <w:rPr>
          <w:rFonts w:ascii="Book Antiqua" w:hAnsi="Book Antiqua" w:eastAsia="Book Antiqua" w:cs="Book Antiqua"/>
          <w:color w:val="000000"/>
        </w:rPr>
        <w:t>died on day 5 after PCI due to refractory shock.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As the spectrum of indications for PCI continues to expand, directly performing PCI is the preferred reperfusion strategy within 12 h of the onset of symptoms in patients with ST-elevation myocardial infarction, in accordance with the clinical guidelines</w:t>
      </w:r>
      <w:r>
        <w:rPr>
          <w:rFonts w:ascii="Book Antiqua" w:hAnsi="Book Antiqua" w:eastAsia="Book Antiqua" w:cs="Book Antiqua"/>
          <w:color w:val="000000"/>
          <w:vertAlign w:val="superscript"/>
        </w:rPr>
        <w:t>[5]</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However, clinicians should be aware of the challenges associated with PCI. Common complications following PCI include coronary artery coarctation, coronary artery perforation, air embolism, coronary artery spasm, pseudo lesion formation, intramural hematoma, arterial thrombosis, and hemodynamic collapse</w:t>
      </w:r>
      <w:r>
        <w:rPr>
          <w:rFonts w:ascii="Book Antiqua" w:hAnsi="Book Antiqua" w:eastAsia="Book Antiqua" w:cs="Book Antiqua"/>
          <w:color w:val="000000"/>
          <w:vertAlign w:val="superscript"/>
        </w:rPr>
        <w:t>[6,7]</w:t>
      </w:r>
      <w:r>
        <w:rPr>
          <w:rFonts w:ascii="Book Antiqua" w:hAnsi="Book Antiqua" w:eastAsia="Book Antiqua" w:cs="Book Antiqua"/>
          <w:color w:val="000000"/>
        </w:rPr>
        <w:t>. Therefore, it is important for physicians to quickly identify complications and develop strategies to overcome them to minimize the risk of patient injury.</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Although AMI is rare, when it occurs, patients are more likely to die.</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pathophysiological mechanism of AMI is associated with insufficient or interrupted blood supply to the mesenteric arteries. This can be caused by arterial</w:t>
      </w:r>
      <w:r>
        <w:rPr>
          <w:rFonts w:hint="eastAsia" w:ascii="Book Antiqua" w:hAnsi="Book Antiqua" w:cs="Book Antiqua"/>
          <w:color w:val="000000"/>
          <w:lang w:eastAsia="zh-CN"/>
        </w:rPr>
        <w:t xml:space="preserve"> </w:t>
      </w:r>
      <w:r>
        <w:rPr>
          <w:rFonts w:ascii="Book Antiqua" w:hAnsi="Book Antiqua" w:eastAsia="Book Antiqua" w:cs="Book Antiqua"/>
          <w:color w:val="000000"/>
        </w:rPr>
        <w:t>occlusion due to the emboli originating from the heart or acute thromboembolism secondary to atherosclerosis.</w:t>
      </w:r>
      <w:r>
        <w:rPr>
          <w:rFonts w:hint="eastAsia" w:ascii="Book Antiqua" w:hAnsi="Book Antiqua" w:cs="Book Antiqua"/>
          <w:color w:val="000000"/>
          <w:lang w:eastAsia="zh-CN"/>
        </w:rPr>
        <w:t xml:space="preserve"> </w:t>
      </w:r>
      <w:r>
        <w:rPr>
          <w:rFonts w:ascii="Book Antiqua" w:hAnsi="Book Antiqua" w:eastAsia="Book Antiqua" w:cs="Book Antiqua"/>
          <w:color w:val="000000"/>
        </w:rPr>
        <w:t>AMI can be induced by any procedure involving vascular manipulation, even unintentionally, and may be induced when an atherosclerotic plaque is removed by coronary artery angiography</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Interventional therapy through the femoral artery approach may increase the risk of AMI, especially in patients with severe arterial calcification. Another risk is mesenteric vein occlusion, which is associated with thrombosis of the venous system. In addition, there is NOMI</w:t>
      </w:r>
      <w:r>
        <w:rPr>
          <w:rFonts w:hint="eastAsia" w:ascii="Book Antiqua" w:hAnsi="Book Antiqua" w:cs="Book Antiqua"/>
          <w:color w:val="000000"/>
          <w:lang w:eastAsia="zh-CN"/>
        </w:rPr>
        <w:t xml:space="preserve"> </w:t>
      </w:r>
      <w:r>
        <w:rPr>
          <w:rFonts w:ascii="Book Antiqua" w:hAnsi="Book Antiqua" w:eastAsia="Book Antiqua" w:cs="Book Antiqua"/>
          <w:color w:val="000000"/>
        </w:rPr>
        <w:t>caused by severe splanchnic vasoconstriction. NOMI</w:t>
      </w:r>
      <w:r>
        <w:rPr>
          <w:rFonts w:hint="eastAsia" w:ascii="Book Antiqua" w:hAnsi="Book Antiqua" w:cs="Book Antiqua"/>
          <w:color w:val="000000"/>
          <w:lang w:eastAsia="zh-CN"/>
        </w:rPr>
        <w:t xml:space="preserve"> </w:t>
      </w:r>
      <w:r>
        <w:rPr>
          <w:rFonts w:ascii="Book Antiqua" w:hAnsi="Book Antiqua" w:eastAsia="Book Antiqua" w:cs="Book Antiqua"/>
          <w:color w:val="000000"/>
        </w:rPr>
        <w:t>presumably is severe cerebral hypoperfusion caused</w:t>
      </w:r>
      <w:r>
        <w:rPr>
          <w:rFonts w:hint="eastAsia" w:ascii="Book Antiqua" w:hAnsi="Book Antiqua" w:cs="Book Antiqua"/>
          <w:color w:val="000000"/>
          <w:lang w:eastAsia="zh-CN"/>
        </w:rPr>
        <w:t xml:space="preserve"> </w:t>
      </w:r>
      <w:r>
        <w:rPr>
          <w:rFonts w:ascii="Book Antiqua" w:hAnsi="Book Antiqua" w:eastAsia="Book Antiqua" w:cs="Book Antiqua"/>
          <w:color w:val="000000"/>
        </w:rPr>
        <w:t>by low cardiac output, the use of vasopressors and potential atherosclerosis. The key pathological mechanisms involved in the development of NOMI represent an exaggerated normal physiological response to maintain perfusion of vital organs at the expense of mesenteric perfusion. The development of persistent mesenteric vasoconstriction leads to a mismatch between intestinal supply and demand due to reduced intestinal blood flow and oxygen delivery, particularly to the fragile superficial mucosa. This mismatch can be exacerbated by increased intra-abdominal pressure, enteral nutrition, and the use of certain vasoactive drugs, ultimately leading to intestinal ischemia</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At the present time, there is no specific Lab test which can identify AMI. But evidence of hemoconcentration, elevated white cell count, high anion gap lactic acidosis and positive D dimer test (fibrinolytic marker) in the presence severe abdominal pain disproportionate to physical sign may indicate AMI</w:t>
      </w:r>
      <w:r>
        <w:rPr>
          <w:rFonts w:ascii="Book Antiqua" w:hAnsi="Book Antiqua" w:eastAsia="Book Antiqua" w:cs="Book Antiqua"/>
          <w:color w:val="000000"/>
          <w:vertAlign w:val="superscript"/>
        </w:rPr>
        <w:t>[10]</w:t>
      </w:r>
      <w:r>
        <w:rPr>
          <w:rFonts w:ascii="Book Antiqua" w:hAnsi="Book Antiqua" w:eastAsia="Book Antiqua" w:cs="Book Antiqua"/>
          <w:color w:val="000000"/>
        </w:rPr>
        <w:t>. We review published clinical studies related to AMI in recent years and summarize the types of studies, number of cases, characteristics and risk factors, and mortality</w:t>
      </w:r>
      <w:r>
        <w:rPr>
          <w:rFonts w:hint="eastAsia" w:ascii="Book Antiqua" w:hAnsi="Book Antiqua" w:cs="Book Antiqua"/>
          <w:color w:val="000000"/>
          <w:lang w:eastAsia="zh-CN"/>
        </w:rPr>
        <w:t xml:space="preserve"> </w:t>
      </w:r>
      <w:r>
        <w:rPr>
          <w:rFonts w:ascii="Book Antiqua" w:hAnsi="Book Antiqua" w:eastAsia="Book Antiqua" w:cs="Book Antiqua"/>
          <w:color w:val="000000"/>
        </w:rPr>
        <w:t>(Table 1).</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our case, the patient received active therapy, and the shock was significantly improved, and blood pressure gradually stabilized. However, the serum troponin concentration of the patient continued to increase progressively, and bedside ultrasonography revealed left ventricular aneurysm,</w:t>
      </w:r>
      <w:r>
        <w:rPr>
          <w:rFonts w:hint="eastAsia" w:ascii="Book Antiqua" w:hAnsi="Book Antiqua" w:cs="Book Antiqua"/>
          <w:color w:val="000000"/>
          <w:lang w:eastAsia="zh-CN"/>
        </w:rPr>
        <w:t xml:space="preserve"> </w:t>
      </w:r>
      <w:r>
        <w:rPr>
          <w:rFonts w:ascii="Book Antiqua" w:hAnsi="Book Antiqua" w:eastAsia="Book Antiqua" w:cs="Book Antiqua"/>
          <w:color w:val="000000"/>
        </w:rPr>
        <w:t>but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no evidence of right ventricular enlargement. ECG indicated dynamic changes of ST segment and no atrial fibrillation was found. Therefore, the patient received PCI </w:t>
      </w:r>
      <w:r>
        <w:rPr>
          <w:rFonts w:ascii="Book Antiqua" w:hAnsi="Book Antiqua" w:eastAsia="Book Antiqua" w:cs="Book Antiqua"/>
          <w:i/>
          <w:iCs/>
          <w:color w:val="000000"/>
        </w:rPr>
        <w:t>via</w:t>
      </w:r>
      <w:r>
        <w:rPr>
          <w:rFonts w:ascii="Book Antiqua" w:hAnsi="Book Antiqua" w:eastAsia="Book Antiqua" w:cs="Book Antiqua"/>
          <w:color w:val="000000"/>
        </w:rPr>
        <w:t xml:space="preserve"> femoral artery approach.</w:t>
      </w:r>
      <w:r>
        <w:rPr>
          <w:rFonts w:hint="eastAsia" w:ascii="Book Antiqua" w:hAnsi="Book Antiqua" w:cs="Book Antiqua"/>
          <w:color w:val="000000"/>
          <w:lang w:eastAsia="zh-CN"/>
        </w:rPr>
        <w:t xml:space="preserve"> </w:t>
      </w:r>
      <w:r>
        <w:rPr>
          <w:rFonts w:ascii="Book Antiqua" w:hAnsi="Book Antiqua" w:eastAsia="Book Antiqua" w:cs="Book Antiqua"/>
          <w:color w:val="000000"/>
        </w:rPr>
        <w:t>But developed symptoms such as diminished bowel sounds and abdominal distension afterwards, and the dose of norepinephrine was increased [from 0.2 μg/(kg·min) to 0.8 μg/(kg·min)]. Due to her tracheal intubation status and past medical history of dementia, the patient was unable to describe her pain. Moreover, the use of analgesic medication trivialized the patient’s condition further,</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until abdominal CT showed hepatic portal gas and intestinal necrosis. As the patient died within a short period of time and no abdominal angiography was performed, it is difficult to determine the type of AMI in this patient. However, the patient was found to have extensive arterial calcification, and received PCI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femoral artery approach. Therefore, the occurrence of AMI may be related to the arterial occlusion due to the shedding of calcified plaques during the interventional operation.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In addition, although the patient's early shock was corrected, low-dose norepinephrine should be maintained. In case of hemodynamic instability, PCI may aggravate the AMI.</w:t>
      </w:r>
      <w:r>
        <w:rPr>
          <w:rFonts w:hint="eastAsia" w:ascii="Book Antiqua" w:hAnsi="Book Antiqua" w:cs="Book Antiqua"/>
          <w:color w:val="000000"/>
          <w:lang w:eastAsia="zh-CN"/>
        </w:rPr>
        <w:t xml:space="preserve"> </w:t>
      </w:r>
      <w:r>
        <w:rPr>
          <w:rFonts w:ascii="Book Antiqua" w:hAnsi="Book Antiqua" w:eastAsia="Book Antiqua" w:cs="Book Antiqua"/>
          <w:color w:val="000000"/>
        </w:rPr>
        <w:t>Accordingly, any negative changes in the patient’s physiology, including new onset of organ failure, increase in vasoactive support and nutrition intolerance should raise the suspicion of AMI</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1</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A retrospective study of 213 patients with AMI showed that the 30-d ICU mortality rate was 71%, the maximum dose of vasoactive drugs and arterial delta lactate were associated with poor prognosis, and anticoagulation therapy was associated with better survival</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12</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Therefore, it is very important to detect patients at high risk of AMI as early as possible, and to provide timely diagnosis and treatment.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However, with the aim of offering some guidance and reference if such cases occur in the future, despite the sudden onset and short course of the disease in this patient, we believe our observations could be convincing if more randomized control trials were conducted as appropriate.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When PCI is performed in patients, especially in those who are hemodynamically unstable</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have severe calcification of abdominal blood vessels, it is important to consider the serious complications of PCI. The possibility of AMI should be considered and investigated in all cases of unexplained abdominal pain after PCI.</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REFERENCES</w:t>
      </w:r>
    </w:p>
    <w:p>
      <w:pPr>
        <w:pStyle w:val="5"/>
        <w:spacing w:before="0" w:beforeAutospacing="0" w:after="0" w:afterAutospacing="0" w:line="360" w:lineRule="auto"/>
        <w:jc w:val="both"/>
      </w:pPr>
      <w:r>
        <w:rPr>
          <w:rFonts w:ascii="Book Antiqua" w:hAnsi="Book Antiqua"/>
        </w:rPr>
        <w:t xml:space="preserve">1 </w:t>
      </w:r>
      <w:r>
        <w:rPr>
          <w:rFonts w:ascii="Book Antiqua" w:hAnsi="Book Antiqua"/>
          <w:b/>
          <w:bCs/>
        </w:rPr>
        <w:t>Giannini F</w:t>
      </w:r>
      <w:r>
        <w:rPr>
          <w:rFonts w:ascii="Book Antiqua" w:hAnsi="Book Antiqua"/>
        </w:rPr>
        <w:t xml:space="preserve">, Candilio L, Mitomo S, Ruparelia N, Chieffo A, Baldetti L, Ponticelli F, Latib A, Colombo A. A Practical Approach to the Management of Complications During Percutaneous Coronary Intervention. </w:t>
      </w:r>
      <w:r>
        <w:rPr>
          <w:rFonts w:ascii="Book Antiqua" w:hAnsi="Book Antiqua"/>
          <w:i/>
          <w:iCs/>
        </w:rPr>
        <w:t>JACC Cardiovasc Interv</w:t>
      </w:r>
      <w:r>
        <w:rPr>
          <w:rFonts w:ascii="Book Antiqua" w:hAnsi="Book Antiqua"/>
        </w:rPr>
        <w:t xml:space="preserve"> 2018; </w:t>
      </w:r>
      <w:r>
        <w:rPr>
          <w:rFonts w:ascii="Book Antiqua" w:hAnsi="Book Antiqua"/>
          <w:b/>
          <w:bCs/>
        </w:rPr>
        <w:t>11</w:t>
      </w:r>
      <w:r>
        <w:rPr>
          <w:rFonts w:ascii="Book Antiqua" w:hAnsi="Book Antiqua"/>
        </w:rPr>
        <w:t>: 1797-1810 [PMID: 30236352 DOI: 10.1016/j.jcin.2018.05.052]</w:t>
      </w:r>
    </w:p>
    <w:p>
      <w:pPr>
        <w:pStyle w:val="5"/>
        <w:spacing w:before="0" w:beforeAutospacing="0" w:after="0" w:afterAutospacing="0" w:line="360" w:lineRule="auto"/>
        <w:jc w:val="both"/>
      </w:pPr>
      <w:r>
        <w:rPr>
          <w:rFonts w:ascii="Book Antiqua" w:hAnsi="Book Antiqua"/>
        </w:rPr>
        <w:t xml:space="preserve">2 </w:t>
      </w:r>
      <w:r>
        <w:rPr>
          <w:rFonts w:ascii="Book Antiqua" w:hAnsi="Book Antiqua"/>
          <w:b/>
          <w:bCs/>
        </w:rPr>
        <w:t>Banning A</w:t>
      </w:r>
      <w:r>
        <w:rPr>
          <w:rFonts w:ascii="Book Antiqua" w:hAnsi="Book Antiqua"/>
        </w:rPr>
        <w:t xml:space="preserve">, Redwood S. Percutaneous coronary intervention for stable angina in ORBITA. </w:t>
      </w:r>
      <w:r>
        <w:rPr>
          <w:rFonts w:ascii="Book Antiqua" w:hAnsi="Book Antiqua"/>
          <w:i/>
          <w:iCs/>
        </w:rPr>
        <w:t>Lancet</w:t>
      </w:r>
      <w:r>
        <w:rPr>
          <w:rFonts w:ascii="Book Antiqua" w:hAnsi="Book Antiqua"/>
        </w:rPr>
        <w:t xml:space="preserve"> 2018; </w:t>
      </w:r>
      <w:r>
        <w:rPr>
          <w:rFonts w:ascii="Book Antiqua" w:hAnsi="Book Antiqua"/>
          <w:b/>
          <w:bCs/>
        </w:rPr>
        <w:t>392</w:t>
      </w:r>
      <w:r>
        <w:rPr>
          <w:rFonts w:ascii="Book Antiqua" w:hAnsi="Book Antiqua"/>
        </w:rPr>
        <w:t>: 28 [PMID: 30047395 DOI: 10.1016/S0140-6736(18)31210-8]</w:t>
      </w:r>
    </w:p>
    <w:p>
      <w:pPr>
        <w:pStyle w:val="5"/>
        <w:spacing w:before="0" w:beforeAutospacing="0" w:after="0" w:afterAutospacing="0" w:line="360" w:lineRule="auto"/>
        <w:jc w:val="both"/>
      </w:pPr>
      <w:r>
        <w:rPr>
          <w:rFonts w:ascii="Book Antiqua" w:hAnsi="Book Antiqua"/>
        </w:rPr>
        <w:t xml:space="preserve">3 </w:t>
      </w:r>
      <w:r>
        <w:rPr>
          <w:rFonts w:ascii="Book Antiqua" w:hAnsi="Book Antiqua"/>
          <w:b/>
          <w:bCs/>
        </w:rPr>
        <w:t>Clair DG</w:t>
      </w:r>
      <w:r>
        <w:rPr>
          <w:rFonts w:ascii="Book Antiqua" w:hAnsi="Book Antiqua"/>
        </w:rPr>
        <w:t xml:space="preserve">, Beach JM. Mesenteric Ischemia. </w:t>
      </w:r>
      <w:r>
        <w:rPr>
          <w:rFonts w:ascii="Book Antiqua" w:hAnsi="Book Antiqua"/>
          <w:i/>
          <w:iCs/>
        </w:rPr>
        <w:t>N Engl J Med</w:t>
      </w:r>
      <w:r>
        <w:rPr>
          <w:rFonts w:ascii="Book Antiqua" w:hAnsi="Book Antiqua"/>
        </w:rPr>
        <w:t xml:space="preserve"> 2016; </w:t>
      </w:r>
      <w:r>
        <w:rPr>
          <w:rFonts w:ascii="Book Antiqua" w:hAnsi="Book Antiqua"/>
          <w:b/>
          <w:bCs/>
        </w:rPr>
        <w:t>374</w:t>
      </w:r>
      <w:r>
        <w:rPr>
          <w:rFonts w:ascii="Book Antiqua" w:hAnsi="Book Antiqua"/>
        </w:rPr>
        <w:t>: 959-968 [PMID: 26962730 DOI: 10.1056/NEJMra1503884]</w:t>
      </w:r>
    </w:p>
    <w:p>
      <w:pPr>
        <w:pStyle w:val="5"/>
        <w:spacing w:before="0" w:beforeAutospacing="0" w:after="0" w:afterAutospacing="0" w:line="360" w:lineRule="auto"/>
        <w:jc w:val="both"/>
      </w:pPr>
      <w:r>
        <w:rPr>
          <w:rFonts w:ascii="Book Antiqua" w:hAnsi="Book Antiqua"/>
        </w:rPr>
        <w:t xml:space="preserve">4 </w:t>
      </w:r>
      <w:r>
        <w:rPr>
          <w:rFonts w:ascii="Book Antiqua" w:hAnsi="Book Antiqua"/>
          <w:b/>
          <w:bCs/>
        </w:rPr>
        <w:t>Sakamoto T</w:t>
      </w:r>
      <w:r>
        <w:rPr>
          <w:rFonts w:ascii="Book Antiqua" w:hAnsi="Book Antiqua"/>
        </w:rPr>
        <w:t xml:space="preserve">, Kubota T, Funakoshi H, Lefor AK. Multidisciplinary management of acute mesenteric ischemia: Surgery and endovascular intervention. </w:t>
      </w:r>
      <w:r>
        <w:rPr>
          <w:rFonts w:ascii="Book Antiqua" w:hAnsi="Book Antiqua"/>
          <w:i/>
          <w:iCs/>
        </w:rPr>
        <w:t>World J Gastrointest Surg</w:t>
      </w:r>
      <w:r>
        <w:rPr>
          <w:rFonts w:ascii="Book Antiqua" w:hAnsi="Book Antiqua"/>
        </w:rPr>
        <w:t xml:space="preserve"> 2021; </w:t>
      </w:r>
      <w:r>
        <w:rPr>
          <w:rFonts w:ascii="Book Antiqua" w:hAnsi="Book Antiqua"/>
          <w:b/>
          <w:bCs/>
        </w:rPr>
        <w:t>13</w:t>
      </w:r>
      <w:r>
        <w:rPr>
          <w:rFonts w:ascii="Book Antiqua" w:hAnsi="Book Antiqua"/>
        </w:rPr>
        <w:t>: 806-813 [PMID: 34512904 DOI: 10.4240/wjgs.v13.i8.806]</w:t>
      </w:r>
    </w:p>
    <w:p>
      <w:pPr>
        <w:pStyle w:val="5"/>
        <w:spacing w:before="0" w:beforeAutospacing="0" w:after="0" w:afterAutospacing="0" w:line="360" w:lineRule="auto"/>
        <w:jc w:val="both"/>
      </w:pPr>
      <w:r>
        <w:rPr>
          <w:rFonts w:ascii="Book Antiqua" w:hAnsi="Book Antiqua"/>
        </w:rPr>
        <w:t xml:space="preserve">5 </w:t>
      </w:r>
      <w:r>
        <w:rPr>
          <w:rFonts w:ascii="Book Antiqua" w:hAnsi="Book Antiqua"/>
          <w:b/>
          <w:bCs/>
        </w:rPr>
        <w:t>Ibánez B</w:t>
      </w:r>
      <w:r>
        <w:rPr>
          <w:rFonts w:ascii="Book Antiqua" w:hAnsi="Book Antiqua"/>
        </w:rPr>
        <w:t xml:space="preserve">, James S, Agewall S, Antunes MJ, Bucciarelli-Ducci C, Bueno H, Caforio ALP, Crea F, Goudevenos JA, Halvorsen S, Hindricks G, Kastrati A, Lenzen MJ, Prescott E, Roffi M, Valgimigli M, Varenhorst C, Vranckx P, Widimský P. 2017 ESC Guidelines for the management of acute myocardial infarction in patients presenting with ST-segment elevation. </w:t>
      </w:r>
      <w:r>
        <w:rPr>
          <w:rFonts w:ascii="Book Antiqua" w:hAnsi="Book Antiqua"/>
          <w:i/>
          <w:iCs/>
        </w:rPr>
        <w:t>Rev Esp Cardiol (Engl Ed)</w:t>
      </w:r>
      <w:r>
        <w:rPr>
          <w:rFonts w:ascii="Book Antiqua" w:hAnsi="Book Antiqua"/>
        </w:rPr>
        <w:t xml:space="preserve"> 2017; </w:t>
      </w:r>
      <w:r>
        <w:rPr>
          <w:rFonts w:ascii="Book Antiqua" w:hAnsi="Book Antiqua"/>
          <w:b/>
          <w:bCs/>
        </w:rPr>
        <w:t>70</w:t>
      </w:r>
      <w:r>
        <w:rPr>
          <w:rFonts w:ascii="Book Antiqua" w:hAnsi="Book Antiqua"/>
        </w:rPr>
        <w:t>: 1082 [PMID: 29198432 DOI: 10.1016/j.rec.2017.11.010]</w:t>
      </w:r>
    </w:p>
    <w:p>
      <w:pPr>
        <w:pStyle w:val="5"/>
        <w:spacing w:before="0" w:beforeAutospacing="0" w:after="0" w:afterAutospacing="0" w:line="360" w:lineRule="auto"/>
        <w:jc w:val="both"/>
      </w:pPr>
      <w:r>
        <w:rPr>
          <w:rFonts w:ascii="Book Antiqua" w:hAnsi="Book Antiqua"/>
        </w:rPr>
        <w:t xml:space="preserve">6 </w:t>
      </w:r>
      <w:r>
        <w:rPr>
          <w:rFonts w:ascii="Book Antiqua" w:hAnsi="Book Antiqua"/>
          <w:b/>
          <w:bCs/>
        </w:rPr>
        <w:t>Kandan SR</w:t>
      </w:r>
      <w:r>
        <w:rPr>
          <w:rFonts w:ascii="Book Antiqua" w:hAnsi="Book Antiqua"/>
        </w:rPr>
        <w:t xml:space="preserve">, Johnson TW. Management of percutaneous coronary intervention complications. </w:t>
      </w:r>
      <w:r>
        <w:rPr>
          <w:rFonts w:ascii="Book Antiqua" w:hAnsi="Book Antiqua"/>
          <w:i/>
          <w:iCs/>
        </w:rPr>
        <w:t>Heart</w:t>
      </w:r>
      <w:r>
        <w:rPr>
          <w:rFonts w:ascii="Book Antiqua" w:hAnsi="Book Antiqua"/>
        </w:rPr>
        <w:t xml:space="preserve"> 2019; </w:t>
      </w:r>
      <w:r>
        <w:rPr>
          <w:rFonts w:ascii="Book Antiqua" w:hAnsi="Book Antiqua"/>
          <w:b/>
          <w:bCs/>
        </w:rPr>
        <w:t>105</w:t>
      </w:r>
      <w:r>
        <w:rPr>
          <w:rFonts w:ascii="Book Antiqua" w:hAnsi="Book Antiqua"/>
        </w:rPr>
        <w:t>: 75-86 [PMID: 29760245 DOI: 10.1136/heartjnl-2017-311155]</w:t>
      </w:r>
    </w:p>
    <w:p>
      <w:pPr>
        <w:pStyle w:val="5"/>
        <w:spacing w:before="0" w:beforeAutospacing="0" w:after="0" w:afterAutospacing="0" w:line="360" w:lineRule="auto"/>
        <w:jc w:val="both"/>
      </w:pPr>
      <w:r>
        <w:rPr>
          <w:rFonts w:ascii="Book Antiqua" w:hAnsi="Book Antiqua"/>
        </w:rPr>
        <w:t xml:space="preserve">7 </w:t>
      </w:r>
      <w:r>
        <w:rPr>
          <w:rFonts w:ascii="Book Antiqua" w:hAnsi="Book Antiqua"/>
          <w:b/>
          <w:bCs/>
        </w:rPr>
        <w:t>Doll JA</w:t>
      </w:r>
      <w:r>
        <w:rPr>
          <w:rFonts w:ascii="Book Antiqua" w:hAnsi="Book Antiqua"/>
        </w:rPr>
        <w:t xml:space="preserve">, Hira RS, Kearney KE, Kandzari DE, Riley RF, Marso SP, Grantham JA, Thompson CA, McCabe JM, Karmpaliotis D, Kirtane AJ, Lombardi W. Management of Percutaneous Coronary Intervention Complications: Algorithms From the 2018 and 2019 Seattle Percutaneous Coronary Intervention Complications Conference. </w:t>
      </w:r>
      <w:r>
        <w:rPr>
          <w:rFonts w:ascii="Book Antiqua" w:hAnsi="Book Antiqua"/>
          <w:i/>
          <w:iCs/>
        </w:rPr>
        <w:t>Circ Cardiovasc Interv</w:t>
      </w:r>
      <w:r>
        <w:rPr>
          <w:rFonts w:ascii="Book Antiqua" w:hAnsi="Book Antiqua"/>
        </w:rPr>
        <w:t xml:space="preserve"> 2020; </w:t>
      </w:r>
      <w:r>
        <w:rPr>
          <w:rFonts w:ascii="Book Antiqua" w:hAnsi="Book Antiqua"/>
          <w:b/>
          <w:bCs/>
        </w:rPr>
        <w:t>13</w:t>
      </w:r>
      <w:r>
        <w:rPr>
          <w:rFonts w:ascii="Book Antiqua" w:hAnsi="Book Antiqua"/>
        </w:rPr>
        <w:t>: e008962 [PMID: 32527193 DOI: 10.1161/CIRCINTERVENTIONS.120.008962]</w:t>
      </w:r>
    </w:p>
    <w:p>
      <w:pPr>
        <w:pStyle w:val="5"/>
        <w:spacing w:before="0" w:beforeAutospacing="0" w:after="0" w:afterAutospacing="0" w:line="360" w:lineRule="auto"/>
        <w:jc w:val="both"/>
      </w:pPr>
      <w:r>
        <w:rPr>
          <w:rFonts w:ascii="Book Antiqua" w:hAnsi="Book Antiqua"/>
        </w:rPr>
        <w:t xml:space="preserve">8 </w:t>
      </w:r>
      <w:r>
        <w:rPr>
          <w:rFonts w:ascii="Book Antiqua" w:hAnsi="Book Antiqua"/>
          <w:b/>
          <w:bCs/>
        </w:rPr>
        <w:t>Tilsed JV</w:t>
      </w:r>
      <w:r>
        <w:rPr>
          <w:rFonts w:ascii="Book Antiqua" w:hAnsi="Book Antiqua"/>
        </w:rPr>
        <w:t xml:space="preserve">, Casamassima A, Kurihara H, Mariani D, Martinez I, Pereira J, Ponchietti L, Shamiyeh A, Al-Ayoubi F, Barco LA, Ceolin M, D'Almeida AJ, Hilario S, Olavarria AL, Ozmen MM, Pinheiro LF, Poeze M, Triantos G, Fuentes FT, Sierra SU, Soreide K, Yanar H. ESTES guidelines: acute mesenteric ischaemia. </w:t>
      </w:r>
      <w:r>
        <w:rPr>
          <w:rFonts w:ascii="Book Antiqua" w:hAnsi="Book Antiqua"/>
          <w:i/>
          <w:iCs/>
        </w:rPr>
        <w:t>Eur J Trauma Emerg Surg</w:t>
      </w:r>
      <w:r>
        <w:rPr>
          <w:rFonts w:ascii="Book Antiqua" w:hAnsi="Book Antiqua"/>
        </w:rPr>
        <w:t xml:space="preserve"> 2016; </w:t>
      </w:r>
      <w:r>
        <w:rPr>
          <w:rFonts w:ascii="Book Antiqua" w:hAnsi="Book Antiqua"/>
          <w:b/>
          <w:bCs/>
        </w:rPr>
        <w:t>42</w:t>
      </w:r>
      <w:r>
        <w:rPr>
          <w:rFonts w:ascii="Book Antiqua" w:hAnsi="Book Antiqua"/>
        </w:rPr>
        <w:t>: 253-270 [PMID: 26820988 DOI: 10.1007/s00068-016-0634-0]</w:t>
      </w:r>
    </w:p>
    <w:p>
      <w:pPr>
        <w:pStyle w:val="5"/>
        <w:spacing w:before="0" w:beforeAutospacing="0" w:after="0" w:afterAutospacing="0" w:line="360" w:lineRule="auto"/>
        <w:jc w:val="both"/>
      </w:pPr>
      <w:r>
        <w:rPr>
          <w:rFonts w:ascii="Book Antiqua" w:hAnsi="Book Antiqua"/>
        </w:rPr>
        <w:t xml:space="preserve">9 </w:t>
      </w:r>
      <w:r>
        <w:rPr>
          <w:rFonts w:ascii="Book Antiqua" w:hAnsi="Book Antiqua"/>
          <w:b/>
          <w:bCs/>
        </w:rPr>
        <w:t>Al-Diery H</w:t>
      </w:r>
      <w:r>
        <w:rPr>
          <w:rFonts w:ascii="Book Antiqua" w:hAnsi="Book Antiqua"/>
        </w:rPr>
        <w:t xml:space="preserve">, Phillips A, Evennett N, Pandanaboyana S, Gilham M, Windsor JA. The Pathogenesis of Nonocclusive Mesenteric Ischemia: Implications for Research and Clinical Practice. </w:t>
      </w:r>
      <w:r>
        <w:rPr>
          <w:rFonts w:ascii="Book Antiqua" w:hAnsi="Book Antiqua"/>
          <w:i/>
          <w:iCs/>
        </w:rPr>
        <w:t>J Intensive Care Med</w:t>
      </w:r>
      <w:r>
        <w:rPr>
          <w:rFonts w:ascii="Book Antiqua" w:hAnsi="Book Antiqua"/>
        </w:rPr>
        <w:t xml:space="preserve"> 2019; </w:t>
      </w:r>
      <w:r>
        <w:rPr>
          <w:rFonts w:ascii="Book Antiqua" w:hAnsi="Book Antiqua"/>
          <w:b/>
          <w:bCs/>
        </w:rPr>
        <w:t>34</w:t>
      </w:r>
      <w:r>
        <w:rPr>
          <w:rFonts w:ascii="Book Antiqua" w:hAnsi="Book Antiqua"/>
        </w:rPr>
        <w:t>: 771-781 [PMID: 30037271 DOI: 10.1177/0885066618788827]</w:t>
      </w:r>
    </w:p>
    <w:p>
      <w:pPr>
        <w:pStyle w:val="5"/>
        <w:spacing w:before="0" w:beforeAutospacing="0" w:after="0" w:afterAutospacing="0" w:line="360" w:lineRule="auto"/>
        <w:jc w:val="both"/>
      </w:pPr>
      <w:r>
        <w:rPr>
          <w:rFonts w:ascii="Book Antiqua" w:hAnsi="Book Antiqua"/>
        </w:rPr>
        <w:t xml:space="preserve">10 </w:t>
      </w:r>
      <w:r>
        <w:rPr>
          <w:rFonts w:ascii="Book Antiqua" w:hAnsi="Book Antiqua"/>
          <w:b/>
          <w:bCs/>
        </w:rPr>
        <w:t>Ahmed M</w:t>
      </w:r>
      <w:r>
        <w:rPr>
          <w:rFonts w:ascii="Book Antiqua" w:hAnsi="Book Antiqua"/>
        </w:rPr>
        <w:t xml:space="preserve">. Ischemic bowel disease in 2021. </w:t>
      </w:r>
      <w:r>
        <w:rPr>
          <w:rFonts w:ascii="Book Antiqua" w:hAnsi="Book Antiqua"/>
          <w:i/>
          <w:iCs/>
        </w:rPr>
        <w:t>World J Gastroenterol</w:t>
      </w:r>
      <w:r>
        <w:rPr>
          <w:rFonts w:ascii="Book Antiqua" w:hAnsi="Book Antiqua"/>
        </w:rPr>
        <w:t xml:space="preserve"> 2021; </w:t>
      </w:r>
      <w:r>
        <w:rPr>
          <w:rFonts w:ascii="Book Antiqua" w:hAnsi="Book Antiqua"/>
          <w:b/>
          <w:bCs/>
        </w:rPr>
        <w:t>27</w:t>
      </w:r>
      <w:r>
        <w:rPr>
          <w:rFonts w:ascii="Book Antiqua" w:hAnsi="Book Antiqua"/>
        </w:rPr>
        <w:t>: 4746-4762 [PMID: 34447224 DOI: 10.3748/wjg.v27.i29.4746]</w:t>
      </w:r>
    </w:p>
    <w:p>
      <w:pPr>
        <w:pStyle w:val="5"/>
        <w:spacing w:before="0" w:beforeAutospacing="0" w:after="0" w:afterAutospacing="0" w:line="360" w:lineRule="auto"/>
        <w:jc w:val="both"/>
      </w:pPr>
      <w:r>
        <w:rPr>
          <w:rFonts w:ascii="Book Antiqua" w:hAnsi="Book Antiqua"/>
        </w:rPr>
        <w:t xml:space="preserve">11 </w:t>
      </w:r>
      <w:r>
        <w:rPr>
          <w:rFonts w:ascii="Book Antiqua" w:hAnsi="Book Antiqua"/>
          <w:b/>
          <w:bCs/>
        </w:rPr>
        <w:t>Bala M</w:t>
      </w:r>
      <w:r>
        <w:rPr>
          <w:rFonts w:ascii="Book Antiqua" w:hAnsi="Book Antiqua"/>
        </w:rPr>
        <w:t xml:space="preserve">, Kashuk J, Moore EE, Kluger Y, Biffl W, Gomes CA, Ben-Ishay O, Rubinstein C, Balogh ZJ, Civil I, Coccolini F, Leppaniemi A, Peitzman A, Ansaloni L, Sugrue M, Sartelli M, Di Saverio S, Fraga GP, Catena F. Acute mesenteric ischemia: guidelines of the World Society of Emergency Surgery. </w:t>
      </w:r>
      <w:r>
        <w:rPr>
          <w:rFonts w:ascii="Book Antiqua" w:hAnsi="Book Antiqua"/>
          <w:i/>
          <w:iCs/>
        </w:rPr>
        <w:t>World J Emerg Surg</w:t>
      </w:r>
      <w:r>
        <w:rPr>
          <w:rFonts w:ascii="Book Antiqua" w:hAnsi="Book Antiqua"/>
        </w:rPr>
        <w:t xml:space="preserve"> 2017; </w:t>
      </w:r>
      <w:r>
        <w:rPr>
          <w:rFonts w:ascii="Book Antiqua" w:hAnsi="Book Antiqua"/>
          <w:b/>
          <w:bCs/>
        </w:rPr>
        <w:t>12</w:t>
      </w:r>
      <w:r>
        <w:rPr>
          <w:rFonts w:ascii="Book Antiqua" w:hAnsi="Book Antiqua"/>
        </w:rPr>
        <w:t>: 38 [PMID: 28794797 DOI: 10.1186/s13017-017-0150-5]</w:t>
      </w:r>
    </w:p>
    <w:p>
      <w:pPr>
        <w:pStyle w:val="5"/>
        <w:spacing w:before="0" w:beforeAutospacing="0" w:after="0" w:afterAutospacing="0" w:line="360" w:lineRule="auto"/>
        <w:jc w:val="both"/>
      </w:pPr>
      <w:r>
        <w:rPr>
          <w:rFonts w:ascii="Book Antiqua" w:hAnsi="Book Antiqua"/>
        </w:rPr>
        <w:t xml:space="preserve">12 </w:t>
      </w:r>
      <w:r>
        <w:rPr>
          <w:rFonts w:ascii="Book Antiqua" w:hAnsi="Book Antiqua"/>
          <w:b/>
          <w:bCs/>
        </w:rPr>
        <w:t>Caluwaerts M</w:t>
      </w:r>
      <w:r>
        <w:rPr>
          <w:rFonts w:ascii="Book Antiqua" w:hAnsi="Book Antiqua"/>
        </w:rPr>
        <w:t xml:space="preserve">, Castanares-Zapatero D, Laterre PF, Hantson P. Prognostic factors of acute mesenteric ischemia in ICU patients. </w:t>
      </w:r>
      <w:r>
        <w:rPr>
          <w:rFonts w:ascii="Book Antiqua" w:hAnsi="Book Antiqua"/>
          <w:i/>
          <w:iCs/>
        </w:rPr>
        <w:t>BMC Gastroenterol</w:t>
      </w:r>
      <w:r>
        <w:rPr>
          <w:rFonts w:ascii="Book Antiqua" w:hAnsi="Book Antiqua"/>
        </w:rPr>
        <w:t xml:space="preserve"> 2019; </w:t>
      </w:r>
      <w:r>
        <w:rPr>
          <w:rFonts w:ascii="Book Antiqua" w:hAnsi="Book Antiqua"/>
          <w:b/>
          <w:bCs/>
        </w:rPr>
        <w:t>19</w:t>
      </w:r>
      <w:r>
        <w:rPr>
          <w:rFonts w:ascii="Book Antiqua" w:hAnsi="Book Antiqua"/>
        </w:rPr>
        <w:t>: 80 [PMID: 31146693 DOI: 10.1186/s12876-019-0999-8]</w:t>
      </w:r>
    </w:p>
    <w:p>
      <w:pPr>
        <w:pStyle w:val="5"/>
        <w:spacing w:before="0" w:beforeAutospacing="0" w:after="0" w:afterAutospacing="0" w:line="360" w:lineRule="auto"/>
        <w:jc w:val="both"/>
      </w:pPr>
      <w:r>
        <w:rPr>
          <w:rFonts w:ascii="Book Antiqua" w:hAnsi="Book Antiqua"/>
        </w:rPr>
        <w:t xml:space="preserve">13 </w:t>
      </w:r>
      <w:r>
        <w:rPr>
          <w:rFonts w:ascii="Book Antiqua" w:hAnsi="Book Antiqua"/>
          <w:b/>
          <w:bCs/>
        </w:rPr>
        <w:t>Piton G</w:t>
      </w:r>
      <w:r>
        <w:rPr>
          <w:rFonts w:ascii="Book Antiqua" w:hAnsi="Book Antiqua"/>
        </w:rPr>
        <w:t xml:space="preserve">, Le Gouge A, Boisramé-Helms J, Anguel N, Argaud L, Asfar P, Botoc V, Bretagnol A, Brisard L, Bui HN, Canet E, Chatelier D, Chauvelot L, Darmon M, Das V, Devaquet J, Djibré M, Ganster F, Garrouste-Orgeas M, Gaudry S, Gontier O, Groyer S, Guidet B, Herbrecht JE, Hourmant Y, Lacherade JC, Letocart P, Martino F, Maxime V, Mercier E, Mira JP, Nseir S, Quenot JP, Richecoeur J, Rigaud JP, Roux D, Schnell D, Schwebel C, Silva D, Sirodot M, Souweine B, Thieulot-Rolin N, Tinturier F, Tirot P, Thévenin D, Thiéry G, Lascarrou JB, Reignier J; Clinical Research in Intensive Care and Sepsis (CRICS) group. Factors associated with acute mesenteric ischemia among critically ill ventilated patients with shock: a post hoc analysis of the NUTRIREA2 trial. </w:t>
      </w:r>
      <w:r>
        <w:rPr>
          <w:rFonts w:ascii="Book Antiqua" w:hAnsi="Book Antiqua"/>
          <w:i/>
          <w:iCs/>
        </w:rPr>
        <w:t>Intensive Care Med</w:t>
      </w:r>
      <w:r>
        <w:rPr>
          <w:rFonts w:ascii="Book Antiqua" w:hAnsi="Book Antiqua"/>
        </w:rPr>
        <w:t xml:space="preserve"> 2022; </w:t>
      </w:r>
      <w:r>
        <w:rPr>
          <w:rFonts w:ascii="Book Antiqua" w:hAnsi="Book Antiqua"/>
          <w:b/>
          <w:bCs/>
        </w:rPr>
        <w:t>48</w:t>
      </w:r>
      <w:r>
        <w:rPr>
          <w:rFonts w:ascii="Book Antiqua" w:hAnsi="Book Antiqua"/>
        </w:rPr>
        <w:t>: 458-466 [PMID: 35190840 DOI: 10.1007/s00134-022-06637-w]</w:t>
      </w:r>
    </w:p>
    <w:p>
      <w:pPr>
        <w:pStyle w:val="5"/>
        <w:spacing w:before="0" w:beforeAutospacing="0" w:after="0" w:afterAutospacing="0" w:line="360" w:lineRule="auto"/>
        <w:jc w:val="both"/>
      </w:pPr>
      <w:r>
        <w:rPr>
          <w:rFonts w:ascii="Book Antiqua" w:hAnsi="Book Antiqua"/>
        </w:rPr>
        <w:t xml:space="preserve">14 </w:t>
      </w:r>
      <w:r>
        <w:rPr>
          <w:rFonts w:ascii="Book Antiqua" w:hAnsi="Book Antiqua"/>
          <w:b/>
          <w:bCs/>
        </w:rPr>
        <w:t>Del Val D</w:t>
      </w:r>
      <w:r>
        <w:rPr>
          <w:rFonts w:ascii="Book Antiqua" w:hAnsi="Book Antiqua"/>
        </w:rPr>
        <w:t xml:space="preserve">, Rivero F, Cuesta J, Diego G, Antuña P, Alfonso F. Fatal acute mesenteric ischaemia following transcatheter aortic valve replacement. </w:t>
      </w:r>
      <w:r>
        <w:rPr>
          <w:rFonts w:ascii="Book Antiqua" w:hAnsi="Book Antiqua"/>
          <w:i/>
          <w:iCs/>
        </w:rPr>
        <w:t>EuroIntervention</w:t>
      </w:r>
      <w:r>
        <w:rPr>
          <w:rFonts w:ascii="Book Antiqua" w:hAnsi="Book Antiqua"/>
        </w:rPr>
        <w:t xml:space="preserve"> 2021; </w:t>
      </w:r>
      <w:r>
        <w:rPr>
          <w:rFonts w:ascii="Book Antiqua" w:hAnsi="Book Antiqua"/>
          <w:b/>
          <w:bCs/>
        </w:rPr>
        <w:t>17</w:t>
      </w:r>
      <w:r>
        <w:rPr>
          <w:rFonts w:ascii="Book Antiqua" w:hAnsi="Book Antiqua"/>
        </w:rPr>
        <w:t>: 588-589 [PMID: 33106224 DOI: 10.4244/EIJ-D-20-01015]</w:t>
      </w:r>
    </w:p>
    <w:p>
      <w:pPr>
        <w:pStyle w:val="5"/>
        <w:spacing w:before="0" w:beforeAutospacing="0" w:after="0" w:afterAutospacing="0" w:line="360" w:lineRule="auto"/>
        <w:jc w:val="both"/>
      </w:pPr>
      <w:r>
        <w:rPr>
          <w:rFonts w:ascii="Book Antiqua" w:hAnsi="Book Antiqua"/>
        </w:rPr>
        <w:t xml:space="preserve">15 </w:t>
      </w:r>
      <w:r>
        <w:rPr>
          <w:rFonts w:ascii="Book Antiqua" w:hAnsi="Book Antiqua"/>
          <w:b/>
          <w:bCs/>
        </w:rPr>
        <w:t>Lareyre F</w:t>
      </w:r>
      <w:r>
        <w:rPr>
          <w:rFonts w:ascii="Book Antiqua" w:hAnsi="Book Antiqua"/>
        </w:rPr>
        <w:t xml:space="preserve">, Augène E, Massalou D, Chikande J, Guidi L, Jean-Baptiste E, Hassen-Khodja R, Raffort J. Vascular Calcifications are Associated with Increased Mortality in Patients with Acute Mesenteric Ischemia. </w:t>
      </w:r>
      <w:r>
        <w:rPr>
          <w:rFonts w:ascii="Book Antiqua" w:hAnsi="Book Antiqua"/>
          <w:i/>
          <w:iCs/>
        </w:rPr>
        <w:t>Ann Vasc Surg</w:t>
      </w:r>
      <w:r>
        <w:rPr>
          <w:rFonts w:ascii="Book Antiqua" w:hAnsi="Book Antiqua"/>
        </w:rPr>
        <w:t xml:space="preserve"> 2021; </w:t>
      </w:r>
      <w:r>
        <w:rPr>
          <w:rFonts w:ascii="Book Antiqua" w:hAnsi="Book Antiqua"/>
          <w:b/>
          <w:bCs/>
        </w:rPr>
        <w:t>72</w:t>
      </w:r>
      <w:r>
        <w:rPr>
          <w:rFonts w:ascii="Book Antiqua" w:hAnsi="Book Antiqua"/>
        </w:rPr>
        <w:t>: 88-97 [PMID: 32866577 DOI: 10.1016/j.avsg.2020.08.086]</w:t>
      </w:r>
    </w:p>
    <w:p>
      <w:pPr>
        <w:pStyle w:val="5"/>
        <w:spacing w:before="0" w:beforeAutospacing="0" w:after="0" w:afterAutospacing="0" w:line="360" w:lineRule="auto"/>
        <w:jc w:val="both"/>
      </w:pPr>
      <w:r>
        <w:rPr>
          <w:rFonts w:ascii="Book Antiqua" w:hAnsi="Book Antiqua"/>
        </w:rPr>
        <w:t xml:space="preserve">16 </w:t>
      </w:r>
      <w:r>
        <w:rPr>
          <w:rFonts w:ascii="Book Antiqua" w:hAnsi="Book Antiqua"/>
          <w:b/>
          <w:bCs/>
        </w:rPr>
        <w:t>Sun SL</w:t>
      </w:r>
      <w:r>
        <w:rPr>
          <w:rFonts w:ascii="Book Antiqua" w:hAnsi="Book Antiqua"/>
        </w:rPr>
        <w:t xml:space="preserve">, Wang XY, Chu CN, Liu BC, Li QR, Ding WW. Predictors of irreversible intestinal resection in patients with acute mesenteric venous thrombosis. </w:t>
      </w:r>
      <w:r>
        <w:rPr>
          <w:rFonts w:ascii="Book Antiqua" w:hAnsi="Book Antiqua"/>
          <w:i/>
          <w:iCs/>
        </w:rPr>
        <w:t>World J Gastroenterol</w:t>
      </w:r>
      <w:r>
        <w:rPr>
          <w:rFonts w:ascii="Book Antiqua" w:hAnsi="Book Antiqua"/>
        </w:rPr>
        <w:t xml:space="preserve"> 2020; </w:t>
      </w:r>
      <w:r>
        <w:rPr>
          <w:rFonts w:ascii="Book Antiqua" w:hAnsi="Book Antiqua"/>
          <w:b/>
          <w:bCs/>
        </w:rPr>
        <w:t>26</w:t>
      </w:r>
      <w:r>
        <w:rPr>
          <w:rFonts w:ascii="Book Antiqua" w:hAnsi="Book Antiqua"/>
        </w:rPr>
        <w:t>: 3625-3637 [PMID: 32742131 DOI: 10.3748/wjg.v26.i25.3625]</w:t>
      </w:r>
    </w:p>
    <w:p>
      <w:pPr>
        <w:pStyle w:val="5"/>
        <w:spacing w:before="0" w:beforeAutospacing="0" w:after="0" w:afterAutospacing="0" w:line="360" w:lineRule="auto"/>
        <w:jc w:val="both"/>
      </w:pPr>
      <w:r>
        <w:rPr>
          <w:rFonts w:ascii="Book Antiqua" w:hAnsi="Book Antiqua"/>
        </w:rPr>
        <w:t xml:space="preserve">17 </w:t>
      </w:r>
      <w:r>
        <w:rPr>
          <w:rFonts w:ascii="Book Antiqua" w:hAnsi="Book Antiqua"/>
          <w:b/>
          <w:bCs/>
        </w:rPr>
        <w:t>Renaudier M</w:t>
      </w:r>
      <w:r>
        <w:rPr>
          <w:rFonts w:ascii="Book Antiqua" w:hAnsi="Book Antiqua"/>
        </w:rPr>
        <w:t xml:space="preserve">, de Roux Q, Bougouin W, Boccara J, Dubost B, Attias A, Fiore A, de'Angelis N, Folliguet T, Mulé S, Amiot A, Langeron O, Mongardon N. Acute mesenteric ischaemia in refractory shock on veno-arterial extracorporeal membrane oxygenation. </w:t>
      </w:r>
      <w:r>
        <w:rPr>
          <w:rFonts w:ascii="Book Antiqua" w:hAnsi="Book Antiqua"/>
          <w:i/>
          <w:iCs/>
        </w:rPr>
        <w:t>Eur Heart J Acute Cardiovasc Care</w:t>
      </w:r>
      <w:r>
        <w:rPr>
          <w:rFonts w:ascii="Book Antiqua" w:hAnsi="Book Antiqua"/>
        </w:rPr>
        <w:t xml:space="preserve"> 2020; </w:t>
      </w:r>
      <w:r>
        <w:rPr>
          <w:rFonts w:ascii="Book Antiqua" w:hAnsi="Book Antiqua"/>
          <w:b/>
          <w:bCs/>
        </w:rPr>
        <w:t>10</w:t>
      </w:r>
      <w:r>
        <w:rPr>
          <w:rFonts w:ascii="Book Antiqua" w:hAnsi="Book Antiqua"/>
        </w:rPr>
        <w:t>: 62–70 [PMID: 33609105 DOI: 10.1177/2048872620915655]</w:t>
      </w:r>
    </w:p>
    <w:p>
      <w:pPr>
        <w:pStyle w:val="5"/>
        <w:spacing w:before="0" w:beforeAutospacing="0" w:after="0" w:afterAutospacing="0" w:line="360" w:lineRule="auto"/>
        <w:jc w:val="both"/>
      </w:pPr>
      <w:r>
        <w:rPr>
          <w:rFonts w:ascii="Book Antiqua" w:hAnsi="Book Antiqua"/>
        </w:rPr>
        <w:t xml:space="preserve">18 </w:t>
      </w:r>
      <w:r>
        <w:rPr>
          <w:rFonts w:ascii="Book Antiqua" w:hAnsi="Book Antiqua"/>
          <w:b/>
          <w:bCs/>
        </w:rPr>
        <w:t>Deng QW</w:t>
      </w:r>
      <w:r>
        <w:rPr>
          <w:rFonts w:ascii="Book Antiqua" w:hAnsi="Book Antiqua"/>
        </w:rPr>
        <w:t xml:space="preserve">, Tan WC, Zhao BC, Deng WT, Xu M, Liu WF, Liu KX. Risk factors for postoperative acute mesenteric ischemia among adult patients undergoing cardiac surgery: A systematic review and meta-analysis. </w:t>
      </w:r>
      <w:r>
        <w:rPr>
          <w:rFonts w:ascii="Book Antiqua" w:hAnsi="Book Antiqua"/>
          <w:i/>
          <w:iCs/>
        </w:rPr>
        <w:t>J Crit Care</w:t>
      </w:r>
      <w:r>
        <w:rPr>
          <w:rFonts w:ascii="Book Antiqua" w:hAnsi="Book Antiqua"/>
        </w:rPr>
        <w:t xml:space="preserve"> 2017; </w:t>
      </w:r>
      <w:r>
        <w:rPr>
          <w:rFonts w:ascii="Book Antiqua" w:hAnsi="Book Antiqua"/>
          <w:b/>
          <w:bCs/>
        </w:rPr>
        <w:t>42</w:t>
      </w:r>
      <w:r>
        <w:rPr>
          <w:rFonts w:ascii="Book Antiqua" w:hAnsi="Book Antiqua"/>
        </w:rPr>
        <w:t>: 294-303 [PMID: 28820981 DOI: 10.1016/j.jcrc.2017.08.018]</w:t>
      </w:r>
    </w:p>
    <w:p>
      <w:pPr>
        <w:pStyle w:val="5"/>
        <w:spacing w:before="0" w:beforeAutospacing="0" w:after="0" w:afterAutospacing="0" w:line="360" w:lineRule="auto"/>
        <w:jc w:val="both"/>
      </w:pPr>
      <w:r>
        <w:rPr>
          <w:rFonts w:ascii="Book Antiqua" w:hAnsi="Book Antiqua"/>
        </w:rPr>
        <w:t xml:space="preserve">19 </w:t>
      </w:r>
      <w:r>
        <w:rPr>
          <w:rFonts w:ascii="Book Antiqua" w:hAnsi="Book Antiqua"/>
          <w:b/>
          <w:bCs/>
        </w:rPr>
        <w:t>Guillaume A</w:t>
      </w:r>
      <w:r>
        <w:rPr>
          <w:rFonts w:ascii="Book Antiqua" w:hAnsi="Book Antiqua"/>
        </w:rPr>
        <w:t xml:space="preserve">, Pili-Floury S, Chocron S, Delabrousse E, De Parseval B, Koch S, Samain E, Capellier G, Piton G. Acute Mesenteric Ischemia Among Postcardiac Surgery Patients Presenting with Multiple Organ Failure. </w:t>
      </w:r>
      <w:r>
        <w:rPr>
          <w:rFonts w:ascii="Book Antiqua" w:hAnsi="Book Antiqua"/>
          <w:i/>
          <w:iCs/>
        </w:rPr>
        <w:t>Shock</w:t>
      </w:r>
      <w:r>
        <w:rPr>
          <w:rFonts w:ascii="Book Antiqua" w:hAnsi="Book Antiqua"/>
        </w:rPr>
        <w:t xml:space="preserve"> 2017; </w:t>
      </w:r>
      <w:r>
        <w:rPr>
          <w:rFonts w:ascii="Book Antiqua" w:hAnsi="Book Antiqua"/>
          <w:b/>
          <w:bCs/>
        </w:rPr>
        <w:t>47</w:t>
      </w:r>
      <w:r>
        <w:rPr>
          <w:rFonts w:ascii="Book Antiqua" w:hAnsi="Book Antiqua"/>
        </w:rPr>
        <w:t>: 296-302 [PMID: 28195969 DOI: 10.1097/SHK.0000000000000720]</w:t>
      </w:r>
    </w:p>
    <w:p>
      <w:pPr>
        <w:pStyle w:val="5"/>
        <w:spacing w:before="0" w:beforeAutospacing="0" w:after="0" w:afterAutospacing="0" w:line="360" w:lineRule="auto"/>
        <w:jc w:val="both"/>
      </w:pPr>
      <w:r>
        <w:rPr>
          <w:rFonts w:ascii="Book Antiqua" w:hAnsi="Book Antiqua"/>
        </w:rPr>
        <w:t xml:space="preserve">20 </w:t>
      </w:r>
      <w:r>
        <w:rPr>
          <w:rFonts w:ascii="Book Antiqua" w:hAnsi="Book Antiqua"/>
          <w:b/>
          <w:bCs/>
        </w:rPr>
        <w:t>Mothes H</w:t>
      </w:r>
      <w:r>
        <w:rPr>
          <w:rFonts w:ascii="Book Antiqua" w:hAnsi="Book Antiqua"/>
        </w:rPr>
        <w:t xml:space="preserve">, Koeppen J, Bayer O, Richter M, Kabisch B, Schwarzkopf D, Hein HA, Zanow J, Doenst T, Settmacher U. Acute mesenteric ischemia following cardiovascular surgery--A nested case-control study. </w:t>
      </w:r>
      <w:r>
        <w:rPr>
          <w:rFonts w:ascii="Book Antiqua" w:hAnsi="Book Antiqua"/>
          <w:i/>
          <w:iCs/>
        </w:rPr>
        <w:t>Int J Surg</w:t>
      </w:r>
      <w:r>
        <w:rPr>
          <w:rFonts w:ascii="Book Antiqua" w:hAnsi="Book Antiqua"/>
        </w:rPr>
        <w:t xml:space="preserve"> 2016; </w:t>
      </w:r>
      <w:r>
        <w:rPr>
          <w:rFonts w:ascii="Book Antiqua" w:hAnsi="Book Antiqua"/>
          <w:b/>
          <w:bCs/>
        </w:rPr>
        <w:t>26</w:t>
      </w:r>
      <w:r>
        <w:rPr>
          <w:rFonts w:ascii="Book Antiqua" w:hAnsi="Book Antiqua"/>
        </w:rPr>
        <w:t>: 79-85 [PMID: 26790973 DOI: 10.1016/j.ijsu.2015.12.066]</w:t>
      </w:r>
    </w:p>
    <w:p>
      <w:pPr>
        <w:spacing w:line="360" w:lineRule="auto"/>
        <w:jc w:val="both"/>
        <w:rPr>
          <w:rFonts w:ascii="Book Antiqua" w:hAnsi="Book Antiqua"/>
          <w:lang w:eastAsia="zh-CN"/>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consent was</w:t>
      </w:r>
      <w:r>
        <w:rPr>
          <w:rFonts w:hint="eastAsia" w:ascii="Book Antiqua" w:hAnsi="Book Antiqua" w:cs="Book Antiqua"/>
          <w:color w:val="000000"/>
          <w:lang w:eastAsia="zh-CN"/>
        </w:rPr>
        <w:t xml:space="preserve"> </w:t>
      </w:r>
      <w:r>
        <w:rPr>
          <w:rFonts w:ascii="Book Antiqua" w:hAnsi="Book Antiqua" w:eastAsia="Book Antiqua" w:cs="Book Antiqua"/>
          <w:color w:val="000000"/>
        </w:rPr>
        <w:t>obtained from the patient's son</w:t>
      </w:r>
      <w:r>
        <w:rPr>
          <w:rFonts w:hint="eastAsia" w:ascii="Book Antiqua" w:hAnsi="Book Antiqua" w:cs="Book Antiqua"/>
          <w:color w:val="000000"/>
          <w:lang w:eastAsia="zh-CN"/>
        </w:rPr>
        <w:t xml:space="preserve"> </w:t>
      </w:r>
      <w:r>
        <w:rPr>
          <w:rFonts w:ascii="Book Antiqua" w:hAnsi="Book Antiqua" w:eastAsia="Book Antiqua" w:cs="Book Antiqua"/>
          <w:color w:val="000000"/>
        </w:rPr>
        <w:t>for publication of the case report and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authors report no relevant conflicts of interest for this article.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May 23,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16,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24,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0" w:name="_Hlk71726650"/>
      <w:bookmarkStart w:id="1" w:name="OLE_LINK1952"/>
      <w:bookmarkStart w:id="2" w:name="OLE_LINK1953"/>
      <w:bookmarkStart w:id="3" w:name="OLE_LINK2066"/>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lang w:eastAsia="zh-CN"/>
        </w:rPr>
      </w:pPr>
      <w:r>
        <w:rPr>
          <w:rFonts w:ascii="Book Antiqua" w:hAnsi="Book Antiqua" w:eastAsia="Book Antiqua" w:cs="Book Antiqua"/>
          <w:color w:val="000000"/>
        </w:rPr>
        <w:t>Grade C (Good): C, C</w:t>
      </w:r>
      <w:r>
        <w:rPr>
          <w:rFonts w:hint="eastAsia" w:ascii="Book Antiqua" w:hAnsi="Book Antiqua" w:cs="Book Antiqua"/>
          <w:color w:val="000000"/>
          <w:lang w:eastAsia="zh-CN"/>
        </w:rPr>
        <w:t>,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Mestrovic A, Croatia; Popovic DD, Serbia</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Fan JR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bookmarkStart w:id="4" w:name="_GoBack"/>
      <w:r>
        <w:rPr>
          <w:rFonts w:ascii="Book Antiqua" w:hAnsi="Book Antiqua"/>
          <w:lang w:eastAsia="zh-CN"/>
        </w:rPr>
        <w:drawing>
          <wp:inline distT="0" distB="0" distL="114300" distR="114300">
            <wp:extent cx="2797810" cy="2233930"/>
            <wp:effectExtent l="0" t="0" r="6350" b="6350"/>
            <wp:docPr id="2" name="图片 2" descr="WJCC-10-1024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10244-g001"/>
                    <pic:cNvPicPr>
                      <a:picLocks noChangeAspect="1"/>
                    </pic:cNvPicPr>
                  </pic:nvPicPr>
                  <pic:blipFill>
                    <a:blip r:embed="rId5"/>
                    <a:stretch>
                      <a:fillRect/>
                    </a:stretch>
                  </pic:blipFill>
                  <pic:spPr>
                    <a:xfrm>
                      <a:off x="0" y="0"/>
                      <a:ext cx="2797810" cy="2233930"/>
                    </a:xfrm>
                    <a:prstGeom prst="rect">
                      <a:avLst/>
                    </a:prstGeom>
                  </pic:spPr>
                </pic:pic>
              </a:graphicData>
            </a:graphic>
          </wp:inline>
        </w:drawing>
      </w:r>
      <w:bookmarkEnd w:id="4"/>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Figure 1 Troponin level.</w:t>
      </w:r>
      <w:r>
        <w:rPr>
          <w:rFonts w:ascii="Book Antiqua" w:hAnsi="Book Antiqua" w:eastAsia="Book Antiqua" w:cs="Book Antiqua"/>
          <w:color w:val="000000"/>
        </w:rPr>
        <w:t xml:space="preserve"> The troponin level increased from 0.05 ng/mL to 3.92 ng/mL at admission.</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5016500" cy="2546350"/>
            <wp:effectExtent l="0" t="0" r="12700" b="13970"/>
            <wp:docPr id="3" name="图片 3" descr="WJCC-10-1024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244-g002"/>
                    <pic:cNvPicPr>
                      <a:picLocks noChangeAspect="1"/>
                    </pic:cNvPicPr>
                  </pic:nvPicPr>
                  <pic:blipFill>
                    <a:blip r:embed="rId6"/>
                    <a:stretch>
                      <a:fillRect/>
                    </a:stretch>
                  </pic:blipFill>
                  <pic:spPr>
                    <a:xfrm>
                      <a:off x="0" y="0"/>
                      <a:ext cx="5016500" cy="254635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2 </w:t>
      </w:r>
      <w:r>
        <w:rPr>
          <w:rFonts w:hint="eastAsia" w:ascii="Book Antiqua" w:hAnsi="Book Antiqua" w:cs="Book Antiqua"/>
          <w:b/>
          <w:color w:val="000000"/>
          <w:lang w:eastAsia="zh-CN"/>
        </w:rPr>
        <w:t>E</w:t>
      </w:r>
      <w:r>
        <w:rPr>
          <w:rFonts w:ascii="Book Antiqua" w:hAnsi="Book Antiqua" w:eastAsia="Book Antiqua" w:cs="Book Antiqua"/>
          <w:b/>
          <w:color w:val="000000"/>
        </w:rPr>
        <w:t>lectrocardiogram findings at different time points.</w:t>
      </w:r>
      <w:r>
        <w:rPr>
          <w:rFonts w:ascii="Book Antiqua" w:hAnsi="Book Antiqua" w:eastAsia="Book Antiqua" w:cs="Book Antiqua"/>
          <w:color w:val="000000"/>
        </w:rPr>
        <w:t xml:space="preserve"> The initial electrocardiogram (ECG) (November</w:t>
      </w:r>
      <w:r>
        <w:rPr>
          <w:rFonts w:hint="eastAsia" w:ascii="Book Antiqua" w:hAnsi="Book Antiqua" w:eastAsia="Book Antiqua" w:cs="Book Antiqua"/>
          <w:color w:val="000000"/>
        </w:rPr>
        <w:t xml:space="preserve"> 16, </w:t>
      </w:r>
      <w:r>
        <w:rPr>
          <w:rFonts w:ascii="Book Antiqua" w:hAnsi="Book Antiqua" w:eastAsia="Book Antiqua" w:cs="Book Antiqua"/>
          <w:color w:val="000000"/>
        </w:rPr>
        <w:t xml:space="preserve">2021, 22:39): </w:t>
      </w:r>
      <w:r>
        <w:rPr>
          <w:rFonts w:hint="eastAsia" w:ascii="Book Antiqua" w:hAnsi="Book Antiqua" w:eastAsia="Book Antiqua" w:cs="Book Antiqua"/>
          <w:color w:val="000000"/>
        </w:rPr>
        <w:t>S</w:t>
      </w:r>
      <w:r>
        <w:rPr>
          <w:rFonts w:ascii="Book Antiqua" w:hAnsi="Book Antiqua" w:eastAsia="Book Antiqua" w:cs="Book Antiqua"/>
          <w:color w:val="000000"/>
        </w:rPr>
        <w:t>inus rhythm, high and sharp T wave; R wave: V1-V4 progression was poor, V1 was Qr type. ECG (November</w:t>
      </w:r>
      <w:r>
        <w:rPr>
          <w:rFonts w:hint="eastAsia" w:ascii="Book Antiqua" w:hAnsi="Book Antiqua" w:eastAsia="Book Antiqua" w:cs="Book Antiqua"/>
          <w:color w:val="000000"/>
        </w:rPr>
        <w:t xml:space="preserve"> 1</w:t>
      </w:r>
      <w:r>
        <w:rPr>
          <w:rFonts w:hint="eastAsia" w:ascii="Book Antiqua" w:hAnsi="Book Antiqua" w:cs="Book Antiqua"/>
          <w:color w:val="000000"/>
          <w:lang w:eastAsia="zh-CN"/>
        </w:rPr>
        <w:t>7</w:t>
      </w:r>
      <w:r>
        <w:rPr>
          <w:rFonts w:hint="eastAsia" w:ascii="Book Antiqua" w:hAnsi="Book Antiqua" w:eastAsia="Book Antiqua" w:cs="Book Antiqua"/>
          <w:color w:val="000000"/>
        </w:rPr>
        <w:t xml:space="preserve">, </w:t>
      </w:r>
      <w:r>
        <w:rPr>
          <w:rFonts w:ascii="Book Antiqua" w:hAnsi="Book Antiqua" w:eastAsia="Book Antiqua" w:cs="Book Antiqua"/>
          <w:color w:val="000000"/>
        </w:rPr>
        <w:t xml:space="preserve">2021, 10:25): </w:t>
      </w:r>
      <w:r>
        <w:rPr>
          <w:rFonts w:hint="eastAsia" w:ascii="Book Antiqua" w:hAnsi="Book Antiqua" w:cs="Book Antiqua"/>
          <w:color w:val="000000"/>
          <w:lang w:eastAsia="zh-CN"/>
        </w:rPr>
        <w:t>S</w:t>
      </w:r>
      <w:r>
        <w:rPr>
          <w:rFonts w:ascii="Book Antiqua" w:hAnsi="Book Antiqua" w:eastAsia="Book Antiqua" w:cs="Book Antiqua"/>
          <w:color w:val="000000"/>
        </w:rPr>
        <w:t>inus tachycardia, paroxysmal atrial tachycardia, atrial fusion waves, and ST segment elevation in leads II, III, and avF was 0.10mV. ECGs (November</w:t>
      </w:r>
      <w:r>
        <w:rPr>
          <w:rFonts w:hint="eastAsia" w:ascii="Book Antiqua" w:hAnsi="Book Antiqua" w:eastAsia="Book Antiqua" w:cs="Book Antiqua"/>
          <w:color w:val="000000"/>
        </w:rPr>
        <w:t xml:space="preserve"> 1</w:t>
      </w:r>
      <w:r>
        <w:rPr>
          <w:rFonts w:hint="eastAsia" w:ascii="Book Antiqua" w:hAnsi="Book Antiqua" w:cs="Book Antiqua"/>
          <w:color w:val="000000"/>
          <w:lang w:eastAsia="zh-CN"/>
        </w:rPr>
        <w:t>7</w:t>
      </w:r>
      <w:r>
        <w:rPr>
          <w:rFonts w:hint="eastAsia" w:ascii="Book Antiqua" w:hAnsi="Book Antiqua" w:eastAsia="Book Antiqua" w:cs="Book Antiqua"/>
          <w:color w:val="000000"/>
        </w:rPr>
        <w:t xml:space="preserve">, </w:t>
      </w:r>
      <w:r>
        <w:rPr>
          <w:rFonts w:ascii="Book Antiqua" w:hAnsi="Book Antiqua" w:eastAsia="Book Antiqua" w:cs="Book Antiqua"/>
          <w:color w:val="000000"/>
        </w:rPr>
        <w:t>2021, 14:35 and 18:08) reported ST-segment elevation of II, III, and avF exceeding 0.05</w:t>
      </w:r>
      <w:r>
        <w:rPr>
          <w:rFonts w:hint="eastAsia" w:ascii="Book Antiqua" w:hAnsi="Book Antiqua" w:cs="Book Antiqua"/>
          <w:color w:val="000000"/>
          <w:lang w:eastAsia="zh-CN"/>
        </w:rPr>
        <w:t xml:space="preserve"> </w:t>
      </w:r>
      <w:r>
        <w:rPr>
          <w:rFonts w:ascii="Book Antiqua" w:hAnsi="Book Antiqua" w:eastAsia="Book Antiqua" w:cs="Book Antiqua"/>
          <w:color w:val="000000"/>
        </w:rPr>
        <w:t>mV.</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4878705" cy="2130425"/>
            <wp:effectExtent l="0" t="0" r="13335" b="3175"/>
            <wp:docPr id="4" name="图片 4" descr="WJCC-10-1024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244-g003"/>
                    <pic:cNvPicPr>
                      <a:picLocks noChangeAspect="1"/>
                    </pic:cNvPicPr>
                  </pic:nvPicPr>
                  <pic:blipFill>
                    <a:blip r:embed="rId7"/>
                    <a:stretch>
                      <a:fillRect/>
                    </a:stretch>
                  </pic:blipFill>
                  <pic:spPr>
                    <a:xfrm>
                      <a:off x="0" y="0"/>
                      <a:ext cx="4878705" cy="213042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Figure 3 Abdominal computed tomography findings.</w:t>
      </w:r>
      <w:r>
        <w:rPr>
          <w:rFonts w:hint="eastAsia" w:ascii="Book Antiqua" w:hAnsi="Book Antiqua" w:cs="Book Antiqua"/>
          <w:b/>
          <w:color w:val="000000"/>
          <w:lang w:eastAsia="zh-CN"/>
        </w:rPr>
        <w:t xml:space="preserve"> </w:t>
      </w:r>
      <w:r>
        <w:rPr>
          <w:rFonts w:ascii="Book Antiqua" w:hAnsi="Book Antiqua" w:eastAsia="Book Antiqua" w:cs="Book Antiqua"/>
          <w:color w:val="000000"/>
        </w:rPr>
        <w:t>Chest and abdominal computed tomography images of the patient at admission when the patient was admitted to the hospital (November</w:t>
      </w:r>
      <w:r>
        <w:rPr>
          <w:rFonts w:hint="eastAsia" w:ascii="Book Antiqua" w:hAnsi="Book Antiqua" w:eastAsia="Book Antiqua" w:cs="Book Antiqua"/>
          <w:color w:val="000000"/>
        </w:rPr>
        <w:t xml:space="preserve"> 16, </w:t>
      </w:r>
      <w:r>
        <w:rPr>
          <w:rFonts w:ascii="Book Antiqua" w:hAnsi="Book Antiqua" w:eastAsia="Book Antiqua" w:cs="Book Antiqua"/>
          <w:color w:val="000000"/>
        </w:rPr>
        <w:t>2021). A: The patient's aortic arch has markedly extensive calcification (red arrow); B: The patient's abdominal aorta has obvious calcification (red arrow indicates the opening of the superior mesenteric artery).</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5941060" cy="1958340"/>
            <wp:effectExtent l="0" t="0" r="2540" b="7620"/>
            <wp:docPr id="6" name="图片 6" descr="WJCC-10-1024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10244-g004"/>
                    <pic:cNvPicPr>
                      <a:picLocks noChangeAspect="1"/>
                    </pic:cNvPicPr>
                  </pic:nvPicPr>
                  <pic:blipFill>
                    <a:blip r:embed="rId8"/>
                    <a:stretch>
                      <a:fillRect/>
                    </a:stretch>
                  </pic:blipFill>
                  <pic:spPr>
                    <a:xfrm>
                      <a:off x="0" y="0"/>
                      <a:ext cx="5941060" cy="195834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Figure 4 Percutaneous coronary intervention findings.</w:t>
      </w:r>
      <w:r>
        <w:rPr>
          <w:rFonts w:hint="eastAsia" w:ascii="Book Antiqua" w:hAnsi="Book Antiqua" w:cs="Book Antiqua"/>
          <w:b/>
          <w:color w:val="000000"/>
          <w:lang w:eastAsia="zh-CN"/>
        </w:rPr>
        <w:t xml:space="preserve"> </w:t>
      </w:r>
      <w:r>
        <w:rPr>
          <w:rFonts w:ascii="Book Antiqua" w:hAnsi="Book Antiqua" w:eastAsia="Book Antiqua" w:cs="Book Antiqua"/>
          <w:color w:val="000000"/>
        </w:rPr>
        <w:t>No significant abnormalities were found in the left and right coronary arteries (November</w:t>
      </w:r>
      <w:r>
        <w:rPr>
          <w:rFonts w:hint="eastAsia" w:ascii="Book Antiqua" w:hAnsi="Book Antiqua" w:eastAsia="Book Antiqua" w:cs="Book Antiqua"/>
          <w:color w:val="000000"/>
        </w:rPr>
        <w:t xml:space="preserve"> 1</w:t>
      </w:r>
      <w:r>
        <w:rPr>
          <w:rFonts w:hint="eastAsia" w:ascii="Book Antiqua" w:hAnsi="Book Antiqua" w:cs="Book Antiqua"/>
          <w:color w:val="000000"/>
          <w:lang w:eastAsia="zh-CN"/>
        </w:rPr>
        <w:t>7</w:t>
      </w:r>
      <w:r>
        <w:rPr>
          <w:rFonts w:hint="eastAsia" w:ascii="Book Antiqua" w:hAnsi="Book Antiqua" w:eastAsia="Book Antiqua" w:cs="Book Antiqua"/>
          <w:color w:val="000000"/>
        </w:rPr>
        <w:t xml:space="preserve">, </w:t>
      </w:r>
      <w:r>
        <w:rPr>
          <w:rFonts w:ascii="Book Antiqua" w:hAnsi="Book Antiqua" w:eastAsia="Book Antiqua" w:cs="Book Antiqua"/>
          <w:color w:val="000000"/>
        </w:rPr>
        <w:t xml:space="preserve">2021). </w:t>
      </w:r>
      <w:r>
        <w:rPr>
          <w:rFonts w:hint="eastAsia" w:ascii="Book Antiqua" w:hAnsi="Book Antiqua" w:cs="Book Antiqua"/>
          <w:color w:val="000000"/>
          <w:lang w:eastAsia="zh-CN"/>
        </w:rPr>
        <w:t>A</w:t>
      </w:r>
      <w:r>
        <w:rPr>
          <w:rFonts w:ascii="Book Antiqua" w:hAnsi="Book Antiqua" w:eastAsia="Book Antiqua" w:cs="Book Antiqua"/>
          <w:color w:val="000000"/>
        </w:rPr>
        <w:t xml:space="preserve">: Left anterior descending coronary artery (red arrow); </w:t>
      </w:r>
      <w:r>
        <w:rPr>
          <w:rFonts w:hint="eastAsia" w:ascii="Book Antiqua" w:hAnsi="Book Antiqua" w:cs="Book Antiqua"/>
          <w:color w:val="000000"/>
          <w:lang w:eastAsia="zh-CN"/>
        </w:rPr>
        <w:t>B</w:t>
      </w:r>
      <w:r>
        <w:rPr>
          <w:rFonts w:ascii="Book Antiqua" w:hAnsi="Book Antiqua" w:eastAsia="Book Antiqua" w:cs="Book Antiqua"/>
          <w:color w:val="000000"/>
        </w:rPr>
        <w:t xml:space="preserve">: </w:t>
      </w:r>
      <w:r>
        <w:rPr>
          <w:rFonts w:hint="eastAsia" w:ascii="Book Antiqua" w:hAnsi="Book Antiqua" w:cs="Book Antiqua"/>
          <w:color w:val="000000"/>
          <w:lang w:eastAsia="zh-CN"/>
        </w:rPr>
        <w:t>L</w:t>
      </w:r>
      <w:r>
        <w:rPr>
          <w:rFonts w:ascii="Book Antiqua" w:hAnsi="Book Antiqua" w:eastAsia="Book Antiqua" w:cs="Book Antiqua"/>
          <w:color w:val="000000"/>
        </w:rPr>
        <w:t xml:space="preserve">eft circumflex coronary artery (red arrow); </w:t>
      </w:r>
      <w:r>
        <w:rPr>
          <w:rFonts w:hint="eastAsia" w:ascii="Book Antiqua" w:hAnsi="Book Antiqua" w:cs="Book Antiqua"/>
          <w:color w:val="000000"/>
          <w:lang w:eastAsia="zh-CN"/>
        </w:rPr>
        <w:t>C</w:t>
      </w:r>
      <w:r>
        <w:rPr>
          <w:rFonts w:ascii="Book Antiqua" w:hAnsi="Book Antiqua" w:eastAsia="Book Antiqua" w:cs="Book Antiqua"/>
          <w:color w:val="000000"/>
        </w:rPr>
        <w:t>: Right coronary artery (red arrow).</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4730750" cy="2167255"/>
            <wp:effectExtent l="0" t="0" r="8890" b="12065"/>
            <wp:docPr id="7" name="图片 7" descr="WJCC-10-10244-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0244-g005"/>
                    <pic:cNvPicPr>
                      <a:picLocks noChangeAspect="1"/>
                    </pic:cNvPicPr>
                  </pic:nvPicPr>
                  <pic:blipFill>
                    <a:blip r:embed="rId9"/>
                    <a:stretch>
                      <a:fillRect/>
                    </a:stretch>
                  </pic:blipFill>
                  <pic:spPr>
                    <a:xfrm>
                      <a:off x="0" y="0"/>
                      <a:ext cx="4730750" cy="216725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Figure 5 Abdominal computed tomography findings.</w:t>
      </w:r>
      <w:r>
        <w:rPr>
          <w:rFonts w:ascii="Book Antiqua" w:hAnsi="Book Antiqua" w:eastAsia="Book Antiqua" w:cs="Book Antiqua"/>
          <w:color w:val="000000"/>
        </w:rPr>
        <w:t xml:space="preserve"> Extensive gas and fluid in the small intestine, multiple liquid and gas plane shadows could be seen, and the gas was accumulated in the intestinal wall and the corresponding mesangial blood vessels of the hepatic portal system, suggesting the possibility of extensive necrosis of the intestinal wall. </w:t>
      </w:r>
      <w:r>
        <w:rPr>
          <w:rFonts w:hint="eastAsia" w:ascii="Book Antiqua" w:hAnsi="Book Antiqua" w:cs="Book Antiqua"/>
          <w:color w:val="000000"/>
          <w:lang w:eastAsia="zh-CN"/>
        </w:rPr>
        <w:t>A</w:t>
      </w:r>
      <w:r>
        <w:rPr>
          <w:rFonts w:ascii="Book Antiqua" w:hAnsi="Book Antiqua" w:eastAsia="Book Antiqua" w:cs="Book Antiqua"/>
          <w:color w:val="000000"/>
        </w:rPr>
        <w:t xml:space="preserve">: A lot of gas in the hepatic portal system; </w:t>
      </w:r>
      <w:r>
        <w:rPr>
          <w:rFonts w:hint="eastAsia" w:ascii="Book Antiqua" w:hAnsi="Book Antiqua" w:cs="Book Antiqua"/>
          <w:color w:val="000000"/>
          <w:lang w:eastAsia="zh-CN"/>
        </w:rPr>
        <w:t>B</w:t>
      </w:r>
      <w:r>
        <w:rPr>
          <w:rFonts w:ascii="Book Antiqua" w:hAnsi="Book Antiqua" w:eastAsia="Book Antiqua" w:cs="Book Antiqua"/>
          <w:color w:val="000000"/>
        </w:rPr>
        <w:t>: Extensive gas and fluid in the small intestine.</w:t>
      </w:r>
    </w:p>
    <w:p>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ascii="Book Antiqua" w:hAnsi="Book Antiqua" w:eastAsia="Book Antiqua" w:cs="Book Antiqua"/>
          <w:b/>
          <w:color w:val="000000"/>
        </w:rPr>
        <w:t>Table 1</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Summary of cases of </w:t>
      </w:r>
      <w:r>
        <w:rPr>
          <w:rFonts w:hint="eastAsia" w:ascii="Book Antiqua" w:hAnsi="Book Antiqua" w:cs="Book Antiqua"/>
          <w:b/>
          <w:color w:val="000000"/>
          <w:lang w:eastAsia="zh-CN"/>
        </w:rPr>
        <w:t>a</w:t>
      </w:r>
      <w:r>
        <w:rPr>
          <w:rFonts w:ascii="Book Antiqua" w:hAnsi="Book Antiqua" w:eastAsia="Book Antiqua" w:cs="Book Antiqua"/>
          <w:b/>
          <w:color w:val="000000"/>
        </w:rPr>
        <w:t>cute mesenteric ischemia</w:t>
      </w:r>
    </w:p>
    <w:tbl>
      <w:tblPr>
        <w:tblStyle w:val="6"/>
        <w:tblW w:w="11163"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8"/>
        <w:gridCol w:w="1277"/>
        <w:gridCol w:w="708"/>
        <w:gridCol w:w="1701"/>
        <w:gridCol w:w="1276"/>
        <w:gridCol w:w="4218"/>
        <w:gridCol w:w="136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18" w:type="dxa"/>
            <w:tcBorders>
              <w:top w:val="single" w:color="auto" w:sz="4" w:space="0"/>
              <w:bottom w:val="single" w:color="auto" w:sz="4" w:space="0"/>
            </w:tcBorders>
            <w:shd w:val="clear" w:color="auto" w:fill="auto"/>
          </w:tcPr>
          <w:p>
            <w:pPr>
              <w:spacing w:line="360" w:lineRule="auto"/>
              <w:jc w:val="both"/>
              <w:textAlignment w:val="top"/>
              <w:rPr>
                <w:rFonts w:ascii="Book Antiqua" w:hAnsi="Book Antiqua" w:cs="Book Antiqua"/>
                <w:b/>
                <w:color w:val="000000"/>
              </w:rPr>
            </w:pPr>
            <w:r>
              <w:rPr>
                <w:rFonts w:ascii="Book Antiqua" w:hAnsi="Book Antiqua" w:eastAsia="Book Antiqua" w:cs="Book Antiqua"/>
                <w:b/>
                <w:color w:val="000000"/>
                <w:lang w:eastAsia="zh-CN"/>
              </w:rPr>
              <w:t>No</w:t>
            </w:r>
            <w:r>
              <w:rPr>
                <w:rFonts w:hint="eastAsia" w:ascii="Book Antiqua" w:hAnsi="Book Antiqua" w:cs="Book Antiqua"/>
                <w:b/>
                <w:color w:val="000000"/>
                <w:lang w:eastAsia="zh-CN"/>
              </w:rPr>
              <w:t>.</w:t>
            </w:r>
          </w:p>
        </w:tc>
        <w:tc>
          <w:tcPr>
            <w:tcW w:w="1277" w:type="dxa"/>
            <w:tcBorders>
              <w:top w:val="single" w:color="auto" w:sz="4" w:space="0"/>
              <w:bottom w:val="single" w:color="auto" w:sz="4" w:space="0"/>
            </w:tcBorders>
            <w:shd w:val="clear" w:color="auto" w:fill="auto"/>
          </w:tcPr>
          <w:p>
            <w:pPr>
              <w:spacing w:line="360" w:lineRule="auto"/>
              <w:jc w:val="both"/>
              <w:textAlignment w:val="top"/>
              <w:rPr>
                <w:rFonts w:ascii="Book Antiqua" w:hAnsi="Book Antiqua" w:cs="Book Antiqua"/>
                <w:b/>
                <w:color w:val="000000"/>
              </w:rPr>
            </w:pPr>
            <w:r>
              <w:rPr>
                <w:rFonts w:ascii="Book Antiqua" w:hAnsi="Book Antiqua" w:eastAsia="Book Antiqua" w:cs="Book Antiqua"/>
                <w:b/>
                <w:color w:val="000000"/>
                <w:lang w:eastAsia="zh-CN"/>
              </w:rPr>
              <w:t>Ref</w:t>
            </w:r>
            <w:r>
              <w:rPr>
                <w:rFonts w:hint="eastAsia" w:ascii="Book Antiqua" w:hAnsi="Book Antiqua" w:cs="Book Antiqua"/>
                <w:b/>
                <w:color w:val="000000"/>
                <w:lang w:eastAsia="zh-CN"/>
              </w:rPr>
              <w:t>.</w:t>
            </w:r>
          </w:p>
        </w:tc>
        <w:tc>
          <w:tcPr>
            <w:tcW w:w="708" w:type="dxa"/>
            <w:tcBorders>
              <w:top w:val="single" w:color="auto" w:sz="4" w:space="0"/>
              <w:bottom w:val="single" w:color="auto" w:sz="4" w:space="0"/>
            </w:tcBorders>
            <w:shd w:val="clear" w:color="auto" w:fill="auto"/>
          </w:tcPr>
          <w:p>
            <w:pPr>
              <w:spacing w:line="360" w:lineRule="auto"/>
              <w:jc w:val="both"/>
              <w:textAlignment w:val="top"/>
              <w:rPr>
                <w:rFonts w:ascii="Book Antiqua" w:hAnsi="Book Antiqua" w:eastAsia="Book Antiqua" w:cs="Book Antiqua"/>
                <w:b/>
                <w:color w:val="000000"/>
              </w:rPr>
            </w:pPr>
            <w:r>
              <w:rPr>
                <w:rFonts w:ascii="Book Antiqua" w:hAnsi="Book Antiqua" w:eastAsia="Book Antiqua" w:cs="Book Antiqua"/>
                <w:b/>
                <w:color w:val="000000"/>
                <w:lang w:eastAsia="zh-CN"/>
              </w:rPr>
              <w:t>Year</w:t>
            </w:r>
          </w:p>
        </w:tc>
        <w:tc>
          <w:tcPr>
            <w:tcW w:w="1701" w:type="dxa"/>
            <w:tcBorders>
              <w:top w:val="single" w:color="auto" w:sz="4" w:space="0"/>
              <w:bottom w:val="single" w:color="auto" w:sz="4" w:space="0"/>
            </w:tcBorders>
            <w:shd w:val="clear" w:color="auto" w:fill="auto"/>
          </w:tcPr>
          <w:p>
            <w:pPr>
              <w:spacing w:line="360" w:lineRule="auto"/>
              <w:jc w:val="both"/>
              <w:textAlignment w:val="top"/>
              <w:rPr>
                <w:rFonts w:ascii="Book Antiqua" w:hAnsi="Book Antiqua" w:eastAsia="Book Antiqua" w:cs="Book Antiqua"/>
                <w:b/>
                <w:color w:val="000000"/>
              </w:rPr>
            </w:pPr>
            <w:r>
              <w:rPr>
                <w:rFonts w:ascii="Book Antiqua" w:hAnsi="Book Antiqua" w:eastAsia="Book Antiqua" w:cs="Book Antiqua"/>
                <w:b/>
                <w:color w:val="000000"/>
                <w:lang w:eastAsia="zh-CN"/>
              </w:rPr>
              <w:t xml:space="preserve">Type of </w:t>
            </w:r>
            <w:r>
              <w:rPr>
                <w:rFonts w:hint="eastAsia" w:ascii="Book Antiqua" w:hAnsi="Book Antiqua" w:cs="Book Antiqua"/>
                <w:b/>
                <w:color w:val="000000"/>
                <w:lang w:eastAsia="zh-CN"/>
              </w:rPr>
              <w:t>s</w:t>
            </w:r>
            <w:r>
              <w:rPr>
                <w:rFonts w:ascii="Book Antiqua" w:hAnsi="Book Antiqua" w:eastAsia="Book Antiqua" w:cs="Book Antiqua"/>
                <w:b/>
                <w:color w:val="000000"/>
                <w:lang w:eastAsia="zh-CN"/>
              </w:rPr>
              <w:t>tudy</w:t>
            </w:r>
          </w:p>
        </w:tc>
        <w:tc>
          <w:tcPr>
            <w:tcW w:w="1276" w:type="dxa"/>
            <w:tcBorders>
              <w:top w:val="single" w:color="auto" w:sz="4" w:space="0"/>
              <w:bottom w:val="single" w:color="auto" w:sz="4" w:space="0"/>
            </w:tcBorders>
            <w:shd w:val="clear" w:color="auto" w:fill="auto"/>
          </w:tcPr>
          <w:p>
            <w:pPr>
              <w:spacing w:line="360" w:lineRule="auto"/>
              <w:jc w:val="both"/>
              <w:textAlignment w:val="top"/>
              <w:rPr>
                <w:rFonts w:ascii="Book Antiqua" w:hAnsi="Book Antiqua" w:eastAsia="Book Antiqua" w:cs="Book Antiqua"/>
                <w:b/>
                <w:color w:val="000000"/>
              </w:rPr>
            </w:pPr>
            <w:r>
              <w:rPr>
                <w:rFonts w:ascii="Book Antiqua" w:hAnsi="Book Antiqua" w:eastAsia="Book Antiqua" w:cs="Book Antiqua"/>
                <w:b/>
                <w:color w:val="000000"/>
                <w:lang w:eastAsia="zh-CN"/>
              </w:rPr>
              <w:t>Number of cases</w:t>
            </w:r>
          </w:p>
        </w:tc>
        <w:tc>
          <w:tcPr>
            <w:tcW w:w="4218" w:type="dxa"/>
            <w:tcBorders>
              <w:top w:val="single" w:color="auto" w:sz="4" w:space="0"/>
              <w:bottom w:val="single" w:color="auto" w:sz="4" w:space="0"/>
            </w:tcBorders>
            <w:shd w:val="clear" w:color="auto" w:fill="auto"/>
          </w:tcPr>
          <w:p>
            <w:pPr>
              <w:spacing w:line="360" w:lineRule="auto"/>
              <w:jc w:val="both"/>
              <w:textAlignment w:val="top"/>
              <w:rPr>
                <w:rFonts w:ascii="Book Antiqua" w:hAnsi="Book Antiqua" w:eastAsia="Book Antiqua" w:cs="Book Antiqua"/>
                <w:b/>
                <w:color w:val="000000"/>
              </w:rPr>
            </w:pPr>
            <w:r>
              <w:rPr>
                <w:rFonts w:ascii="Book Antiqua" w:hAnsi="Book Antiqua" w:eastAsia="Book Antiqua" w:cs="Book Antiqua"/>
                <w:b/>
                <w:color w:val="000000"/>
                <w:lang w:eastAsia="zh-CN"/>
              </w:rPr>
              <w:t xml:space="preserve">Characteristics or </w:t>
            </w:r>
            <w:r>
              <w:rPr>
                <w:rFonts w:hint="eastAsia" w:ascii="Book Antiqua" w:hAnsi="Book Antiqua" w:cs="Book Antiqua"/>
                <w:b/>
                <w:color w:val="000000"/>
                <w:lang w:eastAsia="zh-CN"/>
              </w:rPr>
              <w:t>r</w:t>
            </w:r>
            <w:r>
              <w:rPr>
                <w:rFonts w:ascii="Book Antiqua" w:hAnsi="Book Antiqua" w:eastAsia="Book Antiqua" w:cs="Book Antiqua"/>
                <w:b/>
                <w:color w:val="000000"/>
                <w:lang w:eastAsia="zh-CN"/>
              </w:rPr>
              <w:t>isk factors</w:t>
            </w:r>
          </w:p>
        </w:tc>
        <w:tc>
          <w:tcPr>
            <w:tcW w:w="1365" w:type="dxa"/>
            <w:tcBorders>
              <w:top w:val="single" w:color="auto" w:sz="4" w:space="0"/>
              <w:bottom w:val="single" w:color="auto" w:sz="4" w:space="0"/>
            </w:tcBorders>
            <w:shd w:val="clear" w:color="auto" w:fill="auto"/>
          </w:tcPr>
          <w:p>
            <w:pPr>
              <w:spacing w:line="360" w:lineRule="auto"/>
              <w:jc w:val="both"/>
              <w:textAlignment w:val="top"/>
              <w:rPr>
                <w:rFonts w:ascii="Book Antiqua" w:hAnsi="Book Antiqua" w:eastAsia="Book Antiqua" w:cs="Book Antiqua"/>
                <w:b/>
                <w:color w:val="000000"/>
              </w:rPr>
            </w:pPr>
            <w:r>
              <w:rPr>
                <w:rFonts w:ascii="Book Antiqua" w:hAnsi="Book Antiqua" w:eastAsia="Book Antiqua" w:cs="Book Antiqua"/>
                <w:b/>
                <w:color w:val="000000"/>
                <w:lang w:eastAsia="zh-CN"/>
              </w:rPr>
              <w:t>Mortality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618" w:type="dxa"/>
            <w:tcBorders>
              <w:top w:val="single" w:color="auto" w:sz="4" w:space="0"/>
            </w:tcBorders>
            <w:shd w:val="clear" w:color="auto" w:fill="auto"/>
          </w:tcPr>
          <w:p>
            <w:pPr>
              <w:spacing w:line="360" w:lineRule="auto"/>
              <w:jc w:val="both"/>
              <w:textAlignment w:val="center"/>
              <w:rPr>
                <w:rFonts w:ascii="Book Antiqua" w:hAnsi="Book Antiqua" w:eastAsia="宋体" w:cs="宋体"/>
                <w:color w:val="000000"/>
              </w:rPr>
            </w:pPr>
            <w:r>
              <w:rPr>
                <w:rFonts w:ascii="Book Antiqua" w:hAnsi="Book Antiqua" w:eastAsia="宋体" w:cs="宋体"/>
                <w:color w:val="000000"/>
                <w:lang w:eastAsia="zh-CN"/>
              </w:rPr>
              <w:t>1</w:t>
            </w:r>
          </w:p>
        </w:tc>
        <w:tc>
          <w:tcPr>
            <w:tcW w:w="1277" w:type="dxa"/>
            <w:tcBorders>
              <w:top w:val="single" w:color="auto" w:sz="4" w:space="0"/>
            </w:tcBorders>
            <w:shd w:val="clear" w:color="auto" w:fill="auto"/>
          </w:tcPr>
          <w:p>
            <w:pPr>
              <w:spacing w:line="360" w:lineRule="auto"/>
              <w:jc w:val="both"/>
              <w:textAlignment w:val="center"/>
              <w:rPr>
                <w:rFonts w:ascii="Book Antiqua" w:hAnsi="Book Antiqua" w:eastAsia="Book Antiqua" w:cs="Book Antiqua"/>
              </w:rPr>
            </w:pPr>
            <w:r>
              <w:rPr>
                <w:rFonts w:ascii="Book Antiqua" w:hAnsi="Book Antiqua" w:eastAsia="Book Antiqua" w:cs="Book Antiqua"/>
                <w:bCs/>
                <w:color w:val="000000"/>
              </w:rPr>
              <w:t>Piton</w:t>
            </w:r>
            <w:r>
              <w:rPr>
                <w:rFonts w:hint="eastAsia" w:ascii="Book Antiqua" w:hAnsi="Book Antiqua" w:cs="Book Antiqua"/>
                <w:bCs/>
                <w:color w:val="000000"/>
                <w:lang w:eastAsia="zh-CN"/>
              </w:rPr>
              <w:t xml:space="preserve"> </w:t>
            </w:r>
            <w:r>
              <w:rPr>
                <w:rFonts w:ascii="Book Antiqua" w:hAnsi="Book Antiqua" w:eastAsia="Book Antiqua" w:cs="Book Antiqua"/>
                <w:i/>
              </w:rPr>
              <w:t>et al</w:t>
            </w:r>
            <w:r>
              <w:rPr>
                <w:rFonts w:ascii="Book Antiqua" w:hAnsi="Book Antiqua" w:eastAsia="Book Antiqua" w:cs="Book Antiqua"/>
                <w:vertAlign w:val="superscript"/>
              </w:rPr>
              <w:t>[1</w:t>
            </w:r>
            <w:r>
              <w:rPr>
                <w:rFonts w:hint="eastAsia" w:ascii="Book Antiqua" w:hAnsi="Book Antiqua" w:eastAsia="宋体" w:cs="Book Antiqua"/>
                <w:vertAlign w:val="superscript"/>
                <w:lang w:eastAsia="zh-CN"/>
              </w:rPr>
              <w:t>3</w:t>
            </w:r>
            <w:r>
              <w:rPr>
                <w:rFonts w:ascii="Book Antiqua" w:hAnsi="Book Antiqua" w:eastAsia="Book Antiqua" w:cs="Book Antiqua"/>
                <w:vertAlign w:val="superscript"/>
              </w:rPr>
              <w:t>]</w:t>
            </w:r>
          </w:p>
        </w:tc>
        <w:tc>
          <w:tcPr>
            <w:tcW w:w="708" w:type="dxa"/>
            <w:tcBorders>
              <w:top w:val="single" w:color="auto" w:sz="4" w:space="0"/>
            </w:tcBorders>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2022</w:t>
            </w:r>
          </w:p>
        </w:tc>
        <w:tc>
          <w:tcPr>
            <w:tcW w:w="1701" w:type="dxa"/>
            <w:tcBorders>
              <w:top w:val="single" w:color="auto" w:sz="4" w:space="0"/>
            </w:tcBorders>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Randomized controlled study</w:t>
            </w:r>
          </w:p>
        </w:tc>
        <w:tc>
          <w:tcPr>
            <w:tcW w:w="1276" w:type="dxa"/>
            <w:tcBorders>
              <w:top w:val="single" w:color="auto" w:sz="4" w:space="0"/>
            </w:tcBorders>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24</w:t>
            </w:r>
          </w:p>
        </w:tc>
        <w:tc>
          <w:tcPr>
            <w:tcW w:w="4218" w:type="dxa"/>
            <w:tcBorders>
              <w:top w:val="single" w:color="auto" w:sz="4" w:space="0"/>
            </w:tcBorders>
            <w:shd w:val="clear" w:color="auto" w:fill="auto"/>
          </w:tcPr>
          <w:p>
            <w:pPr>
              <w:spacing w:line="360" w:lineRule="auto"/>
              <w:jc w:val="both"/>
              <w:textAlignment w:val="center"/>
              <w:rPr>
                <w:rFonts w:ascii="Book Antiqua" w:hAnsi="Book Antiqua" w:cs="Book Antiqua"/>
                <w:color w:val="000000"/>
              </w:rPr>
            </w:pPr>
            <w:r>
              <w:rPr>
                <w:rFonts w:ascii="Book Antiqua" w:hAnsi="Book Antiqua" w:eastAsia="Book Antiqua" w:cs="Book Antiqua"/>
                <w:color w:val="000000"/>
                <w:lang w:eastAsia="zh-CN"/>
              </w:rPr>
              <w:t>EN, dobutamine use, SAPS II score ≥ 62 and hemoglobin ≤ 10.9 g/dL</w:t>
            </w:r>
          </w:p>
        </w:tc>
        <w:tc>
          <w:tcPr>
            <w:tcW w:w="1365" w:type="dxa"/>
            <w:tcBorders>
              <w:top w:val="single" w:color="auto" w:sz="4" w:space="0"/>
            </w:tcBorders>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618" w:type="dxa"/>
            <w:shd w:val="clear" w:color="auto" w:fill="auto"/>
          </w:tcPr>
          <w:p>
            <w:pPr>
              <w:spacing w:line="360" w:lineRule="auto"/>
              <w:jc w:val="both"/>
              <w:textAlignment w:val="center"/>
              <w:rPr>
                <w:rFonts w:ascii="Book Antiqua" w:hAnsi="Book Antiqua" w:eastAsia="宋体" w:cs="宋体"/>
                <w:color w:val="000000"/>
              </w:rPr>
            </w:pPr>
            <w:r>
              <w:rPr>
                <w:rFonts w:ascii="Book Antiqua" w:hAnsi="Book Antiqua" w:eastAsia="宋体" w:cs="宋体"/>
                <w:color w:val="000000"/>
                <w:lang w:eastAsia="zh-CN"/>
              </w:rPr>
              <w:t>2</w:t>
            </w:r>
          </w:p>
        </w:tc>
        <w:tc>
          <w:tcPr>
            <w:tcW w:w="1277" w:type="dxa"/>
            <w:shd w:val="clear" w:color="auto" w:fill="auto"/>
          </w:tcPr>
          <w:p>
            <w:pPr>
              <w:spacing w:line="360" w:lineRule="auto"/>
              <w:jc w:val="both"/>
              <w:textAlignment w:val="center"/>
              <w:rPr>
                <w:rFonts w:ascii="Book Antiqua" w:hAnsi="Book Antiqua" w:eastAsia="Book Antiqua" w:cs="Book Antiqua"/>
              </w:rPr>
            </w:pPr>
            <w:r>
              <w:rPr>
                <w:rFonts w:ascii="Book Antiqua" w:hAnsi="Book Antiqua" w:eastAsia="Book Antiqua" w:cs="Book Antiqua"/>
                <w:bCs/>
                <w:color w:val="000000"/>
              </w:rPr>
              <w:t>Del Val</w:t>
            </w:r>
            <w:r>
              <w:rPr>
                <w:rFonts w:hint="eastAsia" w:ascii="Book Antiqua" w:hAnsi="Book Antiqua" w:cs="Book Antiqua"/>
                <w:bCs/>
                <w:color w:val="000000"/>
                <w:lang w:eastAsia="zh-CN"/>
              </w:rPr>
              <w:t xml:space="preserve"> </w:t>
            </w:r>
            <w:r>
              <w:rPr>
                <w:rFonts w:ascii="Book Antiqua" w:hAnsi="Book Antiqua" w:eastAsia="Book Antiqua" w:cs="Book Antiqua"/>
                <w:i/>
              </w:rPr>
              <w:t>et al</w:t>
            </w:r>
            <w:r>
              <w:rPr>
                <w:rFonts w:ascii="Book Antiqua" w:hAnsi="Book Antiqua" w:eastAsia="Book Antiqua" w:cs="Book Antiqua"/>
                <w:vertAlign w:val="superscript"/>
              </w:rPr>
              <w:t>[1</w:t>
            </w:r>
            <w:r>
              <w:rPr>
                <w:rFonts w:hint="eastAsia" w:ascii="Book Antiqua" w:hAnsi="Book Antiqua" w:eastAsia="宋体" w:cs="Book Antiqua"/>
                <w:vertAlign w:val="superscript"/>
                <w:lang w:eastAsia="zh-CN"/>
              </w:rPr>
              <w:t>4</w:t>
            </w:r>
            <w:r>
              <w:rPr>
                <w:rFonts w:ascii="Book Antiqua" w:hAnsi="Book Antiqua" w:eastAsia="Book Antiqua" w:cs="Book Antiqua"/>
                <w:vertAlign w:val="superscript"/>
              </w:rPr>
              <w:t>]</w:t>
            </w:r>
          </w:p>
        </w:tc>
        <w:tc>
          <w:tcPr>
            <w:tcW w:w="708"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2021</w:t>
            </w:r>
          </w:p>
        </w:tc>
        <w:tc>
          <w:tcPr>
            <w:tcW w:w="1701"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Case report</w:t>
            </w:r>
          </w:p>
        </w:tc>
        <w:tc>
          <w:tcPr>
            <w:tcW w:w="1276"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1</w:t>
            </w:r>
          </w:p>
        </w:tc>
        <w:tc>
          <w:tcPr>
            <w:tcW w:w="4218" w:type="dxa"/>
            <w:shd w:val="clear" w:color="auto" w:fill="auto"/>
          </w:tcPr>
          <w:p>
            <w:pPr>
              <w:spacing w:line="360" w:lineRule="auto"/>
              <w:jc w:val="both"/>
              <w:textAlignment w:val="center"/>
              <w:rPr>
                <w:rFonts w:ascii="Book Antiqua" w:hAnsi="Book Antiqua" w:cs="Book Antiqua"/>
                <w:color w:val="000000"/>
              </w:rPr>
            </w:pPr>
            <w:r>
              <w:rPr>
                <w:rFonts w:ascii="Book Antiqua" w:hAnsi="Book Antiqua" w:eastAsia="Book Antiqua" w:cs="Book Antiqua"/>
                <w:color w:val="000000"/>
                <w:lang w:eastAsia="zh-CN"/>
              </w:rPr>
              <w:t>Transfemoral interventional therapy</w:t>
            </w:r>
            <w:r>
              <w:rPr>
                <w:rFonts w:hint="eastAsia" w:ascii="Book Antiqua" w:hAnsi="Book Antiqua" w:eastAsia="Book Antiqua" w:cs="Book Antiqua"/>
                <w:color w:val="000000"/>
                <w:lang w:eastAsia="zh-CN"/>
              </w:rPr>
              <w:t xml:space="preserve">, </w:t>
            </w:r>
            <w:r>
              <w:rPr>
                <w:rFonts w:ascii="Book Antiqua" w:hAnsi="Book Antiqua" w:eastAsia="Book Antiqua" w:cs="Book Antiqua"/>
                <w:color w:val="000000"/>
                <w:lang w:eastAsia="zh-CN"/>
              </w:rPr>
              <w:t>Vascular Calcification</w:t>
            </w:r>
          </w:p>
        </w:tc>
        <w:tc>
          <w:tcPr>
            <w:tcW w:w="1365"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618" w:type="dxa"/>
            <w:shd w:val="clear" w:color="auto" w:fill="auto"/>
          </w:tcPr>
          <w:p>
            <w:pPr>
              <w:spacing w:line="360" w:lineRule="auto"/>
              <w:jc w:val="both"/>
              <w:textAlignment w:val="center"/>
              <w:rPr>
                <w:rFonts w:ascii="Book Antiqua" w:hAnsi="Book Antiqua" w:eastAsia="宋体" w:cs="宋体"/>
                <w:color w:val="000000"/>
                <w:lang w:eastAsia="zh-CN"/>
              </w:rPr>
            </w:pPr>
            <w:r>
              <w:rPr>
                <w:rFonts w:ascii="Book Antiqua" w:hAnsi="Book Antiqua" w:eastAsia="宋体" w:cs="宋体"/>
                <w:color w:val="000000"/>
                <w:lang w:eastAsia="zh-CN"/>
              </w:rPr>
              <w:t>3</w:t>
            </w:r>
          </w:p>
        </w:tc>
        <w:tc>
          <w:tcPr>
            <w:tcW w:w="1277" w:type="dxa"/>
            <w:shd w:val="clear" w:color="auto" w:fill="auto"/>
          </w:tcPr>
          <w:p>
            <w:pPr>
              <w:spacing w:line="360" w:lineRule="auto"/>
              <w:jc w:val="both"/>
              <w:textAlignment w:val="center"/>
              <w:rPr>
                <w:rFonts w:ascii="Book Antiqua" w:hAnsi="Book Antiqua" w:eastAsia="Book Antiqua" w:cs="Book Antiqua"/>
                <w:color w:val="000000"/>
                <w:lang w:eastAsia="zh-CN"/>
              </w:rPr>
            </w:pPr>
            <w:r>
              <w:rPr>
                <w:rFonts w:ascii="Book Antiqua" w:hAnsi="Book Antiqua" w:eastAsia="Book Antiqua" w:cs="Book Antiqua"/>
                <w:color w:val="000000"/>
                <w:lang w:eastAsia="zh-CN"/>
              </w:rPr>
              <w:t>Lareyre</w:t>
            </w:r>
            <w:r>
              <w:rPr>
                <w:rFonts w:hint="eastAsia" w:ascii="Book Antiqua" w:hAnsi="Book Antiqua" w:cs="Book Antiqua"/>
                <w:color w:val="000000"/>
                <w:lang w:eastAsia="zh-CN"/>
              </w:rPr>
              <w:t xml:space="preserve"> </w:t>
            </w:r>
            <w:r>
              <w:rPr>
                <w:rFonts w:ascii="Book Antiqua" w:hAnsi="Book Antiqua" w:eastAsia="Book Antiqua" w:cs="Book Antiqua"/>
                <w:i/>
                <w:color w:val="000000"/>
                <w:lang w:eastAsia="zh-CN"/>
              </w:rPr>
              <w:t>et al</w:t>
            </w:r>
            <w:r>
              <w:rPr>
                <w:rStyle w:val="11"/>
                <w:sz w:val="24"/>
                <w:szCs w:val="24"/>
                <w:lang w:eastAsia="zh-CN"/>
              </w:rPr>
              <w:t>[1</w:t>
            </w:r>
            <w:r>
              <w:rPr>
                <w:rStyle w:val="11"/>
                <w:rFonts w:hint="eastAsia" w:eastAsiaTheme="minorEastAsia"/>
                <w:sz w:val="24"/>
                <w:szCs w:val="24"/>
                <w:lang w:eastAsia="zh-CN"/>
              </w:rPr>
              <w:t>5</w:t>
            </w:r>
            <w:r>
              <w:rPr>
                <w:rStyle w:val="11"/>
                <w:sz w:val="24"/>
                <w:szCs w:val="24"/>
                <w:lang w:eastAsia="zh-CN"/>
              </w:rPr>
              <w:t>]</w:t>
            </w:r>
          </w:p>
        </w:tc>
        <w:tc>
          <w:tcPr>
            <w:tcW w:w="708" w:type="dxa"/>
            <w:shd w:val="clear" w:color="auto" w:fill="auto"/>
          </w:tcPr>
          <w:p>
            <w:pPr>
              <w:spacing w:line="360" w:lineRule="auto"/>
              <w:jc w:val="both"/>
              <w:textAlignment w:val="center"/>
              <w:rPr>
                <w:rFonts w:ascii="Book Antiqua" w:hAnsi="Book Antiqua" w:eastAsia="Book Antiqua" w:cs="Book Antiqua"/>
                <w:color w:val="000000"/>
                <w:lang w:eastAsia="zh-CN"/>
              </w:rPr>
            </w:pPr>
            <w:r>
              <w:rPr>
                <w:rFonts w:ascii="Book Antiqua" w:hAnsi="Book Antiqua" w:eastAsia="Book Antiqua" w:cs="Book Antiqua"/>
                <w:color w:val="000000"/>
                <w:lang w:eastAsia="zh-CN"/>
              </w:rPr>
              <w:t>2021</w:t>
            </w:r>
          </w:p>
        </w:tc>
        <w:tc>
          <w:tcPr>
            <w:tcW w:w="1701" w:type="dxa"/>
            <w:shd w:val="clear" w:color="auto" w:fill="auto"/>
          </w:tcPr>
          <w:p>
            <w:pPr>
              <w:spacing w:line="360" w:lineRule="auto"/>
              <w:jc w:val="both"/>
              <w:textAlignment w:val="center"/>
              <w:rPr>
                <w:rFonts w:ascii="Book Antiqua" w:hAnsi="Book Antiqua" w:eastAsia="Book Antiqua" w:cs="Book Antiqua"/>
                <w:color w:val="000000"/>
                <w:lang w:eastAsia="zh-CN"/>
              </w:rPr>
            </w:pPr>
            <w:r>
              <w:rPr>
                <w:rFonts w:ascii="Book Antiqua" w:hAnsi="Book Antiqua" w:eastAsia="Book Antiqua" w:cs="Book Antiqua"/>
                <w:color w:val="000000"/>
                <w:lang w:eastAsia="zh-CN"/>
              </w:rPr>
              <w:t>Retrospective study</w:t>
            </w:r>
          </w:p>
        </w:tc>
        <w:tc>
          <w:tcPr>
            <w:tcW w:w="1276" w:type="dxa"/>
            <w:shd w:val="clear" w:color="auto" w:fill="auto"/>
          </w:tcPr>
          <w:p>
            <w:pPr>
              <w:spacing w:line="360" w:lineRule="auto"/>
              <w:jc w:val="both"/>
              <w:textAlignment w:val="center"/>
              <w:rPr>
                <w:rFonts w:ascii="Book Antiqua" w:hAnsi="Book Antiqua" w:eastAsia="Book Antiqua" w:cs="Book Antiqua"/>
                <w:color w:val="000000"/>
                <w:lang w:eastAsia="zh-CN"/>
              </w:rPr>
            </w:pPr>
            <w:r>
              <w:rPr>
                <w:rFonts w:ascii="Book Antiqua" w:hAnsi="Book Antiqua" w:eastAsia="Book Antiqua" w:cs="Book Antiqua"/>
                <w:color w:val="000000"/>
                <w:lang w:eastAsia="zh-CN"/>
              </w:rPr>
              <w:t>86</w:t>
            </w:r>
          </w:p>
        </w:tc>
        <w:tc>
          <w:tcPr>
            <w:tcW w:w="4218" w:type="dxa"/>
            <w:shd w:val="clear" w:color="auto" w:fill="auto"/>
          </w:tcPr>
          <w:p>
            <w:pPr>
              <w:spacing w:line="360" w:lineRule="auto"/>
              <w:jc w:val="both"/>
              <w:textAlignment w:val="center"/>
              <w:rPr>
                <w:rFonts w:ascii="Book Antiqua" w:hAnsi="Book Antiqua" w:cs="Book Antiqua"/>
                <w:color w:val="000000"/>
                <w:lang w:eastAsia="zh-CN"/>
              </w:rPr>
            </w:pPr>
            <w:r>
              <w:rPr>
                <w:rFonts w:ascii="Book Antiqua" w:hAnsi="Book Antiqua" w:eastAsia="Book Antiqua" w:cs="Book Antiqua"/>
                <w:color w:val="000000"/>
                <w:lang w:eastAsia="zh-CN"/>
              </w:rPr>
              <w:t>Vascular calcifications in the superior mesenteric artery</w:t>
            </w:r>
          </w:p>
        </w:tc>
        <w:tc>
          <w:tcPr>
            <w:tcW w:w="1365" w:type="dxa"/>
            <w:shd w:val="clear" w:color="auto" w:fill="auto"/>
          </w:tcPr>
          <w:p>
            <w:pPr>
              <w:spacing w:line="360" w:lineRule="auto"/>
              <w:jc w:val="both"/>
              <w:textAlignment w:val="center"/>
              <w:rPr>
                <w:rFonts w:ascii="Book Antiqua" w:hAnsi="Book Antiqua" w:eastAsia="Book Antiqua" w:cs="Book Antiqua"/>
                <w:color w:val="000000"/>
                <w:lang w:eastAsia="zh-CN"/>
              </w:rPr>
            </w:pPr>
            <w:r>
              <w:rPr>
                <w:rFonts w:ascii="Book Antiqua" w:hAnsi="Book Antiqua" w:eastAsia="Book Antiqua" w:cs="Book Antiqua"/>
                <w:color w:val="000000"/>
                <w:lang w:eastAsia="zh-CN"/>
              </w:rPr>
              <w:t>63.90%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18" w:type="dxa"/>
            <w:shd w:val="clear" w:color="auto" w:fill="auto"/>
          </w:tcPr>
          <w:p>
            <w:pPr>
              <w:spacing w:line="360" w:lineRule="auto"/>
              <w:jc w:val="both"/>
              <w:textAlignment w:val="center"/>
              <w:rPr>
                <w:rFonts w:ascii="Book Antiqua" w:hAnsi="Book Antiqua" w:eastAsia="宋体" w:cs="宋体"/>
                <w:color w:val="000000"/>
              </w:rPr>
            </w:pPr>
            <w:r>
              <w:rPr>
                <w:rFonts w:ascii="Book Antiqua" w:hAnsi="Book Antiqua" w:eastAsia="宋体" w:cs="宋体"/>
                <w:color w:val="000000"/>
                <w:lang w:eastAsia="zh-CN"/>
              </w:rPr>
              <w:t>4</w:t>
            </w:r>
          </w:p>
        </w:tc>
        <w:tc>
          <w:tcPr>
            <w:tcW w:w="1277"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 xml:space="preserve">Sun </w:t>
            </w:r>
            <w:r>
              <w:rPr>
                <w:rFonts w:ascii="Book Antiqua" w:hAnsi="Book Antiqua" w:eastAsia="Book Antiqua" w:cs="Book Antiqua"/>
                <w:i/>
                <w:color w:val="000000"/>
                <w:lang w:eastAsia="zh-CN"/>
              </w:rPr>
              <w:t>et al</w:t>
            </w:r>
            <w:r>
              <w:rPr>
                <w:rStyle w:val="11"/>
                <w:sz w:val="24"/>
                <w:szCs w:val="24"/>
                <w:lang w:eastAsia="zh-CN"/>
              </w:rPr>
              <w:t>[1</w:t>
            </w:r>
            <w:r>
              <w:rPr>
                <w:rStyle w:val="11"/>
                <w:rFonts w:hint="eastAsia" w:eastAsiaTheme="minorEastAsia"/>
                <w:sz w:val="24"/>
                <w:szCs w:val="24"/>
                <w:lang w:eastAsia="zh-CN"/>
              </w:rPr>
              <w:t>6</w:t>
            </w:r>
            <w:r>
              <w:rPr>
                <w:rStyle w:val="11"/>
                <w:sz w:val="24"/>
                <w:szCs w:val="24"/>
                <w:lang w:eastAsia="zh-CN"/>
              </w:rPr>
              <w:t>]</w:t>
            </w:r>
          </w:p>
        </w:tc>
        <w:tc>
          <w:tcPr>
            <w:tcW w:w="708"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2020</w:t>
            </w:r>
          </w:p>
        </w:tc>
        <w:tc>
          <w:tcPr>
            <w:tcW w:w="1701"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Retrospective study</w:t>
            </w:r>
          </w:p>
        </w:tc>
        <w:tc>
          <w:tcPr>
            <w:tcW w:w="1276"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58</w:t>
            </w:r>
          </w:p>
        </w:tc>
        <w:tc>
          <w:tcPr>
            <w:tcW w:w="4218" w:type="dxa"/>
            <w:shd w:val="clear" w:color="auto" w:fill="auto"/>
          </w:tcPr>
          <w:p>
            <w:pPr>
              <w:spacing w:line="360" w:lineRule="auto"/>
              <w:jc w:val="both"/>
              <w:textAlignment w:val="center"/>
              <w:rPr>
                <w:rFonts w:ascii="Book Antiqua" w:hAnsi="Book Antiqua" w:cs="Book Antiqua"/>
                <w:color w:val="000000"/>
              </w:rPr>
            </w:pPr>
            <w:r>
              <w:rPr>
                <w:rFonts w:ascii="Book Antiqua" w:hAnsi="Book Antiqua" w:eastAsia="Book Antiqua" w:cs="Book Antiqua"/>
                <w:color w:val="000000"/>
                <w:lang w:eastAsia="zh-CN"/>
              </w:rPr>
              <w:t>APACHE II score and leukocytosis</w:t>
            </w:r>
          </w:p>
        </w:tc>
        <w:tc>
          <w:tcPr>
            <w:tcW w:w="1365"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12.10%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5" w:hRule="atLeast"/>
          <w:jc w:val="center"/>
        </w:trPr>
        <w:tc>
          <w:tcPr>
            <w:tcW w:w="618" w:type="dxa"/>
            <w:shd w:val="clear" w:color="auto" w:fill="auto"/>
          </w:tcPr>
          <w:p>
            <w:pPr>
              <w:spacing w:line="360" w:lineRule="auto"/>
              <w:jc w:val="both"/>
              <w:textAlignment w:val="center"/>
              <w:rPr>
                <w:rFonts w:ascii="Book Antiqua" w:hAnsi="Book Antiqua" w:eastAsia="宋体" w:cs="宋体"/>
                <w:color w:val="000000"/>
              </w:rPr>
            </w:pPr>
            <w:r>
              <w:rPr>
                <w:rFonts w:ascii="Book Antiqua" w:hAnsi="Book Antiqua" w:eastAsia="宋体" w:cs="宋体"/>
                <w:color w:val="000000"/>
                <w:lang w:eastAsia="zh-CN"/>
              </w:rPr>
              <w:t>5</w:t>
            </w:r>
          </w:p>
        </w:tc>
        <w:tc>
          <w:tcPr>
            <w:tcW w:w="1277"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Renaudier</w:t>
            </w:r>
            <w:r>
              <w:rPr>
                <w:rFonts w:hint="eastAsia" w:ascii="Book Antiqua" w:hAnsi="Book Antiqua" w:cs="Book Antiqua"/>
                <w:color w:val="000000"/>
                <w:lang w:eastAsia="zh-CN"/>
              </w:rPr>
              <w:t xml:space="preserve"> </w:t>
            </w:r>
            <w:r>
              <w:rPr>
                <w:rFonts w:ascii="Book Antiqua" w:hAnsi="Book Antiqua" w:eastAsia="Book Antiqua" w:cs="Book Antiqua"/>
                <w:i/>
                <w:color w:val="000000"/>
                <w:lang w:eastAsia="zh-CN"/>
              </w:rPr>
              <w:t>et al</w:t>
            </w:r>
            <w:r>
              <w:rPr>
                <w:rStyle w:val="11"/>
                <w:sz w:val="24"/>
                <w:szCs w:val="24"/>
                <w:lang w:eastAsia="zh-CN"/>
              </w:rPr>
              <w:t>[1</w:t>
            </w:r>
            <w:r>
              <w:rPr>
                <w:rStyle w:val="11"/>
                <w:rFonts w:hint="eastAsia" w:eastAsiaTheme="minorEastAsia"/>
                <w:sz w:val="24"/>
                <w:szCs w:val="24"/>
                <w:lang w:eastAsia="zh-CN"/>
              </w:rPr>
              <w:t>7</w:t>
            </w:r>
            <w:r>
              <w:rPr>
                <w:rStyle w:val="11"/>
                <w:sz w:val="24"/>
                <w:szCs w:val="24"/>
                <w:lang w:eastAsia="zh-CN"/>
              </w:rPr>
              <w:t>]</w:t>
            </w:r>
          </w:p>
        </w:tc>
        <w:tc>
          <w:tcPr>
            <w:tcW w:w="708"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2020</w:t>
            </w:r>
          </w:p>
        </w:tc>
        <w:tc>
          <w:tcPr>
            <w:tcW w:w="1701"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Retrospective study</w:t>
            </w:r>
          </w:p>
        </w:tc>
        <w:tc>
          <w:tcPr>
            <w:tcW w:w="1276"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38</w:t>
            </w:r>
          </w:p>
        </w:tc>
        <w:tc>
          <w:tcPr>
            <w:tcW w:w="4218" w:type="dxa"/>
            <w:shd w:val="clear" w:color="auto" w:fill="auto"/>
          </w:tcPr>
          <w:p>
            <w:pPr>
              <w:spacing w:line="360" w:lineRule="auto"/>
              <w:jc w:val="both"/>
              <w:textAlignment w:val="center"/>
              <w:rPr>
                <w:rFonts w:ascii="Book Antiqua" w:hAnsi="Book Antiqua" w:cs="Book Antiqua"/>
                <w:color w:val="000000"/>
              </w:rPr>
            </w:pPr>
            <w:r>
              <w:rPr>
                <w:rFonts w:ascii="Book Antiqua" w:hAnsi="Book Antiqua" w:eastAsia="Book Antiqua" w:cs="Book Antiqua"/>
                <w:color w:val="000000"/>
                <w:lang w:eastAsia="zh-CN"/>
              </w:rPr>
              <w:t>Renal replacement therapy and onset of a second shock within the first five days</w:t>
            </w:r>
          </w:p>
        </w:tc>
        <w:tc>
          <w:tcPr>
            <w:tcW w:w="1365"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618" w:type="dxa"/>
            <w:shd w:val="clear" w:color="auto" w:fill="auto"/>
          </w:tcPr>
          <w:p>
            <w:pPr>
              <w:spacing w:line="360" w:lineRule="auto"/>
              <w:jc w:val="both"/>
              <w:textAlignment w:val="center"/>
              <w:rPr>
                <w:rFonts w:ascii="Book Antiqua" w:hAnsi="Book Antiqua" w:eastAsia="宋体" w:cs="宋体"/>
                <w:color w:val="000000"/>
              </w:rPr>
            </w:pPr>
            <w:r>
              <w:rPr>
                <w:rFonts w:ascii="Book Antiqua" w:hAnsi="Book Antiqua" w:eastAsia="宋体" w:cs="宋体"/>
                <w:color w:val="000000"/>
                <w:lang w:eastAsia="zh-CN"/>
              </w:rPr>
              <w:t>6</w:t>
            </w:r>
          </w:p>
        </w:tc>
        <w:tc>
          <w:tcPr>
            <w:tcW w:w="1277"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 xml:space="preserve">Deng </w:t>
            </w:r>
            <w:r>
              <w:rPr>
                <w:rFonts w:ascii="Book Antiqua" w:hAnsi="Book Antiqua" w:eastAsia="Book Antiqua" w:cs="Book Antiqua"/>
                <w:i/>
                <w:color w:val="000000"/>
                <w:lang w:eastAsia="zh-CN"/>
              </w:rPr>
              <w:t>et al</w:t>
            </w:r>
            <w:r>
              <w:rPr>
                <w:rStyle w:val="11"/>
                <w:sz w:val="24"/>
                <w:szCs w:val="24"/>
                <w:lang w:eastAsia="zh-CN"/>
              </w:rPr>
              <w:t>[1</w:t>
            </w:r>
            <w:r>
              <w:rPr>
                <w:rStyle w:val="11"/>
                <w:rFonts w:hint="eastAsia" w:eastAsiaTheme="minorEastAsia"/>
                <w:sz w:val="24"/>
                <w:szCs w:val="24"/>
                <w:lang w:eastAsia="zh-CN"/>
              </w:rPr>
              <w:t>8</w:t>
            </w:r>
            <w:r>
              <w:rPr>
                <w:rStyle w:val="11"/>
                <w:sz w:val="24"/>
                <w:szCs w:val="24"/>
                <w:lang w:eastAsia="zh-CN"/>
              </w:rPr>
              <w:t>]</w:t>
            </w:r>
          </w:p>
        </w:tc>
        <w:tc>
          <w:tcPr>
            <w:tcW w:w="708"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2017</w:t>
            </w:r>
          </w:p>
        </w:tc>
        <w:tc>
          <w:tcPr>
            <w:tcW w:w="1701"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Systematic review and meta-analysis</w:t>
            </w:r>
          </w:p>
        </w:tc>
        <w:tc>
          <w:tcPr>
            <w:tcW w:w="1276"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547</w:t>
            </w:r>
          </w:p>
        </w:tc>
        <w:tc>
          <w:tcPr>
            <w:tcW w:w="4218" w:type="dxa"/>
            <w:shd w:val="clear" w:color="auto" w:fill="auto"/>
          </w:tcPr>
          <w:p>
            <w:pPr>
              <w:spacing w:line="360" w:lineRule="auto"/>
              <w:jc w:val="both"/>
              <w:textAlignment w:val="center"/>
              <w:rPr>
                <w:rFonts w:ascii="Book Antiqua" w:hAnsi="Book Antiqua" w:cs="Book Antiqua"/>
                <w:color w:val="000000"/>
              </w:rPr>
            </w:pPr>
            <w:r>
              <w:rPr>
                <w:rFonts w:ascii="Book Antiqua" w:hAnsi="Book Antiqua" w:eastAsia="Book Antiqua" w:cs="Book Antiqua"/>
                <w:color w:val="000000"/>
                <w:lang w:eastAsia="zh-CN"/>
              </w:rPr>
              <w:t>Age, cardiac shock, peripheral vascular disease, emergency surgery, atrial fibrillation, CK-MB level, serum creatinine</w:t>
            </w:r>
            <w:r>
              <w:rPr>
                <w:rFonts w:hint="eastAsia" w:ascii="Book Antiqua" w:hAnsi="Book Antiqua" w:cs="Book Antiqua"/>
                <w:color w:val="000000"/>
                <w:lang w:eastAsia="zh-CN"/>
              </w:rPr>
              <w:t xml:space="preserve"> </w:t>
            </w:r>
            <w:r>
              <w:rPr>
                <w:rFonts w:ascii="Book Antiqua" w:hAnsi="Book Antiqua" w:eastAsia="Book Antiqua" w:cs="Book Antiqua"/>
                <w:color w:val="000000"/>
                <w:lang w:eastAsia="zh-CN"/>
              </w:rPr>
              <w:t>&gt;</w:t>
            </w:r>
            <w:r>
              <w:rPr>
                <w:rFonts w:hint="eastAsia" w:ascii="Book Antiqua" w:hAnsi="Book Antiqua" w:cs="Book Antiqua"/>
                <w:color w:val="000000"/>
                <w:lang w:eastAsia="zh-CN"/>
              </w:rPr>
              <w:t xml:space="preserve"> </w:t>
            </w:r>
            <w:r>
              <w:rPr>
                <w:rFonts w:ascii="Book Antiqua" w:hAnsi="Book Antiqua" w:eastAsia="Book Antiqua" w:cs="Book Antiqua"/>
                <w:color w:val="000000"/>
                <w:lang w:eastAsia="zh-CN"/>
              </w:rPr>
              <w:t>200</w:t>
            </w:r>
            <w:r>
              <w:rPr>
                <w:rFonts w:hint="eastAsia" w:ascii="Book Antiqua" w:hAnsi="Book Antiqua" w:cs="Book Antiqua"/>
                <w:color w:val="000000"/>
                <w:lang w:eastAsia="zh-CN"/>
              </w:rPr>
              <w:t xml:space="preserve"> </w:t>
            </w:r>
            <w:r>
              <w:rPr>
                <w:rFonts w:ascii="Book Antiqua" w:hAnsi="Book Antiqua" w:eastAsia="Book Antiqua" w:cs="Book Antiqua"/>
                <w:color w:val="000000"/>
                <w:lang w:eastAsia="zh-CN"/>
              </w:rPr>
              <w:t>μmol/L, blood loss, prolonged ventilation, need for IABP, inotropic treatment, blood transfusion, reoperation</w:t>
            </w:r>
          </w:p>
        </w:tc>
        <w:tc>
          <w:tcPr>
            <w:tcW w:w="1365"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66.7%-94%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618" w:type="dxa"/>
            <w:shd w:val="clear" w:color="auto" w:fill="auto"/>
          </w:tcPr>
          <w:p>
            <w:pPr>
              <w:spacing w:line="360" w:lineRule="auto"/>
              <w:jc w:val="both"/>
              <w:textAlignment w:val="center"/>
              <w:rPr>
                <w:rFonts w:ascii="Book Antiqua" w:hAnsi="Book Antiqua" w:eastAsia="宋体" w:cs="宋体"/>
                <w:color w:val="000000"/>
              </w:rPr>
            </w:pPr>
            <w:r>
              <w:rPr>
                <w:rFonts w:ascii="Book Antiqua" w:hAnsi="Book Antiqua" w:eastAsia="宋体" w:cs="宋体"/>
                <w:color w:val="000000"/>
                <w:lang w:eastAsia="zh-CN"/>
              </w:rPr>
              <w:t>7</w:t>
            </w:r>
          </w:p>
        </w:tc>
        <w:tc>
          <w:tcPr>
            <w:tcW w:w="1277"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 xml:space="preserve">Guillaume </w:t>
            </w:r>
            <w:r>
              <w:rPr>
                <w:rFonts w:ascii="Book Antiqua" w:hAnsi="Book Antiqua" w:eastAsia="Book Antiqua" w:cs="Book Antiqua"/>
                <w:i/>
                <w:color w:val="000000"/>
                <w:lang w:eastAsia="zh-CN"/>
              </w:rPr>
              <w:t>et al</w:t>
            </w:r>
            <w:r>
              <w:rPr>
                <w:rStyle w:val="11"/>
                <w:sz w:val="24"/>
                <w:szCs w:val="24"/>
                <w:lang w:eastAsia="zh-CN"/>
              </w:rPr>
              <w:t>[1</w:t>
            </w:r>
            <w:r>
              <w:rPr>
                <w:rStyle w:val="11"/>
                <w:rFonts w:hint="eastAsia" w:eastAsiaTheme="minorEastAsia"/>
                <w:sz w:val="24"/>
                <w:szCs w:val="24"/>
                <w:lang w:eastAsia="zh-CN"/>
              </w:rPr>
              <w:t>9</w:t>
            </w:r>
            <w:r>
              <w:rPr>
                <w:rStyle w:val="11"/>
                <w:sz w:val="24"/>
                <w:szCs w:val="24"/>
                <w:lang w:eastAsia="zh-CN"/>
              </w:rPr>
              <w:t>]</w:t>
            </w:r>
          </w:p>
        </w:tc>
        <w:tc>
          <w:tcPr>
            <w:tcW w:w="708"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2017</w:t>
            </w:r>
          </w:p>
        </w:tc>
        <w:tc>
          <w:tcPr>
            <w:tcW w:w="1701"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Retrospective observational study</w:t>
            </w:r>
          </w:p>
        </w:tc>
        <w:tc>
          <w:tcPr>
            <w:tcW w:w="1276"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33</w:t>
            </w:r>
          </w:p>
        </w:tc>
        <w:tc>
          <w:tcPr>
            <w:tcW w:w="4218" w:type="dxa"/>
            <w:shd w:val="clear" w:color="auto" w:fill="auto"/>
          </w:tcPr>
          <w:p>
            <w:pPr>
              <w:spacing w:line="360" w:lineRule="auto"/>
              <w:jc w:val="both"/>
              <w:textAlignment w:val="center"/>
              <w:rPr>
                <w:rFonts w:ascii="Book Antiqua" w:hAnsi="Book Antiqua" w:cs="Book Antiqua"/>
                <w:color w:val="000000"/>
              </w:rPr>
            </w:pPr>
            <w:r>
              <w:rPr>
                <w:rFonts w:ascii="Book Antiqua" w:hAnsi="Book Antiqua" w:eastAsia="Book Antiqua" w:cs="Book Antiqua"/>
                <w:color w:val="000000"/>
                <w:lang w:eastAsia="zh-CN"/>
              </w:rPr>
              <w:t>Coronary artery bypass graft, need for blood transfusion during cardiopulmonary bypass, aspartate aminotransferase at least 100 UI/L, and Simplified Acute Physiology Score II at least 50 at ICU admission</w:t>
            </w:r>
          </w:p>
        </w:tc>
        <w:tc>
          <w:tcPr>
            <w:tcW w:w="1365" w:type="dxa"/>
            <w:shd w:val="clear" w:color="auto" w:fill="auto"/>
          </w:tcPr>
          <w:p>
            <w:pPr>
              <w:spacing w:line="360" w:lineRule="auto"/>
              <w:jc w:val="both"/>
              <w:textAlignment w:val="center"/>
              <w:rPr>
                <w:rFonts w:ascii="Book Antiqua" w:hAnsi="Book Antiqua" w:eastAsia="Book Antiqua" w:cs="Book Antiqua"/>
                <w:color w:val="000000"/>
              </w:rPr>
            </w:pPr>
            <w:r>
              <w:rPr>
                <w:rFonts w:ascii="Book Antiqua" w:hAnsi="Book Antiqua" w:eastAsia="Book Antiqua" w:cs="Book Antiqua"/>
                <w:color w:val="000000"/>
                <w:lang w:eastAsia="zh-CN"/>
              </w:rPr>
              <w:t>64%-83%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jc w:val="center"/>
        </w:trPr>
        <w:tc>
          <w:tcPr>
            <w:tcW w:w="618" w:type="dxa"/>
            <w:shd w:val="clear" w:color="auto" w:fill="auto"/>
          </w:tcPr>
          <w:p>
            <w:pPr>
              <w:spacing w:line="360" w:lineRule="auto"/>
              <w:jc w:val="both"/>
              <w:textAlignment w:val="center"/>
              <w:rPr>
                <w:rFonts w:ascii="Book Antiqua" w:hAnsi="Book Antiqua" w:eastAsia="宋体" w:cs="宋体"/>
                <w:color w:val="000000"/>
                <w:lang w:eastAsia="zh-CN"/>
              </w:rPr>
            </w:pPr>
            <w:r>
              <w:rPr>
                <w:rFonts w:ascii="Book Antiqua" w:hAnsi="Book Antiqua" w:eastAsia="宋体" w:cs="宋体"/>
                <w:color w:val="000000"/>
                <w:lang w:eastAsia="zh-CN"/>
              </w:rPr>
              <w:t>8</w:t>
            </w:r>
          </w:p>
        </w:tc>
        <w:tc>
          <w:tcPr>
            <w:tcW w:w="1277" w:type="dxa"/>
            <w:shd w:val="clear" w:color="auto" w:fill="auto"/>
          </w:tcPr>
          <w:p>
            <w:pPr>
              <w:spacing w:line="360" w:lineRule="auto"/>
              <w:jc w:val="both"/>
              <w:textAlignment w:val="center"/>
              <w:rPr>
                <w:rFonts w:ascii="Book Antiqua" w:hAnsi="Book Antiqua" w:eastAsia="Book Antiqua" w:cs="Book Antiqua"/>
                <w:color w:val="000000"/>
                <w:lang w:eastAsia="zh-CN"/>
              </w:rPr>
            </w:pPr>
            <w:r>
              <w:rPr>
                <w:rFonts w:ascii="Book Antiqua" w:hAnsi="Book Antiqua" w:eastAsia="Book Antiqua" w:cs="Book Antiqua"/>
                <w:color w:val="000000"/>
                <w:lang w:eastAsia="zh-CN"/>
              </w:rPr>
              <w:t>Mothes</w:t>
            </w:r>
            <w:r>
              <w:rPr>
                <w:rFonts w:hint="eastAsia" w:ascii="Book Antiqua" w:hAnsi="Book Antiqua" w:cs="Book Antiqua"/>
                <w:color w:val="000000"/>
                <w:lang w:eastAsia="zh-CN"/>
              </w:rPr>
              <w:t xml:space="preserve"> </w:t>
            </w:r>
            <w:r>
              <w:rPr>
                <w:rFonts w:ascii="Book Antiqua" w:hAnsi="Book Antiqua" w:eastAsia="Book Antiqua" w:cs="Book Antiqua"/>
                <w:i/>
                <w:color w:val="000000"/>
                <w:lang w:eastAsia="zh-CN"/>
              </w:rPr>
              <w:t>et al</w:t>
            </w:r>
            <w:r>
              <w:rPr>
                <w:rStyle w:val="11"/>
                <w:sz w:val="24"/>
                <w:szCs w:val="24"/>
                <w:lang w:eastAsia="zh-CN"/>
              </w:rPr>
              <w:t>[</w:t>
            </w:r>
            <w:r>
              <w:rPr>
                <w:rStyle w:val="11"/>
                <w:rFonts w:hint="eastAsia" w:eastAsiaTheme="minorEastAsia"/>
                <w:sz w:val="24"/>
                <w:szCs w:val="24"/>
                <w:lang w:eastAsia="zh-CN"/>
              </w:rPr>
              <w:t>20</w:t>
            </w:r>
            <w:r>
              <w:rPr>
                <w:rStyle w:val="11"/>
                <w:sz w:val="24"/>
                <w:szCs w:val="24"/>
                <w:lang w:eastAsia="zh-CN"/>
              </w:rPr>
              <w:t>]</w:t>
            </w:r>
          </w:p>
        </w:tc>
        <w:tc>
          <w:tcPr>
            <w:tcW w:w="708" w:type="dxa"/>
            <w:shd w:val="clear" w:color="auto" w:fill="auto"/>
          </w:tcPr>
          <w:p>
            <w:pPr>
              <w:spacing w:line="360" w:lineRule="auto"/>
              <w:jc w:val="both"/>
              <w:textAlignment w:val="center"/>
              <w:rPr>
                <w:rFonts w:ascii="Book Antiqua" w:hAnsi="Book Antiqua" w:eastAsia="Book Antiqua" w:cs="Book Antiqua"/>
                <w:color w:val="000000"/>
                <w:lang w:eastAsia="zh-CN"/>
              </w:rPr>
            </w:pPr>
            <w:r>
              <w:rPr>
                <w:rFonts w:ascii="Book Antiqua" w:hAnsi="Book Antiqua" w:eastAsia="Book Antiqua" w:cs="Book Antiqua"/>
                <w:color w:val="000000"/>
                <w:lang w:eastAsia="zh-CN"/>
              </w:rPr>
              <w:t>2016</w:t>
            </w:r>
          </w:p>
        </w:tc>
        <w:tc>
          <w:tcPr>
            <w:tcW w:w="1701" w:type="dxa"/>
            <w:shd w:val="clear" w:color="auto" w:fill="auto"/>
          </w:tcPr>
          <w:p>
            <w:pPr>
              <w:spacing w:line="360" w:lineRule="auto"/>
              <w:jc w:val="both"/>
              <w:textAlignment w:val="center"/>
              <w:rPr>
                <w:rFonts w:ascii="Book Antiqua" w:hAnsi="Book Antiqua" w:eastAsia="Book Antiqua" w:cs="Book Antiqua"/>
                <w:color w:val="000000"/>
                <w:lang w:eastAsia="zh-CN"/>
              </w:rPr>
            </w:pPr>
            <w:r>
              <w:rPr>
                <w:rFonts w:ascii="Book Antiqua" w:hAnsi="Book Antiqua" w:eastAsia="Book Antiqua" w:cs="Book Antiqua"/>
                <w:color w:val="000000"/>
                <w:lang w:eastAsia="zh-CN"/>
              </w:rPr>
              <w:t>Retrospective case-control study</w:t>
            </w:r>
          </w:p>
        </w:tc>
        <w:tc>
          <w:tcPr>
            <w:tcW w:w="1276" w:type="dxa"/>
            <w:shd w:val="clear" w:color="auto" w:fill="auto"/>
          </w:tcPr>
          <w:p>
            <w:pPr>
              <w:spacing w:line="360" w:lineRule="auto"/>
              <w:jc w:val="both"/>
              <w:textAlignment w:val="center"/>
              <w:rPr>
                <w:rFonts w:ascii="Book Antiqua" w:hAnsi="Book Antiqua" w:eastAsia="Book Antiqua" w:cs="Book Antiqua"/>
                <w:color w:val="000000"/>
                <w:lang w:eastAsia="zh-CN"/>
              </w:rPr>
            </w:pPr>
            <w:r>
              <w:rPr>
                <w:rFonts w:ascii="Book Antiqua" w:hAnsi="Book Antiqua" w:eastAsia="Book Antiqua" w:cs="Book Antiqua"/>
                <w:color w:val="000000"/>
                <w:lang w:eastAsia="zh-CN"/>
              </w:rPr>
              <w:t>108</w:t>
            </w:r>
          </w:p>
        </w:tc>
        <w:tc>
          <w:tcPr>
            <w:tcW w:w="4218" w:type="dxa"/>
            <w:shd w:val="clear" w:color="auto" w:fill="auto"/>
          </w:tcPr>
          <w:p>
            <w:pPr>
              <w:spacing w:line="360" w:lineRule="auto"/>
              <w:jc w:val="both"/>
              <w:textAlignment w:val="center"/>
              <w:rPr>
                <w:rFonts w:ascii="Book Antiqua" w:hAnsi="Book Antiqua" w:cs="Book Antiqua"/>
                <w:color w:val="000000"/>
                <w:lang w:eastAsia="zh-CN"/>
              </w:rPr>
            </w:pPr>
            <w:r>
              <w:rPr>
                <w:rFonts w:ascii="Book Antiqua" w:hAnsi="Book Antiqua" w:eastAsia="Book Antiqua" w:cs="Book Antiqua"/>
                <w:color w:val="000000"/>
                <w:lang w:eastAsia="zh-CN"/>
              </w:rPr>
              <w:t>The use of norepinephrine, epinephrine, and serum lactate levels &gt;</w:t>
            </w:r>
            <w:r>
              <w:rPr>
                <w:rFonts w:hint="eastAsia" w:ascii="Book Antiqua" w:hAnsi="Book Antiqua" w:cs="Book Antiqua"/>
                <w:color w:val="000000"/>
                <w:lang w:eastAsia="zh-CN"/>
              </w:rPr>
              <w:t xml:space="preserve"> </w:t>
            </w:r>
            <w:r>
              <w:rPr>
                <w:rFonts w:ascii="Book Antiqua" w:hAnsi="Book Antiqua" w:eastAsia="Book Antiqua" w:cs="Book Antiqua"/>
                <w:color w:val="000000"/>
                <w:lang w:eastAsia="zh-CN"/>
              </w:rPr>
              <w:t>3 mmol/L</w:t>
            </w:r>
          </w:p>
        </w:tc>
        <w:tc>
          <w:tcPr>
            <w:tcW w:w="1365" w:type="dxa"/>
            <w:shd w:val="clear" w:color="auto" w:fill="auto"/>
          </w:tcPr>
          <w:p>
            <w:pPr>
              <w:spacing w:line="360" w:lineRule="auto"/>
              <w:jc w:val="both"/>
              <w:textAlignment w:val="center"/>
              <w:rPr>
                <w:rFonts w:ascii="Book Antiqua" w:hAnsi="Book Antiqua" w:eastAsia="Book Antiqua" w:cs="Book Antiqua"/>
                <w:color w:val="000000"/>
                <w:lang w:eastAsia="zh-CN"/>
              </w:rPr>
            </w:pPr>
            <w:r>
              <w:rPr>
                <w:rFonts w:ascii="Book Antiqua" w:hAnsi="Book Antiqua" w:eastAsia="Book Antiqua" w:cs="Book Antiqua"/>
                <w:color w:val="000000"/>
                <w:lang w:eastAsia="zh-CN"/>
              </w:rPr>
              <w:t>68%</w:t>
            </w:r>
          </w:p>
        </w:tc>
      </w:tr>
    </w:tbl>
    <w:p>
      <w:pPr>
        <w:spacing w:line="360" w:lineRule="auto"/>
        <w:jc w:val="both"/>
        <w:rPr>
          <w:rFonts w:hint="eastAsia" w:ascii="Book Antiqua" w:hAnsi="Book Antiqua"/>
          <w:lang w:eastAsia="zh-CN"/>
        </w:rPr>
        <w:sectPr>
          <w:pgSz w:w="12240" w:h="15840"/>
          <w:pgMar w:top="1440" w:right="1440" w:bottom="1440" w:left="1440" w:header="720" w:footer="720" w:gutter="0"/>
          <w:cols w:space="720" w:num="1"/>
          <w:docGrid w:linePitch="360" w:charSpace="0"/>
        </w:sectPr>
      </w:pPr>
      <w:r>
        <w:rPr>
          <w:rFonts w:hint="eastAsia" w:ascii="Book Antiqua" w:hAnsi="Book Antiqua"/>
          <w:lang w:eastAsia="zh-CN"/>
        </w:rPr>
        <w:t xml:space="preserve">ICU: </w:t>
      </w:r>
      <w:r>
        <w:rPr>
          <w:rFonts w:hint="eastAsia" w:ascii="Book Antiqua" w:hAnsi="Book Antiqua" w:cs="Book Antiqua"/>
          <w:color w:val="000000"/>
          <w:lang w:eastAsia="zh-CN"/>
        </w:rPr>
        <w:t>I</w:t>
      </w:r>
      <w:r>
        <w:rPr>
          <w:rFonts w:ascii="Book Antiqua" w:hAnsi="Book Antiqua" w:eastAsia="Book Antiqua" w:cs="Book Antiqua"/>
          <w:color w:val="000000"/>
        </w:rPr>
        <w:t>ntensive care unit</w:t>
      </w:r>
      <w:r>
        <w:rPr>
          <w:rFonts w:hint="eastAsia" w:ascii="Book Antiqua" w:hAnsi="Book Antiqua"/>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9282940"/>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21</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246A"/>
    <w:rsid w:val="00060AA1"/>
    <w:rsid w:val="000735FB"/>
    <w:rsid w:val="00091BE8"/>
    <w:rsid w:val="00094997"/>
    <w:rsid w:val="000A33FA"/>
    <w:rsid w:val="000B4CA1"/>
    <w:rsid w:val="000E1819"/>
    <w:rsid w:val="000F4BC2"/>
    <w:rsid w:val="00122C25"/>
    <w:rsid w:val="00153929"/>
    <w:rsid w:val="001C6735"/>
    <w:rsid w:val="001D0669"/>
    <w:rsid w:val="001D1711"/>
    <w:rsid w:val="0020379F"/>
    <w:rsid w:val="002B681C"/>
    <w:rsid w:val="002E3595"/>
    <w:rsid w:val="00342AC2"/>
    <w:rsid w:val="003612D9"/>
    <w:rsid w:val="003F3BEA"/>
    <w:rsid w:val="00417E8F"/>
    <w:rsid w:val="00421972"/>
    <w:rsid w:val="004330EA"/>
    <w:rsid w:val="00437087"/>
    <w:rsid w:val="0043736D"/>
    <w:rsid w:val="0046573B"/>
    <w:rsid w:val="004A7A6B"/>
    <w:rsid w:val="004F7F0C"/>
    <w:rsid w:val="00525336"/>
    <w:rsid w:val="005B377C"/>
    <w:rsid w:val="005D0070"/>
    <w:rsid w:val="005E7B8C"/>
    <w:rsid w:val="006103DB"/>
    <w:rsid w:val="00650B7B"/>
    <w:rsid w:val="0065791F"/>
    <w:rsid w:val="00662859"/>
    <w:rsid w:val="00671D9E"/>
    <w:rsid w:val="0069201C"/>
    <w:rsid w:val="006B48D8"/>
    <w:rsid w:val="006D168A"/>
    <w:rsid w:val="006F11E4"/>
    <w:rsid w:val="00710B46"/>
    <w:rsid w:val="007300E6"/>
    <w:rsid w:val="00737C4C"/>
    <w:rsid w:val="0074012E"/>
    <w:rsid w:val="00746431"/>
    <w:rsid w:val="007A5FFA"/>
    <w:rsid w:val="007B04C2"/>
    <w:rsid w:val="007B767B"/>
    <w:rsid w:val="007C7453"/>
    <w:rsid w:val="0081633E"/>
    <w:rsid w:val="0086039F"/>
    <w:rsid w:val="00885777"/>
    <w:rsid w:val="00887835"/>
    <w:rsid w:val="008A0E14"/>
    <w:rsid w:val="008C25B0"/>
    <w:rsid w:val="008D7CBE"/>
    <w:rsid w:val="00924B09"/>
    <w:rsid w:val="009313E1"/>
    <w:rsid w:val="009B593E"/>
    <w:rsid w:val="009B6379"/>
    <w:rsid w:val="009F2B0D"/>
    <w:rsid w:val="00A078BF"/>
    <w:rsid w:val="00A2539E"/>
    <w:rsid w:val="00A43008"/>
    <w:rsid w:val="00A47655"/>
    <w:rsid w:val="00A72498"/>
    <w:rsid w:val="00A77B3E"/>
    <w:rsid w:val="00B05216"/>
    <w:rsid w:val="00B4204F"/>
    <w:rsid w:val="00B5389A"/>
    <w:rsid w:val="00B61D6F"/>
    <w:rsid w:val="00B72ADE"/>
    <w:rsid w:val="00BF31AC"/>
    <w:rsid w:val="00C31C49"/>
    <w:rsid w:val="00C74B8F"/>
    <w:rsid w:val="00CA2A55"/>
    <w:rsid w:val="00D02FC9"/>
    <w:rsid w:val="00D117B2"/>
    <w:rsid w:val="00D22CAA"/>
    <w:rsid w:val="00D318F8"/>
    <w:rsid w:val="00D70252"/>
    <w:rsid w:val="00D9077A"/>
    <w:rsid w:val="00D96CC0"/>
    <w:rsid w:val="00DA4087"/>
    <w:rsid w:val="00DA48C5"/>
    <w:rsid w:val="00DC068F"/>
    <w:rsid w:val="00DC0A4C"/>
    <w:rsid w:val="00DE1B0A"/>
    <w:rsid w:val="00E426A5"/>
    <w:rsid w:val="00E44B47"/>
    <w:rsid w:val="00E65AB7"/>
    <w:rsid w:val="00EE7671"/>
    <w:rsid w:val="00F173FC"/>
    <w:rsid w:val="00F30D72"/>
    <w:rsid w:val="00F326E7"/>
    <w:rsid w:val="00F777BD"/>
    <w:rsid w:val="00F96576"/>
    <w:rsid w:val="1F522A58"/>
    <w:rsid w:val="399C72FA"/>
    <w:rsid w:val="4A6706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3"/>
    <w:uiPriority w:val="0"/>
    <w:rPr>
      <w:sz w:val="18"/>
      <w:szCs w:val="18"/>
    </w:rPr>
  </w:style>
  <w:style w:type="paragraph" w:styleId="3">
    <w:name w:val="footer"/>
    <w:basedOn w:val="1"/>
    <w:link w:val="10"/>
    <w:qFormat/>
    <w:uiPriority w:val="99"/>
    <w:pPr>
      <w:tabs>
        <w:tab w:val="center" w:pos="4153"/>
        <w:tab w:val="right" w:pos="8306"/>
      </w:tabs>
      <w:snapToGrid w:val="0"/>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rFonts w:ascii="宋体" w:hAnsi="宋体" w:eastAsia="宋体" w:cs="宋体"/>
      <w:lang w:eastAsia="zh-CN"/>
    </w:rPr>
  </w:style>
  <w:style w:type="character" w:styleId="8">
    <w:name w:val="Hyperlink"/>
    <w:basedOn w:val="7"/>
    <w:qFormat/>
    <w:uiPriority w:val="0"/>
    <w:rPr>
      <w:color w:val="0000FF"/>
      <w:u w:val="single"/>
    </w:rPr>
  </w:style>
  <w:style w:type="character" w:customStyle="1" w:styleId="9">
    <w:name w:val="页眉 字符"/>
    <w:basedOn w:val="7"/>
    <w:link w:val="4"/>
    <w:uiPriority w:val="0"/>
    <w:rPr>
      <w:sz w:val="18"/>
      <w:szCs w:val="18"/>
    </w:rPr>
  </w:style>
  <w:style w:type="character" w:customStyle="1" w:styleId="10">
    <w:name w:val="页脚 字符"/>
    <w:basedOn w:val="7"/>
    <w:link w:val="3"/>
    <w:qFormat/>
    <w:uiPriority w:val="99"/>
    <w:rPr>
      <w:sz w:val="18"/>
      <w:szCs w:val="18"/>
    </w:rPr>
  </w:style>
  <w:style w:type="character" w:customStyle="1" w:styleId="11">
    <w:name w:val="font01"/>
    <w:basedOn w:val="7"/>
    <w:qFormat/>
    <w:uiPriority w:val="0"/>
    <w:rPr>
      <w:rFonts w:hint="default" w:ascii="Book Antiqua" w:hAnsi="Book Antiqua" w:eastAsia="Book Antiqua" w:cs="Book Antiqua"/>
      <w:color w:val="000000"/>
      <w:sz w:val="21"/>
      <w:szCs w:val="21"/>
      <w:u w:val="none"/>
      <w:vertAlign w:val="superscript"/>
    </w:rPr>
  </w:style>
  <w:style w:type="character" w:customStyle="1" w:styleId="12">
    <w:name w:val="q4iawc"/>
    <w:basedOn w:val="7"/>
    <w:qFormat/>
    <w:uiPriority w:val="0"/>
  </w:style>
  <w:style w:type="character" w:customStyle="1" w:styleId="13">
    <w:name w:val="批注框文本 字符"/>
    <w:basedOn w:val="7"/>
    <w:link w:val="2"/>
    <w:qFormat/>
    <w:uiPriority w:val="0"/>
    <w:rPr>
      <w:sz w:val="18"/>
      <w:szCs w:val="18"/>
    </w:rPr>
  </w:style>
  <w:style w:type="paragraph" w:customStyle="1" w:styleId="14">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22</Pages>
  <Words>3901</Words>
  <Characters>22988</Characters>
  <Lines>188</Lines>
  <Paragraphs>53</Paragraphs>
  <TotalTime>8</TotalTime>
  <ScaleCrop>false</ScaleCrop>
  <LinksUpToDate>false</LinksUpToDate>
  <CharactersWithSpaces>26714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2022-08-24T07:22:00Z</dcterms:created>
  <dc:creator>lenovo</dc:creator>
  <cp:lastModifiedBy>晓晨</cp:lastModifiedBy>
  <dcterms:modified xsi:type="dcterms:W3CDTF">2022-09-27T09:31:38Z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59BFBE19EA19455FB1F1A708DF822F17</vt:lpwstr>
  </property>
</Properties>
</file>