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77442</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Randomized Controlled Trial</w:t>
      </w: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Comparison of involved-field intensity-modulated radiotherapy combined with S-1 </w:t>
      </w:r>
      <w:proofErr w:type="spellStart"/>
      <w:r>
        <w:rPr>
          <w:rFonts w:ascii="Book Antiqua" w:eastAsia="Book Antiqua" w:hAnsi="Book Antiqua" w:cs="Book Antiqua"/>
          <w:b/>
          <w:bCs/>
          <w:i/>
          <w:iCs/>
          <w:color w:val="000000"/>
        </w:rPr>
        <w:t>vs</w:t>
      </w:r>
      <w:proofErr w:type="spellEnd"/>
      <w:r>
        <w:rPr>
          <w:rFonts w:ascii="Book Antiqua" w:eastAsia="Book Antiqua" w:hAnsi="Book Antiqua" w:cs="Book Antiqua"/>
          <w:b/>
          <w:bCs/>
          <w:color w:val="000000"/>
        </w:rPr>
        <w:t xml:space="preserve"> radiotherapy alone for elderly patients with esophageal cancer</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Liu LH </w:t>
      </w:r>
      <w:r>
        <w:rPr>
          <w:rFonts w:ascii="Book Antiqua" w:eastAsia="Book Antiqua" w:hAnsi="Book Antiqua" w:cs="Book Antiqua"/>
          <w:i/>
          <w:iCs/>
          <w:color w:val="000000"/>
        </w:rPr>
        <w:t>et al</w:t>
      </w:r>
      <w:r>
        <w:rPr>
          <w:rFonts w:ascii="Book Antiqua" w:eastAsia="Book Antiqua" w:hAnsi="Book Antiqua" w:cs="Book Antiqua"/>
          <w:color w:val="000000"/>
        </w:rPr>
        <w:t>. RT for elderly patients with EC</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Li-</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Liu, Mao-</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Yan, Yu-</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Zhi-Guang</w:t>
      </w:r>
      <w:proofErr w:type="spellEnd"/>
      <w:r>
        <w:rPr>
          <w:rFonts w:ascii="Book Antiqua" w:eastAsia="Book Antiqua" w:hAnsi="Book Antiqua" w:cs="Book Antiqua"/>
          <w:color w:val="000000"/>
        </w:rPr>
        <w:t xml:space="preserve"> Fu, Xiao-Dan Zhang, Hong-Qi Li</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Li-</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 xml:space="preserve">Department of Radiotherapy, </w:t>
      </w:r>
      <w:proofErr w:type="spellStart"/>
      <w:r>
        <w:rPr>
          <w:rFonts w:ascii="Book Antiqua" w:eastAsia="Book Antiqua" w:hAnsi="Book Antiqua" w:cs="Book Antiqua"/>
          <w:color w:val="000000"/>
        </w:rPr>
        <w:t>Heze</w:t>
      </w:r>
      <w:proofErr w:type="spellEnd"/>
      <w:r>
        <w:rPr>
          <w:rFonts w:ascii="Book Antiqua" w:eastAsia="Book Antiqua" w:hAnsi="Book Antiqua" w:cs="Book Antiqua"/>
          <w:color w:val="000000"/>
        </w:rPr>
        <w:t xml:space="preserve"> Hospital of Traditional Chinese Medicine, </w:t>
      </w:r>
      <w:proofErr w:type="spellStart"/>
      <w:r>
        <w:rPr>
          <w:rFonts w:ascii="Book Antiqua" w:eastAsia="Book Antiqua" w:hAnsi="Book Antiqua" w:cs="Book Antiqua"/>
          <w:color w:val="000000"/>
        </w:rPr>
        <w:t>Heze</w:t>
      </w:r>
      <w:proofErr w:type="spellEnd"/>
      <w:r>
        <w:rPr>
          <w:rFonts w:ascii="Book Antiqua" w:eastAsia="Book Antiqua" w:hAnsi="Book Antiqua" w:cs="Book Antiqua"/>
          <w:color w:val="000000"/>
        </w:rPr>
        <w:t xml:space="preserve"> 274000, Shandong Province, China</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Mao-</w:t>
      </w:r>
      <w:proofErr w:type="spellStart"/>
      <w:r>
        <w:rPr>
          <w:rFonts w:ascii="Book Antiqua" w:eastAsia="Book Antiqua" w:hAnsi="Book Antiqua" w:cs="Book Antiqua"/>
          <w:b/>
          <w:bCs/>
          <w:color w:val="000000"/>
        </w:rPr>
        <w:t>Hui</w:t>
      </w:r>
      <w:proofErr w:type="spellEnd"/>
      <w:r>
        <w:rPr>
          <w:rFonts w:ascii="Book Antiqua" w:eastAsia="Book Antiqua" w:hAnsi="Book Antiqua" w:cs="Book Antiqua"/>
          <w:b/>
          <w:bCs/>
          <w:color w:val="000000"/>
        </w:rPr>
        <w:t xml:space="preserve"> Yan, Yu-</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Di, </w:t>
      </w:r>
      <w:proofErr w:type="spellStart"/>
      <w:r>
        <w:rPr>
          <w:rFonts w:ascii="Book Antiqua" w:eastAsia="Book Antiqua" w:hAnsi="Book Antiqua" w:cs="Book Antiqua"/>
          <w:b/>
          <w:bCs/>
          <w:color w:val="000000"/>
        </w:rPr>
        <w:t>Zhi-Guang</w:t>
      </w:r>
      <w:proofErr w:type="spellEnd"/>
      <w:r>
        <w:rPr>
          <w:rFonts w:ascii="Book Antiqua" w:eastAsia="Book Antiqua" w:hAnsi="Book Antiqua" w:cs="Book Antiqua"/>
          <w:b/>
          <w:bCs/>
          <w:color w:val="000000"/>
        </w:rPr>
        <w:t xml:space="preserve"> Fu, Xiao-Dan Zhang, Hong-Qi Li, </w:t>
      </w:r>
      <w:r>
        <w:rPr>
          <w:rFonts w:ascii="Book Antiqua" w:eastAsia="Book Antiqua" w:hAnsi="Book Antiqua" w:cs="Book Antiqua"/>
          <w:color w:val="000000"/>
        </w:rPr>
        <w:t>Department of Radiotherapy, Air Force Medical Center, Chinese People’s Liberation Army, Beijing 100142, China</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Yan MH and Liu LH contributed equally to this study; Yan MH, Liu LH and Li HQ </w:t>
      </w:r>
      <w:r>
        <w:rPr>
          <w:rFonts w:ascii="Book Antiqua" w:eastAsia="Book Antiqua" w:hAnsi="Book Antiqua" w:cs="Book Antiqua"/>
          <w:color w:val="000000"/>
          <w:shd w:val="clear" w:color="auto" w:fill="FFFFFF"/>
        </w:rPr>
        <w:t>designed the research study;</w:t>
      </w:r>
      <w:r>
        <w:rPr>
          <w:rFonts w:ascii="Book Antiqua" w:eastAsia="Book Antiqua" w:hAnsi="Book Antiqua" w:cs="Book Antiqua"/>
          <w:color w:val="000000"/>
        </w:rPr>
        <w:t xml:space="preserve"> Liu LH, Yan MH, Di YP, Fu ZG, Zhang XD and Li HQ </w:t>
      </w:r>
      <w:r>
        <w:rPr>
          <w:rFonts w:ascii="Book Antiqua" w:eastAsia="Book Antiqua" w:hAnsi="Book Antiqua" w:cs="Book Antiqua"/>
          <w:color w:val="000000"/>
          <w:shd w:val="clear" w:color="auto" w:fill="FFFFFF"/>
        </w:rPr>
        <w:t xml:space="preserve">performed the research; </w:t>
      </w:r>
      <w:r>
        <w:rPr>
          <w:rFonts w:ascii="Book Antiqua" w:eastAsia="Book Antiqua" w:hAnsi="Book Antiqua" w:cs="Book Antiqua"/>
          <w:color w:val="000000"/>
        </w:rPr>
        <w:t>Di YP</w:t>
      </w:r>
      <w:r>
        <w:rPr>
          <w:rFonts w:ascii="Book Antiqua" w:eastAsia="Book Antiqua" w:hAnsi="Book Antiqua" w:cs="Book Antiqua"/>
          <w:color w:val="000000"/>
          <w:shd w:val="clear" w:color="auto" w:fill="FFFFFF"/>
        </w:rPr>
        <w:t xml:space="preserve"> contributed new analytic tools; </w:t>
      </w:r>
      <w:r>
        <w:rPr>
          <w:rFonts w:ascii="Book Antiqua" w:eastAsia="Book Antiqua" w:hAnsi="Book Antiqua" w:cs="Book Antiqua"/>
          <w:color w:val="000000"/>
        </w:rPr>
        <w:t xml:space="preserve">Yan MH, Liu LH, Di YP and Li HQ </w:t>
      </w:r>
      <w:r>
        <w:rPr>
          <w:rFonts w:ascii="Book Antiqua" w:eastAsia="Book Antiqua" w:hAnsi="Book Antiqua" w:cs="Book Antiqua"/>
          <w:color w:val="000000"/>
          <w:shd w:val="clear" w:color="auto" w:fill="FFFFFF"/>
        </w:rPr>
        <w:t>analyzed the data and wrote the manuscript;</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all authors have read and approve the final manuscript.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Youth PhD Advancement Project of Air Force Medical Center</w:t>
      </w:r>
      <w:r>
        <w:rPr>
          <w:rFonts w:ascii="Book Antiqua" w:eastAsia="宋体" w:hAnsi="Book Antiqua" w:cs="宋体"/>
          <w:color w:val="000000"/>
          <w:lang w:eastAsia="zh-CN"/>
        </w:rPr>
        <w:t xml:space="preserve">, </w:t>
      </w:r>
      <w:r>
        <w:rPr>
          <w:rFonts w:ascii="Book Antiqua" w:eastAsia="Book Antiqua" w:hAnsi="Book Antiqua" w:cs="Book Antiqua"/>
          <w:color w:val="000000"/>
        </w:rPr>
        <w:t>PLA</w:t>
      </w:r>
      <w:r>
        <w:rPr>
          <w:rFonts w:ascii="Book Antiqua" w:eastAsia="Book Antiqua" w:hAnsi="Book Antiqua" w:cs="Book Antiqua"/>
          <w:color w:val="000000"/>
          <w:shd w:val="clear" w:color="auto" w:fill="FFFFFF"/>
        </w:rPr>
        <w:t xml:space="preserve">, No. </w:t>
      </w:r>
      <w:r>
        <w:rPr>
          <w:rFonts w:ascii="Book Antiqua" w:eastAsia="Book Antiqua" w:hAnsi="Book Antiqua" w:cs="Book Antiqua"/>
          <w:color w:val="000000"/>
        </w:rPr>
        <w:t>21ZT01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the Clinical Project of Air Force Medical Center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PLA</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No</w:t>
      </w:r>
      <w:proofErr w:type="gram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2021LC009</w:t>
      </w:r>
      <w:r>
        <w:rPr>
          <w:rFonts w:ascii="Book Antiqua" w:eastAsia="Book Antiqua" w:hAnsi="Book Antiqua" w:cs="Book Antiqua"/>
          <w:color w:val="000000"/>
          <w:shd w:val="clear" w:color="auto" w:fill="FFFFFF"/>
        </w:rPr>
        <w: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Hong-Qi Li, MD, Associate Chief Physician, </w:t>
      </w:r>
      <w:r>
        <w:rPr>
          <w:rFonts w:ascii="Book Antiqua" w:eastAsia="Book Antiqua" w:hAnsi="Book Antiqua" w:cs="Book Antiqua"/>
          <w:color w:val="000000"/>
        </w:rPr>
        <w:t xml:space="preserve">Department of Radiotherapy, Air Force Medical Center, Chinese People’s Liberation Army, No. 30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100142, China. fmmuli3786@163.com</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2022</w:t>
      </w: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5, 2022</w:t>
      </w: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
      <w:r>
        <w:rPr>
          <w:rFonts w:ascii="Book Antiqua" w:eastAsia="Book Antiqua" w:hAnsi="Book Antiqua" w:cs="Book Antiqua"/>
          <w:color w:val="000000"/>
        </w:rPr>
        <w:t>June 14, 2022</w:t>
      </w:r>
      <w:bookmarkEnd w:id="0"/>
    </w:p>
    <w:p w:rsidR="00816666" w:rsidRDefault="0051398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 xml:space="preserve">July </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6, 2022</w:t>
      </w:r>
    </w:p>
    <w:p w:rsidR="008C70A5" w:rsidRDefault="008C70A5">
      <w:pPr>
        <w:rPr>
          <w:rFonts w:ascii="Book Antiqua" w:eastAsia="Book Antiqua" w:hAnsi="Book Antiqua" w:cs="Book Antiqua"/>
          <w:b/>
          <w:bCs/>
          <w:color w:val="000000"/>
        </w:rPr>
      </w:pPr>
      <w:r>
        <w:rPr>
          <w:rFonts w:ascii="Book Antiqua" w:eastAsia="Book Antiqua" w:hAnsi="Book Antiqua" w:cs="Book Antiqua"/>
          <w:b/>
          <w:bCs/>
          <w:color w:val="000000"/>
        </w:rPr>
        <w:br w:type="page"/>
      </w:r>
    </w:p>
    <w:p w:rsidR="00816666" w:rsidRDefault="0051398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816666" w:rsidRDefault="00513980">
      <w:pPr>
        <w:spacing w:line="360" w:lineRule="auto"/>
        <w:jc w:val="both"/>
        <w:rPr>
          <w:rFonts w:ascii="Book Antiqua" w:hAnsi="Book Antiqua"/>
        </w:rPr>
      </w:pPr>
      <w:r>
        <w:rPr>
          <w:rFonts w:ascii="Book Antiqua" w:eastAsia="Book Antiqua" w:hAnsi="Book Antiqua" w:cs="Book Antiqua"/>
          <w:color w:val="000000"/>
        </w:rPr>
        <w:t>BACKGROUND</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It is estimated that about 30% of esophageal cancer (EC) patients are over 70 years old. Therefore, there is less evidence on the diagnosis and management of elderly EC patients. It is important to explore how elderly EC patients benefit from radical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regimens, including the target area of radiotherapy (RT), radiation dose and fraction, and choice of chemotherapy drugs.</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AIM</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To compare the efficacy of involved-field intensity-modulated RT (IF-IMRT) combined with S-1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in the treatment of elderly EC patients in terms of safety, short-term response, and survival.</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METHODS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Thirty-four EC patients aged &gt; 70 years were prospectively enrolled between December 2017 and December 2019. Based on the random number table, they were divided into an IF-IMRT + S-1 group and an IF-IMRT alone group, with 17 patients in each group. All patients were treated with IF-IMRT at a dose of 50.4-56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28-30 fractions (1.8-2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/fraction, </w:t>
      </w:r>
      <w:proofErr w:type="gramStart"/>
      <w:r>
        <w:rPr>
          <w:rFonts w:ascii="Book Antiqua" w:eastAsia="Book Antiqua" w:hAnsi="Book Antiqua" w:cs="Book Antiqua"/>
          <w:color w:val="000000"/>
        </w:rPr>
        <w:t>5 fractions/</w:t>
      </w:r>
      <w:proofErr w:type="spellStart"/>
      <w:r>
        <w:rPr>
          <w:rFonts w:ascii="Book Antiqua" w:eastAsia="Book Antiqua" w:hAnsi="Book Antiqua" w:cs="Book Antiqua"/>
          <w:color w:val="000000"/>
        </w:rPr>
        <w:t>wk</w:t>
      </w:r>
      <w:proofErr w:type="spellEnd"/>
      <w:proofErr w:type="gramEnd"/>
      <w:r>
        <w:rPr>
          <w:rFonts w:ascii="Book Antiqua" w:eastAsia="Book Antiqua" w:hAnsi="Book Antiqua" w:cs="Book Antiqua"/>
          <w:color w:val="000000"/>
        </w:rPr>
        <w:t>). Oral S-1 was administered concomitantly in the IF-IMRT + S-1 group for 14 consecutive days, and a second cycle was started 7 d after drug withdrawal. After RT, 4 cycles of S-1 treatment were offered as the consolidation chemotherapy. The safety, short-term response, and survival were observed after the treatment.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RESULTS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As of April 2022, these 34 patients had been followed up for 15.2-32.5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 a median follow-up period of 24.5 mo. Complete efficacy indicators were obtained from all the patients. The objective response rate was 88.2%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76.5%, respectively, in the IF-IMRT + S-1 group and the RT alone </w:t>
      </w:r>
      <w:proofErr w:type="gramStart"/>
      <w:r>
        <w:rPr>
          <w:rFonts w:ascii="Book Antiqua" w:eastAsia="Book Antiqua" w:hAnsi="Book Antiqua" w:cs="Book Antiqua"/>
          <w:color w:val="000000"/>
        </w:rPr>
        <w:t>group,</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where as</w:t>
      </w:r>
      <w:proofErr w:type="spellEnd"/>
      <w:r>
        <w:rPr>
          <w:rFonts w:ascii="Book Antiqua" w:eastAsia="Book Antiqua" w:hAnsi="Book Antiqua" w:cs="Book Antiqua"/>
          <w:color w:val="000000"/>
        </w:rPr>
        <w:t xml:space="preserve"> the disease control rate was 100% </w:t>
      </w:r>
      <w:proofErr w:type="spellStart"/>
      <w:r>
        <w:rPr>
          <w:rFonts w:ascii="Book Antiqua" w:eastAsia="Book Antiqua" w:hAnsi="Book Antiqua" w:cs="Book Antiqua"/>
          <w:i/>
          <w:iCs/>
          <w:color w:val="000000"/>
        </w:rPr>
        <w:lastRenderedPageBreak/>
        <w:t>vs</w:t>
      </w:r>
      <w:proofErr w:type="spellEnd"/>
      <w:r>
        <w:rPr>
          <w:rFonts w:ascii="Book Antiqua" w:eastAsia="Book Antiqua" w:hAnsi="Book Antiqua" w:cs="Book Antiqua"/>
          <w:color w:val="000000"/>
        </w:rPr>
        <w:t xml:space="preserve"> 82.4%, respectively. The incidence of adverse events including grade 1-2 fatigue, </w:t>
      </w:r>
      <w:proofErr w:type="spellStart"/>
      <w:r>
        <w:rPr>
          <w:rFonts w:ascii="Book Antiqua" w:eastAsia="Book Antiqua" w:hAnsi="Book Antiqua" w:cs="Book Antiqua"/>
          <w:color w:val="000000"/>
        </w:rPr>
        <w:t>granulocytopenia</w:t>
      </w:r>
      <w:proofErr w:type="spellEnd"/>
      <w:r>
        <w:rPr>
          <w:rFonts w:ascii="Book Antiqua" w:eastAsia="Book Antiqua" w:hAnsi="Book Antiqua" w:cs="Book Antiqua"/>
          <w:color w:val="000000"/>
        </w:rPr>
        <w:t xml:space="preserve">, thrombocytopenia, anemia, radiation esophagitis, radiation-induced skin injury, and radiation-induced lung injury was not significantly different between these two groups, so was the incidence of the grade 3 radiation esophagitis (0%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5.7%). The rate of progressive disease (PD) was 52.9% (</w:t>
      </w:r>
      <w:r>
        <w:rPr>
          <w:rFonts w:ascii="Book Antiqua" w:eastAsia="Book Antiqua" w:hAnsi="Book Antiqua" w:cs="Book Antiqua"/>
          <w:i/>
          <w:iCs/>
          <w:color w:val="000000"/>
        </w:rPr>
        <w:t>n</w:t>
      </w:r>
      <w:r>
        <w:rPr>
          <w:rFonts w:ascii="Book Antiqua" w:eastAsia="Book Antiqua" w:hAnsi="Book Antiqua" w:cs="Book Antiqua"/>
          <w:color w:val="000000"/>
        </w:rPr>
        <w:t xml:space="preserve"> = 9) in the IF-IMRT + S-1 group and 64.7% (</w:t>
      </w:r>
      <w:r>
        <w:rPr>
          <w:rFonts w:ascii="Book Antiqua" w:eastAsia="Book Antiqua" w:hAnsi="Book Antiqua" w:cs="Book Antiqua"/>
          <w:i/>
          <w:iCs/>
          <w:color w:val="000000"/>
        </w:rPr>
        <w:t>n</w:t>
      </w:r>
      <w:r>
        <w:rPr>
          <w:rFonts w:ascii="Book Antiqua" w:eastAsia="Book Antiqua" w:hAnsi="Book Antiqua" w:cs="Book Antiqua"/>
          <w:color w:val="000000"/>
        </w:rPr>
        <w:t xml:space="preserve"> = 11) in the RT alone group. The median progression-free survival (PFS) was 23.4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PFS rate was 42%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41.2%. The median overall survival (OS) was 27.0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OS rate was 58.8%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47.1%. Multivariate analysis showed that age was a significant prognostic factor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0.0019); patients aged &lt; 75 years had a significant survival advantage over patients aged ≥ 75 years. The locations of EC also affected the prognosis. In the IF-IMRT + S-1 group, the number of chemotherapy cycles was a significant prognostic factor (</w:t>
      </w:r>
      <w:r>
        <w:rPr>
          <w:rFonts w:ascii="Book Antiqua" w:eastAsia="Book Antiqua" w:hAnsi="Book Antiqua" w:cs="Book Antiqua"/>
          <w:i/>
          <w:iCs/>
          <w:color w:val="000000"/>
        </w:rPr>
        <w:t>P</w:t>
      </w:r>
      <w:r>
        <w:rPr>
          <w:rFonts w:ascii="Book Antiqua" w:eastAsia="Book Antiqua" w:hAnsi="Book Antiqua" w:cs="Book Antiqua"/>
          <w:color w:val="000000"/>
        </w:rPr>
        <w:t xml:space="preserve"> = 0.0125), and the risk of PD was significantly lower in EC patients who had received 6 cycles of chemotherapy than those who had received 2-5 cycles of chemotherapy.</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color w:val="000000"/>
        </w:rPr>
        <w:t>CONCLUSION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Compared with IF-IMRT alone, IF-IMRT + S-1 </w:t>
      </w:r>
      <w:proofErr w:type="gramStart"/>
      <w:r>
        <w:rPr>
          <w:rFonts w:ascii="Book Antiqua" w:eastAsia="Book Antiqua" w:hAnsi="Book Antiqua" w:cs="Book Antiqua"/>
          <w:color w:val="000000"/>
        </w:rPr>
        <w:t>shows</w:t>
      </w:r>
      <w:proofErr w:type="gramEnd"/>
      <w:r>
        <w:rPr>
          <w:rFonts w:ascii="Book Antiqua" w:eastAsia="Book Antiqua" w:hAnsi="Book Antiqua" w:cs="Book Antiqua"/>
          <w:color w:val="000000"/>
        </w:rPr>
        <w:t xml:space="preserve"> the benefits of preventing PD and prolonging survival without increasing adverse reactions. Therefore, this concurrent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deserves clinical application.</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Elderly patients; </w:t>
      </w:r>
      <w:proofErr w:type="gramStart"/>
      <w:r>
        <w:rPr>
          <w:rFonts w:ascii="Book Antiqua" w:eastAsia="Book Antiqua" w:hAnsi="Book Antiqua" w:cs="Book Antiqua"/>
          <w:color w:val="000000"/>
        </w:rPr>
        <w:t>Esophageal</w:t>
      </w:r>
      <w:proofErr w:type="gramEnd"/>
      <w:r>
        <w:rPr>
          <w:rFonts w:ascii="Book Antiqua" w:eastAsia="Book Antiqua" w:hAnsi="Book Antiqua" w:cs="Book Antiqua"/>
          <w:color w:val="000000"/>
        </w:rPr>
        <w:t xml:space="preserve"> cancer; Involved-field radiation therapy; S-1; Chemotherapy</w:t>
      </w:r>
    </w:p>
    <w:p w:rsidR="00816666" w:rsidRDefault="00816666">
      <w:pPr>
        <w:spacing w:line="360" w:lineRule="auto"/>
        <w:jc w:val="both"/>
        <w:rPr>
          <w:rFonts w:ascii="Book Antiqua" w:hAnsi="Book Antiqua"/>
          <w:lang w:eastAsia="zh-CN"/>
        </w:rPr>
      </w:pPr>
    </w:p>
    <w:p w:rsidR="008C70A5" w:rsidRPr="00026CB8" w:rsidRDefault="008C70A5" w:rsidP="008C70A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8C70A5" w:rsidRDefault="008C70A5">
      <w:pPr>
        <w:spacing w:line="360" w:lineRule="auto"/>
        <w:jc w:val="both"/>
        <w:rPr>
          <w:rFonts w:ascii="Book Antiqua" w:hAnsi="Book Antiqua"/>
          <w:lang w:eastAsia="zh-CN"/>
        </w:rPr>
      </w:pPr>
    </w:p>
    <w:p w:rsidR="008C70A5" w:rsidRPr="00BC60CD" w:rsidRDefault="008C70A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513980">
        <w:rPr>
          <w:rFonts w:ascii="Book Antiqua" w:eastAsia="Book Antiqua" w:hAnsi="Book Antiqua" w:cs="Book Antiqua"/>
          <w:color w:val="000000"/>
        </w:rPr>
        <w:t xml:space="preserve">Liu LH, Yan MH, Di YP, Fu ZG, Zhang XD, Li HQ. Comparison of involved-field intensity-modulated radiotherapy combined with S-1 </w:t>
      </w:r>
      <w:proofErr w:type="spellStart"/>
      <w:r w:rsidR="00513980">
        <w:rPr>
          <w:rFonts w:ascii="Book Antiqua" w:eastAsia="Book Antiqua" w:hAnsi="Book Antiqua" w:cs="Book Antiqua"/>
          <w:i/>
          <w:iCs/>
          <w:color w:val="000000"/>
        </w:rPr>
        <w:t>vs</w:t>
      </w:r>
      <w:proofErr w:type="spellEnd"/>
      <w:r w:rsidR="00513980">
        <w:rPr>
          <w:rFonts w:ascii="Book Antiqua" w:eastAsia="Book Antiqua" w:hAnsi="Book Antiqua" w:cs="Book Antiqua"/>
          <w:color w:val="000000"/>
        </w:rPr>
        <w:t xml:space="preserve"> radiotherapy alone for elderly patients with esophageal cancer. </w:t>
      </w:r>
      <w:r w:rsidR="00513980">
        <w:rPr>
          <w:rFonts w:ascii="Book Antiqua" w:eastAsia="Book Antiqua" w:hAnsi="Book Antiqua" w:cs="Book Antiqua"/>
          <w:i/>
          <w:iCs/>
          <w:color w:val="000000"/>
        </w:rPr>
        <w:t xml:space="preserve">World J </w:t>
      </w:r>
      <w:proofErr w:type="spellStart"/>
      <w:r w:rsidR="00513980">
        <w:rPr>
          <w:rFonts w:ascii="Book Antiqua" w:eastAsia="Book Antiqua" w:hAnsi="Book Antiqua" w:cs="Book Antiqua"/>
          <w:i/>
          <w:iCs/>
          <w:color w:val="000000"/>
        </w:rPr>
        <w:t>Clin</w:t>
      </w:r>
      <w:proofErr w:type="spellEnd"/>
      <w:r w:rsidR="00513980">
        <w:rPr>
          <w:rFonts w:ascii="Book Antiqua" w:eastAsia="Book Antiqua" w:hAnsi="Book Antiqua" w:cs="Book Antiqua"/>
          <w:i/>
          <w:iCs/>
          <w:color w:val="000000"/>
        </w:rPr>
        <w:t xml:space="preserve"> Cases</w:t>
      </w:r>
      <w:r w:rsidR="00513980">
        <w:rPr>
          <w:rFonts w:ascii="Book Antiqua" w:eastAsia="Book Antiqua" w:hAnsi="Book Antiqua" w:cs="Book Antiqua"/>
          <w:color w:val="000000"/>
        </w:rPr>
        <w:t xml:space="preserve"> 2022; </w:t>
      </w:r>
      <w:bookmarkStart w:id="1" w:name="OLE_LINK2"/>
      <w:r w:rsidR="00513980">
        <w:rPr>
          <w:rFonts w:ascii="Book Antiqua" w:eastAsia="宋体" w:hAnsi="Book Antiqua" w:cs="Book Antiqua" w:hint="eastAsia"/>
          <w:color w:val="000000"/>
          <w:lang w:eastAsia="zh-CN"/>
        </w:rPr>
        <w:t>10</w:t>
      </w:r>
      <w:r w:rsidR="00513980">
        <w:rPr>
          <w:rFonts w:ascii="Book Antiqua" w:eastAsia="Book Antiqua" w:hAnsi="Book Antiqua" w:cs="Book Antiqua" w:hint="eastAsia"/>
          <w:color w:val="000000"/>
        </w:rPr>
        <w:t>(</w:t>
      </w:r>
      <w:r w:rsidR="00513980">
        <w:rPr>
          <w:rFonts w:ascii="Book Antiqua" w:eastAsia="宋体" w:hAnsi="Book Antiqua" w:cs="Book Antiqua" w:hint="eastAsia"/>
          <w:color w:val="000000"/>
          <w:lang w:eastAsia="zh-CN"/>
        </w:rPr>
        <w:t>21</w:t>
      </w:r>
      <w:r w:rsidR="00513980">
        <w:rPr>
          <w:rFonts w:ascii="Book Antiqua" w:eastAsia="Book Antiqua" w:hAnsi="Book Antiqua" w:cs="Book Antiqua" w:hint="eastAsia"/>
          <w:color w:val="000000"/>
        </w:rPr>
        <w:t xml:space="preserve">): </w:t>
      </w:r>
      <w:r w:rsidR="00BC60CD">
        <w:rPr>
          <w:rFonts w:ascii="Book Antiqua" w:hAnsi="Book Antiqua" w:cs="Book Antiqua" w:hint="eastAsia"/>
          <w:color w:val="000000"/>
          <w:lang w:eastAsia="zh-CN"/>
        </w:rPr>
        <w:t>7365</w:t>
      </w:r>
      <w:r w:rsidR="00513980">
        <w:rPr>
          <w:rFonts w:ascii="Book Antiqua" w:eastAsia="Book Antiqua" w:hAnsi="Book Antiqua" w:cs="Book Antiqua" w:hint="eastAsia"/>
          <w:color w:val="000000"/>
        </w:rPr>
        <w:t>-</w:t>
      </w:r>
      <w:r w:rsidR="00BC60CD">
        <w:rPr>
          <w:rFonts w:ascii="Book Antiqua" w:hAnsi="Book Antiqua" w:cs="Book Antiqua" w:hint="eastAsia"/>
          <w:color w:val="000000"/>
          <w:lang w:eastAsia="zh-CN"/>
        </w:rPr>
        <w:t>7375</w:t>
      </w:r>
    </w:p>
    <w:p w:rsidR="008C70A5" w:rsidRDefault="00513980">
      <w:pPr>
        <w:spacing w:line="360" w:lineRule="auto"/>
        <w:jc w:val="both"/>
        <w:rPr>
          <w:rFonts w:ascii="Book Antiqua" w:hAnsi="Book Antiqua" w:cs="Book Antiqua"/>
          <w:color w:val="000000"/>
          <w:lang w:eastAsia="zh-CN"/>
        </w:rPr>
      </w:pPr>
      <w:r w:rsidRPr="008C70A5">
        <w:rPr>
          <w:rFonts w:ascii="Book Antiqua" w:eastAsia="Book Antiqua" w:hAnsi="Book Antiqua" w:cs="Book Antiqua" w:hint="eastAsia"/>
          <w:b/>
          <w:color w:val="000000"/>
        </w:rPr>
        <w:lastRenderedPageBreak/>
        <w:t xml:space="preserve">URL: </w:t>
      </w:r>
      <w:r w:rsidR="008C70A5" w:rsidRPr="008C70A5">
        <w:rPr>
          <w:rFonts w:ascii="Book Antiqua" w:eastAsia="Book Antiqua" w:hAnsi="Book Antiqua" w:cs="Book Antiqua" w:hint="eastAsia"/>
          <w:color w:val="000000"/>
        </w:rPr>
        <w:t>https://www.wjgnet.com/2307-8960/full/v</w:t>
      </w:r>
      <w:r w:rsidR="008C70A5" w:rsidRPr="008C70A5">
        <w:rPr>
          <w:rFonts w:ascii="Book Antiqua" w:eastAsia="宋体" w:hAnsi="Book Antiqua" w:cs="Book Antiqua" w:hint="eastAsia"/>
          <w:color w:val="000000"/>
          <w:lang w:eastAsia="zh-CN"/>
        </w:rPr>
        <w:t>10</w:t>
      </w:r>
      <w:r w:rsidR="008C70A5" w:rsidRPr="008C70A5">
        <w:rPr>
          <w:rFonts w:ascii="Book Antiqua" w:eastAsia="Book Antiqua" w:hAnsi="Book Antiqua" w:cs="Book Antiqua" w:hint="eastAsia"/>
          <w:color w:val="000000"/>
        </w:rPr>
        <w:t>/i</w:t>
      </w:r>
      <w:r w:rsidR="008C70A5" w:rsidRPr="008C70A5">
        <w:rPr>
          <w:rFonts w:ascii="Book Antiqua" w:eastAsia="宋体" w:hAnsi="Book Antiqua" w:cs="Book Antiqua" w:hint="eastAsia"/>
          <w:color w:val="000000"/>
          <w:lang w:eastAsia="zh-CN"/>
        </w:rPr>
        <w:t>21</w:t>
      </w:r>
      <w:r w:rsidR="008C70A5" w:rsidRPr="008C70A5">
        <w:rPr>
          <w:rFonts w:ascii="Book Antiqua" w:eastAsia="Book Antiqua" w:hAnsi="Book Antiqua" w:cs="Book Antiqua" w:hint="eastAsia"/>
          <w:color w:val="000000"/>
        </w:rPr>
        <w:t>/</w:t>
      </w:r>
      <w:r w:rsidR="00BC60CD">
        <w:rPr>
          <w:rFonts w:ascii="Book Antiqua" w:hAnsi="Book Antiqua" w:cs="Book Antiqua" w:hint="eastAsia"/>
          <w:color w:val="000000"/>
          <w:lang w:eastAsia="zh-CN"/>
        </w:rPr>
        <w:t>7365</w:t>
      </w:r>
      <w:r w:rsidR="008C70A5" w:rsidRPr="008C70A5">
        <w:rPr>
          <w:rFonts w:ascii="Book Antiqua" w:eastAsia="Book Antiqua" w:hAnsi="Book Antiqua" w:cs="Book Antiqua" w:hint="eastAsia"/>
          <w:color w:val="000000"/>
        </w:rPr>
        <w:t>.htm</w:t>
      </w:r>
    </w:p>
    <w:p w:rsidR="00816666" w:rsidRPr="00BC60CD" w:rsidRDefault="00513980">
      <w:pPr>
        <w:spacing w:line="360" w:lineRule="auto"/>
        <w:jc w:val="both"/>
        <w:rPr>
          <w:rFonts w:ascii="Book Antiqua" w:hAnsi="Book Antiqua"/>
          <w:lang w:eastAsia="zh-CN"/>
        </w:rPr>
      </w:pPr>
      <w:r w:rsidRPr="008C70A5">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21</w:t>
      </w:r>
      <w:r>
        <w:rPr>
          <w:rFonts w:ascii="Book Antiqua" w:eastAsia="Book Antiqua" w:hAnsi="Book Antiqua" w:cs="Book Antiqua" w:hint="eastAsia"/>
          <w:color w:val="000000"/>
        </w:rPr>
        <w:t>.</w:t>
      </w:r>
      <w:bookmarkEnd w:id="1"/>
      <w:r w:rsidR="00BC60CD">
        <w:rPr>
          <w:rFonts w:ascii="Book Antiqua" w:hAnsi="Book Antiqua" w:cs="Book Antiqua" w:hint="eastAsia"/>
          <w:color w:val="000000"/>
          <w:lang w:eastAsia="zh-CN"/>
        </w:rPr>
        <w:t>7365</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Esophageal cancer (EC) represents the second most common gastrointestinal cancer in </w:t>
      </w:r>
      <w:proofErr w:type="gramStart"/>
      <w:r>
        <w:rPr>
          <w:rFonts w:ascii="Book Antiqua" w:eastAsia="Book Antiqua" w:hAnsi="Book Antiqua" w:cs="Book Antiqua"/>
          <w:color w:val="000000"/>
        </w:rPr>
        <w:t>China,</w:t>
      </w:r>
      <w:proofErr w:type="gramEnd"/>
      <w:r>
        <w:rPr>
          <w:rFonts w:ascii="Book Antiqua" w:eastAsia="Book Antiqua" w:hAnsi="Book Antiqua" w:cs="Book Antiqua"/>
          <w:color w:val="000000"/>
        </w:rPr>
        <w:t xml:space="preserve"> there is less evidence on the diagnosis and management of elderly EC patients. It is important to explore how elderly EC patients benefit from radical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regimens, including the target area of radiotherapy (RT), radiation dose and fraction, and choice of chemotherapy drugs. Compared with involved-field intensity-modulated RT (IF-IMRT) alone, IF-IMRT + S-1 shows the benefits of preventing progressive disease and prolonging survival without increasing adverse reactions. Therefore, this concurrent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deserves clinical application.</w:t>
      </w:r>
    </w:p>
    <w:p w:rsidR="008C70A5" w:rsidRDefault="008C70A5">
      <w:pPr>
        <w:rPr>
          <w:rFonts w:ascii="Book Antiqua" w:hAnsi="Book Antiqua"/>
        </w:rPr>
      </w:pPr>
      <w:r>
        <w:rPr>
          <w:rFonts w:ascii="Book Antiqua" w:hAnsi="Book Antiqua"/>
        </w:rPr>
        <w:br w:type="page"/>
      </w: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Esophageal cancer (EC) represents the second most common gastrointestinal cancer in China, with 320000 newly-diagnosed cases and 300000 new cancer deaths in 2020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estimated that about 30% of EC patients are over 70 years </w:t>
      </w:r>
      <w:proofErr w:type="gramStart"/>
      <w:r>
        <w:rPr>
          <w:rFonts w:ascii="Book Antiqua" w:eastAsia="Book Antiqua" w:hAnsi="Book Antiqua" w:cs="Book Antiqua"/>
          <w:color w:val="000000"/>
        </w:rPr>
        <w:t>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Radical surgery remains the primary treatment for early EC, and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followed by surgery and radical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are the standard treatments for locally advanced EC. However, many elderly EC patients are unwilling or intolerant to undergo surgery due to organ dysfunction and/or underlying diseases (</w:t>
      </w:r>
      <w:r>
        <w:rPr>
          <w:rFonts w:ascii="Book Antiqua" w:eastAsia="Book Antiqua" w:hAnsi="Book Antiqua" w:cs="Book Antiqua"/>
          <w:i/>
          <w:iCs/>
          <w:color w:val="000000"/>
        </w:rPr>
        <w:t>e.g.,</w:t>
      </w:r>
      <w:r>
        <w:rPr>
          <w:rFonts w:ascii="Book Antiqua" w:eastAsia="Book Antiqua" w:hAnsi="Book Antiqua" w:cs="Book Antiqua"/>
          <w:color w:val="000000"/>
        </w:rPr>
        <w:t xml:space="preserve"> cardiopulmonary diseases). In addition, EC patients aged ≥ 70 years had been ruled out by most large-scale randomized clinical trials. Therefore, there is less evidence on the diagnosis and management of elderly EC patients. A pooled analysis of the treatment options and outcomes in elderly EC patients in a recent systematic review showed that, compared with palliative treatment or no treatment, radical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combined surgery had significantly better survival benefits in elderly EC patients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compared the outcomes of elderly EC patients who received radical radiotherapy (RT) combined with intravenous chemotherapy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and found that radical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was superior in clinical complete response (CR) rate (34.6%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18.6%,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median overall survival (OS) (24.6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and progression-free survival (PFS) (15.3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over RT alone; however, the former had significantly higher incidence of grade 3 esophagitis (5.8%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1.4 %) and hematological toxicities (9.8%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816666" w:rsidRDefault="005139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Therefore, it is important to explore how elderly EC patients benefit from radical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regimens, including the target area of RT, radiation dose and fraction, and choice of chemotherapy drugs. In this prospective, randomized, controlled trial, we attempted to compare the safety and efficacy of involved-field intensity-modulated RT (IF-IMRT) combined with </w:t>
      </w:r>
      <w:proofErr w:type="spellStart"/>
      <w:r>
        <w:rPr>
          <w:rFonts w:ascii="Book Antiqua" w:eastAsia="Book Antiqua" w:hAnsi="Book Antiqua" w:cs="Book Antiqua"/>
          <w:color w:val="000000"/>
        </w:rPr>
        <w:t>tegafur-gimeracil-oteracil</w:t>
      </w:r>
      <w:proofErr w:type="spellEnd"/>
      <w:r>
        <w:rPr>
          <w:rFonts w:ascii="Book Antiqua" w:eastAsia="Book Antiqua" w:hAnsi="Book Antiqua" w:cs="Book Antiqua"/>
          <w:color w:val="000000"/>
        </w:rPr>
        <w:t xml:space="preserve"> potassium capsules (S-1)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in the treatment of elderly esophageal squamous cell carcinoma.</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lastRenderedPageBreak/>
        <w:t>General data</w:t>
      </w:r>
    </w:p>
    <w:p w:rsidR="00816666" w:rsidRDefault="00513980">
      <w:pPr>
        <w:spacing w:line="360" w:lineRule="auto"/>
        <w:jc w:val="both"/>
        <w:rPr>
          <w:rFonts w:ascii="Book Antiqua" w:hAnsi="Book Antiqua"/>
        </w:rPr>
      </w:pPr>
      <w:r>
        <w:rPr>
          <w:rFonts w:ascii="Book Antiqua" w:eastAsia="Book Antiqua" w:hAnsi="Book Antiqua" w:cs="Book Antiqua"/>
          <w:color w:val="000000"/>
        </w:rPr>
        <w:t>Patients with pathologically confirmed locally advanced EC who were treated in our hospital from December 2017 to December 2019 were prospectively enrolled. The inclusion criteria were: (1) Aged ≥ 70 years; (2) With pathologically confirmed esophageal squamous cell carcinoma; (3) Treatment-naive; (4) With a clinical stage of cT</w:t>
      </w:r>
      <w:r>
        <w:rPr>
          <w:rFonts w:ascii="Book Antiqua" w:eastAsia="Book Antiqua" w:hAnsi="Book Antiqua" w:cs="Book Antiqua"/>
          <w:color w:val="000000"/>
          <w:vertAlign w:val="subscript"/>
        </w:rPr>
        <w:t>2-3</w:t>
      </w:r>
      <w:r>
        <w:rPr>
          <w:rFonts w:ascii="Book Antiqua" w:eastAsia="Book Antiqua" w:hAnsi="Book Antiqua" w:cs="Book Antiqua"/>
          <w:color w:val="000000"/>
        </w:rPr>
        <w:t>N</w:t>
      </w:r>
      <w:r>
        <w:rPr>
          <w:rFonts w:ascii="Book Antiqua" w:eastAsia="Book Antiqua" w:hAnsi="Book Antiqua" w:cs="Book Antiqua"/>
          <w:color w:val="000000"/>
          <w:vertAlign w:val="subscript"/>
        </w:rPr>
        <w:t>0-2</w:t>
      </w:r>
      <w:r>
        <w:rPr>
          <w:rFonts w:ascii="Book Antiqua" w:eastAsia="Book Antiqua" w:hAnsi="Book Antiqua" w:cs="Book Antiqua"/>
          <w:color w:val="000000"/>
        </w:rPr>
        <w:t>M</w:t>
      </w:r>
      <w:r>
        <w:rPr>
          <w:rFonts w:ascii="Book Antiqua" w:eastAsia="Book Antiqua" w:hAnsi="Book Antiqua" w:cs="Book Antiqua"/>
          <w:color w:val="000000"/>
          <w:vertAlign w:val="subscript"/>
        </w:rPr>
        <w:t>0</w:t>
      </w:r>
      <w:r>
        <w:rPr>
          <w:rFonts w:ascii="Book Antiqua" w:eastAsia="Book Antiqua" w:hAnsi="Book Antiqua" w:cs="Book Antiqua"/>
          <w:color w:val="000000"/>
        </w:rPr>
        <w:t xml:space="preserve">; (5) Unable or refusing to undergo surgical resection; (6) With contraindications to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(7) Able to understand the content of the informed consent forms for RT and chemotherapy; (8) Without any medical history of other malignant tumors; and (9) With complete medical records. The exclusion criteria were: (1) Younger than 70 years; (2) With pathologically confirmed esophageal non-squamous cell carcinoma; (3) With the risk of esophageal perforation and/or gastrointestinal bleeding, as suggested by examinations and tests; (4) With early (stage I) EC; (5) With distant metastasis; (6) With a history of prior surgery, RT, and/or chemotherapy, or with a history of other malignant tumors; (7) With contraindications for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(8) Undergoing conventional/three-dimensional conformal RT and/or receiving chemotherapy for no more than 4 cycles; and (9) With incomplete medical data. Based on the random number table, they were divided into an IF-IMRT + S-1 group and an IF-IMRT alone group, with 17 cases in each group. The median age was 76 years (range 72-80 years). Eighteen patients (52.9%) were older than 75 years, and 29 (85.3%) were males. The general data of the patients are shown in Table 1.</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Treatment methods</w:t>
      </w: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RT: </w:t>
      </w:r>
      <w:r>
        <w:rPr>
          <w:rFonts w:ascii="Book Antiqua" w:eastAsia="Book Antiqua" w:hAnsi="Book Antiqua" w:cs="Book Antiqua"/>
          <w:color w:val="000000"/>
        </w:rPr>
        <w:t xml:space="preserve">IF-IMRT (56-60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/28-30 fractions; 50.4-2.0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/28-30 fractions, </w:t>
      </w:r>
      <w:proofErr w:type="gramStart"/>
      <w:r>
        <w:rPr>
          <w:rFonts w:ascii="Book Antiqua" w:eastAsia="Book Antiqua" w:hAnsi="Book Antiqua" w:cs="Book Antiqua"/>
          <w:color w:val="000000"/>
        </w:rPr>
        <w:t>5 fractions/</w:t>
      </w:r>
      <w:proofErr w:type="spellStart"/>
      <w:r>
        <w:rPr>
          <w:rFonts w:ascii="Book Antiqua" w:eastAsia="Book Antiqua" w:hAnsi="Book Antiqua" w:cs="Book Antiqua"/>
          <w:color w:val="000000"/>
        </w:rPr>
        <w:t>wk</w:t>
      </w:r>
      <w:proofErr w:type="spellEnd"/>
      <w:proofErr w:type="gramEnd"/>
      <w:r>
        <w:rPr>
          <w:rFonts w:ascii="Book Antiqua" w:eastAsia="Book Antiqua" w:hAnsi="Book Antiqua" w:cs="Book Antiqua"/>
          <w:color w:val="000000"/>
        </w:rPr>
        <w:t>) was administered in both groups. Prophylactic irradiation was not performed on the lymphatic drainage region.</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Oral chemotherapy:</w:t>
      </w:r>
      <w:r>
        <w:rPr>
          <w:rFonts w:ascii="Book Antiqua" w:eastAsia="Book Antiqua" w:hAnsi="Book Antiqua" w:cs="Book Antiqua"/>
          <w:color w:val="000000"/>
        </w:rPr>
        <w:t xml:space="preserve"> Oral chemotherapy regimen in the IF-IMRT + S-1 group was as follows: S-1 40-60 mg bid was administered for 14 consecutive days and then withdrawn for 7 d, during which RT was concurrently applied in week days from </w:t>
      </w:r>
      <w:r>
        <w:rPr>
          <w:rFonts w:ascii="Book Antiqua" w:eastAsia="Book Antiqua" w:hAnsi="Book Antiqua" w:cs="Book Antiqua"/>
          <w:color w:val="000000"/>
        </w:rPr>
        <w:lastRenderedPageBreak/>
        <w:t>Monday to Friday. After RT, S-1 was maintained for 4 cycles (21 d made up a cycle) as the consolidation chemotherapy. No chemotherapy was given in the IF-IMRT alone group.</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Evaluation of treatment efficacy and adverse reactions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The treatment efficacy was evaluated using the benchmarks of the Response Evaluation Criteria in Solid Tumors version 1.1, which included CR, partial response (PR), stable disease (SD), and progression disease (PD); the objective remission rate (ORR) was calculated using the following formula: ORR = (CR + PR)/total cases × 100%. Chest computed tomography (CT), magnetic resonance imaging, and positron emission tomography-CT (if necessary) were performed after induction chemotherapy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Adverse reactions were graded according to the United States National Cancer Institute Common Toxicity for Adverse Events version 3.0.</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Primary and secondary outcome measures</w:t>
      </w:r>
    </w:p>
    <w:p w:rsidR="00816666" w:rsidRDefault="005139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primary outcome measures included PFS, OS, ORR after induction chemotherapy, and ORR after concurrent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The secondary outcome measure was the adverse reactions after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All patients were followed up by telephone or outpatient visits.</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Descriptive statistics was performed for all subjects. Categorical variables are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continuous variables are reported as median and interquartile range. The variables were compared using the </w:t>
      </w:r>
      <w:r>
        <w:rPr>
          <w:rFonts w:ascii="Book Antiqua" w:eastAsia="等线" w:hAnsi="Book Antiqua" w:cs="宋体"/>
          <w:i/>
          <w:iCs/>
          <w:color w:val="000000"/>
        </w:rPr>
        <w:t>χ</w:t>
      </w:r>
      <w:r>
        <w:rPr>
          <w:rFonts w:ascii="Book Antiqua" w:eastAsia="等线" w:hAnsi="Book Antiqua" w:cs="宋体"/>
          <w:color w:val="000000"/>
          <w:vertAlign w:val="superscript"/>
        </w:rPr>
        <w:t>2</w:t>
      </w:r>
      <w:r>
        <w:rPr>
          <w:rFonts w:ascii="Book Antiqua" w:eastAsia="等线" w:hAnsi="Book Antiqua" w:cs="宋体"/>
          <w:color w:val="000000"/>
        </w:rPr>
        <w:t xml:space="preserve"> </w:t>
      </w:r>
      <w:r>
        <w:rPr>
          <w:rFonts w:ascii="Book Antiqua" w:eastAsia="Book Antiqua" w:hAnsi="Book Antiqua" w:cs="Book Antiqua"/>
          <w:color w:val="000000"/>
        </w:rPr>
        <w:t xml:space="preserve">test (for categorical variables), one-way analysis of variance (for normally distributed data),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-Wallis test (if a skewed distribution was met). All analyses were performed using the R statistical software (v4.4.1; R Core Team) and Free Statistics software (v1.4). A two-tailed test was used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t>RESULTS</w:t>
      </w: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Treatment completion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A total of 34 patients with locally advanced esophageal squamous cell carcinoma were included in this study, and efficacy indicators were obtained in all patients. In the IF-IMRT + S-1 group, 10 patients (58.8%) completed 6 cycles of chemotherapy and 7 (41.2%) received 2-5 cycles of induction chemotherapy.</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Short-term efficacy and adverse events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The ORR was 88.2%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76.5%, respectively, in the IF-IMRT + S-1 group and the IF-IMRT alone group. The disease control rate (DCR) was 100% (PR 82.4%; and SD 11.8%) in the IF-IMRT + S-1 group and 82.4% (CR 5.9%; PR 70.6%; SD 5.9%; and PD 17.6%, all 3 cases had </w:t>
      </w:r>
      <w:proofErr w:type="spellStart"/>
      <w:r>
        <w:rPr>
          <w:rFonts w:ascii="Book Antiqua" w:eastAsia="Book Antiqua" w:hAnsi="Book Antiqua" w:cs="Book Antiqua"/>
          <w:color w:val="000000"/>
        </w:rPr>
        <w:t>mediastinal</w:t>
      </w:r>
      <w:proofErr w:type="spellEnd"/>
      <w:r>
        <w:rPr>
          <w:rFonts w:ascii="Book Antiqua" w:eastAsia="Book Antiqua" w:hAnsi="Book Antiqua" w:cs="Book Antiqua"/>
          <w:color w:val="000000"/>
        </w:rPr>
        <w:t xml:space="preserve"> lymph node progression) in IF-IMRT alone group (Table 2).</w:t>
      </w:r>
    </w:p>
    <w:p w:rsidR="00816666" w:rsidRDefault="005139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adverse events included grade 1-2 fatigue (53% in the IF-IMRT + S-1 group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64.7% in the RT alone group), grade 1-2 </w:t>
      </w:r>
      <w:proofErr w:type="spellStart"/>
      <w:r>
        <w:rPr>
          <w:rFonts w:ascii="Book Antiqua" w:eastAsia="Book Antiqua" w:hAnsi="Book Antiqua" w:cs="Book Antiqua"/>
          <w:color w:val="000000"/>
        </w:rPr>
        <w:t>granulocytopenia</w:t>
      </w:r>
      <w:proofErr w:type="spellEnd"/>
      <w:r>
        <w:rPr>
          <w:rFonts w:ascii="Book Antiqua" w:eastAsia="Book Antiqua" w:hAnsi="Book Antiqua" w:cs="Book Antiqua"/>
          <w:color w:val="000000"/>
        </w:rPr>
        <w:t xml:space="preserve"> (64.7%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47.1%), grade 1 thrombocytopenia (17.6%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11.8%), grade 1-2 anemia (82.3%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58.8%), grade 1-2 radiation esophagitis (47.1%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53%), grade 3 radiation esophagitis (0%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5.7%), grade 1-2 radiation-induced skin injury (5.9%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17.6%), and grade 1-2 radiation-induced lung injury (23.5%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17.7%), and all of them showed no significant difference between the two groups. Nasogastric intubation was performed before RT in 10 patients (58.8%) in the IF-IMRT + S-1 group and only in 2 patients (11.8%) in the IF-IMRT alone group (Table 2).</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Survival outcome</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All patients were followed up as of April 2022. The 34 patients were followed up for 15.2-32.5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median follow-up period of 24.5 mo. Nine patients (52.9%) in the IF-IMRT + S-1 group experienced PD, including EC progression in 6 cases (35.3%), EC progression + lymph node metastasis in 1 case (5.9%), distant metastasis in 2 cases (11.8%), lung metastasis in 1 case (5.9%), and brain metastasis in 1 case (5.9%). Eleven </w:t>
      </w:r>
      <w:r>
        <w:rPr>
          <w:rFonts w:ascii="Book Antiqua" w:eastAsia="Book Antiqua" w:hAnsi="Book Antiqua" w:cs="Book Antiqua"/>
          <w:color w:val="000000"/>
        </w:rPr>
        <w:lastRenderedPageBreak/>
        <w:t xml:space="preserve">patients (64.7%) in the RT alone group experienced PD, including EC progression in 4 cases (23.5%), lymph node metastasis in 5 cases (29.4%), EC progression + lymph node metastasis in 1 case (5.9%), and distant metastasis to the liver in 1 case (5.9%). There were 12 deaths in the IF-IMRT + S-1 group, including 5 deaths (29.4%) due to tumor progression, 2 (11.8%) due to gastrointestinal bleeding, and 5 (29.4%) due to non-tumor causes such as cardiopulmonary diseases. Ten patients in the RT alone group died, including 5 deaths (29.4%) due to tumor progression, 2 (11.8%) due to gastrointestinal bleeding, 2 (11.8%) due to liver failure following liver metastases, and 1 patient (5.9%) due to esophageal fistula. The median PFS was 23.4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PFS rate was 47.1%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41.2% in the IF-IMRT + S-1 group and RT alone group. The median OS was 27.0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OS rate was 58.8%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47.1% in the two groups (Figures 1A and B).</w:t>
      </w:r>
    </w:p>
    <w:p w:rsidR="00816666" w:rsidRDefault="00816666">
      <w:pPr>
        <w:spacing w:line="360" w:lineRule="auto"/>
        <w:jc w:val="both"/>
        <w:rPr>
          <w:rFonts w:ascii="Book Antiqua" w:eastAsia="Book Antiqua" w:hAnsi="Book Antiqua" w:cs="Book Antiqua"/>
          <w:b/>
          <w:bCs/>
          <w:color w:val="000000"/>
        </w:rPr>
      </w:pPr>
    </w:p>
    <w:p w:rsidR="00816666" w:rsidRDefault="00513980">
      <w:pPr>
        <w:spacing w:line="360" w:lineRule="auto"/>
        <w:jc w:val="both"/>
        <w:rPr>
          <w:rFonts w:ascii="Book Antiqua" w:hAnsi="Book Antiqua"/>
          <w:i/>
          <w:iCs/>
        </w:rPr>
      </w:pPr>
      <w:r>
        <w:rPr>
          <w:rFonts w:ascii="Book Antiqua" w:eastAsia="Book Antiqua" w:hAnsi="Book Antiqua" w:cs="Book Antiqua"/>
          <w:b/>
          <w:bCs/>
          <w:i/>
          <w:iCs/>
          <w:color w:val="000000"/>
        </w:rPr>
        <w:t>Results of multivariate Cox analysis</w:t>
      </w:r>
    </w:p>
    <w:p w:rsidR="00816666" w:rsidRDefault="00513980">
      <w:pPr>
        <w:spacing w:line="360" w:lineRule="auto"/>
        <w:jc w:val="both"/>
        <w:rPr>
          <w:rFonts w:ascii="Book Antiqua" w:hAnsi="Book Antiqua"/>
        </w:rPr>
      </w:pPr>
      <w:r>
        <w:rPr>
          <w:rFonts w:ascii="Book Antiqua" w:eastAsia="Book Antiqua" w:hAnsi="Book Antiqua" w:cs="Book Antiqua"/>
          <w:color w:val="000000"/>
        </w:rPr>
        <w:t>Age was a significant prognostic factor (</w:t>
      </w:r>
      <w:r>
        <w:rPr>
          <w:rFonts w:ascii="Book Antiqua" w:eastAsia="Book Antiqua" w:hAnsi="Book Antiqua" w:cs="Book Antiqua"/>
          <w:i/>
          <w:iCs/>
          <w:color w:val="000000"/>
        </w:rPr>
        <w:t xml:space="preserve">P </w:t>
      </w:r>
      <w:r>
        <w:rPr>
          <w:rFonts w:ascii="Book Antiqua" w:eastAsia="Book Antiqua" w:hAnsi="Book Antiqua" w:cs="Book Antiqua"/>
          <w:color w:val="000000"/>
        </w:rPr>
        <w:t>= 0.0019); patients aged &lt; 75 years had a significant survival advantage over patients aged ≥ 75 years. The locations of EC also affected the prognosis. The prognosis of patients with cervical EC was worse than that of patients with tumors located in upper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0.0057), middle (</w:t>
      </w:r>
      <w:r>
        <w:rPr>
          <w:rFonts w:ascii="Book Antiqua" w:eastAsia="Book Antiqua" w:hAnsi="Book Antiqua" w:cs="Book Antiqua"/>
          <w:i/>
          <w:iCs/>
          <w:color w:val="000000"/>
        </w:rPr>
        <w:t>P</w:t>
      </w:r>
      <w:r>
        <w:rPr>
          <w:rFonts w:ascii="Book Antiqua" w:eastAsia="Book Antiqua" w:hAnsi="Book Antiqua" w:cs="Book Antiqua"/>
          <w:color w:val="000000"/>
        </w:rPr>
        <w:t xml:space="preserve"> = 0.0075), and lower thoracic segments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0.0024). In the IF-IMRT + S-1 group, the number of chemotherapy cycles was a significant prognostic factor (</w:t>
      </w:r>
      <w:r>
        <w:rPr>
          <w:rFonts w:ascii="Book Antiqua" w:eastAsia="Book Antiqua" w:hAnsi="Book Antiqua" w:cs="Book Antiqua"/>
          <w:i/>
          <w:iCs/>
          <w:color w:val="000000"/>
        </w:rPr>
        <w:t>P</w:t>
      </w:r>
      <w:r>
        <w:rPr>
          <w:rFonts w:ascii="Book Antiqua" w:eastAsia="Book Antiqua" w:hAnsi="Book Antiqua" w:cs="Book Antiqua"/>
          <w:color w:val="000000"/>
        </w:rPr>
        <w:t xml:space="preserve"> = 0.0125), and the risk of PD was significantly lower in EC patients who had received 6 cycles of chemotherapy than those who had received 2-5 cycles of chemotherapy [hazard ratio (HR) = 0.229; 95% confidence (CI): 0.072-0.728] (Figure 1 and Figure 2).</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With the aging of the population, the incidence of elderly </w:t>
      </w:r>
      <w:proofErr w:type="gramStart"/>
      <w:r>
        <w:rPr>
          <w:rFonts w:ascii="Book Antiqua" w:eastAsia="Book Antiqua" w:hAnsi="Book Antiqua" w:cs="Book Antiqua"/>
          <w:color w:val="000000"/>
        </w:rPr>
        <w:t>ECs been</w:t>
      </w:r>
      <w:proofErr w:type="gramEnd"/>
      <w:r>
        <w:rPr>
          <w:rFonts w:ascii="Book Antiqua" w:eastAsia="Book Antiqua" w:hAnsi="Book Antiqua" w:cs="Book Antiqua"/>
          <w:color w:val="000000"/>
        </w:rPr>
        <w:t xml:space="preserve"> increasing rapidly. Treatments for elderly EC patients are risky as many older patients are complicated with cardiopulmonary diseases. Elderly patients were often ruled out in clinical studies, making the treatment of EC in these patients particularly challenging due to the lack of </w:t>
      </w:r>
      <w:r>
        <w:rPr>
          <w:rFonts w:ascii="Book Antiqua" w:eastAsia="Book Antiqua" w:hAnsi="Book Antiqua" w:cs="Book Antiqua"/>
          <w:color w:val="000000"/>
        </w:rPr>
        <w:lastRenderedPageBreak/>
        <w:t xml:space="preserve">clinical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propensity score-matched analysis compared the efficacy of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with RT alone for non-surgical EC patients aged ≥ 65 years and found that the 3-year OS rate was 21.8%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6.4% and the 5-year OS rate was 12.7%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3.5%, showing significant differences. In five subgroups based on the age stratification (65-69; 70-74; 75-79; 80-84; ≥ 85 years), the 3- and 5-year OS showed significant benefits in the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group compared with the RT alone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authors thus concluded that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could significantly improve survivals in non-surgical EC patients older than 65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Although the modes [3-dimensional conformal RT (3DCRT) or IMRT], dosage (50-60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range (prophylactic irradiation of high-risk lymphatic drainage areas or not), and concurrent chemotherapy regimens (including platinum plus 5-fluorouracil, platinum plus paclitaxel, platinum plus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and single-agent regimen) of RT varied among different studies</w:t>
      </w:r>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the safety and efficacy of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in elderly patients have been well demonstrated, with the ORR 56.7%-84.0%, the median OS 9-35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OS rate 27%-78%. In the present study, we compared the survival benefits of IF-IMRT combined with S-1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in the treatment of elderly EC patients. The median OS was 27.0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IF-IMRT + S-1 group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RT alone group, and the 2-year OS rate was 58.8%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47.1%, showing no significant differences, which might be related to the small sample size and the old age (most of the patients aged &gt; 75 years). Nevertheless, the IF-IMRT + S-1 group tended to have survival benefit.</w:t>
      </w:r>
    </w:p>
    <w:p w:rsidR="00816666" w:rsidRDefault="005139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radiation dose and volume can directly affect the incidence of adverse reactions and treatment efficacy. A dose-related retrospective study on EC showed that there was no significant difference in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failure (52%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56%) or 2-year OS rate (31%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40%) between the high-dose and standard-dose groups</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The ARTDECDO study randomly enrolled EC patients to receive radical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with different radiation doses. The results suggested that increased radiation dose on the primary tumor to 61.6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did not significantly improve local control compared with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but increased the incidence of toxicity; in addition, there was no OS benefit. The 3-year local PFS rates of the low-dose group and high-dose group of squamous cell </w:t>
      </w:r>
      <w:r>
        <w:rPr>
          <w:rFonts w:ascii="Book Antiqua" w:eastAsia="Book Antiqua" w:hAnsi="Book Antiqua" w:cs="Book Antiqua"/>
          <w:color w:val="000000"/>
        </w:rPr>
        <w:lastRenderedPageBreak/>
        <w:t>carcinoma patients were 75% and 79%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while the incidence of the common grade 4 and 5 toxicities was 12% and 5% in the low-dose group, lower than those (14% and 10%) in the high-dose group</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application of RT technology can also affect the prognosis of elderly EC patients. One study compared 3DCRT with IMRT in elderly (&gt; 65 years) EC patients and found that the IMRT group had lower cardiac mortality and overall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With the wider application of IMRT, individualized precision RT for EC has improved the local control rate and survival time compared with conventional RT; however, the treatment failure is attributed to local recurrence within the irradiation field and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Target volume delineation during the precise RT for EC includes involved-field irradiation (IFI) and elective nodal irradiation (ENI). ENI has a larger range of irradiation field, which increases the incidence of grade 3 or higher radiation esophagitis and radiation </w:t>
      </w:r>
      <w:proofErr w:type="gramStart"/>
      <w:r>
        <w:rPr>
          <w:rFonts w:ascii="Book Antiqua" w:eastAsia="Book Antiqua" w:hAnsi="Book Antiqua" w:cs="Book Antiqua"/>
          <w:color w:val="000000"/>
        </w:rPr>
        <w:t>pneumonitis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w:t>
      </w:r>
      <w:r>
        <w:rPr>
          <w:rFonts w:ascii="Book Antiqua" w:eastAsia="Book Antiqua" w:hAnsi="Book Antiqua" w:cs="Book Antiqua"/>
          <w:color w:val="000000"/>
        </w:rPr>
        <w:t xml:space="preserve">. In contrast, IFI can reduce the irradiation range and dose volume; theoretically, it can reduce radiation-induced damage to the esophagus, lung, heart, and spinal cord, increase the treatment completion rate, thus making it possible for patients to tolerate systemic chemotherapy. IFI has been widely used in the delineation of target volumes for RT of lung cancer and has been found to improve the efficacy while reducing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When applied in the RT of locally advanced EC, IFI achieved survival benefits in terms in OS, PFS, and longitudinal critically refracted comparable to those in the RTOG study; in addition, the side effects of IFI are lower than those of </w:t>
      </w:r>
      <w:proofErr w:type="gramStart"/>
      <w:r>
        <w:rPr>
          <w:rFonts w:ascii="Book Antiqua" w:eastAsia="Book Antiqua" w:hAnsi="Book Antiqua" w:cs="Book Antiqua"/>
          <w:color w:val="000000"/>
        </w:rPr>
        <w:t>ENI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Jing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enrolled 137 elderly (&gt; 70 years) patients: 54 patients (39.4%) received ENI and 83 (60.6%) received IFI, and found that IFI reduced RT-induced toxicities without sacrificing OS in these patients. However, for elderly patients with esophageal squamous cell carcinoma, there is currently no high-level evidence to support the efficacy and safety of IFI. With the aging of the society and the increasing demand for high quality of life, multidisciplinary management of tumor patients has been emphasized by clinicians. Individualized precision treatment may ensure the therapeutic efficacy and meanwhile minimize the toxicities in elderly EC patients, thus having become a hot research topic in recent years. In the present study, the radiation dose ranged from 50.4-56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By IMRT, the radiation </w:t>
      </w:r>
      <w:r>
        <w:rPr>
          <w:rFonts w:ascii="Book Antiqua" w:eastAsia="Book Antiqua" w:hAnsi="Book Antiqua" w:cs="Book Antiqua"/>
          <w:color w:val="000000"/>
        </w:rPr>
        <w:lastRenderedPageBreak/>
        <w:t>target area could be more precise and conformal, during which the IFI technique is applied in the target area. In our study, no prophylactic ENI was performed on the lymphatic drainage area, which reduced the radiation range and thus minimized the RT-related toxicities. Only one patient (5.7%) in the RT alone group suffered from grade 3 radiation esophagitis, and all the other toxicities were of grade 1 or 2, suggesting that IFI is safe for elderly EC patient.</w:t>
      </w:r>
    </w:p>
    <w:p w:rsidR="00816666" w:rsidRDefault="005139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Currently, there are no guidelines for the chemotherapy regimens used in the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elderly EC patients with underlying diseases, and the tolerability of chemotherapeutic drugs is a primary consideration in choosing a regimen. In elderly EC patients who were treated with platinum combined with 5-fluorouracil, the treatment was often interrupted due to the high incidence of grade 3 or higher </w:t>
      </w:r>
      <w:proofErr w:type="spellStart"/>
      <w:proofErr w:type="gramStart"/>
      <w:r>
        <w:rPr>
          <w:rFonts w:ascii="Book Antiqua" w:eastAsia="Book Antiqua" w:hAnsi="Book Antiqua" w:cs="Book Antiqua"/>
          <w:color w:val="000000"/>
        </w:rPr>
        <w:t>myelosuppression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Therefore, concurrent RT and intravenous dual-drug chemotherapy are highly toxic in elderly EC patients. S-1 is an oral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when used concurrently with RT, it can be a potential </w:t>
      </w:r>
      <w:proofErr w:type="spellStart"/>
      <w:proofErr w:type="gramStart"/>
      <w:r>
        <w:rPr>
          <w:rFonts w:ascii="Book Antiqua" w:eastAsia="Book Antiqua" w:hAnsi="Book Antiqua" w:cs="Book Antiqua"/>
          <w:color w:val="000000"/>
        </w:rPr>
        <w:t>radiosensitizer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As an oral drug, its dosage can be timely adjusted in elderly patients with poor tolerance, thus avoiding serious side effects during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In patients aged ≤ 70 years with EC, concurrent RT with oral </w:t>
      </w:r>
      <w:proofErr w:type="spellStart"/>
      <w:r>
        <w:rPr>
          <w:rFonts w:ascii="Book Antiqua" w:eastAsia="Book Antiqua" w:hAnsi="Book Antiqua" w:cs="Book Antiqua"/>
          <w:color w:val="000000"/>
        </w:rPr>
        <w:t>fluoropyrimidine</w:t>
      </w:r>
      <w:proofErr w:type="spellEnd"/>
      <w:r>
        <w:rPr>
          <w:rFonts w:ascii="Book Antiqua" w:eastAsia="Book Antiqua" w:hAnsi="Book Antiqua" w:cs="Book Antiqua"/>
          <w:color w:val="000000"/>
        </w:rPr>
        <w:t xml:space="preserve"> was associated with mild toxicities, good local control, and high long-term survival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our study, only one patient (5.7%) in the RT alone group suffered from grade 3 radiation esophagitis, and the incidence of grade 1/2 radiation esophagitis was 47.1% and 53.0%, respectively, in the IF-IMRT + S-1 group and RT alone group. In addition, other toxicities such as fatigue, </w:t>
      </w:r>
      <w:proofErr w:type="spellStart"/>
      <w:r>
        <w:rPr>
          <w:rFonts w:ascii="Book Antiqua" w:eastAsia="Book Antiqua" w:hAnsi="Book Antiqua" w:cs="Book Antiqua"/>
          <w:color w:val="000000"/>
        </w:rPr>
        <w:t>granulocytopenia</w:t>
      </w:r>
      <w:proofErr w:type="spellEnd"/>
      <w:r>
        <w:rPr>
          <w:rFonts w:ascii="Book Antiqua" w:eastAsia="Book Antiqua" w:hAnsi="Book Antiqua" w:cs="Book Antiqua"/>
          <w:color w:val="000000"/>
        </w:rPr>
        <w:t xml:space="preserve">, thrombocytopenia, anemia, radiation-induced skin injury, and radiation-induced lung injury were all of grade 1 or 2. These toxicities were not significantly different between the IF-IMRT + S-1 group and RT alone group, confirming the safety of IF-IMRT + S-1. No treatment interruption due to toxicities occurred in the IF-IMRT + S-1 group, and the patients had good treatment compliance, which may be one of the reasons for the better long-term survival in our series. Multivariate analysis in our study showed that in the IF-IMRT + S-1 group, the number of chemotherapy cycles was a significant prognostic factor, and the risk of PD was </w:t>
      </w:r>
      <w:r>
        <w:rPr>
          <w:rFonts w:ascii="Book Antiqua" w:eastAsia="Book Antiqua" w:hAnsi="Book Antiqua" w:cs="Book Antiqua"/>
          <w:color w:val="000000"/>
        </w:rPr>
        <w:lastRenderedPageBreak/>
        <w:t>significantly lower in EC patients who had received 6 cycles of chemotherapy than those who had received 2-5 cycles of chemotherapy.</w:t>
      </w:r>
    </w:p>
    <w:p w:rsidR="00816666" w:rsidRDefault="0051398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Previous studies have demonstrated that age was associated with prognosis of elderly EC patients.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found that the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was significantly superior in survival benefits to the RT alone in patients younger than 72 years, but no significant differences were reported between these two treatment regimens in patients older than 72 years. </w:t>
      </w:r>
      <w:proofErr w:type="spellStart"/>
      <w:r>
        <w:rPr>
          <w:rFonts w:ascii="Book Antiqua" w:eastAsia="Book Antiqua" w:hAnsi="Book Antiqua" w:cs="Book Antiqua"/>
          <w:color w:val="000000"/>
        </w:rPr>
        <w:t>Jingu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reported that in EC patients aged over 80 years, concurrent chemotherapy and RT showed no significant OS benefit compared with RT alone. A dual-arm, open-label, randomized, multicenter phase III clinical trial is currently underway for EC patients aged over 70 years to explore the best treatment options for elderly EC patients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In the present study, it was found that age was a significant prognostic factor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0.0019): Patients aged &lt; 75 years had a significant survival advantage over patients aged ≥ 75 years. The locations of EC also affected the prognosis. The prognosis of patients with cervical EC was worse than those of patients with tumors located in upper (HR = 0.0057; 95%CI: 2.985-500.000;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0.0057), middle (HR = 0.0075; 95%CI: 2.786-1000.000;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0.0075), and lower thoracic segments (HR = 0.0024; 95%CI: 4.202-1000.000;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0.0024).</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816666" w:rsidRDefault="00513980">
      <w:pPr>
        <w:spacing w:line="360" w:lineRule="auto"/>
        <w:jc w:val="both"/>
        <w:rPr>
          <w:rFonts w:ascii="Book Antiqua" w:hAnsi="Book Antiqua"/>
        </w:rPr>
      </w:pPr>
      <w:r>
        <w:rPr>
          <w:rStyle w:val="a00"/>
          <w:rFonts w:ascii="Book Antiqua" w:eastAsia="Book Antiqua" w:hAnsi="Book Antiqua" w:cs="Book Antiqua"/>
          <w:color w:val="000000"/>
        </w:rPr>
        <w:t>In summary,</w:t>
      </w:r>
      <w:r>
        <w:rPr>
          <w:rFonts w:ascii="Book Antiqua" w:eastAsia="Book Antiqua" w:hAnsi="Book Antiqua" w:cs="Book Antiqua"/>
          <w:color w:val="000000"/>
        </w:rPr>
        <w:t xml:space="preserve"> compared with IF-IMRT alone, IF-IMRT + S-1 </w:t>
      </w:r>
      <w:proofErr w:type="gramStart"/>
      <w:r>
        <w:rPr>
          <w:rFonts w:ascii="Book Antiqua" w:eastAsia="Book Antiqua" w:hAnsi="Book Antiqua" w:cs="Book Antiqua"/>
          <w:color w:val="000000"/>
        </w:rPr>
        <w:t>prevents</w:t>
      </w:r>
      <w:proofErr w:type="gramEnd"/>
      <w:r>
        <w:rPr>
          <w:rFonts w:ascii="Book Antiqua" w:eastAsia="Book Antiqua" w:hAnsi="Book Antiqua" w:cs="Book Antiqua"/>
          <w:color w:val="000000"/>
        </w:rPr>
        <w:t xml:space="preserve"> PD and increases survival benefits without increasing toxicities. Therefore, this concurrent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deserves clinical application. </w:t>
      </w:r>
      <w:r>
        <w:rPr>
          <w:rStyle w:val="a00"/>
          <w:rFonts w:ascii="Book Antiqua" w:eastAsia="Book Antiqua" w:hAnsi="Book Antiqua" w:cs="Book Antiqua"/>
          <w:color w:val="000000"/>
        </w:rPr>
        <w:t>However, this study was limited by its short follow-up period, and long-term follow-up is needed to determine the patients’ survivals and tumor recurrence/metastasis. In addition, chemotherapy regimens, the optimal dose of radical RT, and the range/fractionation of the RT for EC in elderly patients require further clinical research.</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background</w:t>
      </w:r>
    </w:p>
    <w:p w:rsidR="00816666" w:rsidRDefault="00513980">
      <w:pPr>
        <w:spacing w:line="360" w:lineRule="auto"/>
        <w:jc w:val="both"/>
        <w:rPr>
          <w:rFonts w:ascii="Book Antiqua" w:hAnsi="Book Antiqua"/>
        </w:rPr>
      </w:pPr>
      <w:r>
        <w:rPr>
          <w:rFonts w:ascii="Book Antiqua" w:eastAsia="Book Antiqua" w:hAnsi="Book Antiqua" w:cs="Book Antiqua"/>
          <w:color w:val="000000"/>
        </w:rPr>
        <w:lastRenderedPageBreak/>
        <w:t>Esophageal cancer (EC) represents the second most common gastrointestinal cancer in China, with 320000 newly-diagnosed cases and 300000 new cancer deaths in 2020. It is estimated that about 30% of EC patients are over 70 years old. There is less evidence on the diagnosis and management of elderly EC patients.</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motivation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It is important to explore how elderly EC patients benefit from radical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regimens, including the target area of radiotherapy (RT), radiation dose and fraction, and choice of chemotherapy drugs. In this prospective, randomized, controlled trial, we attempted to compare the safety and efficacy of involved-field intensity-modulated RT (IF-IMRT) combined with </w:t>
      </w:r>
      <w:proofErr w:type="spellStart"/>
      <w:r>
        <w:rPr>
          <w:rFonts w:ascii="Book Antiqua" w:eastAsia="Book Antiqua" w:hAnsi="Book Antiqua" w:cs="Book Antiqua"/>
          <w:color w:val="000000"/>
        </w:rPr>
        <w:t>tegafur-gimeracil-oteracil</w:t>
      </w:r>
      <w:proofErr w:type="spellEnd"/>
      <w:r>
        <w:rPr>
          <w:rFonts w:ascii="Book Antiqua" w:eastAsia="Book Antiqua" w:hAnsi="Book Antiqua" w:cs="Book Antiqua"/>
          <w:color w:val="000000"/>
        </w:rPr>
        <w:t xml:space="preserve"> potassium capsules (S-1)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in the treatment of elderly esophageal squamous cell carcinoma.</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objectives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To compare the efficacy of IF-IMRT combined with S-1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RT alone in the treatment of elderly EC patients in terms of safety, short-term response, and survival.</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methods</w:t>
      </w:r>
    </w:p>
    <w:p w:rsidR="00816666" w:rsidRDefault="00513980">
      <w:pPr>
        <w:spacing w:line="360" w:lineRule="auto"/>
        <w:jc w:val="both"/>
        <w:rPr>
          <w:rFonts w:ascii="Book Antiqua" w:hAnsi="Book Antiqua"/>
        </w:rPr>
      </w:pPr>
      <w:proofErr w:type="gramStart"/>
      <w:r>
        <w:rPr>
          <w:rFonts w:ascii="Book Antiqua" w:eastAsia="Book Antiqua" w:hAnsi="Book Antiqua" w:cs="Book Antiqua"/>
          <w:color w:val="000000"/>
        </w:rPr>
        <w:t>Patients with pathologically confirmed locally advanced EC.</w:t>
      </w:r>
      <w:proofErr w:type="gramEnd"/>
      <w:r>
        <w:rPr>
          <w:rFonts w:ascii="Book Antiqua" w:eastAsia="Book Antiqua" w:hAnsi="Book Antiqua" w:cs="Book Antiqua"/>
          <w:color w:val="000000"/>
        </w:rPr>
        <w:t xml:space="preserve"> Based on the random number table, they were divided into an IF-IMRT + S-1 group and an IF-IMRT alone group, with 17 cases in each group.</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results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The objective response rate was 88.2%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76.5%, respectively, in the IF-IMRT + S-1 group and the RT alone </w:t>
      </w:r>
      <w:proofErr w:type="gramStart"/>
      <w:r>
        <w:rPr>
          <w:rFonts w:ascii="Book Antiqua" w:eastAsia="Book Antiqua" w:hAnsi="Book Antiqua" w:cs="Book Antiqua"/>
          <w:color w:val="000000"/>
        </w:rPr>
        <w:t>group,</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where as</w:t>
      </w:r>
      <w:proofErr w:type="spellEnd"/>
      <w:r>
        <w:rPr>
          <w:rFonts w:ascii="Book Antiqua" w:eastAsia="Book Antiqua" w:hAnsi="Book Antiqua" w:cs="Book Antiqua"/>
          <w:color w:val="000000"/>
        </w:rPr>
        <w:t xml:space="preserve"> the </w:t>
      </w:r>
      <w:bookmarkStart w:id="2" w:name="_Hlk105445155"/>
      <w:r>
        <w:rPr>
          <w:rFonts w:ascii="Book Antiqua" w:eastAsia="Book Antiqua" w:hAnsi="Book Antiqua" w:cs="Book Antiqua"/>
          <w:color w:val="000000"/>
        </w:rPr>
        <w:t>disease control rate</w:t>
      </w:r>
      <w:bookmarkEnd w:id="2"/>
      <w:r>
        <w:rPr>
          <w:rFonts w:ascii="Book Antiqua" w:eastAsia="Book Antiqua" w:hAnsi="Book Antiqua" w:cs="Book Antiqua"/>
          <w:color w:val="000000"/>
        </w:rPr>
        <w:t xml:space="preserve"> was 100%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82.4%, respectively. The rate of progressive disease (PD) was 52.9% (</w:t>
      </w:r>
      <w:r>
        <w:rPr>
          <w:rFonts w:ascii="Book Antiqua" w:eastAsia="Book Antiqua" w:hAnsi="Book Antiqua" w:cs="Book Antiqua"/>
          <w:i/>
          <w:iCs/>
          <w:color w:val="000000"/>
        </w:rPr>
        <w:t>n</w:t>
      </w:r>
      <w:r>
        <w:rPr>
          <w:rFonts w:ascii="Book Antiqua" w:eastAsia="Book Antiqua" w:hAnsi="Book Antiqua" w:cs="Book Antiqua"/>
          <w:color w:val="000000"/>
        </w:rPr>
        <w:t xml:space="preserve"> = 9) in the IF-IMRT + S-1 group and 64.7% (</w:t>
      </w:r>
      <w:r>
        <w:rPr>
          <w:rFonts w:ascii="Book Antiqua" w:eastAsia="Book Antiqua" w:hAnsi="Book Antiqua" w:cs="Book Antiqua"/>
          <w:i/>
          <w:iCs/>
          <w:color w:val="000000"/>
        </w:rPr>
        <w:t>n</w:t>
      </w:r>
      <w:r>
        <w:rPr>
          <w:rFonts w:ascii="Book Antiqua" w:eastAsia="Book Antiqua" w:hAnsi="Book Antiqua" w:cs="Book Antiqua"/>
          <w:color w:val="000000"/>
        </w:rPr>
        <w:t xml:space="preserve"> = 11) in the RT alone group. The median progression-free survival </w:t>
      </w:r>
      <w:r>
        <w:rPr>
          <w:rFonts w:ascii="Book Antiqua" w:eastAsia="Book Antiqua" w:hAnsi="Book Antiqua" w:cs="Book Antiqua"/>
          <w:color w:val="000000"/>
        </w:rPr>
        <w:lastRenderedPageBreak/>
        <w:t xml:space="preserve">(PFS) was 23.4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PFS rate was 42%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41.2%. The median overall survival (OS) was 27.0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2-year OS rate was 58.8%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47.1%.</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conclusions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Compared with IF-IMRT alone, IF-IMRT + S-1 </w:t>
      </w:r>
      <w:proofErr w:type="gramStart"/>
      <w:r>
        <w:rPr>
          <w:rFonts w:ascii="Book Antiqua" w:eastAsia="Book Antiqua" w:hAnsi="Book Antiqua" w:cs="Book Antiqua"/>
          <w:color w:val="000000"/>
        </w:rPr>
        <w:t>shows</w:t>
      </w:r>
      <w:proofErr w:type="gramEnd"/>
      <w:r>
        <w:rPr>
          <w:rFonts w:ascii="Book Antiqua" w:eastAsia="Book Antiqua" w:hAnsi="Book Antiqua" w:cs="Book Antiqua"/>
          <w:color w:val="000000"/>
        </w:rPr>
        <w:t xml:space="preserve"> the benefits of preventing PD and prolonging survival without increasing adverse reactions. Therefore, this concurrent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deserves clinical application.</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i/>
          <w:color w:val="000000"/>
        </w:rPr>
        <w:t>Research perspectives</w:t>
      </w:r>
    </w:p>
    <w:p w:rsidR="00816666" w:rsidRDefault="00513980">
      <w:pPr>
        <w:spacing w:line="360" w:lineRule="auto"/>
        <w:jc w:val="both"/>
        <w:rPr>
          <w:rFonts w:ascii="Book Antiqua" w:hAnsi="Book Antiqua"/>
        </w:rPr>
      </w:pPr>
      <w:r>
        <w:rPr>
          <w:rStyle w:val="a00"/>
          <w:rFonts w:ascii="Book Antiqua" w:eastAsia="Book Antiqua" w:hAnsi="Book Antiqua" w:cs="Book Antiqua"/>
          <w:color w:val="000000"/>
        </w:rPr>
        <w:t>In addition, chemotherapy regimens, the optimal dose of radical RT, and the range/fractionation of the RT for EC in elderly patients require further clinical research.</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olor w:val="000000"/>
        </w:rPr>
        <w:t>REFERENCES</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Bray F. Global Cancer Statistics 2020: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Bray F, Siegel RL,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Lortet-Tieulent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Global cancer statistics, 2012.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87-108 [PMID: 25651787 DOI: 10.3322/caac.21262]</w:t>
      </w:r>
    </w:p>
    <w:p w:rsidR="00816666" w:rsidRDefault="00513980">
      <w:pPr>
        <w:spacing w:line="360" w:lineRule="auto"/>
        <w:jc w:val="both"/>
        <w:rPr>
          <w:rFonts w:ascii="Book Antiqua" w:hAnsi="Book Antiqua"/>
        </w:rPr>
      </w:pPr>
      <w:proofErr w:type="gramStart"/>
      <w:r w:rsidRPr="00BC60CD">
        <w:rPr>
          <w:rFonts w:ascii="Book Antiqua" w:eastAsia="Book Antiqua" w:hAnsi="Book Antiqua" w:cs="Book Antiqua"/>
          <w:color w:val="000000"/>
        </w:rPr>
        <w:t xml:space="preserve">3 </w:t>
      </w:r>
      <w:r w:rsidRPr="00BC60CD">
        <w:rPr>
          <w:rFonts w:ascii="Book Antiqua" w:eastAsia="Book Antiqua" w:hAnsi="Book Antiqua" w:cs="Book Antiqua"/>
          <w:b/>
          <w:bCs/>
          <w:color w:val="000000"/>
        </w:rPr>
        <w:t>National Cancer Institute</w:t>
      </w:r>
      <w:r w:rsidRPr="00BC60CD">
        <w:rPr>
          <w:rFonts w:ascii="Book Antiqua" w:eastAsia="Book Antiqua" w:hAnsi="Book Antiqua" w:cs="Book Antiqua"/>
          <w:color w:val="000000"/>
        </w:rPr>
        <w:t>.</w:t>
      </w:r>
      <w:proofErr w:type="gramEnd"/>
      <w:r w:rsidRPr="00BC60CD">
        <w:rPr>
          <w:rFonts w:ascii="Book Antiqua" w:eastAsia="Book Antiqua" w:hAnsi="Book Antiqua" w:cs="Book Antiqua"/>
          <w:color w:val="000000"/>
        </w:rPr>
        <w:t xml:space="preserve"> Cancer Stat Facts: Esophageal Cancer. [</w:t>
      </w:r>
      <w:proofErr w:type="gramStart"/>
      <w:r w:rsidRPr="00BC60CD">
        <w:rPr>
          <w:rFonts w:ascii="Book Antiqua" w:eastAsia="Book Antiqua" w:hAnsi="Book Antiqua" w:cs="Book Antiqua"/>
          <w:color w:val="000000"/>
        </w:rPr>
        <w:t>cited</w:t>
      </w:r>
      <w:proofErr w:type="gramEnd"/>
      <w:r w:rsidRPr="00BC60CD">
        <w:rPr>
          <w:rFonts w:ascii="Book Antiqua" w:eastAsia="Book Antiqua" w:hAnsi="Book Antiqua" w:cs="Book Antiqua"/>
          <w:color w:val="000000"/>
        </w:rPr>
        <w:t xml:space="preserve"> 23 March 2022]. Available from: https://seer.cancer.gov/statfacts/html/esoph.html</w:t>
      </w:r>
    </w:p>
    <w:p w:rsidR="00816666" w:rsidRDefault="00513980">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Rustgi</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Esophageal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2499-2509 [PMID: 25539106 DOI: 10.1056/NEJMra1314530]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Mantziari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Teixeira </w:t>
      </w:r>
      <w:proofErr w:type="spellStart"/>
      <w:r>
        <w:rPr>
          <w:rFonts w:ascii="Book Antiqua" w:eastAsia="Book Antiqua" w:hAnsi="Book Antiqua" w:cs="Book Antiqua"/>
          <w:color w:val="000000"/>
        </w:rPr>
        <w:t>Farinha</w:t>
      </w:r>
      <w:proofErr w:type="spellEnd"/>
      <w:r>
        <w:rPr>
          <w:rFonts w:ascii="Book Antiqua" w:eastAsia="Book Antiqua" w:hAnsi="Book Antiqua" w:cs="Book Antiqua"/>
          <w:color w:val="000000"/>
        </w:rPr>
        <w:t xml:space="preserve"> H, Bouygues V, </w:t>
      </w:r>
      <w:proofErr w:type="spellStart"/>
      <w:r>
        <w:rPr>
          <w:rFonts w:ascii="Book Antiqua" w:eastAsia="Book Antiqua" w:hAnsi="Book Antiqua" w:cs="Book Antiqua"/>
          <w:color w:val="000000"/>
        </w:rPr>
        <w:t>Vignal</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Deswysen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Piessen</w:t>
      </w:r>
      <w:proofErr w:type="spellEnd"/>
      <w:r>
        <w:rPr>
          <w:rFonts w:ascii="Book Antiqua" w:eastAsia="Book Antiqua" w:hAnsi="Book Antiqua" w:cs="Book Antiqua"/>
          <w:color w:val="000000"/>
        </w:rPr>
        <w:t xml:space="preserve"> G. Esophageal Cancer in Elderly Patients, Current Treatment Options and Outcomes; A Systematic Review and Pooled 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33925512 DOI: 10.3390/cancers13092104]</w:t>
      </w:r>
    </w:p>
    <w:p w:rsidR="00816666" w:rsidRDefault="00513980">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Zhao Q</w:t>
      </w:r>
      <w:r>
        <w:rPr>
          <w:rFonts w:ascii="Book Antiqua" w:eastAsia="Book Antiqua" w:hAnsi="Book Antiqua" w:cs="Book Antiqua"/>
          <w:color w:val="000000"/>
        </w:rPr>
        <w:t xml:space="preserve">, Hu G, Xiao W, Chen Y,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M, Tang Q,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X. Comparison of definitive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and radiotherapy alone in patients older than 75 years with locally advanced esophageal carcinoma: A retrospective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e7920 [PMID: 28858114 DOI: 10.1097/MD.0000000000007920]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Tapias</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Muniappan</w:t>
      </w:r>
      <w:proofErr w:type="spellEnd"/>
      <w:r>
        <w:rPr>
          <w:rFonts w:ascii="Book Antiqua" w:eastAsia="Book Antiqua" w:hAnsi="Book Antiqua" w:cs="Book Antiqua"/>
          <w:color w:val="000000"/>
        </w:rPr>
        <w:t xml:space="preserve"> A, Wright CD, </w:t>
      </w:r>
      <w:proofErr w:type="spellStart"/>
      <w:r>
        <w:rPr>
          <w:rFonts w:ascii="Book Antiqua" w:eastAsia="Book Antiqua" w:hAnsi="Book Antiqua" w:cs="Book Antiqua"/>
          <w:color w:val="000000"/>
        </w:rPr>
        <w:t>Gaissert</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Wain</w:t>
      </w:r>
      <w:proofErr w:type="spellEnd"/>
      <w:r>
        <w:rPr>
          <w:rFonts w:ascii="Book Antiqua" w:eastAsia="Book Antiqua" w:hAnsi="Book Antiqua" w:cs="Book Antiqua"/>
          <w:color w:val="000000"/>
        </w:rPr>
        <w:t xml:space="preserve"> JC, Morse CR, Donahue DM, </w:t>
      </w:r>
      <w:proofErr w:type="spellStart"/>
      <w:r>
        <w:rPr>
          <w:rFonts w:ascii="Book Antiqua" w:eastAsia="Book Antiqua" w:hAnsi="Book Antiqua" w:cs="Book Antiqua"/>
          <w:color w:val="000000"/>
        </w:rPr>
        <w:t>Mathisen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Lanuti</w:t>
      </w:r>
      <w:proofErr w:type="spellEnd"/>
      <w:r>
        <w:rPr>
          <w:rFonts w:ascii="Book Antiqua" w:eastAsia="Book Antiqua" w:hAnsi="Book Antiqua" w:cs="Book Antiqua"/>
          <w:color w:val="000000"/>
        </w:rPr>
        <w:t xml:space="preserve"> M. Short and long-term outcomes after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for cancer in elderly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1741-1748 [PMID: 23500043 DOI: 10.1016/j.athoracsur.2013.01.084]</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Xia X</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 Liu Z, Di X, Sun X, Yang Y.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Is Superior to Radiotherapy Alone in Esophageal Cancer Patients Older Than 65 Years: A Propensity Score-Matched Analysis of the SEER Database.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736448 [PMID: 34557416 DOI: 10.3389/fonc.2021.736448]</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M, Lin Y, Liu P, Liu X, Li X, Li A, Yang R, Ni W, Zhou X, Zhang 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B, Lin J, Chen J,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Y. Adjuvant chemotherapy does not benefit patients with esophageal squamous cell carcinoma treated with definitive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150 [PMID: 30111361 DOI: 10.1186/s13014-018-1086-y]</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color w:val="000000"/>
        </w:rPr>
        <w:t xml:space="preserve">, Gong Y,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P, Huang Q, Wen Y, Lin B,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H, He B,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P, Miao J, Du X. Comparison of the clinical efficacy between single-agent and dual-agent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in the treatment of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esophageal squamous cell carcinoma: a multicenter retrospective analysis.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12 [PMID: 29357883 DOI: 10.1186/s13014-018-0958-5]</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Zhao L</w:t>
      </w:r>
      <w:r>
        <w:rPr>
          <w:rFonts w:ascii="Book Antiqua" w:eastAsia="Book Antiqua" w:hAnsi="Book Antiqua" w:cs="Book Antiqua"/>
          <w:color w:val="000000"/>
        </w:rPr>
        <w:t xml:space="preserve">, Zhou Y, Pan H, Yin Y, Chai G, Mu Y, Xiao F, Lin SH, Shi M. Radiotherapy Alone or Concurrent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for Esophageal Squamous Cell Carcinoma in Elderly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3242-3250 [PMID: 29158796 DOI: 10.7150/jca.20835]</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Chen MQ, Chen C, Lu HJ,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BH. Efficacy and toxicity of </w:t>
      </w:r>
      <w:proofErr w:type="spellStart"/>
      <w:r>
        <w:rPr>
          <w:rFonts w:ascii="Book Antiqua" w:eastAsia="Book Antiqua" w:hAnsi="Book Antiqua" w:cs="Book Antiqua"/>
          <w:color w:val="000000"/>
        </w:rPr>
        <w:t>nimotuzumab</w:t>
      </w:r>
      <w:proofErr w:type="spellEnd"/>
      <w:r>
        <w:rPr>
          <w:rFonts w:ascii="Book Antiqua" w:eastAsia="Book Antiqua" w:hAnsi="Book Antiqua" w:cs="Book Antiqua"/>
          <w:color w:val="000000"/>
        </w:rPr>
        <w:t xml:space="preserve"> combined with radiotherapy in elderly patients with esophageal squamous cell carcinoma.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1135-1138 [PMID: 26623065 DOI: 10.3892/mco.2015.606]</w:t>
      </w:r>
    </w:p>
    <w:p w:rsidR="00816666" w:rsidRDefault="00513980">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Ohba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Kato K, Ito Y,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Ishiyama</w:t>
      </w:r>
      <w:proofErr w:type="spellEnd"/>
      <w:r>
        <w:rPr>
          <w:rFonts w:ascii="Book Antiqua" w:eastAsia="Book Antiqua" w:hAnsi="Book Antiqua" w:cs="Book Antiqua"/>
          <w:color w:val="000000"/>
        </w:rPr>
        <w:t xml:space="preserve"> H, Yamamoto S,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Kodaira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S, Tamaki Y.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therapy with </w:t>
      </w:r>
      <w:proofErr w:type="spellStart"/>
      <w:r>
        <w:rPr>
          <w:rFonts w:ascii="Book Antiqua" w:eastAsia="Book Antiqua" w:hAnsi="Book Antiqua" w:cs="Book Antiqua"/>
          <w:color w:val="000000"/>
        </w:rPr>
        <w:t>docetaxel</w:t>
      </w:r>
      <w:proofErr w:type="spellEnd"/>
      <w:r>
        <w:rPr>
          <w:rFonts w:ascii="Book Antiqua" w:eastAsia="Book Antiqua" w:hAnsi="Book Antiqua" w:cs="Book Antiqua"/>
          <w:color w:val="000000"/>
        </w:rPr>
        <w:t xml:space="preserve"> in elderly patients with stage II/III esophageal cancer: A phase 2 trial.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230-236 [PMID: 28740892 DOI: 10.1016/j.adro.2016.07.002]</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Suh</w:t>
      </w:r>
      <w:proofErr w:type="spellEnd"/>
      <w:r>
        <w:rPr>
          <w:rFonts w:ascii="Book Antiqua" w:eastAsia="Book Antiqua" w:hAnsi="Book Antiqua" w:cs="Book Antiqua"/>
          <w:color w:val="000000"/>
        </w:rPr>
        <w:t xml:space="preserve"> YG, Lee YC, Lee SK, Shin SK, Cho BC, Lee CG. Dose-Response Relationship between Radiation Dose and Loco-regional Control in Patients with Stage II-III Esophageal Cancer Treated with Definitive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669-677 [PMID: 27737537 DOI: 10.4143/crt.2016.354]</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Y, Wang X, Han G, Wang P, Yuan W, Dai SB. Dose-escalated radiotherapy improved survival for esophageal cancer patients with a clinical complete response after standard-dose radiotherapy with concurrent chemotherapy.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2675-2682 [PMID: 30147366 DOI: 10.2147/CMAR.S160909]</w:t>
      </w:r>
    </w:p>
    <w:p w:rsidR="00816666" w:rsidRDefault="00513980">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Hulshof MCCM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ARTDECO study group.</w:t>
      </w:r>
      <w:proofErr w:type="gramEnd"/>
      <w:r>
        <w:rPr>
          <w:rFonts w:ascii="Book Antiqua" w:eastAsia="Book Antiqua" w:hAnsi="Book Antiqua" w:cs="Book Antiqua"/>
          <w:color w:val="000000"/>
        </w:rPr>
        <w:t xml:space="preserve"> Reply to C. </w:t>
      </w:r>
      <w:proofErr w:type="spellStart"/>
      <w:r>
        <w:rPr>
          <w:rFonts w:ascii="Book Antiqua" w:eastAsia="Book Antiqua" w:hAnsi="Book Antiqua" w:cs="Book Antiqua"/>
          <w:color w:val="000000"/>
        </w:rPr>
        <w:t>Pöttgen</w:t>
      </w:r>
      <w:proofErr w:type="spellEnd"/>
      <w:r>
        <w:rPr>
          <w:rFonts w:ascii="Book Antiqua" w:eastAsia="Book Antiqua" w:hAnsi="Book Antiqua" w:cs="Book Antiqua"/>
          <w:color w:val="000000"/>
        </w:rPr>
        <w:t xml:space="preserve"> et al and Y.-H. Lin et 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3882-3883 [PMID: 34554862 DOI: 10.1200/JCO.21.01980]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Lin SH</w:t>
      </w:r>
      <w:r>
        <w:rPr>
          <w:rFonts w:ascii="Book Antiqua" w:eastAsia="Book Antiqua" w:hAnsi="Book Antiqua" w:cs="Book Antiqua"/>
          <w:color w:val="000000"/>
        </w:rPr>
        <w:t xml:space="preserve">, Zhang N, </w:t>
      </w:r>
      <w:proofErr w:type="spellStart"/>
      <w:r>
        <w:rPr>
          <w:rFonts w:ascii="Book Antiqua" w:eastAsia="Book Antiqua" w:hAnsi="Book Antiqua" w:cs="Book Antiqua"/>
          <w:color w:val="000000"/>
        </w:rPr>
        <w:t>Godby</w:t>
      </w:r>
      <w:proofErr w:type="spellEnd"/>
      <w:r>
        <w:rPr>
          <w:rFonts w:ascii="Book Antiqua" w:eastAsia="Book Antiqua" w:hAnsi="Book Antiqua" w:cs="Book Antiqua"/>
          <w:color w:val="000000"/>
        </w:rPr>
        <w:t xml:space="preserve"> J, Wang J, Marsh GD, Liao Z, Komaki R, Ho L, </w:t>
      </w:r>
      <w:proofErr w:type="spellStart"/>
      <w:r>
        <w:rPr>
          <w:rFonts w:ascii="Book Antiqua" w:eastAsia="Book Antiqua" w:hAnsi="Book Antiqua" w:cs="Book Antiqua"/>
          <w:color w:val="000000"/>
        </w:rPr>
        <w:t>Hofstetter</w:t>
      </w:r>
      <w:proofErr w:type="spellEnd"/>
      <w:r>
        <w:rPr>
          <w:rFonts w:ascii="Book Antiqua" w:eastAsia="Book Antiqua" w:hAnsi="Book Antiqua" w:cs="Book Antiqua"/>
          <w:color w:val="000000"/>
        </w:rPr>
        <w:t xml:space="preserve"> WL, Swisher SG, </w:t>
      </w:r>
      <w:proofErr w:type="spellStart"/>
      <w:r>
        <w:rPr>
          <w:rFonts w:ascii="Book Antiqua" w:eastAsia="Book Antiqua" w:hAnsi="Book Antiqua" w:cs="Book Antiqua"/>
          <w:color w:val="000000"/>
        </w:rPr>
        <w:t>Mehran</w:t>
      </w:r>
      <w:proofErr w:type="spellEnd"/>
      <w:r>
        <w:rPr>
          <w:rFonts w:ascii="Book Antiqua" w:eastAsia="Book Antiqua" w:hAnsi="Book Antiqua" w:cs="Book Antiqua"/>
          <w:color w:val="000000"/>
        </w:rPr>
        <w:t xml:space="preserve"> RJ, Buchholz TA, </w:t>
      </w:r>
      <w:proofErr w:type="spellStart"/>
      <w:r>
        <w:rPr>
          <w:rFonts w:ascii="Book Antiqua" w:eastAsia="Book Antiqua" w:hAnsi="Book Antiqua" w:cs="Book Antiqua"/>
          <w:color w:val="000000"/>
        </w:rPr>
        <w:t>Elting</w:t>
      </w:r>
      <w:proofErr w:type="spellEnd"/>
      <w:r>
        <w:rPr>
          <w:rFonts w:ascii="Book Antiqua" w:eastAsia="Book Antiqua" w:hAnsi="Book Antiqua" w:cs="Book Antiqua"/>
          <w:color w:val="000000"/>
        </w:rPr>
        <w:t xml:space="preserve"> LS, Giordano SH. Radiation modality use and cardiopulmonary mortality risk in elderly patients with esophageal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917-928 [PMID: 26716915 DOI: 10.1002/cncr.29857]</w:t>
      </w:r>
    </w:p>
    <w:p w:rsidR="00816666" w:rsidRDefault="00513980">
      <w:pPr>
        <w:spacing w:line="360" w:lineRule="auto"/>
        <w:jc w:val="both"/>
        <w:rPr>
          <w:rFonts w:ascii="Book Antiqua" w:hAnsi="Book Antiqua"/>
        </w:rPr>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Streeter OE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Martz KL, Gaspar LE, </w:t>
      </w:r>
      <w:proofErr w:type="spellStart"/>
      <w:r>
        <w:rPr>
          <w:rFonts w:ascii="Book Antiqua" w:eastAsia="Book Antiqua" w:hAnsi="Book Antiqua" w:cs="Book Antiqua"/>
          <w:color w:val="000000"/>
        </w:rPr>
        <w:t>Delrowe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Asbell</w:t>
      </w:r>
      <w:proofErr w:type="spellEnd"/>
      <w:r>
        <w:rPr>
          <w:rFonts w:ascii="Book Antiqua" w:eastAsia="Book Antiqua" w:hAnsi="Book Antiqua" w:cs="Book Antiqua"/>
          <w:color w:val="000000"/>
        </w:rPr>
        <w:t xml:space="preserve"> SO, Salter MM, Roach M 3rd.</w:t>
      </w:r>
      <w:proofErr w:type="gramEnd"/>
      <w:r>
        <w:rPr>
          <w:rFonts w:ascii="Book Antiqua" w:eastAsia="Book Antiqua" w:hAnsi="Book Antiqua" w:cs="Book Antiqua"/>
          <w:color w:val="000000"/>
        </w:rPr>
        <w:t xml:space="preserve"> Does race influence survival for esophageal cancer patients treated on the radiation and chemotherapy arm of RTOG #85-01?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1047-1052 [PMID: 10421537 DOI: 10.1016/s0360-3016(99)00100-5]</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Minsky</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Pajak</w:t>
      </w:r>
      <w:proofErr w:type="spellEnd"/>
      <w:r>
        <w:rPr>
          <w:rFonts w:ascii="Book Antiqua" w:eastAsia="Book Antiqua" w:hAnsi="Book Antiqua" w:cs="Book Antiqua"/>
          <w:color w:val="000000"/>
        </w:rPr>
        <w:t xml:space="preserve"> TF, Ginsberg RJ, </w:t>
      </w:r>
      <w:proofErr w:type="spellStart"/>
      <w:r>
        <w:rPr>
          <w:rFonts w:ascii="Book Antiqua" w:eastAsia="Book Antiqua" w:hAnsi="Book Antiqua" w:cs="Book Antiqua"/>
          <w:color w:val="000000"/>
        </w:rPr>
        <w:t>Pisansky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Martenson</w:t>
      </w:r>
      <w:proofErr w:type="spellEnd"/>
      <w:r>
        <w:rPr>
          <w:rFonts w:ascii="Book Antiqua" w:eastAsia="Book Antiqua" w:hAnsi="Book Antiqua" w:cs="Book Antiqua"/>
          <w:color w:val="000000"/>
        </w:rPr>
        <w:t xml:space="preserve"> J, Komaki R, </w:t>
      </w:r>
      <w:proofErr w:type="spellStart"/>
      <w:r>
        <w:rPr>
          <w:rFonts w:ascii="Book Antiqua" w:eastAsia="Book Antiqua" w:hAnsi="Book Antiqua" w:cs="Book Antiqua"/>
          <w:color w:val="000000"/>
        </w:rPr>
        <w:t>Okawara</w:t>
      </w:r>
      <w:proofErr w:type="spellEnd"/>
      <w:r>
        <w:rPr>
          <w:rFonts w:ascii="Book Antiqua" w:eastAsia="Book Antiqua" w:hAnsi="Book Antiqua" w:cs="Book Antiqua"/>
          <w:color w:val="000000"/>
        </w:rPr>
        <w:t xml:space="preserve"> G, Rosenthal SA,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INT 0123 (Radiation Therapy Oncology Group 94-05) phase III trial of combined-modality therapy for esophageal cancer: high-dose versus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standard-dose radiation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1167-1174 [PMID: 11870157 DOI: 10.1200/JCO.2002.20.5.1167]</w:t>
      </w:r>
    </w:p>
    <w:p w:rsidR="00816666" w:rsidRDefault="00513980">
      <w:pPr>
        <w:spacing w:line="360" w:lineRule="auto"/>
        <w:jc w:val="both"/>
        <w:rPr>
          <w:rFonts w:ascii="Book Antiqua" w:hAnsi="Book Antiqua"/>
        </w:rPr>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Liao Z, Chen Y, Chang JY, Jeter M, Guerrero T, Ajani J, </w:t>
      </w:r>
      <w:proofErr w:type="spellStart"/>
      <w:r>
        <w:rPr>
          <w:rFonts w:ascii="Book Antiqua" w:eastAsia="Book Antiqua" w:hAnsi="Book Antiqua" w:cs="Book Antiqua"/>
          <w:color w:val="000000"/>
        </w:rPr>
        <w:t>Phan</w:t>
      </w:r>
      <w:proofErr w:type="spellEnd"/>
      <w:r>
        <w:rPr>
          <w:rFonts w:ascii="Book Antiqua" w:eastAsia="Book Antiqua" w:hAnsi="Book Antiqua" w:cs="Book Antiqua"/>
          <w:color w:val="000000"/>
        </w:rPr>
        <w:t xml:space="preserve"> A, Swisher S, Allen P, Cox JD, Komaki R. Esophageal cancer located at the neck and upper thorax treated with concurrent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 single-institution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w:t>
      </w:r>
      <w:r>
        <w:rPr>
          <w:rFonts w:ascii="Book Antiqua" w:eastAsia="Book Antiqua" w:hAnsi="Book Antiqua" w:cs="Book Antiqua"/>
          <w:color w:val="000000"/>
        </w:rPr>
        <w:t>: 252-259 [PMID: 17409865 DOI: 10.1016/s1556-0864(15)31576-8]</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Okuma K, </w:t>
      </w:r>
      <w:proofErr w:type="spellStart"/>
      <w:r>
        <w:rPr>
          <w:rFonts w:ascii="Book Antiqua" w:eastAsia="Book Antiqua" w:hAnsi="Book Antiqua" w:cs="Book Antiqua"/>
          <w:color w:val="000000"/>
        </w:rPr>
        <w:t>Wakui</w:t>
      </w:r>
      <w:proofErr w:type="spellEnd"/>
      <w:r>
        <w:rPr>
          <w:rFonts w:ascii="Book Antiqua" w:eastAsia="Book Antiqua" w:hAnsi="Book Antiqua" w:cs="Book Antiqua"/>
          <w:color w:val="000000"/>
        </w:rPr>
        <w:t xml:space="preserve"> R, Kobayashi-Shibata S, </w:t>
      </w:r>
      <w:proofErr w:type="spellStart"/>
      <w:r>
        <w:rPr>
          <w:rFonts w:ascii="Book Antiqua" w:eastAsia="Book Antiqua" w:hAnsi="Book Antiqua" w:cs="Book Antiqua"/>
          <w:color w:val="000000"/>
        </w:rPr>
        <w:t>Ohtomo</w:t>
      </w:r>
      <w:proofErr w:type="spellEnd"/>
      <w:r>
        <w:rPr>
          <w:rFonts w:ascii="Book Antiqua" w:eastAsia="Book Antiqua" w:hAnsi="Book Antiqua" w:cs="Book Antiqua"/>
          <w:color w:val="000000"/>
        </w:rPr>
        <w:t xml:space="preserve"> K, Nakagawa K. Details of recurrence sites after elective nodal irradiation (ENI) using 3D-conformal radiotherapy (3D-CRT) combined with chemotherapy for thoracic esophageal squamous cell carcinoma--a retrospective analysis.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255-260 [PMID: 21074880 DOI: 10.1016/j.radonc.2010.10.021]</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Kato K</w:t>
      </w:r>
      <w:r>
        <w:rPr>
          <w:rFonts w:ascii="Book Antiqua" w:eastAsia="Book Antiqua" w:hAnsi="Book Antiqua" w:cs="Book Antiqua"/>
          <w:color w:val="000000"/>
        </w:rPr>
        <w:t xml:space="preserve">, Nakajima TE, Ito Y,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Ishiyama</w:t>
      </w:r>
      <w:proofErr w:type="spellEnd"/>
      <w:r>
        <w:rPr>
          <w:rFonts w:ascii="Book Antiqua" w:eastAsia="Book Antiqua" w:hAnsi="Book Antiqua" w:cs="Book Antiqua"/>
          <w:color w:val="000000"/>
        </w:rPr>
        <w:t xml:space="preserve"> H, Tokunaga SY, Tanaka M, </w:t>
      </w:r>
      <w:proofErr w:type="spellStart"/>
      <w:r>
        <w:rPr>
          <w:rFonts w:ascii="Book Antiqua" w:eastAsia="Book Antiqua" w:hAnsi="Book Antiqua" w:cs="Book Antiqua"/>
          <w:color w:val="000000"/>
        </w:rPr>
        <w:t>Hironaka</w:t>
      </w:r>
      <w:proofErr w:type="spellEnd"/>
      <w:r>
        <w:rPr>
          <w:rFonts w:ascii="Book Antiqua" w:eastAsia="Book Antiqua" w:hAnsi="Book Antiqua" w:cs="Book Antiqua"/>
          <w:color w:val="000000"/>
        </w:rPr>
        <w:t xml:space="preserve"> S, Hashimoto T,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Kodaira</w:t>
      </w:r>
      <w:proofErr w:type="spellEnd"/>
      <w:r>
        <w:rPr>
          <w:rFonts w:ascii="Book Antiqua" w:eastAsia="Book Antiqua" w:hAnsi="Book Antiqua" w:cs="Book Antiqua"/>
          <w:color w:val="000000"/>
        </w:rPr>
        <w:t xml:space="preserve"> T, Yoshimura K. Phase II study of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at the dose of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elective nodal irradiation for Stage II-III esophageal carcinoma.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608-615 [PMID: 23585687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/hyt048]</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Fernandes</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 Finlay J, </w:t>
      </w:r>
      <w:proofErr w:type="spellStart"/>
      <w:r>
        <w:rPr>
          <w:rFonts w:ascii="Book Antiqua" w:eastAsia="Book Antiqua" w:hAnsi="Book Antiqua" w:cs="Book Antiqua"/>
          <w:color w:val="000000"/>
        </w:rPr>
        <w:t>Mitra</w:t>
      </w:r>
      <w:proofErr w:type="spellEnd"/>
      <w:r>
        <w:rPr>
          <w:rFonts w:ascii="Book Antiqua" w:eastAsia="Book Antiqua" w:hAnsi="Book Antiqua" w:cs="Book Antiqua"/>
          <w:color w:val="000000"/>
        </w:rPr>
        <w:t xml:space="preserve"> N, Evans T, Stevenson J, Langer C, Lin L, Hahn S, </w:t>
      </w:r>
      <w:proofErr w:type="spellStart"/>
      <w:r>
        <w:rPr>
          <w:rFonts w:ascii="Book Antiqua" w:eastAsia="Book Antiqua" w:hAnsi="Book Antiqua" w:cs="Book Antiqua"/>
          <w:color w:val="000000"/>
        </w:rPr>
        <w:t>Glatstein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Rengan</w:t>
      </w:r>
      <w:proofErr w:type="spellEnd"/>
      <w:r>
        <w:rPr>
          <w:rFonts w:ascii="Book Antiqua" w:eastAsia="Book Antiqua" w:hAnsi="Book Antiqua" w:cs="Book Antiqua"/>
          <w:color w:val="000000"/>
        </w:rPr>
        <w:t xml:space="preserve"> R. Elective nodal irradiation (ENI) vs. involved field radiotherapy (IFRT) for locally advanced non-small cell lung cancer (NSCLC): A comparative analysis of toxicities and clinical outcomes.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178-184 [PMID: 20356642 DOI: 10.1016/j.radonc.2010.02.007]</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Zhao KL</w:t>
      </w:r>
      <w:r>
        <w:rPr>
          <w:rFonts w:ascii="Book Antiqua" w:eastAsia="Book Antiqua" w:hAnsi="Book Antiqua" w:cs="Book Antiqua"/>
          <w:color w:val="000000"/>
        </w:rPr>
        <w:t xml:space="preserve">, Ma JB, Liu G, Wu KL, Shi XH, Jiang GL. Three-dimensional conformal radiation therapy for esophageal squamous cell carcinoma: is elective nodal irradiation necessary?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76</w:t>
      </w:r>
      <w:r>
        <w:rPr>
          <w:rFonts w:ascii="Book Antiqua" w:eastAsia="Book Antiqua" w:hAnsi="Book Antiqua" w:cs="Book Antiqua"/>
          <w:color w:val="000000"/>
        </w:rPr>
        <w:t>: 446-451 [PMID: 20004527 DOI: 10.1016/j.ijrobp.2009.02.078]</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Ma JB</w:t>
      </w:r>
      <w:r>
        <w:rPr>
          <w:rFonts w:ascii="Book Antiqua" w:eastAsia="Book Antiqua" w:hAnsi="Book Antiqua" w:cs="Book Antiqua"/>
          <w:color w:val="000000"/>
        </w:rPr>
        <w:t xml:space="preserve">, Song YP, Yu JM, Zhou W, Cheng EC, Zhang XQ, Kong L. Feasibility of involved-field conformal radiotherapy for cervical and upper-thoracic esophageal cancer. </w:t>
      </w:r>
      <w:proofErr w:type="spellStart"/>
      <w:r>
        <w:rPr>
          <w:rFonts w:ascii="Book Antiqua" w:eastAsia="Book Antiqua" w:hAnsi="Book Antiqua" w:cs="Book Antiqua"/>
          <w:i/>
          <w:iCs/>
          <w:color w:val="000000"/>
        </w:rPr>
        <w:t>Onkologie</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599-604 [PMID: 22104156 DOI: 10.1159/000334194]</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Liu M</w:t>
      </w:r>
      <w:r>
        <w:rPr>
          <w:rFonts w:ascii="Book Antiqua" w:eastAsia="Book Antiqua" w:hAnsi="Book Antiqua" w:cs="Book Antiqua"/>
          <w:color w:val="000000"/>
        </w:rPr>
        <w:t xml:space="preserve">, Zhao K, Chen Y, Jiang GL. Evaluation of the value of ENI in radiotherapy for cervical and upper thoracic esophageal cancer: a retrospective analysis.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232 [PMID: 25344056 DOI: 10.1186/s13014-014-0232-4]</w:t>
      </w:r>
    </w:p>
    <w:p w:rsidR="00816666" w:rsidRDefault="00513980">
      <w:pPr>
        <w:spacing w:line="360" w:lineRule="auto"/>
        <w:jc w:val="both"/>
        <w:rPr>
          <w:rFonts w:ascii="Book Antiqua" w:hAnsi="Book Antiqua"/>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Jing W</w:t>
      </w:r>
      <w:r>
        <w:rPr>
          <w:rFonts w:ascii="Book Antiqua" w:eastAsia="Book Antiqua" w:hAnsi="Book Antiqua" w:cs="Book Antiqua"/>
          <w:color w:val="000000"/>
        </w:rPr>
        <w:t xml:space="preserve">, Zhu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Zhang Y, Shi F, Han A, Li M, Kong L, Yu J. Correction: Feasibility of Elective Nodal Irradiation (ENI) and Involved Field Irradiation (IFI) in Radiotherapy for the Elderly Patients (Aged ≥ 70 Years) with Esophageal Squamous Cell Cancer: A Retrospective Analysis from a Single Institute.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e0147453 [PMID: 26807574 DOI: 10.1371/journal.pone.0147453]</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Voncken</w:t>
      </w:r>
      <w:proofErr w:type="spellEnd"/>
      <w:r>
        <w:rPr>
          <w:rFonts w:ascii="Book Antiqua" w:eastAsia="Book Antiqua" w:hAnsi="Book Antiqua" w:cs="Book Antiqua"/>
          <w:b/>
          <w:bCs/>
          <w:color w:val="000000"/>
        </w:rPr>
        <w:t xml:space="preserve"> FEM</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Kaaij</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Sikorska</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Werkhoven</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Grootscholten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Snaebjornsson</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Sandick</w:t>
      </w:r>
      <w:proofErr w:type="spellEnd"/>
      <w:r>
        <w:rPr>
          <w:rFonts w:ascii="Book Antiqua" w:eastAsia="Book Antiqua" w:hAnsi="Book Antiqua" w:cs="Book Antiqua"/>
          <w:color w:val="000000"/>
        </w:rPr>
        <w:t xml:space="preserve"> JW, Aleman BMP. Advanced Age is Not a Contraindication for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Curative Intent in Esophageal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919-926 [PMID: 28763327 DOI: 10.1097/COC.0000000000000390]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Xi M, Moreno A,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Y, Hobbs BP, Huang M, Komaki R, </w:t>
      </w:r>
      <w:proofErr w:type="gramStart"/>
      <w:r>
        <w:rPr>
          <w:rFonts w:ascii="Book Antiqua" w:eastAsia="Book Antiqua" w:hAnsi="Book Antiqua" w:cs="Book Antiqua"/>
          <w:color w:val="000000"/>
        </w:rPr>
        <w:t>Lin</w:t>
      </w:r>
      <w:proofErr w:type="gramEnd"/>
      <w:r>
        <w:rPr>
          <w:rFonts w:ascii="Book Antiqua" w:eastAsia="Book Antiqua" w:hAnsi="Book Antiqua" w:cs="Book Antiqua"/>
          <w:color w:val="000000"/>
        </w:rPr>
        <w:t xml:space="preserve"> SH. Definitive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Therapy for Esophageal Cancer in the Elderly: Clinical Outcomes for Patients Exceeding 80 Years Old.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98</w:t>
      </w:r>
      <w:r>
        <w:rPr>
          <w:rFonts w:ascii="Book Antiqua" w:eastAsia="Book Antiqua" w:hAnsi="Book Antiqua" w:cs="Book Antiqua"/>
          <w:color w:val="000000"/>
        </w:rPr>
        <w:t>: 811-819 [PMID: 28602412 DOI: 10.1016/j.ijrobp.2017.02.097]</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Xi M, Zhao L,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JX, Li QQ, He LR, Liu SL, Liu MZ. Is there a benefit in receiving concurrent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elderly patients with inoperable thoracic esophageal squamous cell 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e105270 [PMID: 25133495 DOI: 10.1371/journal.pone.0105270]</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Jingu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Takahashi N, Murakami Y, Ishikawa K, </w:t>
      </w:r>
      <w:proofErr w:type="spellStart"/>
      <w:r>
        <w:rPr>
          <w:rFonts w:ascii="Book Antiqua" w:eastAsia="Book Antiqua" w:hAnsi="Book Antiqua" w:cs="Book Antiqua"/>
          <w:color w:val="000000"/>
        </w:rPr>
        <w:t>Itasaka</w:t>
      </w:r>
      <w:proofErr w:type="spellEnd"/>
      <w:r>
        <w:rPr>
          <w:rFonts w:ascii="Book Antiqua" w:eastAsia="Book Antiqua" w:hAnsi="Book Antiqua" w:cs="Book Antiqua"/>
          <w:color w:val="000000"/>
        </w:rPr>
        <w:t xml:space="preserve"> S, Takahashi T, </w:t>
      </w:r>
      <w:proofErr w:type="spellStart"/>
      <w:r>
        <w:rPr>
          <w:rFonts w:ascii="Book Antiqua" w:eastAsia="Book Antiqua" w:hAnsi="Book Antiqua" w:cs="Book Antiqua"/>
          <w:color w:val="000000"/>
        </w:rPr>
        <w:t>Isohashi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Sakayauchi</w:t>
      </w:r>
      <w:proofErr w:type="spellEnd"/>
      <w:r>
        <w:rPr>
          <w:rFonts w:ascii="Book Antiqua" w:eastAsia="Book Antiqua" w:hAnsi="Book Antiqua" w:cs="Book Antiqua"/>
          <w:color w:val="000000"/>
        </w:rPr>
        <w:t xml:space="preserve"> T, Ogawa K; JROSG Working Subgroup of Gastrointestinal Cancers. Is Concurrent Chemotherapy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Radiotherapy for Esophageal Cancer Beneficial in Patients Aged 80 Years or Older?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4279-4283 [PMID: 31366518 DOI: 10.21873/anticanres.13592]</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Li C</w:t>
      </w:r>
      <w:r>
        <w:rPr>
          <w:rFonts w:ascii="Book Antiqua" w:eastAsia="Book Antiqua" w:hAnsi="Book Antiqua" w:cs="Book Antiqua"/>
          <w:color w:val="000000"/>
        </w:rPr>
        <w:t xml:space="preserve">, Wang X, Wang X, Han C, Wang P, Pang Q, Chen J, Sun X, Wang L, Zhang W, Lin Y,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X, Zhou Z, Ni W, Chang X, Liang J, Deng L, Wang W, Zhao Y, Xiao Z. Correction to: A multicenter phase III study comparing Simultaneous Integrated Boost (SIB) radiotherapy concurrent and consolidated with S-1 versus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SIB alone in elderly patients with esophageal and </w:t>
      </w:r>
      <w:proofErr w:type="spellStart"/>
      <w:r>
        <w:rPr>
          <w:rFonts w:ascii="Book Antiqua" w:eastAsia="Book Antiqua" w:hAnsi="Book Antiqua" w:cs="Book Antiqua"/>
          <w:color w:val="000000"/>
        </w:rPr>
        <w:t>esophagogastric</w:t>
      </w:r>
      <w:proofErr w:type="spellEnd"/>
      <w:r>
        <w:rPr>
          <w:rFonts w:ascii="Book Antiqua" w:eastAsia="Book Antiqua" w:hAnsi="Book Antiqua" w:cs="Book Antiqua"/>
          <w:color w:val="000000"/>
        </w:rPr>
        <w:t xml:space="preserve"> cancer - the 3JECROG P-01 study protocol.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492 [PMID: 31122185 DOI: 10.1186/s12885-019-5699-9]</w:t>
      </w:r>
    </w:p>
    <w:p w:rsidR="00816666" w:rsidRDefault="00816666">
      <w:pPr>
        <w:spacing w:line="360" w:lineRule="auto"/>
        <w:jc w:val="both"/>
        <w:rPr>
          <w:rFonts w:ascii="Book Antiqua" w:hAnsi="Book Antiqua"/>
        </w:rPr>
        <w:sectPr w:rsidR="00816666">
          <w:footerReference w:type="default" r:id="rId8"/>
          <w:pgSz w:w="12240" w:h="15840"/>
          <w:pgMar w:top="1440" w:right="1440" w:bottom="1440" w:left="1440" w:header="720" w:footer="720" w:gutter="0"/>
          <w:cols w:space="720"/>
          <w:docGrid w:linePitch="360"/>
        </w:sectPr>
      </w:pPr>
    </w:p>
    <w:p w:rsidR="00816666" w:rsidRDefault="0051398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Chinese PLA General Hospital Institutional Review Board (Approval No. </w:t>
      </w:r>
      <w:proofErr w:type="gramStart"/>
      <w:r>
        <w:rPr>
          <w:rFonts w:ascii="Book Antiqua" w:eastAsia="Book Antiqua" w:hAnsi="Book Antiqua" w:cs="Book Antiqua"/>
          <w:color w:val="000000"/>
        </w:rPr>
        <w:t>S2018-031-01).</w:t>
      </w:r>
      <w:proofErr w:type="gramEnd"/>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http://www.chictr.org.cn. The registration identification number is ChiCTR1800014739.</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All the authors report no conflict of interest to this article.</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fmmuli3786@163.com. Participants gave informed consent for data sharing.</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16666" w:rsidRDefault="00816666">
      <w:pPr>
        <w:spacing w:line="360" w:lineRule="auto"/>
        <w:jc w:val="both"/>
        <w:rPr>
          <w:rFonts w:ascii="Book Antiqua" w:hAnsi="Book Antiqua"/>
        </w:rPr>
      </w:pPr>
    </w:p>
    <w:p w:rsidR="00816666" w:rsidRPr="00BC60CD" w:rsidRDefault="00513980">
      <w:pPr>
        <w:spacing w:line="360" w:lineRule="auto"/>
        <w:jc w:val="both"/>
        <w:rPr>
          <w:rFonts w:ascii="Book Antiqua" w:hAnsi="Book Antiqua"/>
          <w:lang w:eastAsia="zh-CN"/>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r w:rsidR="00BC60CD">
        <w:rPr>
          <w:rFonts w:ascii="Book Antiqua" w:hAnsi="Book Antiqua" w:cs="Book Antiqua" w:hint="eastAsia"/>
          <w:color w:val="000000"/>
          <w:lang w:eastAsia="zh-CN"/>
        </w:rPr>
        <w:t>.</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2022</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30, 2022</w:t>
      </w:r>
    </w:p>
    <w:p w:rsidR="00816666" w:rsidRDefault="00513980">
      <w:pPr>
        <w:spacing w:line="360" w:lineRule="auto"/>
        <w:jc w:val="both"/>
        <w:rPr>
          <w:rFonts w:ascii="Book Antiqua" w:eastAsia="宋体" w:hAnsi="Book Antiqua"/>
          <w:bCs/>
          <w:lang w:eastAsia="zh-CN"/>
        </w:rPr>
      </w:pPr>
      <w:r>
        <w:rPr>
          <w:rFonts w:ascii="Book Antiqua" w:eastAsia="Book Antiqua" w:hAnsi="Book Antiqua" w:cs="Book Antiqua"/>
          <w:b/>
          <w:color w:val="000000"/>
        </w:rPr>
        <w:t>Article in press:</w:t>
      </w:r>
      <w:r>
        <w:rPr>
          <w:rFonts w:ascii="Book Antiqua" w:eastAsia="宋体" w:hAnsi="Book Antiqua" w:cs="Book Antiqua" w:hint="eastAsia"/>
          <w:b/>
          <w:color w:val="000000"/>
          <w:lang w:eastAsia="zh-CN"/>
        </w:rPr>
        <w:t xml:space="preserve"> </w:t>
      </w:r>
      <w:r>
        <w:rPr>
          <w:rFonts w:ascii="Book Antiqua" w:eastAsia="Book Antiqua" w:hAnsi="Book Antiqua" w:cs="Book Antiqua"/>
          <w:color w:val="000000"/>
        </w:rPr>
        <w:t>June 14, 2022</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16666" w:rsidRDefault="0051398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816666" w:rsidRDefault="00513980">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816666" w:rsidRDefault="00513980">
      <w:pPr>
        <w:spacing w:line="360" w:lineRule="auto"/>
        <w:jc w:val="both"/>
        <w:rPr>
          <w:rFonts w:ascii="Book Antiqua" w:hAnsi="Book Antiqua"/>
        </w:rPr>
      </w:pPr>
      <w:r>
        <w:rPr>
          <w:rFonts w:ascii="Book Antiqua" w:eastAsia="Book Antiqua" w:hAnsi="Book Antiqua" w:cs="Book Antiqua"/>
          <w:color w:val="000000"/>
        </w:rPr>
        <w:t>Grade B (Very good): B</w:t>
      </w:r>
    </w:p>
    <w:p w:rsidR="00816666" w:rsidRDefault="00513980">
      <w:pPr>
        <w:spacing w:line="360" w:lineRule="auto"/>
        <w:jc w:val="both"/>
        <w:rPr>
          <w:rFonts w:ascii="Book Antiqua" w:hAnsi="Book Antiqua"/>
        </w:rPr>
      </w:pPr>
      <w:r>
        <w:rPr>
          <w:rFonts w:ascii="Book Antiqua" w:eastAsia="Book Antiqua" w:hAnsi="Book Antiqua" w:cs="Book Antiqua"/>
          <w:color w:val="000000"/>
        </w:rPr>
        <w:t>Grade C (Good): C</w:t>
      </w:r>
    </w:p>
    <w:p w:rsidR="00816666" w:rsidRDefault="00513980">
      <w:pPr>
        <w:spacing w:line="360" w:lineRule="auto"/>
        <w:jc w:val="both"/>
        <w:rPr>
          <w:rFonts w:ascii="Book Antiqua" w:hAnsi="Book Antiqua"/>
        </w:rPr>
      </w:pPr>
      <w:r>
        <w:rPr>
          <w:rFonts w:ascii="Book Antiqua" w:eastAsia="Book Antiqua" w:hAnsi="Book Antiqua" w:cs="Book Antiqua"/>
          <w:color w:val="000000"/>
        </w:rPr>
        <w:t>Grade D (Fair): 0</w:t>
      </w:r>
    </w:p>
    <w:p w:rsidR="00816666" w:rsidRDefault="00513980">
      <w:pPr>
        <w:spacing w:line="360" w:lineRule="auto"/>
        <w:jc w:val="both"/>
        <w:rPr>
          <w:rFonts w:ascii="Book Antiqua" w:hAnsi="Book Antiqua"/>
        </w:rPr>
      </w:pPr>
      <w:r>
        <w:rPr>
          <w:rFonts w:ascii="Book Antiqua" w:eastAsia="Book Antiqua" w:hAnsi="Book Antiqua" w:cs="Book Antiqua"/>
          <w:color w:val="000000"/>
        </w:rPr>
        <w:t>Grade E (Poor): 0</w:t>
      </w:r>
    </w:p>
    <w:p w:rsidR="00816666" w:rsidRDefault="00816666">
      <w:pPr>
        <w:spacing w:line="360" w:lineRule="auto"/>
        <w:jc w:val="both"/>
        <w:rPr>
          <w:rFonts w:ascii="Book Antiqua" w:hAnsi="Book Antiqua"/>
        </w:rPr>
      </w:pPr>
    </w:p>
    <w:p w:rsidR="00816666" w:rsidRDefault="005139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Ozawa S, Japan; </w:t>
      </w:r>
      <w:proofErr w:type="spellStart"/>
      <w:r>
        <w:rPr>
          <w:rFonts w:ascii="Book Antiqua" w:eastAsia="Book Antiqua" w:hAnsi="Book Antiqua" w:cs="Book Antiqua"/>
          <w:color w:val="000000"/>
        </w:rPr>
        <w:t>Saragoni</w:t>
      </w:r>
      <w:proofErr w:type="spellEnd"/>
      <w:r>
        <w:rPr>
          <w:rFonts w:ascii="Book Antiqua" w:eastAsia="Book Antiqua" w:hAnsi="Book Antiqua" w:cs="Book Antiqua"/>
          <w:color w:val="000000"/>
        </w:rPr>
        <w:t xml:space="preserve"> L,</w:t>
      </w:r>
      <w:r>
        <w:rPr>
          <w:rFonts w:ascii="Book Antiqua" w:hAnsi="Book Antiqua"/>
        </w:rPr>
        <w:t xml:space="preserve"> </w:t>
      </w:r>
      <w:r>
        <w:rPr>
          <w:rFonts w:ascii="Book Antiqua" w:eastAsia="Book Antiqua" w:hAnsi="Book Antiqua" w:cs="Book Antiqua"/>
          <w:color w:val="000000"/>
        </w:rPr>
        <w:t>Italy</w:t>
      </w:r>
      <w:r>
        <w:rPr>
          <w:rFonts w:ascii="Book Antiqua" w:eastAsia="Book Antiqua" w:hAnsi="Book Antiqua" w:cs="Book Antiqua"/>
          <w:b/>
          <w:color w:val="000000"/>
        </w:rPr>
        <w:t xml:space="preserve"> </w:t>
      </w:r>
      <w:bookmarkStart w:id="3" w:name="_Hlk105442182"/>
      <w:r>
        <w:rPr>
          <w:rFonts w:ascii="Book Antiqua" w:eastAsia="Book Antiqua" w:hAnsi="Book Antiqua" w:cs="Book Antiqua"/>
          <w:b/>
          <w:color w:val="000000"/>
        </w:rPr>
        <w:t>S-Editor:</w:t>
      </w:r>
      <w:bookmarkEnd w:id="3"/>
      <w:r>
        <w:rPr>
          <w:rFonts w:ascii="Book Antiqua" w:eastAsia="Book Antiqua" w:hAnsi="Book Antiqua" w:cs="Book Antiqua"/>
          <w:b/>
          <w:color w:val="000000"/>
        </w:rPr>
        <w:t xml:space="preserve">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t>
      </w:r>
      <w:r w:rsidR="00BC60CD">
        <w:rPr>
          <w:rFonts w:ascii="Book Antiqua" w:eastAsia="Book Antiqua" w:hAnsi="Book Antiqua" w:cs="Book Antiqua"/>
          <w:bCs/>
          <w:color w:val="000000"/>
        </w:rPr>
        <w:t>Wang JJ</w:t>
      </w:r>
    </w:p>
    <w:p w:rsidR="00816666" w:rsidRDefault="00816666">
      <w:pPr>
        <w:spacing w:line="360" w:lineRule="auto"/>
        <w:jc w:val="both"/>
        <w:rPr>
          <w:rFonts w:ascii="Book Antiqua" w:hAnsi="Book Antiqua"/>
        </w:rPr>
        <w:sectPr w:rsidR="00816666">
          <w:pgSz w:w="12240" w:h="15840"/>
          <w:pgMar w:top="1440" w:right="1440" w:bottom="1440" w:left="1440" w:header="720" w:footer="720" w:gutter="0"/>
          <w:cols w:space="720"/>
          <w:docGrid w:linePitch="360"/>
        </w:sectPr>
      </w:pPr>
    </w:p>
    <w:p w:rsidR="00816666" w:rsidRDefault="005139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16666" w:rsidRDefault="00513980">
      <w:pPr>
        <w:spacing w:line="360" w:lineRule="auto"/>
        <w:jc w:val="both"/>
        <w:rPr>
          <w:rFonts w:ascii="Book Antiqua" w:hAnsi="Book Antiqua"/>
        </w:rPr>
      </w:pPr>
      <w:r>
        <w:rPr>
          <w:rFonts w:ascii="Book Antiqua" w:hAnsi="Book Antiqua"/>
          <w:noProof/>
          <w:lang w:eastAsia="zh-CN"/>
        </w:rPr>
        <w:drawing>
          <wp:inline distT="0" distB="0" distL="0" distR="0">
            <wp:extent cx="5796631" cy="26746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796631" cy="2674620"/>
                    </a:xfrm>
                    <a:prstGeom prst="rect">
                      <a:avLst/>
                    </a:prstGeom>
                    <a:noFill/>
                    <a:ln>
                      <a:noFill/>
                    </a:ln>
                  </pic:spPr>
                </pic:pic>
              </a:graphicData>
            </a:graphic>
          </wp:inline>
        </w:drawing>
      </w:r>
    </w:p>
    <w:p w:rsidR="00816666" w:rsidRDefault="00513980">
      <w:pPr>
        <w:spacing w:line="360" w:lineRule="auto"/>
        <w:jc w:val="both"/>
        <w:rPr>
          <w:rFonts w:ascii="Book Antiqua" w:eastAsia="等线" w:hAnsi="Book Antiqua" w:cs="宋体"/>
          <w:color w:val="000000"/>
        </w:rPr>
      </w:pPr>
      <w:r>
        <w:rPr>
          <w:rFonts w:ascii="Book Antiqua" w:eastAsia="Book Antiqua" w:hAnsi="Book Antiqua" w:cs="Book Antiqua"/>
          <w:b/>
          <w:bCs/>
          <w:color w:val="000000"/>
        </w:rPr>
        <w:t>Figure 1</w:t>
      </w:r>
      <w:r>
        <w:rPr>
          <w:rFonts w:ascii="Book Antiqua" w:hAnsi="Book Antiqua"/>
          <w:b/>
          <w:bCs/>
        </w:rPr>
        <w:t xml:space="preserve">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progression-free and overall survival curves.</w:t>
      </w:r>
      <w:r w:rsidRPr="00BC60CD">
        <w:rPr>
          <w:rFonts w:ascii="Book Antiqua" w:eastAsia="Book Antiqua" w:hAnsi="Book Antiqua" w:cs="Book Antiqua"/>
          <w:b/>
          <w:color w:val="000000"/>
        </w:rPr>
        <w:t xml:space="preserve"> </w:t>
      </w:r>
      <w:r>
        <w:rPr>
          <w:rFonts w:ascii="Book Antiqua" w:eastAsia="Book Antiqua" w:hAnsi="Book Antiqua" w:cs="Book Antiqua"/>
          <w:color w:val="000000"/>
        </w:rPr>
        <w:t>A: The progression-free survival curves; B: The overall survival curves. PFS: Progression-free survival; OS: Overall survival; CRT:</w:t>
      </w:r>
      <w:r>
        <w:rPr>
          <w:rFonts w:ascii="Book Antiqua" w:eastAsia="等线" w:hAnsi="Book Antiqua" w:cs="宋体"/>
          <w:color w:val="000000"/>
        </w:rPr>
        <w:t xml:space="preserve"> Concurrent </w:t>
      </w:r>
      <w:proofErr w:type="spellStart"/>
      <w:r>
        <w:rPr>
          <w:rFonts w:ascii="Book Antiqua" w:eastAsia="等线" w:hAnsi="Book Antiqua" w:cs="宋体"/>
          <w:color w:val="000000"/>
        </w:rPr>
        <w:t>chemoradiotherapy</w:t>
      </w:r>
      <w:proofErr w:type="spellEnd"/>
      <w:r>
        <w:rPr>
          <w:rFonts w:ascii="Book Antiqua" w:eastAsia="等线" w:hAnsi="Book Antiqua" w:cs="宋体"/>
          <w:color w:val="000000"/>
        </w:rPr>
        <w:t>.</w:t>
      </w:r>
    </w:p>
    <w:p w:rsidR="00816666" w:rsidRDefault="00816666">
      <w:pPr>
        <w:spacing w:line="360" w:lineRule="auto"/>
        <w:jc w:val="both"/>
        <w:rPr>
          <w:rFonts w:ascii="Book Antiqua" w:hAnsi="Book Antiqua"/>
        </w:rPr>
        <w:sectPr w:rsidR="00816666">
          <w:pgSz w:w="12240" w:h="15840"/>
          <w:pgMar w:top="1440" w:right="1440" w:bottom="1440" w:left="1440" w:header="720" w:footer="720" w:gutter="0"/>
          <w:cols w:space="720"/>
          <w:docGrid w:linePitch="360"/>
        </w:sectPr>
      </w:pPr>
    </w:p>
    <w:p w:rsidR="00816666" w:rsidRDefault="00513980">
      <w:pPr>
        <w:pStyle w:val="A9"/>
        <w:spacing w:line="360" w:lineRule="auto"/>
        <w:rPr>
          <w:rFonts w:ascii="Book Antiqua" w:eastAsia="MS Mincho" w:hAnsi="Book Antiqua" w:cs="Times New Roman" w:hint="default"/>
          <w:b/>
          <w:bCs/>
          <w:color w:val="auto"/>
          <w:sz w:val="24"/>
          <w:szCs w:val="24"/>
        </w:rPr>
      </w:pPr>
      <w:bookmarkStart w:id="4" w:name="_GoBack"/>
      <w:r>
        <w:rPr>
          <w:rFonts w:ascii="Book Antiqua" w:hAnsi="Book Antiqua" w:hint="default"/>
          <w:noProof/>
          <w:sz w:val="24"/>
          <w:szCs w:val="24"/>
          <w:lang w:eastAsia="zh-CN"/>
        </w:rPr>
        <w:lastRenderedPageBreak/>
        <w:drawing>
          <wp:inline distT="0" distB="0" distL="0" distR="0">
            <wp:extent cx="5784830" cy="4649369"/>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784830" cy="4649369"/>
                    </a:xfrm>
                    <a:prstGeom prst="rect">
                      <a:avLst/>
                    </a:prstGeom>
                    <a:noFill/>
                    <a:ln>
                      <a:noFill/>
                    </a:ln>
                  </pic:spPr>
                </pic:pic>
              </a:graphicData>
            </a:graphic>
          </wp:inline>
        </w:drawing>
      </w:r>
      <w:bookmarkEnd w:id="4"/>
    </w:p>
    <w:p w:rsidR="00816666" w:rsidRDefault="00513980">
      <w:pPr>
        <w:pStyle w:val="A9"/>
        <w:spacing w:line="360" w:lineRule="auto"/>
        <w:rPr>
          <w:rFonts w:ascii="Book Antiqua" w:eastAsia="MS Mincho" w:hAnsi="Book Antiqua" w:cs="Times New Roman" w:hint="default"/>
          <w:b/>
          <w:bCs/>
          <w:color w:val="auto"/>
          <w:sz w:val="24"/>
          <w:szCs w:val="24"/>
        </w:rPr>
      </w:pPr>
      <w:r>
        <w:rPr>
          <w:rFonts w:ascii="Book Antiqua" w:eastAsia="MS Mincho" w:hAnsi="Book Antiqua" w:cs="Times New Roman" w:hint="default"/>
          <w:b/>
          <w:bCs/>
          <w:color w:val="auto"/>
          <w:sz w:val="24"/>
          <w:szCs w:val="24"/>
        </w:rPr>
        <w:t xml:space="preserve">Figure 2 Multivariate </w:t>
      </w:r>
      <w:proofErr w:type="gramStart"/>
      <w:r>
        <w:rPr>
          <w:rFonts w:ascii="Book Antiqua" w:eastAsia="MS Mincho" w:hAnsi="Book Antiqua" w:cs="Times New Roman" w:hint="default"/>
          <w:b/>
          <w:bCs/>
          <w:color w:val="auto"/>
          <w:sz w:val="24"/>
          <w:szCs w:val="24"/>
        </w:rPr>
        <w:t>analysis</w:t>
      </w:r>
      <w:proofErr w:type="gramEnd"/>
      <w:r>
        <w:rPr>
          <w:rFonts w:ascii="Book Antiqua" w:eastAsia="MS Mincho" w:hAnsi="Book Antiqua" w:cs="Times New Roman" w:hint="default"/>
          <w:b/>
          <w:bCs/>
          <w:color w:val="auto"/>
          <w:sz w:val="24"/>
          <w:szCs w:val="24"/>
        </w:rPr>
        <w:t>.</w:t>
      </w:r>
      <w:r w:rsidRPr="00BC60CD">
        <w:rPr>
          <w:rFonts w:ascii="Book Antiqua" w:eastAsia="Book Antiqua" w:hAnsi="Book Antiqua" w:cs="Book Antiqua" w:hint="default"/>
          <w:b/>
          <w:sz w:val="24"/>
          <w:szCs w:val="24"/>
        </w:rPr>
        <w:t xml:space="preserve"> </w:t>
      </w:r>
      <w:r>
        <w:rPr>
          <w:rFonts w:ascii="Book Antiqua" w:eastAsia="Book Antiqua" w:hAnsi="Book Antiqua" w:cs="Book Antiqua" w:hint="default"/>
          <w:sz w:val="24"/>
          <w:szCs w:val="24"/>
        </w:rPr>
        <w:t>CRT:</w:t>
      </w:r>
      <w:r>
        <w:rPr>
          <w:rFonts w:ascii="Book Antiqua" w:eastAsia="等线" w:hAnsi="Book Antiqua" w:cs="宋体" w:hint="default"/>
          <w:sz w:val="24"/>
          <w:szCs w:val="24"/>
        </w:rPr>
        <w:t xml:space="preserve"> Concurrent </w:t>
      </w:r>
      <w:proofErr w:type="spellStart"/>
      <w:r>
        <w:rPr>
          <w:rFonts w:ascii="Book Antiqua" w:eastAsia="等线" w:hAnsi="Book Antiqua" w:cs="宋体" w:hint="default"/>
          <w:sz w:val="24"/>
          <w:szCs w:val="24"/>
        </w:rPr>
        <w:t>chemoradiotherapy</w:t>
      </w:r>
      <w:proofErr w:type="spellEnd"/>
      <w:r>
        <w:rPr>
          <w:rFonts w:ascii="Book Antiqua" w:eastAsia="等线" w:hAnsi="Book Antiqua" w:cs="宋体" w:hint="default"/>
          <w:sz w:val="24"/>
          <w:szCs w:val="24"/>
        </w:rPr>
        <w:t>; CI: Confidence interval; HR: Hazard ratio.</w:t>
      </w:r>
    </w:p>
    <w:p w:rsidR="00816666" w:rsidRDefault="00816666">
      <w:pPr>
        <w:pStyle w:val="A9"/>
        <w:spacing w:line="360" w:lineRule="auto"/>
        <w:rPr>
          <w:rFonts w:ascii="Book Antiqua" w:eastAsia="MS Mincho" w:hAnsi="Book Antiqua" w:cs="Times New Roman" w:hint="default"/>
          <w:b/>
          <w:bCs/>
          <w:color w:val="auto"/>
          <w:sz w:val="24"/>
          <w:szCs w:val="24"/>
        </w:rPr>
      </w:pPr>
    </w:p>
    <w:p w:rsidR="00816666" w:rsidRDefault="00816666">
      <w:pPr>
        <w:pStyle w:val="A9"/>
        <w:spacing w:line="360" w:lineRule="auto"/>
        <w:rPr>
          <w:rFonts w:ascii="Book Antiqua" w:eastAsia="MS Mincho" w:hAnsi="Book Antiqua" w:cs="Times New Roman" w:hint="default"/>
          <w:b/>
          <w:bCs/>
          <w:color w:val="auto"/>
          <w:sz w:val="24"/>
          <w:szCs w:val="24"/>
        </w:rPr>
        <w:sectPr w:rsidR="00816666">
          <w:pgSz w:w="12240" w:h="15840"/>
          <w:pgMar w:top="1440" w:right="1440" w:bottom="1440" w:left="1440" w:header="720" w:footer="720" w:gutter="0"/>
          <w:cols w:space="720"/>
          <w:docGrid w:linePitch="360"/>
        </w:sectPr>
      </w:pPr>
    </w:p>
    <w:p w:rsidR="00816666" w:rsidRDefault="00513980">
      <w:pPr>
        <w:pStyle w:val="A9"/>
        <w:spacing w:line="360" w:lineRule="auto"/>
        <w:rPr>
          <w:rFonts w:ascii="Book Antiqua" w:eastAsiaTheme="minorEastAsia" w:hAnsi="Book Antiqua" w:cs="Times New Roman" w:hint="default"/>
          <w:b/>
          <w:bCs/>
          <w:color w:val="auto"/>
          <w:sz w:val="24"/>
          <w:szCs w:val="24"/>
        </w:rPr>
      </w:pPr>
      <w:r>
        <w:rPr>
          <w:rFonts w:ascii="Book Antiqua" w:eastAsiaTheme="minorEastAsia" w:hAnsi="Book Antiqua" w:cs="Times New Roman" w:hint="default"/>
          <w:b/>
          <w:bCs/>
          <w:color w:val="auto"/>
          <w:sz w:val="24"/>
          <w:szCs w:val="24"/>
        </w:rPr>
        <w:lastRenderedPageBreak/>
        <w:t xml:space="preserve">Table 1 Baseline characteristics, </w:t>
      </w:r>
      <w:r>
        <w:rPr>
          <w:rFonts w:ascii="Book Antiqua" w:eastAsiaTheme="minorEastAsia" w:hAnsi="Book Antiqua" w:cs="Times New Roman" w:hint="default"/>
          <w:b/>
          <w:bCs/>
          <w:i/>
          <w:iCs/>
          <w:color w:val="auto"/>
          <w:sz w:val="24"/>
          <w:szCs w:val="24"/>
        </w:rPr>
        <w:t>n</w:t>
      </w:r>
      <w:r>
        <w:rPr>
          <w:rFonts w:ascii="Book Antiqua" w:eastAsiaTheme="minorEastAsia" w:hAnsi="Book Antiqua" w:cs="Times New Roman" w:hint="default"/>
          <w:b/>
          <w:bCs/>
          <w:color w:val="auto"/>
          <w:sz w:val="24"/>
          <w:szCs w:val="24"/>
        </w:rPr>
        <w:t xml:space="preserve"> (%)</w:t>
      </w:r>
    </w:p>
    <w:tbl>
      <w:tblPr>
        <w:tblW w:w="5000" w:type="pct"/>
        <w:jc w:val="center"/>
        <w:tblLook w:val="04A0" w:firstRow="1" w:lastRow="0" w:firstColumn="1" w:lastColumn="0" w:noHBand="0" w:noVBand="1"/>
      </w:tblPr>
      <w:tblGrid>
        <w:gridCol w:w="2832"/>
        <w:gridCol w:w="1776"/>
        <w:gridCol w:w="1776"/>
        <w:gridCol w:w="2155"/>
        <w:gridCol w:w="1037"/>
      </w:tblGrid>
      <w:tr w:rsidR="00816666" w:rsidTr="00BC60CD">
        <w:trPr>
          <w:trHeight w:val="124"/>
          <w:jc w:val="center"/>
        </w:trPr>
        <w:tc>
          <w:tcPr>
            <w:tcW w:w="1692"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Variables</w:t>
            </w:r>
          </w:p>
        </w:tc>
        <w:tc>
          <w:tcPr>
            <w:tcW w:w="891"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Total (</w:t>
            </w:r>
            <w:r>
              <w:rPr>
                <w:rFonts w:ascii="Book Antiqua" w:eastAsia="等线" w:hAnsi="Book Antiqua" w:cs="宋体"/>
                <w:b/>
                <w:bCs/>
                <w:i/>
                <w:iCs/>
                <w:color w:val="000000"/>
              </w:rPr>
              <w:t>n</w:t>
            </w:r>
            <w:r>
              <w:rPr>
                <w:rFonts w:ascii="Book Antiqua" w:eastAsia="等线" w:hAnsi="Book Antiqua" w:cs="宋体"/>
                <w:b/>
                <w:bCs/>
                <w:color w:val="000000"/>
              </w:rPr>
              <w:t xml:space="preserve"> = 34)</w:t>
            </w:r>
          </w:p>
        </w:tc>
        <w:tc>
          <w:tcPr>
            <w:tcW w:w="890"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CRT (</w:t>
            </w:r>
            <w:r>
              <w:rPr>
                <w:rFonts w:ascii="Book Antiqua" w:eastAsia="等线" w:hAnsi="Book Antiqua" w:cs="宋体"/>
                <w:b/>
                <w:bCs/>
                <w:i/>
                <w:iCs/>
                <w:color w:val="000000"/>
              </w:rPr>
              <w:t>n</w:t>
            </w:r>
            <w:r>
              <w:rPr>
                <w:rFonts w:ascii="Book Antiqua" w:eastAsia="等线" w:hAnsi="Book Antiqua" w:cs="宋体"/>
                <w:b/>
                <w:bCs/>
                <w:color w:val="000000"/>
              </w:rPr>
              <w:t xml:space="preserve"> = 17)</w:t>
            </w:r>
          </w:p>
        </w:tc>
        <w:tc>
          <w:tcPr>
            <w:tcW w:w="1018"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Radiation (</w:t>
            </w:r>
            <w:r>
              <w:rPr>
                <w:rFonts w:ascii="Book Antiqua" w:eastAsia="等线" w:hAnsi="Book Antiqua" w:cs="宋体"/>
                <w:b/>
                <w:bCs/>
                <w:i/>
                <w:iCs/>
                <w:color w:val="000000"/>
              </w:rPr>
              <w:t>n</w:t>
            </w:r>
            <w:r>
              <w:rPr>
                <w:rFonts w:ascii="Book Antiqua" w:eastAsia="等线" w:hAnsi="Book Antiqua" w:cs="宋体"/>
                <w:b/>
                <w:bCs/>
                <w:color w:val="000000"/>
              </w:rPr>
              <w:t xml:space="preserve"> = 17)</w:t>
            </w:r>
          </w:p>
        </w:tc>
        <w:tc>
          <w:tcPr>
            <w:tcW w:w="509"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i/>
                <w:iCs/>
                <w:color w:val="000000"/>
              </w:rPr>
              <w:t xml:space="preserve">P </w:t>
            </w:r>
            <w:r>
              <w:rPr>
                <w:rFonts w:ascii="Book Antiqua" w:eastAsia="等线" w:hAnsi="Book Antiqua" w:cs="宋体"/>
                <w:b/>
                <w:bCs/>
                <w:color w:val="000000"/>
              </w:rPr>
              <w:t>value</w:t>
            </w:r>
          </w:p>
        </w:tc>
      </w:tr>
      <w:tr w:rsidR="00816666">
        <w:trPr>
          <w:trHeight w:val="247"/>
          <w:jc w:val="center"/>
        </w:trPr>
        <w:tc>
          <w:tcPr>
            <w:tcW w:w="1692" w:type="pct"/>
            <w:tcBorders>
              <w:top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Age (</w:t>
            </w:r>
            <w:proofErr w:type="spellStart"/>
            <w:r>
              <w:rPr>
                <w:rFonts w:ascii="Book Antiqua" w:eastAsia="等线" w:hAnsi="Book Antiqua" w:cs="宋体"/>
                <w:color w:val="000000"/>
              </w:rPr>
              <w:t>yr</w:t>
            </w:r>
            <w:proofErr w:type="spellEnd"/>
            <w:r>
              <w:rPr>
                <w:rFonts w:ascii="Book Antiqua" w:eastAsia="等线" w:hAnsi="Book Antiqua" w:cs="宋体"/>
                <w:color w:val="000000"/>
              </w:rPr>
              <w:t>)</w:t>
            </w:r>
          </w:p>
        </w:tc>
        <w:tc>
          <w:tcPr>
            <w:tcW w:w="891" w:type="pct"/>
            <w:tcBorders>
              <w:top w:val="single" w:sz="4" w:space="0" w:color="auto"/>
            </w:tcBorders>
            <w:noWrap/>
          </w:tcPr>
          <w:p w:rsidR="00816666" w:rsidRDefault="00816666">
            <w:pPr>
              <w:spacing w:line="360" w:lineRule="auto"/>
              <w:jc w:val="both"/>
              <w:rPr>
                <w:rFonts w:ascii="Book Antiqua" w:eastAsia="等线" w:hAnsi="Book Antiqua" w:cs="宋体"/>
                <w:color w:val="000000"/>
              </w:rPr>
            </w:pPr>
          </w:p>
        </w:tc>
        <w:tc>
          <w:tcPr>
            <w:tcW w:w="890" w:type="pct"/>
            <w:tcBorders>
              <w:top w:val="single" w:sz="4" w:space="0" w:color="auto"/>
            </w:tcBorders>
            <w:noWrap/>
          </w:tcPr>
          <w:p w:rsidR="00816666" w:rsidRDefault="00816666">
            <w:pPr>
              <w:spacing w:line="360" w:lineRule="auto"/>
              <w:jc w:val="both"/>
              <w:rPr>
                <w:rFonts w:ascii="Book Antiqua" w:eastAsia="Times New Roman" w:hAnsi="Book Antiqua"/>
              </w:rPr>
            </w:pPr>
          </w:p>
        </w:tc>
        <w:tc>
          <w:tcPr>
            <w:tcW w:w="1018" w:type="pct"/>
            <w:tcBorders>
              <w:top w:val="single" w:sz="4" w:space="0" w:color="auto"/>
            </w:tcBorders>
            <w:noWrap/>
          </w:tcPr>
          <w:p w:rsidR="00816666" w:rsidRDefault="00816666">
            <w:pPr>
              <w:spacing w:line="360" w:lineRule="auto"/>
              <w:jc w:val="both"/>
              <w:rPr>
                <w:rFonts w:ascii="Book Antiqua" w:eastAsia="Times New Roman" w:hAnsi="Book Antiqua"/>
              </w:rPr>
            </w:pPr>
          </w:p>
        </w:tc>
        <w:tc>
          <w:tcPr>
            <w:tcW w:w="509" w:type="pct"/>
            <w:tcBorders>
              <w:top w:val="single" w:sz="4" w:space="0" w:color="auto"/>
            </w:tcBorders>
            <w:noWrap/>
          </w:tcPr>
          <w:p w:rsidR="00816666" w:rsidRDefault="00513980">
            <w:pPr>
              <w:spacing w:line="360" w:lineRule="auto"/>
              <w:jc w:val="both"/>
              <w:rPr>
                <w:rFonts w:ascii="Book Antiqua" w:eastAsia="Times New Roman" w:hAnsi="Book Antiqua"/>
              </w:rPr>
            </w:pPr>
            <w:r>
              <w:rPr>
                <w:rFonts w:ascii="Book Antiqua" w:eastAsia="等线" w:hAnsi="Book Antiqua" w:cs="宋体"/>
                <w:color w:val="000000"/>
              </w:rPr>
              <w:t>0.275</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Median (range)</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76.0 (72.0-80.0)</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77.0 (75.0-80.0)</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75.0 (72.0-80.0)</w:t>
            </w:r>
          </w:p>
        </w:tc>
        <w:tc>
          <w:tcPr>
            <w:tcW w:w="509" w:type="pct"/>
            <w:noWrap/>
          </w:tcPr>
          <w:p w:rsidR="00816666" w:rsidRDefault="00816666">
            <w:pPr>
              <w:spacing w:line="360" w:lineRule="auto"/>
              <w:jc w:val="both"/>
              <w:rPr>
                <w:rFonts w:ascii="Book Antiqua" w:eastAsia="等线" w:hAnsi="Book Antiqua" w:cs="宋体"/>
                <w:color w:val="000000"/>
              </w:rPr>
            </w:pPr>
          </w:p>
        </w:tc>
      </w:tr>
      <w:tr w:rsidR="00816666">
        <w:trPr>
          <w:trHeight w:val="276"/>
          <w:jc w:val="center"/>
        </w:trPr>
        <w:tc>
          <w:tcPr>
            <w:tcW w:w="1692"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Age</w:t>
            </w:r>
          </w:p>
        </w:tc>
        <w:tc>
          <w:tcPr>
            <w:tcW w:w="891" w:type="pct"/>
            <w:noWrap/>
          </w:tcPr>
          <w:p w:rsidR="00816666" w:rsidRDefault="00816666">
            <w:pPr>
              <w:spacing w:line="360" w:lineRule="auto"/>
              <w:jc w:val="both"/>
              <w:rPr>
                <w:rFonts w:ascii="Book Antiqua" w:eastAsia="等线" w:hAnsi="Book Antiqua"/>
                <w:color w:val="000000"/>
              </w:rPr>
            </w:pPr>
          </w:p>
        </w:tc>
        <w:tc>
          <w:tcPr>
            <w:tcW w:w="890" w:type="pct"/>
            <w:noWrap/>
          </w:tcPr>
          <w:p w:rsidR="00816666" w:rsidRDefault="00816666">
            <w:pPr>
              <w:spacing w:line="360" w:lineRule="auto"/>
              <w:jc w:val="both"/>
              <w:rPr>
                <w:rFonts w:ascii="Book Antiqua" w:eastAsia="Times New Roman" w:hAnsi="Book Antiqua"/>
              </w:rPr>
            </w:pPr>
          </w:p>
        </w:tc>
        <w:tc>
          <w:tcPr>
            <w:tcW w:w="1018" w:type="pct"/>
            <w:noWrap/>
          </w:tcPr>
          <w:p w:rsidR="00816666" w:rsidRDefault="00816666">
            <w:pPr>
              <w:spacing w:line="360" w:lineRule="auto"/>
              <w:jc w:val="both"/>
              <w:rPr>
                <w:rFonts w:ascii="Book Antiqua" w:eastAsia="Times New Roman" w:hAnsi="Book Antiqua"/>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0.731</w:t>
            </w:r>
          </w:p>
        </w:tc>
      </w:tr>
      <w:tr w:rsidR="00816666">
        <w:trPr>
          <w:trHeight w:val="276"/>
          <w:jc w:val="center"/>
        </w:trPr>
        <w:tc>
          <w:tcPr>
            <w:tcW w:w="1692"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 xml:space="preserve">≤ 75 </w:t>
            </w:r>
            <w:proofErr w:type="spellStart"/>
            <w:r>
              <w:rPr>
                <w:rFonts w:ascii="Book Antiqua" w:eastAsia="等线" w:hAnsi="Book Antiqua"/>
                <w:color w:val="000000"/>
              </w:rPr>
              <w:t>yr</w:t>
            </w:r>
            <w:proofErr w:type="spellEnd"/>
          </w:p>
        </w:tc>
        <w:tc>
          <w:tcPr>
            <w:tcW w:w="891"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16 (47.1)</w:t>
            </w:r>
          </w:p>
        </w:tc>
        <w:tc>
          <w:tcPr>
            <w:tcW w:w="890"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7 (41.2)</w:t>
            </w:r>
          </w:p>
        </w:tc>
        <w:tc>
          <w:tcPr>
            <w:tcW w:w="1018"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9 (52.9)</w:t>
            </w:r>
          </w:p>
        </w:tc>
        <w:tc>
          <w:tcPr>
            <w:tcW w:w="509"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 xml:space="preserve"> </w:t>
            </w:r>
          </w:p>
        </w:tc>
      </w:tr>
      <w:tr w:rsidR="00816666">
        <w:trPr>
          <w:trHeight w:val="276"/>
          <w:jc w:val="center"/>
        </w:trPr>
        <w:tc>
          <w:tcPr>
            <w:tcW w:w="1692"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lang w:eastAsia="zh-CN"/>
              </w:rPr>
              <w:t xml:space="preserve">&gt; </w:t>
            </w:r>
            <w:r>
              <w:rPr>
                <w:rFonts w:ascii="Book Antiqua" w:eastAsia="等线" w:hAnsi="Book Antiqua"/>
                <w:color w:val="000000"/>
              </w:rPr>
              <w:t xml:space="preserve">75 </w:t>
            </w:r>
            <w:proofErr w:type="spellStart"/>
            <w:r>
              <w:rPr>
                <w:rFonts w:ascii="Book Antiqua" w:eastAsia="等线" w:hAnsi="Book Antiqua"/>
                <w:color w:val="000000"/>
              </w:rPr>
              <w:t>yr</w:t>
            </w:r>
            <w:proofErr w:type="spellEnd"/>
          </w:p>
        </w:tc>
        <w:tc>
          <w:tcPr>
            <w:tcW w:w="891"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18 (52.9)</w:t>
            </w:r>
          </w:p>
        </w:tc>
        <w:tc>
          <w:tcPr>
            <w:tcW w:w="890"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10 (58.8)</w:t>
            </w:r>
          </w:p>
        </w:tc>
        <w:tc>
          <w:tcPr>
            <w:tcW w:w="1018"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8 (47.1)</w:t>
            </w:r>
          </w:p>
        </w:tc>
        <w:tc>
          <w:tcPr>
            <w:tcW w:w="509"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proofErr w:type="spellStart"/>
            <w:r>
              <w:rPr>
                <w:rFonts w:ascii="Book Antiqua" w:eastAsia="等线" w:hAnsi="Book Antiqua"/>
                <w:color w:val="000000"/>
              </w:rPr>
              <w:t>Gende</w:t>
            </w:r>
            <w:proofErr w:type="spellEnd"/>
          </w:p>
        </w:tc>
        <w:tc>
          <w:tcPr>
            <w:tcW w:w="891" w:type="pct"/>
            <w:noWrap/>
          </w:tcPr>
          <w:p w:rsidR="00816666" w:rsidRDefault="00816666">
            <w:pPr>
              <w:spacing w:line="360" w:lineRule="auto"/>
              <w:jc w:val="both"/>
              <w:rPr>
                <w:rFonts w:ascii="Book Antiqua" w:eastAsia="等线" w:hAnsi="Book Antiqua" w:cs="宋体"/>
                <w:color w:val="000000"/>
              </w:rPr>
            </w:pPr>
          </w:p>
        </w:tc>
        <w:tc>
          <w:tcPr>
            <w:tcW w:w="890" w:type="pct"/>
            <w:noWrap/>
          </w:tcPr>
          <w:p w:rsidR="00816666" w:rsidRDefault="00816666">
            <w:pPr>
              <w:spacing w:line="360" w:lineRule="auto"/>
              <w:jc w:val="both"/>
              <w:rPr>
                <w:rFonts w:ascii="Book Antiqua" w:eastAsia="Times New Roman" w:hAnsi="Book Antiqua"/>
              </w:rPr>
            </w:pPr>
          </w:p>
        </w:tc>
        <w:tc>
          <w:tcPr>
            <w:tcW w:w="1018" w:type="pct"/>
            <w:noWrap/>
          </w:tcPr>
          <w:p w:rsidR="00816666" w:rsidRDefault="00816666">
            <w:pPr>
              <w:spacing w:line="360" w:lineRule="auto"/>
              <w:jc w:val="both"/>
              <w:rPr>
                <w:rFonts w:ascii="Book Antiqua" w:eastAsia="Times New Roman" w:hAnsi="Book Antiqua"/>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1.000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Female</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5 (14.7)</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Male</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29 (85.3)</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(82.4)</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15 (88.2)</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Primary tumor location</w:t>
            </w:r>
          </w:p>
        </w:tc>
        <w:tc>
          <w:tcPr>
            <w:tcW w:w="891" w:type="pct"/>
          </w:tcPr>
          <w:p w:rsidR="00816666" w:rsidRDefault="00816666">
            <w:pPr>
              <w:spacing w:line="360" w:lineRule="auto"/>
              <w:jc w:val="both"/>
              <w:rPr>
                <w:rFonts w:ascii="Book Antiqua" w:eastAsia="等线" w:hAnsi="Book Antiqua" w:cs="宋体"/>
                <w:color w:val="000000"/>
              </w:rPr>
            </w:pPr>
          </w:p>
        </w:tc>
        <w:tc>
          <w:tcPr>
            <w:tcW w:w="890" w:type="pct"/>
            <w:noWrap/>
          </w:tcPr>
          <w:p w:rsidR="00816666" w:rsidRDefault="00816666">
            <w:pPr>
              <w:spacing w:line="360" w:lineRule="auto"/>
              <w:jc w:val="both"/>
              <w:rPr>
                <w:rFonts w:ascii="Book Antiqua" w:eastAsia="等线" w:hAnsi="Book Antiqua" w:cs="宋体"/>
                <w:color w:val="000000"/>
              </w:rPr>
            </w:pPr>
          </w:p>
        </w:tc>
        <w:tc>
          <w:tcPr>
            <w:tcW w:w="1018" w:type="pct"/>
            <w:noWrap/>
          </w:tcPr>
          <w:p w:rsidR="00816666" w:rsidRDefault="00816666">
            <w:pPr>
              <w:spacing w:line="360" w:lineRule="auto"/>
              <w:jc w:val="both"/>
              <w:rPr>
                <w:rFonts w:ascii="Book Antiqua" w:eastAsia="Times New Roman" w:hAnsi="Book Antiqua"/>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1.000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Cervical</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(8.8)</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Distal third</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(41.2)</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Middle third</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11 (32.4)</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(35.3)</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5 (29.4)</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Proximal third</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(17.6)</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cTNM</w:t>
            </w:r>
            <w:proofErr w:type="spellEnd"/>
            <w:r>
              <w:rPr>
                <w:rFonts w:ascii="Book Antiqua" w:eastAsia="等线" w:hAnsi="Book Antiqua" w:cs="宋体"/>
                <w:color w:val="000000"/>
              </w:rPr>
              <w:t xml:space="preserve"> stage</w:t>
            </w:r>
          </w:p>
        </w:tc>
        <w:tc>
          <w:tcPr>
            <w:tcW w:w="891" w:type="pct"/>
            <w:noWrap/>
          </w:tcPr>
          <w:p w:rsidR="00816666" w:rsidRDefault="00816666">
            <w:pPr>
              <w:spacing w:line="360" w:lineRule="auto"/>
              <w:jc w:val="both"/>
              <w:rPr>
                <w:rFonts w:ascii="Book Antiqua" w:eastAsia="等线" w:hAnsi="Book Antiqua" w:cs="宋体"/>
                <w:color w:val="000000"/>
              </w:rPr>
            </w:pPr>
          </w:p>
        </w:tc>
        <w:tc>
          <w:tcPr>
            <w:tcW w:w="890" w:type="pct"/>
            <w:noWrap/>
          </w:tcPr>
          <w:p w:rsidR="00816666" w:rsidRDefault="00816666">
            <w:pPr>
              <w:spacing w:line="360" w:lineRule="auto"/>
              <w:jc w:val="both"/>
              <w:rPr>
                <w:rFonts w:ascii="Book Antiqua" w:eastAsia="Times New Roman" w:hAnsi="Book Antiqua"/>
              </w:rPr>
            </w:pPr>
          </w:p>
        </w:tc>
        <w:tc>
          <w:tcPr>
            <w:tcW w:w="1018" w:type="pct"/>
            <w:noWrap/>
          </w:tcPr>
          <w:p w:rsidR="00816666" w:rsidRDefault="00816666">
            <w:pPr>
              <w:spacing w:line="360" w:lineRule="auto"/>
              <w:jc w:val="both"/>
              <w:rPr>
                <w:rFonts w:ascii="Book Antiqua" w:eastAsia="Times New Roman" w:hAnsi="Book Antiqua"/>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0.282</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II</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12 (35.3)</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4 (23.5)</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8 (47.1)</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III</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22 (64.7)</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13 (76.5)</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9 (52.9)</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Gastric tube insertion</w:t>
            </w:r>
          </w:p>
        </w:tc>
        <w:tc>
          <w:tcPr>
            <w:tcW w:w="891" w:type="pct"/>
          </w:tcPr>
          <w:p w:rsidR="00816666" w:rsidRDefault="00816666">
            <w:pPr>
              <w:spacing w:line="360" w:lineRule="auto"/>
              <w:jc w:val="both"/>
              <w:rPr>
                <w:rFonts w:ascii="Book Antiqua" w:eastAsia="等线" w:hAnsi="Book Antiqua" w:cs="宋体"/>
                <w:color w:val="000000"/>
              </w:rPr>
            </w:pPr>
          </w:p>
        </w:tc>
        <w:tc>
          <w:tcPr>
            <w:tcW w:w="890" w:type="pct"/>
            <w:noWrap/>
          </w:tcPr>
          <w:p w:rsidR="00816666" w:rsidRDefault="00816666">
            <w:pPr>
              <w:spacing w:line="360" w:lineRule="auto"/>
              <w:jc w:val="both"/>
              <w:rPr>
                <w:rFonts w:ascii="Book Antiqua" w:eastAsia="Times New Roman" w:hAnsi="Book Antiqua"/>
              </w:rPr>
            </w:pPr>
          </w:p>
        </w:tc>
        <w:tc>
          <w:tcPr>
            <w:tcW w:w="1018" w:type="pct"/>
            <w:noWrap/>
          </w:tcPr>
          <w:p w:rsidR="00816666" w:rsidRDefault="00816666">
            <w:pPr>
              <w:spacing w:line="360" w:lineRule="auto"/>
              <w:jc w:val="both"/>
              <w:rPr>
                <w:rFonts w:ascii="Book Antiqua" w:eastAsia="Times New Roman" w:hAnsi="Book Antiqua"/>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1.000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23 (67.6)</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11 (64.7)</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12 (70.6)</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891"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11 (32.4)</w:t>
            </w:r>
          </w:p>
        </w:tc>
        <w:tc>
          <w:tcPr>
            <w:tcW w:w="890"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(35.3)</w:t>
            </w:r>
          </w:p>
        </w:tc>
        <w:tc>
          <w:tcPr>
            <w:tcW w:w="1018"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5 (29.4)</w:t>
            </w: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47"/>
          <w:jc w:val="center"/>
        </w:trPr>
        <w:tc>
          <w:tcPr>
            <w:tcW w:w="1692" w:type="pct"/>
            <w:noWrap/>
          </w:tcPr>
          <w:p w:rsidR="00816666" w:rsidRDefault="00513980">
            <w:pPr>
              <w:spacing w:line="360" w:lineRule="auto"/>
              <w:jc w:val="both"/>
              <w:rPr>
                <w:rFonts w:ascii="Book Antiqua" w:eastAsia="等线" w:hAnsi="Book Antiqua"/>
                <w:color w:val="000000"/>
              </w:rPr>
            </w:pPr>
            <w:r>
              <w:rPr>
                <w:rFonts w:ascii="Book Antiqua" w:eastAsia="等线" w:hAnsi="Book Antiqua" w:cs="宋体"/>
                <w:color w:val="000000"/>
              </w:rPr>
              <w:t xml:space="preserve">Follow-up </w:t>
            </w:r>
            <w:r>
              <w:rPr>
                <w:rFonts w:ascii="Book Antiqua" w:eastAsia="等线" w:hAnsi="Book Antiqua" w:cs="宋体"/>
                <w:color w:val="000000"/>
                <w:lang w:eastAsia="zh-CN"/>
              </w:rPr>
              <w:t>(</w:t>
            </w:r>
            <w:proofErr w:type="spellStart"/>
            <w:r>
              <w:rPr>
                <w:rFonts w:ascii="Book Antiqua" w:eastAsia="等线" w:hAnsi="Book Antiqua" w:cs="宋体"/>
                <w:color w:val="000000"/>
              </w:rPr>
              <w:t>mo</w:t>
            </w:r>
            <w:proofErr w:type="spellEnd"/>
            <w:r>
              <w:rPr>
                <w:rFonts w:ascii="Book Antiqua" w:eastAsia="等线" w:hAnsi="Book Antiqua" w:cs="宋体"/>
                <w:color w:val="000000"/>
              </w:rPr>
              <w:t>)</w:t>
            </w:r>
          </w:p>
        </w:tc>
        <w:tc>
          <w:tcPr>
            <w:tcW w:w="891" w:type="pct"/>
          </w:tcPr>
          <w:p w:rsidR="00816666" w:rsidRDefault="00816666">
            <w:pPr>
              <w:spacing w:line="360" w:lineRule="auto"/>
              <w:jc w:val="both"/>
              <w:rPr>
                <w:rFonts w:ascii="Book Antiqua" w:eastAsia="等线" w:hAnsi="Book Antiqua"/>
                <w:color w:val="000000"/>
              </w:rPr>
            </w:pPr>
          </w:p>
        </w:tc>
        <w:tc>
          <w:tcPr>
            <w:tcW w:w="890" w:type="pct"/>
            <w:noWrap/>
          </w:tcPr>
          <w:p w:rsidR="00816666" w:rsidRDefault="00816666">
            <w:pPr>
              <w:spacing w:line="360" w:lineRule="auto"/>
              <w:jc w:val="both"/>
              <w:rPr>
                <w:rFonts w:ascii="Book Antiqua" w:eastAsia="等线" w:hAnsi="Book Antiqua"/>
                <w:color w:val="000000"/>
              </w:rPr>
            </w:pPr>
          </w:p>
        </w:tc>
        <w:tc>
          <w:tcPr>
            <w:tcW w:w="1018" w:type="pct"/>
            <w:noWrap/>
          </w:tcPr>
          <w:p w:rsidR="00816666" w:rsidRDefault="00816666">
            <w:pPr>
              <w:spacing w:line="360" w:lineRule="auto"/>
              <w:jc w:val="both"/>
              <w:rPr>
                <w:rFonts w:ascii="Book Antiqua" w:eastAsia="等线" w:hAnsi="Book Antiqua"/>
                <w:color w:val="000000"/>
              </w:rPr>
            </w:pPr>
          </w:p>
        </w:tc>
        <w:tc>
          <w:tcPr>
            <w:tcW w:w="50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0.293</w:t>
            </w:r>
          </w:p>
        </w:tc>
      </w:tr>
      <w:tr w:rsidR="00816666">
        <w:trPr>
          <w:trHeight w:val="247"/>
          <w:jc w:val="center"/>
        </w:trPr>
        <w:tc>
          <w:tcPr>
            <w:tcW w:w="1692"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Median (IQR)</w:t>
            </w:r>
          </w:p>
        </w:tc>
        <w:tc>
          <w:tcPr>
            <w:tcW w:w="891" w:type="pct"/>
            <w:tcBorders>
              <w:bottom w:val="single" w:sz="4" w:space="0" w:color="auto"/>
            </w:tcBorders>
            <w:noWrap/>
          </w:tcPr>
          <w:p w:rsidR="00816666" w:rsidRDefault="00513980">
            <w:pPr>
              <w:spacing w:line="360" w:lineRule="auto"/>
              <w:jc w:val="both"/>
              <w:rPr>
                <w:rFonts w:ascii="Book Antiqua" w:eastAsia="等线" w:hAnsi="Book Antiqua"/>
                <w:color w:val="000000"/>
              </w:rPr>
            </w:pPr>
            <w:r>
              <w:rPr>
                <w:rFonts w:ascii="Book Antiqua" w:eastAsia="等线" w:hAnsi="Book Antiqua"/>
                <w:color w:val="000000"/>
              </w:rPr>
              <w:t>24.5 (15.2-32.5)</w:t>
            </w:r>
          </w:p>
        </w:tc>
        <w:tc>
          <w:tcPr>
            <w:tcW w:w="890" w:type="pct"/>
            <w:tcBorders>
              <w:bottom w:val="single" w:sz="4" w:space="0" w:color="auto"/>
            </w:tcBorders>
            <w:noWrap/>
          </w:tcPr>
          <w:p w:rsidR="00816666" w:rsidRDefault="00513980">
            <w:pPr>
              <w:spacing w:line="360" w:lineRule="auto"/>
              <w:jc w:val="both"/>
              <w:rPr>
                <w:rFonts w:ascii="Book Antiqua" w:eastAsia="等线" w:hAnsi="Book Antiqua"/>
                <w:color w:val="000000"/>
              </w:rPr>
            </w:pPr>
            <w:r>
              <w:rPr>
                <w:rFonts w:ascii="Book Antiqua" w:eastAsia="等线" w:hAnsi="Book Antiqua" w:cs="宋体"/>
                <w:color w:val="000000"/>
              </w:rPr>
              <w:t>26.0 (19.0-36.0)</w:t>
            </w:r>
          </w:p>
        </w:tc>
        <w:tc>
          <w:tcPr>
            <w:tcW w:w="1018" w:type="pct"/>
            <w:tcBorders>
              <w:bottom w:val="single" w:sz="4" w:space="0" w:color="auto"/>
            </w:tcBorders>
            <w:noWrap/>
          </w:tcPr>
          <w:p w:rsidR="00816666" w:rsidRDefault="00816666">
            <w:pPr>
              <w:spacing w:line="360" w:lineRule="auto"/>
              <w:jc w:val="both"/>
              <w:rPr>
                <w:rFonts w:ascii="Book Antiqua" w:eastAsia="等线" w:hAnsi="Book Antiqua"/>
                <w:color w:val="000000"/>
              </w:rPr>
            </w:pPr>
          </w:p>
        </w:tc>
        <w:tc>
          <w:tcPr>
            <w:tcW w:w="509" w:type="pct"/>
            <w:tcBorders>
              <w:bottom w:val="single" w:sz="4" w:space="0" w:color="auto"/>
            </w:tcBorders>
            <w:noWrap/>
          </w:tcPr>
          <w:p w:rsidR="00816666" w:rsidRDefault="00816666">
            <w:pPr>
              <w:spacing w:line="360" w:lineRule="auto"/>
              <w:jc w:val="both"/>
              <w:rPr>
                <w:rFonts w:ascii="Book Antiqua" w:eastAsia="等线" w:hAnsi="Book Antiqua" w:cs="宋体"/>
                <w:color w:val="000000"/>
              </w:rPr>
            </w:pPr>
          </w:p>
        </w:tc>
      </w:tr>
    </w:tbl>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All normally distributed and skewed continuous variables are described as medians with interquartile. For baseline characteristics analysis, the statistical differences among the quartiles of radiation were tested with one-way analysis of variance for continuous variables and </w:t>
      </w:r>
      <w:r>
        <w:rPr>
          <w:rFonts w:ascii="Book Antiqua" w:eastAsia="等线" w:hAnsi="Book Antiqua" w:cs="宋体"/>
          <w:i/>
          <w:iCs/>
          <w:color w:val="000000"/>
        </w:rPr>
        <w:t>via</w:t>
      </w:r>
      <w:r>
        <w:rPr>
          <w:rFonts w:ascii="Book Antiqua" w:eastAsia="等线" w:hAnsi="Book Antiqua" w:cs="宋体"/>
          <w:color w:val="000000"/>
        </w:rPr>
        <w:t xml:space="preserve"> </w:t>
      </w:r>
      <w:r>
        <w:rPr>
          <w:rFonts w:ascii="Book Antiqua" w:eastAsia="等线" w:hAnsi="Book Antiqua" w:cs="宋体"/>
          <w:i/>
          <w:iCs/>
          <w:color w:val="000000"/>
        </w:rPr>
        <w:t>χ</w:t>
      </w:r>
      <w:r>
        <w:rPr>
          <w:rFonts w:ascii="Book Antiqua" w:eastAsia="等线" w:hAnsi="Book Antiqua" w:cs="宋体"/>
          <w:color w:val="000000"/>
          <w:vertAlign w:val="superscript"/>
        </w:rPr>
        <w:t>2</w:t>
      </w:r>
      <w:r>
        <w:rPr>
          <w:rFonts w:ascii="Book Antiqua" w:eastAsia="等线" w:hAnsi="Book Antiqua" w:cs="宋体"/>
          <w:color w:val="000000"/>
        </w:rPr>
        <w:t xml:space="preserve"> tests for categorical variables. Statistical significance was set at </w:t>
      </w:r>
      <w:r>
        <w:rPr>
          <w:rFonts w:ascii="Book Antiqua" w:eastAsia="等线" w:hAnsi="Book Antiqua" w:cs="宋体"/>
          <w:i/>
          <w:iCs/>
          <w:color w:val="000000"/>
        </w:rPr>
        <w:t>P</w:t>
      </w:r>
      <w:r>
        <w:rPr>
          <w:rFonts w:ascii="Book Antiqua" w:eastAsia="等线" w:hAnsi="Book Antiqua" w:cs="宋体"/>
          <w:color w:val="000000"/>
        </w:rPr>
        <w:t xml:space="preserve"> &lt; 0.05.</w:t>
      </w:r>
      <w:r>
        <w:rPr>
          <w:rFonts w:ascii="Book Antiqua" w:eastAsia="等线" w:hAnsi="Book Antiqua" w:cs="宋体"/>
          <w:color w:val="000000"/>
          <w:lang w:eastAsia="zh-CN"/>
        </w:rPr>
        <w:t xml:space="preserve"> </w:t>
      </w:r>
      <w:r>
        <w:rPr>
          <w:rFonts w:ascii="Book Antiqua" w:eastAsia="等线" w:hAnsi="Book Antiqua" w:cs="宋体"/>
          <w:color w:val="000000"/>
        </w:rPr>
        <w:t xml:space="preserve">CRT: Concurrent </w:t>
      </w:r>
      <w:proofErr w:type="spellStart"/>
      <w:r>
        <w:rPr>
          <w:rFonts w:ascii="Book Antiqua" w:eastAsia="等线" w:hAnsi="Book Antiqua" w:cs="宋体"/>
          <w:color w:val="000000"/>
        </w:rPr>
        <w:t>chemoradiotherapy</w:t>
      </w:r>
      <w:proofErr w:type="spellEnd"/>
      <w:r>
        <w:rPr>
          <w:rFonts w:ascii="Book Antiqua" w:eastAsia="等线" w:hAnsi="Book Antiqua" w:cs="宋体"/>
          <w:color w:val="000000"/>
        </w:rPr>
        <w:t>; IQR: Interquartile range.</w:t>
      </w:r>
    </w:p>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br w:type="page"/>
      </w:r>
    </w:p>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lastRenderedPageBreak/>
        <w:t>Table 2</w:t>
      </w:r>
      <w:r>
        <w:rPr>
          <w:rFonts w:ascii="Book Antiqua" w:eastAsia="等线" w:hAnsi="Book Antiqua" w:cs="宋体"/>
          <w:color w:val="000000"/>
        </w:rPr>
        <w:t xml:space="preserve"> </w:t>
      </w:r>
      <w:r>
        <w:rPr>
          <w:rFonts w:ascii="Book Antiqua" w:eastAsia="等线" w:hAnsi="Book Antiqua" w:cs="宋体"/>
          <w:b/>
          <w:bCs/>
          <w:color w:val="000000"/>
        </w:rPr>
        <w:t xml:space="preserve">Adverse event and short-term efficacy, </w:t>
      </w:r>
      <w:r>
        <w:rPr>
          <w:rFonts w:ascii="Book Antiqua" w:eastAsia="等线" w:hAnsi="Book Antiqua" w:cs="宋体"/>
          <w:b/>
          <w:bCs/>
          <w:i/>
          <w:iCs/>
          <w:color w:val="000000"/>
        </w:rPr>
        <w:t>n</w:t>
      </w:r>
      <w:r>
        <w:rPr>
          <w:rFonts w:ascii="Book Antiqua" w:eastAsia="等线" w:hAnsi="Book Antiqua" w:cs="宋体"/>
          <w:b/>
          <w:bCs/>
          <w:color w:val="000000"/>
        </w:rPr>
        <w:t xml:space="preserve"> (%)</w:t>
      </w:r>
    </w:p>
    <w:tbl>
      <w:tblPr>
        <w:tblW w:w="5000" w:type="pct"/>
        <w:tblLook w:val="04A0" w:firstRow="1" w:lastRow="0" w:firstColumn="1" w:lastColumn="0" w:noHBand="0" w:noVBand="1"/>
      </w:tblPr>
      <w:tblGrid>
        <w:gridCol w:w="3153"/>
        <w:gridCol w:w="1649"/>
        <w:gridCol w:w="1582"/>
        <w:gridCol w:w="2155"/>
        <w:gridCol w:w="1037"/>
      </w:tblGrid>
      <w:tr w:rsidR="00816666" w:rsidTr="00BC60CD">
        <w:trPr>
          <w:trHeight w:val="124"/>
        </w:trPr>
        <w:tc>
          <w:tcPr>
            <w:tcW w:w="1754" w:type="pct"/>
            <w:tcBorders>
              <w:top w:val="single" w:sz="4" w:space="0" w:color="auto"/>
              <w:bottom w:val="single" w:sz="4" w:space="0" w:color="auto"/>
            </w:tcBorders>
            <w:noWrap/>
          </w:tcPr>
          <w:p w:rsidR="00816666" w:rsidRDefault="00816666">
            <w:pPr>
              <w:spacing w:line="360" w:lineRule="auto"/>
              <w:jc w:val="both"/>
              <w:rPr>
                <w:rFonts w:ascii="Book Antiqua" w:eastAsia="等线" w:hAnsi="Book Antiqua" w:cs="宋体"/>
                <w:b/>
                <w:bCs/>
                <w:color w:val="000000"/>
              </w:rPr>
            </w:pPr>
          </w:p>
        </w:tc>
        <w:tc>
          <w:tcPr>
            <w:tcW w:w="779"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Total (</w:t>
            </w:r>
            <w:r>
              <w:rPr>
                <w:rFonts w:ascii="Book Antiqua" w:eastAsia="等线" w:hAnsi="Book Antiqua" w:cs="宋体"/>
                <w:b/>
                <w:bCs/>
                <w:i/>
                <w:iCs/>
                <w:color w:val="000000"/>
              </w:rPr>
              <w:t>n</w:t>
            </w:r>
            <w:r>
              <w:rPr>
                <w:rFonts w:ascii="Book Antiqua" w:eastAsia="等线" w:hAnsi="Book Antiqua" w:cs="宋体"/>
                <w:b/>
                <w:bCs/>
                <w:color w:val="000000"/>
              </w:rPr>
              <w:t xml:space="preserve"> = 34)</w:t>
            </w:r>
          </w:p>
        </w:tc>
        <w:tc>
          <w:tcPr>
            <w:tcW w:w="779"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CRT (</w:t>
            </w:r>
            <w:r>
              <w:rPr>
                <w:rFonts w:ascii="Book Antiqua" w:eastAsia="等线" w:hAnsi="Book Antiqua" w:cs="宋体"/>
                <w:b/>
                <w:bCs/>
                <w:i/>
                <w:iCs/>
                <w:color w:val="000000"/>
              </w:rPr>
              <w:t>n</w:t>
            </w:r>
            <w:r>
              <w:rPr>
                <w:rFonts w:ascii="Book Antiqua" w:eastAsia="等线" w:hAnsi="Book Antiqua" w:cs="宋体"/>
                <w:b/>
                <w:bCs/>
                <w:color w:val="000000"/>
              </w:rPr>
              <w:t xml:space="preserve"> = 17)</w:t>
            </w:r>
          </w:p>
        </w:tc>
        <w:tc>
          <w:tcPr>
            <w:tcW w:w="1103"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color w:val="000000"/>
              </w:rPr>
              <w:t>Radiation (</w:t>
            </w:r>
            <w:r>
              <w:rPr>
                <w:rFonts w:ascii="Book Antiqua" w:eastAsia="等线" w:hAnsi="Book Antiqua" w:cs="宋体"/>
                <w:b/>
                <w:bCs/>
                <w:i/>
                <w:iCs/>
                <w:color w:val="000000"/>
              </w:rPr>
              <w:t>n</w:t>
            </w:r>
            <w:r>
              <w:rPr>
                <w:rFonts w:ascii="Book Antiqua" w:eastAsia="等线" w:hAnsi="Book Antiqua" w:cs="宋体"/>
                <w:b/>
                <w:bCs/>
                <w:color w:val="000000"/>
              </w:rPr>
              <w:t xml:space="preserve"> = 17)</w:t>
            </w:r>
          </w:p>
        </w:tc>
        <w:tc>
          <w:tcPr>
            <w:tcW w:w="585" w:type="pct"/>
            <w:tcBorders>
              <w:top w:val="single" w:sz="4" w:space="0" w:color="auto"/>
              <w:bottom w:val="single" w:sz="4" w:space="0" w:color="auto"/>
            </w:tcBorders>
            <w:noWrap/>
          </w:tcPr>
          <w:p w:rsidR="00816666" w:rsidRDefault="00513980">
            <w:pPr>
              <w:spacing w:line="360" w:lineRule="auto"/>
              <w:jc w:val="both"/>
              <w:rPr>
                <w:rFonts w:ascii="Book Antiqua" w:eastAsia="等线" w:hAnsi="Book Antiqua" w:cs="宋体"/>
                <w:b/>
                <w:bCs/>
                <w:color w:val="000000"/>
              </w:rPr>
            </w:pPr>
            <w:r>
              <w:rPr>
                <w:rFonts w:ascii="Book Antiqua" w:eastAsia="等线" w:hAnsi="Book Antiqua" w:cs="宋体"/>
                <w:b/>
                <w:bCs/>
                <w:i/>
                <w:iCs/>
                <w:color w:val="000000"/>
              </w:rPr>
              <w:t xml:space="preserve">P </w:t>
            </w:r>
            <w:r>
              <w:rPr>
                <w:rFonts w:ascii="Book Antiqua" w:eastAsia="等线" w:hAnsi="Book Antiqua" w:cs="宋体"/>
                <w:b/>
                <w:bCs/>
                <w:color w:val="000000"/>
              </w:rPr>
              <w:t>value</w:t>
            </w:r>
          </w:p>
        </w:tc>
      </w:tr>
      <w:tr w:rsidR="00816666">
        <w:trPr>
          <w:trHeight w:val="278"/>
        </w:trPr>
        <w:tc>
          <w:tcPr>
            <w:tcW w:w="1754" w:type="pct"/>
            <w:tcBorders>
              <w:top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Fatigue</w:t>
            </w:r>
          </w:p>
        </w:tc>
        <w:tc>
          <w:tcPr>
            <w:tcW w:w="779" w:type="pct"/>
            <w:tcBorders>
              <w:top w:val="single" w:sz="4" w:space="0" w:color="auto"/>
            </w:tcBorders>
            <w:noWrap/>
          </w:tcPr>
          <w:p w:rsidR="00816666" w:rsidRDefault="00816666">
            <w:pPr>
              <w:spacing w:line="360" w:lineRule="auto"/>
              <w:jc w:val="both"/>
              <w:rPr>
                <w:rFonts w:ascii="Book Antiqua" w:eastAsia="等线" w:hAnsi="Book Antiqua" w:cs="宋体"/>
                <w:color w:val="000000"/>
              </w:rPr>
            </w:pPr>
          </w:p>
        </w:tc>
        <w:tc>
          <w:tcPr>
            <w:tcW w:w="779" w:type="pct"/>
            <w:tcBorders>
              <w:top w:val="single" w:sz="4" w:space="0" w:color="auto"/>
            </w:tcBorders>
            <w:noWrap/>
          </w:tcPr>
          <w:p w:rsidR="00816666" w:rsidRDefault="00816666">
            <w:pPr>
              <w:spacing w:line="360" w:lineRule="auto"/>
              <w:jc w:val="both"/>
              <w:rPr>
                <w:rFonts w:ascii="Book Antiqua" w:eastAsia="Times New Roman" w:hAnsi="Book Antiqua"/>
              </w:rPr>
            </w:pPr>
          </w:p>
        </w:tc>
        <w:tc>
          <w:tcPr>
            <w:tcW w:w="1103" w:type="pct"/>
            <w:tcBorders>
              <w:top w:val="single" w:sz="4" w:space="0" w:color="auto"/>
            </w:tcBorders>
            <w:noWrap/>
          </w:tcPr>
          <w:p w:rsidR="00816666" w:rsidRDefault="00816666">
            <w:pPr>
              <w:spacing w:line="360" w:lineRule="auto"/>
              <w:jc w:val="both"/>
              <w:rPr>
                <w:rFonts w:ascii="Book Antiqua" w:eastAsia="Times New Roman" w:hAnsi="Book Antiqua"/>
              </w:rPr>
            </w:pPr>
          </w:p>
        </w:tc>
        <w:tc>
          <w:tcPr>
            <w:tcW w:w="585" w:type="pct"/>
            <w:tcBorders>
              <w:top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0.273</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(41.2)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8 (47.1)</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(35.3)</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18 (52.9)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11 (64.7)</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(5.9)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 (0)</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Granulocytopenia</w:t>
            </w:r>
            <w:proofErr w:type="spellEnd"/>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0.450</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15 (44.1)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(35.3)</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9 (52.9)</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16 (47.1)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10 (58.8)</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(35.3)</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(8.8)</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Thrombocytopenia</w:t>
            </w:r>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1.000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29 (85.3)</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(82.4)</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15 (88.2)</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5 (14.7)</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Anemia</w:t>
            </w:r>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0.342</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10 (29.4)</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17 (50.0)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10 (58.8)</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(20.6)</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4 (23.5)</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Esophagitis</w:t>
            </w:r>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0.865</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16 (47.1)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9 (52.9)</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15 (44.1)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8 (47.1)</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(5.9)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3</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(2.9)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 (0)</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hAnsi="Book Antiqua"/>
              </w:rPr>
            </w:pPr>
            <w:r>
              <w:rPr>
                <w:rFonts w:ascii="Book Antiqua" w:hAnsi="Book Antiqua"/>
              </w:rPr>
              <w:t>Gastrointestinal reactions</w:t>
            </w:r>
          </w:p>
        </w:tc>
        <w:tc>
          <w:tcPr>
            <w:tcW w:w="779" w:type="pct"/>
          </w:tcPr>
          <w:p w:rsidR="00816666" w:rsidRDefault="00816666">
            <w:pPr>
              <w:spacing w:line="360" w:lineRule="auto"/>
              <w:jc w:val="both"/>
              <w:rPr>
                <w:rFonts w:ascii="Book Antiqua" w:hAnsi="Book Antiqua"/>
              </w:rPr>
            </w:pPr>
          </w:p>
        </w:tc>
        <w:tc>
          <w:tcPr>
            <w:tcW w:w="779" w:type="pct"/>
            <w:noWrap/>
          </w:tcPr>
          <w:p w:rsidR="00816666" w:rsidRDefault="00816666">
            <w:pPr>
              <w:spacing w:line="360" w:lineRule="auto"/>
              <w:jc w:val="both"/>
              <w:rPr>
                <w:rFonts w:ascii="Book Antiqua" w:eastAsia="等线" w:hAnsi="Book Antiqua" w:cs="宋体"/>
                <w:color w:val="000000"/>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0.012</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22 (64.7)</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7 (41.2)</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15 (88.2)</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12 (35.3)</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10 (58.8)</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Radiation pneumonitis</w:t>
            </w:r>
          </w:p>
        </w:tc>
        <w:tc>
          <w:tcPr>
            <w:tcW w:w="779" w:type="pct"/>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等线" w:hAnsi="Book Antiqua" w:cs="宋体"/>
                <w:color w:val="000000"/>
              </w:rPr>
            </w:pPr>
          </w:p>
        </w:tc>
        <w:tc>
          <w:tcPr>
            <w:tcW w:w="1103" w:type="pct"/>
            <w:noWrap/>
          </w:tcPr>
          <w:p w:rsidR="00816666" w:rsidRDefault="00816666">
            <w:pPr>
              <w:spacing w:line="360" w:lineRule="auto"/>
              <w:jc w:val="both"/>
              <w:rPr>
                <w:rFonts w:ascii="Book Antiqua" w:eastAsia="等线" w:hAnsi="Book Antiqua" w:cs="宋体"/>
                <w:color w:val="000000"/>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0.653</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27 (79.4)</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13 (76.5)</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(82.4)</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6 (17.6)</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4 (23.5)</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2 (11.8)</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lastRenderedPageBreak/>
              <w:t>Grade 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(2.9)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 (0)</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Dermatitis</w:t>
            </w:r>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0.601</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30 (88.2)</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16 (94.1)</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14 (82.4)</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Grade 1</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4 (11.8)</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1 (5.9)</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3 (17.6)</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Short-term efficacy</w:t>
            </w:r>
          </w:p>
        </w:tc>
        <w:tc>
          <w:tcPr>
            <w:tcW w:w="779" w:type="pct"/>
            <w:noWrap/>
          </w:tcPr>
          <w:p w:rsidR="00816666" w:rsidRDefault="00816666">
            <w:pPr>
              <w:spacing w:line="360" w:lineRule="auto"/>
              <w:jc w:val="both"/>
              <w:rPr>
                <w:rFonts w:ascii="Book Antiqua" w:eastAsia="等线" w:hAnsi="Book Antiqua" w:cs="宋体"/>
                <w:color w:val="000000"/>
              </w:rPr>
            </w:pPr>
          </w:p>
        </w:tc>
        <w:tc>
          <w:tcPr>
            <w:tcW w:w="779" w:type="pct"/>
            <w:noWrap/>
          </w:tcPr>
          <w:p w:rsidR="00816666" w:rsidRDefault="00816666">
            <w:pPr>
              <w:spacing w:line="360" w:lineRule="auto"/>
              <w:jc w:val="both"/>
              <w:rPr>
                <w:rFonts w:ascii="Book Antiqua" w:eastAsia="Times New Roman" w:hAnsi="Book Antiqua"/>
              </w:rPr>
            </w:pPr>
          </w:p>
        </w:tc>
        <w:tc>
          <w:tcPr>
            <w:tcW w:w="1103" w:type="pct"/>
            <w:noWrap/>
          </w:tcPr>
          <w:p w:rsidR="00816666" w:rsidRDefault="00816666">
            <w:pPr>
              <w:spacing w:line="360" w:lineRule="auto"/>
              <w:jc w:val="both"/>
              <w:rPr>
                <w:rFonts w:ascii="Book Antiqua" w:eastAsia="Times New Roman" w:hAnsi="Book Antiqua"/>
              </w:rPr>
            </w:pP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0.409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ORR</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28 (82.4)</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15 (88.2)</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13 (76.5)</w:t>
            </w:r>
          </w:p>
        </w:tc>
        <w:tc>
          <w:tcPr>
            <w:tcW w:w="585" w:type="pct"/>
            <w:noWrap/>
          </w:tcPr>
          <w:p w:rsidR="00816666" w:rsidRDefault="00816666">
            <w:pPr>
              <w:spacing w:line="360" w:lineRule="auto"/>
              <w:jc w:val="both"/>
              <w:rPr>
                <w:rFonts w:ascii="Book Antiqua" w:eastAsia="等线" w:hAnsi="Book Antiqua" w:cs="宋体"/>
                <w:color w:val="000000"/>
              </w:rPr>
            </w:pP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CR</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2 (5.9)</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 (5.9)</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 (5.9)</w:t>
            </w:r>
          </w:p>
        </w:tc>
        <w:tc>
          <w:tcPr>
            <w:tcW w:w="585" w:type="pct"/>
            <w:noWrap/>
          </w:tcPr>
          <w:p w:rsidR="00816666" w:rsidRDefault="00816666">
            <w:pPr>
              <w:spacing w:line="360" w:lineRule="auto"/>
              <w:jc w:val="both"/>
              <w:rPr>
                <w:rFonts w:ascii="Book Antiqua" w:eastAsia="等线" w:hAnsi="Book Antiqua" w:cs="宋体"/>
                <w:color w:val="000000"/>
              </w:rPr>
            </w:pP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PR</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26 (76.5)</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14 (82.4)</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12 (70.6)</w:t>
            </w:r>
          </w:p>
        </w:tc>
        <w:tc>
          <w:tcPr>
            <w:tcW w:w="585"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816666">
        <w:trPr>
          <w:trHeight w:val="278"/>
        </w:trPr>
        <w:tc>
          <w:tcPr>
            <w:tcW w:w="1754"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SD</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3 (8.8)</w:t>
            </w:r>
          </w:p>
        </w:tc>
        <w:tc>
          <w:tcPr>
            <w:tcW w:w="779"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2 (11.8)</w:t>
            </w:r>
          </w:p>
        </w:tc>
        <w:tc>
          <w:tcPr>
            <w:tcW w:w="1103" w:type="pct"/>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1 (5.9)</w:t>
            </w:r>
          </w:p>
        </w:tc>
        <w:tc>
          <w:tcPr>
            <w:tcW w:w="585" w:type="pct"/>
            <w:noWrap/>
          </w:tcPr>
          <w:p w:rsidR="00816666" w:rsidRDefault="00816666">
            <w:pPr>
              <w:spacing w:line="360" w:lineRule="auto"/>
              <w:jc w:val="both"/>
              <w:rPr>
                <w:rFonts w:ascii="Book Antiqua" w:eastAsia="等线" w:hAnsi="Book Antiqua" w:cs="宋体"/>
                <w:color w:val="000000"/>
              </w:rPr>
            </w:pPr>
          </w:p>
        </w:tc>
      </w:tr>
      <w:tr w:rsidR="00816666">
        <w:trPr>
          <w:trHeight w:val="278"/>
        </w:trPr>
        <w:tc>
          <w:tcPr>
            <w:tcW w:w="1754"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PD</w:t>
            </w:r>
          </w:p>
        </w:tc>
        <w:tc>
          <w:tcPr>
            <w:tcW w:w="779"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3 (8.8)</w:t>
            </w:r>
          </w:p>
        </w:tc>
        <w:tc>
          <w:tcPr>
            <w:tcW w:w="779"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0 (0)</w:t>
            </w:r>
          </w:p>
        </w:tc>
        <w:tc>
          <w:tcPr>
            <w:tcW w:w="1103"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olor w:val="000000"/>
              </w:rPr>
              <w:t>3 (17.6)</w:t>
            </w:r>
          </w:p>
        </w:tc>
        <w:tc>
          <w:tcPr>
            <w:tcW w:w="585" w:type="pct"/>
            <w:tcBorders>
              <w:bottom w:val="single" w:sz="4" w:space="0" w:color="auto"/>
            </w:tcBorders>
            <w:noWrap/>
          </w:tcPr>
          <w:p w:rsidR="00816666" w:rsidRDefault="00513980">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bl>
    <w:p w:rsidR="00816666" w:rsidRDefault="00513980">
      <w:pPr>
        <w:pStyle w:val="A9"/>
        <w:spacing w:line="360" w:lineRule="auto"/>
        <w:rPr>
          <w:rFonts w:ascii="Book Antiqua" w:hAnsi="Book Antiqua" w:hint="default"/>
          <w:sz w:val="24"/>
          <w:szCs w:val="24"/>
        </w:rPr>
      </w:pPr>
      <w:r>
        <w:rPr>
          <w:rFonts w:ascii="Book Antiqua" w:eastAsia="等线" w:hAnsi="Book Antiqua" w:cs="宋体" w:hint="default"/>
          <w:sz w:val="24"/>
          <w:szCs w:val="24"/>
        </w:rPr>
        <w:t xml:space="preserve">For baseline characteristics analysis, the statistical differences among the quartiles of radiation were tested with one-way analysis of variance for continuous variables and </w:t>
      </w:r>
      <w:r>
        <w:rPr>
          <w:rFonts w:ascii="Book Antiqua" w:eastAsia="等线" w:hAnsi="Book Antiqua" w:cs="宋体" w:hint="default"/>
          <w:i/>
          <w:iCs/>
          <w:sz w:val="24"/>
          <w:szCs w:val="24"/>
        </w:rPr>
        <w:t>via</w:t>
      </w:r>
      <w:r>
        <w:rPr>
          <w:rFonts w:ascii="Book Antiqua" w:eastAsia="等线" w:hAnsi="Book Antiqua" w:cs="宋体" w:hint="default"/>
          <w:sz w:val="24"/>
          <w:szCs w:val="24"/>
        </w:rPr>
        <w:t xml:space="preserve"> </w:t>
      </w:r>
      <w:r>
        <w:rPr>
          <w:rFonts w:ascii="Book Antiqua" w:eastAsia="等线" w:hAnsi="Book Antiqua" w:cs="宋体" w:hint="default"/>
          <w:i/>
          <w:iCs/>
          <w:sz w:val="24"/>
          <w:szCs w:val="24"/>
        </w:rPr>
        <w:t>χ</w:t>
      </w:r>
      <w:r>
        <w:rPr>
          <w:rFonts w:ascii="Book Antiqua" w:eastAsia="等线" w:hAnsi="Book Antiqua" w:cs="宋体" w:hint="default"/>
          <w:sz w:val="24"/>
          <w:szCs w:val="24"/>
          <w:vertAlign w:val="superscript"/>
        </w:rPr>
        <w:t>2</w:t>
      </w:r>
      <w:r>
        <w:rPr>
          <w:rFonts w:ascii="Book Antiqua" w:eastAsia="等线" w:hAnsi="Book Antiqua" w:cs="宋体" w:hint="default"/>
          <w:sz w:val="24"/>
          <w:szCs w:val="24"/>
        </w:rPr>
        <w:t xml:space="preserve"> tests for categorical variables. Statistical significance was set at </w:t>
      </w:r>
      <w:r>
        <w:rPr>
          <w:rFonts w:ascii="Book Antiqua" w:eastAsia="等线" w:hAnsi="Book Antiqua" w:cs="宋体" w:hint="default"/>
          <w:i/>
          <w:iCs/>
          <w:sz w:val="24"/>
          <w:szCs w:val="24"/>
        </w:rPr>
        <w:t>P</w:t>
      </w:r>
      <w:r>
        <w:rPr>
          <w:rFonts w:ascii="Book Antiqua" w:eastAsia="等线" w:hAnsi="Book Antiqua" w:cs="宋体" w:hint="default"/>
          <w:sz w:val="24"/>
          <w:szCs w:val="24"/>
        </w:rPr>
        <w:t xml:space="preserve"> &lt; 0.05. CRT: Concurrent </w:t>
      </w:r>
      <w:proofErr w:type="spellStart"/>
      <w:r>
        <w:rPr>
          <w:rFonts w:ascii="Book Antiqua" w:eastAsia="等线" w:hAnsi="Book Antiqua" w:cs="宋体" w:hint="default"/>
          <w:sz w:val="24"/>
          <w:szCs w:val="24"/>
        </w:rPr>
        <w:t>chemoradiotherapy</w:t>
      </w:r>
      <w:proofErr w:type="spellEnd"/>
      <w:r>
        <w:rPr>
          <w:rFonts w:ascii="Book Antiqua" w:eastAsia="等线" w:hAnsi="Book Antiqua" w:cs="宋体" w:hint="default"/>
          <w:sz w:val="24"/>
          <w:szCs w:val="24"/>
        </w:rPr>
        <w:t xml:space="preserve">; ORR: </w:t>
      </w:r>
      <w:r>
        <w:rPr>
          <w:rFonts w:ascii="Book Antiqua" w:eastAsia="Book Antiqua" w:hAnsi="Book Antiqua" w:cs="Book Antiqua" w:hint="default"/>
          <w:sz w:val="24"/>
          <w:szCs w:val="24"/>
        </w:rPr>
        <w:t>Objective response rate</w:t>
      </w:r>
      <w:r>
        <w:rPr>
          <w:rFonts w:ascii="Book Antiqua" w:eastAsia="等线" w:hAnsi="Book Antiqua" w:cs="宋体" w:hint="default"/>
          <w:sz w:val="24"/>
          <w:szCs w:val="24"/>
        </w:rPr>
        <w:t xml:space="preserve">; CR: </w:t>
      </w:r>
      <w:r>
        <w:rPr>
          <w:rFonts w:ascii="Book Antiqua" w:eastAsia="Book Antiqua" w:hAnsi="Book Antiqua" w:cs="Book Antiqua" w:hint="default"/>
          <w:sz w:val="24"/>
          <w:szCs w:val="24"/>
        </w:rPr>
        <w:t>Complete response</w:t>
      </w:r>
      <w:r>
        <w:rPr>
          <w:rFonts w:ascii="Book Antiqua" w:eastAsia="等线" w:hAnsi="Book Antiqua" w:cs="宋体" w:hint="default"/>
          <w:sz w:val="24"/>
          <w:szCs w:val="24"/>
        </w:rPr>
        <w:t xml:space="preserve">; PR: </w:t>
      </w:r>
      <w:r>
        <w:rPr>
          <w:rFonts w:ascii="Book Antiqua" w:eastAsia="Book Antiqua" w:hAnsi="Book Antiqua" w:cs="Book Antiqua" w:hint="default"/>
          <w:sz w:val="24"/>
          <w:szCs w:val="24"/>
        </w:rPr>
        <w:t>Partial response</w:t>
      </w:r>
      <w:r>
        <w:rPr>
          <w:rFonts w:ascii="Book Antiqua" w:eastAsia="等线" w:hAnsi="Book Antiqua" w:cs="宋体" w:hint="default"/>
          <w:sz w:val="24"/>
          <w:szCs w:val="24"/>
        </w:rPr>
        <w:t xml:space="preserve">; SD: </w:t>
      </w:r>
      <w:r>
        <w:rPr>
          <w:rFonts w:ascii="Book Antiqua" w:eastAsia="Book Antiqua" w:hAnsi="Book Antiqua" w:cs="Book Antiqua" w:hint="default"/>
          <w:sz w:val="24"/>
          <w:szCs w:val="24"/>
        </w:rPr>
        <w:t>Stable disease</w:t>
      </w:r>
      <w:r>
        <w:rPr>
          <w:rFonts w:ascii="Book Antiqua" w:eastAsia="等线" w:hAnsi="Book Antiqua" w:cs="宋体" w:hint="default"/>
          <w:sz w:val="24"/>
          <w:szCs w:val="24"/>
        </w:rPr>
        <w:t xml:space="preserve">; PD: </w:t>
      </w:r>
      <w:r>
        <w:rPr>
          <w:rFonts w:ascii="Book Antiqua" w:eastAsia="Book Antiqua" w:hAnsi="Book Antiqua" w:cs="Book Antiqua" w:hint="default"/>
          <w:sz w:val="24"/>
          <w:szCs w:val="24"/>
        </w:rPr>
        <w:t>Progressive disease</w:t>
      </w:r>
      <w:r>
        <w:rPr>
          <w:rFonts w:ascii="Book Antiqua" w:eastAsia="等线" w:hAnsi="Book Antiqua" w:cs="宋体" w:hint="default"/>
          <w:sz w:val="24"/>
          <w:szCs w:val="24"/>
        </w:rPr>
        <w:t>.</w:t>
      </w:r>
    </w:p>
    <w:p w:rsidR="008C70A5" w:rsidRDefault="008C70A5">
      <w:pPr>
        <w:rPr>
          <w:rFonts w:ascii="Book Antiqua" w:hAnsi="Book Antiqua"/>
          <w:lang w:eastAsia="zh-TW"/>
        </w:rPr>
      </w:pPr>
      <w:r>
        <w:rPr>
          <w:rFonts w:ascii="Book Antiqua" w:hAnsi="Book Antiqua"/>
          <w:lang w:eastAsia="zh-TW"/>
        </w:rPr>
        <w:br w:type="page"/>
      </w: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r>
        <w:rPr>
          <w:rFonts w:ascii="Book Antiqua" w:hAnsi="Book Antiqua"/>
          <w:noProof/>
          <w:lang w:eastAsia="zh-CN"/>
        </w:rPr>
        <w:drawing>
          <wp:inline distT="0" distB="0" distL="0" distR="0" wp14:anchorId="56AF62C4" wp14:editId="216CE3F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C70A5" w:rsidRDefault="008C70A5" w:rsidP="008C70A5">
      <w:pPr>
        <w:jc w:val="center"/>
        <w:rPr>
          <w:rFonts w:ascii="Book Antiqua" w:hAnsi="Book Antiqua"/>
        </w:rPr>
      </w:pPr>
    </w:p>
    <w:p w:rsidR="008C70A5" w:rsidRPr="00763D22" w:rsidRDefault="008C70A5" w:rsidP="008C70A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8C70A5" w:rsidRPr="00763D22" w:rsidRDefault="008C70A5" w:rsidP="008C70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C70A5" w:rsidRPr="00763D22" w:rsidRDefault="008C70A5" w:rsidP="008C70A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C70A5" w:rsidRPr="00763D22" w:rsidRDefault="008C70A5" w:rsidP="008C70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C70A5" w:rsidRPr="00763D22" w:rsidRDefault="008C70A5" w:rsidP="008C70A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C70A5" w:rsidRPr="00763D22" w:rsidRDefault="008C70A5" w:rsidP="008C70A5">
      <w:pPr>
        <w:jc w:val="center"/>
        <w:rPr>
          <w:rFonts w:ascii="Book Antiqua" w:hAnsi="Book Antiqua"/>
        </w:rPr>
      </w:pPr>
      <w:r w:rsidRPr="00763D22">
        <w:rPr>
          <w:rFonts w:ascii="Book Antiqua" w:eastAsia="TimesNewRomanPSMT" w:hAnsi="Book Antiqua" w:cs="Garamond"/>
          <w:color w:val="D56400"/>
          <w:sz w:val="28"/>
          <w:szCs w:val="28"/>
        </w:rPr>
        <w:t>https://www.wjgnet.com</w:t>
      </w: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r>
        <w:rPr>
          <w:rFonts w:ascii="Book Antiqua" w:hAnsi="Book Antiqua"/>
          <w:noProof/>
          <w:lang w:eastAsia="zh-CN"/>
        </w:rPr>
        <w:drawing>
          <wp:inline distT="0" distB="0" distL="0" distR="0" wp14:anchorId="6972C170" wp14:editId="7273DA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Default="008C70A5" w:rsidP="008C70A5">
      <w:pPr>
        <w:jc w:val="center"/>
        <w:rPr>
          <w:rFonts w:ascii="Book Antiqua" w:hAnsi="Book Antiqua"/>
        </w:rPr>
      </w:pPr>
    </w:p>
    <w:p w:rsidR="008C70A5" w:rsidRPr="00763D22" w:rsidRDefault="008C70A5" w:rsidP="008C70A5">
      <w:pPr>
        <w:jc w:val="right"/>
        <w:rPr>
          <w:rFonts w:ascii="Book Antiqua" w:hAnsi="Book Antiqua"/>
          <w:color w:val="000000" w:themeColor="text1"/>
        </w:rPr>
      </w:pPr>
    </w:p>
    <w:p w:rsidR="008C70A5" w:rsidRPr="00763D22" w:rsidRDefault="008C70A5" w:rsidP="008C70A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816666" w:rsidRPr="008C70A5" w:rsidRDefault="00816666" w:rsidP="008C70A5">
      <w:pPr>
        <w:spacing w:line="360" w:lineRule="auto"/>
        <w:jc w:val="both"/>
        <w:rPr>
          <w:rFonts w:ascii="Book Antiqua" w:hAnsi="Book Antiqua"/>
          <w:lang w:eastAsia="zh-TW"/>
        </w:rPr>
      </w:pPr>
    </w:p>
    <w:sectPr w:rsidR="00816666" w:rsidRPr="008C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53" w:rsidRDefault="002A0C53">
      <w:r>
        <w:separator/>
      </w:r>
    </w:p>
  </w:endnote>
  <w:endnote w:type="continuationSeparator" w:id="0">
    <w:p w:rsidR="002A0C53" w:rsidRDefault="002A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66" w:rsidRDefault="00513980">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F1498" w:rsidRPr="009F1498">
      <w:rPr>
        <w:rFonts w:ascii="Book Antiqua" w:hAnsi="Book Antiqua"/>
        <w:noProof/>
        <w:color w:val="000000" w:themeColor="text1"/>
        <w:sz w:val="24"/>
        <w:szCs w:val="24"/>
        <w:lang w:val="zh-CN" w:eastAsia="zh-CN"/>
      </w:rPr>
      <w:t>22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F1498" w:rsidRPr="009F1498">
      <w:rPr>
        <w:rFonts w:ascii="Book Antiqua" w:hAnsi="Book Antiqua"/>
        <w:noProof/>
        <w:color w:val="000000" w:themeColor="text1"/>
        <w:sz w:val="24"/>
        <w:szCs w:val="24"/>
        <w:lang w:val="zh-CN" w:eastAsia="zh-CN"/>
      </w:rPr>
      <w:t>28</w:t>
    </w:r>
    <w:r>
      <w:rPr>
        <w:rFonts w:ascii="Book Antiqua" w:hAnsi="Book Antiqua"/>
        <w:color w:val="000000" w:themeColor="text1"/>
        <w:sz w:val="24"/>
        <w:szCs w:val="24"/>
      </w:rPr>
      <w:fldChar w:fldCharType="end"/>
    </w:r>
  </w:p>
  <w:p w:rsidR="00816666" w:rsidRDefault="008166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53" w:rsidRDefault="002A0C53">
      <w:r>
        <w:separator/>
      </w:r>
    </w:p>
  </w:footnote>
  <w:footnote w:type="continuationSeparator" w:id="0">
    <w:p w:rsidR="002A0C53" w:rsidRDefault="002A0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BB"/>
    <w:rsid w:val="00054F31"/>
    <w:rsid w:val="00155076"/>
    <w:rsid w:val="001C6CEB"/>
    <w:rsid w:val="001F1946"/>
    <w:rsid w:val="00262313"/>
    <w:rsid w:val="002A0C53"/>
    <w:rsid w:val="002F5DD7"/>
    <w:rsid w:val="00304364"/>
    <w:rsid w:val="0033480A"/>
    <w:rsid w:val="00364EDE"/>
    <w:rsid w:val="003766C0"/>
    <w:rsid w:val="003F76A5"/>
    <w:rsid w:val="004212A3"/>
    <w:rsid w:val="00431F43"/>
    <w:rsid w:val="00455F09"/>
    <w:rsid w:val="004E0F8D"/>
    <w:rsid w:val="00513980"/>
    <w:rsid w:val="005217EA"/>
    <w:rsid w:val="00584C16"/>
    <w:rsid w:val="0067114D"/>
    <w:rsid w:val="00673483"/>
    <w:rsid w:val="00676236"/>
    <w:rsid w:val="00680AAF"/>
    <w:rsid w:val="0068638C"/>
    <w:rsid w:val="006B0F84"/>
    <w:rsid w:val="006D1637"/>
    <w:rsid w:val="006D3748"/>
    <w:rsid w:val="006F5504"/>
    <w:rsid w:val="0078662B"/>
    <w:rsid w:val="007D6D23"/>
    <w:rsid w:val="007E0B33"/>
    <w:rsid w:val="007E1FF9"/>
    <w:rsid w:val="00816666"/>
    <w:rsid w:val="00836BC8"/>
    <w:rsid w:val="0085768D"/>
    <w:rsid w:val="008812D5"/>
    <w:rsid w:val="008C70A5"/>
    <w:rsid w:val="008D0C5B"/>
    <w:rsid w:val="0092152E"/>
    <w:rsid w:val="009423D7"/>
    <w:rsid w:val="00980F6E"/>
    <w:rsid w:val="009D1026"/>
    <w:rsid w:val="009E19BC"/>
    <w:rsid w:val="009F1498"/>
    <w:rsid w:val="009F14C3"/>
    <w:rsid w:val="00A474B8"/>
    <w:rsid w:val="00A77B3E"/>
    <w:rsid w:val="00A8797F"/>
    <w:rsid w:val="00A905C9"/>
    <w:rsid w:val="00A91E9D"/>
    <w:rsid w:val="00AE0EA0"/>
    <w:rsid w:val="00AF5A91"/>
    <w:rsid w:val="00B14301"/>
    <w:rsid w:val="00B36FB5"/>
    <w:rsid w:val="00B504C0"/>
    <w:rsid w:val="00BC5C27"/>
    <w:rsid w:val="00BC60CD"/>
    <w:rsid w:val="00BF4E6D"/>
    <w:rsid w:val="00BF6994"/>
    <w:rsid w:val="00C53504"/>
    <w:rsid w:val="00CA2A55"/>
    <w:rsid w:val="00CC37AF"/>
    <w:rsid w:val="00CD367F"/>
    <w:rsid w:val="00CE0EC0"/>
    <w:rsid w:val="00CE3E25"/>
    <w:rsid w:val="00D0428C"/>
    <w:rsid w:val="00D11FBF"/>
    <w:rsid w:val="00D22185"/>
    <w:rsid w:val="00D26961"/>
    <w:rsid w:val="00D51F87"/>
    <w:rsid w:val="00DB2CE8"/>
    <w:rsid w:val="00DB356C"/>
    <w:rsid w:val="00DC775D"/>
    <w:rsid w:val="00DE73BD"/>
    <w:rsid w:val="00E7255E"/>
    <w:rsid w:val="00EC27AC"/>
    <w:rsid w:val="00EE4530"/>
    <w:rsid w:val="00F22F1F"/>
    <w:rsid w:val="00F44EC4"/>
    <w:rsid w:val="00F90C1C"/>
    <w:rsid w:val="00FB33EB"/>
    <w:rsid w:val="00FB7C89"/>
    <w:rsid w:val="00FF1E9C"/>
    <w:rsid w:val="00FF537D"/>
    <w:rsid w:val="476D3FD1"/>
    <w:rsid w:val="5D8F0C75"/>
    <w:rsid w:val="7C715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Hyperlink"/>
    <w:basedOn w:val="a0"/>
    <w:unhideWhenUsed/>
    <w:qFormat/>
    <w:rPr>
      <w:color w:val="0000FF" w:themeColor="hyperlink"/>
      <w:u w:val="single"/>
    </w:rPr>
  </w:style>
  <w:style w:type="character" w:styleId="a8">
    <w:name w:val="annotation reference"/>
    <w:basedOn w:val="a0"/>
    <w:semiHidden/>
    <w:unhideWhenUsed/>
    <w:qFormat/>
    <w:rPr>
      <w:sz w:val="21"/>
      <w:szCs w:val="21"/>
    </w:rPr>
  </w:style>
  <w:style w:type="character" w:customStyle="1" w:styleId="a00">
    <w:name w:val="a0"/>
    <w:basedOn w:val="a0"/>
    <w:qFormat/>
  </w:style>
  <w:style w:type="paragraph" w:customStyle="1" w:styleId="A9">
    <w:name w:val="正文 A"/>
    <w:qFormat/>
    <w:pPr>
      <w:jc w:val="both"/>
    </w:pPr>
    <w:rPr>
      <w:rFonts w:ascii="Arial Unicode MS" w:eastAsia="Arial Unicode MS" w:hAnsi="Arial Unicode MS" w:cs="Arial Unicode MS" w:hint="eastAsia"/>
      <w:color w:val="000000"/>
      <w:kern w:val="2"/>
      <w:sz w:val="21"/>
      <w:szCs w:val="21"/>
      <w:u w:color="000000"/>
      <w:lang w:eastAsia="ja-JP"/>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a">
    <w:name w:val="Balloon Text"/>
    <w:basedOn w:val="a"/>
    <w:link w:val="Char3"/>
    <w:rsid w:val="008C70A5"/>
    <w:rPr>
      <w:sz w:val="18"/>
      <w:szCs w:val="18"/>
    </w:rPr>
  </w:style>
  <w:style w:type="character" w:customStyle="1" w:styleId="Char3">
    <w:name w:val="批注框文本 Char"/>
    <w:basedOn w:val="a0"/>
    <w:link w:val="aa"/>
    <w:rsid w:val="008C70A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Hyperlink"/>
    <w:basedOn w:val="a0"/>
    <w:unhideWhenUsed/>
    <w:qFormat/>
    <w:rPr>
      <w:color w:val="0000FF" w:themeColor="hyperlink"/>
      <w:u w:val="single"/>
    </w:rPr>
  </w:style>
  <w:style w:type="character" w:styleId="a8">
    <w:name w:val="annotation reference"/>
    <w:basedOn w:val="a0"/>
    <w:semiHidden/>
    <w:unhideWhenUsed/>
    <w:qFormat/>
    <w:rPr>
      <w:sz w:val="21"/>
      <w:szCs w:val="21"/>
    </w:rPr>
  </w:style>
  <w:style w:type="character" w:customStyle="1" w:styleId="a00">
    <w:name w:val="a0"/>
    <w:basedOn w:val="a0"/>
    <w:qFormat/>
  </w:style>
  <w:style w:type="paragraph" w:customStyle="1" w:styleId="A9">
    <w:name w:val="正文 A"/>
    <w:qFormat/>
    <w:pPr>
      <w:jc w:val="both"/>
    </w:pPr>
    <w:rPr>
      <w:rFonts w:ascii="Arial Unicode MS" w:eastAsia="Arial Unicode MS" w:hAnsi="Arial Unicode MS" w:cs="Arial Unicode MS" w:hint="eastAsia"/>
      <w:color w:val="000000"/>
      <w:kern w:val="2"/>
      <w:sz w:val="21"/>
      <w:szCs w:val="21"/>
      <w:u w:color="000000"/>
      <w:lang w:eastAsia="ja-JP"/>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a">
    <w:name w:val="Balloon Text"/>
    <w:basedOn w:val="a"/>
    <w:link w:val="Char3"/>
    <w:rsid w:val="008C70A5"/>
    <w:rPr>
      <w:sz w:val="18"/>
      <w:szCs w:val="18"/>
    </w:rPr>
  </w:style>
  <w:style w:type="character" w:customStyle="1" w:styleId="Char3">
    <w:name w:val="批注框文本 Char"/>
    <w:basedOn w:val="a0"/>
    <w:link w:val="aa"/>
    <w:rsid w:val="008C70A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6348</Words>
  <Characters>36188</Characters>
  <Application>Microsoft Office Word</Application>
  <DocSecurity>0</DocSecurity>
  <Lines>301</Lines>
  <Paragraphs>84</Paragraphs>
  <ScaleCrop>false</ScaleCrop>
  <Company>HP</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4</cp:revision>
  <dcterms:created xsi:type="dcterms:W3CDTF">2022-06-13T19:49:00Z</dcterms:created>
  <dcterms:modified xsi:type="dcterms:W3CDTF">2022-07-10T21:18:00Z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6646C70DFB2F41F18E5FBC1B22FDE80A</vt:lpwstr>
  </property>
</Properties>
</file>