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1150E"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t xml:space="preserve">Name of Journal: </w:t>
      </w:r>
      <w:r w:rsidRPr="00492007">
        <w:rPr>
          <w:rFonts w:ascii="Book Antiqua" w:eastAsia="Book Antiqua" w:hAnsi="Book Antiqua" w:cs="Book Antiqua"/>
          <w:i/>
          <w:color w:val="000000"/>
        </w:rPr>
        <w:t>World Journal of Clinical Cases</w:t>
      </w:r>
    </w:p>
    <w:p w14:paraId="3971834B"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t xml:space="preserve">Manuscript NO: </w:t>
      </w:r>
      <w:r w:rsidRPr="00492007">
        <w:rPr>
          <w:rFonts w:ascii="Book Antiqua" w:eastAsia="Book Antiqua" w:hAnsi="Book Antiqua" w:cs="Book Antiqua"/>
          <w:color w:val="000000"/>
        </w:rPr>
        <w:t>77726</w:t>
      </w:r>
    </w:p>
    <w:p w14:paraId="52C6997B"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t xml:space="preserve">Manuscript Type: </w:t>
      </w:r>
      <w:r w:rsidRPr="00492007">
        <w:rPr>
          <w:rFonts w:ascii="Book Antiqua" w:eastAsia="Book Antiqua" w:hAnsi="Book Antiqua" w:cs="Book Antiqua"/>
          <w:color w:val="000000"/>
        </w:rPr>
        <w:t>ORIGINAL ARTICLE</w:t>
      </w:r>
    </w:p>
    <w:p w14:paraId="27FAD73B" w14:textId="77777777" w:rsidR="00A77B3E" w:rsidRPr="00492007" w:rsidRDefault="00A77B3E" w:rsidP="00492007">
      <w:pPr>
        <w:adjustRightInd w:val="0"/>
        <w:snapToGrid w:val="0"/>
        <w:spacing w:line="360" w:lineRule="auto"/>
        <w:jc w:val="both"/>
        <w:rPr>
          <w:rFonts w:ascii="Book Antiqua" w:hAnsi="Book Antiqua"/>
        </w:rPr>
      </w:pPr>
    </w:p>
    <w:p w14:paraId="2E38F177" w14:textId="77777777" w:rsidR="00D25D67" w:rsidRPr="00492007" w:rsidRDefault="007463B1" w:rsidP="00492007">
      <w:pPr>
        <w:adjustRightInd w:val="0"/>
        <w:snapToGrid w:val="0"/>
        <w:spacing w:line="360" w:lineRule="auto"/>
        <w:jc w:val="both"/>
        <w:rPr>
          <w:rFonts w:ascii="Book Antiqua" w:eastAsia="Book Antiqua" w:hAnsi="Book Antiqua" w:cs="Book Antiqua"/>
          <w:b/>
          <w:i/>
          <w:color w:val="000000"/>
        </w:rPr>
      </w:pPr>
      <w:r w:rsidRPr="00492007">
        <w:rPr>
          <w:rFonts w:ascii="Book Antiqua" w:eastAsia="Book Antiqua" w:hAnsi="Book Antiqua" w:cs="Book Antiqua"/>
          <w:b/>
          <w:i/>
          <w:color w:val="000000"/>
        </w:rPr>
        <w:t>Retrospective Study</w:t>
      </w:r>
    </w:p>
    <w:p w14:paraId="2537AA45" w14:textId="2C680949"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 xml:space="preserve">Efficacy of </w:t>
      </w:r>
      <w:proofErr w:type="spellStart"/>
      <w:r w:rsidRPr="00492007">
        <w:rPr>
          <w:rFonts w:ascii="Book Antiqua" w:eastAsia="Book Antiqua" w:hAnsi="Book Antiqua" w:cs="Book Antiqua"/>
          <w:b/>
          <w:bCs/>
          <w:color w:val="000000"/>
        </w:rPr>
        <w:t>transcatheter</w:t>
      </w:r>
      <w:proofErr w:type="spellEnd"/>
      <w:r w:rsidRPr="00492007">
        <w:rPr>
          <w:rFonts w:ascii="Book Antiqua" w:eastAsia="Book Antiqua" w:hAnsi="Book Antiqua" w:cs="Book Antiqua"/>
          <w:b/>
          <w:bCs/>
          <w:color w:val="000000"/>
        </w:rPr>
        <w:t xml:space="preserve"> arterial chemoembolization using </w:t>
      </w:r>
      <w:proofErr w:type="spellStart"/>
      <w:r w:rsidRPr="00492007">
        <w:rPr>
          <w:rFonts w:ascii="Book Antiqua" w:eastAsia="Book Antiqua" w:hAnsi="Book Antiqua" w:cs="Book Antiqua"/>
          <w:b/>
          <w:bCs/>
          <w:color w:val="000000"/>
        </w:rPr>
        <w:t>pirarubicin</w:t>
      </w:r>
      <w:proofErr w:type="spellEnd"/>
      <w:r w:rsidRPr="00492007">
        <w:rPr>
          <w:rFonts w:ascii="Book Antiqua" w:eastAsia="Book Antiqua" w:hAnsi="Book Antiqua" w:cs="Book Antiqua"/>
          <w:b/>
          <w:bCs/>
          <w:color w:val="000000"/>
        </w:rPr>
        <w:t xml:space="preserve">-loaded microspheres combined with </w:t>
      </w:r>
      <w:proofErr w:type="spellStart"/>
      <w:r w:rsidRPr="00492007">
        <w:rPr>
          <w:rFonts w:ascii="Book Antiqua" w:eastAsia="Book Antiqua" w:hAnsi="Book Antiqua" w:cs="Book Antiqua"/>
          <w:b/>
          <w:bCs/>
          <w:color w:val="000000"/>
        </w:rPr>
        <w:t>lobaplatin</w:t>
      </w:r>
      <w:proofErr w:type="spellEnd"/>
      <w:r w:rsidRPr="00492007">
        <w:rPr>
          <w:rFonts w:ascii="Book Antiqua" w:eastAsia="Book Antiqua" w:hAnsi="Book Antiqua" w:cs="Book Antiqua"/>
          <w:b/>
          <w:bCs/>
          <w:color w:val="000000"/>
        </w:rPr>
        <w:t xml:space="preserve"> for primary liver cancer</w:t>
      </w:r>
    </w:p>
    <w:p w14:paraId="638BEE2F" w14:textId="77777777" w:rsidR="00A77B3E" w:rsidRPr="00492007" w:rsidRDefault="00A77B3E" w:rsidP="00492007">
      <w:pPr>
        <w:adjustRightInd w:val="0"/>
        <w:snapToGrid w:val="0"/>
        <w:spacing w:line="360" w:lineRule="auto"/>
        <w:jc w:val="both"/>
        <w:rPr>
          <w:rFonts w:ascii="Book Antiqua" w:hAnsi="Book Antiqua"/>
        </w:rPr>
      </w:pPr>
    </w:p>
    <w:p w14:paraId="0A3D681B"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Zhang C </w:t>
      </w:r>
      <w:r w:rsidRPr="00492007">
        <w:rPr>
          <w:rFonts w:ascii="Book Antiqua" w:eastAsia="Book Antiqua" w:hAnsi="Book Antiqua" w:cs="Book Antiqua"/>
          <w:i/>
          <w:iCs/>
          <w:color w:val="000000"/>
        </w:rPr>
        <w:t>et al</w:t>
      </w:r>
      <w:r w:rsidRPr="00492007">
        <w:rPr>
          <w:rFonts w:ascii="Book Antiqua" w:eastAsia="Book Antiqua" w:hAnsi="Book Antiqua" w:cs="Book Antiqua"/>
          <w:color w:val="000000"/>
        </w:rPr>
        <w:t>. TACE in primary liver cancer</w:t>
      </w:r>
    </w:p>
    <w:p w14:paraId="70CF7DEA" w14:textId="77777777" w:rsidR="00A77B3E" w:rsidRPr="00492007" w:rsidRDefault="00A77B3E" w:rsidP="00492007">
      <w:pPr>
        <w:adjustRightInd w:val="0"/>
        <w:snapToGrid w:val="0"/>
        <w:spacing w:line="360" w:lineRule="auto"/>
        <w:jc w:val="both"/>
        <w:rPr>
          <w:rFonts w:ascii="Book Antiqua" w:hAnsi="Book Antiqua"/>
        </w:rPr>
      </w:pPr>
    </w:p>
    <w:p w14:paraId="631E7D5B"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Chao Zhang, Yu-</w:t>
      </w:r>
      <w:proofErr w:type="spellStart"/>
      <w:r w:rsidRPr="00492007">
        <w:rPr>
          <w:rFonts w:ascii="Book Antiqua" w:eastAsia="Book Antiqua" w:hAnsi="Book Antiqua" w:cs="Book Antiqua"/>
          <w:color w:val="000000"/>
        </w:rPr>
        <w:t>Hui</w:t>
      </w:r>
      <w:proofErr w:type="spellEnd"/>
      <w:r w:rsidRPr="00492007">
        <w:rPr>
          <w:rFonts w:ascii="Book Antiqua" w:eastAsia="Book Antiqua" w:hAnsi="Book Antiqua" w:cs="Book Antiqua"/>
          <w:color w:val="000000"/>
        </w:rPr>
        <w:t xml:space="preserve"> Dai, </w:t>
      </w:r>
      <w:proofErr w:type="spellStart"/>
      <w:r w:rsidRPr="00492007">
        <w:rPr>
          <w:rFonts w:ascii="Book Antiqua" w:eastAsia="Book Antiqua" w:hAnsi="Book Antiqua" w:cs="Book Antiqua"/>
          <w:color w:val="000000"/>
        </w:rPr>
        <w:t>Shu-Feng</w:t>
      </w:r>
      <w:proofErr w:type="spellEnd"/>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Lian</w:t>
      </w:r>
      <w:proofErr w:type="spellEnd"/>
      <w:r w:rsidRPr="00492007">
        <w:rPr>
          <w:rFonts w:ascii="Book Antiqua" w:eastAsia="Book Antiqua" w:hAnsi="Book Antiqua" w:cs="Book Antiqua"/>
          <w:color w:val="000000"/>
        </w:rPr>
        <w:t>, Liang Liu, Ting Zhao, Jun-Ye Wen</w:t>
      </w:r>
    </w:p>
    <w:p w14:paraId="23BBF5EF" w14:textId="77777777" w:rsidR="00A77B3E" w:rsidRPr="00492007" w:rsidRDefault="00A77B3E" w:rsidP="00492007">
      <w:pPr>
        <w:adjustRightInd w:val="0"/>
        <w:snapToGrid w:val="0"/>
        <w:spacing w:line="360" w:lineRule="auto"/>
        <w:jc w:val="both"/>
        <w:rPr>
          <w:rFonts w:ascii="Book Antiqua" w:hAnsi="Book Antiqua"/>
        </w:rPr>
      </w:pPr>
    </w:p>
    <w:p w14:paraId="7CD69E8C"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Chao Zhang, Yu-</w:t>
      </w:r>
      <w:proofErr w:type="spellStart"/>
      <w:r w:rsidRPr="00492007">
        <w:rPr>
          <w:rFonts w:ascii="Book Antiqua" w:eastAsia="Book Antiqua" w:hAnsi="Book Antiqua" w:cs="Book Antiqua"/>
          <w:b/>
          <w:bCs/>
          <w:color w:val="000000"/>
        </w:rPr>
        <w:t>Hui</w:t>
      </w:r>
      <w:proofErr w:type="spellEnd"/>
      <w:r w:rsidRPr="00492007">
        <w:rPr>
          <w:rFonts w:ascii="Book Antiqua" w:eastAsia="Book Antiqua" w:hAnsi="Book Antiqua" w:cs="Book Antiqua"/>
          <w:b/>
          <w:bCs/>
          <w:color w:val="000000"/>
        </w:rPr>
        <w:t xml:space="preserve"> Dai, Liang Liu, Ting Zhao, </w:t>
      </w:r>
      <w:r w:rsidRPr="00492007">
        <w:rPr>
          <w:rFonts w:ascii="Book Antiqua" w:eastAsia="Book Antiqua" w:hAnsi="Book Antiqua" w:cs="Book Antiqua"/>
          <w:color w:val="000000"/>
        </w:rPr>
        <w:t xml:space="preserve">Department of Interventional Therapy, </w:t>
      </w:r>
      <w:proofErr w:type="spellStart"/>
      <w:r w:rsidRPr="00492007">
        <w:rPr>
          <w:rFonts w:ascii="Book Antiqua" w:eastAsia="Book Antiqua" w:hAnsi="Book Antiqua" w:cs="Book Antiqua"/>
          <w:color w:val="000000"/>
        </w:rPr>
        <w:t>Hebei</w:t>
      </w:r>
      <w:proofErr w:type="spellEnd"/>
      <w:r w:rsidRPr="00492007">
        <w:rPr>
          <w:rFonts w:ascii="Book Antiqua" w:eastAsia="Book Antiqua" w:hAnsi="Book Antiqua" w:cs="Book Antiqua"/>
          <w:color w:val="000000"/>
        </w:rPr>
        <w:t xml:space="preserve"> North University Affiliated First Hospital, Zhangjiakou 075000, </w:t>
      </w:r>
      <w:proofErr w:type="spellStart"/>
      <w:r w:rsidRPr="00492007">
        <w:rPr>
          <w:rFonts w:ascii="Book Antiqua" w:eastAsia="Book Antiqua" w:hAnsi="Book Antiqua" w:cs="Book Antiqua"/>
          <w:color w:val="000000"/>
        </w:rPr>
        <w:t>Hebei</w:t>
      </w:r>
      <w:proofErr w:type="spellEnd"/>
      <w:r w:rsidRPr="00492007">
        <w:rPr>
          <w:rFonts w:ascii="Book Antiqua" w:eastAsia="Book Antiqua" w:hAnsi="Book Antiqua" w:cs="Book Antiqua"/>
          <w:color w:val="000000"/>
        </w:rPr>
        <w:t xml:space="preserve"> Province, China</w:t>
      </w:r>
    </w:p>
    <w:p w14:paraId="508D6110" w14:textId="77777777" w:rsidR="00A77B3E" w:rsidRPr="00492007" w:rsidRDefault="00A77B3E" w:rsidP="00492007">
      <w:pPr>
        <w:adjustRightInd w:val="0"/>
        <w:snapToGrid w:val="0"/>
        <w:spacing w:line="360" w:lineRule="auto"/>
        <w:jc w:val="both"/>
        <w:rPr>
          <w:rFonts w:ascii="Book Antiqua" w:hAnsi="Book Antiqua"/>
        </w:rPr>
      </w:pPr>
    </w:p>
    <w:p w14:paraId="5AD1748F" w14:textId="0EC73A42" w:rsidR="00A77B3E" w:rsidRPr="00492007" w:rsidRDefault="00B6516B" w:rsidP="00492007">
      <w:pPr>
        <w:adjustRightInd w:val="0"/>
        <w:snapToGrid w:val="0"/>
        <w:spacing w:line="360" w:lineRule="auto"/>
        <w:jc w:val="both"/>
        <w:rPr>
          <w:rFonts w:ascii="Book Antiqua" w:hAnsi="Book Antiqua"/>
        </w:rPr>
      </w:pPr>
      <w:proofErr w:type="spellStart"/>
      <w:r w:rsidRPr="00492007">
        <w:rPr>
          <w:rFonts w:ascii="Book Antiqua" w:eastAsia="Book Antiqua" w:hAnsi="Book Antiqua" w:cs="Book Antiqua"/>
          <w:b/>
          <w:bCs/>
          <w:color w:val="000000"/>
        </w:rPr>
        <w:t>Shu-Feng</w:t>
      </w:r>
      <w:proofErr w:type="spellEnd"/>
      <w:r w:rsidRPr="00492007">
        <w:rPr>
          <w:rFonts w:ascii="Book Antiqua" w:eastAsia="Book Antiqua" w:hAnsi="Book Antiqua" w:cs="Book Antiqua"/>
          <w:b/>
          <w:bCs/>
          <w:color w:val="000000"/>
        </w:rPr>
        <w:t xml:space="preserve"> </w:t>
      </w:r>
      <w:proofErr w:type="spellStart"/>
      <w:r w:rsidRPr="00492007">
        <w:rPr>
          <w:rFonts w:ascii="Book Antiqua" w:eastAsia="Book Antiqua" w:hAnsi="Book Antiqua" w:cs="Book Antiqua"/>
          <w:b/>
          <w:bCs/>
          <w:color w:val="000000"/>
        </w:rPr>
        <w:t>Lian</w:t>
      </w:r>
      <w:proofErr w:type="spellEnd"/>
      <w:r w:rsidRPr="00492007">
        <w:rPr>
          <w:rFonts w:ascii="Book Antiqua" w:eastAsia="Book Antiqua" w:hAnsi="Book Antiqua" w:cs="Book Antiqua"/>
          <w:b/>
          <w:bCs/>
          <w:color w:val="000000"/>
        </w:rPr>
        <w:t xml:space="preserve">, </w:t>
      </w:r>
      <w:r w:rsidRPr="00492007">
        <w:rPr>
          <w:rFonts w:ascii="Book Antiqua" w:eastAsia="Book Antiqua" w:hAnsi="Book Antiqua" w:cs="Book Antiqua"/>
          <w:color w:val="000000"/>
        </w:rPr>
        <w:t xml:space="preserve">Zhangjiakou </w:t>
      </w:r>
      <w:proofErr w:type="spellStart"/>
      <w:r w:rsidRPr="00492007">
        <w:rPr>
          <w:rFonts w:ascii="Book Antiqua" w:eastAsia="Book Antiqua" w:hAnsi="Book Antiqua" w:cs="Book Antiqua"/>
          <w:color w:val="000000"/>
        </w:rPr>
        <w:t>Qiaoxi</w:t>
      </w:r>
      <w:proofErr w:type="spellEnd"/>
      <w:r w:rsidRPr="00492007">
        <w:rPr>
          <w:rFonts w:ascii="Book Antiqua" w:eastAsia="Book Antiqua" w:hAnsi="Book Antiqua" w:cs="Book Antiqua"/>
          <w:color w:val="000000"/>
        </w:rPr>
        <w:t xml:space="preserve"> District Maternal and Child Health Care Hospital, Zhangjiakou 075000, </w:t>
      </w:r>
      <w:proofErr w:type="spellStart"/>
      <w:r w:rsidRPr="00492007">
        <w:rPr>
          <w:rFonts w:ascii="Book Antiqua" w:eastAsia="Book Antiqua" w:hAnsi="Book Antiqua" w:cs="Book Antiqua"/>
          <w:color w:val="000000"/>
        </w:rPr>
        <w:t>Hebei</w:t>
      </w:r>
      <w:proofErr w:type="spellEnd"/>
      <w:r w:rsidRPr="00492007">
        <w:rPr>
          <w:rFonts w:ascii="Book Antiqua" w:eastAsia="Book Antiqua" w:hAnsi="Book Antiqua" w:cs="Book Antiqua"/>
          <w:color w:val="000000"/>
        </w:rPr>
        <w:t xml:space="preserve"> Province, China</w:t>
      </w:r>
    </w:p>
    <w:p w14:paraId="3071724F" w14:textId="77777777" w:rsidR="00A77B3E" w:rsidRPr="00492007" w:rsidRDefault="00A77B3E" w:rsidP="00492007">
      <w:pPr>
        <w:adjustRightInd w:val="0"/>
        <w:snapToGrid w:val="0"/>
        <w:spacing w:line="360" w:lineRule="auto"/>
        <w:jc w:val="both"/>
        <w:rPr>
          <w:rFonts w:ascii="Book Antiqua" w:hAnsi="Book Antiqua"/>
        </w:rPr>
      </w:pPr>
    </w:p>
    <w:p w14:paraId="0B3B0ACF"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 xml:space="preserve">Jun-Ye Wen, </w:t>
      </w:r>
      <w:r w:rsidRPr="00492007">
        <w:rPr>
          <w:rFonts w:ascii="Book Antiqua" w:eastAsia="Book Antiqua" w:hAnsi="Book Antiqua" w:cs="Book Antiqua"/>
          <w:color w:val="000000"/>
        </w:rPr>
        <w:t xml:space="preserve">Department of </w:t>
      </w:r>
      <w:proofErr w:type="spellStart"/>
      <w:r w:rsidRPr="00492007">
        <w:rPr>
          <w:rFonts w:ascii="Book Antiqua" w:eastAsia="Book Antiqua" w:hAnsi="Book Antiqua" w:cs="Book Antiqua"/>
          <w:color w:val="000000"/>
        </w:rPr>
        <w:t>Hepatobiliary</w:t>
      </w:r>
      <w:proofErr w:type="spellEnd"/>
      <w:r w:rsidRPr="00492007">
        <w:rPr>
          <w:rFonts w:ascii="Book Antiqua" w:eastAsia="Book Antiqua" w:hAnsi="Book Antiqua" w:cs="Book Antiqua"/>
          <w:color w:val="000000"/>
        </w:rPr>
        <w:t xml:space="preserve"> Surgery, </w:t>
      </w:r>
      <w:proofErr w:type="spellStart"/>
      <w:r w:rsidRPr="00492007">
        <w:rPr>
          <w:rFonts w:ascii="Book Antiqua" w:eastAsia="Book Antiqua" w:hAnsi="Book Antiqua" w:cs="Book Antiqua"/>
          <w:color w:val="000000"/>
        </w:rPr>
        <w:t>Hebei</w:t>
      </w:r>
      <w:proofErr w:type="spellEnd"/>
      <w:r w:rsidRPr="00492007">
        <w:rPr>
          <w:rFonts w:ascii="Book Antiqua" w:eastAsia="Book Antiqua" w:hAnsi="Book Antiqua" w:cs="Book Antiqua"/>
          <w:color w:val="000000"/>
        </w:rPr>
        <w:t xml:space="preserve"> People’s Hospital, Shijiazhuang 050055, </w:t>
      </w:r>
      <w:proofErr w:type="spellStart"/>
      <w:r w:rsidRPr="00492007">
        <w:rPr>
          <w:rFonts w:ascii="Book Antiqua" w:eastAsia="Book Antiqua" w:hAnsi="Book Antiqua" w:cs="Book Antiqua"/>
          <w:color w:val="000000"/>
        </w:rPr>
        <w:t>Hebei</w:t>
      </w:r>
      <w:proofErr w:type="spellEnd"/>
      <w:r w:rsidRPr="00492007">
        <w:rPr>
          <w:rFonts w:ascii="Book Antiqua" w:eastAsia="Book Antiqua" w:hAnsi="Book Antiqua" w:cs="Book Antiqua"/>
          <w:color w:val="000000"/>
        </w:rPr>
        <w:t xml:space="preserve"> Province, China</w:t>
      </w:r>
    </w:p>
    <w:p w14:paraId="731A4CF6" w14:textId="77777777" w:rsidR="00A77B3E" w:rsidRPr="00492007" w:rsidRDefault="00A77B3E" w:rsidP="00492007">
      <w:pPr>
        <w:adjustRightInd w:val="0"/>
        <w:snapToGrid w:val="0"/>
        <w:spacing w:line="360" w:lineRule="auto"/>
        <w:jc w:val="both"/>
        <w:rPr>
          <w:rFonts w:ascii="Book Antiqua" w:hAnsi="Book Antiqua"/>
        </w:rPr>
      </w:pPr>
    </w:p>
    <w:p w14:paraId="5307682F" w14:textId="223DF296"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 xml:space="preserve">Author contributions: </w:t>
      </w:r>
      <w:r w:rsidRPr="00492007">
        <w:rPr>
          <w:rFonts w:ascii="Book Antiqua" w:eastAsia="Book Antiqua" w:hAnsi="Book Antiqua" w:cs="Book Antiqua"/>
          <w:color w:val="000000"/>
        </w:rPr>
        <w:t xml:space="preserve">Zhang C, Dai YH, </w:t>
      </w:r>
      <w:proofErr w:type="spellStart"/>
      <w:r w:rsidRPr="00492007">
        <w:rPr>
          <w:rFonts w:ascii="Book Antiqua" w:eastAsia="Book Antiqua" w:hAnsi="Book Antiqua" w:cs="Book Antiqua"/>
          <w:color w:val="000000"/>
        </w:rPr>
        <w:t>Lian</w:t>
      </w:r>
      <w:proofErr w:type="spellEnd"/>
      <w:r w:rsidRPr="00492007">
        <w:rPr>
          <w:rFonts w:ascii="Book Antiqua" w:eastAsia="Book Antiqua" w:hAnsi="Book Antiqua" w:cs="Book Antiqua"/>
          <w:color w:val="000000"/>
        </w:rPr>
        <w:t xml:space="preserve"> SF, Liu L, Zhao T and Wen JY designed the research study; Zhang C and Dai YH performed the research; Zhang C, Dai YH, </w:t>
      </w:r>
      <w:proofErr w:type="spellStart"/>
      <w:r w:rsidRPr="00492007">
        <w:rPr>
          <w:rFonts w:ascii="Book Antiqua" w:eastAsia="Book Antiqua" w:hAnsi="Book Antiqua" w:cs="Book Antiqua"/>
          <w:color w:val="000000"/>
        </w:rPr>
        <w:t>Lian</w:t>
      </w:r>
      <w:proofErr w:type="spellEnd"/>
      <w:r w:rsidRPr="00492007">
        <w:rPr>
          <w:rFonts w:ascii="Book Antiqua" w:eastAsia="Book Antiqua" w:hAnsi="Book Antiqua" w:cs="Book Antiqua"/>
          <w:color w:val="000000"/>
        </w:rPr>
        <w:t xml:space="preserve"> SF, Liu L, Zhao T and Wen JY analyzed the data and wrote the manuscript; </w:t>
      </w:r>
      <w:proofErr w:type="gramStart"/>
      <w:r w:rsidR="00450E9F">
        <w:rPr>
          <w:rFonts w:ascii="Book Antiqua" w:eastAsia="Book Antiqua" w:hAnsi="Book Antiqua" w:cs="Book Antiqua"/>
          <w:color w:val="000000"/>
        </w:rPr>
        <w:t>A</w:t>
      </w:r>
      <w:r w:rsidRPr="00492007">
        <w:rPr>
          <w:rFonts w:ascii="Book Antiqua" w:eastAsia="Book Antiqua" w:hAnsi="Book Antiqua" w:cs="Book Antiqua"/>
          <w:color w:val="000000"/>
        </w:rPr>
        <w:t>ll</w:t>
      </w:r>
      <w:proofErr w:type="gramEnd"/>
      <w:r w:rsidRPr="00492007">
        <w:rPr>
          <w:rFonts w:ascii="Book Antiqua" w:eastAsia="Book Antiqua" w:hAnsi="Book Antiqua" w:cs="Book Antiqua"/>
          <w:color w:val="000000"/>
        </w:rPr>
        <w:t xml:space="preserve"> authors have read and approve</w:t>
      </w:r>
      <w:r w:rsidR="00492007">
        <w:rPr>
          <w:rFonts w:ascii="Book Antiqua" w:eastAsia="Book Antiqua" w:hAnsi="Book Antiqua" w:cs="Book Antiqua"/>
          <w:color w:val="000000"/>
        </w:rPr>
        <w:t>d</w:t>
      </w:r>
      <w:r w:rsidRPr="00492007">
        <w:rPr>
          <w:rFonts w:ascii="Book Antiqua" w:eastAsia="Book Antiqua" w:hAnsi="Book Antiqua" w:cs="Book Antiqua"/>
          <w:color w:val="000000"/>
        </w:rPr>
        <w:t xml:space="preserve"> the final manuscript.</w:t>
      </w:r>
    </w:p>
    <w:p w14:paraId="5E34C5CA" w14:textId="77777777" w:rsidR="00A77B3E" w:rsidRPr="00492007" w:rsidRDefault="00A77B3E" w:rsidP="00492007">
      <w:pPr>
        <w:adjustRightInd w:val="0"/>
        <w:snapToGrid w:val="0"/>
        <w:spacing w:line="360" w:lineRule="auto"/>
        <w:jc w:val="both"/>
        <w:rPr>
          <w:rFonts w:ascii="Book Antiqua" w:hAnsi="Book Antiqua"/>
        </w:rPr>
      </w:pPr>
    </w:p>
    <w:p w14:paraId="2994B3BF" w14:textId="70075C84" w:rsidR="00A77B3E" w:rsidRPr="00492007" w:rsidRDefault="00B6516B" w:rsidP="00492007">
      <w:pPr>
        <w:adjustRightInd w:val="0"/>
        <w:snapToGrid w:val="0"/>
        <w:spacing w:line="360" w:lineRule="auto"/>
        <w:jc w:val="both"/>
        <w:rPr>
          <w:rFonts w:ascii="Book Antiqua" w:hAnsi="Book Antiqua"/>
        </w:rPr>
      </w:pPr>
      <w:proofErr w:type="gramStart"/>
      <w:r w:rsidRPr="00492007">
        <w:rPr>
          <w:rFonts w:ascii="Book Antiqua" w:eastAsia="Book Antiqua" w:hAnsi="Book Antiqua" w:cs="Book Antiqua"/>
          <w:b/>
          <w:bCs/>
          <w:color w:val="000000"/>
        </w:rPr>
        <w:lastRenderedPageBreak/>
        <w:t xml:space="preserve">Supported by </w:t>
      </w:r>
      <w:r w:rsidRPr="00492007">
        <w:rPr>
          <w:rFonts w:ascii="Book Antiqua" w:eastAsia="Book Antiqua" w:hAnsi="Book Antiqua" w:cs="Book Antiqua"/>
          <w:color w:val="000000"/>
        </w:rPr>
        <w:t>Zhangjiakou Science and Technology Research and Development Program, No. 1821154H</w:t>
      </w:r>
      <w:r w:rsidR="00072C7E" w:rsidRPr="00492007">
        <w:rPr>
          <w:rFonts w:ascii="Book Antiqua" w:eastAsia="Book Antiqua" w:hAnsi="Book Antiqua" w:cs="Book Antiqua"/>
          <w:color w:val="000000"/>
        </w:rPr>
        <w:t>;</w:t>
      </w:r>
      <w:r w:rsidRPr="00492007">
        <w:rPr>
          <w:rFonts w:ascii="Book Antiqua" w:eastAsia="Book Antiqua" w:hAnsi="Book Antiqua" w:cs="Book Antiqua"/>
          <w:color w:val="000000"/>
        </w:rPr>
        <w:t xml:space="preserve"> and Zhangjiakou Technology Innovation Guidance Program, No. 2021194H.</w:t>
      </w:r>
      <w:proofErr w:type="gramEnd"/>
    </w:p>
    <w:p w14:paraId="48C0664D" w14:textId="77777777" w:rsidR="00A77B3E" w:rsidRPr="00492007" w:rsidRDefault="00A77B3E" w:rsidP="00492007">
      <w:pPr>
        <w:adjustRightInd w:val="0"/>
        <w:snapToGrid w:val="0"/>
        <w:spacing w:line="360" w:lineRule="auto"/>
        <w:jc w:val="both"/>
        <w:rPr>
          <w:rFonts w:ascii="Book Antiqua" w:hAnsi="Book Antiqua"/>
        </w:rPr>
      </w:pPr>
    </w:p>
    <w:p w14:paraId="18216F7E"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 xml:space="preserve">Corresponding author: Chao Zhang, MD, Doctor, </w:t>
      </w:r>
      <w:r w:rsidRPr="00492007">
        <w:rPr>
          <w:rFonts w:ascii="Book Antiqua" w:eastAsia="Book Antiqua" w:hAnsi="Book Antiqua" w:cs="Book Antiqua"/>
          <w:color w:val="000000"/>
        </w:rPr>
        <w:t xml:space="preserve">Department of Interventional Therapy, </w:t>
      </w:r>
      <w:proofErr w:type="spellStart"/>
      <w:r w:rsidRPr="00492007">
        <w:rPr>
          <w:rFonts w:ascii="Book Antiqua" w:eastAsia="Book Antiqua" w:hAnsi="Book Antiqua" w:cs="Book Antiqua"/>
          <w:color w:val="000000"/>
        </w:rPr>
        <w:t>Hebei</w:t>
      </w:r>
      <w:proofErr w:type="spellEnd"/>
      <w:r w:rsidRPr="00492007">
        <w:rPr>
          <w:rFonts w:ascii="Book Antiqua" w:eastAsia="Book Antiqua" w:hAnsi="Book Antiqua" w:cs="Book Antiqua"/>
          <w:color w:val="000000"/>
        </w:rPr>
        <w:t xml:space="preserve"> North University Affiliated First Hospital, No. 12 </w:t>
      </w:r>
      <w:proofErr w:type="spellStart"/>
      <w:r w:rsidRPr="00492007">
        <w:rPr>
          <w:rFonts w:ascii="Book Antiqua" w:eastAsia="Book Antiqua" w:hAnsi="Book Antiqua" w:cs="Book Antiqua"/>
          <w:color w:val="000000"/>
        </w:rPr>
        <w:t>Changqing</w:t>
      </w:r>
      <w:proofErr w:type="spellEnd"/>
      <w:r w:rsidRPr="00492007">
        <w:rPr>
          <w:rFonts w:ascii="Book Antiqua" w:eastAsia="Book Antiqua" w:hAnsi="Book Antiqua" w:cs="Book Antiqua"/>
          <w:color w:val="000000"/>
        </w:rPr>
        <w:t xml:space="preserve"> Road, Zhangjiakou 075000, </w:t>
      </w:r>
      <w:proofErr w:type="spellStart"/>
      <w:r w:rsidRPr="00492007">
        <w:rPr>
          <w:rFonts w:ascii="Book Antiqua" w:eastAsia="Book Antiqua" w:hAnsi="Book Antiqua" w:cs="Book Antiqua"/>
          <w:color w:val="000000"/>
        </w:rPr>
        <w:t>Hebei</w:t>
      </w:r>
      <w:proofErr w:type="spellEnd"/>
      <w:r w:rsidRPr="00492007">
        <w:rPr>
          <w:rFonts w:ascii="Book Antiqua" w:eastAsia="Book Antiqua" w:hAnsi="Book Antiqua" w:cs="Book Antiqua"/>
          <w:color w:val="000000"/>
        </w:rPr>
        <w:t xml:space="preserve"> Province, China. zcxzt2016@163.com</w:t>
      </w:r>
    </w:p>
    <w:p w14:paraId="55BEEE3E" w14:textId="77777777" w:rsidR="00A77B3E" w:rsidRPr="00492007" w:rsidRDefault="00A77B3E" w:rsidP="00492007">
      <w:pPr>
        <w:adjustRightInd w:val="0"/>
        <w:snapToGrid w:val="0"/>
        <w:spacing w:line="360" w:lineRule="auto"/>
        <w:jc w:val="both"/>
        <w:rPr>
          <w:rFonts w:ascii="Book Antiqua" w:hAnsi="Book Antiqua"/>
        </w:rPr>
      </w:pPr>
    </w:p>
    <w:p w14:paraId="18C6A694"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 xml:space="preserve">Received: </w:t>
      </w:r>
      <w:r w:rsidRPr="00492007">
        <w:rPr>
          <w:rFonts w:ascii="Book Antiqua" w:eastAsia="Book Antiqua" w:hAnsi="Book Antiqua" w:cs="Book Antiqua"/>
          <w:color w:val="000000"/>
        </w:rPr>
        <w:t>May 16, 2022</w:t>
      </w:r>
    </w:p>
    <w:p w14:paraId="17F13E61" w14:textId="37248B5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Revised:</w:t>
      </w:r>
      <w:r w:rsidRPr="00492007">
        <w:rPr>
          <w:rFonts w:ascii="Book Antiqua" w:eastAsia="Book Antiqua" w:hAnsi="Book Antiqua" w:cs="Book Antiqua"/>
          <w:color w:val="000000"/>
        </w:rPr>
        <w:t xml:space="preserve"> </w:t>
      </w:r>
      <w:r w:rsidR="00B20DD9" w:rsidRPr="00492007">
        <w:rPr>
          <w:rFonts w:ascii="Book Antiqua" w:eastAsia="Book Antiqua" w:hAnsi="Book Antiqua" w:cs="Book Antiqua"/>
          <w:color w:val="000000"/>
        </w:rPr>
        <w:t>July 19, 2022</w:t>
      </w:r>
    </w:p>
    <w:p w14:paraId="1CF2D513" w14:textId="5AD98094" w:rsidR="00A77B3E" w:rsidRPr="000F165C" w:rsidRDefault="00B6516B" w:rsidP="00492007">
      <w:pPr>
        <w:adjustRightInd w:val="0"/>
        <w:snapToGrid w:val="0"/>
        <w:spacing w:line="360" w:lineRule="auto"/>
        <w:jc w:val="both"/>
        <w:rPr>
          <w:rFonts w:ascii="Book Antiqua" w:hAnsi="Book Antiqua"/>
          <w:lang w:eastAsia="zh-CN"/>
        </w:rPr>
      </w:pPr>
      <w:r w:rsidRPr="00492007">
        <w:rPr>
          <w:rFonts w:ascii="Book Antiqua" w:eastAsia="Book Antiqua" w:hAnsi="Book Antiqua" w:cs="Book Antiqua"/>
          <w:b/>
          <w:bCs/>
          <w:color w:val="000000"/>
        </w:rPr>
        <w:t>Accepted:</w:t>
      </w:r>
      <w:r w:rsidR="00171C40" w:rsidRPr="00171C40">
        <w:t xml:space="preserve"> </w:t>
      </w:r>
      <w:r w:rsidR="00171C40" w:rsidRPr="00226C13">
        <w:rPr>
          <w:rFonts w:ascii="Book Antiqua" w:eastAsia="Book Antiqua" w:hAnsi="Book Antiqua" w:cs="Book Antiqua"/>
          <w:color w:val="000000"/>
        </w:rPr>
        <w:t>August 16, 2022</w:t>
      </w:r>
    </w:p>
    <w:p w14:paraId="2AE4F878" w14:textId="13E9EFCB"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 xml:space="preserve">Published online: </w:t>
      </w:r>
      <w:r w:rsidR="00FC46AD">
        <w:rPr>
          <w:rFonts w:ascii="Book Antiqua" w:hAnsi="Book Antiqua"/>
          <w:color w:val="000000"/>
          <w:shd w:val="clear" w:color="auto" w:fill="FFFFFF"/>
        </w:rPr>
        <w:t>September 26, 2022</w:t>
      </w:r>
    </w:p>
    <w:p w14:paraId="2836D6C1" w14:textId="77777777" w:rsidR="000F165C" w:rsidRDefault="000F165C">
      <w:pPr>
        <w:rPr>
          <w:rFonts w:ascii="Book Antiqua" w:eastAsia="Book Antiqua" w:hAnsi="Book Antiqua" w:cs="Book Antiqua"/>
          <w:b/>
          <w:color w:val="000000"/>
        </w:rPr>
      </w:pPr>
      <w:r>
        <w:rPr>
          <w:rFonts w:ascii="Book Antiqua" w:eastAsia="Book Antiqua" w:hAnsi="Book Antiqua" w:cs="Book Antiqua"/>
          <w:b/>
          <w:color w:val="000000"/>
        </w:rPr>
        <w:br w:type="page"/>
      </w:r>
    </w:p>
    <w:p w14:paraId="47E7C2DA" w14:textId="4AAB49B1"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lastRenderedPageBreak/>
        <w:t>Abstract</w:t>
      </w:r>
    </w:p>
    <w:p w14:paraId="212B0482"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BACKGROUND</w:t>
      </w:r>
    </w:p>
    <w:p w14:paraId="0A58A481" w14:textId="3D901D10"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Drug-eluting beads show good safety and promising efficacy when used as part of a </w:t>
      </w:r>
      <w:proofErr w:type="spellStart"/>
      <w:r w:rsidRPr="00492007">
        <w:rPr>
          <w:rFonts w:ascii="Book Antiqua" w:eastAsia="Book Antiqua" w:hAnsi="Book Antiqua" w:cs="Book Antiqua"/>
          <w:color w:val="000000"/>
        </w:rPr>
        <w:t>transarterial</w:t>
      </w:r>
      <w:proofErr w:type="spellEnd"/>
      <w:r w:rsidRPr="00492007">
        <w:rPr>
          <w:rFonts w:ascii="Book Antiqua" w:eastAsia="Book Antiqua" w:hAnsi="Book Antiqua" w:cs="Book Antiqua"/>
          <w:color w:val="000000"/>
        </w:rPr>
        <w:t xml:space="preserve"> chemoembolization regimen for primary liver cancer. However, data on the clinical efficacy and safety of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-loaded beads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are lacking in China.</w:t>
      </w:r>
    </w:p>
    <w:p w14:paraId="05ABA1F6" w14:textId="77777777" w:rsidR="00A77B3E" w:rsidRPr="00492007" w:rsidRDefault="00A77B3E" w:rsidP="00492007">
      <w:pPr>
        <w:adjustRightInd w:val="0"/>
        <w:snapToGrid w:val="0"/>
        <w:spacing w:line="360" w:lineRule="auto"/>
        <w:jc w:val="both"/>
        <w:rPr>
          <w:rFonts w:ascii="Book Antiqua" w:hAnsi="Book Antiqua"/>
        </w:rPr>
      </w:pPr>
    </w:p>
    <w:p w14:paraId="24711D94"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AIM</w:t>
      </w:r>
    </w:p>
    <w:p w14:paraId="22888DFC" w14:textId="12659729"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To evaluate the efficacy and safety of </w:t>
      </w:r>
      <w:proofErr w:type="spellStart"/>
      <w:r w:rsidRPr="00492007">
        <w:rPr>
          <w:rFonts w:ascii="Book Antiqua" w:eastAsia="Book Antiqua" w:hAnsi="Book Antiqua" w:cs="Book Antiqua"/>
          <w:color w:val="000000"/>
        </w:rPr>
        <w:t>transcatheter</w:t>
      </w:r>
      <w:proofErr w:type="spellEnd"/>
      <w:r w:rsidRPr="00492007">
        <w:rPr>
          <w:rFonts w:ascii="Book Antiqua" w:eastAsia="Book Antiqua" w:hAnsi="Book Antiqua" w:cs="Book Antiqua"/>
          <w:color w:val="000000"/>
        </w:rPr>
        <w:t xml:space="preserve"> arterial chemoembolization using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-loaded beads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for primary liver cancer.</w:t>
      </w:r>
    </w:p>
    <w:p w14:paraId="6BBBC081" w14:textId="77777777" w:rsidR="00A77B3E" w:rsidRPr="00492007" w:rsidRDefault="00A77B3E" w:rsidP="00492007">
      <w:pPr>
        <w:adjustRightInd w:val="0"/>
        <w:snapToGrid w:val="0"/>
        <w:spacing w:line="360" w:lineRule="auto"/>
        <w:jc w:val="both"/>
        <w:rPr>
          <w:rFonts w:ascii="Book Antiqua" w:hAnsi="Book Antiqua"/>
        </w:rPr>
      </w:pPr>
    </w:p>
    <w:p w14:paraId="1CD50B67"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METHODS</w:t>
      </w:r>
    </w:p>
    <w:p w14:paraId="34232FAE" w14:textId="07B9E9F9"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Between January 2019 and March 2020, 60 patients with primary liver cancer were selected at </w:t>
      </w:r>
      <w:proofErr w:type="spellStart"/>
      <w:r w:rsidRPr="00492007">
        <w:rPr>
          <w:rFonts w:ascii="Book Antiqua" w:eastAsia="Book Antiqua" w:hAnsi="Book Antiqua" w:cs="Book Antiqua"/>
          <w:color w:val="000000"/>
        </w:rPr>
        <w:t>Hebei</w:t>
      </w:r>
      <w:proofErr w:type="spellEnd"/>
      <w:r w:rsidRPr="00492007">
        <w:rPr>
          <w:rFonts w:ascii="Book Antiqua" w:eastAsia="Book Antiqua" w:hAnsi="Book Antiqua" w:cs="Book Antiqua"/>
          <w:color w:val="000000"/>
        </w:rPr>
        <w:t xml:space="preserve"> North University Affiliated First Hospital. According to different treatment methods, the participants were categorized into two groups with 30 patients treated with </w:t>
      </w:r>
      <w:proofErr w:type="spellStart"/>
      <w:r w:rsidRPr="00492007">
        <w:rPr>
          <w:rFonts w:ascii="Book Antiqua" w:eastAsia="Book Antiqua" w:hAnsi="Book Antiqua" w:cs="Book Antiqua"/>
          <w:color w:val="000000"/>
        </w:rPr>
        <w:t>pirarubicin</w:t>
      </w:r>
      <w:proofErr w:type="spellEnd"/>
      <w:r w:rsidR="00492007">
        <w:rPr>
          <w:rFonts w:ascii="Book Antiqua" w:eastAsia="Book Antiqua" w:hAnsi="Book Antiqua" w:cs="Book Antiqua"/>
          <w:color w:val="000000"/>
        </w:rPr>
        <w:t>-</w:t>
      </w:r>
      <w:r w:rsidRPr="00492007">
        <w:rPr>
          <w:rFonts w:ascii="Book Antiqua" w:eastAsia="Book Antiqua" w:hAnsi="Book Antiqua" w:cs="Book Antiqua"/>
          <w:color w:val="000000"/>
        </w:rPr>
        <w:t xml:space="preserve">loaded microspheres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included in an observation group and 30 patients treated with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 emulsion with </w:t>
      </w:r>
      <w:proofErr w:type="spellStart"/>
      <w:r w:rsidRPr="00492007">
        <w:rPr>
          <w:rFonts w:ascii="Book Antiqua" w:eastAsia="Book Antiqua" w:hAnsi="Book Antiqua" w:cs="Book Antiqua"/>
          <w:color w:val="000000"/>
        </w:rPr>
        <w:t>lipiodol</w:t>
      </w:r>
      <w:proofErr w:type="spellEnd"/>
      <w:r w:rsidRPr="00492007">
        <w:rPr>
          <w:rFonts w:ascii="Book Antiqua" w:eastAsia="Book Antiqua" w:hAnsi="Book Antiqua" w:cs="Book Antiqua"/>
          <w:color w:val="000000"/>
        </w:rPr>
        <w:t xml:space="preserve">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were included in a control group. The progression</w:t>
      </w:r>
      <w:r w:rsidR="004C4C72">
        <w:rPr>
          <w:rFonts w:ascii="Book Antiqua" w:eastAsia="Book Antiqua" w:hAnsi="Book Antiqua" w:cs="Book Antiqua"/>
          <w:color w:val="000000"/>
        </w:rPr>
        <w:t>-</w:t>
      </w:r>
      <w:r w:rsidRPr="00492007">
        <w:rPr>
          <w:rFonts w:ascii="Book Antiqua" w:eastAsia="Book Antiqua" w:hAnsi="Book Antiqua" w:cs="Book Antiqua"/>
          <w:color w:val="000000"/>
        </w:rPr>
        <w:t>free survival, overall survival, clinical response rate, disease control rate, liver and kidney function and adverse reactions were compared between the two groups.</w:t>
      </w:r>
    </w:p>
    <w:p w14:paraId="44E90811" w14:textId="77777777" w:rsidR="00A77B3E" w:rsidRPr="00492007" w:rsidRDefault="00A77B3E" w:rsidP="00492007">
      <w:pPr>
        <w:adjustRightInd w:val="0"/>
        <w:snapToGrid w:val="0"/>
        <w:spacing w:line="360" w:lineRule="auto"/>
        <w:jc w:val="both"/>
        <w:rPr>
          <w:rFonts w:ascii="Book Antiqua" w:hAnsi="Book Antiqua"/>
        </w:rPr>
      </w:pPr>
    </w:p>
    <w:p w14:paraId="3AE7568F"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RESULTS</w:t>
      </w:r>
    </w:p>
    <w:p w14:paraId="57F07261" w14:textId="5C3B8A2F"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The </w:t>
      </w:r>
      <w:r w:rsidR="00492007" w:rsidRPr="00492007">
        <w:rPr>
          <w:rFonts w:ascii="Book Antiqua" w:eastAsia="Book Antiqua" w:hAnsi="Book Antiqua" w:cs="Book Antiqua"/>
          <w:color w:val="000000"/>
        </w:rPr>
        <w:t>progression</w:t>
      </w:r>
      <w:r w:rsidR="004C4C72">
        <w:rPr>
          <w:rFonts w:ascii="Book Antiqua" w:eastAsia="Book Antiqua" w:hAnsi="Book Antiqua" w:cs="Book Antiqua"/>
          <w:color w:val="000000"/>
        </w:rPr>
        <w:t>-</w:t>
      </w:r>
      <w:r w:rsidR="00492007" w:rsidRPr="00492007">
        <w:rPr>
          <w:rFonts w:ascii="Book Antiqua" w:eastAsia="Book Antiqua" w:hAnsi="Book Antiqua" w:cs="Book Antiqua"/>
          <w:color w:val="000000"/>
        </w:rPr>
        <w:t>free survival</w:t>
      </w:r>
      <w:r w:rsidRPr="00492007">
        <w:rPr>
          <w:rFonts w:ascii="Book Antiqua" w:eastAsia="Book Antiqua" w:hAnsi="Book Antiqua" w:cs="Book Antiqua"/>
          <w:color w:val="000000"/>
        </w:rPr>
        <w:t xml:space="preserve"> was 14 </w:t>
      </w:r>
      <w:proofErr w:type="spellStart"/>
      <w:proofErr w:type="gramStart"/>
      <w:r w:rsidRPr="00492007">
        <w:rPr>
          <w:rFonts w:ascii="Book Antiqua" w:eastAsia="Book Antiqua" w:hAnsi="Book Antiqua" w:cs="Book Antiqua"/>
          <w:color w:val="000000"/>
        </w:rPr>
        <w:t>mo</w:t>
      </w:r>
      <w:proofErr w:type="spellEnd"/>
      <w:proofErr w:type="gramEnd"/>
      <w:r w:rsidRPr="00492007">
        <w:rPr>
          <w:rFonts w:ascii="Book Antiqua" w:eastAsia="Book Antiqua" w:hAnsi="Book Antiqua" w:cs="Book Antiqua"/>
          <w:color w:val="000000"/>
        </w:rPr>
        <w:t xml:space="preserve"> in the observation group, which was significantly higher than 9 </w:t>
      </w:r>
      <w:proofErr w:type="spellStart"/>
      <w:r w:rsidRPr="00492007">
        <w:rPr>
          <w:rFonts w:ascii="Book Antiqua" w:eastAsia="Book Antiqua" w:hAnsi="Book Antiqua" w:cs="Book Antiqua"/>
          <w:color w:val="000000"/>
        </w:rPr>
        <w:t>mo</w:t>
      </w:r>
      <w:proofErr w:type="spellEnd"/>
      <w:r w:rsidRPr="00492007">
        <w:rPr>
          <w:rFonts w:ascii="Book Antiqua" w:eastAsia="Book Antiqua" w:hAnsi="Book Antiqua" w:cs="Book Antiqua"/>
          <w:color w:val="000000"/>
        </w:rPr>
        <w:t xml:space="preserve"> of the control group (</w:t>
      </w:r>
      <w:r w:rsidRPr="00492007">
        <w:rPr>
          <w:rFonts w:ascii="Book Antiqua" w:eastAsia="Book Antiqua" w:hAnsi="Book Antiqua" w:cs="Book Antiqua"/>
          <w:i/>
          <w:iCs/>
          <w:color w:val="000000"/>
        </w:rPr>
        <w:t>P</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&lt;</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0.05). The 6-mo, 12-mo and 18-mo survival rates were 93.33% (28/30), 66.67% (20/30) and 23.33% (7/30), respectively in the observation group, which were significantly higher than 83.33% (25/30), 50.00% (15/30) and 13.33% (4/30), respectively</w:t>
      </w:r>
      <w:r w:rsidR="00492007">
        <w:rPr>
          <w:rFonts w:ascii="Book Antiqua" w:eastAsia="Book Antiqua" w:hAnsi="Book Antiqua" w:cs="Book Antiqua"/>
          <w:color w:val="000000"/>
        </w:rPr>
        <w:t>,</w:t>
      </w:r>
      <w:r w:rsidRPr="00492007">
        <w:rPr>
          <w:rFonts w:ascii="Book Antiqua" w:eastAsia="Book Antiqua" w:hAnsi="Book Antiqua" w:cs="Book Antiqua"/>
          <w:color w:val="000000"/>
        </w:rPr>
        <w:t xml:space="preserve"> of the control group (all </w:t>
      </w:r>
      <w:r w:rsidRPr="00492007">
        <w:rPr>
          <w:rFonts w:ascii="Book Antiqua" w:eastAsia="Book Antiqua" w:hAnsi="Book Antiqua" w:cs="Book Antiqua"/>
          <w:i/>
          <w:iCs/>
          <w:color w:val="000000"/>
        </w:rPr>
        <w:t>P</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&lt;</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0.05). The clinical efficacy rate and disease control rate were 73.33% and 93.33%, respectively</w:t>
      </w:r>
      <w:r w:rsidR="00492007">
        <w:rPr>
          <w:rFonts w:ascii="Book Antiqua" w:eastAsia="Book Antiqua" w:hAnsi="Book Antiqua" w:cs="Book Antiqua"/>
          <w:color w:val="000000"/>
        </w:rPr>
        <w:t>,</w:t>
      </w:r>
      <w:r w:rsidRPr="00492007">
        <w:rPr>
          <w:rFonts w:ascii="Book Antiqua" w:eastAsia="Book Antiqua" w:hAnsi="Book Antiqua" w:cs="Book Antiqua"/>
          <w:color w:val="000000"/>
        </w:rPr>
        <w:t xml:space="preserve"> in the observation group, which were significantly higher than those of the control group </w:t>
      </w:r>
      <w:r w:rsidRPr="00492007">
        <w:rPr>
          <w:rFonts w:ascii="Book Antiqua" w:eastAsia="Book Antiqua" w:hAnsi="Book Antiqua" w:cs="Book Antiqua"/>
          <w:color w:val="000000"/>
        </w:rPr>
        <w:lastRenderedPageBreak/>
        <w:t xml:space="preserve">(53.55% and 80.00%, respectively, all </w:t>
      </w:r>
      <w:r w:rsidRPr="00492007">
        <w:rPr>
          <w:rFonts w:ascii="Book Antiqua" w:eastAsia="Book Antiqua" w:hAnsi="Book Antiqua" w:cs="Book Antiqua"/>
          <w:i/>
          <w:iCs/>
          <w:color w:val="000000"/>
        </w:rPr>
        <w:t>P</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&lt;</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0.05). There was no significant difference in alpha-fetoprotein between the two groups before the treatment (</w:t>
      </w:r>
      <w:r w:rsidRPr="00492007">
        <w:rPr>
          <w:rFonts w:ascii="Book Antiqua" w:eastAsia="Book Antiqua" w:hAnsi="Book Antiqua" w:cs="Book Antiqua"/>
          <w:i/>
          <w:iCs/>
          <w:color w:val="000000"/>
        </w:rPr>
        <w:t>P</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&gt;</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 xml:space="preserve">0.05). After the treatment, </w:t>
      </w:r>
      <w:r w:rsidR="00492007" w:rsidRPr="00492007">
        <w:rPr>
          <w:rFonts w:ascii="Book Antiqua" w:eastAsia="Book Antiqua" w:hAnsi="Book Antiqua" w:cs="Book Antiqua"/>
          <w:color w:val="000000"/>
        </w:rPr>
        <w:t>alpha-fetoprotein</w:t>
      </w:r>
      <w:r w:rsidRPr="00492007">
        <w:rPr>
          <w:rFonts w:ascii="Book Antiqua" w:eastAsia="Book Antiqua" w:hAnsi="Book Antiqua" w:cs="Book Antiqua"/>
          <w:color w:val="000000"/>
        </w:rPr>
        <w:t xml:space="preserve"> was </w:t>
      </w:r>
      <w:proofErr w:type="gramStart"/>
      <w:r w:rsidRPr="00492007">
        <w:rPr>
          <w:rFonts w:ascii="Book Antiqua" w:eastAsia="Book Antiqua" w:hAnsi="Book Antiqua" w:cs="Book Antiqua"/>
          <w:color w:val="000000"/>
        </w:rPr>
        <w:t xml:space="preserve">289.06 ± 76.21 </w:t>
      </w:r>
      <w:proofErr w:type="spellStart"/>
      <w:r w:rsidRPr="00492007">
        <w:rPr>
          <w:rFonts w:ascii="Book Antiqua" w:eastAsia="Book Antiqua" w:hAnsi="Book Antiqua" w:cs="Book Antiqua"/>
          <w:color w:val="000000"/>
        </w:rPr>
        <w:t>ng</w:t>
      </w:r>
      <w:proofErr w:type="spellEnd"/>
      <w:r w:rsidRPr="00492007">
        <w:rPr>
          <w:rFonts w:ascii="Book Antiqua" w:eastAsia="Book Antiqua" w:hAnsi="Book Antiqua" w:cs="Book Antiqua"/>
          <w:color w:val="000000"/>
        </w:rPr>
        <w:t>/mL in the observation group</w:t>
      </w:r>
      <w:proofErr w:type="gramEnd"/>
      <w:r w:rsidRPr="00492007">
        <w:rPr>
          <w:rFonts w:ascii="Book Antiqua" w:eastAsia="Book Antiqua" w:hAnsi="Book Antiqua" w:cs="Book Antiqua"/>
          <w:color w:val="000000"/>
        </w:rPr>
        <w:t xml:space="preserve"> and 365.01</w:t>
      </w:r>
      <w:r w:rsidR="00AD748F"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w:t>
      </w:r>
      <w:r w:rsidR="00AD748F"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 xml:space="preserve">73.11 </w:t>
      </w:r>
      <w:proofErr w:type="spellStart"/>
      <w:r w:rsidRPr="00492007">
        <w:rPr>
          <w:rFonts w:ascii="Book Antiqua" w:eastAsia="Book Antiqua" w:hAnsi="Book Antiqua" w:cs="Book Antiqua"/>
          <w:color w:val="000000"/>
        </w:rPr>
        <w:t>ng</w:t>
      </w:r>
      <w:proofErr w:type="spellEnd"/>
      <w:r w:rsidRPr="00492007">
        <w:rPr>
          <w:rFonts w:ascii="Book Antiqua" w:eastAsia="Book Antiqua" w:hAnsi="Book Antiqua" w:cs="Book Antiqua"/>
          <w:color w:val="000000"/>
        </w:rPr>
        <w:t xml:space="preserve">/mL in the control group, which were low in both groups compared with those before the treatment (all </w:t>
      </w:r>
      <w:r w:rsidRPr="00492007">
        <w:rPr>
          <w:rFonts w:ascii="Book Antiqua" w:eastAsia="Book Antiqua" w:hAnsi="Book Antiqua" w:cs="Book Antiqua"/>
          <w:i/>
          <w:iCs/>
          <w:color w:val="000000"/>
        </w:rPr>
        <w:t>P</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&lt;</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0.05). The incidence of nausea and vomiting was significantly lower in the observation group than in the control group (</w:t>
      </w:r>
      <w:r w:rsidRPr="00492007">
        <w:rPr>
          <w:rFonts w:ascii="Book Antiqua" w:eastAsia="Book Antiqua" w:hAnsi="Book Antiqua" w:cs="Book Antiqua"/>
          <w:i/>
          <w:iCs/>
          <w:color w:val="000000"/>
        </w:rPr>
        <w:t>P</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&lt;</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0.05). There was no significant difference for the adverse reactions of pain and fever between the two groups (</w:t>
      </w:r>
      <w:r w:rsidRPr="00492007">
        <w:rPr>
          <w:rFonts w:ascii="Book Antiqua" w:eastAsia="Book Antiqua" w:hAnsi="Book Antiqua" w:cs="Book Antiqua"/>
          <w:i/>
          <w:iCs/>
          <w:color w:val="000000"/>
        </w:rPr>
        <w:t>P</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&lt;</w:t>
      </w:r>
      <w:r w:rsidR="005E1249"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0.05).</w:t>
      </w:r>
    </w:p>
    <w:p w14:paraId="3E60E98D" w14:textId="77777777" w:rsidR="00A77B3E" w:rsidRPr="00492007" w:rsidRDefault="00A77B3E" w:rsidP="00492007">
      <w:pPr>
        <w:adjustRightInd w:val="0"/>
        <w:snapToGrid w:val="0"/>
        <w:spacing w:line="360" w:lineRule="auto"/>
        <w:jc w:val="both"/>
        <w:rPr>
          <w:rFonts w:ascii="Book Antiqua" w:hAnsi="Book Antiqua"/>
        </w:rPr>
      </w:pPr>
    </w:p>
    <w:p w14:paraId="26EC98CC"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CONCLUSION</w:t>
      </w:r>
    </w:p>
    <w:p w14:paraId="5DAE8407" w14:textId="3FB43933"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The combination of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-load</w:t>
      </w:r>
      <w:r w:rsidR="007E2D3C">
        <w:rPr>
          <w:rFonts w:ascii="Book Antiqua" w:eastAsia="Book Antiqua" w:hAnsi="Book Antiqua" w:cs="Book Antiqua"/>
          <w:color w:val="000000"/>
        </w:rPr>
        <w:t>ed</w:t>
      </w:r>
      <w:r w:rsidRPr="00492007">
        <w:rPr>
          <w:rFonts w:ascii="Book Antiqua" w:eastAsia="Book Antiqua" w:hAnsi="Book Antiqua" w:cs="Book Antiqua"/>
          <w:color w:val="000000"/>
        </w:rPr>
        <w:t xml:space="preserve"> beads and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can improve treatment efficacy resulting in mild liver function damage and postoperative complications in patients with primary liver cancer. It can be used in clinical practice.</w:t>
      </w:r>
    </w:p>
    <w:p w14:paraId="0B0BEA0C" w14:textId="77777777" w:rsidR="00A77B3E" w:rsidRPr="00492007" w:rsidRDefault="00A77B3E" w:rsidP="00492007">
      <w:pPr>
        <w:adjustRightInd w:val="0"/>
        <w:snapToGrid w:val="0"/>
        <w:spacing w:line="360" w:lineRule="auto"/>
        <w:jc w:val="both"/>
        <w:rPr>
          <w:rFonts w:ascii="Book Antiqua" w:hAnsi="Book Antiqua"/>
        </w:rPr>
      </w:pPr>
    </w:p>
    <w:p w14:paraId="631E783E"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 xml:space="preserve">Key Words: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 Drug-loaded microspheres;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Transcatheter</w:t>
      </w:r>
      <w:proofErr w:type="spellEnd"/>
      <w:r w:rsidRPr="00492007">
        <w:rPr>
          <w:rFonts w:ascii="Book Antiqua" w:eastAsia="Book Antiqua" w:hAnsi="Book Antiqua" w:cs="Book Antiqua"/>
          <w:color w:val="000000"/>
        </w:rPr>
        <w:t xml:space="preserve"> arterial chemoembolization; Primary liver cancer</w:t>
      </w:r>
    </w:p>
    <w:p w14:paraId="22F7D0F8" w14:textId="77777777" w:rsidR="00A77B3E" w:rsidRDefault="00A77B3E" w:rsidP="00492007">
      <w:pPr>
        <w:adjustRightInd w:val="0"/>
        <w:snapToGrid w:val="0"/>
        <w:spacing w:line="360" w:lineRule="auto"/>
        <w:jc w:val="both"/>
        <w:rPr>
          <w:rFonts w:ascii="Book Antiqua" w:hAnsi="Book Antiqua"/>
          <w:lang w:eastAsia="zh-CN"/>
        </w:rPr>
      </w:pPr>
    </w:p>
    <w:p w14:paraId="49C1C6C1" w14:textId="77777777" w:rsidR="000F165C" w:rsidRDefault="000F165C" w:rsidP="000F165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5269F21" w14:textId="77777777" w:rsidR="000F165C" w:rsidRPr="00492007" w:rsidRDefault="000F165C" w:rsidP="00492007">
      <w:pPr>
        <w:adjustRightInd w:val="0"/>
        <w:snapToGrid w:val="0"/>
        <w:spacing w:line="360" w:lineRule="auto"/>
        <w:jc w:val="both"/>
        <w:rPr>
          <w:rFonts w:ascii="Book Antiqua" w:hAnsi="Book Antiqua"/>
          <w:lang w:eastAsia="zh-CN"/>
        </w:rPr>
      </w:pPr>
    </w:p>
    <w:p w14:paraId="7A637F39" w14:textId="37CA7BBA" w:rsidR="00226C13" w:rsidRPr="009C4B2E" w:rsidRDefault="00665303" w:rsidP="00226C13">
      <w:pPr>
        <w:spacing w:line="360" w:lineRule="auto"/>
        <w:jc w:val="both"/>
        <w:rPr>
          <w:rFonts w:ascii="Book Antiqua" w:hAnsi="Book Antiqua" w:cs="Book Antiqua"/>
          <w:color w:val="000000"/>
          <w:lang w:eastAsia="zh-CN"/>
        </w:rPr>
      </w:pPr>
      <w:r w:rsidRPr="00817DF8">
        <w:rPr>
          <w:rFonts w:ascii="Book Antiqua" w:eastAsia="Book Antiqua" w:hAnsi="Book Antiqua" w:cs="Book Antiqua"/>
          <w:b/>
          <w:color w:val="000000" w:themeColor="text1"/>
        </w:rPr>
        <w:t xml:space="preserve">Citation: </w:t>
      </w:r>
      <w:r w:rsidR="00B6516B" w:rsidRPr="00492007">
        <w:rPr>
          <w:rFonts w:ascii="Book Antiqua" w:eastAsia="Book Antiqua" w:hAnsi="Book Antiqua" w:cs="Book Antiqua"/>
          <w:color w:val="000000"/>
        </w:rPr>
        <w:t xml:space="preserve">Zhang C, Dai YH, </w:t>
      </w:r>
      <w:proofErr w:type="spellStart"/>
      <w:r w:rsidR="00B6516B" w:rsidRPr="00492007">
        <w:rPr>
          <w:rFonts w:ascii="Book Antiqua" w:eastAsia="Book Antiqua" w:hAnsi="Book Antiqua" w:cs="Book Antiqua"/>
          <w:color w:val="000000"/>
        </w:rPr>
        <w:t>Lian</w:t>
      </w:r>
      <w:proofErr w:type="spellEnd"/>
      <w:r w:rsidR="00B6516B" w:rsidRPr="00492007">
        <w:rPr>
          <w:rFonts w:ascii="Book Antiqua" w:eastAsia="Book Antiqua" w:hAnsi="Book Antiqua" w:cs="Book Antiqua"/>
          <w:color w:val="000000"/>
        </w:rPr>
        <w:t xml:space="preserve"> SF, Liu L, Zhao T, Wen JY. Efficacy of </w:t>
      </w:r>
      <w:proofErr w:type="spellStart"/>
      <w:r w:rsidR="00B6516B" w:rsidRPr="00492007">
        <w:rPr>
          <w:rFonts w:ascii="Book Antiqua" w:eastAsia="Book Antiqua" w:hAnsi="Book Antiqua" w:cs="Book Antiqua"/>
          <w:color w:val="000000"/>
        </w:rPr>
        <w:t>transcatheter</w:t>
      </w:r>
      <w:proofErr w:type="spellEnd"/>
      <w:r w:rsidR="00B6516B" w:rsidRPr="00492007">
        <w:rPr>
          <w:rFonts w:ascii="Book Antiqua" w:eastAsia="Book Antiqua" w:hAnsi="Book Antiqua" w:cs="Book Antiqua"/>
          <w:color w:val="000000"/>
        </w:rPr>
        <w:t xml:space="preserve"> arterial chemoembolization using </w:t>
      </w:r>
      <w:proofErr w:type="spellStart"/>
      <w:r w:rsidR="00B6516B" w:rsidRPr="00492007">
        <w:rPr>
          <w:rFonts w:ascii="Book Antiqua" w:eastAsia="Book Antiqua" w:hAnsi="Book Antiqua" w:cs="Book Antiqua"/>
          <w:color w:val="000000"/>
        </w:rPr>
        <w:t>pirarubicin</w:t>
      </w:r>
      <w:proofErr w:type="spellEnd"/>
      <w:r w:rsidR="00B6516B" w:rsidRPr="00492007">
        <w:rPr>
          <w:rFonts w:ascii="Book Antiqua" w:eastAsia="Book Antiqua" w:hAnsi="Book Antiqua" w:cs="Book Antiqua"/>
          <w:color w:val="000000"/>
        </w:rPr>
        <w:t xml:space="preserve">-loaded microspheres combined with </w:t>
      </w:r>
      <w:proofErr w:type="spellStart"/>
      <w:r w:rsidR="00B6516B" w:rsidRPr="00492007">
        <w:rPr>
          <w:rFonts w:ascii="Book Antiqua" w:eastAsia="Book Antiqua" w:hAnsi="Book Antiqua" w:cs="Book Antiqua"/>
          <w:color w:val="000000"/>
        </w:rPr>
        <w:t>lobaplatin</w:t>
      </w:r>
      <w:proofErr w:type="spellEnd"/>
      <w:r w:rsidR="00B6516B" w:rsidRPr="00492007">
        <w:rPr>
          <w:rFonts w:ascii="Book Antiqua" w:eastAsia="Book Antiqua" w:hAnsi="Book Antiqua" w:cs="Book Antiqua"/>
          <w:color w:val="000000"/>
        </w:rPr>
        <w:t xml:space="preserve"> for primary liver cancer. </w:t>
      </w:r>
      <w:r w:rsidR="00B6516B" w:rsidRPr="00492007">
        <w:rPr>
          <w:rFonts w:ascii="Book Antiqua" w:eastAsia="Book Antiqua" w:hAnsi="Book Antiqua" w:cs="Book Antiqua"/>
          <w:i/>
          <w:iCs/>
          <w:color w:val="000000"/>
        </w:rPr>
        <w:t xml:space="preserve">World J </w:t>
      </w:r>
      <w:proofErr w:type="spellStart"/>
      <w:r w:rsidR="00B6516B" w:rsidRPr="00492007">
        <w:rPr>
          <w:rFonts w:ascii="Book Antiqua" w:eastAsia="Book Antiqua" w:hAnsi="Book Antiqua" w:cs="Book Antiqua"/>
          <w:i/>
          <w:iCs/>
          <w:color w:val="000000"/>
        </w:rPr>
        <w:t>Clin</w:t>
      </w:r>
      <w:proofErr w:type="spellEnd"/>
      <w:r w:rsidR="00B6516B" w:rsidRPr="00492007">
        <w:rPr>
          <w:rFonts w:ascii="Book Antiqua" w:eastAsia="Book Antiqua" w:hAnsi="Book Antiqua" w:cs="Book Antiqua"/>
          <w:i/>
          <w:iCs/>
          <w:color w:val="000000"/>
        </w:rPr>
        <w:t xml:space="preserve"> Cases</w:t>
      </w:r>
      <w:r w:rsidR="00B6516B" w:rsidRPr="00492007">
        <w:rPr>
          <w:rFonts w:ascii="Book Antiqua" w:eastAsia="Book Antiqua" w:hAnsi="Book Antiqua" w:cs="Book Antiqua"/>
          <w:color w:val="000000"/>
        </w:rPr>
        <w:t xml:space="preserve"> 2022; </w:t>
      </w:r>
      <w:r w:rsidR="00226C13" w:rsidRPr="00FF5187">
        <w:rPr>
          <w:rFonts w:ascii="Book Antiqua" w:eastAsia="Book Antiqua" w:hAnsi="Book Antiqua" w:cs="Book Antiqua"/>
          <w:color w:val="000000"/>
        </w:rPr>
        <w:t>10(</w:t>
      </w:r>
      <w:r w:rsidR="00226C13">
        <w:rPr>
          <w:rFonts w:ascii="Book Antiqua" w:eastAsia="Book Antiqua" w:hAnsi="Book Antiqua" w:cs="Book Antiqua"/>
          <w:color w:val="000000"/>
        </w:rPr>
        <w:t>2</w:t>
      </w:r>
      <w:r w:rsidR="00226C13" w:rsidRPr="00247D6F">
        <w:rPr>
          <w:rFonts w:ascii="Book Antiqua" w:eastAsia="Book Antiqua" w:hAnsi="Book Antiqua" w:cs="Book Antiqua" w:hint="eastAsia"/>
          <w:color w:val="000000"/>
        </w:rPr>
        <w:t>7</w:t>
      </w:r>
      <w:r w:rsidR="000F165C">
        <w:rPr>
          <w:rFonts w:ascii="Book Antiqua" w:eastAsia="Book Antiqua" w:hAnsi="Book Antiqua" w:cs="Book Antiqua"/>
          <w:color w:val="000000"/>
        </w:rPr>
        <w:t xml:space="preserve">): </w:t>
      </w:r>
      <w:r w:rsidR="009C4B2E">
        <w:rPr>
          <w:rFonts w:ascii="Book Antiqua" w:hAnsi="Book Antiqua" w:cs="Book Antiqua" w:hint="eastAsia"/>
          <w:color w:val="000000"/>
          <w:lang w:eastAsia="zh-CN"/>
        </w:rPr>
        <w:t>965</w:t>
      </w:r>
      <w:r w:rsidR="000F165C">
        <w:rPr>
          <w:rFonts w:ascii="Book Antiqua" w:eastAsia="Book Antiqua" w:hAnsi="Book Antiqua" w:cs="Book Antiqua"/>
          <w:color w:val="000000"/>
        </w:rPr>
        <w:t>0-</w:t>
      </w:r>
      <w:r w:rsidR="009C4B2E">
        <w:rPr>
          <w:rFonts w:ascii="Book Antiqua" w:hAnsi="Book Antiqua" w:cs="Book Antiqua" w:hint="eastAsia"/>
          <w:color w:val="000000"/>
          <w:lang w:eastAsia="zh-CN"/>
        </w:rPr>
        <w:t>9656</w:t>
      </w:r>
    </w:p>
    <w:p w14:paraId="5614999A" w14:textId="6EE0791E" w:rsidR="00226C13" w:rsidRPr="000F165C" w:rsidRDefault="00226C13" w:rsidP="00226C13">
      <w:pPr>
        <w:spacing w:line="360" w:lineRule="auto"/>
        <w:jc w:val="both"/>
        <w:rPr>
          <w:rFonts w:ascii="Book Antiqua" w:hAnsi="Book Antiqua" w:cs="Book Antiqua"/>
          <w:color w:val="000000"/>
          <w:lang w:eastAsia="zh-CN"/>
        </w:rPr>
      </w:pPr>
      <w:r w:rsidRPr="005C3F14">
        <w:rPr>
          <w:rFonts w:ascii="Book Antiqua" w:eastAsia="Book Antiqua" w:hAnsi="Book Antiqua" w:cs="Book Antiqua"/>
          <w:b/>
          <w:bCs/>
          <w:color w:val="000000"/>
        </w:rPr>
        <w:t xml:space="preserve">URL: </w:t>
      </w:r>
      <w:r w:rsidRPr="00FF5187">
        <w:rPr>
          <w:rFonts w:ascii="Book Antiqua" w:eastAsia="Book Antiqua" w:hAnsi="Book Antiqua" w:cs="Book Antiqua"/>
          <w:color w:val="000000"/>
        </w:rPr>
        <w:t>https://www.wjgnet.com/2307-8960/full/v10/i</w:t>
      </w:r>
      <w:r>
        <w:rPr>
          <w:rFonts w:ascii="Book Antiqua" w:eastAsia="Book Antiqua" w:hAnsi="Book Antiqua" w:cs="Book Antiqua"/>
          <w:color w:val="000000"/>
        </w:rPr>
        <w:t>2</w:t>
      </w:r>
      <w:r w:rsidRPr="00247D6F">
        <w:rPr>
          <w:rFonts w:ascii="Book Antiqua" w:eastAsia="Book Antiqua" w:hAnsi="Book Antiqua" w:cs="Book Antiqua" w:hint="eastAsia"/>
          <w:color w:val="000000"/>
        </w:rPr>
        <w:t>7</w:t>
      </w:r>
      <w:r w:rsidR="000F165C">
        <w:rPr>
          <w:rFonts w:ascii="Book Antiqua" w:eastAsia="Book Antiqua" w:hAnsi="Book Antiqua" w:cs="Book Antiqua"/>
          <w:color w:val="000000"/>
        </w:rPr>
        <w:t>/</w:t>
      </w:r>
      <w:r w:rsidR="009C4B2E">
        <w:rPr>
          <w:rFonts w:ascii="Book Antiqua" w:hAnsi="Book Antiqua" w:cs="Book Antiqua" w:hint="eastAsia"/>
          <w:color w:val="000000"/>
          <w:lang w:eastAsia="zh-CN"/>
        </w:rPr>
        <w:t>965</w:t>
      </w:r>
      <w:r w:rsidR="000F165C">
        <w:rPr>
          <w:rFonts w:ascii="Book Antiqua" w:eastAsia="Book Antiqua" w:hAnsi="Book Antiqua" w:cs="Book Antiqua"/>
          <w:color w:val="000000"/>
        </w:rPr>
        <w:t>0.htm</w:t>
      </w:r>
    </w:p>
    <w:p w14:paraId="6F55985C" w14:textId="0C5AC2AC" w:rsidR="00226C13" w:rsidRPr="00247D6F" w:rsidRDefault="00226C13" w:rsidP="00226C13">
      <w:pPr>
        <w:spacing w:line="360" w:lineRule="auto"/>
        <w:jc w:val="both"/>
        <w:rPr>
          <w:rFonts w:ascii="Book Antiqua" w:eastAsia="Book Antiqua" w:hAnsi="Book Antiqua" w:cs="Book Antiqua"/>
          <w:color w:val="000000"/>
        </w:rPr>
      </w:pPr>
      <w:r w:rsidRPr="005C3F14">
        <w:rPr>
          <w:rFonts w:ascii="Book Antiqua" w:eastAsia="Book Antiqua" w:hAnsi="Book Antiqua" w:cs="Book Antiqua"/>
          <w:b/>
          <w:bCs/>
          <w:color w:val="000000"/>
        </w:rPr>
        <w:t>DOI:</w:t>
      </w:r>
      <w:r>
        <w:rPr>
          <w:rFonts w:ascii="Book Antiqua" w:eastAsia="Book Antiqua" w:hAnsi="Book Antiqua" w:cs="Book Antiqua"/>
          <w:color w:val="000000"/>
        </w:rPr>
        <w:t xml:space="preserve"> </w:t>
      </w:r>
      <w:r w:rsidRPr="00FF5187">
        <w:rPr>
          <w:rFonts w:ascii="Book Antiqua" w:eastAsia="Book Antiqua" w:hAnsi="Book Antiqua" w:cs="Book Antiqua"/>
          <w:color w:val="000000"/>
        </w:rPr>
        <w:t>https://dx.doi.org/10.12998/wjcc.v10.i</w:t>
      </w:r>
      <w:r>
        <w:rPr>
          <w:rFonts w:ascii="Book Antiqua" w:eastAsia="Book Antiqua" w:hAnsi="Book Antiqua" w:cs="Book Antiqua"/>
          <w:color w:val="000000"/>
        </w:rPr>
        <w:t>2</w:t>
      </w:r>
      <w:r w:rsidRPr="00247D6F">
        <w:rPr>
          <w:rFonts w:ascii="Book Antiqua" w:eastAsia="Book Antiqua" w:hAnsi="Book Antiqua" w:cs="Book Antiqua" w:hint="eastAsia"/>
          <w:color w:val="000000"/>
        </w:rPr>
        <w:t>7</w:t>
      </w:r>
      <w:r w:rsidRPr="00FF5187">
        <w:rPr>
          <w:rFonts w:ascii="Book Antiqua" w:eastAsia="Book Antiqua" w:hAnsi="Book Antiqua" w:cs="Book Antiqua"/>
          <w:color w:val="000000"/>
        </w:rPr>
        <w:t>.</w:t>
      </w:r>
      <w:r w:rsidR="009C4B2E">
        <w:rPr>
          <w:rFonts w:ascii="Book Antiqua" w:hAnsi="Book Antiqua" w:cs="Book Antiqua" w:hint="eastAsia"/>
          <w:color w:val="000000"/>
          <w:lang w:eastAsia="zh-CN"/>
        </w:rPr>
        <w:t>965</w:t>
      </w:r>
      <w:r w:rsidRPr="00FF5187">
        <w:rPr>
          <w:rFonts w:ascii="Book Antiqua" w:eastAsia="Book Antiqua" w:hAnsi="Book Antiqua" w:cs="Book Antiqua"/>
          <w:color w:val="000000"/>
        </w:rPr>
        <w:t>0</w:t>
      </w:r>
    </w:p>
    <w:p w14:paraId="006EDAD4" w14:textId="41C30572" w:rsidR="00A77B3E" w:rsidRPr="00492007" w:rsidRDefault="00A77B3E" w:rsidP="00492007">
      <w:pPr>
        <w:adjustRightInd w:val="0"/>
        <w:snapToGrid w:val="0"/>
        <w:spacing w:line="360" w:lineRule="auto"/>
        <w:jc w:val="both"/>
        <w:rPr>
          <w:rFonts w:ascii="Book Antiqua" w:hAnsi="Book Antiqua"/>
        </w:rPr>
      </w:pPr>
    </w:p>
    <w:p w14:paraId="37CDB92E" w14:textId="1B4606DF"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 xml:space="preserve">Core Tip: </w:t>
      </w:r>
      <w:r w:rsidRPr="00492007">
        <w:rPr>
          <w:rFonts w:ascii="Book Antiqua" w:eastAsia="Book Antiqua" w:hAnsi="Book Antiqua" w:cs="Book Antiqua"/>
          <w:color w:val="000000"/>
        </w:rPr>
        <w:t>Drug-eluting bead</w:t>
      </w:r>
      <w:r w:rsidR="007E2D3C">
        <w:rPr>
          <w:rFonts w:ascii="Book Antiqua" w:eastAsia="Book Antiqua" w:hAnsi="Book Antiqua" w:cs="Book Antiqua"/>
          <w:color w:val="000000"/>
        </w:rPr>
        <w:t>s</w:t>
      </w:r>
      <w:r w:rsidRPr="00492007">
        <w:rPr>
          <w:rFonts w:ascii="Book Antiqua" w:eastAsia="Book Antiqua" w:hAnsi="Book Antiqua" w:cs="Book Antiqua"/>
          <w:color w:val="000000"/>
        </w:rPr>
        <w:t>, a relatively novel drug delivery embolization system</w:t>
      </w:r>
      <w:r w:rsidR="007E2D3C">
        <w:rPr>
          <w:rFonts w:ascii="Book Antiqua" w:eastAsia="Book Antiqua" w:hAnsi="Book Antiqua" w:cs="Book Antiqua"/>
          <w:color w:val="000000"/>
        </w:rPr>
        <w:t>,</w:t>
      </w:r>
      <w:r w:rsidRPr="00492007">
        <w:rPr>
          <w:rFonts w:ascii="Book Antiqua" w:eastAsia="Book Antiqua" w:hAnsi="Book Antiqua" w:cs="Book Antiqua"/>
          <w:color w:val="000000"/>
        </w:rPr>
        <w:t xml:space="preserve"> show advantages over the conventional </w:t>
      </w:r>
      <w:proofErr w:type="spellStart"/>
      <w:r w:rsidRPr="00492007">
        <w:rPr>
          <w:rFonts w:ascii="Book Antiqua" w:eastAsia="Book Antiqua" w:hAnsi="Book Antiqua" w:cs="Book Antiqua"/>
          <w:color w:val="000000"/>
        </w:rPr>
        <w:t>lipiodol</w:t>
      </w:r>
      <w:proofErr w:type="spellEnd"/>
      <w:r w:rsidRPr="00492007">
        <w:rPr>
          <w:rFonts w:ascii="Book Antiqua" w:eastAsia="Book Antiqua" w:hAnsi="Book Antiqua" w:cs="Book Antiqua"/>
          <w:color w:val="000000"/>
        </w:rPr>
        <w:t xml:space="preserve"> embolization in the most used interventional therapy of </w:t>
      </w:r>
      <w:proofErr w:type="spellStart"/>
      <w:r w:rsidRPr="00492007">
        <w:rPr>
          <w:rFonts w:ascii="Book Antiqua" w:eastAsia="Book Antiqua" w:hAnsi="Book Antiqua" w:cs="Book Antiqua"/>
          <w:color w:val="000000"/>
        </w:rPr>
        <w:t>transcatheter</w:t>
      </w:r>
      <w:proofErr w:type="spellEnd"/>
      <w:r w:rsidRPr="00492007">
        <w:rPr>
          <w:rFonts w:ascii="Book Antiqua" w:eastAsia="Book Antiqua" w:hAnsi="Book Antiqua" w:cs="Book Antiqua"/>
          <w:color w:val="000000"/>
        </w:rPr>
        <w:t xml:space="preserve"> arterial chemoembolization for </w:t>
      </w:r>
      <w:proofErr w:type="spellStart"/>
      <w:r w:rsidRPr="00492007">
        <w:rPr>
          <w:rFonts w:ascii="Book Antiqua" w:eastAsia="Book Antiqua" w:hAnsi="Book Antiqua" w:cs="Book Antiqua"/>
          <w:color w:val="000000"/>
        </w:rPr>
        <w:t>unresectable</w:t>
      </w:r>
      <w:proofErr w:type="spellEnd"/>
      <w:r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lastRenderedPageBreak/>
        <w:t xml:space="preserve">hepatic carcinoma. This study investigated the efficacy and safety of </w:t>
      </w:r>
      <w:proofErr w:type="spellStart"/>
      <w:r w:rsidR="007E2D3C" w:rsidRPr="00492007">
        <w:rPr>
          <w:rFonts w:ascii="Book Antiqua" w:eastAsia="Book Antiqua" w:hAnsi="Book Antiqua" w:cs="Book Antiqua"/>
          <w:color w:val="000000"/>
        </w:rPr>
        <w:t>transcatheter</w:t>
      </w:r>
      <w:proofErr w:type="spellEnd"/>
      <w:r w:rsidR="007E2D3C" w:rsidRPr="00492007">
        <w:rPr>
          <w:rFonts w:ascii="Book Antiqua" w:eastAsia="Book Antiqua" w:hAnsi="Book Antiqua" w:cs="Book Antiqua"/>
          <w:color w:val="000000"/>
        </w:rPr>
        <w:t xml:space="preserve"> arterial chemoembolization </w:t>
      </w:r>
      <w:r w:rsidRPr="00492007">
        <w:rPr>
          <w:rFonts w:ascii="Book Antiqua" w:eastAsia="Book Antiqua" w:hAnsi="Book Antiqua" w:cs="Book Antiqua"/>
          <w:color w:val="000000"/>
        </w:rPr>
        <w:t xml:space="preserve">using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-loaded beads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for primary liver cancer in comparison with conventional </w:t>
      </w:r>
      <w:proofErr w:type="spellStart"/>
      <w:r w:rsidR="007E2D3C" w:rsidRPr="00492007">
        <w:rPr>
          <w:rFonts w:ascii="Book Antiqua" w:eastAsia="Book Antiqua" w:hAnsi="Book Antiqua" w:cs="Book Antiqua"/>
          <w:color w:val="000000"/>
        </w:rPr>
        <w:t>transcatheter</w:t>
      </w:r>
      <w:proofErr w:type="spellEnd"/>
      <w:r w:rsidR="007E2D3C" w:rsidRPr="00492007">
        <w:rPr>
          <w:rFonts w:ascii="Book Antiqua" w:eastAsia="Book Antiqua" w:hAnsi="Book Antiqua" w:cs="Book Antiqua"/>
          <w:color w:val="000000"/>
        </w:rPr>
        <w:t xml:space="preserve"> arterial chemoembolization</w:t>
      </w:r>
      <w:r w:rsidRPr="00492007">
        <w:rPr>
          <w:rFonts w:ascii="Book Antiqua" w:eastAsia="Book Antiqua" w:hAnsi="Book Antiqua" w:cs="Book Antiqua"/>
          <w:color w:val="000000"/>
        </w:rPr>
        <w:t>. The results revealed this combination therapy can increase treatment efficacy and improve hepatic function in patients with primary liver cancer.</w:t>
      </w:r>
    </w:p>
    <w:p w14:paraId="5CD201A0" w14:textId="77777777" w:rsidR="000F165C" w:rsidRDefault="000F165C">
      <w:pPr>
        <w:rPr>
          <w:rFonts w:ascii="Book Antiqua" w:hAnsi="Book Antiqua"/>
        </w:rPr>
      </w:pPr>
      <w:r>
        <w:rPr>
          <w:rFonts w:ascii="Book Antiqua" w:hAnsi="Book Antiqua"/>
        </w:rPr>
        <w:br w:type="page"/>
      </w:r>
    </w:p>
    <w:p w14:paraId="15198DD7" w14:textId="29F2A5DE"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aps/>
          <w:color w:val="000000"/>
          <w:u w:val="single"/>
        </w:rPr>
        <w:lastRenderedPageBreak/>
        <w:t>INTRODUCTION</w:t>
      </w:r>
    </w:p>
    <w:p w14:paraId="002D8FD8" w14:textId="77777777" w:rsidR="007E2D3C" w:rsidRDefault="00B6516B" w:rsidP="00492007">
      <w:pPr>
        <w:adjustRightInd w:val="0"/>
        <w:snapToGrid w:val="0"/>
        <w:spacing w:line="360" w:lineRule="auto"/>
        <w:jc w:val="both"/>
        <w:rPr>
          <w:rFonts w:ascii="Book Antiqua" w:eastAsia="Book Antiqua" w:hAnsi="Book Antiqua" w:cs="Book Antiqua"/>
          <w:color w:val="000000"/>
        </w:rPr>
      </w:pPr>
      <w:r w:rsidRPr="00492007">
        <w:rPr>
          <w:rFonts w:ascii="Book Antiqua" w:eastAsia="Book Antiqua" w:hAnsi="Book Antiqua" w:cs="Book Antiqua"/>
          <w:color w:val="000000"/>
        </w:rPr>
        <w:t xml:space="preserve">Primary liver cancer is one of the malignant diseases of </w:t>
      </w:r>
      <w:r w:rsidR="007E2D3C">
        <w:rPr>
          <w:rFonts w:ascii="Book Antiqua" w:eastAsia="Book Antiqua" w:hAnsi="Book Antiqua" w:cs="Book Antiqua"/>
          <w:color w:val="000000"/>
        </w:rPr>
        <w:t xml:space="preserve">the </w:t>
      </w:r>
      <w:r w:rsidRPr="00492007">
        <w:rPr>
          <w:rFonts w:ascii="Book Antiqua" w:eastAsia="Book Antiqua" w:hAnsi="Book Antiqua" w:cs="Book Antiqua"/>
          <w:color w:val="000000"/>
        </w:rPr>
        <w:t xml:space="preserve">digestive system with high morbidity and </w:t>
      </w:r>
      <w:proofErr w:type="gramStart"/>
      <w:r w:rsidRPr="00492007">
        <w:rPr>
          <w:rFonts w:ascii="Book Antiqua" w:eastAsia="Book Antiqua" w:hAnsi="Book Antiqua" w:cs="Book Antiqua"/>
          <w:color w:val="000000"/>
        </w:rPr>
        <w:t>mortality</w:t>
      </w:r>
      <w:r w:rsidRPr="00492007">
        <w:rPr>
          <w:rFonts w:ascii="Book Antiqua" w:eastAsia="Book Antiqua" w:hAnsi="Book Antiqua" w:cs="Book Antiqua"/>
          <w:color w:val="000000"/>
          <w:vertAlign w:val="superscript"/>
        </w:rPr>
        <w:t>[</w:t>
      </w:r>
      <w:proofErr w:type="gramEnd"/>
      <w:r w:rsidRPr="00492007">
        <w:rPr>
          <w:rFonts w:ascii="Book Antiqua" w:eastAsia="Book Antiqua" w:hAnsi="Book Antiqua" w:cs="Book Antiqua"/>
          <w:color w:val="000000"/>
          <w:vertAlign w:val="superscript"/>
        </w:rPr>
        <w:t>1,2]</w:t>
      </w:r>
      <w:r w:rsidRPr="00492007">
        <w:rPr>
          <w:rFonts w:ascii="Book Antiqua" w:eastAsia="Book Antiqua" w:hAnsi="Book Antiqua" w:cs="Book Antiqua"/>
          <w:color w:val="000000"/>
        </w:rPr>
        <w:t xml:space="preserve">. The number of deaths caused by primary liver cancer in China per annum is half of </w:t>
      </w:r>
      <w:r w:rsidR="007E2D3C">
        <w:rPr>
          <w:rFonts w:ascii="Book Antiqua" w:eastAsia="Book Antiqua" w:hAnsi="Book Antiqua" w:cs="Book Antiqua"/>
          <w:color w:val="000000"/>
        </w:rPr>
        <w:t xml:space="preserve">the </w:t>
      </w:r>
      <w:r w:rsidRPr="00492007">
        <w:rPr>
          <w:rFonts w:ascii="Book Antiqua" w:eastAsia="Book Antiqua" w:hAnsi="Book Antiqua" w:cs="Book Antiqua"/>
          <w:color w:val="000000"/>
        </w:rPr>
        <w:t xml:space="preserve">deaths in the world. Currently, the main therapies for primary liver cancer include liver transplantation, surgical resection, local ablation therapy, </w:t>
      </w:r>
      <w:proofErr w:type="spellStart"/>
      <w:r w:rsidRPr="00492007">
        <w:rPr>
          <w:rFonts w:ascii="Book Antiqua" w:eastAsia="Book Antiqua" w:hAnsi="Book Antiqua" w:cs="Book Antiqua"/>
          <w:color w:val="000000"/>
        </w:rPr>
        <w:t>transcatheter</w:t>
      </w:r>
      <w:proofErr w:type="spellEnd"/>
      <w:r w:rsidRPr="00492007">
        <w:rPr>
          <w:rFonts w:ascii="Book Antiqua" w:eastAsia="Book Antiqua" w:hAnsi="Book Antiqua" w:cs="Book Antiqua"/>
          <w:color w:val="000000"/>
        </w:rPr>
        <w:t xml:space="preserve"> arterial chemoembolization (TACE) and targeted therapy</w:t>
      </w:r>
      <w:r w:rsidRPr="00492007">
        <w:rPr>
          <w:rFonts w:ascii="Book Antiqua" w:eastAsia="Book Antiqua" w:hAnsi="Book Antiqua" w:cs="Book Antiqua"/>
          <w:color w:val="000000"/>
          <w:vertAlign w:val="superscript"/>
        </w:rPr>
        <w:t>[3,4]</w:t>
      </w:r>
      <w:r w:rsidRPr="00492007">
        <w:rPr>
          <w:rFonts w:ascii="Book Antiqua" w:eastAsia="Book Antiqua" w:hAnsi="Book Antiqua" w:cs="Book Antiqua"/>
          <w:color w:val="000000"/>
        </w:rPr>
        <w:t>.</w:t>
      </w:r>
    </w:p>
    <w:p w14:paraId="1DA1D4B5" w14:textId="7F2B6654" w:rsidR="004C4C72" w:rsidRDefault="00B6516B" w:rsidP="000639A7">
      <w:pPr>
        <w:adjustRightInd w:val="0"/>
        <w:snapToGrid w:val="0"/>
        <w:spacing w:line="360" w:lineRule="auto"/>
        <w:ind w:firstLine="270"/>
        <w:jc w:val="both"/>
        <w:rPr>
          <w:rFonts w:ascii="Book Antiqua" w:eastAsia="Book Antiqua" w:hAnsi="Book Antiqua" w:cs="Book Antiqua"/>
          <w:color w:val="000000"/>
        </w:rPr>
      </w:pPr>
      <w:r w:rsidRPr="00492007">
        <w:rPr>
          <w:rFonts w:ascii="Book Antiqua" w:eastAsia="Book Antiqua" w:hAnsi="Book Antiqua" w:cs="Book Antiqua"/>
          <w:color w:val="000000"/>
        </w:rPr>
        <w:t>The onset of this disease is insidious</w:t>
      </w:r>
      <w:r w:rsidR="007E2D3C">
        <w:rPr>
          <w:rFonts w:ascii="Book Antiqua" w:eastAsia="Book Antiqua" w:hAnsi="Book Antiqua" w:cs="Book Antiqua"/>
          <w:color w:val="000000"/>
        </w:rPr>
        <w:t>,</w:t>
      </w:r>
      <w:r w:rsidRPr="00492007">
        <w:rPr>
          <w:rFonts w:ascii="Book Antiqua" w:eastAsia="Book Antiqua" w:hAnsi="Book Antiqua" w:cs="Book Antiqua"/>
          <w:color w:val="000000"/>
        </w:rPr>
        <w:t xml:space="preserve"> and it develops very fast. When primary liver cancer is confirmed in a patient, generally it means a high degree of malignancy and the patient has lost the best opportunity of surgical </w:t>
      </w:r>
      <w:proofErr w:type="gramStart"/>
      <w:r w:rsidRPr="00492007">
        <w:rPr>
          <w:rFonts w:ascii="Book Antiqua" w:eastAsia="Book Antiqua" w:hAnsi="Book Antiqua" w:cs="Book Antiqua"/>
          <w:color w:val="000000"/>
        </w:rPr>
        <w:t>resection</w:t>
      </w:r>
      <w:r w:rsidRPr="00492007">
        <w:rPr>
          <w:rFonts w:ascii="Book Antiqua" w:eastAsia="Book Antiqua" w:hAnsi="Book Antiqua" w:cs="Book Antiqua"/>
          <w:color w:val="000000"/>
          <w:vertAlign w:val="superscript"/>
        </w:rPr>
        <w:t>[</w:t>
      </w:r>
      <w:proofErr w:type="gramEnd"/>
      <w:r w:rsidRPr="00492007">
        <w:rPr>
          <w:rFonts w:ascii="Book Antiqua" w:eastAsia="Book Antiqua" w:hAnsi="Book Antiqua" w:cs="Book Antiqua"/>
          <w:color w:val="000000"/>
          <w:vertAlign w:val="superscript"/>
        </w:rPr>
        <w:t>5]</w:t>
      </w:r>
      <w:r w:rsidRPr="00492007">
        <w:rPr>
          <w:rFonts w:ascii="Book Antiqua" w:eastAsia="Book Antiqua" w:hAnsi="Book Antiqua" w:cs="Book Antiqua"/>
          <w:color w:val="000000"/>
        </w:rPr>
        <w:t xml:space="preserve">. Encouragingly, TACE is increasingly used in the clinical treatment of primary liver cancer with the advancement in the treatment </w:t>
      </w:r>
      <w:proofErr w:type="gramStart"/>
      <w:r w:rsidRPr="00492007">
        <w:rPr>
          <w:rFonts w:ascii="Book Antiqua" w:eastAsia="Book Antiqua" w:hAnsi="Book Antiqua" w:cs="Book Antiqua"/>
          <w:color w:val="000000"/>
        </w:rPr>
        <w:t>approaches</w:t>
      </w:r>
      <w:r w:rsidRPr="00492007">
        <w:rPr>
          <w:rFonts w:ascii="Book Antiqua" w:eastAsia="Book Antiqua" w:hAnsi="Book Antiqua" w:cs="Book Antiqua"/>
          <w:color w:val="000000"/>
          <w:vertAlign w:val="superscript"/>
        </w:rPr>
        <w:t>[</w:t>
      </w:r>
      <w:proofErr w:type="gramEnd"/>
      <w:r w:rsidRPr="00492007">
        <w:rPr>
          <w:rFonts w:ascii="Book Antiqua" w:eastAsia="Book Antiqua" w:hAnsi="Book Antiqua" w:cs="Book Antiqua"/>
          <w:color w:val="000000"/>
          <w:vertAlign w:val="superscript"/>
        </w:rPr>
        <w:t>6]</w:t>
      </w:r>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Lipiodol</w:t>
      </w:r>
      <w:proofErr w:type="spellEnd"/>
      <w:r w:rsidR="007E2D3C">
        <w:rPr>
          <w:rFonts w:ascii="Book Antiqua" w:eastAsia="Book Antiqua" w:hAnsi="Book Antiqua" w:cs="Book Antiqua"/>
          <w:color w:val="000000"/>
        </w:rPr>
        <w:t>,</w:t>
      </w:r>
      <w:r w:rsidRPr="00492007">
        <w:rPr>
          <w:rFonts w:ascii="Book Antiqua" w:eastAsia="Book Antiqua" w:hAnsi="Book Antiqua" w:cs="Book Antiqua"/>
          <w:color w:val="000000"/>
        </w:rPr>
        <w:t xml:space="preserve"> as a carrier for chemotherapy agents</w:t>
      </w:r>
      <w:r w:rsidR="007E2D3C">
        <w:rPr>
          <w:rFonts w:ascii="Book Antiqua" w:eastAsia="Book Antiqua" w:hAnsi="Book Antiqua" w:cs="Book Antiqua"/>
          <w:color w:val="000000"/>
        </w:rPr>
        <w:t>,</w:t>
      </w:r>
      <w:r w:rsidRPr="00492007">
        <w:rPr>
          <w:rFonts w:ascii="Book Antiqua" w:eastAsia="Book Antiqua" w:hAnsi="Book Antiqua" w:cs="Book Antiqua"/>
          <w:color w:val="000000"/>
        </w:rPr>
        <w:t xml:space="preserve"> can selectively deliver agents into </w:t>
      </w:r>
      <w:proofErr w:type="spellStart"/>
      <w:r w:rsidRPr="00492007">
        <w:rPr>
          <w:rFonts w:ascii="Book Antiqua" w:eastAsia="Book Antiqua" w:hAnsi="Book Antiqua" w:cs="Book Antiqua"/>
          <w:color w:val="000000"/>
        </w:rPr>
        <w:t>microvessels</w:t>
      </w:r>
      <w:proofErr w:type="spellEnd"/>
      <w:r w:rsidRPr="00492007">
        <w:rPr>
          <w:rFonts w:ascii="Book Antiqua" w:eastAsia="Book Antiqua" w:hAnsi="Book Antiqua" w:cs="Book Antiqua"/>
          <w:color w:val="000000"/>
        </w:rPr>
        <w:t xml:space="preserve"> in liver tumor tissues </w:t>
      </w:r>
      <w:r w:rsidRPr="00492007">
        <w:rPr>
          <w:rFonts w:ascii="Book Antiqua" w:eastAsia="Book Antiqua" w:hAnsi="Book Antiqua" w:cs="Book Antiqua"/>
          <w:i/>
          <w:iCs/>
          <w:color w:val="000000"/>
        </w:rPr>
        <w:t>via</w:t>
      </w:r>
      <w:r w:rsidRPr="00492007">
        <w:rPr>
          <w:rFonts w:ascii="Book Antiqua" w:eastAsia="Book Antiqua" w:hAnsi="Book Antiqua" w:cs="Book Antiqua"/>
          <w:color w:val="000000"/>
        </w:rPr>
        <w:t xml:space="preserve"> the hepatic artery, which improves the treatment efficacy for liver </w:t>
      </w:r>
      <w:proofErr w:type="gramStart"/>
      <w:r w:rsidRPr="00492007">
        <w:rPr>
          <w:rFonts w:ascii="Book Antiqua" w:eastAsia="Book Antiqua" w:hAnsi="Book Antiqua" w:cs="Book Antiqua"/>
          <w:color w:val="000000"/>
        </w:rPr>
        <w:t>cancer</w:t>
      </w:r>
      <w:r w:rsidRPr="00492007">
        <w:rPr>
          <w:rFonts w:ascii="Book Antiqua" w:eastAsia="Book Antiqua" w:hAnsi="Book Antiqua" w:cs="Book Antiqua"/>
          <w:color w:val="000000"/>
          <w:vertAlign w:val="superscript"/>
        </w:rPr>
        <w:t>[</w:t>
      </w:r>
      <w:proofErr w:type="gramEnd"/>
      <w:r w:rsidRPr="00492007">
        <w:rPr>
          <w:rFonts w:ascii="Book Antiqua" w:eastAsia="Book Antiqua" w:hAnsi="Book Antiqua" w:cs="Book Antiqua"/>
          <w:color w:val="000000"/>
          <w:vertAlign w:val="superscript"/>
        </w:rPr>
        <w:t>7]</w:t>
      </w:r>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Liposoluble</w:t>
      </w:r>
      <w:proofErr w:type="spellEnd"/>
      <w:r w:rsidRPr="00492007">
        <w:rPr>
          <w:rFonts w:ascii="Book Antiqua" w:eastAsia="Book Antiqua" w:hAnsi="Book Antiqua" w:cs="Book Antiqua"/>
          <w:color w:val="000000"/>
        </w:rPr>
        <w:t xml:space="preserve"> chemotherapy agents dissolved in </w:t>
      </w:r>
      <w:proofErr w:type="spellStart"/>
      <w:r w:rsidRPr="00492007">
        <w:rPr>
          <w:rFonts w:ascii="Book Antiqua" w:eastAsia="Book Antiqua" w:hAnsi="Book Antiqua" w:cs="Book Antiqua"/>
          <w:color w:val="000000"/>
        </w:rPr>
        <w:t>lipiodol</w:t>
      </w:r>
      <w:proofErr w:type="spellEnd"/>
      <w:r w:rsidRPr="00492007">
        <w:rPr>
          <w:rFonts w:ascii="Book Antiqua" w:eastAsia="Book Antiqua" w:hAnsi="Book Antiqua" w:cs="Book Antiqua"/>
          <w:color w:val="000000"/>
        </w:rPr>
        <w:t xml:space="preserve"> </w:t>
      </w:r>
      <w:r w:rsidR="004C4C72">
        <w:rPr>
          <w:rFonts w:ascii="Book Antiqua" w:eastAsia="Book Antiqua" w:hAnsi="Book Antiqua" w:cs="Book Antiqua"/>
          <w:color w:val="000000"/>
        </w:rPr>
        <w:t>remain</w:t>
      </w:r>
      <w:r w:rsidRPr="00492007">
        <w:rPr>
          <w:rFonts w:ascii="Book Antiqua" w:eastAsia="Book Antiqua" w:hAnsi="Book Antiqua" w:cs="Book Antiqua"/>
          <w:color w:val="000000"/>
        </w:rPr>
        <w:t xml:space="preserve"> in </w:t>
      </w:r>
      <w:r w:rsidR="004C4C72">
        <w:rPr>
          <w:rFonts w:ascii="Book Antiqua" w:eastAsia="Book Antiqua" w:hAnsi="Book Antiqua" w:cs="Book Antiqua"/>
          <w:color w:val="000000"/>
        </w:rPr>
        <w:t xml:space="preserve">the </w:t>
      </w:r>
      <w:r w:rsidRPr="00492007">
        <w:rPr>
          <w:rFonts w:ascii="Book Antiqua" w:eastAsia="Book Antiqua" w:hAnsi="Book Antiqua" w:cs="Book Antiqua"/>
          <w:color w:val="000000"/>
        </w:rPr>
        <w:t>liver tumor</w:t>
      </w:r>
      <w:r w:rsidR="004C4C72">
        <w:rPr>
          <w:rFonts w:ascii="Book Antiqua" w:eastAsia="Book Antiqua" w:hAnsi="Book Antiqua" w:cs="Book Antiqua"/>
          <w:color w:val="000000"/>
        </w:rPr>
        <w:t xml:space="preserve"> longer</w:t>
      </w:r>
      <w:r w:rsidRPr="00492007">
        <w:rPr>
          <w:rFonts w:ascii="Book Antiqua" w:eastAsia="Book Antiqua" w:hAnsi="Book Antiqua" w:cs="Book Antiqua"/>
          <w:color w:val="000000"/>
        </w:rPr>
        <w:t xml:space="preserve">, which may strengthen the anti-tumor efficacy of chemotherapy </w:t>
      </w:r>
      <w:proofErr w:type="gramStart"/>
      <w:r w:rsidRPr="00492007">
        <w:rPr>
          <w:rFonts w:ascii="Book Antiqua" w:eastAsia="Book Antiqua" w:hAnsi="Book Antiqua" w:cs="Book Antiqua"/>
          <w:color w:val="000000"/>
        </w:rPr>
        <w:t>agents</w:t>
      </w:r>
      <w:r w:rsidRPr="00492007">
        <w:rPr>
          <w:rFonts w:ascii="Book Antiqua" w:eastAsia="Book Antiqua" w:hAnsi="Book Antiqua" w:cs="Book Antiqua"/>
          <w:color w:val="000000"/>
          <w:vertAlign w:val="superscript"/>
        </w:rPr>
        <w:t>[</w:t>
      </w:r>
      <w:proofErr w:type="gramEnd"/>
      <w:r w:rsidRPr="00492007">
        <w:rPr>
          <w:rFonts w:ascii="Book Antiqua" w:eastAsia="Book Antiqua" w:hAnsi="Book Antiqua" w:cs="Book Antiqua"/>
          <w:color w:val="000000"/>
          <w:vertAlign w:val="superscript"/>
        </w:rPr>
        <w:t>8]</w:t>
      </w:r>
      <w:r w:rsidRPr="00492007">
        <w:rPr>
          <w:rFonts w:ascii="Book Antiqua" w:eastAsia="Book Antiqua" w:hAnsi="Book Antiqua" w:cs="Book Antiqua"/>
          <w:color w:val="000000"/>
        </w:rPr>
        <w:t>.</w:t>
      </w:r>
    </w:p>
    <w:p w14:paraId="10633405" w14:textId="24EA26AA" w:rsidR="00A77B3E" w:rsidRPr="00492007" w:rsidRDefault="00B6516B" w:rsidP="000639A7">
      <w:pPr>
        <w:adjustRightInd w:val="0"/>
        <w:snapToGrid w:val="0"/>
        <w:spacing w:line="360" w:lineRule="auto"/>
        <w:ind w:firstLine="270"/>
        <w:jc w:val="both"/>
        <w:rPr>
          <w:rFonts w:ascii="Book Antiqua" w:hAnsi="Book Antiqua"/>
        </w:rPr>
      </w:pPr>
      <w:r w:rsidRPr="00492007">
        <w:rPr>
          <w:rFonts w:ascii="Book Antiqua" w:eastAsia="Book Antiqua" w:hAnsi="Book Antiqua" w:cs="Book Antiqua"/>
          <w:color w:val="000000"/>
        </w:rPr>
        <w:t>Drug-eluting microspheres</w:t>
      </w:r>
      <w:r w:rsidR="004C4C72">
        <w:rPr>
          <w:rFonts w:ascii="Book Antiqua" w:eastAsia="Book Antiqua" w:hAnsi="Book Antiqua" w:cs="Book Antiqua"/>
          <w:color w:val="000000"/>
        </w:rPr>
        <w:t>,</w:t>
      </w:r>
      <w:r w:rsidRPr="00492007">
        <w:rPr>
          <w:rFonts w:ascii="Book Antiqua" w:eastAsia="Book Antiqua" w:hAnsi="Book Antiqua" w:cs="Book Antiqua"/>
          <w:color w:val="000000"/>
        </w:rPr>
        <w:t xml:space="preserve"> as a new embolic agent for peripheral vessels in tumor</w:t>
      </w:r>
      <w:r w:rsidR="004C4C72">
        <w:rPr>
          <w:rFonts w:ascii="Book Antiqua" w:eastAsia="Book Antiqua" w:hAnsi="Book Antiqua" w:cs="Book Antiqua"/>
          <w:color w:val="000000"/>
        </w:rPr>
        <w:t>s</w:t>
      </w:r>
      <w:r w:rsidRPr="00492007">
        <w:rPr>
          <w:rFonts w:ascii="Book Antiqua" w:eastAsia="Book Antiqua" w:hAnsi="Book Antiqua" w:cs="Book Antiqua"/>
          <w:color w:val="000000"/>
        </w:rPr>
        <w:t xml:space="preserve">, can enhance embolization efficacy and is independent of the impact </w:t>
      </w:r>
      <w:r w:rsidR="004C4C72">
        <w:rPr>
          <w:rFonts w:ascii="Book Antiqua" w:eastAsia="Book Antiqua" w:hAnsi="Book Antiqua" w:cs="Book Antiqua"/>
          <w:color w:val="000000"/>
        </w:rPr>
        <w:t>of</w:t>
      </w:r>
      <w:r w:rsidRPr="00492007">
        <w:rPr>
          <w:rFonts w:ascii="Book Antiqua" w:eastAsia="Book Antiqua" w:hAnsi="Book Antiqua" w:cs="Book Antiqua"/>
          <w:color w:val="000000"/>
        </w:rPr>
        <w:t xml:space="preserve"> embolic materials be</w:t>
      </w:r>
      <w:r w:rsidR="004C4C72">
        <w:rPr>
          <w:rFonts w:ascii="Book Antiqua" w:eastAsia="Book Antiqua" w:hAnsi="Book Antiqua" w:cs="Book Antiqua"/>
          <w:color w:val="000000"/>
        </w:rPr>
        <w:t>ing</w:t>
      </w:r>
      <w:r w:rsidRPr="00492007">
        <w:rPr>
          <w:rFonts w:ascii="Book Antiqua" w:eastAsia="Book Antiqua" w:hAnsi="Book Antiqua" w:cs="Book Antiqua"/>
          <w:color w:val="000000"/>
        </w:rPr>
        <w:t xml:space="preserve"> washed away by blood flow as well as that of tissue </w:t>
      </w:r>
      <w:proofErr w:type="gramStart"/>
      <w:r w:rsidRPr="00492007">
        <w:rPr>
          <w:rFonts w:ascii="Book Antiqua" w:eastAsia="Book Antiqua" w:hAnsi="Book Antiqua" w:cs="Book Antiqua"/>
          <w:color w:val="000000"/>
        </w:rPr>
        <w:t>degradation</w:t>
      </w:r>
      <w:r w:rsidRPr="00492007">
        <w:rPr>
          <w:rFonts w:ascii="Book Antiqua" w:eastAsia="Book Antiqua" w:hAnsi="Book Antiqua" w:cs="Book Antiqua"/>
          <w:color w:val="000000"/>
          <w:vertAlign w:val="superscript"/>
        </w:rPr>
        <w:t>[</w:t>
      </w:r>
      <w:proofErr w:type="gramEnd"/>
      <w:r w:rsidRPr="00492007">
        <w:rPr>
          <w:rFonts w:ascii="Book Antiqua" w:eastAsia="Book Antiqua" w:hAnsi="Book Antiqua" w:cs="Book Antiqua"/>
          <w:color w:val="000000"/>
          <w:vertAlign w:val="superscript"/>
        </w:rPr>
        <w:t>9]</w:t>
      </w:r>
      <w:r w:rsidRPr="00492007">
        <w:rPr>
          <w:rFonts w:ascii="Book Antiqua" w:eastAsia="Book Antiqua" w:hAnsi="Book Antiqua" w:cs="Book Antiqua"/>
          <w:color w:val="000000"/>
        </w:rPr>
        <w:t xml:space="preserve">. Studies showed that intervention therapies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 revealed obvious efficacy for primary liver cancer with mild adverse reactions and prolonged </w:t>
      </w:r>
      <w:proofErr w:type="gramStart"/>
      <w:r w:rsidRPr="00492007">
        <w:rPr>
          <w:rFonts w:ascii="Book Antiqua" w:eastAsia="Book Antiqua" w:hAnsi="Book Antiqua" w:cs="Book Antiqua"/>
          <w:color w:val="000000"/>
        </w:rPr>
        <w:t>survival</w:t>
      </w:r>
      <w:r w:rsidRPr="00492007">
        <w:rPr>
          <w:rFonts w:ascii="Book Antiqua" w:eastAsia="Book Antiqua" w:hAnsi="Book Antiqua" w:cs="Book Antiqua"/>
          <w:color w:val="000000"/>
          <w:vertAlign w:val="superscript"/>
        </w:rPr>
        <w:t>[</w:t>
      </w:r>
      <w:proofErr w:type="gramEnd"/>
      <w:r w:rsidRPr="00492007">
        <w:rPr>
          <w:rFonts w:ascii="Book Antiqua" w:eastAsia="Book Antiqua" w:hAnsi="Book Antiqua" w:cs="Book Antiqua"/>
          <w:color w:val="000000"/>
          <w:vertAlign w:val="superscript"/>
        </w:rPr>
        <w:t>10,11]</w:t>
      </w:r>
      <w:r w:rsidRPr="00492007">
        <w:rPr>
          <w:rFonts w:ascii="Book Antiqua" w:eastAsia="Book Antiqua" w:hAnsi="Book Antiqua" w:cs="Book Antiqua"/>
          <w:color w:val="000000"/>
        </w:rPr>
        <w:t>. The present study aim</w:t>
      </w:r>
      <w:r w:rsidR="004C4C72">
        <w:rPr>
          <w:rFonts w:ascii="Book Antiqua" w:eastAsia="Book Antiqua" w:hAnsi="Book Antiqua" w:cs="Book Antiqua"/>
          <w:color w:val="000000"/>
        </w:rPr>
        <w:t>ed</w:t>
      </w:r>
      <w:r w:rsidRPr="00492007">
        <w:rPr>
          <w:rFonts w:ascii="Book Antiqua" w:eastAsia="Book Antiqua" w:hAnsi="Book Antiqua" w:cs="Book Antiqua"/>
          <w:color w:val="000000"/>
        </w:rPr>
        <w:t xml:space="preserve"> to discuss the efficacy of TACE with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-loaded microspheres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for primary liver cancer and </w:t>
      </w:r>
      <w:r w:rsidR="004C4C72">
        <w:rPr>
          <w:rFonts w:ascii="Book Antiqua" w:eastAsia="Book Antiqua" w:hAnsi="Book Antiqua" w:cs="Book Antiqua"/>
          <w:color w:val="000000"/>
        </w:rPr>
        <w:t xml:space="preserve">determine </w:t>
      </w:r>
      <w:r w:rsidRPr="00492007">
        <w:rPr>
          <w:rFonts w:ascii="Book Antiqua" w:eastAsia="Book Antiqua" w:hAnsi="Book Antiqua" w:cs="Book Antiqua"/>
          <w:color w:val="000000"/>
        </w:rPr>
        <w:t>progress</w:t>
      </w:r>
      <w:r w:rsidR="004C4C72">
        <w:rPr>
          <w:rFonts w:ascii="Book Antiqua" w:eastAsia="Book Antiqua" w:hAnsi="Book Antiqua" w:cs="Book Antiqua"/>
          <w:color w:val="000000"/>
        </w:rPr>
        <w:t>ion</w:t>
      </w:r>
      <w:r w:rsidRPr="00492007">
        <w:rPr>
          <w:rFonts w:ascii="Book Antiqua" w:eastAsia="Book Antiqua" w:hAnsi="Book Antiqua" w:cs="Book Antiqua"/>
          <w:color w:val="000000"/>
        </w:rPr>
        <w:t>-free survival, overall survival, clinical response rate, disease control rate, liver and kidney function and adverse reactions.</w:t>
      </w:r>
    </w:p>
    <w:p w14:paraId="48CF5F29" w14:textId="77777777" w:rsidR="00A77B3E" w:rsidRPr="00492007" w:rsidRDefault="00A77B3E" w:rsidP="00492007">
      <w:pPr>
        <w:adjustRightInd w:val="0"/>
        <w:snapToGrid w:val="0"/>
        <w:spacing w:line="360" w:lineRule="auto"/>
        <w:jc w:val="both"/>
        <w:rPr>
          <w:rFonts w:ascii="Book Antiqua" w:hAnsi="Book Antiqua"/>
        </w:rPr>
      </w:pPr>
    </w:p>
    <w:p w14:paraId="56827C56"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aps/>
          <w:color w:val="000000"/>
          <w:u w:val="single"/>
        </w:rPr>
        <w:t>MATERIALS AND METHODS</w:t>
      </w:r>
    </w:p>
    <w:p w14:paraId="66E8E447" w14:textId="77777777" w:rsidR="00A77B3E" w:rsidRPr="00492007" w:rsidRDefault="00B6516B" w:rsidP="00492007">
      <w:pPr>
        <w:adjustRightInd w:val="0"/>
        <w:snapToGrid w:val="0"/>
        <w:spacing w:line="360" w:lineRule="auto"/>
        <w:jc w:val="both"/>
        <w:rPr>
          <w:rFonts w:ascii="Book Antiqua" w:hAnsi="Book Antiqua"/>
          <w:i/>
          <w:iCs/>
        </w:rPr>
      </w:pPr>
      <w:r w:rsidRPr="00492007">
        <w:rPr>
          <w:rFonts w:ascii="Book Antiqua" w:eastAsia="Book Antiqua" w:hAnsi="Book Antiqua" w:cs="Book Antiqua"/>
          <w:b/>
          <w:bCs/>
          <w:i/>
          <w:iCs/>
          <w:color w:val="000000"/>
        </w:rPr>
        <w:t>Participants</w:t>
      </w:r>
    </w:p>
    <w:p w14:paraId="616191B8" w14:textId="57EC6E6E" w:rsidR="00AB3B70"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Sixty patients with primary liver cancer were selected at </w:t>
      </w:r>
      <w:proofErr w:type="spellStart"/>
      <w:r w:rsidRPr="00492007">
        <w:rPr>
          <w:rFonts w:ascii="Book Antiqua" w:eastAsia="Book Antiqua" w:hAnsi="Book Antiqua" w:cs="Book Antiqua"/>
          <w:color w:val="000000"/>
        </w:rPr>
        <w:t>Hebei</w:t>
      </w:r>
      <w:proofErr w:type="spellEnd"/>
      <w:r w:rsidRPr="00492007">
        <w:rPr>
          <w:rFonts w:ascii="Book Antiqua" w:eastAsia="Book Antiqua" w:hAnsi="Book Antiqua" w:cs="Book Antiqua"/>
          <w:color w:val="000000"/>
        </w:rPr>
        <w:t xml:space="preserve"> North University Affiliated First Hospital between January 2019 and March 2020. They were categorized </w:t>
      </w:r>
      <w:r w:rsidRPr="00492007">
        <w:rPr>
          <w:rFonts w:ascii="Book Antiqua" w:eastAsia="Book Antiqua" w:hAnsi="Book Antiqua" w:cs="Book Antiqua"/>
          <w:color w:val="000000"/>
        </w:rPr>
        <w:lastRenderedPageBreak/>
        <w:t xml:space="preserve">into two groups based on the treatment approaches. Thirty patients receiving </w:t>
      </w:r>
      <w:proofErr w:type="spellStart"/>
      <w:r w:rsidRPr="00492007">
        <w:rPr>
          <w:rFonts w:ascii="Book Antiqua" w:eastAsia="Book Antiqua" w:hAnsi="Book Antiqua" w:cs="Book Antiqua"/>
          <w:color w:val="000000"/>
        </w:rPr>
        <w:t>pirarubicin</w:t>
      </w:r>
      <w:proofErr w:type="spellEnd"/>
      <w:r w:rsidR="004C4C72">
        <w:rPr>
          <w:rFonts w:ascii="Book Antiqua" w:eastAsia="Book Antiqua" w:hAnsi="Book Antiqua" w:cs="Book Antiqua"/>
          <w:color w:val="000000"/>
        </w:rPr>
        <w:t>-</w:t>
      </w:r>
      <w:r w:rsidRPr="00492007">
        <w:rPr>
          <w:rFonts w:ascii="Book Antiqua" w:eastAsia="Book Antiqua" w:hAnsi="Book Antiqua" w:cs="Book Antiqua"/>
          <w:color w:val="000000"/>
        </w:rPr>
        <w:t xml:space="preserve">loaded microspheres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w:t>
      </w:r>
      <w:r w:rsidR="004C4C72">
        <w:rPr>
          <w:rFonts w:ascii="Book Antiqua" w:eastAsia="Book Antiqua" w:hAnsi="Book Antiqua" w:cs="Book Antiqua"/>
          <w:color w:val="000000"/>
        </w:rPr>
        <w:t xml:space="preserve">were </w:t>
      </w:r>
      <w:r w:rsidRPr="00492007">
        <w:rPr>
          <w:rFonts w:ascii="Book Antiqua" w:eastAsia="Book Antiqua" w:hAnsi="Book Antiqua" w:cs="Book Antiqua"/>
          <w:color w:val="000000"/>
        </w:rPr>
        <w:t>included in an observation group</w:t>
      </w:r>
      <w:r w:rsidR="004C4C72">
        <w:rPr>
          <w:rFonts w:ascii="Book Antiqua" w:eastAsia="Book Antiqua" w:hAnsi="Book Antiqua" w:cs="Book Antiqua"/>
          <w:color w:val="000000"/>
        </w:rPr>
        <w:t>,</w:t>
      </w:r>
      <w:r w:rsidRPr="00492007">
        <w:rPr>
          <w:rFonts w:ascii="Book Antiqua" w:eastAsia="Book Antiqua" w:hAnsi="Book Antiqua" w:cs="Book Antiqua"/>
          <w:color w:val="000000"/>
        </w:rPr>
        <w:t xml:space="preserve"> and 30 patients receiving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 emulsion with </w:t>
      </w:r>
      <w:proofErr w:type="spellStart"/>
      <w:r w:rsidRPr="00492007">
        <w:rPr>
          <w:rFonts w:ascii="Book Antiqua" w:eastAsia="Book Antiqua" w:hAnsi="Book Antiqua" w:cs="Book Antiqua"/>
          <w:color w:val="000000"/>
        </w:rPr>
        <w:t>lipiodol</w:t>
      </w:r>
      <w:proofErr w:type="spellEnd"/>
      <w:r w:rsidRPr="00492007">
        <w:rPr>
          <w:rFonts w:ascii="Book Antiqua" w:eastAsia="Book Antiqua" w:hAnsi="Book Antiqua" w:cs="Book Antiqua"/>
          <w:color w:val="000000"/>
        </w:rPr>
        <w:t xml:space="preserve">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were included in </w:t>
      </w:r>
      <w:r w:rsidR="004C4C72">
        <w:rPr>
          <w:rFonts w:ascii="Book Antiqua" w:eastAsia="Book Antiqua" w:hAnsi="Book Antiqua" w:cs="Book Antiqua"/>
          <w:color w:val="000000"/>
        </w:rPr>
        <w:t>the</w:t>
      </w:r>
      <w:r w:rsidRPr="00492007">
        <w:rPr>
          <w:rFonts w:ascii="Book Antiqua" w:eastAsia="Book Antiqua" w:hAnsi="Book Antiqua" w:cs="Book Antiqua"/>
          <w:color w:val="000000"/>
        </w:rPr>
        <w:t xml:space="preserve"> control group. The current study was approved by </w:t>
      </w:r>
      <w:r w:rsidR="004C4C72">
        <w:rPr>
          <w:rFonts w:ascii="Book Antiqua" w:eastAsia="Book Antiqua" w:hAnsi="Book Antiqua" w:cs="Book Antiqua"/>
          <w:color w:val="000000"/>
        </w:rPr>
        <w:t xml:space="preserve">the </w:t>
      </w:r>
      <w:r w:rsidRPr="00492007">
        <w:rPr>
          <w:rFonts w:ascii="Book Antiqua" w:eastAsia="Book Antiqua" w:hAnsi="Book Antiqua" w:cs="Book Antiqua"/>
          <w:color w:val="000000"/>
        </w:rPr>
        <w:t>hospital ethics committee</w:t>
      </w:r>
      <w:r w:rsidR="003F2F8C">
        <w:rPr>
          <w:rFonts w:ascii="Book Antiqua" w:eastAsia="Book Antiqua" w:hAnsi="Book Antiqua" w:cs="Book Antiqua"/>
          <w:color w:val="000000"/>
        </w:rPr>
        <w:t>,</w:t>
      </w:r>
      <w:r w:rsidRPr="00492007">
        <w:rPr>
          <w:rFonts w:ascii="Book Antiqua" w:eastAsia="Book Antiqua" w:hAnsi="Book Antiqua" w:cs="Book Antiqua"/>
          <w:color w:val="000000"/>
        </w:rPr>
        <w:t xml:space="preserve"> and all included patients signed the informed consent form for the academic research.</w:t>
      </w:r>
    </w:p>
    <w:p w14:paraId="17003254" w14:textId="4A993748" w:rsidR="003F2F8C" w:rsidRDefault="00B6516B" w:rsidP="00492007">
      <w:pPr>
        <w:adjustRightInd w:val="0"/>
        <w:snapToGrid w:val="0"/>
        <w:spacing w:line="360" w:lineRule="auto"/>
        <w:ind w:firstLineChars="100" w:firstLine="240"/>
        <w:jc w:val="both"/>
        <w:rPr>
          <w:rFonts w:ascii="Book Antiqua" w:eastAsia="Book Antiqua" w:hAnsi="Book Antiqua" w:cs="Book Antiqua"/>
          <w:color w:val="000000"/>
        </w:rPr>
      </w:pPr>
      <w:r w:rsidRPr="00492007">
        <w:rPr>
          <w:rFonts w:ascii="Book Antiqua" w:eastAsia="Book Antiqua" w:hAnsi="Book Antiqua" w:cs="Book Antiqua"/>
          <w:color w:val="000000"/>
        </w:rPr>
        <w:t xml:space="preserve">Inclusion criteria for this study were as follows: (1) </w:t>
      </w:r>
      <w:r w:rsidR="003F2F8C">
        <w:rPr>
          <w:rFonts w:ascii="Book Antiqua" w:eastAsia="Book Antiqua" w:hAnsi="Book Antiqua" w:cs="Book Antiqua"/>
          <w:color w:val="000000"/>
        </w:rPr>
        <w:t>P</w:t>
      </w:r>
      <w:r w:rsidRPr="00492007">
        <w:rPr>
          <w:rFonts w:ascii="Book Antiqua" w:eastAsia="Book Antiqua" w:hAnsi="Book Antiqua" w:cs="Book Antiqua"/>
          <w:color w:val="000000"/>
        </w:rPr>
        <w:t xml:space="preserve">atients who were pathologically diagnosed with primary liver cancer after a biopsy; (2) </w:t>
      </w:r>
      <w:r w:rsidR="003F2F8C">
        <w:rPr>
          <w:rFonts w:ascii="Book Antiqua" w:eastAsia="Book Antiqua" w:hAnsi="Book Antiqua" w:cs="Book Antiqua"/>
          <w:color w:val="000000"/>
        </w:rPr>
        <w:t>P</w:t>
      </w:r>
      <w:r w:rsidRPr="00492007">
        <w:rPr>
          <w:rFonts w:ascii="Book Antiqua" w:eastAsia="Book Antiqua" w:hAnsi="Book Antiqua" w:cs="Book Antiqua"/>
          <w:color w:val="000000"/>
        </w:rPr>
        <w:t xml:space="preserve">atients with class of liver function A to B; (3) </w:t>
      </w:r>
      <w:r w:rsidR="003F2F8C">
        <w:rPr>
          <w:rFonts w:ascii="Book Antiqua" w:eastAsia="Book Antiqua" w:hAnsi="Book Antiqua" w:cs="Book Antiqua"/>
          <w:color w:val="000000"/>
        </w:rPr>
        <w:t>P</w:t>
      </w:r>
      <w:r w:rsidRPr="00492007">
        <w:rPr>
          <w:rFonts w:ascii="Book Antiqua" w:eastAsia="Book Antiqua" w:hAnsi="Book Antiqua" w:cs="Book Antiqua"/>
          <w:color w:val="000000"/>
        </w:rPr>
        <w:t xml:space="preserve">atients whose alpha-fetoprotein (AFP) was above 50 </w:t>
      </w:r>
      <w:proofErr w:type="spellStart"/>
      <w:r w:rsidRPr="00492007">
        <w:rPr>
          <w:rFonts w:ascii="Book Antiqua" w:eastAsia="Book Antiqua" w:hAnsi="Book Antiqua" w:cs="Book Antiqua"/>
          <w:color w:val="000000"/>
        </w:rPr>
        <w:t>ng</w:t>
      </w:r>
      <w:proofErr w:type="spellEnd"/>
      <w:r w:rsidRPr="00492007">
        <w:rPr>
          <w:rFonts w:ascii="Book Antiqua" w:eastAsia="Book Antiqua" w:hAnsi="Book Antiqua" w:cs="Book Antiqua"/>
          <w:color w:val="000000"/>
        </w:rPr>
        <w:t xml:space="preserve">/mL; (4) </w:t>
      </w:r>
      <w:r w:rsidR="003F2F8C">
        <w:rPr>
          <w:rFonts w:ascii="Book Antiqua" w:eastAsia="Book Antiqua" w:hAnsi="Book Antiqua" w:cs="Book Antiqua"/>
          <w:color w:val="000000"/>
        </w:rPr>
        <w:t>P</w:t>
      </w:r>
      <w:r w:rsidRPr="00492007">
        <w:rPr>
          <w:rFonts w:ascii="Book Antiqua" w:eastAsia="Book Antiqua" w:hAnsi="Book Antiqua" w:cs="Book Antiqua"/>
          <w:color w:val="000000"/>
        </w:rPr>
        <w:t xml:space="preserve">atients without metastasis or portal vein thrombosis; and (5) </w:t>
      </w:r>
      <w:r w:rsidR="003F2F8C">
        <w:rPr>
          <w:rFonts w:ascii="Book Antiqua" w:eastAsia="Book Antiqua" w:hAnsi="Book Antiqua" w:cs="Book Antiqua"/>
          <w:color w:val="000000"/>
        </w:rPr>
        <w:t>P</w:t>
      </w:r>
      <w:r w:rsidRPr="00492007">
        <w:rPr>
          <w:rFonts w:ascii="Book Antiqua" w:eastAsia="Book Antiqua" w:hAnsi="Book Antiqua" w:cs="Book Antiqua"/>
          <w:color w:val="000000"/>
        </w:rPr>
        <w:t xml:space="preserve">atients whose tumor volume was less than 60% of </w:t>
      </w:r>
      <w:r w:rsidR="003F2F8C">
        <w:rPr>
          <w:rFonts w:ascii="Book Antiqua" w:eastAsia="Book Antiqua" w:hAnsi="Book Antiqua" w:cs="Book Antiqua"/>
          <w:color w:val="000000"/>
        </w:rPr>
        <w:t xml:space="preserve">the </w:t>
      </w:r>
      <w:r w:rsidRPr="00492007">
        <w:rPr>
          <w:rFonts w:ascii="Book Antiqua" w:eastAsia="Book Antiqua" w:hAnsi="Book Antiqua" w:cs="Book Antiqua"/>
          <w:color w:val="000000"/>
        </w:rPr>
        <w:t>liver volume. Exc</w:t>
      </w:r>
      <w:r w:rsidR="003F2F8C">
        <w:rPr>
          <w:rFonts w:ascii="Book Antiqua" w:eastAsia="Book Antiqua" w:hAnsi="Book Antiqua" w:cs="Book Antiqua"/>
          <w:color w:val="000000"/>
        </w:rPr>
        <w:t>lusion</w:t>
      </w:r>
      <w:r w:rsidRPr="00492007">
        <w:rPr>
          <w:rFonts w:ascii="Book Antiqua" w:eastAsia="Book Antiqua" w:hAnsi="Book Antiqua" w:cs="Book Antiqua"/>
          <w:color w:val="000000"/>
        </w:rPr>
        <w:t xml:space="preserve"> criteria for this study included: (1) </w:t>
      </w:r>
      <w:r w:rsidR="003F2F8C">
        <w:rPr>
          <w:rFonts w:ascii="Book Antiqua" w:eastAsia="Book Antiqua" w:hAnsi="Book Antiqua" w:cs="Book Antiqua"/>
          <w:color w:val="000000"/>
        </w:rPr>
        <w:t>P</w:t>
      </w:r>
      <w:r w:rsidRPr="00492007">
        <w:rPr>
          <w:rFonts w:ascii="Book Antiqua" w:eastAsia="Book Antiqua" w:hAnsi="Book Antiqua" w:cs="Book Antiqua"/>
          <w:color w:val="000000"/>
        </w:rPr>
        <w:t xml:space="preserve">atients with severe heart, liver and kidney dysfunction; (2) </w:t>
      </w:r>
      <w:r w:rsidR="003F2F8C">
        <w:rPr>
          <w:rFonts w:ascii="Book Antiqua" w:eastAsia="Book Antiqua" w:hAnsi="Book Antiqua" w:cs="Book Antiqua"/>
          <w:color w:val="000000"/>
        </w:rPr>
        <w:t>P</w:t>
      </w:r>
      <w:r w:rsidRPr="00492007">
        <w:rPr>
          <w:rFonts w:ascii="Book Antiqua" w:eastAsia="Book Antiqua" w:hAnsi="Book Antiqua" w:cs="Book Antiqua"/>
          <w:color w:val="000000"/>
        </w:rPr>
        <w:t xml:space="preserve">atients with other types of cancer; (3) </w:t>
      </w:r>
      <w:r w:rsidR="003F2F8C">
        <w:rPr>
          <w:rFonts w:ascii="Book Antiqua" w:eastAsia="Book Antiqua" w:hAnsi="Book Antiqua" w:cs="Book Antiqua"/>
          <w:color w:val="000000"/>
        </w:rPr>
        <w:t>P</w:t>
      </w:r>
      <w:r w:rsidRPr="00492007">
        <w:rPr>
          <w:rFonts w:ascii="Book Antiqua" w:eastAsia="Book Antiqua" w:hAnsi="Book Antiqua" w:cs="Book Antiqua"/>
          <w:color w:val="000000"/>
        </w:rPr>
        <w:t xml:space="preserve">atients with iodine allergy; and (4) </w:t>
      </w:r>
      <w:r w:rsidR="003F2F8C">
        <w:rPr>
          <w:rFonts w:ascii="Book Antiqua" w:eastAsia="Book Antiqua" w:hAnsi="Book Antiqua" w:cs="Book Antiqua"/>
          <w:color w:val="000000"/>
        </w:rPr>
        <w:t>P</w:t>
      </w:r>
      <w:r w:rsidRPr="00492007">
        <w:rPr>
          <w:rFonts w:ascii="Book Antiqua" w:eastAsia="Book Antiqua" w:hAnsi="Book Antiqua" w:cs="Book Antiqua"/>
          <w:color w:val="000000"/>
        </w:rPr>
        <w:t xml:space="preserve">atients who had </w:t>
      </w:r>
      <w:r w:rsidR="003F2F8C">
        <w:rPr>
          <w:rFonts w:ascii="Book Antiqua" w:eastAsia="Book Antiqua" w:hAnsi="Book Antiqua" w:cs="Book Antiqua"/>
          <w:color w:val="000000"/>
        </w:rPr>
        <w:t xml:space="preserve">an </w:t>
      </w:r>
      <w:proofErr w:type="spellStart"/>
      <w:r w:rsidRPr="00492007">
        <w:rPr>
          <w:rFonts w:ascii="Book Antiqua" w:eastAsia="Book Antiqua" w:hAnsi="Book Antiqua" w:cs="Book Antiqua"/>
          <w:color w:val="000000"/>
        </w:rPr>
        <w:t>arteriovenous</w:t>
      </w:r>
      <w:proofErr w:type="spellEnd"/>
      <w:r w:rsidRPr="00492007">
        <w:rPr>
          <w:rFonts w:ascii="Book Antiqua" w:eastAsia="Book Antiqua" w:hAnsi="Book Antiqua" w:cs="Book Antiqua"/>
          <w:color w:val="000000"/>
        </w:rPr>
        <w:t xml:space="preserve"> shunt.</w:t>
      </w:r>
    </w:p>
    <w:p w14:paraId="4C9215AC" w14:textId="72EAB22D" w:rsidR="00A77B3E" w:rsidRPr="00492007" w:rsidRDefault="00B6516B" w:rsidP="000639A7">
      <w:pPr>
        <w:adjustRightInd w:val="0"/>
        <w:snapToGrid w:val="0"/>
        <w:spacing w:line="360" w:lineRule="auto"/>
        <w:ind w:firstLine="240"/>
        <w:jc w:val="both"/>
        <w:rPr>
          <w:rFonts w:ascii="Book Antiqua" w:hAnsi="Book Antiqua"/>
        </w:rPr>
      </w:pPr>
      <w:r w:rsidRPr="00492007">
        <w:rPr>
          <w:rFonts w:ascii="Book Antiqua" w:eastAsia="Book Antiqua" w:hAnsi="Book Antiqua" w:cs="Book Antiqua"/>
          <w:color w:val="000000"/>
        </w:rPr>
        <w:t xml:space="preserve">Of </w:t>
      </w:r>
      <w:r w:rsidR="003F2F8C">
        <w:rPr>
          <w:rFonts w:ascii="Book Antiqua" w:eastAsia="Book Antiqua" w:hAnsi="Book Antiqua" w:cs="Book Antiqua"/>
          <w:color w:val="000000"/>
        </w:rPr>
        <w:t xml:space="preserve">the </w:t>
      </w:r>
      <w:r w:rsidRPr="00492007">
        <w:rPr>
          <w:rFonts w:ascii="Book Antiqua" w:eastAsia="Book Antiqua" w:hAnsi="Book Antiqua" w:cs="Book Antiqua"/>
          <w:color w:val="000000"/>
        </w:rPr>
        <w:t xml:space="preserve">30 patients in the observation group, 24 were male and 6 were female aged 34 to 66 (52.13 ± 13.12) years. In terms of Child-Pugh classification for liver function, 25 were class </w:t>
      </w:r>
      <w:proofErr w:type="gramStart"/>
      <w:r w:rsidRPr="00492007">
        <w:rPr>
          <w:rFonts w:ascii="Book Antiqua" w:eastAsia="Book Antiqua" w:hAnsi="Book Antiqua" w:cs="Book Antiqua"/>
          <w:color w:val="000000"/>
        </w:rPr>
        <w:t>A</w:t>
      </w:r>
      <w:proofErr w:type="gramEnd"/>
      <w:r w:rsidRPr="00492007">
        <w:rPr>
          <w:rFonts w:ascii="Book Antiqua" w:eastAsia="Book Antiqua" w:hAnsi="Book Antiqua" w:cs="Book Antiqua"/>
          <w:color w:val="000000"/>
        </w:rPr>
        <w:t xml:space="preserve"> patients</w:t>
      </w:r>
      <w:r w:rsidR="003F2F8C">
        <w:rPr>
          <w:rFonts w:ascii="Book Antiqua" w:eastAsia="Book Antiqua" w:hAnsi="Book Antiqua" w:cs="Book Antiqua"/>
          <w:color w:val="000000"/>
        </w:rPr>
        <w:t>,</w:t>
      </w:r>
      <w:r w:rsidRPr="00492007">
        <w:rPr>
          <w:rFonts w:ascii="Book Antiqua" w:eastAsia="Book Antiqua" w:hAnsi="Book Antiqua" w:cs="Book Antiqua"/>
          <w:color w:val="000000"/>
        </w:rPr>
        <w:t xml:space="preserve"> and 5 were class B patients. For complications, 18 patients had hepatitis B virus</w:t>
      </w:r>
      <w:r w:rsidR="003F2F8C">
        <w:rPr>
          <w:rFonts w:ascii="Book Antiqua" w:eastAsia="Book Antiqua" w:hAnsi="Book Antiqua" w:cs="Book Antiqua"/>
          <w:color w:val="000000"/>
        </w:rPr>
        <w:t>,</w:t>
      </w:r>
      <w:r w:rsidRPr="00492007">
        <w:rPr>
          <w:rFonts w:ascii="Book Antiqua" w:eastAsia="Book Antiqua" w:hAnsi="Book Antiqua" w:cs="Book Antiqua"/>
          <w:color w:val="000000"/>
        </w:rPr>
        <w:t xml:space="preserve"> and 17 patients had </w:t>
      </w:r>
      <w:proofErr w:type="spellStart"/>
      <w:r w:rsidRPr="00492007">
        <w:rPr>
          <w:rFonts w:ascii="Book Antiqua" w:eastAsia="Book Antiqua" w:hAnsi="Book Antiqua" w:cs="Book Antiqua"/>
          <w:color w:val="000000"/>
        </w:rPr>
        <w:t>hepatocirrhosis</w:t>
      </w:r>
      <w:proofErr w:type="spellEnd"/>
      <w:r w:rsidRPr="00492007">
        <w:rPr>
          <w:rFonts w:ascii="Book Antiqua" w:eastAsia="Book Antiqua" w:hAnsi="Book Antiqua" w:cs="Book Antiqua"/>
          <w:color w:val="000000"/>
        </w:rPr>
        <w:t xml:space="preserve">. Of 30 patients in the control group, 25 were male and 5 were female aged 33 to 65 (50.36 ± 11.09) years. </w:t>
      </w:r>
      <w:r w:rsidR="00E62E58" w:rsidRPr="00492007">
        <w:rPr>
          <w:rFonts w:ascii="Book Antiqua" w:eastAsia="Book Antiqua" w:hAnsi="Book Antiqua" w:cs="Book Antiqua"/>
          <w:color w:val="000000"/>
        </w:rPr>
        <w:t>Regarding</w:t>
      </w:r>
      <w:r w:rsidRPr="00492007">
        <w:rPr>
          <w:rFonts w:ascii="Book Antiqua" w:eastAsia="Book Antiqua" w:hAnsi="Book Antiqua" w:cs="Book Antiqua"/>
          <w:color w:val="000000"/>
        </w:rPr>
        <w:t xml:space="preserve"> Child-Pugh classification for liver function, 26 were class </w:t>
      </w:r>
      <w:proofErr w:type="gramStart"/>
      <w:r w:rsidRPr="00492007">
        <w:rPr>
          <w:rFonts w:ascii="Book Antiqua" w:eastAsia="Book Antiqua" w:hAnsi="Book Antiqua" w:cs="Book Antiqua"/>
          <w:color w:val="000000"/>
        </w:rPr>
        <w:t>A</w:t>
      </w:r>
      <w:proofErr w:type="gramEnd"/>
      <w:r w:rsidRPr="00492007">
        <w:rPr>
          <w:rFonts w:ascii="Book Antiqua" w:eastAsia="Book Antiqua" w:hAnsi="Book Antiqua" w:cs="Book Antiqua"/>
          <w:color w:val="000000"/>
        </w:rPr>
        <w:t xml:space="preserve"> patients</w:t>
      </w:r>
      <w:r w:rsidR="003F2F8C">
        <w:rPr>
          <w:rFonts w:ascii="Book Antiqua" w:eastAsia="Book Antiqua" w:hAnsi="Book Antiqua" w:cs="Book Antiqua"/>
          <w:color w:val="000000"/>
        </w:rPr>
        <w:t>,</w:t>
      </w:r>
      <w:r w:rsidRPr="00492007">
        <w:rPr>
          <w:rFonts w:ascii="Book Antiqua" w:eastAsia="Book Antiqua" w:hAnsi="Book Antiqua" w:cs="Book Antiqua"/>
          <w:color w:val="000000"/>
        </w:rPr>
        <w:t xml:space="preserve"> and 4 were class B patients. Concerning complications, 19 patients had hepatitis B virus and 16 patients had </w:t>
      </w:r>
      <w:proofErr w:type="spellStart"/>
      <w:r w:rsidRPr="00492007">
        <w:rPr>
          <w:rFonts w:ascii="Book Antiqua" w:eastAsia="Book Antiqua" w:hAnsi="Book Antiqua" w:cs="Book Antiqua"/>
          <w:color w:val="000000"/>
        </w:rPr>
        <w:t>hepatocirrhosis</w:t>
      </w:r>
      <w:proofErr w:type="spellEnd"/>
      <w:r w:rsidRPr="00492007">
        <w:rPr>
          <w:rFonts w:ascii="Book Antiqua" w:eastAsia="Book Antiqua" w:hAnsi="Book Antiqua" w:cs="Book Antiqua"/>
          <w:color w:val="000000"/>
        </w:rPr>
        <w:t>. The general information was comparable between the two groups (</w:t>
      </w:r>
      <w:r w:rsidRPr="00492007">
        <w:rPr>
          <w:rFonts w:ascii="Book Antiqua" w:eastAsia="Book Antiqua" w:hAnsi="Book Antiqua" w:cs="Book Antiqua"/>
          <w:i/>
          <w:iCs/>
          <w:color w:val="000000"/>
        </w:rPr>
        <w:t>P</w:t>
      </w:r>
      <w:r w:rsidR="00B23F7B"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&gt;</w:t>
      </w:r>
      <w:r w:rsidR="00B23F7B"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0.05).</w:t>
      </w:r>
    </w:p>
    <w:p w14:paraId="1B564A9E" w14:textId="77777777" w:rsidR="00A77B3E" w:rsidRPr="00492007" w:rsidRDefault="00A77B3E" w:rsidP="00492007">
      <w:pPr>
        <w:adjustRightInd w:val="0"/>
        <w:snapToGrid w:val="0"/>
        <w:spacing w:line="360" w:lineRule="auto"/>
        <w:jc w:val="both"/>
        <w:rPr>
          <w:rFonts w:ascii="Book Antiqua" w:hAnsi="Book Antiqua"/>
        </w:rPr>
      </w:pPr>
    </w:p>
    <w:p w14:paraId="58794EC9" w14:textId="77777777" w:rsidR="00A77B3E" w:rsidRPr="00492007" w:rsidRDefault="00B6516B" w:rsidP="00492007">
      <w:pPr>
        <w:adjustRightInd w:val="0"/>
        <w:snapToGrid w:val="0"/>
        <w:spacing w:line="360" w:lineRule="auto"/>
        <w:jc w:val="both"/>
        <w:rPr>
          <w:rFonts w:ascii="Book Antiqua" w:hAnsi="Book Antiqua"/>
          <w:i/>
          <w:iCs/>
        </w:rPr>
      </w:pPr>
      <w:r w:rsidRPr="00492007">
        <w:rPr>
          <w:rFonts w:ascii="Book Antiqua" w:eastAsia="Book Antiqua" w:hAnsi="Book Antiqua" w:cs="Book Antiqua"/>
          <w:b/>
          <w:bCs/>
          <w:i/>
          <w:iCs/>
          <w:color w:val="000000"/>
        </w:rPr>
        <w:t>Protocols</w:t>
      </w:r>
    </w:p>
    <w:p w14:paraId="40D0687C" w14:textId="25395B74"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For the observation group, a 5-F tube introducer was inserted following femoral artery puncture. Routine radiography of celiac arteries and superior mesenteric arteries including left gastric arteries, bilateral phrenic arteries, right suprarenal arteries, internal thoracic </w:t>
      </w:r>
      <w:r w:rsidR="00181F0B" w:rsidRPr="00492007">
        <w:rPr>
          <w:rFonts w:ascii="Book Antiqua" w:eastAsia="Book Antiqua" w:hAnsi="Book Antiqua" w:cs="Book Antiqua"/>
          <w:color w:val="000000"/>
        </w:rPr>
        <w:t>arteries</w:t>
      </w:r>
      <w:r w:rsidRPr="00492007">
        <w:rPr>
          <w:rFonts w:ascii="Book Antiqua" w:eastAsia="Book Antiqua" w:hAnsi="Book Antiqua" w:cs="Book Antiqua"/>
          <w:color w:val="000000"/>
        </w:rPr>
        <w:t xml:space="preserve"> and intercostal arteries was performed to determine feeding </w:t>
      </w:r>
      <w:r w:rsidRPr="00492007">
        <w:rPr>
          <w:rFonts w:ascii="Book Antiqua" w:eastAsia="Book Antiqua" w:hAnsi="Book Antiqua" w:cs="Book Antiqua"/>
          <w:color w:val="000000"/>
        </w:rPr>
        <w:lastRenderedPageBreak/>
        <w:t xml:space="preserve">arteries and whether hepatic </w:t>
      </w:r>
      <w:proofErr w:type="spellStart"/>
      <w:r w:rsidRPr="00492007">
        <w:rPr>
          <w:rFonts w:ascii="Book Antiqua" w:eastAsia="Book Antiqua" w:hAnsi="Book Antiqua" w:cs="Book Antiqua"/>
          <w:color w:val="000000"/>
        </w:rPr>
        <w:t>arterioportal</w:t>
      </w:r>
      <w:proofErr w:type="spellEnd"/>
      <w:r w:rsidRPr="00492007">
        <w:rPr>
          <w:rFonts w:ascii="Book Antiqua" w:eastAsia="Book Antiqua" w:hAnsi="Book Antiqua" w:cs="Book Antiqua"/>
          <w:color w:val="000000"/>
        </w:rPr>
        <w:t xml:space="preserve"> fistulas or hepatic arterial venous fistulas existed. Then a 2.2-F </w:t>
      </w:r>
      <w:proofErr w:type="spellStart"/>
      <w:r w:rsidRPr="00492007">
        <w:rPr>
          <w:rFonts w:ascii="Book Antiqua" w:eastAsia="Book Antiqua" w:hAnsi="Book Antiqua" w:cs="Book Antiqua"/>
          <w:color w:val="000000"/>
        </w:rPr>
        <w:t>microcatheter</w:t>
      </w:r>
      <w:proofErr w:type="spellEnd"/>
      <w:r w:rsidRPr="00492007">
        <w:rPr>
          <w:rFonts w:ascii="Book Antiqua" w:eastAsia="Book Antiqua" w:hAnsi="Book Antiqua" w:cs="Book Antiqua"/>
          <w:color w:val="000000"/>
        </w:rPr>
        <w:t xml:space="preserve"> was inserted into </w:t>
      </w:r>
      <w:r w:rsidR="003F2F8C">
        <w:rPr>
          <w:rFonts w:ascii="Book Antiqua" w:eastAsia="Book Antiqua" w:hAnsi="Book Antiqua" w:cs="Book Antiqua"/>
          <w:color w:val="000000"/>
        </w:rPr>
        <w:t xml:space="preserve">the </w:t>
      </w:r>
      <w:r w:rsidRPr="00492007">
        <w:rPr>
          <w:rFonts w:ascii="Book Antiqua" w:eastAsia="Book Antiqua" w:hAnsi="Book Antiqua" w:cs="Book Antiqua"/>
          <w:color w:val="000000"/>
        </w:rPr>
        <w:t xml:space="preserve">feeding artery branches for chemoembolization. First, 50 to 150 mg of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(H20080359; Hainan </w:t>
      </w:r>
      <w:proofErr w:type="spellStart"/>
      <w:r w:rsidRPr="00492007">
        <w:rPr>
          <w:rFonts w:ascii="Book Antiqua" w:eastAsia="Book Antiqua" w:hAnsi="Book Antiqua" w:cs="Book Antiqua"/>
          <w:color w:val="000000"/>
        </w:rPr>
        <w:t>Changan</w:t>
      </w:r>
      <w:proofErr w:type="spellEnd"/>
      <w:r w:rsidRPr="00492007">
        <w:rPr>
          <w:rFonts w:ascii="Book Antiqua" w:eastAsia="Book Antiqua" w:hAnsi="Book Antiqua" w:cs="Book Antiqua"/>
          <w:color w:val="000000"/>
        </w:rPr>
        <w:t xml:space="preserve"> International P</w:t>
      </w:r>
      <w:r w:rsidR="00716153">
        <w:rPr>
          <w:rFonts w:ascii="Book Antiqua" w:eastAsia="Book Antiqua" w:hAnsi="Book Antiqua" w:cs="Book Antiqua"/>
          <w:color w:val="000000"/>
        </w:rPr>
        <w:t>h</w:t>
      </w:r>
      <w:r w:rsidRPr="00492007">
        <w:rPr>
          <w:rFonts w:ascii="Book Antiqua" w:eastAsia="Book Antiqua" w:hAnsi="Book Antiqua" w:cs="Book Antiqua"/>
          <w:color w:val="000000"/>
        </w:rPr>
        <w:t xml:space="preserve">armaceutical Co., Ltd., China) was perfused based on </w:t>
      </w:r>
      <w:r w:rsidR="003F2F8C">
        <w:rPr>
          <w:rFonts w:ascii="Book Antiqua" w:eastAsia="Book Antiqua" w:hAnsi="Book Antiqua" w:cs="Book Antiqua"/>
          <w:color w:val="000000"/>
        </w:rPr>
        <w:t xml:space="preserve">each </w:t>
      </w:r>
      <w:r w:rsidRPr="00492007">
        <w:rPr>
          <w:rFonts w:ascii="Book Antiqua" w:eastAsia="Book Antiqua" w:hAnsi="Book Antiqua" w:cs="Book Antiqua"/>
          <w:color w:val="000000"/>
        </w:rPr>
        <w:t>patient</w:t>
      </w:r>
      <w:r w:rsidR="003F2F8C">
        <w:rPr>
          <w:rFonts w:ascii="Book Antiqua" w:eastAsia="Book Antiqua" w:hAnsi="Book Antiqua" w:cs="Book Antiqua"/>
          <w:color w:val="000000"/>
        </w:rPr>
        <w:t>’</w:t>
      </w:r>
      <w:r w:rsidRPr="00492007">
        <w:rPr>
          <w:rFonts w:ascii="Book Antiqua" w:eastAsia="Book Antiqua" w:hAnsi="Book Antiqua" w:cs="Book Antiqua"/>
          <w:color w:val="000000"/>
        </w:rPr>
        <w:t xml:space="preserve">s disease severity. Afterwards, 5 to 40 mL of </w:t>
      </w:r>
      <w:proofErr w:type="spellStart"/>
      <w:r w:rsidRPr="00492007">
        <w:rPr>
          <w:rFonts w:ascii="Book Antiqua" w:eastAsia="Book Antiqua" w:hAnsi="Book Antiqua" w:cs="Book Antiqua"/>
          <w:color w:val="000000"/>
        </w:rPr>
        <w:t>pirarubicin</w:t>
      </w:r>
      <w:proofErr w:type="spellEnd"/>
      <w:r w:rsidR="003F2F8C">
        <w:rPr>
          <w:rFonts w:ascii="Book Antiqua" w:eastAsia="Book Antiqua" w:hAnsi="Book Antiqua" w:cs="Book Antiqua"/>
          <w:color w:val="000000"/>
        </w:rPr>
        <w:t>-</w:t>
      </w:r>
      <w:r w:rsidRPr="00492007">
        <w:rPr>
          <w:rFonts w:ascii="Book Antiqua" w:eastAsia="Book Antiqua" w:hAnsi="Book Antiqua" w:cs="Book Antiqua"/>
          <w:color w:val="000000"/>
        </w:rPr>
        <w:t>loaded microspheres (H10930105; Shenzhen Main Luck P</w:t>
      </w:r>
      <w:r w:rsidR="00716153">
        <w:rPr>
          <w:rFonts w:ascii="Book Antiqua" w:eastAsia="Book Antiqua" w:hAnsi="Book Antiqua" w:cs="Book Antiqua"/>
          <w:color w:val="000000"/>
        </w:rPr>
        <w:t>h</w:t>
      </w:r>
      <w:r w:rsidRPr="00492007">
        <w:rPr>
          <w:rFonts w:ascii="Book Antiqua" w:eastAsia="Book Antiqua" w:hAnsi="Book Antiqua" w:cs="Book Antiqua"/>
          <w:color w:val="000000"/>
        </w:rPr>
        <w:t xml:space="preserve">armaceuticals Inc., China) </w:t>
      </w:r>
      <w:proofErr w:type="gramStart"/>
      <w:r w:rsidRPr="00492007">
        <w:rPr>
          <w:rFonts w:ascii="Book Antiqua" w:eastAsia="Book Antiqua" w:hAnsi="Book Antiqua" w:cs="Book Antiqua"/>
          <w:color w:val="000000"/>
        </w:rPr>
        <w:t>w</w:t>
      </w:r>
      <w:r w:rsidR="003F2F8C">
        <w:rPr>
          <w:rFonts w:ascii="Book Antiqua" w:eastAsia="Book Antiqua" w:hAnsi="Book Antiqua" w:cs="Book Antiqua"/>
          <w:color w:val="000000"/>
        </w:rPr>
        <w:t>ere</w:t>
      </w:r>
      <w:proofErr w:type="gramEnd"/>
      <w:r w:rsidRPr="00492007">
        <w:rPr>
          <w:rFonts w:ascii="Book Antiqua" w:eastAsia="Book Antiqua" w:hAnsi="Book Antiqua" w:cs="Book Antiqua"/>
          <w:color w:val="000000"/>
        </w:rPr>
        <w:t xml:space="preserve"> injected fluoroscopically at a slow pace. Patients were closely monitored until blood flow interruption occurred within the blood vessels on radiography and until the staining disappeared. The operation for the control group </w:t>
      </w:r>
      <w:r w:rsidR="003F2F8C">
        <w:rPr>
          <w:rFonts w:ascii="Book Antiqua" w:eastAsia="Book Antiqua" w:hAnsi="Book Antiqua" w:cs="Book Antiqua"/>
          <w:color w:val="000000"/>
        </w:rPr>
        <w:t>wa</w:t>
      </w:r>
      <w:r w:rsidRPr="00492007">
        <w:rPr>
          <w:rFonts w:ascii="Book Antiqua" w:eastAsia="Book Antiqua" w:hAnsi="Book Antiqua" w:cs="Book Antiqua"/>
          <w:color w:val="000000"/>
        </w:rPr>
        <w:t xml:space="preserve">s similar </w:t>
      </w:r>
      <w:r w:rsidR="003F2F8C">
        <w:rPr>
          <w:rFonts w:ascii="Book Antiqua" w:eastAsia="Book Antiqua" w:hAnsi="Book Antiqua" w:cs="Book Antiqua"/>
          <w:color w:val="000000"/>
        </w:rPr>
        <w:t>to</w:t>
      </w:r>
      <w:r w:rsidRPr="00492007">
        <w:rPr>
          <w:rFonts w:ascii="Book Antiqua" w:eastAsia="Book Antiqua" w:hAnsi="Book Antiqua" w:cs="Book Antiqua"/>
          <w:color w:val="000000"/>
        </w:rPr>
        <w:t xml:space="preserve"> the observation group. In the same way, 50 to 150 mg of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was perfused based on </w:t>
      </w:r>
      <w:r w:rsidR="003F2F8C">
        <w:rPr>
          <w:rFonts w:ascii="Book Antiqua" w:eastAsia="Book Antiqua" w:hAnsi="Book Antiqua" w:cs="Book Antiqua"/>
          <w:color w:val="000000"/>
        </w:rPr>
        <w:t xml:space="preserve">each </w:t>
      </w:r>
      <w:r w:rsidRPr="00492007">
        <w:rPr>
          <w:rFonts w:ascii="Book Antiqua" w:eastAsia="Book Antiqua" w:hAnsi="Book Antiqua" w:cs="Book Antiqua"/>
          <w:color w:val="000000"/>
        </w:rPr>
        <w:t>patient</w:t>
      </w:r>
      <w:r w:rsidR="003F2F8C">
        <w:rPr>
          <w:rFonts w:ascii="Book Antiqua" w:eastAsia="Book Antiqua" w:hAnsi="Book Antiqua" w:cs="Book Antiqua"/>
          <w:color w:val="000000"/>
        </w:rPr>
        <w:t>’</w:t>
      </w:r>
      <w:r w:rsidRPr="00492007">
        <w:rPr>
          <w:rFonts w:ascii="Book Antiqua" w:eastAsia="Book Antiqua" w:hAnsi="Book Antiqua" w:cs="Book Antiqua"/>
          <w:color w:val="000000"/>
        </w:rPr>
        <w:t xml:space="preserve">s condition. Then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 emulsion with </w:t>
      </w:r>
      <w:proofErr w:type="spellStart"/>
      <w:r w:rsidRPr="00492007">
        <w:rPr>
          <w:rFonts w:ascii="Book Antiqua" w:eastAsia="Book Antiqua" w:hAnsi="Book Antiqua" w:cs="Book Antiqua"/>
          <w:color w:val="000000"/>
        </w:rPr>
        <w:t>lipiodol</w:t>
      </w:r>
      <w:proofErr w:type="spellEnd"/>
      <w:r w:rsidRPr="00492007">
        <w:rPr>
          <w:rFonts w:ascii="Book Antiqua" w:eastAsia="Book Antiqua" w:hAnsi="Book Antiqua" w:cs="Book Antiqua"/>
          <w:color w:val="000000"/>
        </w:rPr>
        <w:t xml:space="preserve">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was injected. Also, they were closely monitored until blood flow was interrupted on radiography and until the staining disappeared. Patients in both groups were followed-up for 18 </w:t>
      </w:r>
      <w:proofErr w:type="spellStart"/>
      <w:proofErr w:type="gramStart"/>
      <w:r w:rsidRPr="00492007">
        <w:rPr>
          <w:rFonts w:ascii="Book Antiqua" w:eastAsia="Book Antiqua" w:hAnsi="Book Antiqua" w:cs="Book Antiqua"/>
          <w:color w:val="000000"/>
        </w:rPr>
        <w:t>mo</w:t>
      </w:r>
      <w:proofErr w:type="spellEnd"/>
      <w:proofErr w:type="gramEnd"/>
      <w:r w:rsidRPr="00492007">
        <w:rPr>
          <w:rFonts w:ascii="Book Antiqua" w:eastAsia="Book Antiqua" w:hAnsi="Book Antiqua" w:cs="Book Antiqua"/>
          <w:color w:val="000000"/>
        </w:rPr>
        <w:t xml:space="preserve"> after the operation.</w:t>
      </w:r>
    </w:p>
    <w:p w14:paraId="1645335E" w14:textId="77777777" w:rsidR="00A77B3E" w:rsidRPr="00492007" w:rsidRDefault="00A77B3E" w:rsidP="00492007">
      <w:pPr>
        <w:adjustRightInd w:val="0"/>
        <w:snapToGrid w:val="0"/>
        <w:spacing w:line="360" w:lineRule="auto"/>
        <w:jc w:val="both"/>
        <w:rPr>
          <w:rFonts w:ascii="Book Antiqua" w:hAnsi="Book Antiqua"/>
        </w:rPr>
      </w:pPr>
    </w:p>
    <w:p w14:paraId="77D05A36" w14:textId="77777777" w:rsidR="00A77B3E" w:rsidRPr="00492007" w:rsidRDefault="00B6516B" w:rsidP="00492007">
      <w:pPr>
        <w:adjustRightInd w:val="0"/>
        <w:snapToGrid w:val="0"/>
        <w:spacing w:line="360" w:lineRule="auto"/>
        <w:jc w:val="both"/>
        <w:rPr>
          <w:rFonts w:ascii="Book Antiqua" w:hAnsi="Book Antiqua"/>
          <w:i/>
          <w:iCs/>
        </w:rPr>
      </w:pPr>
      <w:r w:rsidRPr="00492007">
        <w:rPr>
          <w:rFonts w:ascii="Book Antiqua" w:eastAsia="Book Antiqua" w:hAnsi="Book Antiqua" w:cs="Book Antiqua"/>
          <w:b/>
          <w:bCs/>
          <w:i/>
          <w:iCs/>
          <w:color w:val="000000"/>
        </w:rPr>
        <w:t>Measures</w:t>
      </w:r>
    </w:p>
    <w:p w14:paraId="0F21CB3F" w14:textId="25334DA1" w:rsidR="00A77B3E" w:rsidRPr="00492007" w:rsidRDefault="003F2F8C" w:rsidP="00492007">
      <w:pPr>
        <w:adjustRightInd w:val="0"/>
        <w:snapToGrid w:val="0"/>
        <w:spacing w:line="360" w:lineRule="auto"/>
        <w:jc w:val="both"/>
        <w:rPr>
          <w:rFonts w:ascii="Book Antiqua" w:hAnsi="Book Antiqua"/>
        </w:rPr>
      </w:pPr>
      <w:r>
        <w:rPr>
          <w:rFonts w:ascii="Book Antiqua" w:eastAsia="Book Antiqua" w:hAnsi="Book Antiqua" w:cs="Book Antiqua"/>
          <w:color w:val="000000"/>
        </w:rPr>
        <w:t>P</w:t>
      </w:r>
      <w:r w:rsidR="004C4C72" w:rsidRPr="00492007">
        <w:rPr>
          <w:rFonts w:ascii="Book Antiqua" w:eastAsia="Book Antiqua" w:hAnsi="Book Antiqua" w:cs="Book Antiqua"/>
          <w:color w:val="000000"/>
        </w:rPr>
        <w:t>rogress</w:t>
      </w:r>
      <w:r w:rsidR="004C4C72">
        <w:rPr>
          <w:rFonts w:ascii="Book Antiqua" w:eastAsia="Book Antiqua" w:hAnsi="Book Antiqua" w:cs="Book Antiqua"/>
          <w:color w:val="000000"/>
        </w:rPr>
        <w:t>ion</w:t>
      </w:r>
      <w:r w:rsidR="004C4C72" w:rsidRPr="00492007">
        <w:rPr>
          <w:rFonts w:ascii="Book Antiqua" w:eastAsia="Book Antiqua" w:hAnsi="Book Antiqua" w:cs="Book Antiqua"/>
          <w:color w:val="000000"/>
        </w:rPr>
        <w:t>-free survival</w:t>
      </w:r>
      <w:r w:rsidRPr="00492007">
        <w:rPr>
          <w:rFonts w:ascii="Book Antiqua" w:eastAsia="Book Antiqua" w:hAnsi="Book Antiqua" w:cs="Book Antiqua"/>
          <w:color w:val="000000"/>
        </w:rPr>
        <w:t xml:space="preserve"> was estimated after a follow-up of 18 mo. Overall survival at 6</w:t>
      </w:r>
      <w:r w:rsidR="00173728">
        <w:rPr>
          <w:rFonts w:ascii="Book Antiqua" w:eastAsia="Book Antiqua" w:hAnsi="Book Antiqua" w:cs="Book Antiqua"/>
          <w:color w:val="000000"/>
        </w:rPr>
        <w:t xml:space="preserve"> </w:t>
      </w:r>
      <w:proofErr w:type="spellStart"/>
      <w:proofErr w:type="gramStart"/>
      <w:r w:rsidR="00173728">
        <w:rPr>
          <w:rFonts w:ascii="Book Antiqua" w:eastAsia="Book Antiqua" w:hAnsi="Book Antiqua" w:cs="Book Antiqua"/>
          <w:color w:val="000000"/>
        </w:rPr>
        <w:t>mo</w:t>
      </w:r>
      <w:proofErr w:type="spellEnd"/>
      <w:proofErr w:type="gramEnd"/>
      <w:r w:rsidRPr="00492007">
        <w:rPr>
          <w:rFonts w:ascii="Book Antiqua" w:eastAsia="Book Antiqua" w:hAnsi="Book Antiqua" w:cs="Book Antiqua"/>
          <w:color w:val="000000"/>
        </w:rPr>
        <w:t xml:space="preserve">, 12 </w:t>
      </w:r>
      <w:proofErr w:type="spellStart"/>
      <w:r w:rsidR="00173728">
        <w:rPr>
          <w:rFonts w:ascii="Book Antiqua" w:eastAsia="Book Antiqua" w:hAnsi="Book Antiqua" w:cs="Book Antiqua"/>
          <w:color w:val="000000"/>
        </w:rPr>
        <w:t>mo</w:t>
      </w:r>
      <w:proofErr w:type="spellEnd"/>
      <w:r w:rsidR="00173728">
        <w:rPr>
          <w:rFonts w:ascii="Book Antiqua" w:eastAsia="Book Antiqua" w:hAnsi="Book Antiqua" w:cs="Book Antiqua"/>
          <w:color w:val="000000"/>
        </w:rPr>
        <w:t xml:space="preserve"> </w:t>
      </w:r>
      <w:r w:rsidRPr="00492007">
        <w:rPr>
          <w:rFonts w:ascii="Book Antiqua" w:eastAsia="Book Antiqua" w:hAnsi="Book Antiqua" w:cs="Book Antiqua"/>
          <w:color w:val="000000"/>
        </w:rPr>
        <w:t xml:space="preserve">and 18 </w:t>
      </w:r>
      <w:proofErr w:type="spellStart"/>
      <w:r w:rsidRPr="00492007">
        <w:rPr>
          <w:rFonts w:ascii="Book Antiqua" w:eastAsia="Book Antiqua" w:hAnsi="Book Antiqua" w:cs="Book Antiqua"/>
          <w:color w:val="000000"/>
        </w:rPr>
        <w:t>mo</w:t>
      </w:r>
      <w:proofErr w:type="spellEnd"/>
      <w:r w:rsidRPr="00492007">
        <w:rPr>
          <w:rFonts w:ascii="Book Antiqua" w:eastAsia="Book Antiqua" w:hAnsi="Book Antiqua" w:cs="Book Antiqua"/>
          <w:color w:val="000000"/>
        </w:rPr>
        <w:t xml:space="preserve"> was compared between the two groups. Short-term efficacy was compared between the two groups based on Evaluation Criteria in Solid Tumors. Complete remission was defined as all contrast </w:t>
      </w:r>
      <w:proofErr w:type="gramStart"/>
      <w:r w:rsidRPr="00492007">
        <w:rPr>
          <w:rFonts w:ascii="Book Antiqua" w:eastAsia="Book Antiqua" w:hAnsi="Book Antiqua" w:cs="Book Antiqua"/>
          <w:color w:val="000000"/>
        </w:rPr>
        <w:t>enhancement</w:t>
      </w:r>
      <w:proofErr w:type="gramEnd"/>
      <w:r w:rsidRPr="00492007">
        <w:rPr>
          <w:rFonts w:ascii="Book Antiqua" w:eastAsia="Book Antiqua" w:hAnsi="Book Antiqua" w:cs="Book Antiqua"/>
          <w:color w:val="000000"/>
        </w:rPr>
        <w:t xml:space="preserve"> of targeted lesions in </w:t>
      </w:r>
      <w:r w:rsidR="00173728">
        <w:rPr>
          <w:rFonts w:ascii="Book Antiqua" w:eastAsia="Book Antiqua" w:hAnsi="Book Antiqua" w:cs="Book Antiqua"/>
          <w:color w:val="000000"/>
        </w:rPr>
        <w:t xml:space="preserve">the </w:t>
      </w:r>
      <w:r w:rsidRPr="00492007">
        <w:rPr>
          <w:rFonts w:ascii="Book Antiqua" w:eastAsia="Book Antiqua" w:hAnsi="Book Antiqua" w:cs="Book Antiqua"/>
          <w:color w:val="000000"/>
        </w:rPr>
        <w:t xml:space="preserve">arterial phase </w:t>
      </w:r>
      <w:r w:rsidR="00173728">
        <w:rPr>
          <w:rFonts w:ascii="Book Antiqua" w:eastAsia="Book Antiqua" w:hAnsi="Book Antiqua" w:cs="Book Antiqua"/>
          <w:color w:val="000000"/>
        </w:rPr>
        <w:t xml:space="preserve">had </w:t>
      </w:r>
      <w:r w:rsidRPr="00492007">
        <w:rPr>
          <w:rFonts w:ascii="Book Antiqua" w:eastAsia="Book Antiqua" w:hAnsi="Book Antiqua" w:cs="Book Antiqua"/>
          <w:color w:val="000000"/>
        </w:rPr>
        <w:t xml:space="preserve">disappeared. Partial remission (PR) was defined as the total sum of </w:t>
      </w:r>
      <w:r w:rsidR="00173728">
        <w:rPr>
          <w:rFonts w:ascii="Book Antiqua" w:eastAsia="Book Antiqua" w:hAnsi="Book Antiqua" w:cs="Book Antiqua"/>
          <w:color w:val="000000"/>
        </w:rPr>
        <w:t xml:space="preserve">the </w:t>
      </w:r>
      <w:r w:rsidRPr="00492007">
        <w:rPr>
          <w:rFonts w:ascii="Book Antiqua" w:eastAsia="Book Antiqua" w:hAnsi="Book Antiqua" w:cs="Book Antiqua"/>
          <w:color w:val="000000"/>
        </w:rPr>
        <w:t xml:space="preserve">diameter for contrast enhancement of targeted lesions in </w:t>
      </w:r>
      <w:r w:rsidR="00173728">
        <w:rPr>
          <w:rFonts w:ascii="Book Antiqua" w:eastAsia="Book Antiqua" w:hAnsi="Book Antiqua" w:cs="Book Antiqua"/>
          <w:color w:val="000000"/>
        </w:rPr>
        <w:t xml:space="preserve">the </w:t>
      </w:r>
      <w:r w:rsidRPr="00492007">
        <w:rPr>
          <w:rFonts w:ascii="Book Antiqua" w:eastAsia="Book Antiqua" w:hAnsi="Book Antiqua" w:cs="Book Antiqua"/>
          <w:color w:val="000000"/>
        </w:rPr>
        <w:t xml:space="preserve">arterial phase reduced ≥ 30%. Stable disease was defined as a reduction in tumor enhancement intensity in the arterial phase on contrast-enhanced </w:t>
      </w:r>
      <w:r w:rsidR="00181F0B" w:rsidRPr="00492007">
        <w:rPr>
          <w:rFonts w:ascii="Book Antiqua" w:eastAsia="Book Antiqua" w:hAnsi="Book Antiqua" w:cs="Book Antiqua"/>
          <w:color w:val="000000"/>
        </w:rPr>
        <w:t>computed tomography</w:t>
      </w:r>
      <w:r w:rsidRPr="00492007">
        <w:rPr>
          <w:rFonts w:ascii="Book Antiqua" w:eastAsia="Book Antiqua" w:hAnsi="Book Antiqua" w:cs="Book Antiqua"/>
          <w:color w:val="000000"/>
        </w:rPr>
        <w:t xml:space="preserve"> but PR or progressive disease was not observed. </w:t>
      </w:r>
      <w:r w:rsidR="00173728">
        <w:rPr>
          <w:rFonts w:ascii="Book Antiqua" w:eastAsia="Book Antiqua" w:hAnsi="Book Antiqua" w:cs="Book Antiqua"/>
          <w:color w:val="000000"/>
        </w:rPr>
        <w:t>P</w:t>
      </w:r>
      <w:r w:rsidR="00173728" w:rsidRPr="00492007">
        <w:rPr>
          <w:rFonts w:ascii="Book Antiqua" w:eastAsia="Book Antiqua" w:hAnsi="Book Antiqua" w:cs="Book Antiqua"/>
          <w:color w:val="000000"/>
        </w:rPr>
        <w:t>rogressive disease</w:t>
      </w:r>
      <w:r w:rsidRPr="00492007">
        <w:rPr>
          <w:rFonts w:ascii="Book Antiqua" w:eastAsia="Book Antiqua" w:hAnsi="Book Antiqua" w:cs="Book Antiqua"/>
          <w:color w:val="000000"/>
        </w:rPr>
        <w:t xml:space="preserve"> was defined as the total sum of </w:t>
      </w:r>
      <w:r w:rsidR="00173728">
        <w:rPr>
          <w:rFonts w:ascii="Book Antiqua" w:eastAsia="Book Antiqua" w:hAnsi="Book Antiqua" w:cs="Book Antiqua"/>
          <w:color w:val="000000"/>
        </w:rPr>
        <w:t xml:space="preserve">the </w:t>
      </w:r>
      <w:r w:rsidRPr="00492007">
        <w:rPr>
          <w:rFonts w:ascii="Book Antiqua" w:eastAsia="Book Antiqua" w:hAnsi="Book Antiqua" w:cs="Book Antiqua"/>
          <w:color w:val="000000"/>
        </w:rPr>
        <w:t xml:space="preserve">diameter for contrast enhancement of targeted lesions in </w:t>
      </w:r>
      <w:r w:rsidR="00173728">
        <w:rPr>
          <w:rFonts w:ascii="Book Antiqua" w:eastAsia="Book Antiqua" w:hAnsi="Book Antiqua" w:cs="Book Antiqua"/>
          <w:color w:val="000000"/>
        </w:rPr>
        <w:t xml:space="preserve">the </w:t>
      </w:r>
      <w:r w:rsidRPr="00492007">
        <w:rPr>
          <w:rFonts w:ascii="Book Antiqua" w:eastAsia="Book Antiqua" w:hAnsi="Book Antiqua" w:cs="Book Antiqua"/>
          <w:color w:val="000000"/>
        </w:rPr>
        <w:t xml:space="preserve">arterial phase increased </w:t>
      </w:r>
      <w:r w:rsidR="00173728">
        <w:rPr>
          <w:rFonts w:ascii="Book Antiqua" w:eastAsia="Book Antiqua" w:hAnsi="Book Antiqua" w:cs="Book Antiqua"/>
          <w:color w:val="000000"/>
        </w:rPr>
        <w:t xml:space="preserve">by </w:t>
      </w:r>
      <w:r w:rsidRPr="00492007">
        <w:rPr>
          <w:rFonts w:ascii="Book Antiqua" w:eastAsia="Book Antiqua" w:hAnsi="Book Antiqua" w:cs="Book Antiqua"/>
          <w:color w:val="000000"/>
        </w:rPr>
        <w:t xml:space="preserve">≥ 20% or new lesions were observed. Clinical efficacy = </w:t>
      </w:r>
      <w:r w:rsidR="00173728">
        <w:rPr>
          <w:rFonts w:ascii="Book Antiqua" w:eastAsia="Book Antiqua" w:hAnsi="Book Antiqua" w:cs="Book Antiqua"/>
          <w:color w:val="000000"/>
        </w:rPr>
        <w:t>c</w:t>
      </w:r>
      <w:r w:rsidR="00173728" w:rsidRPr="00492007">
        <w:rPr>
          <w:rFonts w:ascii="Book Antiqua" w:eastAsia="Book Antiqua" w:hAnsi="Book Antiqua" w:cs="Book Antiqua"/>
          <w:color w:val="000000"/>
        </w:rPr>
        <w:t>omplete remission</w:t>
      </w:r>
      <w:r w:rsidRPr="00492007">
        <w:rPr>
          <w:rFonts w:ascii="Book Antiqua" w:eastAsia="Book Antiqua" w:hAnsi="Book Antiqua" w:cs="Book Antiqua"/>
          <w:color w:val="000000"/>
        </w:rPr>
        <w:t xml:space="preserve"> + PR. Disease control rate = </w:t>
      </w:r>
      <w:r w:rsidR="00173728">
        <w:rPr>
          <w:rFonts w:ascii="Book Antiqua" w:eastAsia="Book Antiqua" w:hAnsi="Book Antiqua" w:cs="Book Antiqua"/>
          <w:color w:val="000000"/>
        </w:rPr>
        <w:t>c</w:t>
      </w:r>
      <w:r w:rsidR="00173728" w:rsidRPr="00492007">
        <w:rPr>
          <w:rFonts w:ascii="Book Antiqua" w:eastAsia="Book Antiqua" w:hAnsi="Book Antiqua" w:cs="Book Antiqua"/>
          <w:color w:val="000000"/>
        </w:rPr>
        <w:t>omplete remission</w:t>
      </w:r>
      <w:r w:rsidR="00272665"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 xml:space="preserve">+ PR + </w:t>
      </w:r>
      <w:r w:rsidR="00173728">
        <w:rPr>
          <w:rFonts w:ascii="Book Antiqua" w:eastAsia="Book Antiqua" w:hAnsi="Book Antiqua" w:cs="Book Antiqua"/>
          <w:color w:val="000000"/>
        </w:rPr>
        <w:t>s</w:t>
      </w:r>
      <w:r w:rsidR="00173728" w:rsidRPr="00492007">
        <w:rPr>
          <w:rFonts w:ascii="Book Antiqua" w:eastAsia="Book Antiqua" w:hAnsi="Book Antiqua" w:cs="Book Antiqua"/>
          <w:color w:val="000000"/>
        </w:rPr>
        <w:t>table disease</w:t>
      </w:r>
      <w:r w:rsidRPr="00492007">
        <w:rPr>
          <w:rFonts w:ascii="Book Antiqua" w:eastAsia="Book Antiqua" w:hAnsi="Book Antiqua" w:cs="Book Antiqua"/>
          <w:color w:val="000000"/>
        </w:rPr>
        <w:t xml:space="preserve">. AFP was used to </w:t>
      </w:r>
      <w:r w:rsidRPr="00492007">
        <w:rPr>
          <w:rFonts w:ascii="Book Antiqua" w:eastAsia="Book Antiqua" w:hAnsi="Book Antiqua" w:cs="Book Antiqua"/>
          <w:color w:val="000000"/>
        </w:rPr>
        <w:lastRenderedPageBreak/>
        <w:t>analyze hepatic and renal function. High</w:t>
      </w:r>
      <w:r w:rsidR="00173728">
        <w:rPr>
          <w:rFonts w:ascii="Book Antiqua" w:eastAsia="Book Antiqua" w:hAnsi="Book Antiqua" w:cs="Book Antiqua"/>
          <w:color w:val="000000"/>
        </w:rPr>
        <w:t>er</w:t>
      </w:r>
      <w:r w:rsidRPr="00492007">
        <w:rPr>
          <w:rFonts w:ascii="Book Antiqua" w:eastAsia="Book Antiqua" w:hAnsi="Book Antiqua" w:cs="Book Antiqua"/>
          <w:color w:val="000000"/>
        </w:rPr>
        <w:t xml:space="preserve"> AFP is associated with great</w:t>
      </w:r>
      <w:r w:rsidR="00173728">
        <w:rPr>
          <w:rFonts w:ascii="Book Antiqua" w:eastAsia="Book Antiqua" w:hAnsi="Book Antiqua" w:cs="Book Antiqua"/>
          <w:color w:val="000000"/>
        </w:rPr>
        <w:t>er</w:t>
      </w:r>
      <w:r w:rsidRPr="00492007">
        <w:rPr>
          <w:rFonts w:ascii="Book Antiqua" w:eastAsia="Book Antiqua" w:hAnsi="Book Antiqua" w:cs="Book Antiqua"/>
          <w:color w:val="000000"/>
        </w:rPr>
        <w:t xml:space="preserve"> hepatic injury. In addition, adverse reactions were compared between the two groups.</w:t>
      </w:r>
    </w:p>
    <w:p w14:paraId="1E7EECA8" w14:textId="77777777" w:rsidR="00A77B3E" w:rsidRPr="00492007" w:rsidRDefault="00A77B3E" w:rsidP="00492007">
      <w:pPr>
        <w:adjustRightInd w:val="0"/>
        <w:snapToGrid w:val="0"/>
        <w:spacing w:line="360" w:lineRule="auto"/>
        <w:jc w:val="both"/>
        <w:rPr>
          <w:rFonts w:ascii="Book Antiqua" w:hAnsi="Book Antiqua"/>
        </w:rPr>
      </w:pPr>
    </w:p>
    <w:p w14:paraId="0649A86D" w14:textId="77777777" w:rsidR="00A77B3E" w:rsidRPr="00492007" w:rsidRDefault="00B6516B" w:rsidP="00492007">
      <w:pPr>
        <w:adjustRightInd w:val="0"/>
        <w:snapToGrid w:val="0"/>
        <w:spacing w:line="360" w:lineRule="auto"/>
        <w:jc w:val="both"/>
        <w:rPr>
          <w:rFonts w:ascii="Book Antiqua" w:hAnsi="Book Antiqua"/>
          <w:i/>
          <w:iCs/>
        </w:rPr>
      </w:pPr>
      <w:r w:rsidRPr="00492007">
        <w:rPr>
          <w:rFonts w:ascii="Book Antiqua" w:eastAsia="Book Antiqua" w:hAnsi="Book Antiqua" w:cs="Book Antiqua"/>
          <w:b/>
          <w:bCs/>
          <w:i/>
          <w:iCs/>
          <w:color w:val="000000"/>
        </w:rPr>
        <w:t>Statistical analysis</w:t>
      </w:r>
    </w:p>
    <w:p w14:paraId="52CF0456" w14:textId="7CD6AF91"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SPSS22.0 software was used for data processing. Student</w:t>
      </w:r>
      <w:r w:rsidR="00173728">
        <w:rPr>
          <w:rFonts w:ascii="Book Antiqua" w:eastAsia="Book Antiqua" w:hAnsi="Book Antiqua" w:cs="Book Antiqua"/>
          <w:color w:val="000000"/>
        </w:rPr>
        <w:t>’s</w:t>
      </w:r>
      <w:r w:rsidRPr="00492007">
        <w:rPr>
          <w:rFonts w:ascii="Book Antiqua" w:eastAsia="Book Antiqua" w:hAnsi="Book Antiqua" w:cs="Book Antiqua"/>
          <w:color w:val="000000"/>
        </w:rPr>
        <w:t xml:space="preserve"> </w:t>
      </w:r>
      <w:r w:rsidRPr="00492007">
        <w:rPr>
          <w:rFonts w:ascii="Book Antiqua" w:eastAsia="Book Antiqua" w:hAnsi="Book Antiqua" w:cs="Book Antiqua"/>
          <w:i/>
          <w:iCs/>
          <w:color w:val="000000"/>
        </w:rPr>
        <w:t>t</w:t>
      </w:r>
      <w:r w:rsidRPr="00492007">
        <w:rPr>
          <w:rFonts w:ascii="Book Antiqua" w:eastAsia="Book Antiqua" w:hAnsi="Book Antiqua" w:cs="Book Antiqua"/>
          <w:color w:val="000000"/>
        </w:rPr>
        <w:t xml:space="preserve"> test was used for quantitative variables</w:t>
      </w:r>
      <w:r w:rsidR="00173728">
        <w:rPr>
          <w:rFonts w:ascii="Book Antiqua" w:eastAsia="Book Antiqua" w:hAnsi="Book Antiqua" w:cs="Book Antiqua"/>
          <w:color w:val="000000"/>
        </w:rPr>
        <w:t>,</w:t>
      </w:r>
      <w:r w:rsidRPr="00492007">
        <w:rPr>
          <w:rFonts w:ascii="Book Antiqua" w:eastAsia="Book Antiqua" w:hAnsi="Book Antiqua" w:cs="Book Antiqua"/>
          <w:color w:val="000000"/>
        </w:rPr>
        <w:t xml:space="preserve"> which was reported with mean ± </w:t>
      </w:r>
      <w:r w:rsidR="0080349C">
        <w:rPr>
          <w:rFonts w:ascii="Book Antiqua" w:eastAsia="Book Antiqua" w:hAnsi="Book Antiqua" w:cs="Book Antiqua"/>
          <w:color w:val="000000"/>
        </w:rPr>
        <w:t>SD</w:t>
      </w:r>
      <w:r w:rsidRPr="00492007">
        <w:rPr>
          <w:rFonts w:ascii="Book Antiqua" w:eastAsia="Book Antiqua" w:hAnsi="Book Antiqua" w:cs="Book Antiqua"/>
          <w:color w:val="000000"/>
        </w:rPr>
        <w:t xml:space="preserve">. </w:t>
      </w:r>
      <w:r w:rsidR="00272665" w:rsidRPr="00492007">
        <w:rPr>
          <w:rFonts w:ascii="Book Antiqua" w:eastAsia="Book Antiqua" w:hAnsi="Book Antiqua" w:cs="Book Antiqua"/>
          <w:i/>
          <w:iCs/>
          <w:color w:val="000000"/>
        </w:rPr>
        <w:t>χ</w:t>
      </w:r>
      <w:r w:rsidR="00272665" w:rsidRPr="00492007">
        <w:rPr>
          <w:rFonts w:ascii="Book Antiqua" w:eastAsia="Book Antiqua" w:hAnsi="Book Antiqua" w:cs="Book Antiqua"/>
          <w:color w:val="000000"/>
          <w:vertAlign w:val="superscript"/>
        </w:rPr>
        <w:t>2</w:t>
      </w:r>
      <w:r w:rsidRPr="00492007">
        <w:rPr>
          <w:rFonts w:ascii="Book Antiqua" w:eastAsia="Book Antiqua" w:hAnsi="Book Antiqua" w:cs="Book Antiqua"/>
          <w:color w:val="000000"/>
        </w:rPr>
        <w:t xml:space="preserve"> test was used for qualitative variables and was presented as (%). </w:t>
      </w:r>
      <w:r w:rsidRPr="00492007">
        <w:rPr>
          <w:rFonts w:ascii="Book Antiqua" w:eastAsia="Book Antiqua" w:hAnsi="Book Antiqua" w:cs="Book Antiqua"/>
          <w:i/>
          <w:iCs/>
          <w:color w:val="000000"/>
        </w:rPr>
        <w:t>P</w:t>
      </w:r>
      <w:r w:rsidRPr="00492007">
        <w:rPr>
          <w:rFonts w:ascii="Book Antiqua" w:eastAsia="Book Antiqua" w:hAnsi="Book Antiqua" w:cs="Book Antiqua"/>
          <w:color w:val="000000"/>
        </w:rPr>
        <w:t xml:space="preserve"> &lt; 0.05 represented a significant difference.</w:t>
      </w:r>
    </w:p>
    <w:p w14:paraId="6AE62D8F" w14:textId="77777777" w:rsidR="00A77B3E" w:rsidRPr="00492007" w:rsidRDefault="00A77B3E" w:rsidP="00492007">
      <w:pPr>
        <w:adjustRightInd w:val="0"/>
        <w:snapToGrid w:val="0"/>
        <w:spacing w:line="360" w:lineRule="auto"/>
        <w:jc w:val="both"/>
        <w:rPr>
          <w:rFonts w:ascii="Book Antiqua" w:hAnsi="Book Antiqua"/>
        </w:rPr>
      </w:pPr>
    </w:p>
    <w:p w14:paraId="1B6EAA62"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aps/>
          <w:color w:val="000000"/>
          <w:u w:val="single"/>
        </w:rPr>
        <w:t>RESULTS</w:t>
      </w:r>
    </w:p>
    <w:p w14:paraId="215DDDE7" w14:textId="57F29B8A" w:rsidR="006E55D2" w:rsidRPr="00492007" w:rsidRDefault="00173728" w:rsidP="00492007">
      <w:pPr>
        <w:adjustRightInd w:val="0"/>
        <w:snapToGrid w:val="0"/>
        <w:spacing w:line="360" w:lineRule="auto"/>
        <w:jc w:val="both"/>
        <w:rPr>
          <w:rFonts w:ascii="Book Antiqua" w:hAnsi="Book Antiqua"/>
        </w:rPr>
      </w:pPr>
      <w:r>
        <w:rPr>
          <w:rFonts w:ascii="Book Antiqua" w:eastAsia="Book Antiqua" w:hAnsi="Book Antiqua" w:cs="Book Antiqua"/>
          <w:color w:val="000000"/>
        </w:rPr>
        <w:t>P</w:t>
      </w:r>
      <w:r w:rsidR="004C4C72" w:rsidRPr="00492007">
        <w:rPr>
          <w:rFonts w:ascii="Book Antiqua" w:eastAsia="Book Antiqua" w:hAnsi="Book Antiqua" w:cs="Book Antiqua"/>
          <w:color w:val="000000"/>
        </w:rPr>
        <w:t>rogress</w:t>
      </w:r>
      <w:r w:rsidR="004C4C72">
        <w:rPr>
          <w:rFonts w:ascii="Book Antiqua" w:eastAsia="Book Antiqua" w:hAnsi="Book Antiqua" w:cs="Book Antiqua"/>
          <w:color w:val="000000"/>
        </w:rPr>
        <w:t>ion</w:t>
      </w:r>
      <w:r w:rsidR="004C4C72" w:rsidRPr="00492007">
        <w:rPr>
          <w:rFonts w:ascii="Book Antiqua" w:eastAsia="Book Antiqua" w:hAnsi="Book Antiqua" w:cs="Book Antiqua"/>
          <w:color w:val="000000"/>
        </w:rPr>
        <w:t>-free survival</w:t>
      </w:r>
      <w:r w:rsidRPr="00492007">
        <w:rPr>
          <w:rFonts w:ascii="Book Antiqua" w:eastAsia="Book Antiqua" w:hAnsi="Book Antiqua" w:cs="Book Antiqua"/>
          <w:color w:val="000000"/>
        </w:rPr>
        <w:t xml:space="preserve"> was 14 </w:t>
      </w:r>
      <w:proofErr w:type="spellStart"/>
      <w:proofErr w:type="gramStart"/>
      <w:r w:rsidRPr="00492007">
        <w:rPr>
          <w:rFonts w:ascii="Book Antiqua" w:eastAsia="Book Antiqua" w:hAnsi="Book Antiqua" w:cs="Book Antiqua"/>
          <w:color w:val="000000"/>
        </w:rPr>
        <w:t>mo</w:t>
      </w:r>
      <w:proofErr w:type="spellEnd"/>
      <w:proofErr w:type="gramEnd"/>
      <w:r w:rsidRPr="00492007">
        <w:rPr>
          <w:rFonts w:ascii="Book Antiqua" w:eastAsia="Book Antiqua" w:hAnsi="Book Antiqua" w:cs="Book Antiqua"/>
          <w:color w:val="000000"/>
        </w:rPr>
        <w:t xml:space="preserve"> in the observation group</w:t>
      </w:r>
      <w:r>
        <w:rPr>
          <w:rFonts w:ascii="Book Antiqua" w:eastAsia="Book Antiqua" w:hAnsi="Book Antiqua" w:cs="Book Antiqua"/>
          <w:color w:val="000000"/>
        </w:rPr>
        <w:t>,</w:t>
      </w:r>
      <w:r w:rsidRPr="00492007">
        <w:rPr>
          <w:rFonts w:ascii="Book Antiqua" w:eastAsia="Book Antiqua" w:hAnsi="Book Antiqua" w:cs="Book Antiqua"/>
          <w:color w:val="000000"/>
        </w:rPr>
        <w:t xml:space="preserve"> which was higher than 9 </w:t>
      </w:r>
      <w:proofErr w:type="spellStart"/>
      <w:r w:rsidRPr="00492007">
        <w:rPr>
          <w:rFonts w:ascii="Book Antiqua" w:eastAsia="Book Antiqua" w:hAnsi="Book Antiqua" w:cs="Book Antiqua"/>
          <w:color w:val="000000"/>
        </w:rPr>
        <w:t>mo</w:t>
      </w:r>
      <w:proofErr w:type="spellEnd"/>
      <w:r w:rsidRPr="00492007">
        <w:rPr>
          <w:rFonts w:ascii="Book Antiqua" w:eastAsia="Book Antiqua" w:hAnsi="Book Antiqua" w:cs="Book Antiqua"/>
          <w:color w:val="000000"/>
        </w:rPr>
        <w:t xml:space="preserve"> of the control group (</w:t>
      </w:r>
      <w:r w:rsidRPr="00492007">
        <w:rPr>
          <w:rFonts w:ascii="Book Antiqua" w:eastAsia="Book Antiqua" w:hAnsi="Book Antiqua" w:cs="Book Antiqua"/>
          <w:i/>
          <w:iCs/>
          <w:color w:val="000000"/>
        </w:rPr>
        <w:t>P</w:t>
      </w:r>
      <w:r w:rsidR="00613E26"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&lt; 0.05). The 6-</w:t>
      </w:r>
      <w:r>
        <w:rPr>
          <w:rFonts w:ascii="Book Antiqua" w:eastAsia="Book Antiqua" w:hAnsi="Book Antiqua" w:cs="Book Antiqua"/>
          <w:color w:val="000000"/>
        </w:rPr>
        <w:t>mo</w:t>
      </w:r>
      <w:r w:rsidRPr="00492007">
        <w:rPr>
          <w:rFonts w:ascii="Book Antiqua" w:eastAsia="Book Antiqua" w:hAnsi="Book Antiqua" w:cs="Book Antiqua"/>
          <w:color w:val="000000"/>
        </w:rPr>
        <w:t>, 12-</w:t>
      </w:r>
      <w:r>
        <w:rPr>
          <w:rFonts w:ascii="Book Antiqua" w:eastAsia="Book Antiqua" w:hAnsi="Book Antiqua" w:cs="Book Antiqua"/>
          <w:color w:val="000000"/>
        </w:rPr>
        <w:t>mo</w:t>
      </w:r>
      <w:r w:rsidRPr="00492007">
        <w:rPr>
          <w:rFonts w:ascii="Book Antiqua" w:eastAsia="Book Antiqua" w:hAnsi="Book Antiqua" w:cs="Book Antiqua"/>
          <w:color w:val="000000"/>
        </w:rPr>
        <w:t xml:space="preserve"> and 18-</w:t>
      </w:r>
      <w:r w:rsidR="00115960" w:rsidRPr="00492007">
        <w:rPr>
          <w:rFonts w:ascii="Book Antiqua" w:eastAsia="Book Antiqua" w:hAnsi="Book Antiqua" w:cs="Book Antiqua"/>
          <w:color w:val="000000"/>
        </w:rPr>
        <w:t>mo</w:t>
      </w:r>
      <w:r w:rsidRPr="00492007">
        <w:rPr>
          <w:rFonts w:ascii="Book Antiqua" w:eastAsia="Book Antiqua" w:hAnsi="Book Antiqua" w:cs="Book Antiqua"/>
          <w:color w:val="000000"/>
        </w:rPr>
        <w:t xml:space="preserve"> survival was 93.33% (28/30), 67.77% (20/30) and 23.33% (7/30), respectively, which was higher than 83.33% (25/30), 50.00% (15/30) and 13.33% (4/30), </w:t>
      </w:r>
      <w:proofErr w:type="gramStart"/>
      <w:r w:rsidRPr="00492007">
        <w:rPr>
          <w:rFonts w:ascii="Book Antiqua" w:eastAsia="Book Antiqua" w:hAnsi="Book Antiqua" w:cs="Book Antiqua"/>
          <w:color w:val="000000"/>
        </w:rPr>
        <w:t>respectively</w:t>
      </w:r>
      <w:r>
        <w:rPr>
          <w:rFonts w:ascii="Book Antiqua" w:eastAsia="Book Antiqua" w:hAnsi="Book Antiqua" w:cs="Book Antiqua"/>
          <w:color w:val="000000"/>
        </w:rPr>
        <w:t>,</w:t>
      </w:r>
      <w:proofErr w:type="gramEnd"/>
      <w:r w:rsidRPr="00492007">
        <w:rPr>
          <w:rFonts w:ascii="Book Antiqua" w:eastAsia="Book Antiqua" w:hAnsi="Book Antiqua" w:cs="Book Antiqua"/>
          <w:color w:val="000000"/>
        </w:rPr>
        <w:t xml:space="preserve"> of the control group (all </w:t>
      </w:r>
      <w:r w:rsidRPr="00492007">
        <w:rPr>
          <w:rFonts w:ascii="Book Antiqua" w:eastAsia="Book Antiqua" w:hAnsi="Book Antiqua" w:cs="Book Antiqua"/>
          <w:i/>
          <w:iCs/>
          <w:color w:val="000000"/>
        </w:rPr>
        <w:t>P</w:t>
      </w:r>
      <w:r w:rsidRPr="00492007">
        <w:rPr>
          <w:rFonts w:ascii="Book Antiqua" w:eastAsia="Book Antiqua" w:hAnsi="Book Antiqua" w:cs="Book Antiqua"/>
          <w:color w:val="000000"/>
        </w:rPr>
        <w:t xml:space="preserve"> &lt; 0.05).</w:t>
      </w:r>
    </w:p>
    <w:p w14:paraId="4E4FF530" w14:textId="085265EF" w:rsidR="00A36B57" w:rsidRPr="00492007" w:rsidRDefault="00B6516B" w:rsidP="00492007">
      <w:pPr>
        <w:adjustRightInd w:val="0"/>
        <w:snapToGrid w:val="0"/>
        <w:spacing w:line="360" w:lineRule="auto"/>
        <w:ind w:firstLineChars="100" w:firstLine="240"/>
        <w:jc w:val="both"/>
        <w:rPr>
          <w:rFonts w:ascii="Book Antiqua" w:hAnsi="Book Antiqua"/>
        </w:rPr>
      </w:pPr>
      <w:r w:rsidRPr="00492007">
        <w:rPr>
          <w:rFonts w:ascii="Book Antiqua" w:eastAsia="Book Antiqua" w:hAnsi="Book Antiqua" w:cs="Book Antiqua"/>
          <w:color w:val="000000"/>
        </w:rPr>
        <w:t>In terms of treatment efficacy, the clinical efficacy and disease control rate was 73.33% and 93.33%, respectively, which was higher than 53.55% and 80.00%, respectively</w:t>
      </w:r>
      <w:r w:rsidR="002A51B6">
        <w:rPr>
          <w:rFonts w:ascii="Book Antiqua" w:eastAsia="Book Antiqua" w:hAnsi="Book Antiqua" w:cs="Book Antiqua"/>
          <w:color w:val="000000"/>
        </w:rPr>
        <w:t>,</w:t>
      </w:r>
      <w:r w:rsidRPr="00492007">
        <w:rPr>
          <w:rFonts w:ascii="Book Antiqua" w:eastAsia="Book Antiqua" w:hAnsi="Book Antiqua" w:cs="Book Antiqua"/>
          <w:color w:val="000000"/>
        </w:rPr>
        <w:t xml:space="preserve"> in the control group (all </w:t>
      </w:r>
      <w:r w:rsidRPr="00492007">
        <w:rPr>
          <w:rFonts w:ascii="Book Antiqua" w:eastAsia="Book Antiqua" w:hAnsi="Book Antiqua" w:cs="Book Antiqua"/>
          <w:i/>
          <w:iCs/>
          <w:color w:val="000000"/>
        </w:rPr>
        <w:t>P</w:t>
      </w:r>
      <w:r w:rsidRPr="00492007">
        <w:rPr>
          <w:rFonts w:ascii="Book Antiqua" w:eastAsia="Book Antiqua" w:hAnsi="Book Antiqua" w:cs="Book Antiqua"/>
          <w:color w:val="000000"/>
        </w:rPr>
        <w:t xml:space="preserve"> &lt; 0.05, Table 1).</w:t>
      </w:r>
    </w:p>
    <w:p w14:paraId="61B8323E" w14:textId="1145DB79" w:rsidR="0068409F" w:rsidRPr="00492007" w:rsidRDefault="002A51B6" w:rsidP="0049200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w:t>
      </w:r>
      <w:r w:rsidRPr="00492007">
        <w:rPr>
          <w:rFonts w:ascii="Book Antiqua" w:eastAsia="Book Antiqua" w:hAnsi="Book Antiqua" w:cs="Book Antiqua"/>
          <w:color w:val="000000"/>
        </w:rPr>
        <w:t>here was no significant difference in AFP between the two groups before the treatment (</w:t>
      </w:r>
      <w:r w:rsidRPr="00492007">
        <w:rPr>
          <w:rFonts w:ascii="Book Antiqua" w:eastAsia="Book Antiqua" w:hAnsi="Book Antiqua" w:cs="Book Antiqua"/>
          <w:i/>
          <w:iCs/>
          <w:color w:val="000000"/>
        </w:rPr>
        <w:t>P</w:t>
      </w:r>
      <w:r w:rsidRPr="00492007">
        <w:rPr>
          <w:rFonts w:ascii="Book Antiqua" w:eastAsia="Book Antiqua" w:hAnsi="Book Antiqua" w:cs="Book Antiqua"/>
          <w:color w:val="000000"/>
        </w:rPr>
        <w:t xml:space="preserve"> &gt; 0.05). After the treatment, AFP was </w:t>
      </w:r>
      <w:proofErr w:type="gramStart"/>
      <w:r w:rsidRPr="00492007">
        <w:rPr>
          <w:rFonts w:ascii="Book Antiqua" w:eastAsia="Book Antiqua" w:hAnsi="Book Antiqua" w:cs="Book Antiqua"/>
          <w:color w:val="000000"/>
        </w:rPr>
        <w:t xml:space="preserve">289.06 ± 76.21 </w:t>
      </w:r>
      <w:proofErr w:type="spellStart"/>
      <w:r w:rsidRPr="00492007">
        <w:rPr>
          <w:rFonts w:ascii="Book Antiqua" w:eastAsia="Book Antiqua" w:hAnsi="Book Antiqua" w:cs="Book Antiqua"/>
          <w:color w:val="000000"/>
        </w:rPr>
        <w:t>ng</w:t>
      </w:r>
      <w:proofErr w:type="spellEnd"/>
      <w:r w:rsidRPr="00492007">
        <w:rPr>
          <w:rFonts w:ascii="Book Antiqua" w:eastAsia="Book Antiqua" w:hAnsi="Book Antiqua" w:cs="Book Antiqua"/>
          <w:color w:val="000000"/>
        </w:rPr>
        <w:t>/mL in the observation group</w:t>
      </w:r>
      <w:proofErr w:type="gramEnd"/>
      <w:r w:rsidRPr="00492007">
        <w:rPr>
          <w:rFonts w:ascii="Book Antiqua" w:eastAsia="Book Antiqua" w:hAnsi="Book Antiqua" w:cs="Book Antiqua"/>
          <w:color w:val="000000"/>
        </w:rPr>
        <w:t xml:space="preserve"> and 365.01 ± 73.11 </w:t>
      </w:r>
      <w:proofErr w:type="spellStart"/>
      <w:r w:rsidRPr="00492007">
        <w:rPr>
          <w:rFonts w:ascii="Book Antiqua" w:eastAsia="Book Antiqua" w:hAnsi="Book Antiqua" w:cs="Book Antiqua"/>
          <w:color w:val="000000"/>
        </w:rPr>
        <w:t>ng</w:t>
      </w:r>
      <w:proofErr w:type="spellEnd"/>
      <w:r w:rsidRPr="00492007">
        <w:rPr>
          <w:rFonts w:ascii="Book Antiqua" w:eastAsia="Book Antiqua" w:hAnsi="Book Antiqua" w:cs="Book Antiqua"/>
          <w:color w:val="000000"/>
        </w:rPr>
        <w:t>/mL in the control group. AFP was low after the treatment compared with those before the treatment</w:t>
      </w:r>
      <w:r>
        <w:rPr>
          <w:rFonts w:ascii="Book Antiqua" w:eastAsia="Book Antiqua" w:hAnsi="Book Antiqua" w:cs="Book Antiqua"/>
          <w:color w:val="000000"/>
        </w:rPr>
        <w:t>,</w:t>
      </w:r>
      <w:r w:rsidRPr="00492007">
        <w:rPr>
          <w:rFonts w:ascii="Book Antiqua" w:eastAsia="Book Antiqua" w:hAnsi="Book Antiqua" w:cs="Book Antiqua"/>
          <w:color w:val="000000"/>
        </w:rPr>
        <w:t xml:space="preserve"> and it was significantly lower in the observation group than in the control group (all </w:t>
      </w:r>
      <w:r w:rsidRPr="00492007">
        <w:rPr>
          <w:rFonts w:ascii="Book Antiqua" w:eastAsia="Book Antiqua" w:hAnsi="Book Antiqua" w:cs="Book Antiqua"/>
          <w:i/>
          <w:iCs/>
          <w:color w:val="000000"/>
        </w:rPr>
        <w:t>P</w:t>
      </w:r>
      <w:r w:rsidRPr="00492007">
        <w:rPr>
          <w:rFonts w:ascii="Book Antiqua" w:eastAsia="Book Antiqua" w:hAnsi="Book Antiqua" w:cs="Book Antiqua"/>
          <w:color w:val="000000"/>
        </w:rPr>
        <w:t xml:space="preserve"> &lt; 0.05, Table 2). </w:t>
      </w:r>
    </w:p>
    <w:p w14:paraId="0CCE9907" w14:textId="731883E8" w:rsidR="00A77B3E" w:rsidRPr="00492007" w:rsidRDefault="00B6516B" w:rsidP="00492007">
      <w:pPr>
        <w:adjustRightInd w:val="0"/>
        <w:snapToGrid w:val="0"/>
        <w:spacing w:line="360" w:lineRule="auto"/>
        <w:ind w:firstLineChars="100" w:firstLine="240"/>
        <w:jc w:val="both"/>
        <w:rPr>
          <w:rFonts w:ascii="Book Antiqua" w:hAnsi="Book Antiqua"/>
        </w:rPr>
      </w:pPr>
      <w:r w:rsidRPr="00492007">
        <w:rPr>
          <w:rFonts w:ascii="Book Antiqua" w:eastAsia="Book Antiqua" w:hAnsi="Book Antiqua" w:cs="Book Antiqua"/>
          <w:color w:val="000000"/>
        </w:rPr>
        <w:t xml:space="preserve">After comparing adverse reactions after the treatment, </w:t>
      </w:r>
      <w:r w:rsidR="002A51B6">
        <w:rPr>
          <w:rFonts w:ascii="Book Antiqua" w:eastAsia="Book Antiqua" w:hAnsi="Book Antiqua" w:cs="Book Antiqua"/>
          <w:color w:val="000000"/>
        </w:rPr>
        <w:t xml:space="preserve">the </w:t>
      </w:r>
      <w:r w:rsidRPr="00492007">
        <w:rPr>
          <w:rFonts w:ascii="Book Antiqua" w:eastAsia="Book Antiqua" w:hAnsi="Book Antiqua" w:cs="Book Antiqua"/>
          <w:color w:val="000000"/>
        </w:rPr>
        <w:t>primary adverse reactions included nausea and vomiting, pain and fever</w:t>
      </w:r>
      <w:r w:rsidR="002A51B6">
        <w:rPr>
          <w:rFonts w:ascii="Book Antiqua" w:eastAsia="Book Antiqua" w:hAnsi="Book Antiqua" w:cs="Book Antiqua"/>
          <w:color w:val="000000"/>
        </w:rPr>
        <w:t>.</w:t>
      </w:r>
      <w:r w:rsidRPr="00492007">
        <w:rPr>
          <w:rFonts w:ascii="Book Antiqua" w:eastAsia="Book Antiqua" w:hAnsi="Book Antiqua" w:cs="Book Antiqua"/>
          <w:color w:val="000000"/>
        </w:rPr>
        <w:t xml:space="preserve"> </w:t>
      </w:r>
      <w:r w:rsidR="002A51B6">
        <w:rPr>
          <w:rFonts w:ascii="Book Antiqua" w:eastAsia="Book Antiqua" w:hAnsi="Book Antiqua" w:cs="Book Antiqua"/>
          <w:color w:val="000000"/>
        </w:rPr>
        <w:t>M</w:t>
      </w:r>
      <w:r w:rsidRPr="00492007">
        <w:rPr>
          <w:rFonts w:ascii="Book Antiqua" w:eastAsia="Book Antiqua" w:hAnsi="Book Antiqua" w:cs="Book Antiqua"/>
          <w:color w:val="000000"/>
        </w:rPr>
        <w:t xml:space="preserve">ost of them were mild to moderate. The incidence of nausea and vomiting was significantly lower in the observation group than in the control group (all </w:t>
      </w:r>
      <w:r w:rsidRPr="00492007">
        <w:rPr>
          <w:rFonts w:ascii="Book Antiqua" w:eastAsia="Book Antiqua" w:hAnsi="Book Antiqua" w:cs="Book Antiqua"/>
          <w:i/>
          <w:iCs/>
          <w:color w:val="000000"/>
        </w:rPr>
        <w:t xml:space="preserve">P </w:t>
      </w:r>
      <w:r w:rsidRPr="00492007">
        <w:rPr>
          <w:rFonts w:ascii="Book Antiqua" w:eastAsia="Book Antiqua" w:hAnsi="Book Antiqua" w:cs="Book Antiqua"/>
          <w:color w:val="000000"/>
        </w:rPr>
        <w:t>&lt; 0.05, Table 3). However, there was no significant difference in the incidence of pain and fever between the two groups (</w:t>
      </w:r>
      <w:r w:rsidRPr="00492007">
        <w:rPr>
          <w:rFonts w:ascii="Book Antiqua" w:eastAsia="Book Antiqua" w:hAnsi="Book Antiqua" w:cs="Book Antiqua"/>
          <w:i/>
          <w:iCs/>
          <w:color w:val="000000"/>
        </w:rPr>
        <w:t>P</w:t>
      </w:r>
      <w:r w:rsidRPr="00492007">
        <w:rPr>
          <w:rFonts w:ascii="Book Antiqua" w:eastAsia="Book Antiqua" w:hAnsi="Book Antiqua" w:cs="Book Antiqua"/>
          <w:color w:val="000000"/>
        </w:rPr>
        <w:t xml:space="preserve"> &gt; 0.05).</w:t>
      </w:r>
    </w:p>
    <w:p w14:paraId="6CD16C52" w14:textId="77777777" w:rsidR="00A77B3E" w:rsidRPr="00492007" w:rsidRDefault="00A77B3E" w:rsidP="00492007">
      <w:pPr>
        <w:adjustRightInd w:val="0"/>
        <w:snapToGrid w:val="0"/>
        <w:spacing w:line="360" w:lineRule="auto"/>
        <w:jc w:val="both"/>
        <w:rPr>
          <w:rFonts w:ascii="Book Antiqua" w:hAnsi="Book Antiqua"/>
        </w:rPr>
      </w:pPr>
    </w:p>
    <w:p w14:paraId="39356A45"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aps/>
          <w:color w:val="000000"/>
          <w:u w:val="single"/>
        </w:rPr>
        <w:lastRenderedPageBreak/>
        <w:t>DISCUSSION</w:t>
      </w:r>
    </w:p>
    <w:p w14:paraId="782B1332" w14:textId="53197AAC" w:rsidR="007B782C" w:rsidRDefault="00B6516B" w:rsidP="00492007">
      <w:pPr>
        <w:adjustRightInd w:val="0"/>
        <w:snapToGrid w:val="0"/>
        <w:spacing w:line="360" w:lineRule="auto"/>
        <w:jc w:val="both"/>
        <w:rPr>
          <w:rFonts w:ascii="Book Antiqua" w:eastAsia="Book Antiqua" w:hAnsi="Book Antiqua" w:cs="Book Antiqua"/>
          <w:color w:val="000000"/>
        </w:rPr>
      </w:pPr>
      <w:r w:rsidRPr="00492007">
        <w:rPr>
          <w:rFonts w:ascii="Book Antiqua" w:eastAsia="Book Antiqua" w:hAnsi="Book Antiqua" w:cs="Book Antiqua"/>
          <w:color w:val="000000"/>
        </w:rPr>
        <w:t xml:space="preserve">Currently, imaging and biopsy after resection </w:t>
      </w:r>
      <w:r w:rsidR="002A51B6">
        <w:rPr>
          <w:rFonts w:ascii="Book Antiqua" w:eastAsia="Book Antiqua" w:hAnsi="Book Antiqua" w:cs="Book Antiqua"/>
          <w:color w:val="000000"/>
        </w:rPr>
        <w:t>a</w:t>
      </w:r>
      <w:r w:rsidRPr="00492007">
        <w:rPr>
          <w:rFonts w:ascii="Book Antiqua" w:eastAsia="Book Antiqua" w:hAnsi="Book Antiqua" w:cs="Book Antiqua"/>
          <w:color w:val="000000"/>
        </w:rPr>
        <w:t xml:space="preserve">re generally used for the diagnosis of primary liver cancer. However, most patients with liver cancer develop advanced stages </w:t>
      </w:r>
      <w:r w:rsidR="002A51B6">
        <w:rPr>
          <w:rFonts w:ascii="Book Antiqua" w:eastAsia="Book Antiqua" w:hAnsi="Book Antiqua" w:cs="Book Antiqua"/>
          <w:color w:val="000000"/>
        </w:rPr>
        <w:t>before</w:t>
      </w:r>
      <w:r w:rsidRPr="00492007">
        <w:rPr>
          <w:rFonts w:ascii="Book Antiqua" w:eastAsia="Book Antiqua" w:hAnsi="Book Antiqua" w:cs="Book Antiqua"/>
          <w:color w:val="000000"/>
        </w:rPr>
        <w:t xml:space="preserve"> they </w:t>
      </w:r>
      <w:r w:rsidR="002A51B6">
        <w:rPr>
          <w:rFonts w:ascii="Book Antiqua" w:eastAsia="Book Antiqua" w:hAnsi="Book Antiqua" w:cs="Book Antiqua"/>
          <w:color w:val="000000"/>
        </w:rPr>
        <w:t>a</w:t>
      </w:r>
      <w:r w:rsidRPr="00492007">
        <w:rPr>
          <w:rFonts w:ascii="Book Antiqua" w:eastAsia="Book Antiqua" w:hAnsi="Book Antiqua" w:cs="Book Antiqua"/>
          <w:color w:val="000000"/>
        </w:rPr>
        <w:t xml:space="preserve">re diagnosed, which causes the disease </w:t>
      </w:r>
      <w:r w:rsidR="002A51B6">
        <w:rPr>
          <w:rFonts w:ascii="Book Antiqua" w:eastAsia="Book Antiqua" w:hAnsi="Book Antiqua" w:cs="Book Antiqua"/>
          <w:color w:val="000000"/>
        </w:rPr>
        <w:t xml:space="preserve">to be </w:t>
      </w:r>
      <w:r w:rsidRPr="00492007">
        <w:rPr>
          <w:rFonts w:ascii="Book Antiqua" w:eastAsia="Book Antiqua" w:hAnsi="Book Antiqua" w:cs="Book Antiqua"/>
          <w:color w:val="000000"/>
        </w:rPr>
        <w:t xml:space="preserve">hard to treat and leads to high </w:t>
      </w:r>
      <w:proofErr w:type="gramStart"/>
      <w:r w:rsidRPr="00492007">
        <w:rPr>
          <w:rFonts w:ascii="Book Antiqua" w:eastAsia="Book Antiqua" w:hAnsi="Book Antiqua" w:cs="Book Antiqua"/>
          <w:color w:val="000000"/>
        </w:rPr>
        <w:t>mortality</w:t>
      </w:r>
      <w:r w:rsidRPr="00492007">
        <w:rPr>
          <w:rFonts w:ascii="Book Antiqua" w:eastAsia="Book Antiqua" w:hAnsi="Book Antiqua" w:cs="Book Antiqua"/>
          <w:color w:val="000000"/>
          <w:vertAlign w:val="superscript"/>
        </w:rPr>
        <w:t>[</w:t>
      </w:r>
      <w:proofErr w:type="gramEnd"/>
      <w:r w:rsidRPr="00492007">
        <w:rPr>
          <w:rFonts w:ascii="Book Antiqua" w:eastAsia="Book Antiqua" w:hAnsi="Book Antiqua" w:cs="Book Antiqua"/>
          <w:color w:val="000000"/>
          <w:vertAlign w:val="superscript"/>
        </w:rPr>
        <w:t>12</w:t>
      </w:r>
      <w:r w:rsidR="00B8552B" w:rsidRPr="00492007">
        <w:rPr>
          <w:rFonts w:ascii="Book Antiqua" w:eastAsia="Book Antiqua" w:hAnsi="Book Antiqua" w:cs="Book Antiqua"/>
          <w:color w:val="000000"/>
          <w:vertAlign w:val="superscript"/>
        </w:rPr>
        <w:t>,</w:t>
      </w:r>
      <w:r w:rsidRPr="00492007">
        <w:rPr>
          <w:rFonts w:ascii="Book Antiqua" w:eastAsia="Book Antiqua" w:hAnsi="Book Antiqua" w:cs="Book Antiqua"/>
          <w:color w:val="000000"/>
          <w:vertAlign w:val="superscript"/>
        </w:rPr>
        <w:t>13]</w:t>
      </w:r>
      <w:r w:rsidRPr="00492007">
        <w:rPr>
          <w:rFonts w:ascii="Book Antiqua" w:eastAsia="Book Antiqua" w:hAnsi="Book Antiqua" w:cs="Book Antiqua"/>
          <w:color w:val="000000"/>
        </w:rPr>
        <w:t>. The optimal treatment for liver cancer is surgical resection, which can thoroughly remove the primary lesions</w:t>
      </w:r>
      <w:r w:rsidR="002A51B6">
        <w:rPr>
          <w:rFonts w:ascii="Book Antiqua" w:eastAsia="Book Antiqua" w:hAnsi="Book Antiqua" w:cs="Book Antiqua"/>
          <w:color w:val="000000"/>
        </w:rPr>
        <w:t>,</w:t>
      </w:r>
      <w:r w:rsidRPr="00492007">
        <w:rPr>
          <w:rFonts w:ascii="Book Antiqua" w:eastAsia="Book Antiqua" w:hAnsi="Book Antiqua" w:cs="Book Antiqua"/>
          <w:color w:val="000000"/>
        </w:rPr>
        <w:t xml:space="preserve"> and the recurrence rate is low. However, this therapy only applies to early-stage primary liver cancer patients with Child-Pugh class A or B and without </w:t>
      </w:r>
      <w:proofErr w:type="gramStart"/>
      <w:r w:rsidRPr="00492007">
        <w:rPr>
          <w:rFonts w:ascii="Book Antiqua" w:eastAsia="Book Antiqua" w:hAnsi="Book Antiqua" w:cs="Book Antiqua"/>
          <w:color w:val="000000"/>
        </w:rPr>
        <w:t>metastasis</w:t>
      </w:r>
      <w:r w:rsidRPr="00492007">
        <w:rPr>
          <w:rFonts w:ascii="Book Antiqua" w:eastAsia="Book Antiqua" w:hAnsi="Book Antiqua" w:cs="Book Antiqua"/>
          <w:color w:val="000000"/>
          <w:vertAlign w:val="superscript"/>
        </w:rPr>
        <w:t>[</w:t>
      </w:r>
      <w:proofErr w:type="gramEnd"/>
      <w:r w:rsidRPr="00492007">
        <w:rPr>
          <w:rFonts w:ascii="Book Antiqua" w:eastAsia="Book Antiqua" w:hAnsi="Book Antiqua" w:cs="Book Antiqua"/>
          <w:color w:val="000000"/>
          <w:vertAlign w:val="superscript"/>
        </w:rPr>
        <w:t>14</w:t>
      </w:r>
      <w:r w:rsidR="00B8552B" w:rsidRPr="00492007">
        <w:rPr>
          <w:rFonts w:ascii="Book Antiqua" w:eastAsia="Book Antiqua" w:hAnsi="Book Antiqua" w:cs="Book Antiqua"/>
          <w:color w:val="000000"/>
          <w:vertAlign w:val="superscript"/>
        </w:rPr>
        <w:t>,</w:t>
      </w:r>
      <w:r w:rsidRPr="00492007">
        <w:rPr>
          <w:rFonts w:ascii="Book Antiqua" w:eastAsia="Book Antiqua" w:hAnsi="Book Antiqua" w:cs="Book Antiqua"/>
          <w:color w:val="000000"/>
          <w:vertAlign w:val="superscript"/>
        </w:rPr>
        <w:t>15]</w:t>
      </w:r>
      <w:r w:rsidRPr="00492007">
        <w:rPr>
          <w:rFonts w:ascii="Book Antiqua" w:eastAsia="Book Antiqua" w:hAnsi="Book Antiqua" w:cs="Book Antiqua"/>
          <w:color w:val="000000"/>
        </w:rPr>
        <w:t>.</w:t>
      </w:r>
    </w:p>
    <w:p w14:paraId="23674480" w14:textId="34FED998" w:rsidR="00A40999" w:rsidRPr="00492007" w:rsidRDefault="00B6516B" w:rsidP="000639A7">
      <w:pPr>
        <w:adjustRightInd w:val="0"/>
        <w:snapToGrid w:val="0"/>
        <w:spacing w:line="360" w:lineRule="auto"/>
        <w:ind w:firstLine="240"/>
        <w:jc w:val="both"/>
        <w:rPr>
          <w:rFonts w:ascii="Book Antiqua" w:hAnsi="Book Antiqua"/>
        </w:rPr>
      </w:pPr>
      <w:r w:rsidRPr="00492007">
        <w:rPr>
          <w:rFonts w:ascii="Book Antiqua" w:eastAsia="Book Antiqua" w:hAnsi="Book Antiqua" w:cs="Book Antiqua"/>
          <w:color w:val="000000"/>
        </w:rPr>
        <w:t xml:space="preserve">For patients who were considered ineligible for surgery, the well-accepted therapy of </w:t>
      </w:r>
      <w:r w:rsidR="007B782C">
        <w:rPr>
          <w:rFonts w:ascii="Book Antiqua" w:eastAsia="Book Antiqua" w:hAnsi="Book Antiqua" w:cs="Book Antiqua"/>
          <w:color w:val="000000"/>
        </w:rPr>
        <w:t>TACE</w:t>
      </w:r>
      <w:r w:rsidRPr="00492007">
        <w:rPr>
          <w:rFonts w:ascii="Book Antiqua" w:eastAsia="Book Antiqua" w:hAnsi="Book Antiqua" w:cs="Book Antiqua"/>
          <w:color w:val="000000"/>
        </w:rPr>
        <w:t xml:space="preserve"> is used, which can effectively inhibit the development of primary liver cancer by blocking the blood flow to a tumor in the liver and cutting off </w:t>
      </w:r>
      <w:r w:rsidR="007B782C">
        <w:rPr>
          <w:rFonts w:ascii="Book Antiqua" w:eastAsia="Book Antiqua" w:hAnsi="Book Antiqua" w:cs="Book Antiqua"/>
          <w:color w:val="000000"/>
        </w:rPr>
        <w:t xml:space="preserve">the </w:t>
      </w:r>
      <w:r w:rsidRPr="00492007">
        <w:rPr>
          <w:rFonts w:ascii="Book Antiqua" w:eastAsia="Book Antiqua" w:hAnsi="Book Antiqua" w:cs="Book Antiqua"/>
          <w:color w:val="000000"/>
        </w:rPr>
        <w:t>liver tumor’s nutrient supply</w:t>
      </w:r>
      <w:r w:rsidRPr="00492007">
        <w:rPr>
          <w:rFonts w:ascii="Book Antiqua" w:eastAsia="Book Antiqua" w:hAnsi="Book Antiqua" w:cs="Book Antiqua"/>
          <w:color w:val="000000"/>
          <w:vertAlign w:val="superscript"/>
        </w:rPr>
        <w:t>[16</w:t>
      </w:r>
      <w:r w:rsidR="0095669E" w:rsidRPr="00492007">
        <w:rPr>
          <w:rFonts w:ascii="Book Antiqua" w:eastAsia="Book Antiqua" w:hAnsi="Book Antiqua" w:cs="Book Antiqua"/>
          <w:color w:val="000000"/>
          <w:vertAlign w:val="superscript"/>
        </w:rPr>
        <w:t>,</w:t>
      </w:r>
      <w:r w:rsidRPr="00492007">
        <w:rPr>
          <w:rFonts w:ascii="Book Antiqua" w:eastAsia="Book Antiqua" w:hAnsi="Book Antiqua" w:cs="Book Antiqua"/>
          <w:color w:val="000000"/>
          <w:vertAlign w:val="superscript"/>
        </w:rPr>
        <w:t>17]</w:t>
      </w:r>
      <w:r w:rsidRPr="00492007">
        <w:rPr>
          <w:rFonts w:ascii="Book Antiqua" w:eastAsia="Book Antiqua" w:hAnsi="Book Antiqua" w:cs="Book Antiqua"/>
          <w:color w:val="000000"/>
        </w:rPr>
        <w:t xml:space="preserve">. Clinical studies showed that arterial embolization using </w:t>
      </w:r>
      <w:r w:rsidR="007B782C">
        <w:rPr>
          <w:rFonts w:ascii="Book Antiqua" w:eastAsia="Book Antiqua" w:hAnsi="Book Antiqua" w:cs="Book Antiqua"/>
          <w:color w:val="000000"/>
        </w:rPr>
        <w:t xml:space="preserve">a </w:t>
      </w:r>
      <w:proofErr w:type="spellStart"/>
      <w:r w:rsidRPr="00492007">
        <w:rPr>
          <w:rFonts w:ascii="Book Antiqua" w:eastAsia="Book Antiqua" w:hAnsi="Book Antiqua" w:cs="Book Antiqua"/>
          <w:color w:val="000000"/>
        </w:rPr>
        <w:t>microcatheter</w:t>
      </w:r>
      <w:proofErr w:type="spellEnd"/>
      <w:r w:rsidRPr="00492007">
        <w:rPr>
          <w:rFonts w:ascii="Book Antiqua" w:eastAsia="Book Antiqua" w:hAnsi="Book Antiqua" w:cs="Book Antiqua"/>
          <w:color w:val="000000"/>
        </w:rPr>
        <w:t xml:space="preserve"> can directly </w:t>
      </w:r>
      <w:proofErr w:type="spellStart"/>
      <w:r w:rsidRPr="00492007">
        <w:rPr>
          <w:rFonts w:ascii="Book Antiqua" w:eastAsia="Book Antiqua" w:hAnsi="Book Antiqua" w:cs="Book Antiqua"/>
          <w:color w:val="000000"/>
        </w:rPr>
        <w:t>embolize</w:t>
      </w:r>
      <w:proofErr w:type="spellEnd"/>
      <w:r w:rsidRPr="00492007">
        <w:rPr>
          <w:rFonts w:ascii="Book Antiqua" w:eastAsia="Book Antiqua" w:hAnsi="Book Antiqua" w:cs="Book Antiqua"/>
          <w:color w:val="000000"/>
        </w:rPr>
        <w:t xml:space="preserve"> blood supply to tumors and cut off nutrient supply for tumor </w:t>
      </w:r>
      <w:proofErr w:type="gramStart"/>
      <w:r w:rsidRPr="00492007">
        <w:rPr>
          <w:rFonts w:ascii="Book Antiqua" w:eastAsia="Book Antiqua" w:hAnsi="Book Antiqua" w:cs="Book Antiqua"/>
          <w:color w:val="000000"/>
        </w:rPr>
        <w:t>growth</w:t>
      </w:r>
      <w:r w:rsidRPr="00492007">
        <w:rPr>
          <w:rFonts w:ascii="Book Antiqua" w:eastAsia="Book Antiqua" w:hAnsi="Book Antiqua" w:cs="Book Antiqua"/>
          <w:color w:val="000000"/>
          <w:vertAlign w:val="superscript"/>
        </w:rPr>
        <w:t>[</w:t>
      </w:r>
      <w:proofErr w:type="gramEnd"/>
      <w:r w:rsidRPr="00492007">
        <w:rPr>
          <w:rFonts w:ascii="Book Antiqua" w:eastAsia="Book Antiqua" w:hAnsi="Book Antiqua" w:cs="Book Antiqua"/>
          <w:color w:val="000000"/>
          <w:vertAlign w:val="superscript"/>
        </w:rPr>
        <w:t>18]</w:t>
      </w:r>
      <w:r w:rsidRPr="00492007">
        <w:rPr>
          <w:rFonts w:ascii="Book Antiqua" w:eastAsia="Book Antiqua" w:hAnsi="Book Antiqua" w:cs="Book Antiqua"/>
          <w:color w:val="000000"/>
        </w:rPr>
        <w:t xml:space="preserve">. Meanwhile, </w:t>
      </w:r>
      <w:proofErr w:type="spellStart"/>
      <w:r w:rsidRPr="00492007">
        <w:rPr>
          <w:rFonts w:ascii="Book Antiqua" w:eastAsia="Book Antiqua" w:hAnsi="Book Antiqua" w:cs="Book Antiqua"/>
          <w:color w:val="000000"/>
        </w:rPr>
        <w:t>pirarubicin</w:t>
      </w:r>
      <w:proofErr w:type="spellEnd"/>
      <w:r w:rsidR="007B782C">
        <w:rPr>
          <w:rFonts w:ascii="Book Antiqua" w:eastAsia="Book Antiqua" w:hAnsi="Book Antiqua" w:cs="Book Antiqua"/>
          <w:color w:val="000000"/>
        </w:rPr>
        <w:t>-</w:t>
      </w:r>
      <w:r w:rsidRPr="00492007">
        <w:rPr>
          <w:rFonts w:ascii="Book Antiqua" w:eastAsia="Book Antiqua" w:hAnsi="Book Antiqua" w:cs="Book Antiqua"/>
          <w:color w:val="000000"/>
        </w:rPr>
        <w:t xml:space="preserve">loaded microspheres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contribute to a thorough embolism, which may inactivate tumor cells and tissues</w:t>
      </w:r>
      <w:r w:rsidR="007B782C">
        <w:rPr>
          <w:rFonts w:ascii="Book Antiqua" w:eastAsia="Book Antiqua" w:hAnsi="Book Antiqua" w:cs="Book Antiqua"/>
          <w:color w:val="000000"/>
        </w:rPr>
        <w:t xml:space="preserve"> and</w:t>
      </w:r>
      <w:r w:rsidRPr="00492007">
        <w:rPr>
          <w:rFonts w:ascii="Book Antiqua" w:eastAsia="Book Antiqua" w:hAnsi="Book Antiqua" w:cs="Book Antiqua"/>
          <w:color w:val="000000"/>
        </w:rPr>
        <w:t xml:space="preserve"> to some extent</w:t>
      </w:r>
      <w:r w:rsidR="007B782C">
        <w:rPr>
          <w:rFonts w:ascii="Book Antiqua" w:eastAsia="Book Antiqua" w:hAnsi="Book Antiqua" w:cs="Book Antiqua"/>
          <w:color w:val="000000"/>
        </w:rPr>
        <w:t xml:space="preserve"> </w:t>
      </w:r>
      <w:r w:rsidRPr="00492007">
        <w:rPr>
          <w:rFonts w:ascii="Book Antiqua" w:eastAsia="Book Antiqua" w:hAnsi="Book Antiqua" w:cs="Book Antiqua"/>
          <w:color w:val="000000"/>
        </w:rPr>
        <w:t xml:space="preserve">inhibit tumor growth </w:t>
      </w:r>
      <w:r w:rsidR="007B782C">
        <w:rPr>
          <w:rFonts w:ascii="Book Antiqua" w:eastAsia="Book Antiqua" w:hAnsi="Book Antiqua" w:cs="Book Antiqua"/>
          <w:color w:val="000000"/>
        </w:rPr>
        <w:t>causing</w:t>
      </w:r>
      <w:r w:rsidRPr="00492007">
        <w:rPr>
          <w:rFonts w:ascii="Book Antiqua" w:eastAsia="Book Antiqua" w:hAnsi="Book Antiqua" w:cs="Book Antiqua"/>
          <w:color w:val="000000"/>
        </w:rPr>
        <w:t xml:space="preserve"> tumor atrophy and </w:t>
      </w:r>
      <w:proofErr w:type="gramStart"/>
      <w:r w:rsidRPr="00492007">
        <w:rPr>
          <w:rFonts w:ascii="Book Antiqua" w:eastAsia="Book Antiqua" w:hAnsi="Book Antiqua" w:cs="Book Antiqua"/>
          <w:color w:val="000000"/>
        </w:rPr>
        <w:t>necrosis</w:t>
      </w:r>
      <w:r w:rsidRPr="00492007">
        <w:rPr>
          <w:rFonts w:ascii="Book Antiqua" w:eastAsia="Book Antiqua" w:hAnsi="Book Antiqua" w:cs="Book Antiqua"/>
          <w:color w:val="000000"/>
          <w:vertAlign w:val="superscript"/>
        </w:rPr>
        <w:t>[</w:t>
      </w:r>
      <w:proofErr w:type="gramEnd"/>
      <w:r w:rsidRPr="00492007">
        <w:rPr>
          <w:rFonts w:ascii="Book Antiqua" w:eastAsia="Book Antiqua" w:hAnsi="Book Antiqua" w:cs="Book Antiqua"/>
          <w:color w:val="000000"/>
          <w:vertAlign w:val="superscript"/>
        </w:rPr>
        <w:t>19</w:t>
      </w:r>
      <w:r w:rsidR="00A40999" w:rsidRPr="00492007">
        <w:rPr>
          <w:rFonts w:ascii="Book Antiqua" w:eastAsia="Book Antiqua" w:hAnsi="Book Antiqua" w:cs="Book Antiqua"/>
          <w:color w:val="000000"/>
          <w:vertAlign w:val="superscript"/>
        </w:rPr>
        <w:t>,</w:t>
      </w:r>
      <w:r w:rsidRPr="00492007">
        <w:rPr>
          <w:rFonts w:ascii="Book Antiqua" w:eastAsia="Book Antiqua" w:hAnsi="Book Antiqua" w:cs="Book Antiqua"/>
          <w:color w:val="000000"/>
          <w:vertAlign w:val="superscript"/>
        </w:rPr>
        <w:t>20]</w:t>
      </w:r>
      <w:r w:rsidRPr="00492007">
        <w:rPr>
          <w:rFonts w:ascii="Book Antiqua" w:eastAsia="Book Antiqua" w:hAnsi="Book Antiqua" w:cs="Book Antiqua"/>
          <w:color w:val="000000"/>
        </w:rPr>
        <w:t xml:space="preserve">. Moreover, hepatic artery embolization using </w:t>
      </w:r>
      <w:proofErr w:type="spellStart"/>
      <w:r w:rsidRPr="00492007">
        <w:rPr>
          <w:rFonts w:ascii="Book Antiqua" w:eastAsia="Book Antiqua" w:hAnsi="Book Antiqua" w:cs="Book Antiqua"/>
          <w:color w:val="000000"/>
        </w:rPr>
        <w:t>lipiodol</w:t>
      </w:r>
      <w:proofErr w:type="spellEnd"/>
      <w:r w:rsidRPr="00492007">
        <w:rPr>
          <w:rFonts w:ascii="Book Antiqua" w:eastAsia="Book Antiqua" w:hAnsi="Book Antiqua" w:cs="Book Antiqua"/>
          <w:color w:val="000000"/>
        </w:rPr>
        <w:t xml:space="preserve">-based emulsion alone can easily lead to hepatic necrosis or biliary duct necrosis, which may increase the burden of liver </w:t>
      </w:r>
      <w:proofErr w:type="gramStart"/>
      <w:r w:rsidRPr="00492007">
        <w:rPr>
          <w:rFonts w:ascii="Book Antiqua" w:eastAsia="Book Antiqua" w:hAnsi="Book Antiqua" w:cs="Book Antiqua"/>
          <w:color w:val="000000"/>
        </w:rPr>
        <w:t>function</w:t>
      </w:r>
      <w:r w:rsidRPr="00492007">
        <w:rPr>
          <w:rFonts w:ascii="Book Antiqua" w:eastAsia="Book Antiqua" w:hAnsi="Book Antiqua" w:cs="Book Antiqua"/>
          <w:color w:val="000000"/>
          <w:vertAlign w:val="superscript"/>
        </w:rPr>
        <w:t>[</w:t>
      </w:r>
      <w:proofErr w:type="gramEnd"/>
      <w:r w:rsidRPr="00492007">
        <w:rPr>
          <w:rFonts w:ascii="Book Antiqua" w:eastAsia="Book Antiqua" w:hAnsi="Book Antiqua" w:cs="Book Antiqua"/>
          <w:color w:val="000000"/>
          <w:vertAlign w:val="superscript"/>
        </w:rPr>
        <w:t>21</w:t>
      </w:r>
      <w:r w:rsidR="00A40999" w:rsidRPr="00492007">
        <w:rPr>
          <w:rFonts w:ascii="Book Antiqua" w:eastAsia="Book Antiqua" w:hAnsi="Book Antiqua" w:cs="Book Antiqua"/>
          <w:color w:val="000000"/>
          <w:vertAlign w:val="superscript"/>
        </w:rPr>
        <w:t>,</w:t>
      </w:r>
      <w:r w:rsidRPr="00492007">
        <w:rPr>
          <w:rFonts w:ascii="Book Antiqua" w:eastAsia="Book Antiqua" w:hAnsi="Book Antiqua" w:cs="Book Antiqua"/>
          <w:color w:val="000000"/>
          <w:vertAlign w:val="superscript"/>
        </w:rPr>
        <w:t>22]</w:t>
      </w:r>
      <w:r w:rsidRPr="00492007">
        <w:rPr>
          <w:rFonts w:ascii="Book Antiqua" w:eastAsia="Book Antiqua" w:hAnsi="Book Antiqua" w:cs="Book Antiqua"/>
          <w:color w:val="000000"/>
        </w:rPr>
        <w:t xml:space="preserve">. Favorably, microsphere embolism can effectively reduce tumor feeding arteries, </w:t>
      </w:r>
      <w:proofErr w:type="spellStart"/>
      <w:r w:rsidRPr="00492007">
        <w:rPr>
          <w:rFonts w:ascii="Book Antiqua" w:eastAsia="Book Antiqua" w:hAnsi="Book Antiqua" w:cs="Book Antiqua"/>
          <w:color w:val="000000"/>
        </w:rPr>
        <w:t>embolize</w:t>
      </w:r>
      <w:proofErr w:type="spellEnd"/>
      <w:r w:rsidRPr="00492007">
        <w:rPr>
          <w:rFonts w:ascii="Book Antiqua" w:eastAsia="Book Antiqua" w:hAnsi="Book Antiqua" w:cs="Book Antiqua"/>
          <w:color w:val="000000"/>
        </w:rPr>
        <w:t xml:space="preserve"> tumors, reduce establishment of collateral circulation for incomplete tumor necrosis and cut off nutrient supply for tumor </w:t>
      </w:r>
      <w:proofErr w:type="gramStart"/>
      <w:r w:rsidRPr="00492007">
        <w:rPr>
          <w:rFonts w:ascii="Book Antiqua" w:eastAsia="Book Antiqua" w:hAnsi="Book Antiqua" w:cs="Book Antiqua"/>
          <w:color w:val="000000"/>
        </w:rPr>
        <w:t>growth</w:t>
      </w:r>
      <w:r w:rsidRPr="00492007">
        <w:rPr>
          <w:rFonts w:ascii="Book Antiqua" w:eastAsia="Book Antiqua" w:hAnsi="Book Antiqua" w:cs="Book Antiqua"/>
          <w:color w:val="000000"/>
          <w:vertAlign w:val="superscript"/>
        </w:rPr>
        <w:t>[</w:t>
      </w:r>
      <w:proofErr w:type="gramEnd"/>
      <w:r w:rsidRPr="00492007">
        <w:rPr>
          <w:rFonts w:ascii="Book Antiqua" w:eastAsia="Book Antiqua" w:hAnsi="Book Antiqua" w:cs="Book Antiqua"/>
          <w:color w:val="000000"/>
          <w:vertAlign w:val="superscript"/>
        </w:rPr>
        <w:t>23]</w:t>
      </w:r>
      <w:r w:rsidRPr="00492007">
        <w:rPr>
          <w:rFonts w:ascii="Book Antiqua" w:eastAsia="Book Antiqua" w:hAnsi="Book Antiqua" w:cs="Book Antiqua"/>
          <w:color w:val="000000"/>
        </w:rPr>
        <w:t>.</w:t>
      </w:r>
    </w:p>
    <w:p w14:paraId="3435877F" w14:textId="6B05C5AE" w:rsidR="007B782C" w:rsidRDefault="00B6516B" w:rsidP="00492007">
      <w:pPr>
        <w:adjustRightInd w:val="0"/>
        <w:snapToGrid w:val="0"/>
        <w:spacing w:line="360" w:lineRule="auto"/>
        <w:ind w:firstLineChars="100" w:firstLine="240"/>
        <w:jc w:val="both"/>
        <w:rPr>
          <w:rFonts w:ascii="Book Antiqua" w:eastAsia="Book Antiqua" w:hAnsi="Book Antiqua" w:cs="Book Antiqua"/>
          <w:color w:val="000000"/>
        </w:rPr>
      </w:pPr>
      <w:r w:rsidRPr="00492007">
        <w:rPr>
          <w:rFonts w:ascii="Book Antiqua" w:eastAsia="Book Antiqua" w:hAnsi="Book Antiqua" w:cs="Book Antiqua"/>
          <w:color w:val="000000"/>
        </w:rPr>
        <w:t xml:space="preserve">Microspheres loaded with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can facilitate concentration</w:t>
      </w:r>
      <w:r w:rsidR="007B782C">
        <w:rPr>
          <w:rFonts w:ascii="Book Antiqua" w:eastAsia="Book Antiqua" w:hAnsi="Book Antiqua" w:cs="Book Antiqua"/>
          <w:color w:val="000000"/>
        </w:rPr>
        <w:t>s</w:t>
      </w:r>
      <w:r w:rsidRPr="00492007">
        <w:rPr>
          <w:rFonts w:ascii="Book Antiqua" w:eastAsia="Book Antiqua" w:hAnsi="Book Antiqua" w:cs="Book Antiqua"/>
          <w:color w:val="000000"/>
        </w:rPr>
        <w:t xml:space="preserve"> of chemotherapeutic agents to a high level for a prolonged period in local tumors. In this way, concentration</w:t>
      </w:r>
      <w:r w:rsidR="007B782C">
        <w:rPr>
          <w:rFonts w:ascii="Book Antiqua" w:eastAsia="Book Antiqua" w:hAnsi="Book Antiqua" w:cs="Book Antiqua"/>
          <w:color w:val="000000"/>
        </w:rPr>
        <w:t>s</w:t>
      </w:r>
      <w:r w:rsidRPr="00492007">
        <w:rPr>
          <w:rFonts w:ascii="Book Antiqua" w:eastAsia="Book Antiqua" w:hAnsi="Book Antiqua" w:cs="Book Antiqua"/>
          <w:color w:val="000000"/>
        </w:rPr>
        <w:t xml:space="preserve"> of chemotherapeutic agents in the systemic circulation was reduced thus mitigating adverse effects of these agents in other organ systems and to lower the incidence of complications. The present study manifested that </w:t>
      </w:r>
      <w:proofErr w:type="spellStart"/>
      <w:r w:rsidRPr="00492007">
        <w:rPr>
          <w:rFonts w:ascii="Book Antiqua" w:eastAsia="Book Antiqua" w:hAnsi="Book Antiqua" w:cs="Book Antiqua"/>
          <w:color w:val="000000"/>
        </w:rPr>
        <w:t>pirarubicin</w:t>
      </w:r>
      <w:proofErr w:type="spellEnd"/>
      <w:r w:rsidR="007B782C">
        <w:rPr>
          <w:rFonts w:ascii="Book Antiqua" w:eastAsia="Book Antiqua" w:hAnsi="Book Antiqua" w:cs="Book Antiqua"/>
          <w:color w:val="000000"/>
        </w:rPr>
        <w:t>-</w:t>
      </w:r>
      <w:r w:rsidRPr="00492007">
        <w:rPr>
          <w:rFonts w:ascii="Book Antiqua" w:eastAsia="Book Antiqua" w:hAnsi="Book Antiqua" w:cs="Book Antiqua"/>
          <w:color w:val="000000"/>
        </w:rPr>
        <w:t xml:space="preserve">loaded microspheres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can extend survival in patients undergoing TACE. The 6-</w:t>
      </w:r>
      <w:r w:rsidR="007B782C">
        <w:rPr>
          <w:rFonts w:ascii="Book Antiqua" w:eastAsia="Book Antiqua" w:hAnsi="Book Antiqua" w:cs="Book Antiqua"/>
          <w:color w:val="000000"/>
        </w:rPr>
        <w:t>mo</w:t>
      </w:r>
      <w:r w:rsidRPr="00492007">
        <w:rPr>
          <w:rFonts w:ascii="Book Antiqua" w:eastAsia="Book Antiqua" w:hAnsi="Book Antiqua" w:cs="Book Antiqua"/>
          <w:color w:val="000000"/>
        </w:rPr>
        <w:t>, 12-</w:t>
      </w:r>
      <w:r w:rsidR="007B782C">
        <w:rPr>
          <w:rFonts w:ascii="Book Antiqua" w:eastAsia="Book Antiqua" w:hAnsi="Book Antiqua" w:cs="Book Antiqua"/>
          <w:color w:val="000000"/>
        </w:rPr>
        <w:t>mo</w:t>
      </w:r>
      <w:r w:rsidRPr="00492007">
        <w:rPr>
          <w:rFonts w:ascii="Book Antiqua" w:eastAsia="Book Antiqua" w:hAnsi="Book Antiqua" w:cs="Book Antiqua"/>
          <w:color w:val="000000"/>
        </w:rPr>
        <w:t xml:space="preserve"> and 18-month survival was higher in </w:t>
      </w:r>
      <w:r w:rsidRPr="00492007">
        <w:rPr>
          <w:rFonts w:ascii="Book Antiqua" w:eastAsia="Book Antiqua" w:hAnsi="Book Antiqua" w:cs="Book Antiqua"/>
          <w:color w:val="000000"/>
        </w:rPr>
        <w:lastRenderedPageBreak/>
        <w:t xml:space="preserve">patients receiving </w:t>
      </w:r>
      <w:proofErr w:type="spellStart"/>
      <w:r w:rsidRPr="00492007">
        <w:rPr>
          <w:rFonts w:ascii="Book Antiqua" w:eastAsia="Book Antiqua" w:hAnsi="Book Antiqua" w:cs="Book Antiqua"/>
          <w:color w:val="000000"/>
        </w:rPr>
        <w:t>pirarubicin</w:t>
      </w:r>
      <w:proofErr w:type="spellEnd"/>
      <w:r w:rsidR="007B782C">
        <w:rPr>
          <w:rFonts w:ascii="Book Antiqua" w:eastAsia="Book Antiqua" w:hAnsi="Book Antiqua" w:cs="Book Antiqua"/>
          <w:color w:val="000000"/>
        </w:rPr>
        <w:t>-</w:t>
      </w:r>
      <w:r w:rsidRPr="00492007">
        <w:rPr>
          <w:rFonts w:ascii="Book Antiqua" w:eastAsia="Book Antiqua" w:hAnsi="Book Antiqua" w:cs="Book Antiqua"/>
          <w:color w:val="000000"/>
        </w:rPr>
        <w:t xml:space="preserve">loaded microspheres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than </w:t>
      </w:r>
      <w:proofErr w:type="gramStart"/>
      <w:r w:rsidRPr="00492007">
        <w:rPr>
          <w:rFonts w:ascii="Book Antiqua" w:eastAsia="Book Antiqua" w:hAnsi="Book Antiqua" w:cs="Book Antiqua"/>
          <w:color w:val="000000"/>
        </w:rPr>
        <w:t xml:space="preserve">those receiving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 emulsion</w:t>
      </w:r>
      <w:proofErr w:type="gramEnd"/>
      <w:r w:rsidRPr="00492007">
        <w:rPr>
          <w:rFonts w:ascii="Book Antiqua" w:eastAsia="Book Antiqua" w:hAnsi="Book Antiqua" w:cs="Book Antiqua"/>
          <w:color w:val="000000"/>
        </w:rPr>
        <w:t xml:space="preserve"> with </w:t>
      </w:r>
      <w:proofErr w:type="spellStart"/>
      <w:r w:rsidRPr="00492007">
        <w:rPr>
          <w:rFonts w:ascii="Book Antiqua" w:eastAsia="Book Antiqua" w:hAnsi="Book Antiqua" w:cs="Book Antiqua"/>
          <w:color w:val="000000"/>
        </w:rPr>
        <w:t>lipiodol</w:t>
      </w:r>
      <w:proofErr w:type="spellEnd"/>
      <w:r w:rsidRPr="00492007">
        <w:rPr>
          <w:rFonts w:ascii="Book Antiqua" w:eastAsia="Book Antiqua" w:hAnsi="Book Antiqua" w:cs="Book Antiqua"/>
          <w:color w:val="000000"/>
        </w:rPr>
        <w:t xml:space="preserve">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for TACE.</w:t>
      </w:r>
    </w:p>
    <w:p w14:paraId="51871BA1" w14:textId="03572B65" w:rsidR="00A77B3E" w:rsidRPr="00492007" w:rsidRDefault="00B6516B" w:rsidP="00492007">
      <w:pPr>
        <w:adjustRightInd w:val="0"/>
        <w:snapToGrid w:val="0"/>
        <w:spacing w:line="360" w:lineRule="auto"/>
        <w:ind w:firstLineChars="100" w:firstLine="240"/>
        <w:jc w:val="both"/>
        <w:rPr>
          <w:rFonts w:ascii="Book Antiqua" w:hAnsi="Book Antiqua"/>
        </w:rPr>
      </w:pPr>
      <w:r w:rsidRPr="00492007">
        <w:rPr>
          <w:rFonts w:ascii="Book Antiqua" w:eastAsia="Book Antiqua" w:hAnsi="Book Antiqua" w:cs="Book Antiqua"/>
          <w:color w:val="000000"/>
        </w:rPr>
        <w:t xml:space="preserve">Meanwhile, the clinical treatment efficacy and disease control rate was high in patients receiving </w:t>
      </w:r>
      <w:proofErr w:type="spellStart"/>
      <w:r w:rsidRPr="00492007">
        <w:rPr>
          <w:rFonts w:ascii="Book Antiqua" w:eastAsia="Book Antiqua" w:hAnsi="Book Antiqua" w:cs="Book Antiqua"/>
          <w:color w:val="000000"/>
        </w:rPr>
        <w:t>pirarubicin</w:t>
      </w:r>
      <w:proofErr w:type="spellEnd"/>
      <w:r w:rsidR="007B782C">
        <w:rPr>
          <w:rFonts w:ascii="Book Antiqua" w:eastAsia="Book Antiqua" w:hAnsi="Book Antiqua" w:cs="Book Antiqua"/>
          <w:color w:val="000000"/>
        </w:rPr>
        <w:t>-</w:t>
      </w:r>
      <w:r w:rsidRPr="00492007">
        <w:rPr>
          <w:rFonts w:ascii="Book Antiqua" w:eastAsia="Book Antiqua" w:hAnsi="Book Antiqua" w:cs="Book Antiqua"/>
          <w:color w:val="000000"/>
        </w:rPr>
        <w:t xml:space="preserve">loaded microspheres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compared with </w:t>
      </w:r>
      <w:proofErr w:type="gramStart"/>
      <w:r w:rsidRPr="00492007">
        <w:rPr>
          <w:rFonts w:ascii="Book Antiqua" w:eastAsia="Book Antiqua" w:hAnsi="Book Antiqua" w:cs="Book Antiqua"/>
          <w:color w:val="000000"/>
        </w:rPr>
        <w:t xml:space="preserve">those receiving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 emulsion</w:t>
      </w:r>
      <w:proofErr w:type="gramEnd"/>
      <w:r w:rsidRPr="00492007">
        <w:rPr>
          <w:rFonts w:ascii="Book Antiqua" w:eastAsia="Book Antiqua" w:hAnsi="Book Antiqua" w:cs="Book Antiqua"/>
          <w:color w:val="000000"/>
        </w:rPr>
        <w:t xml:space="preserve"> with </w:t>
      </w:r>
      <w:proofErr w:type="spellStart"/>
      <w:r w:rsidRPr="00492007">
        <w:rPr>
          <w:rFonts w:ascii="Book Antiqua" w:eastAsia="Book Antiqua" w:hAnsi="Book Antiqua" w:cs="Book Antiqua"/>
          <w:color w:val="000000"/>
        </w:rPr>
        <w:t>lipiodol</w:t>
      </w:r>
      <w:proofErr w:type="spellEnd"/>
      <w:r w:rsidRPr="00492007">
        <w:rPr>
          <w:rFonts w:ascii="Book Antiqua" w:eastAsia="Book Antiqua" w:hAnsi="Book Antiqua" w:cs="Book Antiqua"/>
          <w:color w:val="000000"/>
        </w:rPr>
        <w:t xml:space="preserve">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The effect of </w:t>
      </w:r>
      <w:proofErr w:type="spellStart"/>
      <w:r w:rsidRPr="00492007">
        <w:rPr>
          <w:rFonts w:ascii="Book Antiqua" w:eastAsia="Book Antiqua" w:hAnsi="Book Antiqua" w:cs="Book Antiqua"/>
          <w:color w:val="000000"/>
        </w:rPr>
        <w:t>pirarubicin</w:t>
      </w:r>
      <w:proofErr w:type="spellEnd"/>
      <w:r w:rsidR="007B782C">
        <w:rPr>
          <w:rFonts w:ascii="Book Antiqua" w:eastAsia="Book Antiqua" w:hAnsi="Book Antiqua" w:cs="Book Antiqua"/>
          <w:color w:val="000000"/>
        </w:rPr>
        <w:t>-</w:t>
      </w:r>
      <w:r w:rsidRPr="00492007">
        <w:rPr>
          <w:rFonts w:ascii="Book Antiqua" w:eastAsia="Book Antiqua" w:hAnsi="Book Antiqua" w:cs="Book Antiqua"/>
          <w:color w:val="000000"/>
        </w:rPr>
        <w:t xml:space="preserve">loaded microspheres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was relatively small</w:t>
      </w:r>
      <w:r w:rsidR="007B782C">
        <w:rPr>
          <w:rFonts w:ascii="Book Antiqua" w:eastAsia="Book Antiqua" w:hAnsi="Book Antiqua" w:cs="Book Antiqua"/>
          <w:color w:val="000000"/>
        </w:rPr>
        <w:t>,</w:t>
      </w:r>
      <w:r w:rsidRPr="00492007">
        <w:rPr>
          <w:rFonts w:ascii="Book Antiqua" w:eastAsia="Book Antiqua" w:hAnsi="Book Antiqua" w:cs="Book Antiqua"/>
          <w:color w:val="000000"/>
        </w:rPr>
        <w:t xml:space="preserve"> and the adverse reactions were mild after treatment. Further </w:t>
      </w:r>
      <w:r w:rsidR="007B782C">
        <w:rPr>
          <w:rFonts w:ascii="Book Antiqua" w:eastAsia="Book Antiqua" w:hAnsi="Book Antiqua" w:cs="Book Antiqua"/>
          <w:color w:val="000000"/>
        </w:rPr>
        <w:t>studie</w:t>
      </w:r>
      <w:r w:rsidRPr="00492007">
        <w:rPr>
          <w:rFonts w:ascii="Book Antiqua" w:eastAsia="Book Antiqua" w:hAnsi="Book Antiqua" w:cs="Book Antiqua"/>
          <w:color w:val="000000"/>
        </w:rPr>
        <w:t>s are needed to confirm these findings.</w:t>
      </w:r>
    </w:p>
    <w:p w14:paraId="473BC86E" w14:textId="77777777" w:rsidR="00A77B3E" w:rsidRPr="00492007" w:rsidRDefault="00A77B3E" w:rsidP="00492007">
      <w:pPr>
        <w:adjustRightInd w:val="0"/>
        <w:snapToGrid w:val="0"/>
        <w:spacing w:line="360" w:lineRule="auto"/>
        <w:jc w:val="both"/>
        <w:rPr>
          <w:rFonts w:ascii="Book Antiqua" w:hAnsi="Book Antiqua"/>
        </w:rPr>
      </w:pPr>
    </w:p>
    <w:p w14:paraId="5B84EEBD"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aps/>
          <w:color w:val="000000"/>
          <w:u w:val="single"/>
        </w:rPr>
        <w:t>CONCLUSION</w:t>
      </w:r>
    </w:p>
    <w:p w14:paraId="15C7AD24" w14:textId="2620B8EA"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The efficacy is good and adverse reactions are mild in patients with primary liver cancer undergoing TACE using </w:t>
      </w:r>
      <w:proofErr w:type="spellStart"/>
      <w:r w:rsidRPr="00492007">
        <w:rPr>
          <w:rFonts w:ascii="Book Antiqua" w:eastAsia="Book Antiqua" w:hAnsi="Book Antiqua" w:cs="Book Antiqua"/>
          <w:color w:val="000000"/>
        </w:rPr>
        <w:t>pirarubicin</w:t>
      </w:r>
      <w:proofErr w:type="spellEnd"/>
      <w:r w:rsidR="007B782C">
        <w:rPr>
          <w:rFonts w:ascii="Book Antiqua" w:eastAsia="Book Antiqua" w:hAnsi="Book Antiqua" w:cs="Book Antiqua"/>
          <w:color w:val="000000"/>
        </w:rPr>
        <w:t>-</w:t>
      </w:r>
      <w:r w:rsidRPr="00492007">
        <w:rPr>
          <w:rFonts w:ascii="Book Antiqua" w:eastAsia="Book Antiqua" w:hAnsi="Book Antiqua" w:cs="Book Antiqua"/>
          <w:color w:val="000000"/>
        </w:rPr>
        <w:t xml:space="preserve">loaded microspheres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Large</w:t>
      </w:r>
      <w:r w:rsidR="007B782C">
        <w:rPr>
          <w:rFonts w:ascii="Book Antiqua" w:eastAsia="Book Antiqua" w:hAnsi="Book Antiqua" w:cs="Book Antiqua"/>
          <w:color w:val="000000"/>
        </w:rPr>
        <w:t>-</w:t>
      </w:r>
      <w:r w:rsidRPr="00492007">
        <w:rPr>
          <w:rFonts w:ascii="Book Antiqua" w:eastAsia="Book Antiqua" w:hAnsi="Book Antiqua" w:cs="Book Antiqua"/>
          <w:color w:val="000000"/>
        </w:rPr>
        <w:t>scale studies with long follow-up periods are needed to further investigate these results.</w:t>
      </w:r>
    </w:p>
    <w:p w14:paraId="284A07CF" w14:textId="77777777" w:rsidR="00A77B3E" w:rsidRPr="00492007" w:rsidRDefault="00A77B3E" w:rsidP="00492007">
      <w:pPr>
        <w:adjustRightInd w:val="0"/>
        <w:snapToGrid w:val="0"/>
        <w:spacing w:line="360" w:lineRule="auto"/>
        <w:jc w:val="both"/>
        <w:rPr>
          <w:rFonts w:ascii="Book Antiqua" w:hAnsi="Book Antiqua"/>
        </w:rPr>
      </w:pPr>
    </w:p>
    <w:p w14:paraId="3B1A5FD9"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aps/>
          <w:color w:val="000000"/>
          <w:u w:val="single"/>
        </w:rPr>
        <w:t>ARTICLE HIGHLIGHTS</w:t>
      </w:r>
    </w:p>
    <w:p w14:paraId="7DDBE4E4"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i/>
          <w:color w:val="000000"/>
        </w:rPr>
        <w:t>Research background</w:t>
      </w:r>
    </w:p>
    <w:p w14:paraId="77E8EF98" w14:textId="77777777" w:rsidR="00A77B3E" w:rsidRPr="00492007" w:rsidRDefault="00B6516B" w:rsidP="00492007">
      <w:pPr>
        <w:adjustRightInd w:val="0"/>
        <w:snapToGrid w:val="0"/>
        <w:spacing w:line="360" w:lineRule="auto"/>
        <w:jc w:val="both"/>
        <w:rPr>
          <w:rFonts w:ascii="Book Antiqua" w:hAnsi="Book Antiqua"/>
        </w:rPr>
      </w:pPr>
      <w:proofErr w:type="spellStart"/>
      <w:r w:rsidRPr="00492007">
        <w:rPr>
          <w:rFonts w:ascii="Book Antiqua" w:eastAsia="Book Antiqua" w:hAnsi="Book Antiqua" w:cs="Book Antiqua"/>
          <w:color w:val="000000"/>
        </w:rPr>
        <w:t>Transcatheter</w:t>
      </w:r>
      <w:proofErr w:type="spellEnd"/>
      <w:r w:rsidRPr="00492007">
        <w:rPr>
          <w:rFonts w:ascii="Book Antiqua" w:eastAsia="Book Antiqua" w:hAnsi="Book Antiqua" w:cs="Book Antiqua"/>
          <w:color w:val="000000"/>
        </w:rPr>
        <w:t xml:space="preserve"> arterial chemoembolization (TACE) using microspheres as the drug carrier and embolization agent shows good efficacy and safety for the treatment of liver cancer compared with conventional chemotherapy.</w:t>
      </w:r>
    </w:p>
    <w:p w14:paraId="3E3C824B" w14:textId="77777777" w:rsidR="00A77B3E" w:rsidRPr="00492007" w:rsidRDefault="00A77B3E" w:rsidP="00492007">
      <w:pPr>
        <w:adjustRightInd w:val="0"/>
        <w:snapToGrid w:val="0"/>
        <w:spacing w:line="360" w:lineRule="auto"/>
        <w:jc w:val="both"/>
        <w:rPr>
          <w:rFonts w:ascii="Book Antiqua" w:hAnsi="Book Antiqua"/>
        </w:rPr>
      </w:pPr>
    </w:p>
    <w:p w14:paraId="325F5CA0"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i/>
          <w:color w:val="000000"/>
        </w:rPr>
        <w:t>Research motivation</w:t>
      </w:r>
    </w:p>
    <w:p w14:paraId="0F7136C0" w14:textId="5062B103"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Data on the clinical efficacy of TACE using </w:t>
      </w:r>
      <w:proofErr w:type="spellStart"/>
      <w:r w:rsidRPr="00492007">
        <w:rPr>
          <w:rFonts w:ascii="Book Antiqua" w:eastAsia="Book Antiqua" w:hAnsi="Book Antiqua" w:cs="Book Antiqua"/>
          <w:color w:val="000000"/>
        </w:rPr>
        <w:t>pirarubicin</w:t>
      </w:r>
      <w:proofErr w:type="spellEnd"/>
      <w:r w:rsidR="00716153">
        <w:rPr>
          <w:rFonts w:ascii="Book Antiqua" w:eastAsia="Book Antiqua" w:hAnsi="Book Antiqua" w:cs="Book Antiqua"/>
          <w:color w:val="000000"/>
        </w:rPr>
        <w:t>-</w:t>
      </w:r>
      <w:r w:rsidRPr="00492007">
        <w:rPr>
          <w:rFonts w:ascii="Book Antiqua" w:eastAsia="Book Antiqua" w:hAnsi="Book Antiqua" w:cs="Book Antiqua"/>
          <w:color w:val="000000"/>
        </w:rPr>
        <w:t xml:space="preserve">loaded microspheres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is rare in China.</w:t>
      </w:r>
    </w:p>
    <w:p w14:paraId="054E2850" w14:textId="77777777" w:rsidR="00A77B3E" w:rsidRPr="00492007" w:rsidRDefault="00A77B3E" w:rsidP="00492007">
      <w:pPr>
        <w:adjustRightInd w:val="0"/>
        <w:snapToGrid w:val="0"/>
        <w:spacing w:line="360" w:lineRule="auto"/>
        <w:jc w:val="both"/>
        <w:rPr>
          <w:rFonts w:ascii="Book Antiqua" w:hAnsi="Book Antiqua"/>
        </w:rPr>
      </w:pPr>
    </w:p>
    <w:p w14:paraId="4AA15B4E" w14:textId="77777777" w:rsidR="00CA3DF7"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i/>
          <w:color w:val="000000"/>
        </w:rPr>
        <w:t>Research objectives</w:t>
      </w:r>
    </w:p>
    <w:p w14:paraId="5446EA7C" w14:textId="752DAF48"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This study evaluated the effectiveness and safety of TACE using </w:t>
      </w:r>
      <w:proofErr w:type="spellStart"/>
      <w:r w:rsidRPr="00492007">
        <w:rPr>
          <w:rFonts w:ascii="Book Antiqua" w:eastAsia="Book Antiqua" w:hAnsi="Book Antiqua" w:cs="Book Antiqua"/>
          <w:color w:val="000000"/>
        </w:rPr>
        <w:t>pirarubicin</w:t>
      </w:r>
      <w:proofErr w:type="spellEnd"/>
      <w:r w:rsidR="00716153">
        <w:rPr>
          <w:rFonts w:ascii="Book Antiqua" w:eastAsia="Book Antiqua" w:hAnsi="Book Antiqua" w:cs="Book Antiqua"/>
          <w:color w:val="000000"/>
        </w:rPr>
        <w:t>-</w:t>
      </w:r>
      <w:r w:rsidRPr="00492007">
        <w:rPr>
          <w:rFonts w:ascii="Book Antiqua" w:eastAsia="Book Antiqua" w:hAnsi="Book Antiqua" w:cs="Book Antiqua"/>
          <w:color w:val="000000"/>
        </w:rPr>
        <w:t xml:space="preserve">loaded microspheres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for treatment of primary liver cancer.</w:t>
      </w:r>
    </w:p>
    <w:p w14:paraId="3F9E6DF7" w14:textId="77777777" w:rsidR="00A77B3E" w:rsidRPr="00492007" w:rsidRDefault="00A77B3E" w:rsidP="00492007">
      <w:pPr>
        <w:adjustRightInd w:val="0"/>
        <w:snapToGrid w:val="0"/>
        <w:spacing w:line="360" w:lineRule="auto"/>
        <w:jc w:val="both"/>
        <w:rPr>
          <w:rFonts w:ascii="Book Antiqua" w:hAnsi="Book Antiqua"/>
        </w:rPr>
      </w:pPr>
    </w:p>
    <w:p w14:paraId="3BED6B2E"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i/>
          <w:color w:val="000000"/>
        </w:rPr>
        <w:lastRenderedPageBreak/>
        <w:t>Research methods</w:t>
      </w:r>
    </w:p>
    <w:p w14:paraId="1E35A45F" w14:textId="5B0B43E5"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In this observational study, patients with primary liver cancer undergoing TACE were recruited at </w:t>
      </w:r>
      <w:proofErr w:type="spellStart"/>
      <w:r w:rsidRPr="00492007">
        <w:rPr>
          <w:rFonts w:ascii="Book Antiqua" w:eastAsia="Book Antiqua" w:hAnsi="Book Antiqua" w:cs="Book Antiqua"/>
          <w:color w:val="000000"/>
        </w:rPr>
        <w:t>Hebei</w:t>
      </w:r>
      <w:proofErr w:type="spellEnd"/>
      <w:r w:rsidRPr="00492007">
        <w:rPr>
          <w:rFonts w:ascii="Book Antiqua" w:eastAsia="Book Antiqua" w:hAnsi="Book Antiqua" w:cs="Book Antiqua"/>
          <w:color w:val="000000"/>
        </w:rPr>
        <w:t xml:space="preserve"> North University Affiliated First Hospital. Patients were categorized into an observation group and a control group based on different types of embolic agents</w:t>
      </w:r>
      <w:r w:rsidR="00716153">
        <w:rPr>
          <w:rFonts w:ascii="Book Antiqua" w:eastAsia="Book Antiqua" w:hAnsi="Book Antiqua" w:cs="Book Antiqua"/>
          <w:color w:val="000000"/>
        </w:rPr>
        <w:t>.</w:t>
      </w:r>
      <w:r w:rsidRPr="00492007">
        <w:rPr>
          <w:rFonts w:ascii="Book Antiqua" w:eastAsia="Book Antiqua" w:hAnsi="Book Antiqua" w:cs="Book Antiqua"/>
          <w:color w:val="000000"/>
        </w:rPr>
        <w:t xml:space="preserve"> </w:t>
      </w:r>
      <w:r w:rsidR="00716153">
        <w:rPr>
          <w:rFonts w:ascii="Book Antiqua" w:eastAsia="Book Antiqua" w:hAnsi="Book Antiqua" w:cs="Book Antiqua"/>
          <w:color w:val="000000"/>
        </w:rPr>
        <w:t>The observation group received</w:t>
      </w:r>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pirarubicin</w:t>
      </w:r>
      <w:proofErr w:type="spellEnd"/>
      <w:r w:rsidR="00716153">
        <w:rPr>
          <w:rFonts w:ascii="Book Antiqua" w:eastAsia="Book Antiqua" w:hAnsi="Book Antiqua" w:cs="Book Antiqua"/>
          <w:color w:val="000000"/>
        </w:rPr>
        <w:t>-</w:t>
      </w:r>
      <w:r w:rsidRPr="00492007">
        <w:rPr>
          <w:rFonts w:ascii="Book Antiqua" w:eastAsia="Book Antiqua" w:hAnsi="Book Antiqua" w:cs="Book Antiqua"/>
          <w:color w:val="000000"/>
        </w:rPr>
        <w:t xml:space="preserve">loaded microspheres combined with </w:t>
      </w:r>
      <w:proofErr w:type="spellStart"/>
      <w:r w:rsidRPr="00492007">
        <w:rPr>
          <w:rFonts w:ascii="Book Antiqua" w:eastAsia="Book Antiqua" w:hAnsi="Book Antiqua" w:cs="Book Antiqua"/>
          <w:color w:val="000000"/>
        </w:rPr>
        <w:t>lobaplatin</w:t>
      </w:r>
      <w:proofErr w:type="spellEnd"/>
      <w:r w:rsidR="00716153">
        <w:rPr>
          <w:rFonts w:ascii="Book Antiqua" w:eastAsia="Book Antiqua" w:hAnsi="Book Antiqua" w:cs="Book Antiqua"/>
          <w:color w:val="000000"/>
        </w:rPr>
        <w:t>,</w:t>
      </w:r>
      <w:r w:rsidRPr="00492007">
        <w:rPr>
          <w:rFonts w:ascii="Book Antiqua" w:eastAsia="Book Antiqua" w:hAnsi="Book Antiqua" w:cs="Book Antiqua"/>
          <w:color w:val="000000"/>
        </w:rPr>
        <w:t xml:space="preserve"> and </w:t>
      </w:r>
      <w:r w:rsidR="00716153">
        <w:rPr>
          <w:rFonts w:ascii="Book Antiqua" w:eastAsia="Book Antiqua" w:hAnsi="Book Antiqua" w:cs="Book Antiqua"/>
          <w:color w:val="000000"/>
        </w:rPr>
        <w:t xml:space="preserve">the control group received </w:t>
      </w:r>
      <w:r w:rsidRPr="00492007">
        <w:rPr>
          <w:rFonts w:ascii="Book Antiqua" w:eastAsia="Book Antiqua" w:hAnsi="Book Antiqua" w:cs="Book Antiqua"/>
          <w:color w:val="000000"/>
        </w:rPr>
        <w:t xml:space="preserve">conventional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 emulsion with </w:t>
      </w:r>
      <w:proofErr w:type="spellStart"/>
      <w:r w:rsidRPr="00492007">
        <w:rPr>
          <w:rFonts w:ascii="Book Antiqua" w:eastAsia="Book Antiqua" w:hAnsi="Book Antiqua" w:cs="Book Antiqua"/>
          <w:color w:val="000000"/>
        </w:rPr>
        <w:t>lipiodol</w:t>
      </w:r>
      <w:proofErr w:type="spellEnd"/>
      <w:r w:rsidRPr="00492007">
        <w:rPr>
          <w:rFonts w:ascii="Book Antiqua" w:eastAsia="Book Antiqua" w:hAnsi="Book Antiqua" w:cs="Book Antiqua"/>
          <w:color w:val="000000"/>
        </w:rPr>
        <w:t xml:space="preserve">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The primary outcomes included progression</w:t>
      </w:r>
      <w:r w:rsidR="004C4C72">
        <w:rPr>
          <w:rFonts w:ascii="Book Antiqua" w:eastAsia="Book Antiqua" w:hAnsi="Book Antiqua" w:cs="Book Antiqua"/>
          <w:color w:val="000000"/>
        </w:rPr>
        <w:t>-</w:t>
      </w:r>
      <w:r w:rsidRPr="00492007">
        <w:rPr>
          <w:rFonts w:ascii="Book Antiqua" w:eastAsia="Book Antiqua" w:hAnsi="Book Antiqua" w:cs="Book Antiqua"/>
          <w:color w:val="000000"/>
        </w:rPr>
        <w:t>free survival, overall survival, clinical response rate, disease control rate, liver and kidney function and adverse reactions.</w:t>
      </w:r>
    </w:p>
    <w:p w14:paraId="0AEF9021" w14:textId="77777777" w:rsidR="00A77B3E" w:rsidRPr="00492007" w:rsidRDefault="00A77B3E" w:rsidP="00492007">
      <w:pPr>
        <w:adjustRightInd w:val="0"/>
        <w:snapToGrid w:val="0"/>
        <w:spacing w:line="360" w:lineRule="auto"/>
        <w:jc w:val="both"/>
        <w:rPr>
          <w:rFonts w:ascii="Book Antiqua" w:hAnsi="Book Antiqua"/>
        </w:rPr>
      </w:pPr>
    </w:p>
    <w:p w14:paraId="2378FDA2"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i/>
          <w:color w:val="000000"/>
        </w:rPr>
        <w:t>Research results</w:t>
      </w:r>
    </w:p>
    <w:p w14:paraId="73A6F9CE" w14:textId="5A389104"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In general, the treatment efficacy was better in the observation group than in the control group. </w:t>
      </w:r>
      <w:r w:rsidR="00716153">
        <w:rPr>
          <w:rFonts w:ascii="Book Antiqua" w:eastAsia="Book Antiqua" w:hAnsi="Book Antiqua" w:cs="Book Antiqua"/>
          <w:color w:val="000000"/>
        </w:rPr>
        <w:t>P</w:t>
      </w:r>
      <w:r w:rsidR="004C4C72" w:rsidRPr="00492007">
        <w:rPr>
          <w:rFonts w:ascii="Book Antiqua" w:eastAsia="Book Antiqua" w:hAnsi="Book Antiqua" w:cs="Book Antiqua"/>
          <w:color w:val="000000"/>
        </w:rPr>
        <w:t>rogress</w:t>
      </w:r>
      <w:r w:rsidR="004C4C72">
        <w:rPr>
          <w:rFonts w:ascii="Book Antiqua" w:eastAsia="Book Antiqua" w:hAnsi="Book Antiqua" w:cs="Book Antiqua"/>
          <w:color w:val="000000"/>
        </w:rPr>
        <w:t>ion</w:t>
      </w:r>
      <w:r w:rsidR="004C4C72" w:rsidRPr="00492007">
        <w:rPr>
          <w:rFonts w:ascii="Book Antiqua" w:eastAsia="Book Antiqua" w:hAnsi="Book Antiqua" w:cs="Book Antiqua"/>
          <w:color w:val="000000"/>
        </w:rPr>
        <w:t>-free survival</w:t>
      </w:r>
      <w:r w:rsidRPr="00492007">
        <w:rPr>
          <w:rFonts w:ascii="Book Antiqua" w:eastAsia="Book Antiqua" w:hAnsi="Book Antiqua" w:cs="Book Antiqua"/>
          <w:color w:val="000000"/>
        </w:rPr>
        <w:t xml:space="preserve"> was higher in the observation group than in the control group. After the treatment, alpha-fetoprotein</w:t>
      </w:r>
      <w:r w:rsidR="00716153">
        <w:rPr>
          <w:rFonts w:ascii="Book Antiqua" w:eastAsia="Book Antiqua" w:hAnsi="Book Antiqua" w:cs="Book Antiqua"/>
          <w:color w:val="000000"/>
        </w:rPr>
        <w:t>,</w:t>
      </w:r>
      <w:r w:rsidRPr="00492007">
        <w:rPr>
          <w:rFonts w:ascii="Book Antiqua" w:eastAsia="Book Antiqua" w:hAnsi="Book Antiqua" w:cs="Book Antiqua"/>
          <w:color w:val="000000"/>
        </w:rPr>
        <w:t xml:space="preserve"> which represents hepatic function</w:t>
      </w:r>
      <w:r w:rsidR="00716153">
        <w:rPr>
          <w:rFonts w:ascii="Book Antiqua" w:eastAsia="Book Antiqua" w:hAnsi="Book Antiqua" w:cs="Book Antiqua"/>
          <w:color w:val="000000"/>
        </w:rPr>
        <w:t>,</w:t>
      </w:r>
      <w:r w:rsidRPr="00492007">
        <w:rPr>
          <w:rFonts w:ascii="Book Antiqua" w:eastAsia="Book Antiqua" w:hAnsi="Book Antiqua" w:cs="Book Antiqua"/>
          <w:color w:val="000000"/>
        </w:rPr>
        <w:t xml:space="preserve"> was lower in the observation group than in the control group. For the primary adverse reactions, the incidence of nausea and vomiting was lower in the observation group than in the control group. However, there was no significant difference in the incidence of pain and fever between the two groups.</w:t>
      </w:r>
    </w:p>
    <w:p w14:paraId="67CA3863" w14:textId="77777777" w:rsidR="00A77B3E" w:rsidRPr="00492007" w:rsidRDefault="00A77B3E" w:rsidP="00492007">
      <w:pPr>
        <w:adjustRightInd w:val="0"/>
        <w:snapToGrid w:val="0"/>
        <w:spacing w:line="360" w:lineRule="auto"/>
        <w:jc w:val="both"/>
        <w:rPr>
          <w:rFonts w:ascii="Book Antiqua" w:hAnsi="Book Antiqua"/>
        </w:rPr>
      </w:pPr>
    </w:p>
    <w:p w14:paraId="53E2252D"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i/>
          <w:color w:val="000000"/>
        </w:rPr>
        <w:t>Research conclusions</w:t>
      </w:r>
    </w:p>
    <w:p w14:paraId="25B908D0" w14:textId="472024B6" w:rsidR="00A77B3E" w:rsidRPr="00492007" w:rsidRDefault="00B6516B" w:rsidP="00492007">
      <w:pPr>
        <w:adjustRightInd w:val="0"/>
        <w:snapToGrid w:val="0"/>
        <w:spacing w:line="360" w:lineRule="auto"/>
        <w:jc w:val="both"/>
        <w:rPr>
          <w:rFonts w:ascii="Book Antiqua" w:hAnsi="Book Antiqua"/>
        </w:rPr>
      </w:pPr>
      <w:proofErr w:type="spellStart"/>
      <w:r w:rsidRPr="00492007">
        <w:rPr>
          <w:rFonts w:ascii="Book Antiqua" w:eastAsia="Book Antiqua" w:hAnsi="Book Antiqua" w:cs="Book Antiqua"/>
          <w:color w:val="000000"/>
        </w:rPr>
        <w:t>Pirarubicin</w:t>
      </w:r>
      <w:proofErr w:type="spellEnd"/>
      <w:r w:rsidR="00716153">
        <w:rPr>
          <w:rFonts w:ascii="Book Antiqua" w:eastAsia="Book Antiqua" w:hAnsi="Book Antiqua" w:cs="Book Antiqua"/>
          <w:color w:val="000000"/>
        </w:rPr>
        <w:t>-</w:t>
      </w:r>
      <w:r w:rsidRPr="00492007">
        <w:rPr>
          <w:rFonts w:ascii="Book Antiqua" w:eastAsia="Book Antiqua" w:hAnsi="Book Antiqua" w:cs="Book Antiqua"/>
          <w:color w:val="000000"/>
        </w:rPr>
        <w:t xml:space="preserve">loaded microspheres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can extend survival and improve hepatic function in patients undergoing TACE compared with </w:t>
      </w:r>
      <w:proofErr w:type="gramStart"/>
      <w:r w:rsidRPr="00492007">
        <w:rPr>
          <w:rFonts w:ascii="Book Antiqua" w:eastAsia="Book Antiqua" w:hAnsi="Book Antiqua" w:cs="Book Antiqua"/>
          <w:color w:val="000000"/>
        </w:rPr>
        <w:t xml:space="preserve">those receiving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 emulsion</w:t>
      </w:r>
      <w:proofErr w:type="gramEnd"/>
      <w:r w:rsidRPr="00492007">
        <w:rPr>
          <w:rFonts w:ascii="Book Antiqua" w:eastAsia="Book Antiqua" w:hAnsi="Book Antiqua" w:cs="Book Antiqua"/>
          <w:color w:val="000000"/>
        </w:rPr>
        <w:t xml:space="preserve"> with </w:t>
      </w:r>
      <w:proofErr w:type="spellStart"/>
      <w:r w:rsidRPr="00492007">
        <w:rPr>
          <w:rFonts w:ascii="Book Antiqua" w:eastAsia="Book Antiqua" w:hAnsi="Book Antiqua" w:cs="Book Antiqua"/>
          <w:color w:val="000000"/>
        </w:rPr>
        <w:t>lipiodol</w:t>
      </w:r>
      <w:proofErr w:type="spellEnd"/>
      <w:r w:rsidRPr="00492007">
        <w:rPr>
          <w:rFonts w:ascii="Book Antiqua" w:eastAsia="Book Antiqua" w:hAnsi="Book Antiqua" w:cs="Book Antiqua"/>
          <w:color w:val="000000"/>
        </w:rPr>
        <w:t xml:space="preserve"> combined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w:t>
      </w:r>
    </w:p>
    <w:p w14:paraId="4693E8C2" w14:textId="77777777" w:rsidR="00A77B3E" w:rsidRPr="00492007" w:rsidRDefault="00A77B3E" w:rsidP="00492007">
      <w:pPr>
        <w:adjustRightInd w:val="0"/>
        <w:snapToGrid w:val="0"/>
        <w:spacing w:line="360" w:lineRule="auto"/>
        <w:jc w:val="both"/>
        <w:rPr>
          <w:rFonts w:ascii="Book Antiqua" w:hAnsi="Book Antiqua"/>
        </w:rPr>
      </w:pPr>
    </w:p>
    <w:p w14:paraId="3355221C"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i/>
          <w:color w:val="000000"/>
        </w:rPr>
        <w:t>Research perspectives</w:t>
      </w:r>
    </w:p>
    <w:p w14:paraId="640A5886"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Further research is needed to better investigate the long-term efficacy and safety of cancer microsphere intervention in patients with primary liver cancer.</w:t>
      </w:r>
    </w:p>
    <w:p w14:paraId="7BF2EA09" w14:textId="77777777" w:rsidR="00A77B3E" w:rsidRPr="00492007" w:rsidRDefault="00A77B3E" w:rsidP="00492007">
      <w:pPr>
        <w:adjustRightInd w:val="0"/>
        <w:snapToGrid w:val="0"/>
        <w:spacing w:line="360" w:lineRule="auto"/>
        <w:jc w:val="both"/>
        <w:rPr>
          <w:rFonts w:ascii="Book Antiqua" w:hAnsi="Book Antiqua"/>
        </w:rPr>
      </w:pPr>
    </w:p>
    <w:p w14:paraId="310967E9"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t>REFERENCES</w:t>
      </w:r>
    </w:p>
    <w:p w14:paraId="50E42D3C" w14:textId="7C20A9FE"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lastRenderedPageBreak/>
        <w:t xml:space="preserve">1 </w:t>
      </w:r>
      <w:r w:rsidRPr="00492007">
        <w:rPr>
          <w:rFonts w:ascii="Book Antiqua" w:eastAsia="Book Antiqua" w:hAnsi="Book Antiqua" w:cs="Book Antiqua"/>
          <w:b/>
          <w:bCs/>
          <w:color w:val="000000"/>
        </w:rPr>
        <w:t>Zhang H</w:t>
      </w:r>
      <w:r w:rsidRPr="00492007">
        <w:rPr>
          <w:rFonts w:ascii="Book Antiqua" w:eastAsia="Book Antiqua" w:hAnsi="Book Antiqua" w:cs="Book Antiqua"/>
          <w:color w:val="000000"/>
        </w:rPr>
        <w:t xml:space="preserve">, Zhang QQ, </w:t>
      </w:r>
      <w:proofErr w:type="spellStart"/>
      <w:r w:rsidRPr="00492007">
        <w:rPr>
          <w:rFonts w:ascii="Book Antiqua" w:eastAsia="Book Antiqua" w:hAnsi="Book Antiqua" w:cs="Book Antiqua"/>
          <w:color w:val="000000"/>
        </w:rPr>
        <w:t>Xu</w:t>
      </w:r>
      <w:proofErr w:type="spellEnd"/>
      <w:r w:rsidRPr="00492007">
        <w:rPr>
          <w:rFonts w:ascii="Book Antiqua" w:eastAsia="Book Antiqua" w:hAnsi="Book Antiqua" w:cs="Book Antiqua"/>
          <w:color w:val="000000"/>
        </w:rPr>
        <w:t xml:space="preserve"> H, </w:t>
      </w:r>
      <w:proofErr w:type="spellStart"/>
      <w:r w:rsidRPr="00492007">
        <w:rPr>
          <w:rFonts w:ascii="Book Antiqua" w:eastAsia="Book Antiqua" w:hAnsi="Book Antiqua" w:cs="Book Antiqua"/>
          <w:color w:val="000000"/>
        </w:rPr>
        <w:t>Zu</w:t>
      </w:r>
      <w:proofErr w:type="spellEnd"/>
      <w:r w:rsidRPr="00492007">
        <w:rPr>
          <w:rFonts w:ascii="Book Antiqua" w:eastAsia="Book Antiqua" w:hAnsi="Book Antiqua" w:cs="Book Antiqua"/>
          <w:color w:val="000000"/>
        </w:rPr>
        <w:t xml:space="preserve"> MH, </w:t>
      </w:r>
      <w:proofErr w:type="spellStart"/>
      <w:r w:rsidRPr="00492007">
        <w:rPr>
          <w:rFonts w:ascii="Book Antiqua" w:eastAsia="Book Antiqua" w:hAnsi="Book Antiqua" w:cs="Book Antiqua"/>
          <w:color w:val="000000"/>
        </w:rPr>
        <w:t>Gu</w:t>
      </w:r>
      <w:proofErr w:type="spellEnd"/>
      <w:r w:rsidRPr="00492007">
        <w:rPr>
          <w:rFonts w:ascii="Book Antiqua" w:eastAsia="Book Antiqua" w:hAnsi="Book Antiqua" w:cs="Book Antiqua"/>
          <w:color w:val="000000"/>
        </w:rPr>
        <w:t xml:space="preserve"> YM, Wei N, Cui YF, Liu HT, Wang WL. </w:t>
      </w:r>
      <w:proofErr w:type="gramStart"/>
      <w:r w:rsidRPr="00492007">
        <w:rPr>
          <w:rFonts w:ascii="Book Antiqua" w:eastAsia="Book Antiqua" w:hAnsi="Book Antiqua" w:cs="Book Antiqua"/>
          <w:color w:val="000000"/>
        </w:rPr>
        <w:t xml:space="preserve">Clinical evaluation of </w:t>
      </w:r>
      <w:proofErr w:type="spellStart"/>
      <w:r w:rsidRPr="00492007">
        <w:rPr>
          <w:rFonts w:ascii="Book Antiqua" w:eastAsia="Book Antiqua" w:hAnsi="Book Antiqua" w:cs="Book Antiqua"/>
          <w:color w:val="000000"/>
        </w:rPr>
        <w:t>transcatheter</w:t>
      </w:r>
      <w:proofErr w:type="spellEnd"/>
      <w:r w:rsidRPr="00492007">
        <w:rPr>
          <w:rFonts w:ascii="Book Antiqua" w:eastAsia="Book Antiqua" w:hAnsi="Book Antiqua" w:cs="Book Antiqua"/>
          <w:color w:val="000000"/>
        </w:rPr>
        <w:t xml:space="preserve"> arterial chemoembolization using domestic </w:t>
      </w:r>
      <w:proofErr w:type="spellStart"/>
      <w:r w:rsidRPr="00492007">
        <w:rPr>
          <w:rFonts w:ascii="Book Antiqua" w:eastAsia="Book Antiqua" w:hAnsi="Book Antiqua" w:cs="Book Antiqua"/>
          <w:color w:val="000000"/>
        </w:rPr>
        <w:t>CalliSpheres</w:t>
      </w:r>
      <w:proofErr w:type="spellEnd"/>
      <w:r w:rsidRPr="00492007">
        <w:rPr>
          <w:rFonts w:ascii="Book Antiqua" w:eastAsia="Book Antiqua" w:hAnsi="Book Antiqua" w:cs="Book Antiqua"/>
          <w:color w:val="000000"/>
        </w:rPr>
        <w:t xml:space="preserve"> beads in treatment of primary hepatocellular carcinoma.</w:t>
      </w:r>
      <w:proofErr w:type="gramEnd"/>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i/>
          <w:iCs/>
          <w:color w:val="000000"/>
        </w:rPr>
        <w:t>Linchuang</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Fangshexue</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Zazhi</w:t>
      </w:r>
      <w:proofErr w:type="spellEnd"/>
      <w:r w:rsidRPr="00492007">
        <w:rPr>
          <w:rFonts w:ascii="Book Antiqua" w:eastAsia="Book Antiqua" w:hAnsi="Book Antiqua" w:cs="Book Antiqua"/>
          <w:color w:val="000000"/>
        </w:rPr>
        <w:t xml:space="preserve"> 2019; </w:t>
      </w:r>
      <w:r w:rsidRPr="00492007">
        <w:rPr>
          <w:rFonts w:ascii="Book Antiqua" w:eastAsia="Book Antiqua" w:hAnsi="Book Antiqua" w:cs="Book Antiqua"/>
          <w:b/>
          <w:bCs/>
          <w:color w:val="000000"/>
        </w:rPr>
        <w:t>38</w:t>
      </w:r>
      <w:r w:rsidRPr="00492007">
        <w:rPr>
          <w:rFonts w:ascii="Book Antiqua" w:eastAsia="Book Antiqua" w:hAnsi="Book Antiqua" w:cs="Book Antiqua"/>
          <w:color w:val="000000"/>
        </w:rPr>
        <w:t>: 4</w:t>
      </w:r>
    </w:p>
    <w:p w14:paraId="5CA83D99"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2 </w:t>
      </w:r>
      <w:proofErr w:type="spellStart"/>
      <w:r w:rsidRPr="00492007">
        <w:rPr>
          <w:rFonts w:ascii="Book Antiqua" w:eastAsia="Book Antiqua" w:hAnsi="Book Antiqua" w:cs="Book Antiqua"/>
          <w:b/>
          <w:bCs/>
          <w:color w:val="000000"/>
        </w:rPr>
        <w:t>Gholamrezanezhad</w:t>
      </w:r>
      <w:proofErr w:type="spellEnd"/>
      <w:r w:rsidRPr="00492007">
        <w:rPr>
          <w:rFonts w:ascii="Book Antiqua" w:eastAsia="Book Antiqua" w:hAnsi="Book Antiqua" w:cs="Book Antiqua"/>
          <w:b/>
          <w:bCs/>
          <w:color w:val="000000"/>
        </w:rPr>
        <w:t xml:space="preserve"> A</w:t>
      </w:r>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Mirpour</w:t>
      </w:r>
      <w:proofErr w:type="spellEnd"/>
      <w:r w:rsidRPr="00492007">
        <w:rPr>
          <w:rFonts w:ascii="Book Antiqua" w:eastAsia="Book Antiqua" w:hAnsi="Book Antiqua" w:cs="Book Antiqua"/>
          <w:color w:val="000000"/>
        </w:rPr>
        <w:t xml:space="preserve"> S, </w:t>
      </w:r>
      <w:proofErr w:type="spellStart"/>
      <w:r w:rsidRPr="00492007">
        <w:rPr>
          <w:rFonts w:ascii="Book Antiqua" w:eastAsia="Book Antiqua" w:hAnsi="Book Antiqua" w:cs="Book Antiqua"/>
          <w:color w:val="000000"/>
        </w:rPr>
        <w:t>Geschwind</w:t>
      </w:r>
      <w:proofErr w:type="spellEnd"/>
      <w:r w:rsidRPr="00492007">
        <w:rPr>
          <w:rFonts w:ascii="Book Antiqua" w:eastAsia="Book Antiqua" w:hAnsi="Book Antiqua" w:cs="Book Antiqua"/>
          <w:color w:val="000000"/>
        </w:rPr>
        <w:t xml:space="preserve"> JF, </w:t>
      </w:r>
      <w:proofErr w:type="spellStart"/>
      <w:r w:rsidRPr="00492007">
        <w:rPr>
          <w:rFonts w:ascii="Book Antiqua" w:eastAsia="Book Antiqua" w:hAnsi="Book Antiqua" w:cs="Book Antiqua"/>
          <w:color w:val="000000"/>
        </w:rPr>
        <w:t>Rao</w:t>
      </w:r>
      <w:proofErr w:type="spellEnd"/>
      <w:r w:rsidRPr="00492007">
        <w:rPr>
          <w:rFonts w:ascii="Book Antiqua" w:eastAsia="Book Antiqua" w:hAnsi="Book Antiqua" w:cs="Book Antiqua"/>
          <w:color w:val="000000"/>
        </w:rPr>
        <w:t xml:space="preserve"> P, </w:t>
      </w:r>
      <w:proofErr w:type="spellStart"/>
      <w:r w:rsidRPr="00492007">
        <w:rPr>
          <w:rFonts w:ascii="Book Antiqua" w:eastAsia="Book Antiqua" w:hAnsi="Book Antiqua" w:cs="Book Antiqua"/>
          <w:color w:val="000000"/>
        </w:rPr>
        <w:t>Loffroy</w:t>
      </w:r>
      <w:proofErr w:type="spellEnd"/>
      <w:r w:rsidRPr="00492007">
        <w:rPr>
          <w:rFonts w:ascii="Book Antiqua" w:eastAsia="Book Antiqua" w:hAnsi="Book Antiqua" w:cs="Book Antiqua"/>
          <w:color w:val="000000"/>
        </w:rPr>
        <w:t xml:space="preserve"> R, </w:t>
      </w:r>
      <w:proofErr w:type="spellStart"/>
      <w:r w:rsidRPr="00492007">
        <w:rPr>
          <w:rFonts w:ascii="Book Antiqua" w:eastAsia="Book Antiqua" w:hAnsi="Book Antiqua" w:cs="Book Antiqua"/>
          <w:color w:val="000000"/>
        </w:rPr>
        <w:t>Pellerin</w:t>
      </w:r>
      <w:proofErr w:type="spellEnd"/>
      <w:r w:rsidRPr="00492007">
        <w:rPr>
          <w:rFonts w:ascii="Book Antiqua" w:eastAsia="Book Antiqua" w:hAnsi="Book Antiqua" w:cs="Book Antiqua"/>
          <w:color w:val="000000"/>
        </w:rPr>
        <w:t xml:space="preserve"> O, </w:t>
      </w:r>
      <w:proofErr w:type="spellStart"/>
      <w:r w:rsidRPr="00492007">
        <w:rPr>
          <w:rFonts w:ascii="Book Antiqua" w:eastAsia="Book Antiqua" w:hAnsi="Book Antiqua" w:cs="Book Antiqua"/>
          <w:color w:val="000000"/>
        </w:rPr>
        <w:t>Liapi</w:t>
      </w:r>
      <w:proofErr w:type="spellEnd"/>
      <w:r w:rsidRPr="00492007">
        <w:rPr>
          <w:rFonts w:ascii="Book Antiqua" w:eastAsia="Book Antiqua" w:hAnsi="Book Antiqua" w:cs="Book Antiqua"/>
          <w:color w:val="000000"/>
        </w:rPr>
        <w:t xml:space="preserve"> EA. Evaluation of 70-150-μm doxorubicin-eluting beads for </w:t>
      </w:r>
      <w:proofErr w:type="spellStart"/>
      <w:r w:rsidRPr="00492007">
        <w:rPr>
          <w:rFonts w:ascii="Book Antiqua" w:eastAsia="Book Antiqua" w:hAnsi="Book Antiqua" w:cs="Book Antiqua"/>
          <w:color w:val="000000"/>
        </w:rPr>
        <w:t>transcatheter</w:t>
      </w:r>
      <w:proofErr w:type="spellEnd"/>
      <w:r w:rsidRPr="00492007">
        <w:rPr>
          <w:rFonts w:ascii="Book Antiqua" w:eastAsia="Book Antiqua" w:hAnsi="Book Antiqua" w:cs="Book Antiqua"/>
          <w:color w:val="000000"/>
        </w:rPr>
        <w:t xml:space="preserve"> arterial chemoembolization in the rabbit liver VX2 </w:t>
      </w:r>
      <w:proofErr w:type="spellStart"/>
      <w:r w:rsidRPr="00492007">
        <w:rPr>
          <w:rFonts w:ascii="Book Antiqua" w:eastAsia="Book Antiqua" w:hAnsi="Book Antiqua" w:cs="Book Antiqua"/>
          <w:color w:val="000000"/>
        </w:rPr>
        <w:t>tumour</w:t>
      </w:r>
      <w:proofErr w:type="spellEnd"/>
      <w:r w:rsidRPr="00492007">
        <w:rPr>
          <w:rFonts w:ascii="Book Antiqua" w:eastAsia="Book Antiqua" w:hAnsi="Book Antiqua" w:cs="Book Antiqua"/>
          <w:color w:val="000000"/>
        </w:rPr>
        <w:t xml:space="preserve"> model. </w:t>
      </w:r>
      <w:proofErr w:type="spellStart"/>
      <w:r w:rsidRPr="00492007">
        <w:rPr>
          <w:rFonts w:ascii="Book Antiqua" w:eastAsia="Book Antiqua" w:hAnsi="Book Antiqua" w:cs="Book Antiqua"/>
          <w:i/>
          <w:iCs/>
          <w:color w:val="000000"/>
        </w:rPr>
        <w:t>Eur</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Radiol</w:t>
      </w:r>
      <w:proofErr w:type="spellEnd"/>
      <w:r w:rsidRPr="00492007">
        <w:rPr>
          <w:rFonts w:ascii="Book Antiqua" w:eastAsia="Book Antiqua" w:hAnsi="Book Antiqua" w:cs="Book Antiqua"/>
          <w:color w:val="000000"/>
        </w:rPr>
        <w:t xml:space="preserve"> 2016; </w:t>
      </w:r>
      <w:r w:rsidRPr="00492007">
        <w:rPr>
          <w:rFonts w:ascii="Book Antiqua" w:eastAsia="Book Antiqua" w:hAnsi="Book Antiqua" w:cs="Book Antiqua"/>
          <w:b/>
          <w:bCs/>
          <w:color w:val="000000"/>
        </w:rPr>
        <w:t>26</w:t>
      </w:r>
      <w:r w:rsidRPr="00492007">
        <w:rPr>
          <w:rFonts w:ascii="Book Antiqua" w:eastAsia="Book Antiqua" w:hAnsi="Book Antiqua" w:cs="Book Antiqua"/>
          <w:color w:val="000000"/>
        </w:rPr>
        <w:t>: 3474-3482 [PMID: 26780638 DOI: 10.1007/s00330-015-4197-y]</w:t>
      </w:r>
    </w:p>
    <w:p w14:paraId="3D4FF884"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3 </w:t>
      </w:r>
      <w:r w:rsidRPr="00492007">
        <w:rPr>
          <w:rFonts w:ascii="Book Antiqua" w:eastAsia="Book Antiqua" w:hAnsi="Book Antiqua" w:cs="Book Antiqua"/>
          <w:b/>
          <w:bCs/>
          <w:color w:val="000000"/>
        </w:rPr>
        <w:t>Luz JH</w:t>
      </w:r>
      <w:r w:rsidRPr="00492007">
        <w:rPr>
          <w:rFonts w:ascii="Book Antiqua" w:eastAsia="Book Antiqua" w:hAnsi="Book Antiqua" w:cs="Book Antiqua"/>
          <w:color w:val="000000"/>
        </w:rPr>
        <w:t xml:space="preserve">, Luz PM, Martin HS, </w:t>
      </w:r>
      <w:proofErr w:type="spellStart"/>
      <w:r w:rsidRPr="00492007">
        <w:rPr>
          <w:rFonts w:ascii="Book Antiqua" w:eastAsia="Book Antiqua" w:hAnsi="Book Antiqua" w:cs="Book Antiqua"/>
          <w:color w:val="000000"/>
        </w:rPr>
        <w:t>Gouveia</w:t>
      </w:r>
      <w:proofErr w:type="spellEnd"/>
      <w:r w:rsidRPr="00492007">
        <w:rPr>
          <w:rFonts w:ascii="Book Antiqua" w:eastAsia="Book Antiqua" w:hAnsi="Book Antiqua" w:cs="Book Antiqua"/>
          <w:color w:val="000000"/>
        </w:rPr>
        <w:t xml:space="preserve"> HR, </w:t>
      </w:r>
      <w:proofErr w:type="spellStart"/>
      <w:r w:rsidRPr="00492007">
        <w:rPr>
          <w:rFonts w:ascii="Book Antiqua" w:eastAsia="Book Antiqua" w:hAnsi="Book Antiqua" w:cs="Book Antiqua"/>
          <w:color w:val="000000"/>
        </w:rPr>
        <w:t>Levigard</w:t>
      </w:r>
      <w:proofErr w:type="spellEnd"/>
      <w:r w:rsidRPr="00492007">
        <w:rPr>
          <w:rFonts w:ascii="Book Antiqua" w:eastAsia="Book Antiqua" w:hAnsi="Book Antiqua" w:cs="Book Antiqua"/>
          <w:color w:val="000000"/>
        </w:rPr>
        <w:t xml:space="preserve"> RB, </w:t>
      </w:r>
      <w:proofErr w:type="spellStart"/>
      <w:r w:rsidRPr="00492007">
        <w:rPr>
          <w:rFonts w:ascii="Book Antiqua" w:eastAsia="Book Antiqua" w:hAnsi="Book Antiqua" w:cs="Book Antiqua"/>
          <w:color w:val="000000"/>
        </w:rPr>
        <w:t>Nogueira</w:t>
      </w:r>
      <w:proofErr w:type="spellEnd"/>
      <w:r w:rsidRPr="00492007">
        <w:rPr>
          <w:rFonts w:ascii="Book Antiqua" w:eastAsia="Book Antiqua" w:hAnsi="Book Antiqua" w:cs="Book Antiqua"/>
          <w:color w:val="000000"/>
        </w:rPr>
        <w:t xml:space="preserve"> FD, Rodrigues BC, de Miranda TN, </w:t>
      </w:r>
      <w:proofErr w:type="spellStart"/>
      <w:r w:rsidRPr="00492007">
        <w:rPr>
          <w:rFonts w:ascii="Book Antiqua" w:eastAsia="Book Antiqua" w:hAnsi="Book Antiqua" w:cs="Book Antiqua"/>
          <w:color w:val="000000"/>
        </w:rPr>
        <w:t>Mamede</w:t>
      </w:r>
      <w:proofErr w:type="spellEnd"/>
      <w:r w:rsidRPr="00492007">
        <w:rPr>
          <w:rFonts w:ascii="Book Antiqua" w:eastAsia="Book Antiqua" w:hAnsi="Book Antiqua" w:cs="Book Antiqua"/>
          <w:color w:val="000000"/>
        </w:rPr>
        <w:t xml:space="preserve"> MH. DEB TACE for Intermediate and advanced HCC - Initial Experience in a Brazilian Cancer Center. </w:t>
      </w:r>
      <w:r w:rsidRPr="00492007">
        <w:rPr>
          <w:rFonts w:ascii="Book Antiqua" w:eastAsia="Book Antiqua" w:hAnsi="Book Antiqua" w:cs="Book Antiqua"/>
          <w:i/>
          <w:iCs/>
          <w:color w:val="000000"/>
        </w:rPr>
        <w:t>Cancer Imaging</w:t>
      </w:r>
      <w:r w:rsidRPr="00492007">
        <w:rPr>
          <w:rFonts w:ascii="Book Antiqua" w:eastAsia="Book Antiqua" w:hAnsi="Book Antiqua" w:cs="Book Antiqua"/>
          <w:color w:val="000000"/>
        </w:rPr>
        <w:t xml:space="preserve"> 2017; </w:t>
      </w:r>
      <w:r w:rsidRPr="00492007">
        <w:rPr>
          <w:rFonts w:ascii="Book Antiqua" w:eastAsia="Book Antiqua" w:hAnsi="Book Antiqua" w:cs="Book Antiqua"/>
          <w:b/>
          <w:bCs/>
          <w:color w:val="000000"/>
        </w:rPr>
        <w:t>17</w:t>
      </w:r>
      <w:r w:rsidRPr="00492007">
        <w:rPr>
          <w:rFonts w:ascii="Book Antiqua" w:eastAsia="Book Antiqua" w:hAnsi="Book Antiqua" w:cs="Book Antiqua"/>
          <w:color w:val="000000"/>
        </w:rPr>
        <w:t>: 5 [PMID: 28166821 DOI: 10.1186/s40644-017-0108-6]</w:t>
      </w:r>
    </w:p>
    <w:p w14:paraId="3FFDA2F0" w14:textId="38F46C66"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4 </w:t>
      </w:r>
      <w:r w:rsidRPr="00492007">
        <w:rPr>
          <w:rFonts w:ascii="Book Antiqua" w:eastAsia="Book Antiqua" w:hAnsi="Book Antiqua" w:cs="Book Antiqua"/>
          <w:b/>
          <w:bCs/>
          <w:color w:val="000000"/>
        </w:rPr>
        <w:t>Wang YL</w:t>
      </w:r>
      <w:r w:rsidRPr="00492007">
        <w:rPr>
          <w:rFonts w:ascii="Book Antiqua" w:eastAsia="Book Antiqua" w:hAnsi="Book Antiqua" w:cs="Book Antiqua"/>
          <w:color w:val="000000"/>
        </w:rPr>
        <w:t xml:space="preserve">, Song W, </w:t>
      </w:r>
      <w:proofErr w:type="spellStart"/>
      <w:r w:rsidRPr="00492007">
        <w:rPr>
          <w:rFonts w:ascii="Book Antiqua" w:eastAsia="Book Antiqua" w:hAnsi="Book Antiqua" w:cs="Book Antiqua"/>
          <w:color w:val="000000"/>
        </w:rPr>
        <w:t>Bian</w:t>
      </w:r>
      <w:proofErr w:type="spellEnd"/>
      <w:r w:rsidRPr="00492007">
        <w:rPr>
          <w:rFonts w:ascii="Book Antiqua" w:eastAsia="Book Antiqua" w:hAnsi="Book Antiqua" w:cs="Book Antiqua"/>
          <w:color w:val="000000"/>
        </w:rPr>
        <w:t xml:space="preserve"> YT, Pan </w:t>
      </w:r>
      <w:proofErr w:type="spellStart"/>
      <w:r w:rsidRPr="00492007">
        <w:rPr>
          <w:rFonts w:ascii="Book Antiqua" w:eastAsia="Book Antiqua" w:hAnsi="Book Antiqua" w:cs="Book Antiqua"/>
          <w:color w:val="000000"/>
        </w:rPr>
        <w:t>M</w:t>
      </w:r>
      <w:proofErr w:type="spellEnd"/>
      <w:r w:rsidRPr="00492007">
        <w:rPr>
          <w:rFonts w:ascii="Book Antiqua" w:eastAsia="Book Antiqua" w:hAnsi="Book Antiqua" w:cs="Book Antiqua"/>
          <w:color w:val="000000"/>
        </w:rPr>
        <w:t xml:space="preserve">, Li ZF, Cui J. </w:t>
      </w:r>
      <w:proofErr w:type="spellStart"/>
      <w:r w:rsidRPr="00492007">
        <w:rPr>
          <w:rFonts w:ascii="Book Antiqua" w:eastAsia="Book Antiqua" w:hAnsi="Book Antiqua" w:cs="Book Antiqua"/>
          <w:color w:val="000000"/>
        </w:rPr>
        <w:t>Calli</w:t>
      </w:r>
      <w:proofErr w:type="spellEnd"/>
      <w:r w:rsidRPr="00492007">
        <w:rPr>
          <w:rFonts w:ascii="Book Antiqua" w:eastAsia="Book Antiqua" w:hAnsi="Book Antiqua" w:cs="Book Antiqua"/>
          <w:color w:val="000000"/>
        </w:rPr>
        <w:t xml:space="preserve"> Spheres Drug-eluting Beads Versus Conventional </w:t>
      </w:r>
      <w:proofErr w:type="spellStart"/>
      <w:r w:rsidRPr="00492007">
        <w:rPr>
          <w:rFonts w:ascii="Book Antiqua" w:eastAsia="Book Antiqua" w:hAnsi="Book Antiqua" w:cs="Book Antiqua"/>
          <w:color w:val="000000"/>
        </w:rPr>
        <w:t>Transarterial</w:t>
      </w:r>
      <w:proofErr w:type="spellEnd"/>
      <w:r w:rsidRPr="00492007">
        <w:rPr>
          <w:rFonts w:ascii="Book Antiqua" w:eastAsia="Book Antiqua" w:hAnsi="Book Antiqua" w:cs="Book Antiqua"/>
          <w:color w:val="000000"/>
        </w:rPr>
        <w:t xml:space="preserve"> Chemoembolization (TACE) in the Treatment of Hepatocellular Carcinoma: Clinical Efficacy and Safety Comparative Study. </w:t>
      </w:r>
      <w:proofErr w:type="spellStart"/>
      <w:r w:rsidRPr="00492007">
        <w:rPr>
          <w:rFonts w:ascii="Book Antiqua" w:eastAsia="Book Antiqua" w:hAnsi="Book Antiqua" w:cs="Book Antiqua"/>
          <w:i/>
          <w:iCs/>
          <w:color w:val="000000"/>
        </w:rPr>
        <w:t>Linchuang</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Fangshexue</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Zazhi</w:t>
      </w:r>
      <w:proofErr w:type="spellEnd"/>
      <w:r w:rsidRPr="00492007">
        <w:rPr>
          <w:rFonts w:ascii="Book Antiqua" w:eastAsia="Book Antiqua" w:hAnsi="Book Antiqua" w:cs="Book Antiqua"/>
          <w:color w:val="000000"/>
        </w:rPr>
        <w:t xml:space="preserve"> 2020; </w:t>
      </w:r>
      <w:r w:rsidRPr="00492007">
        <w:rPr>
          <w:rFonts w:ascii="Book Antiqua" w:eastAsia="Book Antiqua" w:hAnsi="Book Antiqua" w:cs="Book Antiqua"/>
          <w:b/>
          <w:bCs/>
          <w:color w:val="000000"/>
        </w:rPr>
        <w:t>39</w:t>
      </w:r>
      <w:r w:rsidRPr="00492007">
        <w:rPr>
          <w:rFonts w:ascii="Book Antiqua" w:eastAsia="Book Antiqua" w:hAnsi="Book Antiqua" w:cs="Book Antiqua"/>
          <w:color w:val="000000"/>
        </w:rPr>
        <w:t>: 1853-1859</w:t>
      </w:r>
    </w:p>
    <w:p w14:paraId="0060B9DE" w14:textId="5322F25A" w:rsidR="00A77B3E" w:rsidRPr="00492007" w:rsidRDefault="00B6516B" w:rsidP="00492007">
      <w:pPr>
        <w:adjustRightInd w:val="0"/>
        <w:snapToGrid w:val="0"/>
        <w:spacing w:line="360" w:lineRule="auto"/>
        <w:jc w:val="both"/>
        <w:rPr>
          <w:rFonts w:ascii="Book Antiqua" w:hAnsi="Book Antiqua"/>
        </w:rPr>
      </w:pPr>
      <w:proofErr w:type="gramStart"/>
      <w:r w:rsidRPr="00492007">
        <w:rPr>
          <w:rFonts w:ascii="Book Antiqua" w:eastAsia="Book Antiqua" w:hAnsi="Book Antiqua" w:cs="Book Antiqua"/>
          <w:color w:val="000000"/>
        </w:rPr>
        <w:t xml:space="preserve">5 </w:t>
      </w:r>
      <w:r w:rsidRPr="00492007">
        <w:rPr>
          <w:rFonts w:ascii="Book Antiqua" w:eastAsia="Book Antiqua" w:hAnsi="Book Antiqua" w:cs="Book Antiqua"/>
          <w:b/>
          <w:bCs/>
          <w:color w:val="000000"/>
        </w:rPr>
        <w:t>Wang YC</w:t>
      </w:r>
      <w:r w:rsidRPr="00492007">
        <w:rPr>
          <w:rFonts w:ascii="Book Antiqua" w:eastAsia="Book Antiqua" w:hAnsi="Book Antiqua" w:cs="Book Antiqua"/>
          <w:color w:val="000000"/>
        </w:rPr>
        <w:t>.</w:t>
      </w:r>
      <w:proofErr w:type="gramEnd"/>
      <w:r w:rsidRPr="00492007">
        <w:rPr>
          <w:rFonts w:ascii="Book Antiqua" w:eastAsia="Book Antiqua" w:hAnsi="Book Antiqua" w:cs="Book Antiqua"/>
          <w:color w:val="000000"/>
        </w:rPr>
        <w:t xml:space="preserve"> Drug-loaded microspheres </w:t>
      </w:r>
      <w:proofErr w:type="spellStart"/>
      <w:r w:rsidRPr="00492007">
        <w:rPr>
          <w:rFonts w:ascii="Book Antiqua" w:eastAsia="Book Antiqua" w:hAnsi="Book Antiqua" w:cs="Book Antiqua"/>
          <w:color w:val="000000"/>
        </w:rPr>
        <w:t>transcatheter</w:t>
      </w:r>
      <w:proofErr w:type="spellEnd"/>
      <w:r w:rsidRPr="00492007">
        <w:rPr>
          <w:rFonts w:ascii="Book Antiqua" w:eastAsia="Book Antiqua" w:hAnsi="Book Antiqua" w:cs="Book Antiqua"/>
          <w:color w:val="000000"/>
        </w:rPr>
        <w:t xml:space="preserve"> arterial chemoembolization in the treatment of liver cancer: a safety analysis. </w:t>
      </w:r>
      <w:proofErr w:type="spellStart"/>
      <w:r w:rsidRPr="00492007">
        <w:rPr>
          <w:rFonts w:ascii="Book Antiqua" w:eastAsia="Book Antiqua" w:hAnsi="Book Antiqua" w:cs="Book Antiqua"/>
          <w:i/>
          <w:iCs/>
          <w:color w:val="000000"/>
        </w:rPr>
        <w:t>Weichuang</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Yixue</w:t>
      </w:r>
      <w:proofErr w:type="spellEnd"/>
      <w:r w:rsidRPr="00492007">
        <w:rPr>
          <w:rFonts w:ascii="Book Antiqua" w:eastAsia="Book Antiqua" w:hAnsi="Book Antiqua" w:cs="Book Antiqua"/>
          <w:i/>
          <w:iCs/>
          <w:color w:val="000000"/>
        </w:rPr>
        <w:t xml:space="preserve"> </w:t>
      </w:r>
      <w:proofErr w:type="spellStart"/>
      <w:r w:rsidR="00463298" w:rsidRPr="00492007">
        <w:rPr>
          <w:rFonts w:ascii="Book Antiqua" w:eastAsia="Book Antiqua" w:hAnsi="Book Antiqua" w:cs="Book Antiqua"/>
          <w:i/>
          <w:iCs/>
          <w:color w:val="000000"/>
        </w:rPr>
        <w:t>Zazhi</w:t>
      </w:r>
      <w:proofErr w:type="spellEnd"/>
      <w:r w:rsidR="00463298"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t xml:space="preserve">2020; </w:t>
      </w:r>
      <w:r w:rsidRPr="00492007">
        <w:rPr>
          <w:rFonts w:ascii="Book Antiqua" w:eastAsia="Book Antiqua" w:hAnsi="Book Antiqua" w:cs="Book Antiqua"/>
          <w:b/>
          <w:bCs/>
          <w:color w:val="000000"/>
        </w:rPr>
        <w:t>15</w:t>
      </w:r>
      <w:r w:rsidRPr="00492007">
        <w:rPr>
          <w:rFonts w:ascii="Book Antiqua" w:eastAsia="Book Antiqua" w:hAnsi="Book Antiqua" w:cs="Book Antiqua"/>
          <w:color w:val="000000"/>
        </w:rPr>
        <w:t>: 295</w:t>
      </w:r>
      <w:r w:rsidR="003F2962" w:rsidRPr="00492007">
        <w:rPr>
          <w:rFonts w:ascii="Book Antiqua" w:eastAsia="Book Antiqua" w:hAnsi="Book Antiqua" w:cs="Book Antiqua"/>
          <w:color w:val="000000"/>
        </w:rPr>
        <w:t>-</w:t>
      </w:r>
      <w:r w:rsidRPr="00492007">
        <w:rPr>
          <w:rFonts w:ascii="Book Antiqua" w:eastAsia="Book Antiqua" w:hAnsi="Book Antiqua" w:cs="Book Antiqua"/>
          <w:color w:val="000000"/>
        </w:rPr>
        <w:t>297, 314</w:t>
      </w:r>
    </w:p>
    <w:p w14:paraId="19C7239C" w14:textId="77777777" w:rsidR="00A77B3E" w:rsidRPr="00492007" w:rsidRDefault="00B6516B" w:rsidP="00492007">
      <w:pPr>
        <w:adjustRightInd w:val="0"/>
        <w:snapToGrid w:val="0"/>
        <w:spacing w:line="360" w:lineRule="auto"/>
        <w:jc w:val="both"/>
        <w:rPr>
          <w:rFonts w:ascii="Book Antiqua" w:hAnsi="Book Antiqua"/>
        </w:rPr>
      </w:pPr>
      <w:proofErr w:type="gramStart"/>
      <w:r w:rsidRPr="00492007">
        <w:rPr>
          <w:rFonts w:ascii="Book Antiqua" w:eastAsia="Book Antiqua" w:hAnsi="Book Antiqua" w:cs="Book Antiqua"/>
          <w:color w:val="000000"/>
        </w:rPr>
        <w:t xml:space="preserve">6 </w:t>
      </w:r>
      <w:proofErr w:type="spellStart"/>
      <w:r w:rsidRPr="00492007">
        <w:rPr>
          <w:rFonts w:ascii="Book Antiqua" w:eastAsia="Book Antiqua" w:hAnsi="Book Antiqua" w:cs="Book Antiqua"/>
          <w:b/>
          <w:bCs/>
          <w:color w:val="000000"/>
        </w:rPr>
        <w:t>Lencioni</w:t>
      </w:r>
      <w:proofErr w:type="spellEnd"/>
      <w:r w:rsidRPr="00492007">
        <w:rPr>
          <w:rFonts w:ascii="Book Antiqua" w:eastAsia="Book Antiqua" w:hAnsi="Book Antiqua" w:cs="Book Antiqua"/>
          <w:b/>
          <w:bCs/>
          <w:color w:val="000000"/>
        </w:rPr>
        <w:t xml:space="preserve"> R</w:t>
      </w:r>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Llovet</w:t>
      </w:r>
      <w:proofErr w:type="spellEnd"/>
      <w:r w:rsidRPr="00492007">
        <w:rPr>
          <w:rFonts w:ascii="Book Antiqua" w:eastAsia="Book Antiqua" w:hAnsi="Book Antiqua" w:cs="Book Antiqua"/>
          <w:color w:val="000000"/>
        </w:rPr>
        <w:t xml:space="preserve"> JM.</w:t>
      </w:r>
      <w:proofErr w:type="gramEnd"/>
      <w:r w:rsidRPr="00492007">
        <w:rPr>
          <w:rFonts w:ascii="Book Antiqua" w:eastAsia="Book Antiqua" w:hAnsi="Book Antiqua" w:cs="Book Antiqua"/>
          <w:color w:val="000000"/>
        </w:rPr>
        <w:t xml:space="preserve"> </w:t>
      </w:r>
      <w:proofErr w:type="gramStart"/>
      <w:r w:rsidRPr="00492007">
        <w:rPr>
          <w:rFonts w:ascii="Book Antiqua" w:eastAsia="Book Antiqua" w:hAnsi="Book Antiqua" w:cs="Book Antiqua"/>
          <w:color w:val="000000"/>
        </w:rPr>
        <w:t>Modified RECIST (</w:t>
      </w:r>
      <w:proofErr w:type="spellStart"/>
      <w:r w:rsidRPr="00492007">
        <w:rPr>
          <w:rFonts w:ascii="Book Antiqua" w:eastAsia="Book Antiqua" w:hAnsi="Book Antiqua" w:cs="Book Antiqua"/>
          <w:color w:val="000000"/>
        </w:rPr>
        <w:t>mRECIST</w:t>
      </w:r>
      <w:proofErr w:type="spellEnd"/>
      <w:r w:rsidRPr="00492007">
        <w:rPr>
          <w:rFonts w:ascii="Book Antiqua" w:eastAsia="Book Antiqua" w:hAnsi="Book Antiqua" w:cs="Book Antiqua"/>
          <w:color w:val="000000"/>
        </w:rPr>
        <w:t>) assessment for hepatocellular carcinoma.</w:t>
      </w:r>
      <w:proofErr w:type="gramEnd"/>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i/>
          <w:iCs/>
          <w:color w:val="000000"/>
        </w:rPr>
        <w:t>Semin</w:t>
      </w:r>
      <w:proofErr w:type="spellEnd"/>
      <w:r w:rsidRPr="00492007">
        <w:rPr>
          <w:rFonts w:ascii="Book Antiqua" w:eastAsia="Book Antiqua" w:hAnsi="Book Antiqua" w:cs="Book Antiqua"/>
          <w:i/>
          <w:iCs/>
          <w:color w:val="000000"/>
        </w:rPr>
        <w:t xml:space="preserve"> Liver Dis</w:t>
      </w:r>
      <w:r w:rsidRPr="00492007">
        <w:rPr>
          <w:rFonts w:ascii="Book Antiqua" w:eastAsia="Book Antiqua" w:hAnsi="Book Antiqua" w:cs="Book Antiqua"/>
          <w:color w:val="000000"/>
        </w:rPr>
        <w:t xml:space="preserve"> 2010; </w:t>
      </w:r>
      <w:r w:rsidRPr="00492007">
        <w:rPr>
          <w:rFonts w:ascii="Book Antiqua" w:eastAsia="Book Antiqua" w:hAnsi="Book Antiqua" w:cs="Book Antiqua"/>
          <w:b/>
          <w:bCs/>
          <w:color w:val="000000"/>
        </w:rPr>
        <w:t>30</w:t>
      </w:r>
      <w:r w:rsidRPr="00492007">
        <w:rPr>
          <w:rFonts w:ascii="Book Antiqua" w:eastAsia="Book Antiqua" w:hAnsi="Book Antiqua" w:cs="Book Antiqua"/>
          <w:color w:val="000000"/>
        </w:rPr>
        <w:t>: 52-60 [PMID: 20175033 DOI: 10.1055/s-0030-1247132]</w:t>
      </w:r>
    </w:p>
    <w:p w14:paraId="07ADE6BA"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7 </w:t>
      </w:r>
      <w:r w:rsidRPr="00492007">
        <w:rPr>
          <w:rFonts w:ascii="Book Antiqua" w:eastAsia="Book Antiqua" w:hAnsi="Book Antiqua" w:cs="Book Antiqua"/>
          <w:b/>
          <w:bCs/>
          <w:color w:val="000000"/>
        </w:rPr>
        <w:t>Cosgrove DP</w:t>
      </w:r>
      <w:r w:rsidRPr="00492007">
        <w:rPr>
          <w:rFonts w:ascii="Book Antiqua" w:eastAsia="Book Antiqua" w:hAnsi="Book Antiqua" w:cs="Book Antiqua"/>
          <w:color w:val="000000"/>
        </w:rPr>
        <w:t xml:space="preserve">, Reyes DK, </w:t>
      </w:r>
      <w:proofErr w:type="spellStart"/>
      <w:r w:rsidRPr="00492007">
        <w:rPr>
          <w:rFonts w:ascii="Book Antiqua" w:eastAsia="Book Antiqua" w:hAnsi="Book Antiqua" w:cs="Book Antiqua"/>
          <w:color w:val="000000"/>
        </w:rPr>
        <w:t>Pawlik</w:t>
      </w:r>
      <w:proofErr w:type="spellEnd"/>
      <w:r w:rsidRPr="00492007">
        <w:rPr>
          <w:rFonts w:ascii="Book Antiqua" w:eastAsia="Book Antiqua" w:hAnsi="Book Antiqua" w:cs="Book Antiqua"/>
          <w:color w:val="000000"/>
        </w:rPr>
        <w:t xml:space="preserve"> TM, </w:t>
      </w:r>
      <w:proofErr w:type="spellStart"/>
      <w:r w:rsidRPr="00492007">
        <w:rPr>
          <w:rFonts w:ascii="Book Antiqua" w:eastAsia="Book Antiqua" w:hAnsi="Book Antiqua" w:cs="Book Antiqua"/>
          <w:color w:val="000000"/>
        </w:rPr>
        <w:t>Feng</w:t>
      </w:r>
      <w:proofErr w:type="spellEnd"/>
      <w:r w:rsidRPr="00492007">
        <w:rPr>
          <w:rFonts w:ascii="Book Antiqua" w:eastAsia="Book Antiqua" w:hAnsi="Book Antiqua" w:cs="Book Antiqua"/>
          <w:color w:val="000000"/>
        </w:rPr>
        <w:t xml:space="preserve"> AL, </w:t>
      </w:r>
      <w:proofErr w:type="spellStart"/>
      <w:r w:rsidRPr="00492007">
        <w:rPr>
          <w:rFonts w:ascii="Book Antiqua" w:eastAsia="Book Antiqua" w:hAnsi="Book Antiqua" w:cs="Book Antiqua"/>
          <w:color w:val="000000"/>
        </w:rPr>
        <w:t>Kamel</w:t>
      </w:r>
      <w:proofErr w:type="spellEnd"/>
      <w:r w:rsidRPr="00492007">
        <w:rPr>
          <w:rFonts w:ascii="Book Antiqua" w:eastAsia="Book Antiqua" w:hAnsi="Book Antiqua" w:cs="Book Antiqua"/>
          <w:color w:val="000000"/>
        </w:rPr>
        <w:t xml:space="preserve"> IR, </w:t>
      </w:r>
      <w:proofErr w:type="spellStart"/>
      <w:r w:rsidRPr="00492007">
        <w:rPr>
          <w:rFonts w:ascii="Book Antiqua" w:eastAsia="Book Antiqua" w:hAnsi="Book Antiqua" w:cs="Book Antiqua"/>
          <w:color w:val="000000"/>
        </w:rPr>
        <w:t>Geschwind</w:t>
      </w:r>
      <w:proofErr w:type="spellEnd"/>
      <w:r w:rsidRPr="00492007">
        <w:rPr>
          <w:rFonts w:ascii="Book Antiqua" w:eastAsia="Book Antiqua" w:hAnsi="Book Antiqua" w:cs="Book Antiqua"/>
          <w:color w:val="000000"/>
        </w:rPr>
        <w:t xml:space="preserve"> JF. Open-Label Single-Arm Phase II Trial of </w:t>
      </w:r>
      <w:proofErr w:type="spellStart"/>
      <w:r w:rsidRPr="00492007">
        <w:rPr>
          <w:rFonts w:ascii="Book Antiqua" w:eastAsia="Book Antiqua" w:hAnsi="Book Antiqua" w:cs="Book Antiqua"/>
          <w:color w:val="000000"/>
        </w:rPr>
        <w:t>Sorafenib</w:t>
      </w:r>
      <w:proofErr w:type="spellEnd"/>
      <w:r w:rsidRPr="00492007">
        <w:rPr>
          <w:rFonts w:ascii="Book Antiqua" w:eastAsia="Book Antiqua" w:hAnsi="Book Antiqua" w:cs="Book Antiqua"/>
          <w:color w:val="000000"/>
        </w:rPr>
        <w:t xml:space="preserve"> Therapy with Drug-eluting Bead </w:t>
      </w:r>
      <w:proofErr w:type="spellStart"/>
      <w:r w:rsidRPr="00492007">
        <w:rPr>
          <w:rFonts w:ascii="Book Antiqua" w:eastAsia="Book Antiqua" w:hAnsi="Book Antiqua" w:cs="Book Antiqua"/>
          <w:color w:val="000000"/>
        </w:rPr>
        <w:t>Transarterial</w:t>
      </w:r>
      <w:proofErr w:type="spellEnd"/>
      <w:r w:rsidRPr="00492007">
        <w:rPr>
          <w:rFonts w:ascii="Book Antiqua" w:eastAsia="Book Antiqua" w:hAnsi="Book Antiqua" w:cs="Book Antiqua"/>
          <w:color w:val="000000"/>
        </w:rPr>
        <w:t xml:space="preserve"> Chemoembolization in Patients with </w:t>
      </w:r>
      <w:proofErr w:type="spellStart"/>
      <w:r w:rsidRPr="00492007">
        <w:rPr>
          <w:rFonts w:ascii="Book Antiqua" w:eastAsia="Book Antiqua" w:hAnsi="Book Antiqua" w:cs="Book Antiqua"/>
          <w:color w:val="000000"/>
        </w:rPr>
        <w:t>Unresectable</w:t>
      </w:r>
      <w:proofErr w:type="spellEnd"/>
      <w:r w:rsidRPr="00492007">
        <w:rPr>
          <w:rFonts w:ascii="Book Antiqua" w:eastAsia="Book Antiqua" w:hAnsi="Book Antiqua" w:cs="Book Antiqua"/>
          <w:color w:val="000000"/>
        </w:rPr>
        <w:t xml:space="preserve"> Hepatocellular Carcinoma: Clinical Results. </w:t>
      </w:r>
      <w:r w:rsidRPr="00492007">
        <w:rPr>
          <w:rFonts w:ascii="Book Antiqua" w:eastAsia="Book Antiqua" w:hAnsi="Book Antiqua" w:cs="Book Antiqua"/>
          <w:i/>
          <w:iCs/>
          <w:color w:val="000000"/>
        </w:rPr>
        <w:t>Radiology</w:t>
      </w:r>
      <w:r w:rsidRPr="00492007">
        <w:rPr>
          <w:rFonts w:ascii="Book Antiqua" w:eastAsia="Book Antiqua" w:hAnsi="Book Antiqua" w:cs="Book Antiqua"/>
          <w:color w:val="000000"/>
        </w:rPr>
        <w:t xml:space="preserve"> 2015; </w:t>
      </w:r>
      <w:r w:rsidRPr="00492007">
        <w:rPr>
          <w:rFonts w:ascii="Book Antiqua" w:eastAsia="Book Antiqua" w:hAnsi="Book Antiqua" w:cs="Book Antiqua"/>
          <w:b/>
          <w:bCs/>
          <w:color w:val="000000"/>
        </w:rPr>
        <w:t>277</w:t>
      </w:r>
      <w:r w:rsidRPr="00492007">
        <w:rPr>
          <w:rFonts w:ascii="Book Antiqua" w:eastAsia="Book Antiqua" w:hAnsi="Book Antiqua" w:cs="Book Antiqua"/>
          <w:color w:val="000000"/>
        </w:rPr>
        <w:t>: 594-603 [PMID: 26069923 DOI: 10.1148/radiol.2015142481]</w:t>
      </w:r>
    </w:p>
    <w:p w14:paraId="35792141"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8 </w:t>
      </w:r>
      <w:proofErr w:type="spellStart"/>
      <w:r w:rsidRPr="00492007">
        <w:rPr>
          <w:rFonts w:ascii="Book Antiqua" w:eastAsia="Book Antiqua" w:hAnsi="Book Antiqua" w:cs="Book Antiqua"/>
          <w:b/>
          <w:bCs/>
          <w:color w:val="000000"/>
        </w:rPr>
        <w:t>Deipolyi</w:t>
      </w:r>
      <w:proofErr w:type="spellEnd"/>
      <w:r w:rsidRPr="00492007">
        <w:rPr>
          <w:rFonts w:ascii="Book Antiqua" w:eastAsia="Book Antiqua" w:hAnsi="Book Antiqua" w:cs="Book Antiqua"/>
          <w:b/>
          <w:bCs/>
          <w:color w:val="000000"/>
        </w:rPr>
        <w:t xml:space="preserve"> AR</w:t>
      </w:r>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Oklu</w:t>
      </w:r>
      <w:proofErr w:type="spellEnd"/>
      <w:r w:rsidRPr="00492007">
        <w:rPr>
          <w:rFonts w:ascii="Book Antiqua" w:eastAsia="Book Antiqua" w:hAnsi="Book Antiqua" w:cs="Book Antiqua"/>
          <w:color w:val="000000"/>
        </w:rPr>
        <w:t xml:space="preserve"> R, Al-Ansari S, Zhu AX, </w:t>
      </w:r>
      <w:proofErr w:type="spellStart"/>
      <w:r w:rsidRPr="00492007">
        <w:rPr>
          <w:rFonts w:ascii="Book Antiqua" w:eastAsia="Book Antiqua" w:hAnsi="Book Antiqua" w:cs="Book Antiqua"/>
          <w:color w:val="000000"/>
        </w:rPr>
        <w:t>Goyal</w:t>
      </w:r>
      <w:proofErr w:type="spellEnd"/>
      <w:r w:rsidRPr="00492007">
        <w:rPr>
          <w:rFonts w:ascii="Book Antiqua" w:eastAsia="Book Antiqua" w:hAnsi="Book Antiqua" w:cs="Book Antiqua"/>
          <w:color w:val="000000"/>
        </w:rPr>
        <w:t xml:space="preserve"> L, </w:t>
      </w:r>
      <w:proofErr w:type="spellStart"/>
      <w:r w:rsidRPr="00492007">
        <w:rPr>
          <w:rFonts w:ascii="Book Antiqua" w:eastAsia="Book Antiqua" w:hAnsi="Book Antiqua" w:cs="Book Antiqua"/>
          <w:color w:val="000000"/>
        </w:rPr>
        <w:t>Ganguli</w:t>
      </w:r>
      <w:proofErr w:type="spellEnd"/>
      <w:r w:rsidRPr="00492007">
        <w:rPr>
          <w:rFonts w:ascii="Book Antiqua" w:eastAsia="Book Antiqua" w:hAnsi="Book Antiqua" w:cs="Book Antiqua"/>
          <w:color w:val="000000"/>
        </w:rPr>
        <w:t xml:space="preserve"> S. Safety and efficacy of 70-150 </w:t>
      </w:r>
      <w:proofErr w:type="spellStart"/>
      <w:r w:rsidRPr="00492007">
        <w:rPr>
          <w:rFonts w:ascii="Book Antiqua" w:eastAsia="Book Antiqua" w:hAnsi="Book Antiqua" w:cs="Book Antiqua"/>
          <w:color w:val="000000"/>
        </w:rPr>
        <w:t>μm</w:t>
      </w:r>
      <w:proofErr w:type="spellEnd"/>
      <w:r w:rsidRPr="00492007">
        <w:rPr>
          <w:rFonts w:ascii="Book Antiqua" w:eastAsia="Book Antiqua" w:hAnsi="Book Antiqua" w:cs="Book Antiqua"/>
          <w:color w:val="000000"/>
        </w:rPr>
        <w:t xml:space="preserve"> and 100-300 </w:t>
      </w:r>
      <w:proofErr w:type="spellStart"/>
      <w:r w:rsidRPr="00492007">
        <w:rPr>
          <w:rFonts w:ascii="Book Antiqua" w:eastAsia="Book Antiqua" w:hAnsi="Book Antiqua" w:cs="Book Antiqua"/>
          <w:color w:val="000000"/>
        </w:rPr>
        <w:t>μm</w:t>
      </w:r>
      <w:proofErr w:type="spellEnd"/>
      <w:r w:rsidRPr="00492007">
        <w:rPr>
          <w:rFonts w:ascii="Book Antiqua" w:eastAsia="Book Antiqua" w:hAnsi="Book Antiqua" w:cs="Book Antiqua"/>
          <w:color w:val="000000"/>
        </w:rPr>
        <w:t xml:space="preserve"> drug-eluting bead </w:t>
      </w:r>
      <w:proofErr w:type="spellStart"/>
      <w:r w:rsidRPr="00492007">
        <w:rPr>
          <w:rFonts w:ascii="Book Antiqua" w:eastAsia="Book Antiqua" w:hAnsi="Book Antiqua" w:cs="Book Antiqua"/>
          <w:color w:val="000000"/>
        </w:rPr>
        <w:t>transarterial</w:t>
      </w:r>
      <w:proofErr w:type="spellEnd"/>
      <w:r w:rsidRPr="00492007">
        <w:rPr>
          <w:rFonts w:ascii="Book Antiqua" w:eastAsia="Book Antiqua" w:hAnsi="Book Antiqua" w:cs="Book Antiqua"/>
          <w:color w:val="000000"/>
        </w:rPr>
        <w:t xml:space="preserve"> chemoembolization for hepatocellular carcinoma. </w:t>
      </w:r>
      <w:r w:rsidRPr="00492007">
        <w:rPr>
          <w:rFonts w:ascii="Book Antiqua" w:eastAsia="Book Antiqua" w:hAnsi="Book Antiqua" w:cs="Book Antiqua"/>
          <w:i/>
          <w:iCs/>
          <w:color w:val="000000"/>
        </w:rPr>
        <w:t xml:space="preserve">J </w:t>
      </w:r>
      <w:proofErr w:type="spellStart"/>
      <w:r w:rsidRPr="00492007">
        <w:rPr>
          <w:rFonts w:ascii="Book Antiqua" w:eastAsia="Book Antiqua" w:hAnsi="Book Antiqua" w:cs="Book Antiqua"/>
          <w:i/>
          <w:iCs/>
          <w:color w:val="000000"/>
        </w:rPr>
        <w:t>Vasc</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Interv</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Radiol</w:t>
      </w:r>
      <w:proofErr w:type="spellEnd"/>
      <w:r w:rsidRPr="00492007">
        <w:rPr>
          <w:rFonts w:ascii="Book Antiqua" w:eastAsia="Book Antiqua" w:hAnsi="Book Antiqua" w:cs="Book Antiqua"/>
          <w:color w:val="000000"/>
        </w:rPr>
        <w:t xml:space="preserve"> 2015; </w:t>
      </w:r>
      <w:r w:rsidRPr="00492007">
        <w:rPr>
          <w:rFonts w:ascii="Book Antiqua" w:eastAsia="Book Antiqua" w:hAnsi="Book Antiqua" w:cs="Book Antiqua"/>
          <w:b/>
          <w:bCs/>
          <w:color w:val="000000"/>
        </w:rPr>
        <w:t>26</w:t>
      </w:r>
      <w:r w:rsidRPr="00492007">
        <w:rPr>
          <w:rFonts w:ascii="Book Antiqua" w:eastAsia="Book Antiqua" w:hAnsi="Book Antiqua" w:cs="Book Antiqua"/>
          <w:color w:val="000000"/>
        </w:rPr>
        <w:t>: 516-522 [PMID: 25704226 DOI: 10.1016/j.jvir.2014.12.020]</w:t>
      </w:r>
    </w:p>
    <w:p w14:paraId="02FD82AE" w14:textId="06DDF802" w:rsidR="00A77B3E" w:rsidRPr="00492007" w:rsidRDefault="00B6516B" w:rsidP="00492007">
      <w:pPr>
        <w:adjustRightInd w:val="0"/>
        <w:snapToGrid w:val="0"/>
        <w:spacing w:line="360" w:lineRule="auto"/>
        <w:jc w:val="both"/>
        <w:rPr>
          <w:rFonts w:ascii="Book Antiqua" w:hAnsi="Book Antiqua"/>
        </w:rPr>
      </w:pPr>
      <w:proofErr w:type="gramStart"/>
      <w:r w:rsidRPr="00492007">
        <w:rPr>
          <w:rFonts w:ascii="Book Antiqua" w:eastAsia="Book Antiqua" w:hAnsi="Book Antiqua" w:cs="Book Antiqua"/>
          <w:color w:val="000000"/>
        </w:rPr>
        <w:lastRenderedPageBreak/>
        <w:t xml:space="preserve">9 </w:t>
      </w:r>
      <w:r w:rsidRPr="00492007">
        <w:rPr>
          <w:rFonts w:ascii="Book Antiqua" w:eastAsia="Book Antiqua" w:hAnsi="Book Antiqua" w:cs="Book Antiqua"/>
          <w:b/>
          <w:bCs/>
          <w:color w:val="000000"/>
        </w:rPr>
        <w:t>Zhang FL</w:t>
      </w:r>
      <w:r w:rsidRPr="00492007">
        <w:rPr>
          <w:rFonts w:ascii="Book Antiqua" w:eastAsia="Book Antiqua" w:hAnsi="Book Antiqua" w:cs="Book Antiqua"/>
          <w:color w:val="000000"/>
        </w:rPr>
        <w:t>, Yong F. Clinical efficacy of TACE with blank microspheres for liver cancer.</w:t>
      </w:r>
      <w:proofErr w:type="gramEnd"/>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i/>
          <w:iCs/>
          <w:color w:val="000000"/>
        </w:rPr>
        <w:t>Zhonghua</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Ganzang</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Waike</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Shoushuxue</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Dianzi</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Zazhi</w:t>
      </w:r>
      <w:proofErr w:type="spellEnd"/>
      <w:r w:rsidRPr="00492007">
        <w:rPr>
          <w:rFonts w:ascii="Book Antiqua" w:eastAsia="Book Antiqua" w:hAnsi="Book Antiqua" w:cs="Book Antiqua"/>
          <w:color w:val="000000"/>
        </w:rPr>
        <w:t xml:space="preserve"> 2020; </w:t>
      </w:r>
      <w:r w:rsidRPr="00492007">
        <w:rPr>
          <w:rFonts w:ascii="Book Antiqua" w:eastAsia="Book Antiqua" w:hAnsi="Book Antiqua" w:cs="Book Antiqua"/>
          <w:b/>
          <w:bCs/>
          <w:color w:val="000000"/>
        </w:rPr>
        <w:t>9</w:t>
      </w:r>
      <w:r w:rsidRPr="00492007">
        <w:rPr>
          <w:rFonts w:ascii="Book Antiqua" w:eastAsia="Book Antiqua" w:hAnsi="Book Antiqua" w:cs="Book Antiqua"/>
          <w:color w:val="000000"/>
        </w:rPr>
        <w:t>: 339-342 [</w:t>
      </w:r>
      <w:r w:rsidR="009C1675" w:rsidRPr="00492007">
        <w:rPr>
          <w:rFonts w:ascii="Book Antiqua" w:eastAsia="Book Antiqua" w:hAnsi="Book Antiqua" w:cs="Book Antiqua"/>
          <w:color w:val="000000"/>
        </w:rPr>
        <w:t xml:space="preserve">DOI: </w:t>
      </w:r>
      <w:r w:rsidRPr="00492007">
        <w:rPr>
          <w:rFonts w:ascii="Book Antiqua" w:eastAsia="Book Antiqua" w:hAnsi="Book Antiqua" w:cs="Book Antiqua"/>
          <w:color w:val="000000"/>
        </w:rPr>
        <w:t>10.3877/cma.j.issn.2095-3232.2020.04.010]</w:t>
      </w:r>
    </w:p>
    <w:p w14:paraId="528AFE83" w14:textId="0C800F11"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10 </w:t>
      </w:r>
      <w:r w:rsidRPr="00492007">
        <w:rPr>
          <w:rFonts w:ascii="Book Antiqua" w:eastAsia="Book Antiqua" w:hAnsi="Book Antiqua" w:cs="Book Antiqua"/>
          <w:b/>
          <w:bCs/>
          <w:color w:val="000000"/>
        </w:rPr>
        <w:t>Yu L</w:t>
      </w:r>
      <w:r w:rsidRPr="00492007">
        <w:rPr>
          <w:rFonts w:ascii="Book Antiqua" w:eastAsia="Book Antiqua" w:hAnsi="Book Antiqua" w:cs="Book Antiqua"/>
          <w:color w:val="000000"/>
        </w:rPr>
        <w:t xml:space="preserve">, Tang F, Cao ZW. Granular embolization material in the treatment of primary hepatic carcinoma: analysis of clinical efficacy and safety. </w:t>
      </w:r>
      <w:proofErr w:type="spellStart"/>
      <w:r w:rsidRPr="00492007">
        <w:rPr>
          <w:rFonts w:ascii="Book Antiqua" w:eastAsia="Book Antiqua" w:hAnsi="Book Antiqua" w:cs="Book Antiqua"/>
          <w:i/>
          <w:iCs/>
          <w:color w:val="000000"/>
        </w:rPr>
        <w:t>Jieru</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Fangshexue</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Zazhi</w:t>
      </w:r>
      <w:proofErr w:type="spellEnd"/>
      <w:r w:rsidRPr="00492007">
        <w:rPr>
          <w:rFonts w:ascii="Book Antiqua" w:eastAsia="Book Antiqua" w:hAnsi="Book Antiqua" w:cs="Book Antiqua"/>
          <w:i/>
          <w:iCs/>
          <w:color w:val="000000"/>
        </w:rPr>
        <w:t xml:space="preserve"> </w:t>
      </w:r>
      <w:r w:rsidRPr="00492007">
        <w:rPr>
          <w:rFonts w:ascii="Book Antiqua" w:eastAsia="Book Antiqua" w:hAnsi="Book Antiqua" w:cs="Book Antiqua"/>
          <w:color w:val="000000"/>
        </w:rPr>
        <w:t xml:space="preserve">2020; </w:t>
      </w:r>
      <w:r w:rsidRPr="00492007">
        <w:rPr>
          <w:rFonts w:ascii="Book Antiqua" w:eastAsia="Book Antiqua" w:hAnsi="Book Antiqua" w:cs="Book Antiqua"/>
          <w:b/>
          <w:bCs/>
          <w:color w:val="000000"/>
        </w:rPr>
        <w:t>29</w:t>
      </w:r>
      <w:r w:rsidRPr="00492007">
        <w:rPr>
          <w:rFonts w:ascii="Book Antiqua" w:eastAsia="Book Antiqua" w:hAnsi="Book Antiqua" w:cs="Book Antiqua"/>
          <w:color w:val="000000"/>
        </w:rPr>
        <w:t>: 900-906 [</w:t>
      </w:r>
      <w:r w:rsidR="009C1675" w:rsidRPr="00492007">
        <w:rPr>
          <w:rFonts w:ascii="Book Antiqua" w:eastAsia="Book Antiqua" w:hAnsi="Book Antiqua" w:cs="Book Antiqua"/>
          <w:color w:val="000000"/>
        </w:rPr>
        <w:t xml:space="preserve">DOI: </w:t>
      </w:r>
      <w:r w:rsidRPr="00492007">
        <w:rPr>
          <w:rFonts w:ascii="Book Antiqua" w:eastAsia="Book Antiqua" w:hAnsi="Book Antiqua" w:cs="Book Antiqua"/>
          <w:color w:val="000000"/>
        </w:rPr>
        <w:t>10.3969/j.issn.1008-794X.2020.09.010]</w:t>
      </w:r>
    </w:p>
    <w:p w14:paraId="3952D55D" w14:textId="3D837B0B"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11 </w:t>
      </w:r>
      <w:proofErr w:type="gramStart"/>
      <w:r w:rsidRPr="00492007">
        <w:rPr>
          <w:rFonts w:ascii="Book Antiqua" w:eastAsia="Book Antiqua" w:hAnsi="Book Antiqua" w:cs="Book Antiqua"/>
          <w:b/>
          <w:bCs/>
          <w:color w:val="000000"/>
        </w:rPr>
        <w:t>Fan</w:t>
      </w:r>
      <w:proofErr w:type="gramEnd"/>
      <w:r w:rsidRPr="00492007">
        <w:rPr>
          <w:rFonts w:ascii="Book Antiqua" w:eastAsia="Book Antiqua" w:hAnsi="Book Antiqua" w:cs="Book Antiqua"/>
          <w:b/>
          <w:bCs/>
          <w:color w:val="000000"/>
        </w:rPr>
        <w:t xml:space="preserve"> S</w:t>
      </w:r>
      <w:r w:rsidRPr="00492007">
        <w:rPr>
          <w:rFonts w:ascii="Book Antiqua" w:eastAsia="Book Antiqua" w:hAnsi="Book Antiqua" w:cs="Book Antiqua"/>
          <w:color w:val="000000"/>
        </w:rPr>
        <w:t xml:space="preserve">, Li QY, Zhou ZT. Efficacy of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combined with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 for primary liver. </w:t>
      </w:r>
      <w:proofErr w:type="spellStart"/>
      <w:r w:rsidRPr="00492007">
        <w:rPr>
          <w:rFonts w:ascii="Book Antiqua" w:eastAsia="Book Antiqua" w:hAnsi="Book Antiqua" w:cs="Book Antiqua"/>
          <w:i/>
          <w:iCs/>
          <w:color w:val="000000"/>
        </w:rPr>
        <w:t>Zhongguo</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Xiandai</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Yaowu</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Yingyong</w:t>
      </w:r>
      <w:proofErr w:type="spellEnd"/>
      <w:r w:rsidRPr="00492007">
        <w:rPr>
          <w:rFonts w:ascii="Book Antiqua" w:eastAsia="Book Antiqua" w:hAnsi="Book Antiqua" w:cs="Book Antiqua"/>
          <w:color w:val="000000"/>
        </w:rPr>
        <w:t xml:space="preserve"> 2019; </w:t>
      </w:r>
      <w:r w:rsidRPr="00492007">
        <w:rPr>
          <w:rFonts w:ascii="Book Antiqua" w:eastAsia="Book Antiqua" w:hAnsi="Book Antiqua" w:cs="Book Antiqua"/>
          <w:b/>
          <w:bCs/>
          <w:color w:val="000000"/>
        </w:rPr>
        <w:t>13</w:t>
      </w:r>
      <w:r w:rsidRPr="00492007">
        <w:rPr>
          <w:rFonts w:ascii="Book Antiqua" w:eastAsia="Book Antiqua" w:hAnsi="Book Antiqua" w:cs="Book Antiqua"/>
          <w:color w:val="000000"/>
        </w:rPr>
        <w:t>: 41-43 [</w:t>
      </w:r>
      <w:r w:rsidR="00431FCF" w:rsidRPr="00492007">
        <w:rPr>
          <w:rFonts w:ascii="Book Antiqua" w:eastAsia="Book Antiqua" w:hAnsi="Book Antiqua" w:cs="Book Antiqua"/>
          <w:color w:val="000000"/>
        </w:rPr>
        <w:t xml:space="preserve">DOI: </w:t>
      </w:r>
      <w:r w:rsidRPr="00492007">
        <w:rPr>
          <w:rFonts w:ascii="Book Antiqua" w:eastAsia="Book Antiqua" w:hAnsi="Book Antiqua" w:cs="Book Antiqua"/>
          <w:color w:val="000000"/>
        </w:rPr>
        <w:t>10.14164/j.cnki.cn11-5581/r.2019.18.024]</w:t>
      </w:r>
    </w:p>
    <w:p w14:paraId="39D01F3C" w14:textId="367E5A22" w:rsidR="00A77B3E" w:rsidRPr="00492007" w:rsidRDefault="00B6516B" w:rsidP="00492007">
      <w:pPr>
        <w:adjustRightInd w:val="0"/>
        <w:snapToGrid w:val="0"/>
        <w:spacing w:line="360" w:lineRule="auto"/>
        <w:jc w:val="both"/>
        <w:rPr>
          <w:rFonts w:ascii="Book Antiqua" w:hAnsi="Book Antiqua"/>
        </w:rPr>
      </w:pPr>
      <w:proofErr w:type="gramStart"/>
      <w:r w:rsidRPr="00492007">
        <w:rPr>
          <w:rFonts w:ascii="Book Antiqua" w:eastAsia="Book Antiqua" w:hAnsi="Book Antiqua" w:cs="Book Antiqua"/>
          <w:color w:val="000000"/>
        </w:rPr>
        <w:t xml:space="preserve">12 </w:t>
      </w:r>
      <w:r w:rsidRPr="00492007">
        <w:rPr>
          <w:rFonts w:ascii="Book Antiqua" w:eastAsia="Book Antiqua" w:hAnsi="Book Antiqua" w:cs="Book Antiqua"/>
          <w:b/>
          <w:bCs/>
          <w:color w:val="000000"/>
        </w:rPr>
        <w:t>Du PQ</w:t>
      </w:r>
      <w:r w:rsidRPr="00492007">
        <w:rPr>
          <w:rFonts w:ascii="Book Antiqua" w:eastAsia="Book Antiqua" w:hAnsi="Book Antiqua" w:cs="Book Antiqua"/>
          <w:color w:val="000000"/>
        </w:rPr>
        <w:t>, Liu YG, Wang D, Li TG, Yu JQ.</w:t>
      </w:r>
      <w:proofErr w:type="gramEnd"/>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Transcatheter</w:t>
      </w:r>
      <w:proofErr w:type="spellEnd"/>
      <w:r w:rsidRPr="00492007">
        <w:rPr>
          <w:rFonts w:ascii="Book Antiqua" w:eastAsia="Book Antiqua" w:hAnsi="Book Antiqua" w:cs="Book Antiqua"/>
          <w:color w:val="000000"/>
        </w:rPr>
        <w:t xml:space="preserve"> arterial chemoembolization with drug-loaded microspheres in primary liver cancer and effect on placental growth factor and </w:t>
      </w:r>
      <w:proofErr w:type="spellStart"/>
      <w:r w:rsidRPr="00492007">
        <w:rPr>
          <w:rFonts w:ascii="Book Antiqua" w:eastAsia="Book Antiqua" w:hAnsi="Book Antiqua" w:cs="Book Antiqua"/>
          <w:color w:val="000000"/>
        </w:rPr>
        <w:t>prothrombin</w:t>
      </w:r>
      <w:proofErr w:type="spellEnd"/>
      <w:r w:rsidRPr="00492007">
        <w:rPr>
          <w:rFonts w:ascii="Book Antiqua" w:eastAsia="Book Antiqua" w:hAnsi="Book Antiqua" w:cs="Book Antiqua"/>
          <w:color w:val="000000"/>
        </w:rPr>
        <w:t xml:space="preserve"> induced by vitamin K absence-</w:t>
      </w:r>
      <w:r w:rsidR="00B44CDA" w:rsidRPr="00492007">
        <w:rPr>
          <w:rFonts w:ascii="Book Antiqua" w:eastAsia="宋体" w:hAnsi="Book Antiqua" w:cs="宋体"/>
          <w:color w:val="000000"/>
          <w:lang w:eastAsia="zh-CN"/>
        </w:rPr>
        <w:t>II</w:t>
      </w:r>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i/>
          <w:iCs/>
          <w:color w:val="000000"/>
        </w:rPr>
        <w:t>Aizheng</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Jinzhan</w:t>
      </w:r>
      <w:proofErr w:type="spellEnd"/>
      <w:r w:rsidRPr="00492007">
        <w:rPr>
          <w:rFonts w:ascii="Book Antiqua" w:eastAsia="Book Antiqua" w:hAnsi="Book Antiqua" w:cs="Book Antiqua"/>
          <w:color w:val="000000"/>
        </w:rPr>
        <w:t xml:space="preserve"> 2020; </w:t>
      </w:r>
      <w:r w:rsidRPr="00492007">
        <w:rPr>
          <w:rFonts w:ascii="Book Antiqua" w:eastAsia="Book Antiqua" w:hAnsi="Book Antiqua" w:cs="Book Antiqua"/>
          <w:b/>
          <w:bCs/>
          <w:color w:val="000000"/>
        </w:rPr>
        <w:t>18</w:t>
      </w:r>
      <w:r w:rsidRPr="00492007">
        <w:rPr>
          <w:rFonts w:ascii="Book Antiqua" w:eastAsia="Book Antiqua" w:hAnsi="Book Antiqua" w:cs="Book Antiqua"/>
          <w:color w:val="000000"/>
        </w:rPr>
        <w:t>: 1358</w:t>
      </w:r>
      <w:r w:rsidR="00B44CDA" w:rsidRPr="00492007">
        <w:rPr>
          <w:rFonts w:ascii="Book Antiqua" w:eastAsia="Book Antiqua" w:hAnsi="Book Antiqua" w:cs="Book Antiqua"/>
          <w:color w:val="000000"/>
        </w:rPr>
        <w:t>-</w:t>
      </w:r>
      <w:r w:rsidRPr="00492007">
        <w:rPr>
          <w:rFonts w:ascii="Book Antiqua" w:eastAsia="Book Antiqua" w:hAnsi="Book Antiqua" w:cs="Book Antiqua"/>
          <w:color w:val="000000"/>
        </w:rPr>
        <w:t>1362</w:t>
      </w:r>
    </w:p>
    <w:p w14:paraId="004B2175"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13 </w:t>
      </w:r>
      <w:proofErr w:type="spellStart"/>
      <w:r w:rsidRPr="00492007">
        <w:rPr>
          <w:rFonts w:ascii="Book Antiqua" w:eastAsia="Book Antiqua" w:hAnsi="Book Antiqua" w:cs="Book Antiqua"/>
          <w:b/>
          <w:bCs/>
          <w:color w:val="000000"/>
        </w:rPr>
        <w:t>Malagari</w:t>
      </w:r>
      <w:proofErr w:type="spellEnd"/>
      <w:r w:rsidRPr="00492007">
        <w:rPr>
          <w:rFonts w:ascii="Book Antiqua" w:eastAsia="Book Antiqua" w:hAnsi="Book Antiqua" w:cs="Book Antiqua"/>
          <w:b/>
          <w:bCs/>
          <w:color w:val="000000"/>
        </w:rPr>
        <w:t xml:space="preserve"> K</w:t>
      </w:r>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Kiakidis</w:t>
      </w:r>
      <w:proofErr w:type="spellEnd"/>
      <w:r w:rsidRPr="00492007">
        <w:rPr>
          <w:rFonts w:ascii="Book Antiqua" w:eastAsia="Book Antiqua" w:hAnsi="Book Antiqua" w:cs="Book Antiqua"/>
          <w:color w:val="000000"/>
        </w:rPr>
        <w:t xml:space="preserve"> T, </w:t>
      </w:r>
      <w:proofErr w:type="spellStart"/>
      <w:r w:rsidRPr="00492007">
        <w:rPr>
          <w:rFonts w:ascii="Book Antiqua" w:eastAsia="Book Antiqua" w:hAnsi="Book Antiqua" w:cs="Book Antiqua"/>
          <w:color w:val="000000"/>
        </w:rPr>
        <w:t>Pomoni</w:t>
      </w:r>
      <w:proofErr w:type="spellEnd"/>
      <w:r w:rsidRPr="00492007">
        <w:rPr>
          <w:rFonts w:ascii="Book Antiqua" w:eastAsia="Book Antiqua" w:hAnsi="Book Antiqua" w:cs="Book Antiqua"/>
          <w:color w:val="000000"/>
        </w:rPr>
        <w:t xml:space="preserve"> M, </w:t>
      </w:r>
      <w:proofErr w:type="spellStart"/>
      <w:r w:rsidRPr="00492007">
        <w:rPr>
          <w:rFonts w:ascii="Book Antiqua" w:eastAsia="Book Antiqua" w:hAnsi="Book Antiqua" w:cs="Book Antiqua"/>
          <w:color w:val="000000"/>
        </w:rPr>
        <w:t>Moschouris</w:t>
      </w:r>
      <w:proofErr w:type="spellEnd"/>
      <w:r w:rsidRPr="00492007">
        <w:rPr>
          <w:rFonts w:ascii="Book Antiqua" w:eastAsia="Book Antiqua" w:hAnsi="Book Antiqua" w:cs="Book Antiqua"/>
          <w:color w:val="000000"/>
        </w:rPr>
        <w:t xml:space="preserve"> H, </w:t>
      </w:r>
      <w:proofErr w:type="spellStart"/>
      <w:r w:rsidRPr="00492007">
        <w:rPr>
          <w:rFonts w:ascii="Book Antiqua" w:eastAsia="Book Antiqua" w:hAnsi="Book Antiqua" w:cs="Book Antiqua"/>
          <w:color w:val="000000"/>
        </w:rPr>
        <w:t>Emmanouil</w:t>
      </w:r>
      <w:proofErr w:type="spellEnd"/>
      <w:r w:rsidRPr="00492007">
        <w:rPr>
          <w:rFonts w:ascii="Book Antiqua" w:eastAsia="Book Antiqua" w:hAnsi="Book Antiqua" w:cs="Book Antiqua"/>
          <w:color w:val="000000"/>
        </w:rPr>
        <w:t xml:space="preserve"> E, </w:t>
      </w:r>
      <w:proofErr w:type="spellStart"/>
      <w:r w:rsidRPr="00492007">
        <w:rPr>
          <w:rFonts w:ascii="Book Antiqua" w:eastAsia="Book Antiqua" w:hAnsi="Book Antiqua" w:cs="Book Antiqua"/>
          <w:color w:val="000000"/>
        </w:rPr>
        <w:t>Spiridopoulos</w:t>
      </w:r>
      <w:proofErr w:type="spellEnd"/>
      <w:r w:rsidRPr="00492007">
        <w:rPr>
          <w:rFonts w:ascii="Book Antiqua" w:eastAsia="Book Antiqua" w:hAnsi="Book Antiqua" w:cs="Book Antiqua"/>
          <w:color w:val="000000"/>
        </w:rPr>
        <w:t xml:space="preserve"> T, </w:t>
      </w:r>
      <w:proofErr w:type="spellStart"/>
      <w:r w:rsidRPr="00492007">
        <w:rPr>
          <w:rFonts w:ascii="Book Antiqua" w:eastAsia="Book Antiqua" w:hAnsi="Book Antiqua" w:cs="Book Antiqua"/>
          <w:color w:val="000000"/>
        </w:rPr>
        <w:t>Sotirchos</w:t>
      </w:r>
      <w:proofErr w:type="spellEnd"/>
      <w:r w:rsidRPr="00492007">
        <w:rPr>
          <w:rFonts w:ascii="Book Antiqua" w:eastAsia="Book Antiqua" w:hAnsi="Book Antiqua" w:cs="Book Antiqua"/>
          <w:color w:val="000000"/>
        </w:rPr>
        <w:t xml:space="preserve"> V, </w:t>
      </w:r>
      <w:proofErr w:type="spellStart"/>
      <w:r w:rsidRPr="00492007">
        <w:rPr>
          <w:rFonts w:ascii="Book Antiqua" w:eastAsia="Book Antiqua" w:hAnsi="Book Antiqua" w:cs="Book Antiqua"/>
          <w:color w:val="000000"/>
        </w:rPr>
        <w:t>Tandeles</w:t>
      </w:r>
      <w:proofErr w:type="spellEnd"/>
      <w:r w:rsidRPr="00492007">
        <w:rPr>
          <w:rFonts w:ascii="Book Antiqua" w:eastAsia="Book Antiqua" w:hAnsi="Book Antiqua" w:cs="Book Antiqua"/>
          <w:color w:val="000000"/>
        </w:rPr>
        <w:t xml:space="preserve"> S, </w:t>
      </w:r>
      <w:proofErr w:type="spellStart"/>
      <w:r w:rsidRPr="00492007">
        <w:rPr>
          <w:rFonts w:ascii="Book Antiqua" w:eastAsia="Book Antiqua" w:hAnsi="Book Antiqua" w:cs="Book Antiqua"/>
          <w:color w:val="000000"/>
        </w:rPr>
        <w:t>Koundouras</w:t>
      </w:r>
      <w:proofErr w:type="spellEnd"/>
      <w:r w:rsidRPr="00492007">
        <w:rPr>
          <w:rFonts w:ascii="Book Antiqua" w:eastAsia="Book Antiqua" w:hAnsi="Book Antiqua" w:cs="Book Antiqua"/>
          <w:color w:val="000000"/>
        </w:rPr>
        <w:t xml:space="preserve"> D, </w:t>
      </w:r>
      <w:proofErr w:type="spellStart"/>
      <w:r w:rsidRPr="00492007">
        <w:rPr>
          <w:rFonts w:ascii="Book Antiqua" w:eastAsia="Book Antiqua" w:hAnsi="Book Antiqua" w:cs="Book Antiqua"/>
          <w:color w:val="000000"/>
        </w:rPr>
        <w:t>Kelekis</w:t>
      </w:r>
      <w:proofErr w:type="spellEnd"/>
      <w:r w:rsidRPr="00492007">
        <w:rPr>
          <w:rFonts w:ascii="Book Antiqua" w:eastAsia="Book Antiqua" w:hAnsi="Book Antiqua" w:cs="Book Antiqua"/>
          <w:color w:val="000000"/>
        </w:rPr>
        <w:t xml:space="preserve"> A, </w:t>
      </w:r>
      <w:proofErr w:type="spellStart"/>
      <w:r w:rsidRPr="00492007">
        <w:rPr>
          <w:rFonts w:ascii="Book Antiqua" w:eastAsia="Book Antiqua" w:hAnsi="Book Antiqua" w:cs="Book Antiqua"/>
          <w:color w:val="000000"/>
        </w:rPr>
        <w:t>Filippiadis</w:t>
      </w:r>
      <w:proofErr w:type="spellEnd"/>
      <w:r w:rsidRPr="00492007">
        <w:rPr>
          <w:rFonts w:ascii="Book Antiqua" w:eastAsia="Book Antiqua" w:hAnsi="Book Antiqua" w:cs="Book Antiqua"/>
          <w:color w:val="000000"/>
        </w:rPr>
        <w:t xml:space="preserve"> D, </w:t>
      </w:r>
      <w:proofErr w:type="spellStart"/>
      <w:r w:rsidRPr="00492007">
        <w:rPr>
          <w:rFonts w:ascii="Book Antiqua" w:eastAsia="Book Antiqua" w:hAnsi="Book Antiqua" w:cs="Book Antiqua"/>
          <w:color w:val="000000"/>
        </w:rPr>
        <w:t>Charokopakis</w:t>
      </w:r>
      <w:proofErr w:type="spellEnd"/>
      <w:r w:rsidRPr="00492007">
        <w:rPr>
          <w:rFonts w:ascii="Book Antiqua" w:eastAsia="Book Antiqua" w:hAnsi="Book Antiqua" w:cs="Book Antiqua"/>
          <w:color w:val="000000"/>
        </w:rPr>
        <w:t xml:space="preserve"> A, </w:t>
      </w:r>
      <w:proofErr w:type="spellStart"/>
      <w:r w:rsidRPr="00492007">
        <w:rPr>
          <w:rFonts w:ascii="Book Antiqua" w:eastAsia="Book Antiqua" w:hAnsi="Book Antiqua" w:cs="Book Antiqua"/>
          <w:color w:val="000000"/>
        </w:rPr>
        <w:t>Bouma</w:t>
      </w:r>
      <w:proofErr w:type="spellEnd"/>
      <w:r w:rsidRPr="00492007">
        <w:rPr>
          <w:rFonts w:ascii="Book Antiqua" w:eastAsia="Book Antiqua" w:hAnsi="Book Antiqua" w:cs="Book Antiqua"/>
          <w:color w:val="000000"/>
        </w:rPr>
        <w:t xml:space="preserve"> E, </w:t>
      </w:r>
      <w:proofErr w:type="spellStart"/>
      <w:r w:rsidRPr="00492007">
        <w:rPr>
          <w:rFonts w:ascii="Book Antiqua" w:eastAsia="Book Antiqua" w:hAnsi="Book Antiqua" w:cs="Book Antiqua"/>
          <w:color w:val="000000"/>
        </w:rPr>
        <w:t>Chatziioannou</w:t>
      </w:r>
      <w:proofErr w:type="spellEnd"/>
      <w:r w:rsidRPr="00492007">
        <w:rPr>
          <w:rFonts w:ascii="Book Antiqua" w:eastAsia="Book Antiqua" w:hAnsi="Book Antiqua" w:cs="Book Antiqua"/>
          <w:color w:val="000000"/>
        </w:rPr>
        <w:t xml:space="preserve"> A, </w:t>
      </w:r>
      <w:proofErr w:type="spellStart"/>
      <w:r w:rsidRPr="00492007">
        <w:rPr>
          <w:rFonts w:ascii="Book Antiqua" w:eastAsia="Book Antiqua" w:hAnsi="Book Antiqua" w:cs="Book Antiqua"/>
          <w:color w:val="000000"/>
        </w:rPr>
        <w:t>Dourakis</w:t>
      </w:r>
      <w:proofErr w:type="spellEnd"/>
      <w:r w:rsidRPr="00492007">
        <w:rPr>
          <w:rFonts w:ascii="Book Antiqua" w:eastAsia="Book Antiqua" w:hAnsi="Book Antiqua" w:cs="Book Antiqua"/>
          <w:color w:val="000000"/>
        </w:rPr>
        <w:t xml:space="preserve"> S, </w:t>
      </w:r>
      <w:proofErr w:type="spellStart"/>
      <w:r w:rsidRPr="00492007">
        <w:rPr>
          <w:rFonts w:ascii="Book Antiqua" w:eastAsia="Book Antiqua" w:hAnsi="Book Antiqua" w:cs="Book Antiqua"/>
          <w:color w:val="000000"/>
        </w:rPr>
        <w:t>Koskinas</w:t>
      </w:r>
      <w:proofErr w:type="spellEnd"/>
      <w:r w:rsidRPr="00492007">
        <w:rPr>
          <w:rFonts w:ascii="Book Antiqua" w:eastAsia="Book Antiqua" w:hAnsi="Book Antiqua" w:cs="Book Antiqua"/>
          <w:color w:val="000000"/>
        </w:rPr>
        <w:t xml:space="preserve"> J, </w:t>
      </w:r>
      <w:proofErr w:type="spellStart"/>
      <w:r w:rsidRPr="00492007">
        <w:rPr>
          <w:rFonts w:ascii="Book Antiqua" w:eastAsia="Book Antiqua" w:hAnsi="Book Antiqua" w:cs="Book Antiqua"/>
          <w:color w:val="000000"/>
        </w:rPr>
        <w:t>Karampelas</w:t>
      </w:r>
      <w:proofErr w:type="spellEnd"/>
      <w:r w:rsidRPr="00492007">
        <w:rPr>
          <w:rFonts w:ascii="Book Antiqua" w:eastAsia="Book Antiqua" w:hAnsi="Book Antiqua" w:cs="Book Antiqua"/>
          <w:color w:val="000000"/>
        </w:rPr>
        <w:t xml:space="preserve"> T, </w:t>
      </w:r>
      <w:proofErr w:type="spellStart"/>
      <w:r w:rsidRPr="00492007">
        <w:rPr>
          <w:rFonts w:ascii="Book Antiqua" w:eastAsia="Book Antiqua" w:hAnsi="Book Antiqua" w:cs="Book Antiqua"/>
          <w:color w:val="000000"/>
        </w:rPr>
        <w:t>Tamvakopoulos</w:t>
      </w:r>
      <w:proofErr w:type="spellEnd"/>
      <w:r w:rsidRPr="00492007">
        <w:rPr>
          <w:rFonts w:ascii="Book Antiqua" w:eastAsia="Book Antiqua" w:hAnsi="Book Antiqua" w:cs="Book Antiqua"/>
          <w:color w:val="000000"/>
        </w:rPr>
        <w:t xml:space="preserve"> K, </w:t>
      </w:r>
      <w:proofErr w:type="spellStart"/>
      <w:r w:rsidRPr="00492007">
        <w:rPr>
          <w:rFonts w:ascii="Book Antiqua" w:eastAsia="Book Antiqua" w:hAnsi="Book Antiqua" w:cs="Book Antiqua"/>
          <w:color w:val="000000"/>
        </w:rPr>
        <w:t>Kelekis</w:t>
      </w:r>
      <w:proofErr w:type="spellEnd"/>
      <w:r w:rsidRPr="00492007">
        <w:rPr>
          <w:rFonts w:ascii="Book Antiqua" w:eastAsia="Book Antiqua" w:hAnsi="Book Antiqua" w:cs="Book Antiqua"/>
          <w:color w:val="000000"/>
        </w:rPr>
        <w:t xml:space="preserve"> N, </w:t>
      </w:r>
      <w:proofErr w:type="spellStart"/>
      <w:r w:rsidRPr="00492007">
        <w:rPr>
          <w:rFonts w:ascii="Book Antiqua" w:eastAsia="Book Antiqua" w:hAnsi="Book Antiqua" w:cs="Book Antiqua"/>
          <w:color w:val="000000"/>
        </w:rPr>
        <w:t>Kelekis</w:t>
      </w:r>
      <w:proofErr w:type="spellEnd"/>
      <w:r w:rsidRPr="00492007">
        <w:rPr>
          <w:rFonts w:ascii="Book Antiqua" w:eastAsia="Book Antiqua" w:hAnsi="Book Antiqua" w:cs="Book Antiqua"/>
          <w:color w:val="000000"/>
        </w:rPr>
        <w:t xml:space="preserve"> D. Pharmacokinetics, Safety, and Efficacy of Chemoembolization with Doxorubicin-Loaded Tightly Calibrated Small Microspheres in Patients with Hepatocellular Carcinoma. </w:t>
      </w:r>
      <w:proofErr w:type="spellStart"/>
      <w:r w:rsidRPr="00492007">
        <w:rPr>
          <w:rFonts w:ascii="Book Antiqua" w:eastAsia="Book Antiqua" w:hAnsi="Book Antiqua" w:cs="Book Antiqua"/>
          <w:i/>
          <w:iCs/>
          <w:color w:val="000000"/>
        </w:rPr>
        <w:t>Cardiovasc</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Intervent</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Radiol</w:t>
      </w:r>
      <w:proofErr w:type="spellEnd"/>
      <w:r w:rsidRPr="00492007">
        <w:rPr>
          <w:rFonts w:ascii="Book Antiqua" w:eastAsia="Book Antiqua" w:hAnsi="Book Antiqua" w:cs="Book Antiqua"/>
          <w:color w:val="000000"/>
        </w:rPr>
        <w:t xml:space="preserve"> 2016; </w:t>
      </w:r>
      <w:r w:rsidRPr="00492007">
        <w:rPr>
          <w:rFonts w:ascii="Book Antiqua" w:eastAsia="Book Antiqua" w:hAnsi="Book Antiqua" w:cs="Book Antiqua"/>
          <w:b/>
          <w:bCs/>
          <w:color w:val="000000"/>
        </w:rPr>
        <w:t>39</w:t>
      </w:r>
      <w:r w:rsidRPr="00492007">
        <w:rPr>
          <w:rFonts w:ascii="Book Antiqua" w:eastAsia="Book Antiqua" w:hAnsi="Book Antiqua" w:cs="Book Antiqua"/>
          <w:color w:val="000000"/>
        </w:rPr>
        <w:t>: 1379-1391 [PMID: 27393274 DOI: 10.1007/s00270-016-1382-6]</w:t>
      </w:r>
    </w:p>
    <w:p w14:paraId="5D4F451E"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14 </w:t>
      </w:r>
      <w:proofErr w:type="spellStart"/>
      <w:r w:rsidRPr="00492007">
        <w:rPr>
          <w:rFonts w:ascii="Book Antiqua" w:eastAsia="Book Antiqua" w:hAnsi="Book Antiqua" w:cs="Book Antiqua"/>
          <w:b/>
          <w:bCs/>
          <w:color w:val="000000"/>
        </w:rPr>
        <w:t>Urbano</w:t>
      </w:r>
      <w:proofErr w:type="spellEnd"/>
      <w:r w:rsidRPr="00492007">
        <w:rPr>
          <w:rFonts w:ascii="Book Antiqua" w:eastAsia="Book Antiqua" w:hAnsi="Book Antiqua" w:cs="Book Antiqua"/>
          <w:b/>
          <w:bCs/>
          <w:color w:val="000000"/>
        </w:rPr>
        <w:t xml:space="preserve"> J</w:t>
      </w:r>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Echevarria-Uraga</w:t>
      </w:r>
      <w:proofErr w:type="spellEnd"/>
      <w:r w:rsidRPr="00492007">
        <w:rPr>
          <w:rFonts w:ascii="Book Antiqua" w:eastAsia="Book Antiqua" w:hAnsi="Book Antiqua" w:cs="Book Antiqua"/>
          <w:color w:val="000000"/>
        </w:rPr>
        <w:t xml:space="preserve"> JJ, </w:t>
      </w:r>
      <w:proofErr w:type="spellStart"/>
      <w:r w:rsidRPr="00492007">
        <w:rPr>
          <w:rFonts w:ascii="Book Antiqua" w:eastAsia="Book Antiqua" w:hAnsi="Book Antiqua" w:cs="Book Antiqua"/>
          <w:color w:val="000000"/>
        </w:rPr>
        <w:t>Ciampi-Dopazo</w:t>
      </w:r>
      <w:proofErr w:type="spellEnd"/>
      <w:r w:rsidRPr="00492007">
        <w:rPr>
          <w:rFonts w:ascii="Book Antiqua" w:eastAsia="Book Antiqua" w:hAnsi="Book Antiqua" w:cs="Book Antiqua"/>
          <w:color w:val="000000"/>
        </w:rPr>
        <w:t xml:space="preserve"> JJ, Sánchez-Corral JA, </w:t>
      </w:r>
      <w:proofErr w:type="spellStart"/>
      <w:r w:rsidRPr="00492007">
        <w:rPr>
          <w:rFonts w:ascii="Book Antiqua" w:eastAsia="Book Antiqua" w:hAnsi="Book Antiqua" w:cs="Book Antiqua"/>
          <w:color w:val="000000"/>
        </w:rPr>
        <w:t>Cobos</w:t>
      </w:r>
      <w:proofErr w:type="spellEnd"/>
      <w:r w:rsidRPr="00492007">
        <w:rPr>
          <w:rFonts w:ascii="Book Antiqua" w:eastAsia="Book Antiqua" w:hAnsi="Book Antiqua" w:cs="Book Antiqua"/>
          <w:color w:val="000000"/>
        </w:rPr>
        <w:t xml:space="preserve"> Alonso J, Anton-</w:t>
      </w:r>
      <w:proofErr w:type="spellStart"/>
      <w:r w:rsidRPr="00492007">
        <w:rPr>
          <w:rFonts w:ascii="Book Antiqua" w:eastAsia="Book Antiqua" w:hAnsi="Book Antiqua" w:cs="Book Antiqua"/>
          <w:color w:val="000000"/>
        </w:rPr>
        <w:t>Ladislao</w:t>
      </w:r>
      <w:proofErr w:type="spellEnd"/>
      <w:r w:rsidRPr="00492007">
        <w:rPr>
          <w:rFonts w:ascii="Book Antiqua" w:eastAsia="Book Antiqua" w:hAnsi="Book Antiqua" w:cs="Book Antiqua"/>
          <w:color w:val="000000"/>
        </w:rPr>
        <w:t xml:space="preserve"> A, Peña-</w:t>
      </w:r>
      <w:proofErr w:type="spellStart"/>
      <w:r w:rsidRPr="00492007">
        <w:rPr>
          <w:rFonts w:ascii="Book Antiqua" w:eastAsia="Book Antiqua" w:hAnsi="Book Antiqua" w:cs="Book Antiqua"/>
          <w:color w:val="000000"/>
        </w:rPr>
        <w:t>Baranda</w:t>
      </w:r>
      <w:proofErr w:type="spellEnd"/>
      <w:r w:rsidRPr="00492007">
        <w:rPr>
          <w:rFonts w:ascii="Book Antiqua" w:eastAsia="Book Antiqua" w:hAnsi="Book Antiqua" w:cs="Book Antiqua"/>
          <w:color w:val="000000"/>
        </w:rPr>
        <w:t xml:space="preserve"> B, </w:t>
      </w:r>
      <w:proofErr w:type="spellStart"/>
      <w:r w:rsidRPr="00492007">
        <w:rPr>
          <w:rFonts w:ascii="Book Antiqua" w:eastAsia="Book Antiqua" w:hAnsi="Book Antiqua" w:cs="Book Antiqua"/>
          <w:color w:val="000000"/>
        </w:rPr>
        <w:t>Nacarino-Mejias</w:t>
      </w:r>
      <w:proofErr w:type="spellEnd"/>
      <w:r w:rsidRPr="00492007">
        <w:rPr>
          <w:rFonts w:ascii="Book Antiqua" w:eastAsia="Book Antiqua" w:hAnsi="Book Antiqua" w:cs="Book Antiqua"/>
          <w:color w:val="000000"/>
        </w:rPr>
        <w:t xml:space="preserve"> V, González-</w:t>
      </w:r>
      <w:proofErr w:type="spellStart"/>
      <w:r w:rsidRPr="00492007">
        <w:rPr>
          <w:rFonts w:ascii="Book Antiqua" w:eastAsia="Book Antiqua" w:hAnsi="Book Antiqua" w:cs="Book Antiqua"/>
          <w:color w:val="000000"/>
        </w:rPr>
        <w:t>Costero</w:t>
      </w:r>
      <w:proofErr w:type="spellEnd"/>
      <w:r w:rsidRPr="00492007">
        <w:rPr>
          <w:rFonts w:ascii="Book Antiqua" w:eastAsia="Book Antiqua" w:hAnsi="Book Antiqua" w:cs="Book Antiqua"/>
          <w:color w:val="000000"/>
        </w:rPr>
        <w:t xml:space="preserve"> R, Muñoz Ruiz-</w:t>
      </w:r>
      <w:proofErr w:type="spellStart"/>
      <w:r w:rsidRPr="00492007">
        <w:rPr>
          <w:rFonts w:ascii="Book Antiqua" w:eastAsia="Book Antiqua" w:hAnsi="Book Antiqua" w:cs="Book Antiqua"/>
          <w:color w:val="000000"/>
        </w:rPr>
        <w:t>Canela</w:t>
      </w:r>
      <w:proofErr w:type="spellEnd"/>
      <w:r w:rsidRPr="00492007">
        <w:rPr>
          <w:rFonts w:ascii="Book Antiqua" w:eastAsia="Book Antiqua" w:hAnsi="Book Antiqua" w:cs="Book Antiqua"/>
          <w:color w:val="000000"/>
        </w:rPr>
        <w:t xml:space="preserve"> JJ, Pérez-Cuesta J, </w:t>
      </w:r>
      <w:proofErr w:type="spellStart"/>
      <w:r w:rsidRPr="00492007">
        <w:rPr>
          <w:rFonts w:ascii="Book Antiqua" w:eastAsia="Book Antiqua" w:hAnsi="Book Antiqua" w:cs="Book Antiqua"/>
          <w:color w:val="000000"/>
        </w:rPr>
        <w:t>Lanciego</w:t>
      </w:r>
      <w:proofErr w:type="spellEnd"/>
      <w:r w:rsidRPr="00492007">
        <w:rPr>
          <w:rFonts w:ascii="Book Antiqua" w:eastAsia="Book Antiqua" w:hAnsi="Book Antiqua" w:cs="Book Antiqua"/>
          <w:color w:val="000000"/>
        </w:rPr>
        <w:t xml:space="preserve"> C, de Gregorio MA. </w:t>
      </w:r>
      <w:proofErr w:type="spellStart"/>
      <w:r w:rsidRPr="00492007">
        <w:rPr>
          <w:rFonts w:ascii="Book Antiqua" w:eastAsia="Book Antiqua" w:hAnsi="Book Antiqua" w:cs="Book Antiqua"/>
          <w:color w:val="000000"/>
        </w:rPr>
        <w:t>Multicentre</w:t>
      </w:r>
      <w:proofErr w:type="spellEnd"/>
      <w:r w:rsidRPr="00492007">
        <w:rPr>
          <w:rFonts w:ascii="Book Antiqua" w:eastAsia="Book Antiqua" w:hAnsi="Book Antiqua" w:cs="Book Antiqua"/>
          <w:color w:val="000000"/>
        </w:rPr>
        <w:t xml:space="preserve"> prospective study of drug-eluting bead </w:t>
      </w:r>
      <w:proofErr w:type="spellStart"/>
      <w:r w:rsidRPr="00492007">
        <w:rPr>
          <w:rFonts w:ascii="Book Antiqua" w:eastAsia="Book Antiqua" w:hAnsi="Book Antiqua" w:cs="Book Antiqua"/>
          <w:color w:val="000000"/>
        </w:rPr>
        <w:t>chemoembolisation</w:t>
      </w:r>
      <w:proofErr w:type="spellEnd"/>
      <w:r w:rsidRPr="00492007">
        <w:rPr>
          <w:rFonts w:ascii="Book Antiqua" w:eastAsia="Book Antiqua" w:hAnsi="Book Antiqua" w:cs="Book Antiqua"/>
          <w:color w:val="000000"/>
        </w:rPr>
        <w:t xml:space="preserve"> safety using tightly calibrated small microspheres in non-</w:t>
      </w:r>
      <w:proofErr w:type="spellStart"/>
      <w:r w:rsidRPr="00492007">
        <w:rPr>
          <w:rFonts w:ascii="Book Antiqua" w:eastAsia="Book Antiqua" w:hAnsi="Book Antiqua" w:cs="Book Antiqua"/>
          <w:color w:val="000000"/>
        </w:rPr>
        <w:t>resectable</w:t>
      </w:r>
      <w:proofErr w:type="spellEnd"/>
      <w:r w:rsidRPr="00492007">
        <w:rPr>
          <w:rFonts w:ascii="Book Antiqua" w:eastAsia="Book Antiqua" w:hAnsi="Book Antiqua" w:cs="Book Antiqua"/>
          <w:color w:val="000000"/>
        </w:rPr>
        <w:t xml:space="preserve"> hepatocellular carcinoma. </w:t>
      </w:r>
      <w:proofErr w:type="spellStart"/>
      <w:r w:rsidRPr="00492007">
        <w:rPr>
          <w:rFonts w:ascii="Book Antiqua" w:eastAsia="Book Antiqua" w:hAnsi="Book Antiqua" w:cs="Book Antiqua"/>
          <w:i/>
          <w:iCs/>
          <w:color w:val="000000"/>
        </w:rPr>
        <w:t>Eur</w:t>
      </w:r>
      <w:proofErr w:type="spellEnd"/>
      <w:r w:rsidRPr="00492007">
        <w:rPr>
          <w:rFonts w:ascii="Book Antiqua" w:eastAsia="Book Antiqua" w:hAnsi="Book Antiqua" w:cs="Book Antiqua"/>
          <w:i/>
          <w:iCs/>
          <w:color w:val="000000"/>
        </w:rPr>
        <w:t xml:space="preserve"> J </w:t>
      </w:r>
      <w:proofErr w:type="spellStart"/>
      <w:r w:rsidRPr="00492007">
        <w:rPr>
          <w:rFonts w:ascii="Book Antiqua" w:eastAsia="Book Antiqua" w:hAnsi="Book Antiqua" w:cs="Book Antiqua"/>
          <w:i/>
          <w:iCs/>
          <w:color w:val="000000"/>
        </w:rPr>
        <w:t>Radiol</w:t>
      </w:r>
      <w:proofErr w:type="spellEnd"/>
      <w:r w:rsidRPr="00492007">
        <w:rPr>
          <w:rFonts w:ascii="Book Antiqua" w:eastAsia="Book Antiqua" w:hAnsi="Book Antiqua" w:cs="Book Antiqua"/>
          <w:color w:val="000000"/>
        </w:rPr>
        <w:t xml:space="preserve"> 2020; </w:t>
      </w:r>
      <w:r w:rsidRPr="00492007">
        <w:rPr>
          <w:rFonts w:ascii="Book Antiqua" w:eastAsia="Book Antiqua" w:hAnsi="Book Antiqua" w:cs="Book Antiqua"/>
          <w:b/>
          <w:bCs/>
          <w:color w:val="000000"/>
        </w:rPr>
        <w:t>126</w:t>
      </w:r>
      <w:r w:rsidRPr="00492007">
        <w:rPr>
          <w:rFonts w:ascii="Book Antiqua" w:eastAsia="Book Antiqua" w:hAnsi="Book Antiqua" w:cs="Book Antiqua"/>
          <w:color w:val="000000"/>
        </w:rPr>
        <w:t>: 108966 [PMID: 32278280 DOI: 10.1016/j.ejrad.2020.108966]</w:t>
      </w:r>
    </w:p>
    <w:p w14:paraId="451B71E8"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15 </w:t>
      </w:r>
      <w:proofErr w:type="spellStart"/>
      <w:r w:rsidRPr="00492007">
        <w:rPr>
          <w:rFonts w:ascii="Book Antiqua" w:eastAsia="Book Antiqua" w:hAnsi="Book Antiqua" w:cs="Book Antiqua"/>
          <w:b/>
          <w:bCs/>
          <w:color w:val="000000"/>
        </w:rPr>
        <w:t>Huo</w:t>
      </w:r>
      <w:proofErr w:type="spellEnd"/>
      <w:r w:rsidRPr="00492007">
        <w:rPr>
          <w:rFonts w:ascii="Book Antiqua" w:eastAsia="Book Antiqua" w:hAnsi="Book Antiqua" w:cs="Book Antiqua"/>
          <w:b/>
          <w:bCs/>
          <w:color w:val="000000"/>
        </w:rPr>
        <w:t xml:space="preserve"> YR</w:t>
      </w:r>
      <w:r w:rsidRPr="00492007">
        <w:rPr>
          <w:rFonts w:ascii="Book Antiqua" w:eastAsia="Book Antiqua" w:hAnsi="Book Antiqua" w:cs="Book Antiqua"/>
          <w:color w:val="000000"/>
        </w:rPr>
        <w:t xml:space="preserve">, Xiang H, Chan MV, Chan C. Survival, </w:t>
      </w:r>
      <w:proofErr w:type="spellStart"/>
      <w:r w:rsidRPr="00492007">
        <w:rPr>
          <w:rFonts w:ascii="Book Antiqua" w:eastAsia="Book Antiqua" w:hAnsi="Book Antiqua" w:cs="Book Antiqua"/>
          <w:color w:val="000000"/>
        </w:rPr>
        <w:t>tumour</w:t>
      </w:r>
      <w:proofErr w:type="spellEnd"/>
      <w:r w:rsidRPr="00492007">
        <w:rPr>
          <w:rFonts w:ascii="Book Antiqua" w:eastAsia="Book Antiqua" w:hAnsi="Book Antiqua" w:cs="Book Antiqua"/>
          <w:color w:val="000000"/>
        </w:rPr>
        <w:t xml:space="preserve"> response and safety of 70-150 </w:t>
      </w:r>
      <w:proofErr w:type="spellStart"/>
      <w:r w:rsidRPr="00492007">
        <w:rPr>
          <w:rFonts w:ascii="Book Antiqua" w:eastAsia="Book Antiqua" w:hAnsi="Book Antiqua" w:cs="Book Antiqua"/>
          <w:color w:val="000000"/>
        </w:rPr>
        <w:t>μm</w:t>
      </w:r>
      <w:proofErr w:type="spellEnd"/>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i/>
          <w:iCs/>
          <w:color w:val="000000"/>
        </w:rPr>
        <w:t>vs</w:t>
      </w:r>
      <w:proofErr w:type="spellEnd"/>
      <w:r w:rsidRPr="00492007">
        <w:rPr>
          <w:rFonts w:ascii="Book Antiqua" w:eastAsia="Book Antiqua" w:hAnsi="Book Antiqua" w:cs="Book Antiqua"/>
          <w:color w:val="000000"/>
        </w:rPr>
        <w:t xml:space="preserve"> 100-300 </w:t>
      </w:r>
      <w:proofErr w:type="spellStart"/>
      <w:r w:rsidRPr="00492007">
        <w:rPr>
          <w:rFonts w:ascii="Book Antiqua" w:eastAsia="Book Antiqua" w:hAnsi="Book Antiqua" w:cs="Book Antiqua"/>
          <w:color w:val="000000"/>
        </w:rPr>
        <w:t>μm</w:t>
      </w:r>
      <w:proofErr w:type="spellEnd"/>
      <w:r w:rsidRPr="00492007">
        <w:rPr>
          <w:rFonts w:ascii="Book Antiqua" w:eastAsia="Book Antiqua" w:hAnsi="Book Antiqua" w:cs="Book Antiqua"/>
          <w:color w:val="000000"/>
        </w:rPr>
        <w:t xml:space="preserve"> doxorubicin drug-eluting beads in </w:t>
      </w:r>
      <w:proofErr w:type="spellStart"/>
      <w:r w:rsidRPr="00492007">
        <w:rPr>
          <w:rFonts w:ascii="Book Antiqua" w:eastAsia="Book Antiqua" w:hAnsi="Book Antiqua" w:cs="Book Antiqua"/>
          <w:color w:val="000000"/>
        </w:rPr>
        <w:t>transarterial</w:t>
      </w:r>
      <w:proofErr w:type="spellEnd"/>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chemoembolisation</w:t>
      </w:r>
      <w:proofErr w:type="spellEnd"/>
      <w:r w:rsidRPr="00492007">
        <w:rPr>
          <w:rFonts w:ascii="Book Antiqua" w:eastAsia="Book Antiqua" w:hAnsi="Book Antiqua" w:cs="Book Antiqua"/>
          <w:color w:val="000000"/>
        </w:rPr>
        <w:t xml:space="preserve"> </w:t>
      </w:r>
      <w:r w:rsidRPr="00492007">
        <w:rPr>
          <w:rFonts w:ascii="Book Antiqua" w:eastAsia="Book Antiqua" w:hAnsi="Book Antiqua" w:cs="Book Antiqua"/>
          <w:color w:val="000000"/>
        </w:rPr>
        <w:lastRenderedPageBreak/>
        <w:t xml:space="preserve">for hepatocellular carcinoma. </w:t>
      </w:r>
      <w:r w:rsidRPr="00492007">
        <w:rPr>
          <w:rFonts w:ascii="Book Antiqua" w:eastAsia="Book Antiqua" w:hAnsi="Book Antiqua" w:cs="Book Antiqua"/>
          <w:i/>
          <w:iCs/>
          <w:color w:val="000000"/>
        </w:rPr>
        <w:t xml:space="preserve">J Med Imaging </w:t>
      </w:r>
      <w:proofErr w:type="spellStart"/>
      <w:r w:rsidRPr="00492007">
        <w:rPr>
          <w:rFonts w:ascii="Book Antiqua" w:eastAsia="Book Antiqua" w:hAnsi="Book Antiqua" w:cs="Book Antiqua"/>
          <w:i/>
          <w:iCs/>
          <w:color w:val="000000"/>
        </w:rPr>
        <w:t>Radiat</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Oncol</w:t>
      </w:r>
      <w:proofErr w:type="spellEnd"/>
      <w:r w:rsidRPr="00492007">
        <w:rPr>
          <w:rFonts w:ascii="Book Antiqua" w:eastAsia="Book Antiqua" w:hAnsi="Book Antiqua" w:cs="Book Antiqua"/>
          <w:color w:val="000000"/>
        </w:rPr>
        <w:t xml:space="preserve"> 2019; </w:t>
      </w:r>
      <w:r w:rsidRPr="00492007">
        <w:rPr>
          <w:rFonts w:ascii="Book Antiqua" w:eastAsia="Book Antiqua" w:hAnsi="Book Antiqua" w:cs="Book Antiqua"/>
          <w:b/>
          <w:bCs/>
          <w:color w:val="000000"/>
        </w:rPr>
        <w:t>63</w:t>
      </w:r>
      <w:r w:rsidRPr="00492007">
        <w:rPr>
          <w:rFonts w:ascii="Book Antiqua" w:eastAsia="Book Antiqua" w:hAnsi="Book Antiqua" w:cs="Book Antiqua"/>
          <w:color w:val="000000"/>
        </w:rPr>
        <w:t>: 802-811 [PMID: 31709778 DOI: 10.1111/1754-9485.12971]</w:t>
      </w:r>
    </w:p>
    <w:p w14:paraId="48EDA99F"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16 </w:t>
      </w:r>
      <w:r w:rsidRPr="00492007">
        <w:rPr>
          <w:rFonts w:ascii="Book Antiqua" w:eastAsia="Book Antiqua" w:hAnsi="Book Antiqua" w:cs="Book Antiqua"/>
          <w:b/>
          <w:bCs/>
          <w:color w:val="000000"/>
        </w:rPr>
        <w:t>Kang YJ</w:t>
      </w:r>
      <w:r w:rsidRPr="00492007">
        <w:rPr>
          <w:rFonts w:ascii="Book Antiqua" w:eastAsia="Book Antiqua" w:hAnsi="Book Antiqua" w:cs="Book Antiqua"/>
          <w:color w:val="000000"/>
        </w:rPr>
        <w:t xml:space="preserve">, Lee BC, Kim JK, </w:t>
      </w:r>
      <w:proofErr w:type="spellStart"/>
      <w:r w:rsidRPr="00492007">
        <w:rPr>
          <w:rFonts w:ascii="Book Antiqua" w:eastAsia="Book Antiqua" w:hAnsi="Book Antiqua" w:cs="Book Antiqua"/>
          <w:color w:val="000000"/>
        </w:rPr>
        <w:t>Yim</w:t>
      </w:r>
      <w:proofErr w:type="spellEnd"/>
      <w:r w:rsidRPr="00492007">
        <w:rPr>
          <w:rFonts w:ascii="Book Antiqua" w:eastAsia="Book Antiqua" w:hAnsi="Book Antiqua" w:cs="Book Antiqua"/>
          <w:color w:val="000000"/>
        </w:rPr>
        <w:t xml:space="preserve"> NY, Kim HO, Cho SB, </w:t>
      </w:r>
      <w:proofErr w:type="spellStart"/>
      <w:r w:rsidRPr="00492007">
        <w:rPr>
          <w:rFonts w:ascii="Book Antiqua" w:eastAsia="Book Antiqua" w:hAnsi="Book Antiqua" w:cs="Book Antiqua"/>
          <w:color w:val="000000"/>
        </w:rPr>
        <w:t>Jeong</w:t>
      </w:r>
      <w:proofErr w:type="spellEnd"/>
      <w:r w:rsidRPr="00492007">
        <w:rPr>
          <w:rFonts w:ascii="Book Antiqua" w:eastAsia="Book Antiqua" w:hAnsi="Book Antiqua" w:cs="Book Antiqua"/>
          <w:color w:val="000000"/>
        </w:rPr>
        <w:t xml:space="preserve"> YY. Conventional Versus Small Doxorubicin-eluting Bead </w:t>
      </w:r>
      <w:proofErr w:type="spellStart"/>
      <w:r w:rsidRPr="00492007">
        <w:rPr>
          <w:rFonts w:ascii="Book Antiqua" w:eastAsia="Book Antiqua" w:hAnsi="Book Antiqua" w:cs="Book Antiqua"/>
          <w:color w:val="000000"/>
        </w:rPr>
        <w:t>Transcatheter</w:t>
      </w:r>
      <w:proofErr w:type="spellEnd"/>
      <w:r w:rsidRPr="00492007">
        <w:rPr>
          <w:rFonts w:ascii="Book Antiqua" w:eastAsia="Book Antiqua" w:hAnsi="Book Antiqua" w:cs="Book Antiqua"/>
          <w:color w:val="000000"/>
        </w:rPr>
        <w:t xml:space="preserve"> Arterial Chemoembolization for Treating Barcelona Clinic Liver Cancer Stage 0/A Hepatocellular Carcinoma. </w:t>
      </w:r>
      <w:proofErr w:type="spellStart"/>
      <w:r w:rsidRPr="00492007">
        <w:rPr>
          <w:rFonts w:ascii="Book Antiqua" w:eastAsia="Book Antiqua" w:hAnsi="Book Antiqua" w:cs="Book Antiqua"/>
          <w:i/>
          <w:iCs/>
          <w:color w:val="000000"/>
        </w:rPr>
        <w:t>Cardiovasc</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Intervent</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Radiol</w:t>
      </w:r>
      <w:proofErr w:type="spellEnd"/>
      <w:r w:rsidRPr="00492007">
        <w:rPr>
          <w:rFonts w:ascii="Book Antiqua" w:eastAsia="Book Antiqua" w:hAnsi="Book Antiqua" w:cs="Book Antiqua"/>
          <w:color w:val="000000"/>
        </w:rPr>
        <w:t xml:space="preserve"> 2020; </w:t>
      </w:r>
      <w:r w:rsidRPr="00492007">
        <w:rPr>
          <w:rFonts w:ascii="Book Antiqua" w:eastAsia="Book Antiqua" w:hAnsi="Book Antiqua" w:cs="Book Antiqua"/>
          <w:b/>
          <w:bCs/>
          <w:color w:val="000000"/>
        </w:rPr>
        <w:t>43</w:t>
      </w:r>
      <w:r w:rsidRPr="00492007">
        <w:rPr>
          <w:rFonts w:ascii="Book Antiqua" w:eastAsia="Book Antiqua" w:hAnsi="Book Antiqua" w:cs="Book Antiqua"/>
          <w:color w:val="000000"/>
        </w:rPr>
        <w:t>: 55-64 [PMID: 31646378 DOI: 10.1007/s00270-019-02349-9]</w:t>
      </w:r>
    </w:p>
    <w:p w14:paraId="60911885"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17 </w:t>
      </w:r>
      <w:r w:rsidRPr="00492007">
        <w:rPr>
          <w:rFonts w:ascii="Book Antiqua" w:eastAsia="Book Antiqua" w:hAnsi="Book Antiqua" w:cs="Book Antiqua"/>
          <w:b/>
          <w:bCs/>
          <w:color w:val="000000"/>
        </w:rPr>
        <w:t>Luz JH</w:t>
      </w:r>
      <w:r w:rsidRPr="00492007">
        <w:rPr>
          <w:rFonts w:ascii="Book Antiqua" w:eastAsia="Book Antiqua" w:hAnsi="Book Antiqua" w:cs="Book Antiqua"/>
          <w:color w:val="000000"/>
        </w:rPr>
        <w:t xml:space="preserve">, Luz PM, Martin HS, </w:t>
      </w:r>
      <w:proofErr w:type="spellStart"/>
      <w:r w:rsidRPr="00492007">
        <w:rPr>
          <w:rFonts w:ascii="Book Antiqua" w:eastAsia="Book Antiqua" w:hAnsi="Book Antiqua" w:cs="Book Antiqua"/>
          <w:color w:val="000000"/>
        </w:rPr>
        <w:t>Gouveia</w:t>
      </w:r>
      <w:proofErr w:type="spellEnd"/>
      <w:r w:rsidRPr="00492007">
        <w:rPr>
          <w:rFonts w:ascii="Book Antiqua" w:eastAsia="Book Antiqua" w:hAnsi="Book Antiqua" w:cs="Book Antiqua"/>
          <w:color w:val="000000"/>
        </w:rPr>
        <w:t xml:space="preserve"> HR, </w:t>
      </w:r>
      <w:proofErr w:type="spellStart"/>
      <w:r w:rsidRPr="00492007">
        <w:rPr>
          <w:rFonts w:ascii="Book Antiqua" w:eastAsia="Book Antiqua" w:hAnsi="Book Antiqua" w:cs="Book Antiqua"/>
          <w:color w:val="000000"/>
        </w:rPr>
        <w:t>Levigard</w:t>
      </w:r>
      <w:proofErr w:type="spellEnd"/>
      <w:r w:rsidRPr="00492007">
        <w:rPr>
          <w:rFonts w:ascii="Book Antiqua" w:eastAsia="Book Antiqua" w:hAnsi="Book Antiqua" w:cs="Book Antiqua"/>
          <w:color w:val="000000"/>
        </w:rPr>
        <w:t xml:space="preserve"> RB, </w:t>
      </w:r>
      <w:proofErr w:type="spellStart"/>
      <w:r w:rsidRPr="00492007">
        <w:rPr>
          <w:rFonts w:ascii="Book Antiqua" w:eastAsia="Book Antiqua" w:hAnsi="Book Antiqua" w:cs="Book Antiqua"/>
          <w:color w:val="000000"/>
        </w:rPr>
        <w:t>Nogueira</w:t>
      </w:r>
      <w:proofErr w:type="spellEnd"/>
      <w:r w:rsidRPr="00492007">
        <w:rPr>
          <w:rFonts w:ascii="Book Antiqua" w:eastAsia="Book Antiqua" w:hAnsi="Book Antiqua" w:cs="Book Antiqua"/>
          <w:color w:val="000000"/>
        </w:rPr>
        <w:t xml:space="preserve"> FD, Rodrigues BC, de Miranda TN, </w:t>
      </w:r>
      <w:proofErr w:type="spellStart"/>
      <w:r w:rsidRPr="00492007">
        <w:rPr>
          <w:rFonts w:ascii="Book Antiqua" w:eastAsia="Book Antiqua" w:hAnsi="Book Antiqua" w:cs="Book Antiqua"/>
          <w:color w:val="000000"/>
        </w:rPr>
        <w:t>Mamede</w:t>
      </w:r>
      <w:proofErr w:type="spellEnd"/>
      <w:r w:rsidRPr="00492007">
        <w:rPr>
          <w:rFonts w:ascii="Book Antiqua" w:eastAsia="Book Antiqua" w:hAnsi="Book Antiqua" w:cs="Book Antiqua"/>
          <w:color w:val="000000"/>
        </w:rPr>
        <w:t xml:space="preserve"> MH. DEB TACE for Intermediate and advanced HCC - Initial Experience in a Brazilian Cancer Center. </w:t>
      </w:r>
      <w:r w:rsidRPr="00492007">
        <w:rPr>
          <w:rFonts w:ascii="Book Antiqua" w:eastAsia="Book Antiqua" w:hAnsi="Book Antiqua" w:cs="Book Antiqua"/>
          <w:i/>
          <w:iCs/>
          <w:color w:val="000000"/>
        </w:rPr>
        <w:t>Cancer Imaging</w:t>
      </w:r>
      <w:r w:rsidRPr="00492007">
        <w:rPr>
          <w:rFonts w:ascii="Book Antiqua" w:eastAsia="Book Antiqua" w:hAnsi="Book Antiqua" w:cs="Book Antiqua"/>
          <w:color w:val="000000"/>
        </w:rPr>
        <w:t xml:space="preserve"> 2017; </w:t>
      </w:r>
      <w:r w:rsidRPr="00492007">
        <w:rPr>
          <w:rFonts w:ascii="Book Antiqua" w:eastAsia="Book Antiqua" w:hAnsi="Book Antiqua" w:cs="Book Antiqua"/>
          <w:b/>
          <w:bCs/>
          <w:color w:val="000000"/>
        </w:rPr>
        <w:t>17</w:t>
      </w:r>
      <w:r w:rsidRPr="00492007">
        <w:rPr>
          <w:rFonts w:ascii="Book Antiqua" w:eastAsia="Book Antiqua" w:hAnsi="Book Antiqua" w:cs="Book Antiqua"/>
          <w:color w:val="000000"/>
        </w:rPr>
        <w:t>: 5 [PMID: 28166821 DOI: 10.1186/s40644-017-0108-6]</w:t>
      </w:r>
    </w:p>
    <w:p w14:paraId="39668567"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18 </w:t>
      </w:r>
      <w:r w:rsidRPr="00492007">
        <w:rPr>
          <w:rFonts w:ascii="Book Antiqua" w:eastAsia="Book Antiqua" w:hAnsi="Book Antiqua" w:cs="Book Antiqua"/>
          <w:b/>
          <w:bCs/>
          <w:color w:val="000000"/>
        </w:rPr>
        <w:t>Mikhail AS</w:t>
      </w:r>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Negussie</w:t>
      </w:r>
      <w:proofErr w:type="spellEnd"/>
      <w:r w:rsidRPr="00492007">
        <w:rPr>
          <w:rFonts w:ascii="Book Antiqua" w:eastAsia="Book Antiqua" w:hAnsi="Book Antiqua" w:cs="Book Antiqua"/>
          <w:color w:val="000000"/>
        </w:rPr>
        <w:t xml:space="preserve"> AH, </w:t>
      </w:r>
      <w:proofErr w:type="spellStart"/>
      <w:r w:rsidRPr="00492007">
        <w:rPr>
          <w:rFonts w:ascii="Book Antiqua" w:eastAsia="Book Antiqua" w:hAnsi="Book Antiqua" w:cs="Book Antiqua"/>
          <w:color w:val="000000"/>
        </w:rPr>
        <w:t>Mauda-Havakuk</w:t>
      </w:r>
      <w:proofErr w:type="spellEnd"/>
      <w:r w:rsidRPr="00492007">
        <w:rPr>
          <w:rFonts w:ascii="Book Antiqua" w:eastAsia="Book Antiqua" w:hAnsi="Book Antiqua" w:cs="Book Antiqua"/>
          <w:color w:val="000000"/>
        </w:rPr>
        <w:t xml:space="preserve"> M, Owen JW, Pritchard WF, Lewis AL, Wood BJ. Drug-eluting embolic microspheres: State-of-the-art and emerging clinical applications. </w:t>
      </w:r>
      <w:r w:rsidRPr="00492007">
        <w:rPr>
          <w:rFonts w:ascii="Book Antiqua" w:eastAsia="Book Antiqua" w:hAnsi="Book Antiqua" w:cs="Book Antiqua"/>
          <w:i/>
          <w:iCs/>
          <w:color w:val="000000"/>
        </w:rPr>
        <w:t xml:space="preserve">Expert </w:t>
      </w:r>
      <w:proofErr w:type="spellStart"/>
      <w:r w:rsidRPr="00492007">
        <w:rPr>
          <w:rFonts w:ascii="Book Antiqua" w:eastAsia="Book Antiqua" w:hAnsi="Book Antiqua" w:cs="Book Antiqua"/>
          <w:i/>
          <w:iCs/>
          <w:color w:val="000000"/>
        </w:rPr>
        <w:t>Opin</w:t>
      </w:r>
      <w:proofErr w:type="spellEnd"/>
      <w:r w:rsidRPr="00492007">
        <w:rPr>
          <w:rFonts w:ascii="Book Antiqua" w:eastAsia="Book Antiqua" w:hAnsi="Book Antiqua" w:cs="Book Antiqua"/>
          <w:i/>
          <w:iCs/>
          <w:color w:val="000000"/>
        </w:rPr>
        <w:t xml:space="preserve"> Drug </w:t>
      </w:r>
      <w:proofErr w:type="spellStart"/>
      <w:r w:rsidRPr="00492007">
        <w:rPr>
          <w:rFonts w:ascii="Book Antiqua" w:eastAsia="Book Antiqua" w:hAnsi="Book Antiqua" w:cs="Book Antiqua"/>
          <w:i/>
          <w:iCs/>
          <w:color w:val="000000"/>
        </w:rPr>
        <w:t>Deliv</w:t>
      </w:r>
      <w:proofErr w:type="spellEnd"/>
      <w:r w:rsidRPr="00492007">
        <w:rPr>
          <w:rFonts w:ascii="Book Antiqua" w:eastAsia="Book Antiqua" w:hAnsi="Book Antiqua" w:cs="Book Antiqua"/>
          <w:color w:val="000000"/>
        </w:rPr>
        <w:t xml:space="preserve"> 2021; </w:t>
      </w:r>
      <w:r w:rsidRPr="00492007">
        <w:rPr>
          <w:rFonts w:ascii="Book Antiqua" w:eastAsia="Book Antiqua" w:hAnsi="Book Antiqua" w:cs="Book Antiqua"/>
          <w:b/>
          <w:bCs/>
          <w:color w:val="000000"/>
        </w:rPr>
        <w:t>18</w:t>
      </w:r>
      <w:r w:rsidRPr="00492007">
        <w:rPr>
          <w:rFonts w:ascii="Book Antiqua" w:eastAsia="Book Antiqua" w:hAnsi="Book Antiqua" w:cs="Book Antiqua"/>
          <w:color w:val="000000"/>
        </w:rPr>
        <w:t>: 383-398 [PMID: 33480306 DOI: 10.1080/17425247.2021.1835858]</w:t>
      </w:r>
    </w:p>
    <w:p w14:paraId="2D188727"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19 </w:t>
      </w:r>
      <w:r w:rsidRPr="00492007">
        <w:rPr>
          <w:rFonts w:ascii="Book Antiqua" w:eastAsia="Book Antiqua" w:hAnsi="Book Antiqua" w:cs="Book Antiqua"/>
          <w:b/>
          <w:bCs/>
          <w:color w:val="000000"/>
        </w:rPr>
        <w:t xml:space="preserve">de </w:t>
      </w:r>
      <w:proofErr w:type="spellStart"/>
      <w:r w:rsidRPr="00492007">
        <w:rPr>
          <w:rFonts w:ascii="Book Antiqua" w:eastAsia="Book Antiqua" w:hAnsi="Book Antiqua" w:cs="Book Antiqua"/>
          <w:b/>
          <w:bCs/>
          <w:color w:val="000000"/>
        </w:rPr>
        <w:t>Baere</w:t>
      </w:r>
      <w:proofErr w:type="spellEnd"/>
      <w:r w:rsidRPr="00492007">
        <w:rPr>
          <w:rFonts w:ascii="Book Antiqua" w:eastAsia="Book Antiqua" w:hAnsi="Book Antiqua" w:cs="Book Antiqua"/>
          <w:b/>
          <w:bCs/>
          <w:color w:val="000000"/>
        </w:rPr>
        <w:t xml:space="preserve"> T</w:t>
      </w:r>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Guiu</w:t>
      </w:r>
      <w:proofErr w:type="spellEnd"/>
      <w:r w:rsidRPr="00492007">
        <w:rPr>
          <w:rFonts w:ascii="Book Antiqua" w:eastAsia="Book Antiqua" w:hAnsi="Book Antiqua" w:cs="Book Antiqua"/>
          <w:color w:val="000000"/>
        </w:rPr>
        <w:t xml:space="preserve"> B, </w:t>
      </w:r>
      <w:proofErr w:type="spellStart"/>
      <w:r w:rsidRPr="00492007">
        <w:rPr>
          <w:rFonts w:ascii="Book Antiqua" w:eastAsia="Book Antiqua" w:hAnsi="Book Antiqua" w:cs="Book Antiqua"/>
          <w:color w:val="000000"/>
        </w:rPr>
        <w:t>Ronot</w:t>
      </w:r>
      <w:proofErr w:type="spellEnd"/>
      <w:r w:rsidRPr="00492007">
        <w:rPr>
          <w:rFonts w:ascii="Book Antiqua" w:eastAsia="Book Antiqua" w:hAnsi="Book Antiqua" w:cs="Book Antiqua"/>
          <w:color w:val="000000"/>
        </w:rPr>
        <w:t xml:space="preserve"> M, </w:t>
      </w:r>
      <w:proofErr w:type="spellStart"/>
      <w:r w:rsidRPr="00492007">
        <w:rPr>
          <w:rFonts w:ascii="Book Antiqua" w:eastAsia="Book Antiqua" w:hAnsi="Book Antiqua" w:cs="Book Antiqua"/>
          <w:color w:val="000000"/>
        </w:rPr>
        <w:t>Chevallier</w:t>
      </w:r>
      <w:proofErr w:type="spellEnd"/>
      <w:r w:rsidRPr="00492007">
        <w:rPr>
          <w:rFonts w:ascii="Book Antiqua" w:eastAsia="Book Antiqua" w:hAnsi="Book Antiqua" w:cs="Book Antiqua"/>
          <w:color w:val="000000"/>
        </w:rPr>
        <w:t xml:space="preserve"> P, </w:t>
      </w:r>
      <w:proofErr w:type="spellStart"/>
      <w:r w:rsidRPr="00492007">
        <w:rPr>
          <w:rFonts w:ascii="Book Antiqua" w:eastAsia="Book Antiqua" w:hAnsi="Book Antiqua" w:cs="Book Antiqua"/>
          <w:color w:val="000000"/>
        </w:rPr>
        <w:t>Sergent</w:t>
      </w:r>
      <w:proofErr w:type="spellEnd"/>
      <w:r w:rsidRPr="00492007">
        <w:rPr>
          <w:rFonts w:ascii="Book Antiqua" w:eastAsia="Book Antiqua" w:hAnsi="Book Antiqua" w:cs="Book Antiqua"/>
          <w:color w:val="000000"/>
        </w:rPr>
        <w:t xml:space="preserve"> G, </w:t>
      </w:r>
      <w:proofErr w:type="spellStart"/>
      <w:r w:rsidRPr="00492007">
        <w:rPr>
          <w:rFonts w:ascii="Book Antiqua" w:eastAsia="Book Antiqua" w:hAnsi="Book Antiqua" w:cs="Book Antiqua"/>
          <w:color w:val="000000"/>
        </w:rPr>
        <w:t>Tancredi</w:t>
      </w:r>
      <w:proofErr w:type="spellEnd"/>
      <w:r w:rsidRPr="00492007">
        <w:rPr>
          <w:rFonts w:ascii="Book Antiqua" w:eastAsia="Book Antiqua" w:hAnsi="Book Antiqua" w:cs="Book Antiqua"/>
          <w:color w:val="000000"/>
        </w:rPr>
        <w:t xml:space="preserve"> I, Tselikas L, </w:t>
      </w:r>
      <w:proofErr w:type="spellStart"/>
      <w:r w:rsidRPr="00492007">
        <w:rPr>
          <w:rFonts w:ascii="Book Antiqua" w:eastAsia="Book Antiqua" w:hAnsi="Book Antiqua" w:cs="Book Antiqua"/>
          <w:color w:val="000000"/>
        </w:rPr>
        <w:t>Dioguardi</w:t>
      </w:r>
      <w:proofErr w:type="spellEnd"/>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Burgio</w:t>
      </w:r>
      <w:proofErr w:type="spellEnd"/>
      <w:r w:rsidRPr="00492007">
        <w:rPr>
          <w:rFonts w:ascii="Book Antiqua" w:eastAsia="Book Antiqua" w:hAnsi="Book Antiqua" w:cs="Book Antiqua"/>
          <w:color w:val="000000"/>
        </w:rPr>
        <w:t xml:space="preserve"> M, Raynaud L, </w:t>
      </w:r>
      <w:proofErr w:type="spellStart"/>
      <w:r w:rsidRPr="00492007">
        <w:rPr>
          <w:rFonts w:ascii="Book Antiqua" w:eastAsia="Book Antiqua" w:hAnsi="Book Antiqua" w:cs="Book Antiqua"/>
          <w:color w:val="000000"/>
        </w:rPr>
        <w:t>Deschamps</w:t>
      </w:r>
      <w:proofErr w:type="spellEnd"/>
      <w:r w:rsidRPr="00492007">
        <w:rPr>
          <w:rFonts w:ascii="Book Antiqua" w:eastAsia="Book Antiqua" w:hAnsi="Book Antiqua" w:cs="Book Antiqua"/>
          <w:color w:val="000000"/>
        </w:rPr>
        <w:t xml:space="preserve"> F, </w:t>
      </w:r>
      <w:proofErr w:type="spellStart"/>
      <w:r w:rsidRPr="00492007">
        <w:rPr>
          <w:rFonts w:ascii="Book Antiqua" w:eastAsia="Book Antiqua" w:hAnsi="Book Antiqua" w:cs="Book Antiqua"/>
          <w:color w:val="000000"/>
        </w:rPr>
        <w:t>Verset</w:t>
      </w:r>
      <w:proofErr w:type="spellEnd"/>
      <w:r w:rsidRPr="00492007">
        <w:rPr>
          <w:rFonts w:ascii="Book Antiqua" w:eastAsia="Book Antiqua" w:hAnsi="Book Antiqua" w:cs="Book Antiqua"/>
          <w:color w:val="000000"/>
        </w:rPr>
        <w:t xml:space="preserve"> G. Real Life Prospective Evaluation of New Drug-Eluting Platform for Chemoembolization of Patients with Hepatocellular Carcinoma: PARIS Registry. </w:t>
      </w:r>
      <w:r w:rsidRPr="00492007">
        <w:rPr>
          <w:rFonts w:ascii="Book Antiqua" w:eastAsia="Book Antiqua" w:hAnsi="Book Antiqua" w:cs="Book Antiqua"/>
          <w:i/>
          <w:iCs/>
          <w:color w:val="000000"/>
        </w:rPr>
        <w:t>Cancers (Basel)</w:t>
      </w:r>
      <w:r w:rsidRPr="00492007">
        <w:rPr>
          <w:rFonts w:ascii="Book Antiqua" w:eastAsia="Book Antiqua" w:hAnsi="Book Antiqua" w:cs="Book Antiqua"/>
          <w:color w:val="000000"/>
        </w:rPr>
        <w:t xml:space="preserve"> 2020; </w:t>
      </w:r>
      <w:r w:rsidRPr="00492007">
        <w:rPr>
          <w:rFonts w:ascii="Book Antiqua" w:eastAsia="Book Antiqua" w:hAnsi="Book Antiqua" w:cs="Book Antiqua"/>
          <w:b/>
          <w:bCs/>
          <w:color w:val="000000"/>
        </w:rPr>
        <w:t>12</w:t>
      </w:r>
      <w:r w:rsidRPr="00492007">
        <w:rPr>
          <w:rFonts w:ascii="Book Antiqua" w:eastAsia="Book Antiqua" w:hAnsi="Book Antiqua" w:cs="Book Antiqua"/>
          <w:color w:val="000000"/>
        </w:rPr>
        <w:t xml:space="preserve"> [PMID: 33212917 DOI: 10.3390/cancers12113405]</w:t>
      </w:r>
    </w:p>
    <w:p w14:paraId="2105A8A1" w14:textId="216313F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20 </w:t>
      </w:r>
      <w:r w:rsidRPr="00492007">
        <w:rPr>
          <w:rFonts w:ascii="Book Antiqua" w:eastAsia="Book Antiqua" w:hAnsi="Book Antiqua" w:cs="Book Antiqua"/>
          <w:b/>
          <w:bCs/>
          <w:color w:val="000000"/>
        </w:rPr>
        <w:t>Zhang M</w:t>
      </w:r>
      <w:r w:rsidRPr="00492007">
        <w:rPr>
          <w:rFonts w:ascii="Book Antiqua" w:eastAsia="Book Antiqua" w:hAnsi="Book Antiqua" w:cs="Book Antiqua"/>
          <w:color w:val="000000"/>
        </w:rPr>
        <w:t xml:space="preserve">, Wang RY, Wang CX, Zhang J, Liu XJ. </w:t>
      </w:r>
      <w:proofErr w:type="spellStart"/>
      <w:r w:rsidRPr="00492007">
        <w:rPr>
          <w:rFonts w:ascii="Book Antiqua" w:eastAsia="Book Antiqua" w:hAnsi="Book Antiqua" w:cs="Book Antiqua"/>
          <w:color w:val="000000"/>
        </w:rPr>
        <w:t>Raltitrexed</w:t>
      </w:r>
      <w:proofErr w:type="spellEnd"/>
      <w:r w:rsidRPr="00492007">
        <w:rPr>
          <w:rFonts w:ascii="Book Antiqua" w:eastAsia="Book Antiqua" w:hAnsi="Book Antiqua" w:cs="Book Antiqua"/>
          <w:color w:val="000000"/>
        </w:rPr>
        <w:t xml:space="preserve"> combined with </w:t>
      </w:r>
      <w:proofErr w:type="spellStart"/>
      <w:r w:rsidRPr="00492007">
        <w:rPr>
          <w:rFonts w:ascii="Book Antiqua" w:eastAsia="Book Antiqua" w:hAnsi="Book Antiqua" w:cs="Book Antiqua"/>
          <w:color w:val="000000"/>
        </w:rPr>
        <w:t>iobaplatin</w:t>
      </w:r>
      <w:proofErr w:type="spellEnd"/>
      <w:r w:rsidRPr="00492007">
        <w:rPr>
          <w:rFonts w:ascii="Book Antiqua" w:eastAsia="Book Antiqua" w:hAnsi="Book Antiqua" w:cs="Book Antiqua"/>
          <w:color w:val="000000"/>
        </w:rPr>
        <w:t xml:space="preserve"> and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 for the treatment of advanced primary hepatocellular carcinoma: analysis of curative effect and safety. </w:t>
      </w:r>
      <w:proofErr w:type="spellStart"/>
      <w:r w:rsidRPr="00492007">
        <w:rPr>
          <w:rFonts w:ascii="Book Antiqua" w:eastAsia="Book Antiqua" w:hAnsi="Book Antiqua" w:cs="Book Antiqua"/>
          <w:i/>
          <w:iCs/>
          <w:color w:val="000000"/>
        </w:rPr>
        <w:t>Jieru</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Fangshexue</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Zazhi</w:t>
      </w:r>
      <w:proofErr w:type="spellEnd"/>
      <w:r w:rsidRPr="00492007">
        <w:rPr>
          <w:rFonts w:ascii="Book Antiqua" w:eastAsia="Book Antiqua" w:hAnsi="Book Antiqua" w:cs="Book Antiqua"/>
          <w:color w:val="000000"/>
        </w:rPr>
        <w:t xml:space="preserve"> 2020; </w:t>
      </w:r>
      <w:r w:rsidRPr="00492007">
        <w:rPr>
          <w:rFonts w:ascii="Book Antiqua" w:eastAsia="Book Antiqua" w:hAnsi="Book Antiqua" w:cs="Book Antiqua"/>
          <w:b/>
          <w:bCs/>
          <w:color w:val="000000"/>
        </w:rPr>
        <w:t>29</w:t>
      </w:r>
      <w:r w:rsidRPr="00492007">
        <w:rPr>
          <w:rFonts w:ascii="Book Antiqua" w:eastAsia="Book Antiqua" w:hAnsi="Book Antiqua" w:cs="Book Antiqua"/>
          <w:color w:val="000000"/>
        </w:rPr>
        <w:t>: 4 [</w:t>
      </w:r>
      <w:r w:rsidR="00063438" w:rsidRPr="00492007">
        <w:rPr>
          <w:rFonts w:ascii="Book Antiqua" w:eastAsia="Book Antiqua" w:hAnsi="Book Antiqua" w:cs="Book Antiqua"/>
          <w:color w:val="000000"/>
        </w:rPr>
        <w:t xml:space="preserve">DOI: </w:t>
      </w:r>
      <w:r w:rsidRPr="00492007">
        <w:rPr>
          <w:rFonts w:ascii="Book Antiqua" w:eastAsia="Book Antiqua" w:hAnsi="Book Antiqua" w:cs="Book Antiqua"/>
          <w:color w:val="000000"/>
        </w:rPr>
        <w:t>10.3969/j.issn.1008-794X.2020.06.016]</w:t>
      </w:r>
    </w:p>
    <w:p w14:paraId="7122EA93"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 xml:space="preserve">21 </w:t>
      </w:r>
      <w:proofErr w:type="spellStart"/>
      <w:r w:rsidRPr="00492007">
        <w:rPr>
          <w:rFonts w:ascii="Book Antiqua" w:eastAsia="Book Antiqua" w:hAnsi="Book Antiqua" w:cs="Book Antiqua"/>
          <w:b/>
          <w:bCs/>
          <w:color w:val="000000"/>
        </w:rPr>
        <w:t>Lazuardi</w:t>
      </w:r>
      <w:proofErr w:type="spellEnd"/>
      <w:r w:rsidRPr="00492007">
        <w:rPr>
          <w:rFonts w:ascii="Book Antiqua" w:eastAsia="Book Antiqua" w:hAnsi="Book Antiqua" w:cs="Book Antiqua"/>
          <w:b/>
          <w:bCs/>
          <w:color w:val="000000"/>
        </w:rPr>
        <w:t xml:space="preserve"> F</w:t>
      </w:r>
      <w:r w:rsidRPr="00492007">
        <w:rPr>
          <w:rFonts w:ascii="Book Antiqua" w:eastAsia="Book Antiqua" w:hAnsi="Book Antiqua" w:cs="Book Antiqua"/>
          <w:color w:val="000000"/>
        </w:rPr>
        <w:t xml:space="preserve">, Valencia J, </w:t>
      </w:r>
      <w:proofErr w:type="spellStart"/>
      <w:r w:rsidRPr="00492007">
        <w:rPr>
          <w:rFonts w:ascii="Book Antiqua" w:eastAsia="Book Antiqua" w:hAnsi="Book Antiqua" w:cs="Book Antiqua"/>
          <w:color w:val="000000"/>
        </w:rPr>
        <w:t>Zheng</w:t>
      </w:r>
      <w:proofErr w:type="spellEnd"/>
      <w:r w:rsidRPr="00492007">
        <w:rPr>
          <w:rFonts w:ascii="Book Antiqua" w:eastAsia="Book Antiqua" w:hAnsi="Book Antiqua" w:cs="Book Antiqua"/>
          <w:color w:val="000000"/>
        </w:rPr>
        <w:t xml:space="preserve"> S. Adjuvant </w:t>
      </w:r>
      <w:proofErr w:type="spellStart"/>
      <w:r w:rsidRPr="00492007">
        <w:rPr>
          <w:rFonts w:ascii="Book Antiqua" w:eastAsia="Book Antiqua" w:hAnsi="Book Antiqua" w:cs="Book Antiqua"/>
          <w:color w:val="000000"/>
        </w:rPr>
        <w:t>transcatheter</w:t>
      </w:r>
      <w:proofErr w:type="spellEnd"/>
      <w:r w:rsidRPr="00492007">
        <w:rPr>
          <w:rFonts w:ascii="Book Antiqua" w:eastAsia="Book Antiqua" w:hAnsi="Book Antiqua" w:cs="Book Antiqua"/>
          <w:color w:val="000000"/>
        </w:rPr>
        <w:t xml:space="preserve"> arterial chemoembolization after radical resection of hepatocellular carcinoma patients with tumor size less than 5</w:t>
      </w:r>
      <w:r w:rsidRPr="00492007">
        <w:rPr>
          <w:rFonts w:eastAsia="MS Mincho"/>
          <w:color w:val="000000"/>
        </w:rPr>
        <w:t> </w:t>
      </w:r>
      <w:r w:rsidRPr="00492007">
        <w:rPr>
          <w:rFonts w:ascii="Book Antiqua" w:eastAsia="Book Antiqua" w:hAnsi="Book Antiqua" w:cs="Book Antiqua"/>
          <w:color w:val="000000"/>
        </w:rPr>
        <w:t xml:space="preserve">cm: a retrospective study. </w:t>
      </w:r>
      <w:proofErr w:type="spellStart"/>
      <w:r w:rsidRPr="00492007">
        <w:rPr>
          <w:rFonts w:ascii="Book Antiqua" w:eastAsia="Book Antiqua" w:hAnsi="Book Antiqua" w:cs="Book Antiqua"/>
          <w:i/>
          <w:iCs/>
          <w:color w:val="000000"/>
        </w:rPr>
        <w:t>Scand</w:t>
      </w:r>
      <w:proofErr w:type="spellEnd"/>
      <w:r w:rsidRPr="00492007">
        <w:rPr>
          <w:rFonts w:ascii="Book Antiqua" w:eastAsia="Book Antiqua" w:hAnsi="Book Antiqua" w:cs="Book Antiqua"/>
          <w:i/>
          <w:iCs/>
          <w:color w:val="000000"/>
        </w:rPr>
        <w:t xml:space="preserve"> J </w:t>
      </w:r>
      <w:proofErr w:type="spellStart"/>
      <w:r w:rsidRPr="00492007">
        <w:rPr>
          <w:rFonts w:ascii="Book Antiqua" w:eastAsia="Book Antiqua" w:hAnsi="Book Antiqua" w:cs="Book Antiqua"/>
          <w:i/>
          <w:iCs/>
          <w:color w:val="000000"/>
        </w:rPr>
        <w:t>Gastroenterol</w:t>
      </w:r>
      <w:proofErr w:type="spellEnd"/>
      <w:r w:rsidRPr="00492007">
        <w:rPr>
          <w:rFonts w:ascii="Book Antiqua" w:eastAsia="Book Antiqua" w:hAnsi="Book Antiqua" w:cs="Book Antiqua"/>
          <w:color w:val="000000"/>
        </w:rPr>
        <w:t xml:space="preserve"> 2019; </w:t>
      </w:r>
      <w:r w:rsidRPr="00492007">
        <w:rPr>
          <w:rFonts w:ascii="Book Antiqua" w:eastAsia="Book Antiqua" w:hAnsi="Book Antiqua" w:cs="Book Antiqua"/>
          <w:b/>
          <w:bCs/>
          <w:color w:val="000000"/>
        </w:rPr>
        <w:t>54</w:t>
      </w:r>
      <w:r w:rsidRPr="00492007">
        <w:rPr>
          <w:rFonts w:ascii="Book Antiqua" w:eastAsia="Book Antiqua" w:hAnsi="Book Antiqua" w:cs="Book Antiqua"/>
          <w:color w:val="000000"/>
        </w:rPr>
        <w:t>: 617-622 [PMID: 31079496 DOI: 10.1080/00365521.2019.1607896]</w:t>
      </w:r>
    </w:p>
    <w:p w14:paraId="638DEB2F" w14:textId="532EA81F" w:rsidR="00A77B3E" w:rsidRPr="00492007" w:rsidRDefault="00B6516B" w:rsidP="00492007">
      <w:pPr>
        <w:adjustRightInd w:val="0"/>
        <w:snapToGrid w:val="0"/>
        <w:spacing w:line="360" w:lineRule="auto"/>
        <w:jc w:val="both"/>
        <w:rPr>
          <w:rFonts w:ascii="Book Antiqua" w:hAnsi="Book Antiqua"/>
        </w:rPr>
      </w:pPr>
      <w:proofErr w:type="gramStart"/>
      <w:r w:rsidRPr="00492007">
        <w:rPr>
          <w:rFonts w:ascii="Book Antiqua" w:eastAsia="Book Antiqua" w:hAnsi="Book Antiqua" w:cs="Book Antiqua"/>
          <w:color w:val="000000"/>
        </w:rPr>
        <w:t xml:space="preserve">22 </w:t>
      </w:r>
      <w:r w:rsidRPr="00492007">
        <w:rPr>
          <w:rFonts w:ascii="Book Antiqua" w:eastAsia="Book Antiqua" w:hAnsi="Book Antiqua" w:cs="Book Antiqua"/>
          <w:b/>
          <w:bCs/>
          <w:color w:val="000000"/>
        </w:rPr>
        <w:t>Chen ZH</w:t>
      </w:r>
      <w:r w:rsidRPr="00492007">
        <w:rPr>
          <w:rFonts w:ascii="Book Antiqua" w:eastAsia="Book Antiqua" w:hAnsi="Book Antiqua" w:cs="Book Antiqua"/>
          <w:color w:val="000000"/>
        </w:rPr>
        <w:t>.</w:t>
      </w:r>
      <w:proofErr w:type="gramEnd"/>
      <w:r w:rsidRPr="00492007">
        <w:rPr>
          <w:rFonts w:ascii="Book Antiqua" w:eastAsia="Book Antiqua" w:hAnsi="Book Antiqua" w:cs="Book Antiqua"/>
          <w:color w:val="000000"/>
        </w:rPr>
        <w:t xml:space="preserve"> </w:t>
      </w:r>
      <w:proofErr w:type="gramStart"/>
      <w:r w:rsidRPr="00492007">
        <w:rPr>
          <w:rFonts w:ascii="Book Antiqua" w:eastAsia="Book Antiqua" w:hAnsi="Book Antiqua" w:cs="Book Antiqua"/>
          <w:color w:val="000000"/>
        </w:rPr>
        <w:t xml:space="preserve">Clinical observation of interventional therapy with </w:t>
      </w:r>
      <w:proofErr w:type="spellStart"/>
      <w:r w:rsidRPr="00492007">
        <w:rPr>
          <w:rFonts w:ascii="Book Antiqua" w:eastAsia="Book Antiqua" w:hAnsi="Book Antiqua" w:cs="Book Antiqua"/>
          <w:color w:val="000000"/>
        </w:rPr>
        <w:t>lobaplatin</w:t>
      </w:r>
      <w:proofErr w:type="spellEnd"/>
      <w:r w:rsidRPr="00492007">
        <w:rPr>
          <w:rFonts w:ascii="Book Antiqua" w:eastAsia="Book Antiqua" w:hAnsi="Book Antiqua" w:cs="Book Antiqua"/>
          <w:color w:val="000000"/>
        </w:rPr>
        <w:t xml:space="preserve"> and </w:t>
      </w:r>
      <w:proofErr w:type="spellStart"/>
      <w:r w:rsidRPr="00492007">
        <w:rPr>
          <w:rFonts w:ascii="Book Antiqua" w:eastAsia="Book Antiqua" w:hAnsi="Book Antiqua" w:cs="Book Antiqua"/>
          <w:color w:val="000000"/>
        </w:rPr>
        <w:t>pirarubicin</w:t>
      </w:r>
      <w:proofErr w:type="spellEnd"/>
      <w:r w:rsidRPr="00492007">
        <w:rPr>
          <w:rFonts w:ascii="Book Antiqua" w:eastAsia="Book Antiqua" w:hAnsi="Book Antiqua" w:cs="Book Antiqua"/>
          <w:color w:val="000000"/>
        </w:rPr>
        <w:t xml:space="preserve"> hydrochloride for primary cancer.</w:t>
      </w:r>
      <w:proofErr w:type="gramEnd"/>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i/>
          <w:iCs/>
          <w:color w:val="000000"/>
        </w:rPr>
        <w:t>Yiyao</w:t>
      </w:r>
      <w:proofErr w:type="spellEnd"/>
      <w:r w:rsidRPr="00492007">
        <w:rPr>
          <w:rFonts w:ascii="Book Antiqua" w:eastAsia="Book Antiqua" w:hAnsi="Book Antiqua" w:cs="Book Antiqua"/>
          <w:i/>
          <w:iCs/>
          <w:color w:val="000000"/>
        </w:rPr>
        <w:t xml:space="preserve"> </w:t>
      </w:r>
      <w:proofErr w:type="spellStart"/>
      <w:r w:rsidRPr="00492007">
        <w:rPr>
          <w:rFonts w:ascii="Book Antiqua" w:eastAsia="Book Antiqua" w:hAnsi="Book Antiqua" w:cs="Book Antiqua"/>
          <w:i/>
          <w:iCs/>
          <w:color w:val="000000"/>
        </w:rPr>
        <w:t>Qianyan</w:t>
      </w:r>
      <w:proofErr w:type="spellEnd"/>
      <w:r w:rsidRPr="00492007">
        <w:rPr>
          <w:rFonts w:ascii="Book Antiqua" w:eastAsia="Book Antiqua" w:hAnsi="Book Antiqua" w:cs="Book Antiqua"/>
          <w:color w:val="000000"/>
        </w:rPr>
        <w:t xml:space="preserve"> 2020; </w:t>
      </w:r>
      <w:r w:rsidRPr="00492007">
        <w:rPr>
          <w:rFonts w:ascii="Book Antiqua" w:eastAsia="Book Antiqua" w:hAnsi="Book Antiqua" w:cs="Book Antiqua"/>
          <w:b/>
          <w:bCs/>
          <w:color w:val="000000"/>
        </w:rPr>
        <w:t>10</w:t>
      </w:r>
      <w:r w:rsidRPr="00492007">
        <w:rPr>
          <w:rFonts w:ascii="Book Antiqua" w:eastAsia="Book Antiqua" w:hAnsi="Book Antiqua" w:cs="Book Antiqua"/>
          <w:color w:val="000000"/>
        </w:rPr>
        <w:t>: 75-76</w:t>
      </w:r>
    </w:p>
    <w:p w14:paraId="56844590" w14:textId="302B12E2"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lastRenderedPageBreak/>
        <w:t xml:space="preserve">23 </w:t>
      </w:r>
      <w:r w:rsidRPr="00492007">
        <w:rPr>
          <w:rFonts w:ascii="Book Antiqua" w:eastAsia="Book Antiqua" w:hAnsi="Book Antiqua" w:cs="Book Antiqua"/>
          <w:b/>
          <w:bCs/>
          <w:color w:val="000000"/>
        </w:rPr>
        <w:t>Hsiao PJ</w:t>
      </w:r>
      <w:r w:rsidRPr="00492007">
        <w:rPr>
          <w:rFonts w:ascii="Book Antiqua" w:eastAsia="Book Antiqua" w:hAnsi="Book Antiqua" w:cs="Book Antiqua"/>
          <w:color w:val="000000"/>
        </w:rPr>
        <w:t xml:space="preserve">, </w:t>
      </w:r>
      <w:proofErr w:type="spellStart"/>
      <w:r w:rsidRPr="00492007">
        <w:rPr>
          <w:rFonts w:ascii="Book Antiqua" w:eastAsia="Book Antiqua" w:hAnsi="Book Antiqua" w:cs="Book Antiqua"/>
          <w:color w:val="000000"/>
        </w:rPr>
        <w:t>Jao</w:t>
      </w:r>
      <w:proofErr w:type="spellEnd"/>
      <w:r w:rsidRPr="00492007">
        <w:rPr>
          <w:rFonts w:ascii="Book Antiqua" w:eastAsia="Book Antiqua" w:hAnsi="Book Antiqua" w:cs="Book Antiqua"/>
          <w:color w:val="000000"/>
        </w:rPr>
        <w:t xml:space="preserve"> JC, Tsai JL, Chang WT</w:t>
      </w:r>
      <w:r w:rsidR="002B3323">
        <w:rPr>
          <w:rFonts w:ascii="Book Antiqua" w:eastAsia="宋体" w:hAnsi="Book Antiqua" w:cs="宋体" w:hint="eastAsia"/>
          <w:color w:val="000000"/>
          <w:lang w:eastAsia="zh-CN"/>
        </w:rPr>
        <w:t xml:space="preserve">, </w:t>
      </w:r>
      <w:proofErr w:type="spellStart"/>
      <w:r w:rsidRPr="00492007">
        <w:rPr>
          <w:rFonts w:ascii="Book Antiqua" w:eastAsia="Book Antiqua" w:hAnsi="Book Antiqua" w:cs="Book Antiqua"/>
          <w:color w:val="000000"/>
        </w:rPr>
        <w:t>Jeng</w:t>
      </w:r>
      <w:proofErr w:type="spellEnd"/>
      <w:r w:rsidRPr="00492007">
        <w:rPr>
          <w:rFonts w:ascii="Book Antiqua" w:eastAsia="Book Antiqua" w:hAnsi="Book Antiqua" w:cs="Book Antiqua"/>
          <w:color w:val="000000"/>
        </w:rPr>
        <w:t xml:space="preserve"> KS, </w:t>
      </w:r>
      <w:proofErr w:type="spellStart"/>
      <w:r w:rsidRPr="00492007">
        <w:rPr>
          <w:rFonts w:ascii="Book Antiqua" w:eastAsia="Book Antiqua" w:hAnsi="Book Antiqua" w:cs="Book Antiqua"/>
          <w:color w:val="000000"/>
        </w:rPr>
        <w:t>Kuo</w:t>
      </w:r>
      <w:proofErr w:type="spellEnd"/>
      <w:r w:rsidRPr="00492007">
        <w:rPr>
          <w:rFonts w:ascii="Book Antiqua" w:eastAsia="Book Antiqua" w:hAnsi="Book Antiqua" w:cs="Book Antiqua"/>
          <w:color w:val="000000"/>
        </w:rPr>
        <w:t xml:space="preserve"> KK. Inorganic arsenic trioxide induces gap junction loss in association with the </w:t>
      </w:r>
      <w:proofErr w:type="spellStart"/>
      <w:r w:rsidRPr="00492007">
        <w:rPr>
          <w:rFonts w:ascii="Book Antiqua" w:eastAsia="Book Antiqua" w:hAnsi="Book Antiqua" w:cs="Book Antiqua"/>
          <w:color w:val="000000"/>
        </w:rPr>
        <w:t>downregulation</w:t>
      </w:r>
      <w:proofErr w:type="spellEnd"/>
      <w:r w:rsidRPr="00492007">
        <w:rPr>
          <w:rFonts w:ascii="Book Antiqua" w:eastAsia="Book Antiqua" w:hAnsi="Book Antiqua" w:cs="Book Antiqua"/>
          <w:color w:val="000000"/>
        </w:rPr>
        <w:t xml:space="preserve"> of connexin43 and E-cadherin in rat hepatic "stem-like" cells. </w:t>
      </w:r>
      <w:r w:rsidRPr="00492007">
        <w:rPr>
          <w:rFonts w:ascii="Book Antiqua" w:eastAsia="Book Antiqua" w:hAnsi="Book Antiqua" w:cs="Book Antiqua"/>
          <w:i/>
          <w:iCs/>
          <w:color w:val="000000"/>
        </w:rPr>
        <w:t xml:space="preserve">Kaohsiung J Med </w:t>
      </w:r>
      <w:proofErr w:type="spellStart"/>
      <w:r w:rsidRPr="00492007">
        <w:rPr>
          <w:rFonts w:ascii="Book Antiqua" w:eastAsia="Book Antiqua" w:hAnsi="Book Antiqua" w:cs="Book Antiqua"/>
          <w:i/>
          <w:iCs/>
          <w:color w:val="000000"/>
        </w:rPr>
        <w:t>Sci</w:t>
      </w:r>
      <w:bookmarkStart w:id="0" w:name="_GoBack"/>
      <w:proofErr w:type="spellEnd"/>
      <w:r w:rsidRPr="00492007">
        <w:rPr>
          <w:rFonts w:ascii="Book Antiqua" w:eastAsia="Book Antiqua" w:hAnsi="Book Antiqua" w:cs="Book Antiqua"/>
          <w:color w:val="000000"/>
        </w:rPr>
        <w:t xml:space="preserve"> </w:t>
      </w:r>
      <w:bookmarkEnd w:id="0"/>
      <w:r w:rsidRPr="00492007">
        <w:rPr>
          <w:rFonts w:ascii="Book Antiqua" w:eastAsia="Book Antiqua" w:hAnsi="Book Antiqua" w:cs="Book Antiqua"/>
          <w:color w:val="000000"/>
        </w:rPr>
        <w:t>2014</w:t>
      </w:r>
      <w:r w:rsidR="002B3323">
        <w:rPr>
          <w:rFonts w:ascii="Book Antiqua" w:hAnsi="Book Antiqua" w:cs="Book Antiqua" w:hint="eastAsia"/>
          <w:color w:val="000000"/>
          <w:lang w:eastAsia="zh-CN"/>
        </w:rPr>
        <w:t>;</w:t>
      </w:r>
      <w:r w:rsidRPr="00492007">
        <w:rPr>
          <w:rFonts w:ascii="Book Antiqua" w:eastAsia="Book Antiqua" w:hAnsi="Book Antiqua" w:cs="Book Antiqua"/>
          <w:color w:val="000000"/>
        </w:rPr>
        <w:t xml:space="preserve"> </w:t>
      </w:r>
      <w:r w:rsidRPr="00492007">
        <w:rPr>
          <w:rFonts w:ascii="Book Antiqua" w:eastAsia="Book Antiqua" w:hAnsi="Book Antiqua" w:cs="Book Antiqua"/>
          <w:b/>
          <w:bCs/>
          <w:color w:val="000000"/>
        </w:rPr>
        <w:t>30</w:t>
      </w:r>
      <w:r w:rsidRPr="00492007">
        <w:rPr>
          <w:rFonts w:ascii="Book Antiqua" w:eastAsia="Book Antiqua" w:hAnsi="Book Antiqua" w:cs="Book Antiqua"/>
          <w:color w:val="000000"/>
        </w:rPr>
        <w:t>: 57-67</w:t>
      </w:r>
      <w:r w:rsidR="00A706AA">
        <w:rPr>
          <w:rFonts w:ascii="Book Antiqua" w:eastAsia="Book Antiqua" w:hAnsi="Book Antiqua" w:cs="Book Antiqua"/>
          <w:color w:val="000000"/>
        </w:rPr>
        <w:t xml:space="preserve"> x</w:t>
      </w:r>
    </w:p>
    <w:p w14:paraId="7129DB3B" w14:textId="77777777" w:rsidR="001B33AC" w:rsidRDefault="001B33AC">
      <w:pPr>
        <w:rPr>
          <w:rFonts w:ascii="Book Antiqua" w:eastAsia="Book Antiqua" w:hAnsi="Book Antiqua" w:cs="Book Antiqua"/>
          <w:b/>
          <w:color w:val="000000"/>
        </w:rPr>
      </w:pPr>
      <w:r>
        <w:rPr>
          <w:rFonts w:ascii="Book Antiqua" w:eastAsia="Book Antiqua" w:hAnsi="Book Antiqua" w:cs="Book Antiqua"/>
          <w:b/>
          <w:color w:val="000000"/>
        </w:rPr>
        <w:br w:type="page"/>
      </w:r>
    </w:p>
    <w:p w14:paraId="2174BB32" w14:textId="0D2F7861"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lastRenderedPageBreak/>
        <w:t>Footnotes</w:t>
      </w:r>
    </w:p>
    <w:p w14:paraId="163E43A2" w14:textId="372D474A"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 xml:space="preserve">Institutional review board statement: </w:t>
      </w:r>
      <w:r w:rsidRPr="00492007">
        <w:rPr>
          <w:rFonts w:ascii="Book Antiqua" w:eastAsia="Book Antiqua" w:hAnsi="Book Antiqua" w:cs="Book Antiqua"/>
          <w:color w:val="000000"/>
        </w:rPr>
        <w:t xml:space="preserve">The study was reviewed and approved by the </w:t>
      </w:r>
      <w:proofErr w:type="spellStart"/>
      <w:r w:rsidRPr="00492007">
        <w:rPr>
          <w:rFonts w:ascii="Book Antiqua" w:eastAsia="Book Antiqua" w:hAnsi="Book Antiqua" w:cs="Book Antiqua"/>
          <w:color w:val="000000"/>
        </w:rPr>
        <w:t>Hebei</w:t>
      </w:r>
      <w:proofErr w:type="spellEnd"/>
      <w:r w:rsidRPr="00492007">
        <w:rPr>
          <w:rFonts w:ascii="Book Antiqua" w:eastAsia="Book Antiqua" w:hAnsi="Book Antiqua" w:cs="Book Antiqua"/>
          <w:color w:val="000000"/>
        </w:rPr>
        <w:t xml:space="preserve"> North University Affiliated First Hospital Institutional Review Board.</w:t>
      </w:r>
    </w:p>
    <w:p w14:paraId="6DB568DA" w14:textId="77777777" w:rsidR="00A77B3E" w:rsidRPr="00492007" w:rsidRDefault="00A77B3E" w:rsidP="00492007">
      <w:pPr>
        <w:adjustRightInd w:val="0"/>
        <w:snapToGrid w:val="0"/>
        <w:spacing w:line="360" w:lineRule="auto"/>
        <w:jc w:val="both"/>
        <w:rPr>
          <w:rFonts w:ascii="Book Antiqua" w:hAnsi="Book Antiqua"/>
        </w:rPr>
      </w:pPr>
    </w:p>
    <w:p w14:paraId="63846C94"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 xml:space="preserve">Informed consent statement: </w:t>
      </w:r>
      <w:r w:rsidRPr="00492007">
        <w:rPr>
          <w:rFonts w:ascii="Book Antiqua" w:eastAsia="Book Antiqua" w:hAnsi="Book Antiqua" w:cs="Book Antiqua"/>
          <w:color w:val="000000"/>
        </w:rPr>
        <w:t>All study participants, or their legal guardian, provided informed written consent prior to study enrollment.</w:t>
      </w:r>
    </w:p>
    <w:p w14:paraId="6A464D7E" w14:textId="77777777" w:rsidR="00A77B3E" w:rsidRPr="00492007" w:rsidRDefault="00A77B3E" w:rsidP="00492007">
      <w:pPr>
        <w:adjustRightInd w:val="0"/>
        <w:snapToGrid w:val="0"/>
        <w:spacing w:line="360" w:lineRule="auto"/>
        <w:jc w:val="both"/>
        <w:rPr>
          <w:rFonts w:ascii="Book Antiqua" w:hAnsi="Book Antiqua"/>
        </w:rPr>
      </w:pPr>
    </w:p>
    <w:p w14:paraId="2617D1E9"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 xml:space="preserve">Conflict-of-interest statement: </w:t>
      </w:r>
      <w:r w:rsidRPr="00492007">
        <w:rPr>
          <w:rFonts w:ascii="Book Antiqua" w:eastAsia="Book Antiqua" w:hAnsi="Book Antiqua" w:cs="Book Antiqua"/>
          <w:color w:val="000000"/>
        </w:rPr>
        <w:t>The authors declare no conflict of interest.</w:t>
      </w:r>
    </w:p>
    <w:p w14:paraId="7ADCAA23" w14:textId="77777777" w:rsidR="00A77B3E" w:rsidRPr="00492007" w:rsidRDefault="00A77B3E" w:rsidP="00492007">
      <w:pPr>
        <w:adjustRightInd w:val="0"/>
        <w:snapToGrid w:val="0"/>
        <w:spacing w:line="360" w:lineRule="auto"/>
        <w:jc w:val="both"/>
        <w:rPr>
          <w:rFonts w:ascii="Book Antiqua" w:hAnsi="Book Antiqua"/>
        </w:rPr>
      </w:pPr>
    </w:p>
    <w:p w14:paraId="7E780064"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 xml:space="preserve">Data sharing statement: </w:t>
      </w:r>
      <w:r w:rsidRPr="00492007">
        <w:rPr>
          <w:rFonts w:ascii="Book Antiqua" w:eastAsia="Book Antiqua" w:hAnsi="Book Antiqua" w:cs="Book Antiqua"/>
          <w:color w:val="000000"/>
        </w:rPr>
        <w:t>No additional data are available.</w:t>
      </w:r>
    </w:p>
    <w:p w14:paraId="3DDA86A4" w14:textId="77777777" w:rsidR="00A77B3E" w:rsidRPr="00492007" w:rsidRDefault="00A77B3E" w:rsidP="00492007">
      <w:pPr>
        <w:adjustRightInd w:val="0"/>
        <w:snapToGrid w:val="0"/>
        <w:spacing w:line="360" w:lineRule="auto"/>
        <w:jc w:val="both"/>
        <w:rPr>
          <w:rFonts w:ascii="Book Antiqua" w:hAnsi="Book Antiqua"/>
        </w:rPr>
      </w:pPr>
    </w:p>
    <w:p w14:paraId="036C2204"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bCs/>
          <w:color w:val="000000"/>
        </w:rPr>
        <w:t xml:space="preserve">Open-Access: </w:t>
      </w:r>
      <w:r w:rsidRPr="004920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92007">
        <w:rPr>
          <w:rFonts w:ascii="Book Antiqua" w:eastAsia="Book Antiqua" w:hAnsi="Book Antiqua" w:cs="Book Antiqua"/>
          <w:color w:val="000000"/>
        </w:rPr>
        <w:t>NonCommercial</w:t>
      </w:r>
      <w:proofErr w:type="spellEnd"/>
      <w:r w:rsidRPr="004920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619E29" w14:textId="77777777" w:rsidR="00A77B3E" w:rsidRPr="00492007" w:rsidRDefault="00A77B3E" w:rsidP="00492007">
      <w:pPr>
        <w:adjustRightInd w:val="0"/>
        <w:snapToGrid w:val="0"/>
        <w:spacing w:line="360" w:lineRule="auto"/>
        <w:jc w:val="both"/>
        <w:rPr>
          <w:rFonts w:ascii="Book Antiqua" w:hAnsi="Book Antiqua"/>
        </w:rPr>
      </w:pPr>
    </w:p>
    <w:p w14:paraId="49FD7943"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t xml:space="preserve">Provenance and peer review: </w:t>
      </w:r>
      <w:r w:rsidRPr="00492007">
        <w:rPr>
          <w:rFonts w:ascii="Book Antiqua" w:eastAsia="Book Antiqua" w:hAnsi="Book Antiqua" w:cs="Book Antiqua"/>
          <w:color w:val="000000"/>
        </w:rPr>
        <w:t xml:space="preserve">Unsolicited article; </w:t>
      </w:r>
      <w:proofErr w:type="gramStart"/>
      <w:r w:rsidRPr="00492007">
        <w:rPr>
          <w:rFonts w:ascii="Book Antiqua" w:eastAsia="Book Antiqua" w:hAnsi="Book Antiqua" w:cs="Book Antiqua"/>
          <w:color w:val="000000"/>
        </w:rPr>
        <w:t>Externally</w:t>
      </w:r>
      <w:proofErr w:type="gramEnd"/>
      <w:r w:rsidRPr="00492007">
        <w:rPr>
          <w:rFonts w:ascii="Book Antiqua" w:eastAsia="Book Antiqua" w:hAnsi="Book Antiqua" w:cs="Book Antiqua"/>
          <w:color w:val="000000"/>
        </w:rPr>
        <w:t xml:space="preserve"> peer reviewed.</w:t>
      </w:r>
    </w:p>
    <w:p w14:paraId="1C21EE89"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t xml:space="preserve">Peer-review model: </w:t>
      </w:r>
      <w:r w:rsidRPr="00492007">
        <w:rPr>
          <w:rFonts w:ascii="Book Antiqua" w:eastAsia="Book Antiqua" w:hAnsi="Book Antiqua" w:cs="Book Antiqua"/>
          <w:color w:val="000000"/>
        </w:rPr>
        <w:t>Single blind</w:t>
      </w:r>
    </w:p>
    <w:p w14:paraId="5CC8C686" w14:textId="77777777" w:rsidR="00A77B3E" w:rsidRPr="00492007" w:rsidRDefault="00A77B3E" w:rsidP="00492007">
      <w:pPr>
        <w:adjustRightInd w:val="0"/>
        <w:snapToGrid w:val="0"/>
        <w:spacing w:line="360" w:lineRule="auto"/>
        <w:jc w:val="both"/>
        <w:rPr>
          <w:rFonts w:ascii="Book Antiqua" w:hAnsi="Book Antiqua"/>
        </w:rPr>
      </w:pPr>
    </w:p>
    <w:p w14:paraId="1D74EAD5"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t xml:space="preserve">Peer-review started: </w:t>
      </w:r>
      <w:r w:rsidRPr="00492007">
        <w:rPr>
          <w:rFonts w:ascii="Book Antiqua" w:eastAsia="Book Antiqua" w:hAnsi="Book Antiqua" w:cs="Book Antiqua"/>
          <w:color w:val="000000"/>
        </w:rPr>
        <w:t>May 16, 2022</w:t>
      </w:r>
    </w:p>
    <w:p w14:paraId="2961B34A"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t xml:space="preserve">First decision: </w:t>
      </w:r>
      <w:r w:rsidRPr="00492007">
        <w:rPr>
          <w:rFonts w:ascii="Book Antiqua" w:eastAsia="Book Antiqua" w:hAnsi="Book Antiqua" w:cs="Book Antiqua"/>
          <w:color w:val="000000"/>
        </w:rPr>
        <w:t>July 11, 2022</w:t>
      </w:r>
    </w:p>
    <w:p w14:paraId="2427E36B" w14:textId="585D1C44"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t xml:space="preserve">Article in press: </w:t>
      </w:r>
      <w:r w:rsidR="009A4947" w:rsidRPr="00226C13">
        <w:rPr>
          <w:rFonts w:ascii="Book Antiqua" w:eastAsia="Book Antiqua" w:hAnsi="Book Antiqua" w:cs="Book Antiqua"/>
          <w:color w:val="000000"/>
        </w:rPr>
        <w:t>August 16, 2022</w:t>
      </w:r>
    </w:p>
    <w:p w14:paraId="294C48EE" w14:textId="77777777" w:rsidR="00A77B3E" w:rsidRPr="00492007" w:rsidRDefault="00A77B3E" w:rsidP="00492007">
      <w:pPr>
        <w:adjustRightInd w:val="0"/>
        <w:snapToGrid w:val="0"/>
        <w:spacing w:line="360" w:lineRule="auto"/>
        <w:jc w:val="both"/>
        <w:rPr>
          <w:rFonts w:ascii="Book Antiqua" w:hAnsi="Book Antiqua"/>
        </w:rPr>
      </w:pPr>
    </w:p>
    <w:p w14:paraId="6E9689C1"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t xml:space="preserve">Specialty type: </w:t>
      </w:r>
      <w:r w:rsidRPr="00492007">
        <w:rPr>
          <w:rFonts w:ascii="Book Antiqua" w:eastAsia="Book Antiqua" w:hAnsi="Book Antiqua" w:cs="Book Antiqua"/>
          <w:color w:val="000000"/>
        </w:rPr>
        <w:t xml:space="preserve">Gastroenterology and </w:t>
      </w:r>
      <w:proofErr w:type="spellStart"/>
      <w:r w:rsidRPr="00492007">
        <w:rPr>
          <w:rFonts w:ascii="Book Antiqua" w:eastAsia="Book Antiqua" w:hAnsi="Book Antiqua" w:cs="Book Antiqua"/>
          <w:color w:val="000000"/>
        </w:rPr>
        <w:t>Hepatology</w:t>
      </w:r>
      <w:proofErr w:type="spellEnd"/>
    </w:p>
    <w:p w14:paraId="202FB344"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t xml:space="preserve">Country/Territory of origin: </w:t>
      </w:r>
      <w:r w:rsidRPr="00492007">
        <w:rPr>
          <w:rFonts w:ascii="Book Antiqua" w:eastAsia="Book Antiqua" w:hAnsi="Book Antiqua" w:cs="Book Antiqua"/>
          <w:color w:val="000000"/>
        </w:rPr>
        <w:t>China</w:t>
      </w:r>
    </w:p>
    <w:p w14:paraId="60FCFECF"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b/>
          <w:color w:val="000000"/>
        </w:rPr>
        <w:t>Peer-review report’s scientific quality classification</w:t>
      </w:r>
    </w:p>
    <w:p w14:paraId="64C8337F"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lastRenderedPageBreak/>
        <w:t xml:space="preserve">Grade </w:t>
      </w:r>
      <w:proofErr w:type="gramStart"/>
      <w:r w:rsidRPr="00492007">
        <w:rPr>
          <w:rFonts w:ascii="Book Antiqua" w:eastAsia="Book Antiqua" w:hAnsi="Book Antiqua" w:cs="Book Antiqua"/>
          <w:color w:val="000000"/>
        </w:rPr>
        <w:t>A</w:t>
      </w:r>
      <w:proofErr w:type="gramEnd"/>
      <w:r w:rsidRPr="00492007">
        <w:rPr>
          <w:rFonts w:ascii="Book Antiqua" w:eastAsia="Book Antiqua" w:hAnsi="Book Antiqua" w:cs="Book Antiqua"/>
          <w:color w:val="000000"/>
        </w:rPr>
        <w:t xml:space="preserve"> (Excellent): 0</w:t>
      </w:r>
    </w:p>
    <w:p w14:paraId="6F6C8958"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Grade B (Very good): B</w:t>
      </w:r>
    </w:p>
    <w:p w14:paraId="31DDD8A0"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Grade C (Good): C</w:t>
      </w:r>
    </w:p>
    <w:p w14:paraId="26CC3C15"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Grade D (Fair): 0</w:t>
      </w:r>
    </w:p>
    <w:p w14:paraId="0429AFD3" w14:textId="77777777" w:rsidR="00A77B3E" w:rsidRPr="00492007" w:rsidRDefault="00B6516B" w:rsidP="00492007">
      <w:pPr>
        <w:adjustRightInd w:val="0"/>
        <w:snapToGrid w:val="0"/>
        <w:spacing w:line="360" w:lineRule="auto"/>
        <w:jc w:val="both"/>
        <w:rPr>
          <w:rFonts w:ascii="Book Antiqua" w:hAnsi="Book Antiqua"/>
        </w:rPr>
      </w:pPr>
      <w:r w:rsidRPr="00492007">
        <w:rPr>
          <w:rFonts w:ascii="Book Antiqua" w:eastAsia="Book Antiqua" w:hAnsi="Book Antiqua" w:cs="Book Antiqua"/>
          <w:color w:val="000000"/>
        </w:rPr>
        <w:t>Grade E (Poor): 0</w:t>
      </w:r>
    </w:p>
    <w:p w14:paraId="4E4ADBFC" w14:textId="77777777" w:rsidR="00A77B3E" w:rsidRPr="00492007" w:rsidRDefault="00A77B3E" w:rsidP="00492007">
      <w:pPr>
        <w:adjustRightInd w:val="0"/>
        <w:snapToGrid w:val="0"/>
        <w:spacing w:line="360" w:lineRule="auto"/>
        <w:jc w:val="both"/>
        <w:rPr>
          <w:rFonts w:ascii="Book Antiqua" w:hAnsi="Book Antiqua"/>
        </w:rPr>
      </w:pPr>
    </w:p>
    <w:p w14:paraId="28E64471" w14:textId="376FF107" w:rsidR="00A77B3E" w:rsidRPr="00492007" w:rsidRDefault="00B6516B" w:rsidP="00492007">
      <w:pPr>
        <w:adjustRightInd w:val="0"/>
        <w:snapToGrid w:val="0"/>
        <w:spacing w:line="360" w:lineRule="auto"/>
        <w:jc w:val="both"/>
        <w:rPr>
          <w:rFonts w:ascii="Book Antiqua" w:eastAsia="Book Antiqua" w:hAnsi="Book Antiqua" w:cs="Book Antiqua"/>
          <w:bCs/>
          <w:color w:val="000000"/>
        </w:rPr>
      </w:pPr>
      <w:r w:rsidRPr="00492007">
        <w:rPr>
          <w:rFonts w:ascii="Book Antiqua" w:eastAsia="Book Antiqua" w:hAnsi="Book Antiqua" w:cs="Book Antiqua"/>
          <w:b/>
          <w:color w:val="000000"/>
        </w:rPr>
        <w:t xml:space="preserve">P-Reviewer: </w:t>
      </w:r>
      <w:proofErr w:type="spellStart"/>
      <w:r w:rsidRPr="00492007">
        <w:rPr>
          <w:rFonts w:ascii="Book Antiqua" w:eastAsia="Book Antiqua" w:hAnsi="Book Antiqua" w:cs="Book Antiqua"/>
          <w:color w:val="000000"/>
        </w:rPr>
        <w:t>Bogdanovic</w:t>
      </w:r>
      <w:proofErr w:type="spellEnd"/>
      <w:r w:rsidRPr="00492007">
        <w:rPr>
          <w:rFonts w:ascii="Book Antiqua" w:eastAsia="Book Antiqua" w:hAnsi="Book Antiqua" w:cs="Book Antiqua"/>
          <w:color w:val="000000"/>
        </w:rPr>
        <w:t xml:space="preserve"> A, Serbia; Noda Y, Japan</w:t>
      </w:r>
      <w:r w:rsidRPr="00492007">
        <w:rPr>
          <w:rFonts w:ascii="Book Antiqua" w:eastAsia="Book Antiqua" w:hAnsi="Book Antiqua" w:cs="Book Antiqua"/>
          <w:b/>
          <w:color w:val="000000"/>
        </w:rPr>
        <w:t xml:space="preserve"> S-Editor: </w:t>
      </w:r>
      <w:r w:rsidR="006F799B" w:rsidRPr="00492007">
        <w:rPr>
          <w:rFonts w:ascii="Book Antiqua" w:eastAsia="Book Antiqua" w:hAnsi="Book Antiqua" w:cs="Book Antiqua"/>
          <w:bCs/>
          <w:color w:val="000000"/>
        </w:rPr>
        <w:t>Wang JL</w:t>
      </w:r>
      <w:r w:rsidRPr="00492007">
        <w:rPr>
          <w:rFonts w:ascii="Book Antiqua" w:eastAsia="Book Antiqua" w:hAnsi="Book Antiqua" w:cs="Book Antiqua"/>
          <w:b/>
          <w:color w:val="000000"/>
        </w:rPr>
        <w:t xml:space="preserve"> L-Editor: </w:t>
      </w:r>
      <w:proofErr w:type="spellStart"/>
      <w:r w:rsidR="002E25A2" w:rsidRPr="00492007">
        <w:rPr>
          <w:rFonts w:ascii="Book Antiqua" w:eastAsia="Book Antiqua" w:hAnsi="Book Antiqua" w:cs="Book Antiqua"/>
          <w:bCs/>
          <w:color w:val="000000"/>
        </w:rPr>
        <w:t>Filipodia</w:t>
      </w:r>
      <w:proofErr w:type="spellEnd"/>
      <w:r w:rsidR="002E25A2" w:rsidRPr="00492007">
        <w:rPr>
          <w:rFonts w:ascii="Book Antiqua" w:eastAsia="Book Antiqua" w:hAnsi="Book Antiqua" w:cs="Book Antiqua"/>
          <w:bCs/>
          <w:color w:val="000000"/>
        </w:rPr>
        <w:t xml:space="preserve"> </w:t>
      </w:r>
      <w:r w:rsidRPr="00492007">
        <w:rPr>
          <w:rFonts w:ascii="Book Antiqua" w:eastAsia="Book Antiqua" w:hAnsi="Book Antiqua" w:cs="Book Antiqua"/>
          <w:b/>
          <w:color w:val="000000"/>
        </w:rPr>
        <w:t xml:space="preserve">P-Editor: </w:t>
      </w:r>
      <w:r w:rsidR="006F799B" w:rsidRPr="00492007">
        <w:rPr>
          <w:rFonts w:ascii="Book Antiqua" w:eastAsia="Book Antiqua" w:hAnsi="Book Antiqua" w:cs="Book Antiqua"/>
          <w:bCs/>
          <w:color w:val="000000"/>
        </w:rPr>
        <w:t>Wang JL</w:t>
      </w:r>
    </w:p>
    <w:p w14:paraId="5E9745B4" w14:textId="77777777" w:rsidR="001B33AC" w:rsidRDefault="001B33AC">
      <w:pPr>
        <w:rPr>
          <w:rFonts w:ascii="Book Antiqua" w:hAnsi="Book Antiqua"/>
        </w:rPr>
      </w:pPr>
      <w:r>
        <w:rPr>
          <w:rFonts w:ascii="Book Antiqua" w:hAnsi="Book Antiqua"/>
        </w:rPr>
        <w:br w:type="page"/>
      </w:r>
    </w:p>
    <w:p w14:paraId="371959C7" w14:textId="13EF4E30" w:rsidR="00B501D9" w:rsidRPr="00492007" w:rsidRDefault="00B501D9" w:rsidP="00492007">
      <w:pPr>
        <w:adjustRightInd w:val="0"/>
        <w:snapToGrid w:val="0"/>
        <w:spacing w:line="360" w:lineRule="auto"/>
        <w:jc w:val="both"/>
        <w:rPr>
          <w:rFonts w:ascii="Book Antiqua" w:eastAsia="宋体" w:hAnsi="Book Antiqua"/>
          <w:color w:val="000000" w:themeColor="text1"/>
        </w:rPr>
      </w:pPr>
      <w:r w:rsidRPr="00492007">
        <w:rPr>
          <w:rFonts w:ascii="Book Antiqua" w:eastAsia="宋体" w:hAnsi="Book Antiqua"/>
          <w:b/>
          <w:bCs/>
          <w:color w:val="000000" w:themeColor="text1"/>
        </w:rPr>
        <w:lastRenderedPageBreak/>
        <w:t>Table 1</w:t>
      </w:r>
      <w:r w:rsidRPr="00492007">
        <w:rPr>
          <w:rFonts w:ascii="Book Antiqua" w:eastAsia="宋体" w:hAnsi="Book Antiqua"/>
          <w:color w:val="000000" w:themeColor="text1"/>
        </w:rPr>
        <w:t xml:space="preserve"> </w:t>
      </w:r>
      <w:r w:rsidRPr="00492007">
        <w:rPr>
          <w:rFonts w:ascii="Book Antiqua" w:eastAsia="宋体" w:hAnsi="Book Antiqua"/>
          <w:b/>
          <w:bCs/>
          <w:color w:val="000000" w:themeColor="text1"/>
        </w:rPr>
        <w:t>Efficacy of the two treatment approaches</w:t>
      </w:r>
      <w:r w:rsidR="00447EFF" w:rsidRPr="00447EFF">
        <w:rPr>
          <w:rFonts w:ascii="Book Antiqua" w:eastAsia="宋体" w:hAnsi="Book Antiqua" w:hint="eastAsia"/>
          <w:b/>
          <w:bCs/>
          <w:color w:val="000000" w:themeColor="text1"/>
          <w:lang w:eastAsia="zh-CN"/>
        </w:rPr>
        <w:t>,</w:t>
      </w:r>
      <w:r w:rsidR="00447EFF" w:rsidRPr="00447EFF">
        <w:rPr>
          <w:rFonts w:ascii="Book Antiqua" w:eastAsia="宋体" w:hAnsi="Book Antiqua"/>
          <w:b/>
          <w:bCs/>
          <w:color w:val="000000" w:themeColor="text1"/>
        </w:rPr>
        <w:t xml:space="preserve"> </w:t>
      </w:r>
      <w:r w:rsidR="00447EFF" w:rsidRPr="00447EFF">
        <w:rPr>
          <w:rFonts w:ascii="Book Antiqua" w:eastAsia="宋体" w:hAnsi="Book Antiqua"/>
          <w:b/>
          <w:bCs/>
          <w:i/>
          <w:iCs/>
          <w:color w:val="000000" w:themeColor="text1"/>
        </w:rPr>
        <w:t>n</w:t>
      </w:r>
      <w:r w:rsidR="00447EFF" w:rsidRPr="00447EFF">
        <w:rPr>
          <w:rFonts w:ascii="Book Antiqua" w:eastAsia="宋体" w:hAnsi="Book Antiqua"/>
          <w:b/>
          <w:bCs/>
          <w:color w:val="000000" w:themeColor="text1"/>
        </w:rPr>
        <w:t xml:space="preserve"> (%)</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87"/>
        <w:gridCol w:w="1036"/>
        <w:gridCol w:w="1082"/>
        <w:gridCol w:w="1034"/>
        <w:gridCol w:w="1034"/>
        <w:gridCol w:w="1680"/>
        <w:gridCol w:w="1823"/>
      </w:tblGrid>
      <w:tr w:rsidR="00C907D8" w:rsidRPr="00492007" w14:paraId="56C15685" w14:textId="77777777" w:rsidTr="001B33AC">
        <w:trPr>
          <w:trHeight w:val="550"/>
        </w:trPr>
        <w:tc>
          <w:tcPr>
            <w:tcW w:w="985" w:type="pct"/>
            <w:tcBorders>
              <w:top w:val="single" w:sz="4" w:space="0" w:color="auto"/>
              <w:bottom w:val="single" w:sz="4" w:space="0" w:color="auto"/>
            </w:tcBorders>
          </w:tcPr>
          <w:p w14:paraId="6295EAF4" w14:textId="77777777" w:rsidR="00C907D8" w:rsidRPr="00492007" w:rsidRDefault="00C907D8" w:rsidP="00492007">
            <w:pPr>
              <w:adjustRightInd w:val="0"/>
              <w:snapToGrid w:val="0"/>
              <w:spacing w:line="360" w:lineRule="auto"/>
              <w:jc w:val="both"/>
              <w:rPr>
                <w:rFonts w:ascii="Book Antiqua" w:hAnsi="Book Antiqua"/>
                <w:b/>
                <w:color w:val="000000" w:themeColor="text1"/>
              </w:rPr>
            </w:pPr>
            <w:r w:rsidRPr="00492007">
              <w:rPr>
                <w:rFonts w:ascii="Book Antiqua" w:hAnsi="Book Antiqua"/>
                <w:b/>
                <w:color w:val="000000" w:themeColor="text1"/>
              </w:rPr>
              <w:t>Groups</w:t>
            </w:r>
          </w:p>
        </w:tc>
        <w:tc>
          <w:tcPr>
            <w:tcW w:w="541" w:type="pct"/>
            <w:tcBorders>
              <w:top w:val="single" w:sz="4" w:space="0" w:color="auto"/>
              <w:bottom w:val="single" w:sz="4" w:space="0" w:color="auto"/>
            </w:tcBorders>
          </w:tcPr>
          <w:p w14:paraId="7D651AEE" w14:textId="77777777" w:rsidR="00C907D8" w:rsidRPr="00492007" w:rsidRDefault="00C907D8" w:rsidP="00492007">
            <w:pPr>
              <w:adjustRightInd w:val="0"/>
              <w:snapToGrid w:val="0"/>
              <w:spacing w:line="360" w:lineRule="auto"/>
              <w:jc w:val="both"/>
              <w:rPr>
                <w:rFonts w:ascii="Book Antiqua" w:hAnsi="Book Antiqua"/>
                <w:b/>
                <w:color w:val="000000" w:themeColor="text1"/>
              </w:rPr>
            </w:pPr>
            <w:r w:rsidRPr="00492007">
              <w:rPr>
                <w:rFonts w:ascii="Book Antiqua" w:hAnsi="Book Antiqua"/>
                <w:b/>
                <w:color w:val="000000" w:themeColor="text1"/>
              </w:rPr>
              <w:t>CR</w:t>
            </w:r>
          </w:p>
        </w:tc>
        <w:tc>
          <w:tcPr>
            <w:tcW w:w="565" w:type="pct"/>
            <w:tcBorders>
              <w:top w:val="single" w:sz="4" w:space="0" w:color="auto"/>
              <w:bottom w:val="single" w:sz="4" w:space="0" w:color="auto"/>
            </w:tcBorders>
          </w:tcPr>
          <w:p w14:paraId="2AC7153F" w14:textId="77777777" w:rsidR="00C907D8" w:rsidRPr="00492007" w:rsidRDefault="00C907D8" w:rsidP="00492007">
            <w:pPr>
              <w:adjustRightInd w:val="0"/>
              <w:snapToGrid w:val="0"/>
              <w:spacing w:line="360" w:lineRule="auto"/>
              <w:jc w:val="both"/>
              <w:rPr>
                <w:rFonts w:ascii="Book Antiqua" w:hAnsi="Book Antiqua"/>
                <w:b/>
                <w:color w:val="000000" w:themeColor="text1"/>
              </w:rPr>
            </w:pPr>
            <w:r w:rsidRPr="00492007">
              <w:rPr>
                <w:rFonts w:ascii="Book Antiqua" w:hAnsi="Book Antiqua"/>
                <w:b/>
                <w:color w:val="000000" w:themeColor="text1"/>
              </w:rPr>
              <w:t>PR</w:t>
            </w:r>
          </w:p>
        </w:tc>
        <w:tc>
          <w:tcPr>
            <w:tcW w:w="540" w:type="pct"/>
            <w:tcBorders>
              <w:top w:val="single" w:sz="4" w:space="0" w:color="auto"/>
              <w:bottom w:val="single" w:sz="4" w:space="0" w:color="auto"/>
            </w:tcBorders>
          </w:tcPr>
          <w:p w14:paraId="3286E43C" w14:textId="77777777" w:rsidR="00C907D8" w:rsidRPr="00492007" w:rsidRDefault="00C907D8" w:rsidP="00492007">
            <w:pPr>
              <w:adjustRightInd w:val="0"/>
              <w:snapToGrid w:val="0"/>
              <w:spacing w:line="360" w:lineRule="auto"/>
              <w:jc w:val="both"/>
              <w:rPr>
                <w:rFonts w:ascii="Book Antiqua" w:hAnsi="Book Antiqua"/>
                <w:b/>
                <w:color w:val="000000" w:themeColor="text1"/>
              </w:rPr>
            </w:pPr>
            <w:r w:rsidRPr="00492007">
              <w:rPr>
                <w:rFonts w:ascii="Book Antiqua" w:hAnsi="Book Antiqua"/>
                <w:b/>
                <w:color w:val="000000" w:themeColor="text1"/>
              </w:rPr>
              <w:t>SD</w:t>
            </w:r>
          </w:p>
        </w:tc>
        <w:tc>
          <w:tcPr>
            <w:tcW w:w="540" w:type="pct"/>
            <w:tcBorders>
              <w:top w:val="single" w:sz="4" w:space="0" w:color="auto"/>
              <w:bottom w:val="single" w:sz="4" w:space="0" w:color="auto"/>
            </w:tcBorders>
          </w:tcPr>
          <w:p w14:paraId="7BEE9D2C" w14:textId="77777777" w:rsidR="00C907D8" w:rsidRPr="00492007" w:rsidRDefault="00C907D8" w:rsidP="00492007">
            <w:pPr>
              <w:adjustRightInd w:val="0"/>
              <w:snapToGrid w:val="0"/>
              <w:spacing w:line="360" w:lineRule="auto"/>
              <w:jc w:val="both"/>
              <w:rPr>
                <w:rFonts w:ascii="Book Antiqua" w:hAnsi="Book Antiqua"/>
                <w:b/>
                <w:color w:val="000000" w:themeColor="text1"/>
              </w:rPr>
            </w:pPr>
            <w:r w:rsidRPr="00492007">
              <w:rPr>
                <w:rFonts w:ascii="Book Antiqua" w:hAnsi="Book Antiqua"/>
                <w:b/>
                <w:color w:val="000000" w:themeColor="text1"/>
              </w:rPr>
              <w:t>PD</w:t>
            </w:r>
          </w:p>
        </w:tc>
        <w:tc>
          <w:tcPr>
            <w:tcW w:w="877" w:type="pct"/>
            <w:tcBorders>
              <w:top w:val="single" w:sz="4" w:space="0" w:color="auto"/>
              <w:bottom w:val="single" w:sz="4" w:space="0" w:color="auto"/>
            </w:tcBorders>
          </w:tcPr>
          <w:p w14:paraId="0C1096DA" w14:textId="0E1BC159" w:rsidR="00C907D8" w:rsidRPr="00492007" w:rsidRDefault="00C907D8" w:rsidP="00492007">
            <w:pPr>
              <w:adjustRightInd w:val="0"/>
              <w:snapToGrid w:val="0"/>
              <w:spacing w:line="360" w:lineRule="auto"/>
              <w:jc w:val="both"/>
              <w:rPr>
                <w:rFonts w:ascii="Book Antiqua" w:hAnsi="Book Antiqua"/>
                <w:b/>
                <w:color w:val="000000" w:themeColor="text1"/>
              </w:rPr>
            </w:pPr>
            <w:r w:rsidRPr="00492007">
              <w:rPr>
                <w:rFonts w:ascii="Book Antiqua" w:hAnsi="Book Antiqua"/>
                <w:b/>
                <w:color w:val="000000" w:themeColor="text1"/>
              </w:rPr>
              <w:t>Clinical efficacy</w:t>
            </w:r>
            <w:r w:rsidR="00175B27">
              <w:rPr>
                <w:rFonts w:ascii="Book Antiqua" w:hAnsi="Book Antiqua"/>
                <w:b/>
                <w:color w:val="000000" w:themeColor="text1"/>
              </w:rPr>
              <w:t>,</w:t>
            </w:r>
            <w:r w:rsidRPr="00492007">
              <w:rPr>
                <w:rFonts w:ascii="Book Antiqua" w:hAnsi="Book Antiqua"/>
                <w:b/>
                <w:color w:val="000000" w:themeColor="text1"/>
              </w:rPr>
              <w:t xml:space="preserve"> %</w:t>
            </w:r>
          </w:p>
        </w:tc>
        <w:tc>
          <w:tcPr>
            <w:tcW w:w="952" w:type="pct"/>
            <w:tcBorders>
              <w:top w:val="single" w:sz="4" w:space="0" w:color="auto"/>
              <w:bottom w:val="single" w:sz="4" w:space="0" w:color="auto"/>
            </w:tcBorders>
          </w:tcPr>
          <w:p w14:paraId="7377D207" w14:textId="64B6DCE8" w:rsidR="00C907D8" w:rsidRPr="00492007" w:rsidRDefault="00C907D8" w:rsidP="00492007">
            <w:pPr>
              <w:adjustRightInd w:val="0"/>
              <w:snapToGrid w:val="0"/>
              <w:spacing w:line="360" w:lineRule="auto"/>
              <w:jc w:val="both"/>
              <w:rPr>
                <w:rFonts w:ascii="Book Antiqua" w:hAnsi="Book Antiqua"/>
                <w:b/>
                <w:color w:val="000000" w:themeColor="text1"/>
              </w:rPr>
            </w:pPr>
            <w:r w:rsidRPr="00492007">
              <w:rPr>
                <w:rFonts w:ascii="Book Antiqua" w:hAnsi="Book Antiqua"/>
                <w:b/>
                <w:color w:val="000000" w:themeColor="text1"/>
              </w:rPr>
              <w:t>Disease control rate</w:t>
            </w:r>
            <w:r w:rsidR="00175B27">
              <w:rPr>
                <w:rFonts w:ascii="Book Antiqua" w:hAnsi="Book Antiqua"/>
                <w:b/>
                <w:color w:val="000000" w:themeColor="text1"/>
              </w:rPr>
              <w:t>,</w:t>
            </w:r>
            <w:r w:rsidRPr="00492007">
              <w:rPr>
                <w:rFonts w:ascii="Book Antiqua" w:hAnsi="Book Antiqua"/>
                <w:b/>
                <w:color w:val="000000" w:themeColor="text1"/>
              </w:rPr>
              <w:t xml:space="preserve"> %</w:t>
            </w:r>
          </w:p>
        </w:tc>
      </w:tr>
      <w:tr w:rsidR="00C907D8" w:rsidRPr="00492007" w14:paraId="3AE8B283" w14:textId="77777777" w:rsidTr="006C1E8A">
        <w:tc>
          <w:tcPr>
            <w:tcW w:w="985" w:type="pct"/>
            <w:tcBorders>
              <w:top w:val="single" w:sz="4" w:space="0" w:color="auto"/>
            </w:tcBorders>
          </w:tcPr>
          <w:p w14:paraId="52210F72" w14:textId="4962844C"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Observation group</w:t>
            </w:r>
            <w:r w:rsidR="00175B27">
              <w:rPr>
                <w:rFonts w:ascii="Book Antiqua" w:hAnsi="Book Antiqua"/>
                <w:bCs/>
                <w:color w:val="000000" w:themeColor="text1"/>
              </w:rPr>
              <w:t>,</w:t>
            </w:r>
            <w:r w:rsidRPr="00492007">
              <w:rPr>
                <w:rFonts w:ascii="Book Antiqua" w:hAnsi="Book Antiqua"/>
                <w:bCs/>
                <w:color w:val="000000" w:themeColor="text1"/>
              </w:rPr>
              <w:t xml:space="preserve"> </w:t>
            </w:r>
            <w:r w:rsidRPr="00492007">
              <w:rPr>
                <w:rFonts w:ascii="Book Antiqua" w:hAnsi="Book Antiqua"/>
                <w:bCs/>
                <w:i/>
                <w:iCs/>
                <w:color w:val="000000" w:themeColor="text1"/>
              </w:rPr>
              <w:t>n</w:t>
            </w:r>
            <w:r w:rsidRPr="00492007">
              <w:rPr>
                <w:rFonts w:ascii="Book Antiqua" w:hAnsi="Book Antiqua"/>
                <w:bCs/>
                <w:color w:val="000000" w:themeColor="text1"/>
              </w:rPr>
              <w:t xml:space="preserve"> = 30</w:t>
            </w:r>
          </w:p>
        </w:tc>
        <w:tc>
          <w:tcPr>
            <w:tcW w:w="541" w:type="pct"/>
            <w:tcBorders>
              <w:top w:val="single" w:sz="4" w:space="0" w:color="auto"/>
            </w:tcBorders>
          </w:tcPr>
          <w:p w14:paraId="7D4134B8"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7 (23.33)</w:t>
            </w:r>
          </w:p>
        </w:tc>
        <w:tc>
          <w:tcPr>
            <w:tcW w:w="565" w:type="pct"/>
            <w:tcBorders>
              <w:top w:val="single" w:sz="4" w:space="0" w:color="auto"/>
            </w:tcBorders>
          </w:tcPr>
          <w:p w14:paraId="49907386"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15 (50.00)</w:t>
            </w:r>
          </w:p>
        </w:tc>
        <w:tc>
          <w:tcPr>
            <w:tcW w:w="540" w:type="pct"/>
            <w:tcBorders>
              <w:top w:val="single" w:sz="4" w:space="0" w:color="auto"/>
            </w:tcBorders>
          </w:tcPr>
          <w:p w14:paraId="45ACBF1C"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6 (20.00)</w:t>
            </w:r>
          </w:p>
        </w:tc>
        <w:tc>
          <w:tcPr>
            <w:tcW w:w="540" w:type="pct"/>
            <w:tcBorders>
              <w:top w:val="single" w:sz="4" w:space="0" w:color="auto"/>
            </w:tcBorders>
          </w:tcPr>
          <w:p w14:paraId="0F2C7070"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2 (6.67)</w:t>
            </w:r>
          </w:p>
        </w:tc>
        <w:tc>
          <w:tcPr>
            <w:tcW w:w="877" w:type="pct"/>
            <w:tcBorders>
              <w:top w:val="single" w:sz="4" w:space="0" w:color="auto"/>
            </w:tcBorders>
          </w:tcPr>
          <w:p w14:paraId="36E2354E"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73.33</w:t>
            </w:r>
          </w:p>
        </w:tc>
        <w:tc>
          <w:tcPr>
            <w:tcW w:w="952" w:type="pct"/>
            <w:tcBorders>
              <w:top w:val="single" w:sz="4" w:space="0" w:color="auto"/>
            </w:tcBorders>
          </w:tcPr>
          <w:p w14:paraId="1F23C927"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93.33</w:t>
            </w:r>
          </w:p>
        </w:tc>
      </w:tr>
      <w:tr w:rsidR="00C907D8" w:rsidRPr="00492007" w14:paraId="4E1BCB7F" w14:textId="77777777" w:rsidTr="006C1E8A">
        <w:tc>
          <w:tcPr>
            <w:tcW w:w="985" w:type="pct"/>
          </w:tcPr>
          <w:p w14:paraId="0C152129" w14:textId="6351A8BB"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Control group</w:t>
            </w:r>
            <w:r w:rsidR="00175B27">
              <w:rPr>
                <w:rFonts w:ascii="Book Antiqua" w:hAnsi="Book Antiqua"/>
                <w:bCs/>
                <w:color w:val="000000" w:themeColor="text1"/>
              </w:rPr>
              <w:t>,</w:t>
            </w:r>
            <w:r w:rsidRPr="00492007">
              <w:rPr>
                <w:rFonts w:ascii="Book Antiqua" w:hAnsi="Book Antiqua"/>
                <w:bCs/>
                <w:color w:val="000000" w:themeColor="text1"/>
              </w:rPr>
              <w:t xml:space="preserve"> </w:t>
            </w:r>
            <w:r w:rsidRPr="00492007">
              <w:rPr>
                <w:rFonts w:ascii="Book Antiqua" w:hAnsi="Book Antiqua"/>
                <w:bCs/>
                <w:i/>
                <w:iCs/>
                <w:color w:val="000000" w:themeColor="text1"/>
              </w:rPr>
              <w:t>n</w:t>
            </w:r>
            <w:r w:rsidRPr="00492007">
              <w:rPr>
                <w:rFonts w:ascii="Book Antiqua" w:hAnsi="Book Antiqua"/>
                <w:bCs/>
                <w:color w:val="000000" w:themeColor="text1"/>
              </w:rPr>
              <w:t xml:space="preserve"> = 30</w:t>
            </w:r>
          </w:p>
        </w:tc>
        <w:tc>
          <w:tcPr>
            <w:tcW w:w="541" w:type="pct"/>
          </w:tcPr>
          <w:p w14:paraId="74759278"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5 (16.67)</w:t>
            </w:r>
          </w:p>
        </w:tc>
        <w:tc>
          <w:tcPr>
            <w:tcW w:w="565" w:type="pct"/>
          </w:tcPr>
          <w:p w14:paraId="5D810B30"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11 (36.67)</w:t>
            </w:r>
          </w:p>
        </w:tc>
        <w:tc>
          <w:tcPr>
            <w:tcW w:w="540" w:type="pct"/>
          </w:tcPr>
          <w:p w14:paraId="3A972B8C"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8 (26.67)</w:t>
            </w:r>
          </w:p>
        </w:tc>
        <w:tc>
          <w:tcPr>
            <w:tcW w:w="540" w:type="pct"/>
          </w:tcPr>
          <w:p w14:paraId="546E5E0B"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6 (20.00)</w:t>
            </w:r>
          </w:p>
        </w:tc>
        <w:tc>
          <w:tcPr>
            <w:tcW w:w="877" w:type="pct"/>
          </w:tcPr>
          <w:p w14:paraId="291AB113"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53.33</w:t>
            </w:r>
          </w:p>
        </w:tc>
        <w:tc>
          <w:tcPr>
            <w:tcW w:w="952" w:type="pct"/>
          </w:tcPr>
          <w:p w14:paraId="00080105"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80.00</w:t>
            </w:r>
          </w:p>
        </w:tc>
      </w:tr>
      <w:tr w:rsidR="00C907D8" w:rsidRPr="00492007" w14:paraId="0E0493D8" w14:textId="77777777" w:rsidTr="006C1E8A">
        <w:tc>
          <w:tcPr>
            <w:tcW w:w="985" w:type="pct"/>
          </w:tcPr>
          <w:p w14:paraId="1B5AA733"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i/>
                <w:iCs/>
                <w:color w:val="000000" w:themeColor="text1"/>
              </w:rPr>
              <w:t>χ</w:t>
            </w:r>
            <w:r w:rsidRPr="00492007">
              <w:rPr>
                <w:rFonts w:ascii="Book Antiqua" w:hAnsi="Book Antiqua"/>
                <w:bCs/>
                <w:color w:val="000000" w:themeColor="text1"/>
                <w:vertAlign w:val="superscript"/>
              </w:rPr>
              <w:t xml:space="preserve">2 </w:t>
            </w:r>
            <w:r w:rsidRPr="00492007">
              <w:rPr>
                <w:rFonts w:ascii="Book Antiqua" w:hAnsi="Book Antiqua"/>
                <w:bCs/>
                <w:color w:val="000000" w:themeColor="text1"/>
              </w:rPr>
              <w:t>value</w:t>
            </w:r>
          </w:p>
        </w:tc>
        <w:tc>
          <w:tcPr>
            <w:tcW w:w="541" w:type="pct"/>
          </w:tcPr>
          <w:p w14:paraId="783B008C"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p>
        </w:tc>
        <w:tc>
          <w:tcPr>
            <w:tcW w:w="565" w:type="pct"/>
          </w:tcPr>
          <w:p w14:paraId="0A90F991"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p>
        </w:tc>
        <w:tc>
          <w:tcPr>
            <w:tcW w:w="540" w:type="pct"/>
          </w:tcPr>
          <w:p w14:paraId="76C2E925"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p>
        </w:tc>
        <w:tc>
          <w:tcPr>
            <w:tcW w:w="540" w:type="pct"/>
          </w:tcPr>
          <w:p w14:paraId="2E77167F"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p>
        </w:tc>
        <w:tc>
          <w:tcPr>
            <w:tcW w:w="877" w:type="pct"/>
          </w:tcPr>
          <w:p w14:paraId="29A6C8E6"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15.521</w:t>
            </w:r>
          </w:p>
        </w:tc>
        <w:tc>
          <w:tcPr>
            <w:tcW w:w="952" w:type="pct"/>
          </w:tcPr>
          <w:p w14:paraId="7E75F352"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5.660</w:t>
            </w:r>
          </w:p>
        </w:tc>
      </w:tr>
      <w:tr w:rsidR="00C907D8" w:rsidRPr="00492007" w14:paraId="26CD7B19" w14:textId="77777777" w:rsidTr="006C1E8A">
        <w:tc>
          <w:tcPr>
            <w:tcW w:w="985" w:type="pct"/>
          </w:tcPr>
          <w:p w14:paraId="60A86D1B"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i/>
                <w:iCs/>
                <w:color w:val="000000" w:themeColor="text1"/>
              </w:rPr>
              <w:t>P</w:t>
            </w:r>
            <w:r w:rsidRPr="00492007">
              <w:rPr>
                <w:rFonts w:ascii="Book Antiqua" w:hAnsi="Book Antiqua"/>
                <w:bCs/>
                <w:color w:val="000000" w:themeColor="text1"/>
              </w:rPr>
              <w:t xml:space="preserve"> value</w:t>
            </w:r>
          </w:p>
        </w:tc>
        <w:tc>
          <w:tcPr>
            <w:tcW w:w="541" w:type="pct"/>
          </w:tcPr>
          <w:p w14:paraId="027ED229"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p>
        </w:tc>
        <w:tc>
          <w:tcPr>
            <w:tcW w:w="565" w:type="pct"/>
          </w:tcPr>
          <w:p w14:paraId="5651284A"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p>
        </w:tc>
        <w:tc>
          <w:tcPr>
            <w:tcW w:w="540" w:type="pct"/>
          </w:tcPr>
          <w:p w14:paraId="02837DF9"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p>
        </w:tc>
        <w:tc>
          <w:tcPr>
            <w:tcW w:w="540" w:type="pct"/>
          </w:tcPr>
          <w:p w14:paraId="098470D5"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p>
        </w:tc>
        <w:tc>
          <w:tcPr>
            <w:tcW w:w="877" w:type="pct"/>
          </w:tcPr>
          <w:p w14:paraId="38E957C6"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0.001</w:t>
            </w:r>
          </w:p>
        </w:tc>
        <w:tc>
          <w:tcPr>
            <w:tcW w:w="952" w:type="pct"/>
          </w:tcPr>
          <w:p w14:paraId="6AD920D5" w14:textId="77777777" w:rsidR="00C907D8" w:rsidRPr="00492007" w:rsidRDefault="00C907D8"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0.041</w:t>
            </w:r>
          </w:p>
        </w:tc>
      </w:tr>
    </w:tbl>
    <w:p w14:paraId="1CC800AD" w14:textId="06BDB1F6" w:rsidR="00D3788E" w:rsidRPr="00492007" w:rsidRDefault="00B501D9" w:rsidP="00492007">
      <w:pPr>
        <w:adjustRightInd w:val="0"/>
        <w:snapToGrid w:val="0"/>
        <w:spacing w:line="360" w:lineRule="auto"/>
        <w:jc w:val="both"/>
        <w:rPr>
          <w:rFonts w:ascii="Book Antiqua" w:eastAsia="宋体" w:hAnsi="Book Antiqua"/>
          <w:bCs/>
          <w:color w:val="000000" w:themeColor="text1"/>
        </w:rPr>
      </w:pPr>
      <w:r w:rsidRPr="00492007">
        <w:rPr>
          <w:rFonts w:ascii="Book Antiqua" w:eastAsia="宋体" w:hAnsi="Book Antiqua"/>
          <w:bCs/>
          <w:color w:val="000000" w:themeColor="text1"/>
        </w:rPr>
        <w:t xml:space="preserve">Clinical efficacy = </w:t>
      </w:r>
      <w:r w:rsidR="002A51B6">
        <w:rPr>
          <w:rFonts w:ascii="Book Antiqua" w:eastAsia="Book Antiqua" w:hAnsi="Book Antiqua" w:cs="Book Antiqua"/>
          <w:color w:val="000000"/>
        </w:rPr>
        <w:t>c</w:t>
      </w:r>
      <w:r w:rsidR="006C1E8A" w:rsidRPr="00492007">
        <w:rPr>
          <w:rFonts w:ascii="Book Antiqua" w:eastAsia="Book Antiqua" w:hAnsi="Book Antiqua" w:cs="Book Antiqua"/>
          <w:color w:val="000000"/>
        </w:rPr>
        <w:t>omplete remission</w:t>
      </w:r>
      <w:r w:rsidR="006C1E8A" w:rsidRPr="00492007">
        <w:rPr>
          <w:rFonts w:ascii="Book Antiqua" w:eastAsia="宋体" w:hAnsi="Book Antiqua"/>
          <w:bCs/>
          <w:color w:val="000000" w:themeColor="text1"/>
        </w:rPr>
        <w:t xml:space="preserve"> </w:t>
      </w:r>
      <w:r w:rsidRPr="00492007">
        <w:rPr>
          <w:rFonts w:ascii="Book Antiqua" w:eastAsia="宋体" w:hAnsi="Book Antiqua"/>
          <w:bCs/>
          <w:color w:val="000000" w:themeColor="text1"/>
        </w:rPr>
        <w:t xml:space="preserve">+ </w:t>
      </w:r>
      <w:r w:rsidR="006C1E8A" w:rsidRPr="00492007">
        <w:rPr>
          <w:rFonts w:ascii="Book Antiqua" w:eastAsia="Book Antiqua" w:hAnsi="Book Antiqua" w:cs="Book Antiqua"/>
          <w:color w:val="000000"/>
        </w:rPr>
        <w:t>partial remission</w:t>
      </w:r>
      <w:r w:rsidRPr="00492007">
        <w:rPr>
          <w:rFonts w:ascii="Book Antiqua" w:eastAsia="宋体" w:hAnsi="Book Antiqua"/>
          <w:bCs/>
          <w:color w:val="000000" w:themeColor="text1"/>
        </w:rPr>
        <w:t xml:space="preserve">; Disease control rate = </w:t>
      </w:r>
      <w:r w:rsidR="002A51B6">
        <w:rPr>
          <w:rFonts w:ascii="Book Antiqua" w:eastAsia="Book Antiqua" w:hAnsi="Book Antiqua" w:cs="Book Antiqua"/>
          <w:color w:val="000000"/>
        </w:rPr>
        <w:t>c</w:t>
      </w:r>
      <w:r w:rsidR="006C1E8A" w:rsidRPr="00492007">
        <w:rPr>
          <w:rFonts w:ascii="Book Antiqua" w:eastAsia="Book Antiqua" w:hAnsi="Book Antiqua" w:cs="Book Antiqua"/>
          <w:color w:val="000000"/>
        </w:rPr>
        <w:t>omplete remission</w:t>
      </w:r>
      <w:r w:rsidR="006C1E8A" w:rsidRPr="00492007">
        <w:rPr>
          <w:rFonts w:ascii="Book Antiqua" w:eastAsia="宋体" w:hAnsi="Book Antiqua"/>
          <w:bCs/>
          <w:color w:val="000000" w:themeColor="text1"/>
        </w:rPr>
        <w:t xml:space="preserve"> </w:t>
      </w:r>
      <w:r w:rsidRPr="00492007">
        <w:rPr>
          <w:rFonts w:ascii="Book Antiqua" w:eastAsia="宋体" w:hAnsi="Book Antiqua"/>
          <w:bCs/>
          <w:color w:val="000000" w:themeColor="text1"/>
        </w:rPr>
        <w:t>+</w:t>
      </w:r>
      <w:r w:rsidR="00C907D8" w:rsidRPr="00492007">
        <w:rPr>
          <w:rFonts w:ascii="Book Antiqua" w:eastAsia="宋体" w:hAnsi="Book Antiqua"/>
          <w:bCs/>
          <w:color w:val="000000" w:themeColor="text1"/>
        </w:rPr>
        <w:t xml:space="preserve"> </w:t>
      </w:r>
      <w:r w:rsidR="006C1E8A" w:rsidRPr="00492007">
        <w:rPr>
          <w:rFonts w:ascii="Book Antiqua" w:eastAsia="Book Antiqua" w:hAnsi="Book Antiqua" w:cs="Book Antiqua"/>
          <w:color w:val="000000"/>
        </w:rPr>
        <w:t>partial remission</w:t>
      </w:r>
      <w:r w:rsidR="006C1E8A" w:rsidRPr="00492007">
        <w:rPr>
          <w:rFonts w:ascii="Book Antiqua" w:eastAsia="宋体" w:hAnsi="Book Antiqua"/>
          <w:bCs/>
          <w:color w:val="000000" w:themeColor="text1"/>
        </w:rPr>
        <w:t xml:space="preserve"> </w:t>
      </w:r>
      <w:r w:rsidRPr="00492007">
        <w:rPr>
          <w:rFonts w:ascii="Book Antiqua" w:eastAsia="宋体" w:hAnsi="Book Antiqua"/>
          <w:bCs/>
          <w:color w:val="000000" w:themeColor="text1"/>
        </w:rPr>
        <w:t>+</w:t>
      </w:r>
      <w:r w:rsidR="00C907D8" w:rsidRPr="00492007">
        <w:rPr>
          <w:rFonts w:ascii="Book Antiqua" w:eastAsia="宋体" w:hAnsi="Book Antiqua"/>
          <w:bCs/>
          <w:color w:val="000000" w:themeColor="text1"/>
        </w:rPr>
        <w:t xml:space="preserve"> </w:t>
      </w:r>
      <w:r w:rsidR="006C1E8A" w:rsidRPr="00492007">
        <w:rPr>
          <w:rFonts w:ascii="Book Antiqua" w:eastAsia="Book Antiqua" w:hAnsi="Book Antiqua" w:cs="Book Antiqua"/>
          <w:color w:val="000000"/>
        </w:rPr>
        <w:t>stable disease</w:t>
      </w:r>
      <w:r w:rsidRPr="00492007">
        <w:rPr>
          <w:rFonts w:ascii="Book Antiqua" w:eastAsia="宋体" w:hAnsi="Book Antiqua"/>
          <w:bCs/>
          <w:color w:val="000000" w:themeColor="text1"/>
        </w:rPr>
        <w:t>.</w:t>
      </w:r>
      <w:r w:rsidR="006C1E8A" w:rsidRPr="00492007">
        <w:rPr>
          <w:rFonts w:ascii="Book Antiqua" w:eastAsia="宋体" w:hAnsi="Book Antiqua"/>
          <w:bCs/>
          <w:color w:val="000000" w:themeColor="text1"/>
          <w:lang w:eastAsia="zh-CN"/>
        </w:rPr>
        <w:t xml:space="preserve"> </w:t>
      </w:r>
      <w:r w:rsidR="00D3788E" w:rsidRPr="00492007">
        <w:rPr>
          <w:rFonts w:ascii="Book Antiqua" w:eastAsia="Book Antiqua" w:hAnsi="Book Antiqua" w:cs="Book Antiqua"/>
          <w:color w:val="000000"/>
        </w:rPr>
        <w:t>CR: Complete remission;</w:t>
      </w:r>
      <w:r w:rsidR="006C1E8A" w:rsidRPr="00492007">
        <w:rPr>
          <w:rFonts w:ascii="Book Antiqua" w:hAnsi="Book Antiqua" w:cs="Book Antiqua"/>
          <w:color w:val="000000"/>
          <w:lang w:eastAsia="zh-CN"/>
        </w:rPr>
        <w:t xml:space="preserve"> </w:t>
      </w:r>
      <w:r w:rsidR="00D3788E" w:rsidRPr="00492007">
        <w:rPr>
          <w:rFonts w:ascii="Book Antiqua" w:eastAsia="Book Antiqua" w:hAnsi="Book Antiqua" w:cs="Book Antiqua"/>
          <w:color w:val="000000"/>
        </w:rPr>
        <w:t>PR: Partial remission;</w:t>
      </w:r>
      <w:r w:rsidR="006C1E8A" w:rsidRPr="00492007">
        <w:rPr>
          <w:rFonts w:ascii="Book Antiqua" w:hAnsi="Book Antiqua"/>
          <w:lang w:eastAsia="zh-CN"/>
        </w:rPr>
        <w:t xml:space="preserve"> </w:t>
      </w:r>
      <w:r w:rsidR="00D3788E" w:rsidRPr="00492007">
        <w:rPr>
          <w:rFonts w:ascii="Book Antiqua" w:eastAsia="Book Antiqua" w:hAnsi="Book Antiqua" w:cs="Book Antiqua"/>
          <w:color w:val="000000"/>
        </w:rPr>
        <w:t>SD: Stable disease</w:t>
      </w:r>
      <w:r w:rsidR="00173728">
        <w:rPr>
          <w:rFonts w:ascii="Book Antiqua" w:eastAsia="Book Antiqua" w:hAnsi="Book Antiqua" w:cs="Book Antiqua"/>
          <w:color w:val="000000"/>
        </w:rPr>
        <w:t xml:space="preserve">; PD: </w:t>
      </w:r>
      <w:r w:rsidR="00173728" w:rsidRPr="00492007">
        <w:rPr>
          <w:rFonts w:ascii="Book Antiqua" w:eastAsia="Book Antiqua" w:hAnsi="Book Antiqua" w:cs="Book Antiqua"/>
          <w:color w:val="000000"/>
        </w:rPr>
        <w:t>progressive disease</w:t>
      </w:r>
      <w:r w:rsidR="006C1E8A" w:rsidRPr="00492007">
        <w:rPr>
          <w:rFonts w:ascii="Book Antiqua" w:eastAsia="Book Antiqua" w:hAnsi="Book Antiqua" w:cs="Book Antiqua"/>
          <w:color w:val="000000"/>
        </w:rPr>
        <w:t>.</w:t>
      </w:r>
    </w:p>
    <w:p w14:paraId="4F4220DB" w14:textId="77777777" w:rsidR="001B33AC" w:rsidRDefault="001B33AC">
      <w:pPr>
        <w:rPr>
          <w:rFonts w:ascii="Book Antiqua" w:eastAsia="宋体" w:hAnsi="Book Antiqua"/>
          <w:bCs/>
          <w:color w:val="000000" w:themeColor="text1"/>
        </w:rPr>
      </w:pPr>
      <w:r>
        <w:rPr>
          <w:rFonts w:ascii="Book Antiqua" w:eastAsia="宋体" w:hAnsi="Book Antiqua"/>
          <w:bCs/>
          <w:color w:val="000000" w:themeColor="text1"/>
        </w:rPr>
        <w:br w:type="page"/>
      </w:r>
    </w:p>
    <w:p w14:paraId="077F715F" w14:textId="6C59E20E" w:rsidR="00B501D9" w:rsidRPr="00447EFF" w:rsidRDefault="00B501D9" w:rsidP="00492007">
      <w:pPr>
        <w:adjustRightInd w:val="0"/>
        <w:snapToGrid w:val="0"/>
        <w:spacing w:line="360" w:lineRule="auto"/>
        <w:jc w:val="both"/>
        <w:rPr>
          <w:rFonts w:ascii="Book Antiqua" w:eastAsia="宋体" w:hAnsi="Book Antiqua"/>
          <w:b/>
          <w:bCs/>
          <w:color w:val="000000" w:themeColor="text1"/>
        </w:rPr>
      </w:pPr>
      <w:r w:rsidRPr="00447EFF">
        <w:rPr>
          <w:rFonts w:ascii="Book Antiqua" w:eastAsia="宋体" w:hAnsi="Book Antiqua"/>
          <w:b/>
          <w:bCs/>
          <w:color w:val="000000" w:themeColor="text1"/>
        </w:rPr>
        <w:lastRenderedPageBreak/>
        <w:t xml:space="preserve">Table 2 Comparison of </w:t>
      </w:r>
      <w:r w:rsidR="006C1E8A" w:rsidRPr="00447EFF">
        <w:rPr>
          <w:rFonts w:ascii="Book Antiqua" w:eastAsia="Book Antiqua" w:hAnsi="Book Antiqua" w:cs="Book Antiqua"/>
          <w:b/>
          <w:bCs/>
          <w:color w:val="000000"/>
        </w:rPr>
        <w:t>alpha-fetoprotein</w:t>
      </w:r>
      <w:r w:rsidR="006C1E8A" w:rsidRPr="00447EFF">
        <w:rPr>
          <w:rFonts w:ascii="Book Antiqua" w:eastAsia="宋体" w:hAnsi="Book Antiqua"/>
          <w:b/>
          <w:bCs/>
          <w:color w:val="000000" w:themeColor="text1"/>
        </w:rPr>
        <w:t xml:space="preserve"> </w:t>
      </w:r>
      <w:r w:rsidRPr="00447EFF">
        <w:rPr>
          <w:rFonts w:ascii="Book Antiqua" w:eastAsia="宋体" w:hAnsi="Book Antiqua"/>
          <w:b/>
          <w:bCs/>
          <w:color w:val="000000" w:themeColor="text1"/>
        </w:rPr>
        <w:t>between the two groups before and after the treatment</w:t>
      </w:r>
      <w:r w:rsidR="00447EFF" w:rsidRPr="00447EFF">
        <w:rPr>
          <w:rFonts w:ascii="Book Antiqua" w:eastAsia="宋体" w:hAnsi="Book Antiqua"/>
          <w:b/>
          <w:bCs/>
          <w:color w:val="000000" w:themeColor="text1"/>
        </w:rPr>
        <w:t xml:space="preserve"> (mean </w:t>
      </w:r>
      <w:r w:rsidR="00447EFF" w:rsidRPr="00447EFF">
        <w:rPr>
          <w:rFonts w:ascii="Book Antiqua" w:eastAsia="宋体" w:hAnsi="Book Antiqua"/>
          <w:b/>
          <w:bCs/>
          <w:color w:val="000000" w:themeColor="text1"/>
          <w:lang w:eastAsia="zh-CN"/>
        </w:rPr>
        <w:t>±</w:t>
      </w:r>
      <w:r w:rsidR="00447EFF" w:rsidRPr="00447EFF">
        <w:rPr>
          <w:rFonts w:ascii="Book Antiqua" w:eastAsia="宋体" w:hAnsi="Book Antiqua"/>
          <w:b/>
          <w:bCs/>
          <w:color w:val="000000" w:themeColor="text1"/>
        </w:rPr>
        <w:t xml:space="preserve"> SD, </w:t>
      </w:r>
      <w:proofErr w:type="spellStart"/>
      <w:r w:rsidR="00447EFF" w:rsidRPr="00447EFF">
        <w:rPr>
          <w:rFonts w:ascii="Book Antiqua" w:eastAsia="宋体" w:hAnsi="Book Antiqua"/>
          <w:b/>
          <w:bCs/>
          <w:color w:val="000000" w:themeColor="text1"/>
        </w:rPr>
        <w:t>ng</w:t>
      </w:r>
      <w:proofErr w:type="spellEnd"/>
      <w:r w:rsidR="00447EFF" w:rsidRPr="00447EFF">
        <w:rPr>
          <w:rFonts w:ascii="Book Antiqua" w:eastAsia="宋体" w:hAnsi="Book Antiqua"/>
          <w:b/>
          <w:bCs/>
          <w:color w:val="000000" w:themeColor="text1"/>
        </w:rPr>
        <w:t>/mL)</w:t>
      </w:r>
    </w:p>
    <w:tbl>
      <w:tblPr>
        <w:tblStyle w:val="a5"/>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00" w:firstRow="0" w:lastRow="0" w:firstColumn="0" w:lastColumn="0" w:noHBand="1" w:noVBand="1"/>
      </w:tblPr>
      <w:tblGrid>
        <w:gridCol w:w="3768"/>
        <w:gridCol w:w="2993"/>
        <w:gridCol w:w="2815"/>
      </w:tblGrid>
      <w:tr w:rsidR="006C1E8A" w:rsidRPr="00492007" w14:paraId="4EFC21A3" w14:textId="77777777" w:rsidTr="001B33AC">
        <w:trPr>
          <w:trHeight w:val="248"/>
        </w:trPr>
        <w:tc>
          <w:tcPr>
            <w:tcW w:w="1967" w:type="pct"/>
            <w:tcBorders>
              <w:top w:val="single" w:sz="4" w:space="0" w:color="auto"/>
              <w:bottom w:val="single" w:sz="4" w:space="0" w:color="auto"/>
            </w:tcBorders>
          </w:tcPr>
          <w:p w14:paraId="3F2CF1E6" w14:textId="77777777" w:rsidR="006C1E8A" w:rsidRPr="00492007" w:rsidRDefault="006C1E8A"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
                <w:color w:val="000000" w:themeColor="text1"/>
              </w:rPr>
              <w:t>Groups</w:t>
            </w:r>
          </w:p>
        </w:tc>
        <w:tc>
          <w:tcPr>
            <w:tcW w:w="1563" w:type="pct"/>
            <w:tcBorders>
              <w:top w:val="single" w:sz="4" w:space="0" w:color="auto"/>
              <w:bottom w:val="single" w:sz="4" w:space="0" w:color="auto"/>
            </w:tcBorders>
          </w:tcPr>
          <w:p w14:paraId="17FBC0B4" w14:textId="77777777" w:rsidR="006C1E8A" w:rsidRPr="00492007" w:rsidRDefault="006C1E8A" w:rsidP="00492007">
            <w:pPr>
              <w:adjustRightInd w:val="0"/>
              <w:snapToGrid w:val="0"/>
              <w:spacing w:line="360" w:lineRule="auto"/>
              <w:jc w:val="both"/>
              <w:rPr>
                <w:rFonts w:ascii="Book Antiqua" w:hAnsi="Book Antiqua"/>
                <w:b/>
                <w:color w:val="000000" w:themeColor="text1"/>
              </w:rPr>
            </w:pPr>
            <w:r w:rsidRPr="00492007">
              <w:rPr>
                <w:rFonts w:ascii="Book Antiqua" w:hAnsi="Book Antiqua"/>
                <w:b/>
                <w:color w:val="000000" w:themeColor="text1"/>
              </w:rPr>
              <w:t>Before the treatment</w:t>
            </w:r>
          </w:p>
        </w:tc>
        <w:tc>
          <w:tcPr>
            <w:tcW w:w="1470" w:type="pct"/>
            <w:tcBorders>
              <w:top w:val="single" w:sz="4" w:space="0" w:color="auto"/>
              <w:bottom w:val="single" w:sz="4" w:space="0" w:color="auto"/>
            </w:tcBorders>
          </w:tcPr>
          <w:p w14:paraId="301C7689" w14:textId="77777777" w:rsidR="006C1E8A" w:rsidRPr="00492007" w:rsidRDefault="006C1E8A" w:rsidP="00492007">
            <w:pPr>
              <w:adjustRightInd w:val="0"/>
              <w:snapToGrid w:val="0"/>
              <w:spacing w:line="360" w:lineRule="auto"/>
              <w:jc w:val="both"/>
              <w:rPr>
                <w:rFonts w:ascii="Book Antiqua" w:hAnsi="Book Antiqua"/>
                <w:b/>
                <w:color w:val="000000" w:themeColor="text1"/>
              </w:rPr>
            </w:pPr>
            <w:r w:rsidRPr="00492007">
              <w:rPr>
                <w:rFonts w:ascii="Book Antiqua" w:hAnsi="Book Antiqua"/>
                <w:b/>
                <w:color w:val="000000" w:themeColor="text1"/>
              </w:rPr>
              <w:t>After the treatment</w:t>
            </w:r>
          </w:p>
        </w:tc>
      </w:tr>
      <w:tr w:rsidR="006C1E8A" w:rsidRPr="00492007" w14:paraId="73D8DDD9" w14:textId="77777777" w:rsidTr="001B33AC">
        <w:tc>
          <w:tcPr>
            <w:tcW w:w="1967" w:type="pct"/>
            <w:tcBorders>
              <w:top w:val="single" w:sz="4" w:space="0" w:color="auto"/>
            </w:tcBorders>
          </w:tcPr>
          <w:p w14:paraId="39A34913" w14:textId="1AD7E2C3" w:rsidR="006C1E8A" w:rsidRPr="00492007" w:rsidRDefault="006C1E8A"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Observation group</w:t>
            </w:r>
            <w:r w:rsidR="00175B27">
              <w:rPr>
                <w:rFonts w:ascii="Book Antiqua" w:hAnsi="Book Antiqua"/>
                <w:bCs/>
                <w:color w:val="000000" w:themeColor="text1"/>
              </w:rPr>
              <w:t xml:space="preserve">, </w:t>
            </w:r>
            <w:r w:rsidRPr="00492007">
              <w:rPr>
                <w:rFonts w:ascii="Book Antiqua" w:hAnsi="Book Antiqua"/>
                <w:bCs/>
                <w:i/>
                <w:iCs/>
                <w:color w:val="000000" w:themeColor="text1"/>
              </w:rPr>
              <w:t>n</w:t>
            </w:r>
            <w:r w:rsidRPr="00492007">
              <w:rPr>
                <w:rFonts w:ascii="Book Antiqua" w:hAnsi="Book Antiqua"/>
                <w:bCs/>
                <w:color w:val="000000" w:themeColor="text1"/>
              </w:rPr>
              <w:t xml:space="preserve"> = 30</w:t>
            </w:r>
          </w:p>
        </w:tc>
        <w:tc>
          <w:tcPr>
            <w:tcW w:w="1563" w:type="pct"/>
            <w:tcBorders>
              <w:top w:val="single" w:sz="4" w:space="0" w:color="auto"/>
            </w:tcBorders>
          </w:tcPr>
          <w:p w14:paraId="0923088B" w14:textId="77777777" w:rsidR="006C1E8A" w:rsidRPr="00492007" w:rsidRDefault="006C1E8A"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621.07 ± 154.76</w:t>
            </w:r>
          </w:p>
        </w:tc>
        <w:tc>
          <w:tcPr>
            <w:tcW w:w="1470" w:type="pct"/>
            <w:tcBorders>
              <w:top w:val="single" w:sz="4" w:space="0" w:color="auto"/>
            </w:tcBorders>
          </w:tcPr>
          <w:p w14:paraId="200B7D76" w14:textId="77777777" w:rsidR="006C1E8A" w:rsidRPr="00492007" w:rsidRDefault="006C1E8A"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289.06 ± 76.21</w:t>
            </w:r>
          </w:p>
        </w:tc>
      </w:tr>
      <w:tr w:rsidR="006C1E8A" w:rsidRPr="00492007" w14:paraId="3E2BB391" w14:textId="77777777" w:rsidTr="003B0A91">
        <w:tc>
          <w:tcPr>
            <w:tcW w:w="1967" w:type="pct"/>
          </w:tcPr>
          <w:p w14:paraId="61C3C0B2" w14:textId="45712634" w:rsidR="006C1E8A" w:rsidRPr="00492007" w:rsidRDefault="006C1E8A"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Control group</w:t>
            </w:r>
            <w:r w:rsidR="00175B27">
              <w:rPr>
                <w:rFonts w:ascii="Book Antiqua" w:hAnsi="Book Antiqua"/>
                <w:bCs/>
                <w:color w:val="000000" w:themeColor="text1"/>
              </w:rPr>
              <w:t>,</w:t>
            </w:r>
            <w:r w:rsidRPr="00492007">
              <w:rPr>
                <w:rFonts w:ascii="Book Antiqua" w:hAnsi="Book Antiqua"/>
                <w:bCs/>
                <w:color w:val="000000" w:themeColor="text1"/>
              </w:rPr>
              <w:t xml:space="preserve"> </w:t>
            </w:r>
            <w:r w:rsidRPr="00492007">
              <w:rPr>
                <w:rFonts w:ascii="Book Antiqua" w:hAnsi="Book Antiqua"/>
                <w:bCs/>
                <w:i/>
                <w:iCs/>
                <w:color w:val="000000" w:themeColor="text1"/>
              </w:rPr>
              <w:t>n</w:t>
            </w:r>
            <w:r w:rsidRPr="00492007">
              <w:rPr>
                <w:rFonts w:ascii="Book Antiqua" w:hAnsi="Book Antiqua"/>
                <w:bCs/>
                <w:color w:val="000000" w:themeColor="text1"/>
              </w:rPr>
              <w:t xml:space="preserve"> = 30</w:t>
            </w:r>
          </w:p>
        </w:tc>
        <w:tc>
          <w:tcPr>
            <w:tcW w:w="1563" w:type="pct"/>
          </w:tcPr>
          <w:p w14:paraId="60723645" w14:textId="77777777" w:rsidR="006C1E8A" w:rsidRPr="00492007" w:rsidRDefault="006C1E8A"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609.76 ± 145.69</w:t>
            </w:r>
          </w:p>
        </w:tc>
        <w:tc>
          <w:tcPr>
            <w:tcW w:w="1470" w:type="pct"/>
          </w:tcPr>
          <w:p w14:paraId="1898EF94" w14:textId="77777777" w:rsidR="006C1E8A" w:rsidRPr="00492007" w:rsidRDefault="006C1E8A"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365.01 ± 73.11</w:t>
            </w:r>
          </w:p>
        </w:tc>
      </w:tr>
      <w:tr w:rsidR="006C1E8A" w:rsidRPr="00492007" w14:paraId="38BB003F" w14:textId="77777777" w:rsidTr="001B33AC">
        <w:tc>
          <w:tcPr>
            <w:tcW w:w="1967" w:type="pct"/>
            <w:tcBorders>
              <w:bottom w:val="nil"/>
            </w:tcBorders>
          </w:tcPr>
          <w:p w14:paraId="2D94A15C" w14:textId="77777777" w:rsidR="006C1E8A" w:rsidRPr="00492007" w:rsidRDefault="006C1E8A"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i/>
                <w:iCs/>
                <w:color w:val="000000" w:themeColor="text1"/>
              </w:rPr>
              <w:t>t</w:t>
            </w:r>
            <w:r w:rsidRPr="00492007">
              <w:rPr>
                <w:rFonts w:ascii="Book Antiqua" w:hAnsi="Book Antiqua"/>
                <w:bCs/>
                <w:color w:val="000000" w:themeColor="text1"/>
              </w:rPr>
              <w:t xml:space="preserve"> value</w:t>
            </w:r>
          </w:p>
        </w:tc>
        <w:tc>
          <w:tcPr>
            <w:tcW w:w="1563" w:type="pct"/>
            <w:tcBorders>
              <w:bottom w:val="nil"/>
            </w:tcBorders>
          </w:tcPr>
          <w:p w14:paraId="0B435EFD" w14:textId="77777777" w:rsidR="006C1E8A" w:rsidRPr="00492007" w:rsidRDefault="006C1E8A"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1.024</w:t>
            </w:r>
          </w:p>
        </w:tc>
        <w:tc>
          <w:tcPr>
            <w:tcW w:w="1470" w:type="pct"/>
            <w:tcBorders>
              <w:bottom w:val="nil"/>
            </w:tcBorders>
          </w:tcPr>
          <w:p w14:paraId="329FD4FF" w14:textId="77777777" w:rsidR="006C1E8A" w:rsidRPr="00492007" w:rsidRDefault="006C1E8A"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6.843</w:t>
            </w:r>
          </w:p>
        </w:tc>
      </w:tr>
      <w:tr w:rsidR="006C1E8A" w:rsidRPr="00492007" w14:paraId="3CEF5B1A" w14:textId="77777777" w:rsidTr="001B33AC">
        <w:tc>
          <w:tcPr>
            <w:tcW w:w="1967" w:type="pct"/>
            <w:tcBorders>
              <w:top w:val="nil"/>
              <w:bottom w:val="single" w:sz="4" w:space="0" w:color="auto"/>
            </w:tcBorders>
          </w:tcPr>
          <w:p w14:paraId="790540E8" w14:textId="77777777" w:rsidR="006C1E8A" w:rsidRPr="00492007" w:rsidRDefault="006C1E8A"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i/>
                <w:iCs/>
                <w:color w:val="000000" w:themeColor="text1"/>
              </w:rPr>
              <w:t>P</w:t>
            </w:r>
            <w:r w:rsidRPr="00492007">
              <w:rPr>
                <w:rFonts w:ascii="Book Antiqua" w:hAnsi="Book Antiqua"/>
                <w:bCs/>
                <w:color w:val="000000" w:themeColor="text1"/>
              </w:rPr>
              <w:t xml:space="preserve"> value</w:t>
            </w:r>
          </w:p>
        </w:tc>
        <w:tc>
          <w:tcPr>
            <w:tcW w:w="1563" w:type="pct"/>
            <w:tcBorders>
              <w:top w:val="nil"/>
              <w:bottom w:val="single" w:sz="4" w:space="0" w:color="auto"/>
            </w:tcBorders>
          </w:tcPr>
          <w:p w14:paraId="37E55B50" w14:textId="77777777" w:rsidR="006C1E8A" w:rsidRPr="00492007" w:rsidRDefault="006C1E8A"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0.237</w:t>
            </w:r>
          </w:p>
        </w:tc>
        <w:tc>
          <w:tcPr>
            <w:tcW w:w="1470" w:type="pct"/>
            <w:tcBorders>
              <w:top w:val="nil"/>
              <w:bottom w:val="single" w:sz="4" w:space="0" w:color="auto"/>
            </w:tcBorders>
          </w:tcPr>
          <w:p w14:paraId="74ECD68A" w14:textId="77777777" w:rsidR="006C1E8A" w:rsidRPr="00492007" w:rsidRDefault="006C1E8A"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0.034</w:t>
            </w:r>
          </w:p>
        </w:tc>
      </w:tr>
    </w:tbl>
    <w:p w14:paraId="1B004F8B" w14:textId="77777777" w:rsidR="001B33AC" w:rsidRDefault="001B33AC">
      <w:pPr>
        <w:rPr>
          <w:rFonts w:ascii="Book Antiqua" w:eastAsia="宋体" w:hAnsi="Book Antiqua"/>
          <w:b/>
          <w:bCs/>
          <w:color w:val="000000" w:themeColor="text1"/>
        </w:rPr>
      </w:pPr>
      <w:r>
        <w:rPr>
          <w:rFonts w:ascii="Book Antiqua" w:eastAsia="宋体" w:hAnsi="Book Antiqua"/>
          <w:b/>
          <w:bCs/>
          <w:color w:val="000000" w:themeColor="text1"/>
        </w:rPr>
        <w:br w:type="page"/>
      </w:r>
    </w:p>
    <w:p w14:paraId="08ED2C3F" w14:textId="1B79640F" w:rsidR="00B501D9" w:rsidRPr="00492007" w:rsidRDefault="00B501D9" w:rsidP="00492007">
      <w:pPr>
        <w:adjustRightInd w:val="0"/>
        <w:snapToGrid w:val="0"/>
        <w:spacing w:line="360" w:lineRule="auto"/>
        <w:jc w:val="both"/>
        <w:rPr>
          <w:rFonts w:ascii="Book Antiqua" w:eastAsia="宋体" w:hAnsi="Book Antiqua"/>
          <w:b/>
          <w:color w:val="000000" w:themeColor="text1"/>
        </w:rPr>
      </w:pPr>
      <w:r w:rsidRPr="00492007">
        <w:rPr>
          <w:rFonts w:ascii="Book Antiqua" w:eastAsia="宋体" w:hAnsi="Book Antiqua"/>
          <w:b/>
          <w:bCs/>
          <w:color w:val="000000" w:themeColor="text1"/>
        </w:rPr>
        <w:lastRenderedPageBreak/>
        <w:t xml:space="preserve">Table 3 Incidence of </w:t>
      </w:r>
      <w:r w:rsidRPr="00492007">
        <w:rPr>
          <w:rFonts w:ascii="Book Antiqua" w:eastAsia="宋体" w:hAnsi="Book Antiqua"/>
          <w:b/>
          <w:color w:val="000000" w:themeColor="text1"/>
        </w:rPr>
        <w:t>adverse reactions in the two groups after the treatmen</w:t>
      </w:r>
      <w:r w:rsidRPr="00B07F3F">
        <w:rPr>
          <w:rFonts w:ascii="Book Antiqua" w:eastAsia="宋体" w:hAnsi="Book Antiqua"/>
          <w:b/>
          <w:color w:val="000000" w:themeColor="text1"/>
        </w:rPr>
        <w:t>t</w:t>
      </w:r>
      <w:r w:rsidR="00B07F3F" w:rsidRPr="00B07F3F">
        <w:rPr>
          <w:rFonts w:ascii="Book Antiqua" w:eastAsia="宋体" w:hAnsi="Book Antiqua"/>
          <w:b/>
          <w:color w:val="000000" w:themeColor="text1"/>
        </w:rPr>
        <w:t xml:space="preserve">, </w:t>
      </w:r>
      <w:r w:rsidR="00B07F3F" w:rsidRPr="00B07F3F">
        <w:rPr>
          <w:rFonts w:ascii="Book Antiqua" w:eastAsia="宋体" w:hAnsi="Book Antiqua"/>
          <w:b/>
          <w:i/>
          <w:iCs/>
          <w:color w:val="000000" w:themeColor="text1"/>
        </w:rPr>
        <w:t>n</w:t>
      </w:r>
      <w:r w:rsidR="00B07F3F" w:rsidRPr="00B07F3F">
        <w:rPr>
          <w:rFonts w:ascii="Book Antiqua" w:eastAsia="宋体" w:hAnsi="Book Antiqua"/>
          <w:b/>
          <w:color w:val="000000" w:themeColor="text1"/>
        </w:rPr>
        <w:t xml:space="preserve"> (%)</w:t>
      </w:r>
    </w:p>
    <w:tbl>
      <w:tblPr>
        <w:tblStyle w:val="a5"/>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00" w:firstRow="0" w:lastRow="0" w:firstColumn="0" w:lastColumn="0" w:noHBand="1" w:noVBand="1"/>
      </w:tblPr>
      <w:tblGrid>
        <w:gridCol w:w="3660"/>
        <w:gridCol w:w="3036"/>
        <w:gridCol w:w="1440"/>
        <w:gridCol w:w="1440"/>
      </w:tblGrid>
      <w:tr w:rsidR="003B0A91" w:rsidRPr="00492007" w14:paraId="5776312C" w14:textId="77777777" w:rsidTr="001B33AC">
        <w:tc>
          <w:tcPr>
            <w:tcW w:w="1911" w:type="pct"/>
            <w:tcBorders>
              <w:top w:val="single" w:sz="4" w:space="0" w:color="auto"/>
              <w:bottom w:val="single" w:sz="4" w:space="0" w:color="auto"/>
            </w:tcBorders>
          </w:tcPr>
          <w:p w14:paraId="0DC72383"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
                <w:color w:val="000000" w:themeColor="text1"/>
              </w:rPr>
              <w:t>Groups</w:t>
            </w:r>
          </w:p>
        </w:tc>
        <w:tc>
          <w:tcPr>
            <w:tcW w:w="1585" w:type="pct"/>
            <w:tcBorders>
              <w:top w:val="single" w:sz="4" w:space="0" w:color="auto"/>
              <w:bottom w:val="single" w:sz="4" w:space="0" w:color="auto"/>
            </w:tcBorders>
          </w:tcPr>
          <w:p w14:paraId="3801FE4D" w14:textId="77777777" w:rsidR="003B0A91" w:rsidRPr="00492007" w:rsidRDefault="003B0A91" w:rsidP="00492007">
            <w:pPr>
              <w:adjustRightInd w:val="0"/>
              <w:snapToGrid w:val="0"/>
              <w:spacing w:line="360" w:lineRule="auto"/>
              <w:jc w:val="both"/>
              <w:rPr>
                <w:rFonts w:ascii="Book Antiqua" w:hAnsi="Book Antiqua"/>
                <w:b/>
                <w:color w:val="000000" w:themeColor="text1"/>
              </w:rPr>
            </w:pPr>
            <w:r w:rsidRPr="00492007">
              <w:rPr>
                <w:rFonts w:ascii="Book Antiqua" w:hAnsi="Book Antiqua"/>
                <w:b/>
                <w:color w:val="000000" w:themeColor="text1"/>
              </w:rPr>
              <w:t>Nausea and vomiting</w:t>
            </w:r>
          </w:p>
        </w:tc>
        <w:tc>
          <w:tcPr>
            <w:tcW w:w="752" w:type="pct"/>
            <w:tcBorders>
              <w:top w:val="single" w:sz="4" w:space="0" w:color="auto"/>
              <w:bottom w:val="single" w:sz="4" w:space="0" w:color="auto"/>
            </w:tcBorders>
          </w:tcPr>
          <w:p w14:paraId="3F85ADEF" w14:textId="77777777" w:rsidR="003B0A91" w:rsidRPr="00492007" w:rsidRDefault="003B0A91" w:rsidP="00492007">
            <w:pPr>
              <w:adjustRightInd w:val="0"/>
              <w:snapToGrid w:val="0"/>
              <w:spacing w:line="360" w:lineRule="auto"/>
              <w:jc w:val="both"/>
              <w:rPr>
                <w:rFonts w:ascii="Book Antiqua" w:hAnsi="Book Antiqua"/>
                <w:b/>
                <w:color w:val="000000" w:themeColor="text1"/>
              </w:rPr>
            </w:pPr>
            <w:r w:rsidRPr="00492007">
              <w:rPr>
                <w:rFonts w:ascii="Book Antiqua" w:hAnsi="Book Antiqua"/>
                <w:b/>
                <w:color w:val="000000" w:themeColor="text1"/>
              </w:rPr>
              <w:t>Pain</w:t>
            </w:r>
          </w:p>
        </w:tc>
        <w:tc>
          <w:tcPr>
            <w:tcW w:w="752" w:type="pct"/>
            <w:tcBorders>
              <w:top w:val="single" w:sz="4" w:space="0" w:color="auto"/>
              <w:bottom w:val="single" w:sz="4" w:space="0" w:color="auto"/>
            </w:tcBorders>
          </w:tcPr>
          <w:p w14:paraId="066E7B20" w14:textId="77777777" w:rsidR="003B0A91" w:rsidRPr="00492007" w:rsidRDefault="003B0A91" w:rsidP="00492007">
            <w:pPr>
              <w:adjustRightInd w:val="0"/>
              <w:snapToGrid w:val="0"/>
              <w:spacing w:line="360" w:lineRule="auto"/>
              <w:jc w:val="both"/>
              <w:rPr>
                <w:rFonts w:ascii="Book Antiqua" w:hAnsi="Book Antiqua"/>
                <w:b/>
                <w:color w:val="000000" w:themeColor="text1"/>
              </w:rPr>
            </w:pPr>
            <w:r w:rsidRPr="00492007">
              <w:rPr>
                <w:rFonts w:ascii="Book Antiqua" w:hAnsi="Book Antiqua"/>
                <w:b/>
                <w:color w:val="000000" w:themeColor="text1"/>
              </w:rPr>
              <w:t>Fever</w:t>
            </w:r>
          </w:p>
        </w:tc>
      </w:tr>
      <w:tr w:rsidR="003B0A91" w:rsidRPr="00492007" w14:paraId="24400F86" w14:textId="77777777" w:rsidTr="001B33AC">
        <w:tc>
          <w:tcPr>
            <w:tcW w:w="1911" w:type="pct"/>
            <w:tcBorders>
              <w:top w:val="single" w:sz="4" w:space="0" w:color="auto"/>
            </w:tcBorders>
          </w:tcPr>
          <w:p w14:paraId="6C4947D0" w14:textId="7D837272"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Observation group</w:t>
            </w:r>
            <w:r w:rsidR="00175B27">
              <w:rPr>
                <w:rFonts w:ascii="Book Antiqua" w:hAnsi="Book Antiqua"/>
                <w:bCs/>
                <w:color w:val="000000" w:themeColor="text1"/>
              </w:rPr>
              <w:t>,</w:t>
            </w:r>
            <w:r w:rsidRPr="00492007">
              <w:rPr>
                <w:rFonts w:ascii="Book Antiqua" w:hAnsi="Book Antiqua"/>
                <w:bCs/>
                <w:color w:val="000000" w:themeColor="text1"/>
              </w:rPr>
              <w:t xml:space="preserve"> </w:t>
            </w:r>
            <w:r w:rsidRPr="00492007">
              <w:rPr>
                <w:rFonts w:ascii="Book Antiqua" w:hAnsi="Book Antiqua"/>
                <w:bCs/>
                <w:i/>
                <w:iCs/>
                <w:color w:val="000000" w:themeColor="text1"/>
              </w:rPr>
              <w:t>n</w:t>
            </w:r>
            <w:r w:rsidRPr="00492007">
              <w:rPr>
                <w:rFonts w:ascii="Book Antiqua" w:hAnsi="Book Antiqua"/>
                <w:bCs/>
                <w:color w:val="000000" w:themeColor="text1"/>
              </w:rPr>
              <w:t xml:space="preserve"> = 30</w:t>
            </w:r>
          </w:p>
        </w:tc>
        <w:tc>
          <w:tcPr>
            <w:tcW w:w="1585" w:type="pct"/>
            <w:tcBorders>
              <w:top w:val="single" w:sz="4" w:space="0" w:color="auto"/>
            </w:tcBorders>
          </w:tcPr>
          <w:p w14:paraId="1E274A93"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9 (30.00)</w:t>
            </w:r>
          </w:p>
        </w:tc>
        <w:tc>
          <w:tcPr>
            <w:tcW w:w="752" w:type="pct"/>
            <w:tcBorders>
              <w:top w:val="single" w:sz="4" w:space="0" w:color="auto"/>
            </w:tcBorders>
          </w:tcPr>
          <w:p w14:paraId="6464A5CB"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21 (70.00)</w:t>
            </w:r>
          </w:p>
        </w:tc>
        <w:tc>
          <w:tcPr>
            <w:tcW w:w="752" w:type="pct"/>
            <w:tcBorders>
              <w:top w:val="single" w:sz="4" w:space="0" w:color="auto"/>
            </w:tcBorders>
          </w:tcPr>
          <w:p w14:paraId="04394606"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11 (36.67)</w:t>
            </w:r>
          </w:p>
        </w:tc>
      </w:tr>
      <w:tr w:rsidR="003B0A91" w:rsidRPr="00492007" w14:paraId="121717DF" w14:textId="77777777" w:rsidTr="00A31E41">
        <w:tc>
          <w:tcPr>
            <w:tcW w:w="1911" w:type="pct"/>
          </w:tcPr>
          <w:p w14:paraId="48A05C20" w14:textId="10D98A39"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Control group</w:t>
            </w:r>
            <w:r w:rsidR="00175B27">
              <w:rPr>
                <w:rFonts w:ascii="Book Antiqua" w:hAnsi="Book Antiqua"/>
                <w:bCs/>
                <w:color w:val="000000" w:themeColor="text1"/>
              </w:rPr>
              <w:t>,</w:t>
            </w:r>
            <w:r w:rsidRPr="00492007">
              <w:rPr>
                <w:rFonts w:ascii="Book Antiqua" w:hAnsi="Book Antiqua"/>
                <w:bCs/>
                <w:color w:val="000000" w:themeColor="text1"/>
              </w:rPr>
              <w:t xml:space="preserve"> </w:t>
            </w:r>
            <w:r w:rsidRPr="00492007">
              <w:rPr>
                <w:rFonts w:ascii="Book Antiqua" w:hAnsi="Book Antiqua"/>
                <w:bCs/>
                <w:i/>
                <w:iCs/>
                <w:color w:val="000000" w:themeColor="text1"/>
              </w:rPr>
              <w:t>n</w:t>
            </w:r>
            <w:r w:rsidRPr="00492007">
              <w:rPr>
                <w:rFonts w:ascii="Book Antiqua" w:hAnsi="Book Antiqua"/>
                <w:bCs/>
                <w:color w:val="000000" w:themeColor="text1"/>
              </w:rPr>
              <w:t xml:space="preserve"> = 30</w:t>
            </w:r>
          </w:p>
        </w:tc>
        <w:tc>
          <w:tcPr>
            <w:tcW w:w="1585" w:type="pct"/>
          </w:tcPr>
          <w:p w14:paraId="1B2D872D"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19 (63.33)</w:t>
            </w:r>
          </w:p>
        </w:tc>
        <w:tc>
          <w:tcPr>
            <w:tcW w:w="752" w:type="pct"/>
          </w:tcPr>
          <w:p w14:paraId="3CA77C99"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22 (73.33)</w:t>
            </w:r>
          </w:p>
        </w:tc>
        <w:tc>
          <w:tcPr>
            <w:tcW w:w="752" w:type="pct"/>
          </w:tcPr>
          <w:p w14:paraId="0063DCB7"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12 (40.00)</w:t>
            </w:r>
          </w:p>
        </w:tc>
      </w:tr>
      <w:tr w:rsidR="003B0A91" w:rsidRPr="00492007" w14:paraId="65C300C9" w14:textId="77777777" w:rsidTr="001B33AC">
        <w:tc>
          <w:tcPr>
            <w:tcW w:w="1911" w:type="pct"/>
            <w:tcBorders>
              <w:bottom w:val="nil"/>
            </w:tcBorders>
          </w:tcPr>
          <w:p w14:paraId="1AFB931E"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i/>
                <w:iCs/>
                <w:color w:val="000000" w:themeColor="text1"/>
              </w:rPr>
              <w:t>χ</w:t>
            </w:r>
            <w:r w:rsidRPr="00492007">
              <w:rPr>
                <w:rFonts w:ascii="Book Antiqua" w:hAnsi="Book Antiqua"/>
                <w:bCs/>
                <w:color w:val="000000" w:themeColor="text1"/>
                <w:vertAlign w:val="superscript"/>
              </w:rPr>
              <w:t>2</w:t>
            </w:r>
            <w:r w:rsidRPr="00492007">
              <w:rPr>
                <w:rFonts w:ascii="Book Antiqua" w:hAnsi="Book Antiqua"/>
                <w:bCs/>
                <w:color w:val="000000" w:themeColor="text1"/>
              </w:rPr>
              <w:t xml:space="preserve"> value</w:t>
            </w:r>
          </w:p>
        </w:tc>
        <w:tc>
          <w:tcPr>
            <w:tcW w:w="1585" w:type="pct"/>
            <w:tcBorders>
              <w:bottom w:val="nil"/>
            </w:tcBorders>
          </w:tcPr>
          <w:p w14:paraId="1773DED9"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6.421</w:t>
            </w:r>
          </w:p>
        </w:tc>
        <w:tc>
          <w:tcPr>
            <w:tcW w:w="752" w:type="pct"/>
            <w:tcBorders>
              <w:bottom w:val="nil"/>
            </w:tcBorders>
          </w:tcPr>
          <w:p w14:paraId="5338F0E4"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0.245</w:t>
            </w:r>
          </w:p>
        </w:tc>
        <w:tc>
          <w:tcPr>
            <w:tcW w:w="752" w:type="pct"/>
            <w:tcBorders>
              <w:bottom w:val="nil"/>
            </w:tcBorders>
          </w:tcPr>
          <w:p w14:paraId="4A7E2E4C"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0.312</w:t>
            </w:r>
          </w:p>
        </w:tc>
      </w:tr>
      <w:tr w:rsidR="003B0A91" w:rsidRPr="00492007" w14:paraId="34D9B9D7" w14:textId="77777777" w:rsidTr="001B33AC">
        <w:tc>
          <w:tcPr>
            <w:tcW w:w="1911" w:type="pct"/>
            <w:tcBorders>
              <w:top w:val="nil"/>
              <w:bottom w:val="single" w:sz="4" w:space="0" w:color="auto"/>
            </w:tcBorders>
          </w:tcPr>
          <w:p w14:paraId="0501FD6F"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i/>
                <w:iCs/>
                <w:color w:val="000000" w:themeColor="text1"/>
              </w:rPr>
              <w:t>P</w:t>
            </w:r>
            <w:r w:rsidRPr="00492007">
              <w:rPr>
                <w:rFonts w:ascii="Book Antiqua" w:hAnsi="Book Antiqua"/>
                <w:bCs/>
                <w:color w:val="000000" w:themeColor="text1"/>
              </w:rPr>
              <w:t xml:space="preserve"> value</w:t>
            </w:r>
          </w:p>
        </w:tc>
        <w:tc>
          <w:tcPr>
            <w:tcW w:w="1585" w:type="pct"/>
            <w:tcBorders>
              <w:top w:val="nil"/>
              <w:bottom w:val="single" w:sz="4" w:space="0" w:color="auto"/>
            </w:tcBorders>
          </w:tcPr>
          <w:p w14:paraId="780698F0"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0.035</w:t>
            </w:r>
          </w:p>
        </w:tc>
        <w:tc>
          <w:tcPr>
            <w:tcW w:w="752" w:type="pct"/>
            <w:tcBorders>
              <w:top w:val="nil"/>
              <w:bottom w:val="single" w:sz="4" w:space="0" w:color="auto"/>
            </w:tcBorders>
          </w:tcPr>
          <w:p w14:paraId="30261444"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0.543</w:t>
            </w:r>
          </w:p>
        </w:tc>
        <w:tc>
          <w:tcPr>
            <w:tcW w:w="752" w:type="pct"/>
            <w:tcBorders>
              <w:top w:val="nil"/>
              <w:bottom w:val="single" w:sz="4" w:space="0" w:color="auto"/>
            </w:tcBorders>
          </w:tcPr>
          <w:p w14:paraId="3FE44FE4" w14:textId="77777777" w:rsidR="003B0A91" w:rsidRPr="00492007" w:rsidRDefault="003B0A91" w:rsidP="00492007">
            <w:pPr>
              <w:adjustRightInd w:val="0"/>
              <w:snapToGrid w:val="0"/>
              <w:spacing w:line="360" w:lineRule="auto"/>
              <w:jc w:val="both"/>
              <w:rPr>
                <w:rFonts w:ascii="Book Antiqua" w:hAnsi="Book Antiqua"/>
                <w:bCs/>
                <w:color w:val="000000" w:themeColor="text1"/>
              </w:rPr>
            </w:pPr>
            <w:r w:rsidRPr="00492007">
              <w:rPr>
                <w:rFonts w:ascii="Book Antiqua" w:hAnsi="Book Antiqua"/>
                <w:bCs/>
                <w:color w:val="000000" w:themeColor="text1"/>
              </w:rPr>
              <w:t>0.564</w:t>
            </w:r>
          </w:p>
        </w:tc>
      </w:tr>
    </w:tbl>
    <w:p w14:paraId="79F5F99B" w14:textId="77777777" w:rsidR="00FA7F4C" w:rsidRDefault="00FA7F4C">
      <w:pPr>
        <w:rPr>
          <w:rFonts w:ascii="Book Antiqua" w:hAnsi="Book Antiqua"/>
        </w:rPr>
      </w:pPr>
      <w:r>
        <w:rPr>
          <w:rFonts w:ascii="Book Antiqua" w:hAnsi="Book Antiqua"/>
        </w:rPr>
        <w:br w:type="page"/>
      </w:r>
    </w:p>
    <w:p w14:paraId="2C789417" w14:textId="77777777" w:rsidR="00FA7F4C" w:rsidRDefault="00FA7F4C" w:rsidP="00FA7F4C">
      <w:pPr>
        <w:jc w:val="center"/>
        <w:rPr>
          <w:rFonts w:ascii="Book Antiqua" w:hAnsi="Book Antiqua"/>
        </w:rPr>
      </w:pPr>
    </w:p>
    <w:p w14:paraId="28D60CAD" w14:textId="77777777" w:rsidR="00FA7F4C" w:rsidRDefault="00FA7F4C" w:rsidP="00FA7F4C">
      <w:pPr>
        <w:jc w:val="center"/>
        <w:rPr>
          <w:rFonts w:ascii="Book Antiqua" w:hAnsi="Book Antiqua"/>
        </w:rPr>
      </w:pPr>
    </w:p>
    <w:p w14:paraId="36B105EA" w14:textId="77777777" w:rsidR="00FA7F4C" w:rsidRDefault="00FA7F4C" w:rsidP="00FA7F4C">
      <w:pPr>
        <w:jc w:val="center"/>
        <w:rPr>
          <w:rFonts w:ascii="Book Antiqua" w:hAnsi="Book Antiqua"/>
        </w:rPr>
      </w:pPr>
    </w:p>
    <w:p w14:paraId="403CBD45" w14:textId="77777777" w:rsidR="00FA7F4C" w:rsidRDefault="00FA7F4C" w:rsidP="00FA7F4C">
      <w:pPr>
        <w:jc w:val="center"/>
        <w:rPr>
          <w:rFonts w:ascii="Book Antiqua" w:hAnsi="Book Antiqua"/>
        </w:rPr>
      </w:pPr>
    </w:p>
    <w:p w14:paraId="7535E30B" w14:textId="77777777" w:rsidR="00FA7F4C" w:rsidRDefault="00FA7F4C" w:rsidP="00FA7F4C">
      <w:pPr>
        <w:jc w:val="center"/>
        <w:rPr>
          <w:rFonts w:ascii="Book Antiqua" w:hAnsi="Book Antiqua"/>
        </w:rPr>
      </w:pPr>
    </w:p>
    <w:p w14:paraId="2F541B2D" w14:textId="21FA830F" w:rsidR="00FA7F4C" w:rsidRDefault="00FA7F4C" w:rsidP="00FA7F4C">
      <w:pPr>
        <w:jc w:val="center"/>
        <w:rPr>
          <w:rFonts w:ascii="Book Antiqua" w:hAnsi="Book Antiqua"/>
        </w:rPr>
      </w:pPr>
      <w:r>
        <w:rPr>
          <w:rFonts w:ascii="Book Antiqua" w:hAnsi="Book Antiqua"/>
          <w:noProof/>
          <w:lang w:eastAsia="zh-CN"/>
        </w:rPr>
        <w:drawing>
          <wp:inline distT="0" distB="0" distL="0" distR="0" wp14:anchorId="70C3CAE0" wp14:editId="31A4FFEA">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A362B1" w14:textId="77777777" w:rsidR="00FA7F4C" w:rsidRDefault="00FA7F4C" w:rsidP="00FA7F4C">
      <w:pPr>
        <w:jc w:val="center"/>
        <w:rPr>
          <w:rFonts w:ascii="Book Antiqua" w:hAnsi="Book Antiqua"/>
        </w:rPr>
      </w:pPr>
    </w:p>
    <w:p w14:paraId="3F0DF5DF" w14:textId="77777777" w:rsidR="00FA7F4C" w:rsidRDefault="00FA7F4C" w:rsidP="00FA7F4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59E3020" w14:textId="77777777" w:rsidR="00FA7F4C" w:rsidRDefault="00FA7F4C" w:rsidP="00FA7F4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A8F35E" w14:textId="77777777" w:rsidR="00FA7F4C" w:rsidRDefault="00FA7F4C" w:rsidP="00FA7F4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8D62C0" w14:textId="77777777" w:rsidR="00FA7F4C" w:rsidRDefault="00FA7F4C" w:rsidP="00FA7F4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120E21" w14:textId="77777777" w:rsidR="00FA7F4C" w:rsidRDefault="00FA7F4C" w:rsidP="00FA7F4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AB4F28A" w14:textId="77777777" w:rsidR="00FA7F4C" w:rsidRDefault="00FA7F4C" w:rsidP="00FA7F4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AC956D9" w14:textId="77777777" w:rsidR="00FA7F4C" w:rsidRDefault="00FA7F4C" w:rsidP="00FA7F4C">
      <w:pPr>
        <w:jc w:val="center"/>
        <w:rPr>
          <w:rFonts w:ascii="Book Antiqua" w:hAnsi="Book Antiqua"/>
        </w:rPr>
      </w:pPr>
    </w:p>
    <w:p w14:paraId="79159DF1" w14:textId="77777777" w:rsidR="00FA7F4C" w:rsidRDefault="00FA7F4C" w:rsidP="00FA7F4C">
      <w:pPr>
        <w:jc w:val="center"/>
        <w:rPr>
          <w:rFonts w:ascii="Book Antiqua" w:hAnsi="Book Antiqua"/>
        </w:rPr>
      </w:pPr>
    </w:p>
    <w:p w14:paraId="4D5921F5" w14:textId="77777777" w:rsidR="00FA7F4C" w:rsidRDefault="00FA7F4C" w:rsidP="00FA7F4C">
      <w:pPr>
        <w:jc w:val="center"/>
        <w:rPr>
          <w:rFonts w:ascii="Book Antiqua" w:hAnsi="Book Antiqua"/>
        </w:rPr>
      </w:pPr>
    </w:p>
    <w:p w14:paraId="6F789422" w14:textId="03BE1688" w:rsidR="00FA7F4C" w:rsidRDefault="00FA7F4C" w:rsidP="00FA7F4C">
      <w:pPr>
        <w:jc w:val="center"/>
        <w:rPr>
          <w:rFonts w:ascii="Book Antiqua" w:hAnsi="Book Antiqua"/>
        </w:rPr>
      </w:pPr>
      <w:r>
        <w:rPr>
          <w:rFonts w:ascii="Book Antiqua" w:hAnsi="Book Antiqua"/>
          <w:noProof/>
          <w:lang w:eastAsia="zh-CN"/>
        </w:rPr>
        <w:drawing>
          <wp:inline distT="0" distB="0" distL="0" distR="0" wp14:anchorId="224AD921" wp14:editId="68403F0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D7DE46" w14:textId="77777777" w:rsidR="00FA7F4C" w:rsidRDefault="00FA7F4C" w:rsidP="00FA7F4C">
      <w:pPr>
        <w:jc w:val="center"/>
        <w:rPr>
          <w:rFonts w:ascii="Book Antiqua" w:hAnsi="Book Antiqua"/>
        </w:rPr>
      </w:pPr>
    </w:p>
    <w:p w14:paraId="17772249" w14:textId="77777777" w:rsidR="00FA7F4C" w:rsidRDefault="00FA7F4C" w:rsidP="00FA7F4C">
      <w:pPr>
        <w:jc w:val="center"/>
        <w:rPr>
          <w:rFonts w:ascii="Book Antiqua" w:hAnsi="Book Antiqua"/>
        </w:rPr>
      </w:pPr>
    </w:p>
    <w:p w14:paraId="506B11ED" w14:textId="77777777" w:rsidR="00FA7F4C" w:rsidRDefault="00FA7F4C" w:rsidP="00FA7F4C">
      <w:pPr>
        <w:jc w:val="center"/>
        <w:rPr>
          <w:rFonts w:ascii="Book Antiqua" w:hAnsi="Book Antiqua"/>
        </w:rPr>
      </w:pPr>
    </w:p>
    <w:p w14:paraId="369B8EE9" w14:textId="77777777" w:rsidR="00FA7F4C" w:rsidRDefault="00FA7F4C" w:rsidP="00FA7F4C">
      <w:pPr>
        <w:jc w:val="center"/>
        <w:rPr>
          <w:rFonts w:ascii="Book Antiqua" w:hAnsi="Book Antiqua"/>
        </w:rPr>
      </w:pPr>
    </w:p>
    <w:p w14:paraId="08C64402" w14:textId="77777777" w:rsidR="00FA7F4C" w:rsidRDefault="00FA7F4C" w:rsidP="00FA7F4C">
      <w:pPr>
        <w:jc w:val="center"/>
        <w:rPr>
          <w:rFonts w:ascii="Book Antiqua" w:hAnsi="Book Antiqua"/>
        </w:rPr>
      </w:pPr>
    </w:p>
    <w:p w14:paraId="392BBF84" w14:textId="77777777" w:rsidR="00FA7F4C" w:rsidRDefault="00FA7F4C" w:rsidP="00FA7F4C">
      <w:pPr>
        <w:jc w:val="center"/>
        <w:rPr>
          <w:rFonts w:ascii="Book Antiqua" w:hAnsi="Book Antiqua"/>
        </w:rPr>
      </w:pPr>
    </w:p>
    <w:p w14:paraId="5E5F0D08" w14:textId="77777777" w:rsidR="00FA7F4C" w:rsidRDefault="00FA7F4C" w:rsidP="00FA7F4C">
      <w:pPr>
        <w:jc w:val="center"/>
        <w:rPr>
          <w:rFonts w:ascii="Book Antiqua" w:hAnsi="Book Antiqua"/>
        </w:rPr>
      </w:pPr>
    </w:p>
    <w:p w14:paraId="7F83E330" w14:textId="77777777" w:rsidR="00FA7F4C" w:rsidRDefault="00FA7F4C" w:rsidP="00FA7F4C">
      <w:pPr>
        <w:jc w:val="center"/>
        <w:rPr>
          <w:rFonts w:ascii="Book Antiqua" w:hAnsi="Book Antiqua"/>
        </w:rPr>
      </w:pPr>
    </w:p>
    <w:p w14:paraId="01AFAF3D" w14:textId="77777777" w:rsidR="00FA7F4C" w:rsidRDefault="00FA7F4C" w:rsidP="00FA7F4C">
      <w:pPr>
        <w:jc w:val="center"/>
        <w:rPr>
          <w:rFonts w:ascii="Book Antiqua" w:hAnsi="Book Antiqua"/>
        </w:rPr>
      </w:pPr>
    </w:p>
    <w:p w14:paraId="4BE261F2" w14:textId="77777777" w:rsidR="00FA7F4C" w:rsidRDefault="00FA7F4C" w:rsidP="00FA7F4C">
      <w:pPr>
        <w:jc w:val="right"/>
        <w:rPr>
          <w:rFonts w:ascii="Book Antiqua" w:hAnsi="Book Antiqua"/>
          <w:color w:val="000000" w:themeColor="text1"/>
        </w:rPr>
      </w:pPr>
    </w:p>
    <w:p w14:paraId="46D44FE4" w14:textId="77777777" w:rsidR="00FA7F4C" w:rsidRDefault="00FA7F4C" w:rsidP="00FA7F4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176CEE3" w14:textId="77777777" w:rsidR="00B501D9" w:rsidRPr="00450E9F" w:rsidRDefault="00B501D9" w:rsidP="00FA7F4C">
      <w:pPr>
        <w:adjustRightInd w:val="0"/>
        <w:snapToGrid w:val="0"/>
        <w:spacing w:line="360" w:lineRule="auto"/>
        <w:jc w:val="both"/>
        <w:rPr>
          <w:rFonts w:ascii="Book Antiqua" w:hAnsi="Book Antiqua"/>
        </w:rPr>
      </w:pPr>
    </w:p>
    <w:sectPr w:rsidR="00B501D9" w:rsidRPr="00450E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07878" w14:textId="77777777" w:rsidR="00853586" w:rsidRDefault="00853586" w:rsidP="00B20DD9">
      <w:r>
        <w:separator/>
      </w:r>
    </w:p>
  </w:endnote>
  <w:endnote w:type="continuationSeparator" w:id="0">
    <w:p w14:paraId="4D1321A2" w14:textId="77777777" w:rsidR="00853586" w:rsidRDefault="00853586" w:rsidP="00B2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4212369"/>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00A3B64" w14:textId="2AE2957A" w:rsidR="00B20DD9" w:rsidRPr="00492007" w:rsidRDefault="00B20DD9">
            <w:pPr>
              <w:pStyle w:val="a4"/>
              <w:jc w:val="right"/>
              <w:rPr>
                <w:rFonts w:ascii="Book Antiqua" w:hAnsi="Book Antiqua"/>
                <w:sz w:val="24"/>
                <w:szCs w:val="24"/>
              </w:rPr>
            </w:pPr>
            <w:r w:rsidRPr="00492007">
              <w:rPr>
                <w:rFonts w:ascii="Book Antiqua" w:hAnsi="Book Antiqua"/>
                <w:sz w:val="24"/>
                <w:szCs w:val="24"/>
                <w:lang w:val="zh-CN" w:eastAsia="zh-CN"/>
              </w:rPr>
              <w:t xml:space="preserve"> </w:t>
            </w:r>
            <w:r w:rsidRPr="00492007">
              <w:rPr>
                <w:rFonts w:ascii="Book Antiqua" w:hAnsi="Book Antiqua"/>
                <w:sz w:val="24"/>
                <w:szCs w:val="24"/>
              </w:rPr>
              <w:fldChar w:fldCharType="begin"/>
            </w:r>
            <w:r w:rsidRPr="00492007">
              <w:rPr>
                <w:rFonts w:ascii="Book Antiqua" w:hAnsi="Book Antiqua"/>
                <w:sz w:val="24"/>
                <w:szCs w:val="24"/>
              </w:rPr>
              <w:instrText>PAGE</w:instrText>
            </w:r>
            <w:r w:rsidRPr="00492007">
              <w:rPr>
                <w:rFonts w:ascii="Book Antiqua" w:hAnsi="Book Antiqua"/>
                <w:sz w:val="24"/>
                <w:szCs w:val="24"/>
              </w:rPr>
              <w:fldChar w:fldCharType="separate"/>
            </w:r>
            <w:r w:rsidR="002B3323">
              <w:rPr>
                <w:rFonts w:ascii="Book Antiqua" w:hAnsi="Book Antiqua"/>
                <w:noProof/>
                <w:sz w:val="24"/>
                <w:szCs w:val="24"/>
              </w:rPr>
              <w:t>16</w:t>
            </w:r>
            <w:r w:rsidRPr="00492007">
              <w:rPr>
                <w:rFonts w:ascii="Book Antiqua" w:hAnsi="Book Antiqua"/>
                <w:sz w:val="24"/>
                <w:szCs w:val="24"/>
              </w:rPr>
              <w:fldChar w:fldCharType="end"/>
            </w:r>
            <w:r w:rsidRPr="00492007">
              <w:rPr>
                <w:rFonts w:ascii="Book Antiqua" w:hAnsi="Book Antiqua"/>
                <w:sz w:val="24"/>
                <w:szCs w:val="24"/>
                <w:lang w:val="zh-CN" w:eastAsia="zh-CN"/>
              </w:rPr>
              <w:t xml:space="preserve"> / </w:t>
            </w:r>
            <w:r w:rsidRPr="00492007">
              <w:rPr>
                <w:rFonts w:ascii="Book Antiqua" w:hAnsi="Book Antiqua"/>
                <w:sz w:val="24"/>
                <w:szCs w:val="24"/>
              </w:rPr>
              <w:fldChar w:fldCharType="begin"/>
            </w:r>
            <w:r w:rsidRPr="00492007">
              <w:rPr>
                <w:rFonts w:ascii="Book Antiqua" w:hAnsi="Book Antiqua"/>
                <w:sz w:val="24"/>
                <w:szCs w:val="24"/>
              </w:rPr>
              <w:instrText>NUMPAGES</w:instrText>
            </w:r>
            <w:r w:rsidRPr="00492007">
              <w:rPr>
                <w:rFonts w:ascii="Book Antiqua" w:hAnsi="Book Antiqua"/>
                <w:sz w:val="24"/>
                <w:szCs w:val="24"/>
              </w:rPr>
              <w:fldChar w:fldCharType="separate"/>
            </w:r>
            <w:r w:rsidR="002B3323">
              <w:rPr>
                <w:rFonts w:ascii="Book Antiqua" w:hAnsi="Book Antiqua"/>
                <w:noProof/>
                <w:sz w:val="24"/>
                <w:szCs w:val="24"/>
              </w:rPr>
              <w:t>22</w:t>
            </w:r>
            <w:r w:rsidRPr="00492007">
              <w:rPr>
                <w:rFonts w:ascii="Book Antiqua" w:hAnsi="Book Antiqua"/>
                <w:sz w:val="24"/>
                <w:szCs w:val="24"/>
              </w:rPr>
              <w:fldChar w:fldCharType="end"/>
            </w:r>
          </w:p>
        </w:sdtContent>
      </w:sdt>
    </w:sdtContent>
  </w:sdt>
  <w:p w14:paraId="357A8403" w14:textId="77777777" w:rsidR="00B20DD9" w:rsidRDefault="00B20D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BC29F" w14:textId="77777777" w:rsidR="00853586" w:rsidRDefault="00853586" w:rsidP="00B20DD9">
      <w:r>
        <w:separator/>
      </w:r>
    </w:p>
  </w:footnote>
  <w:footnote w:type="continuationSeparator" w:id="0">
    <w:p w14:paraId="77F94984" w14:textId="77777777" w:rsidR="00853586" w:rsidRDefault="00853586" w:rsidP="00B20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8D3"/>
    <w:rsid w:val="00063438"/>
    <w:rsid w:val="000639A7"/>
    <w:rsid w:val="00072C7E"/>
    <w:rsid w:val="000E041F"/>
    <w:rsid w:val="000F165C"/>
    <w:rsid w:val="00115960"/>
    <w:rsid w:val="00171C40"/>
    <w:rsid w:val="00173728"/>
    <w:rsid w:val="00175B27"/>
    <w:rsid w:val="00181F0B"/>
    <w:rsid w:val="001B33AC"/>
    <w:rsid w:val="00226C13"/>
    <w:rsid w:val="00257D31"/>
    <w:rsid w:val="00272665"/>
    <w:rsid w:val="00272DF9"/>
    <w:rsid w:val="00290D27"/>
    <w:rsid w:val="002A51B6"/>
    <w:rsid w:val="002B3323"/>
    <w:rsid w:val="002E25A2"/>
    <w:rsid w:val="002E336A"/>
    <w:rsid w:val="00364222"/>
    <w:rsid w:val="003B0A91"/>
    <w:rsid w:val="003F2962"/>
    <w:rsid w:val="003F2F8C"/>
    <w:rsid w:val="00431FCF"/>
    <w:rsid w:val="00437D79"/>
    <w:rsid w:val="00447EFF"/>
    <w:rsid w:val="00450E9F"/>
    <w:rsid w:val="004620F3"/>
    <w:rsid w:val="00463298"/>
    <w:rsid w:val="00492007"/>
    <w:rsid w:val="004C4C72"/>
    <w:rsid w:val="004E09E7"/>
    <w:rsid w:val="005037CF"/>
    <w:rsid w:val="005E1249"/>
    <w:rsid w:val="00613E26"/>
    <w:rsid w:val="00665303"/>
    <w:rsid w:val="00680D49"/>
    <w:rsid w:val="0068409F"/>
    <w:rsid w:val="006C1E8A"/>
    <w:rsid w:val="006E55D2"/>
    <w:rsid w:val="006F37DE"/>
    <w:rsid w:val="006F799B"/>
    <w:rsid w:val="00716153"/>
    <w:rsid w:val="007463B1"/>
    <w:rsid w:val="0074729E"/>
    <w:rsid w:val="007961C8"/>
    <w:rsid w:val="007B782C"/>
    <w:rsid w:val="007E2D3C"/>
    <w:rsid w:val="0080349C"/>
    <w:rsid w:val="00811F24"/>
    <w:rsid w:val="00853586"/>
    <w:rsid w:val="008C6816"/>
    <w:rsid w:val="008D4EC5"/>
    <w:rsid w:val="008F154B"/>
    <w:rsid w:val="009116A3"/>
    <w:rsid w:val="0095669E"/>
    <w:rsid w:val="009602F7"/>
    <w:rsid w:val="009A4947"/>
    <w:rsid w:val="009A5287"/>
    <w:rsid w:val="009C1675"/>
    <w:rsid w:val="009C4B2E"/>
    <w:rsid w:val="009D110F"/>
    <w:rsid w:val="00A14035"/>
    <w:rsid w:val="00A31E41"/>
    <w:rsid w:val="00A358F2"/>
    <w:rsid w:val="00A36B57"/>
    <w:rsid w:val="00A40999"/>
    <w:rsid w:val="00A706AA"/>
    <w:rsid w:val="00A77B3E"/>
    <w:rsid w:val="00AB3B70"/>
    <w:rsid w:val="00AD748F"/>
    <w:rsid w:val="00AE4F5C"/>
    <w:rsid w:val="00B07F3F"/>
    <w:rsid w:val="00B20DD9"/>
    <w:rsid w:val="00B23F7B"/>
    <w:rsid w:val="00B44CDA"/>
    <w:rsid w:val="00B501D9"/>
    <w:rsid w:val="00B6516B"/>
    <w:rsid w:val="00B807ED"/>
    <w:rsid w:val="00B8552B"/>
    <w:rsid w:val="00C3533B"/>
    <w:rsid w:val="00C907D8"/>
    <w:rsid w:val="00CA2A55"/>
    <w:rsid w:val="00CA3DF7"/>
    <w:rsid w:val="00D11F3A"/>
    <w:rsid w:val="00D25D67"/>
    <w:rsid w:val="00D3788E"/>
    <w:rsid w:val="00DC7531"/>
    <w:rsid w:val="00DD5CC0"/>
    <w:rsid w:val="00DE7E68"/>
    <w:rsid w:val="00E62E58"/>
    <w:rsid w:val="00EC7020"/>
    <w:rsid w:val="00FA7F4C"/>
    <w:rsid w:val="00FC1DDC"/>
    <w:rsid w:val="00FC4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A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20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0DD9"/>
    <w:rPr>
      <w:sz w:val="18"/>
      <w:szCs w:val="18"/>
    </w:rPr>
  </w:style>
  <w:style w:type="paragraph" w:styleId="a4">
    <w:name w:val="footer"/>
    <w:basedOn w:val="a"/>
    <w:link w:val="Char0"/>
    <w:uiPriority w:val="99"/>
    <w:unhideWhenUsed/>
    <w:rsid w:val="00B20DD9"/>
    <w:pPr>
      <w:tabs>
        <w:tab w:val="center" w:pos="4153"/>
        <w:tab w:val="right" w:pos="8306"/>
      </w:tabs>
      <w:snapToGrid w:val="0"/>
    </w:pPr>
    <w:rPr>
      <w:sz w:val="18"/>
      <w:szCs w:val="18"/>
    </w:rPr>
  </w:style>
  <w:style w:type="character" w:customStyle="1" w:styleId="Char0">
    <w:name w:val="页脚 Char"/>
    <w:basedOn w:val="a0"/>
    <w:link w:val="a4"/>
    <w:uiPriority w:val="99"/>
    <w:rsid w:val="00B20DD9"/>
    <w:rPr>
      <w:sz w:val="18"/>
      <w:szCs w:val="18"/>
    </w:rPr>
  </w:style>
  <w:style w:type="table" w:styleId="a5">
    <w:name w:val="Table Grid"/>
    <w:basedOn w:val="a1"/>
    <w:uiPriority w:val="39"/>
    <w:rsid w:val="00B501D9"/>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492007"/>
    <w:rPr>
      <w:sz w:val="24"/>
      <w:szCs w:val="24"/>
    </w:rPr>
  </w:style>
  <w:style w:type="paragraph" w:styleId="a7">
    <w:name w:val="Balloon Text"/>
    <w:basedOn w:val="a"/>
    <w:link w:val="Char1"/>
    <w:rsid w:val="00FA7F4C"/>
    <w:rPr>
      <w:sz w:val="18"/>
      <w:szCs w:val="18"/>
    </w:rPr>
  </w:style>
  <w:style w:type="character" w:customStyle="1" w:styleId="Char1">
    <w:name w:val="批注框文本 Char"/>
    <w:basedOn w:val="a0"/>
    <w:link w:val="a7"/>
    <w:rsid w:val="00FA7F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20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0DD9"/>
    <w:rPr>
      <w:sz w:val="18"/>
      <w:szCs w:val="18"/>
    </w:rPr>
  </w:style>
  <w:style w:type="paragraph" w:styleId="a4">
    <w:name w:val="footer"/>
    <w:basedOn w:val="a"/>
    <w:link w:val="Char0"/>
    <w:uiPriority w:val="99"/>
    <w:unhideWhenUsed/>
    <w:rsid w:val="00B20DD9"/>
    <w:pPr>
      <w:tabs>
        <w:tab w:val="center" w:pos="4153"/>
        <w:tab w:val="right" w:pos="8306"/>
      </w:tabs>
      <w:snapToGrid w:val="0"/>
    </w:pPr>
    <w:rPr>
      <w:sz w:val="18"/>
      <w:szCs w:val="18"/>
    </w:rPr>
  </w:style>
  <w:style w:type="character" w:customStyle="1" w:styleId="Char0">
    <w:name w:val="页脚 Char"/>
    <w:basedOn w:val="a0"/>
    <w:link w:val="a4"/>
    <w:uiPriority w:val="99"/>
    <w:rsid w:val="00B20DD9"/>
    <w:rPr>
      <w:sz w:val="18"/>
      <w:szCs w:val="18"/>
    </w:rPr>
  </w:style>
  <w:style w:type="table" w:styleId="a5">
    <w:name w:val="Table Grid"/>
    <w:basedOn w:val="a1"/>
    <w:uiPriority w:val="39"/>
    <w:rsid w:val="00B501D9"/>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492007"/>
    <w:rPr>
      <w:sz w:val="24"/>
      <w:szCs w:val="24"/>
    </w:rPr>
  </w:style>
  <w:style w:type="paragraph" w:styleId="a7">
    <w:name w:val="Balloon Text"/>
    <w:basedOn w:val="a"/>
    <w:link w:val="Char1"/>
    <w:rsid w:val="00FA7F4C"/>
    <w:rPr>
      <w:sz w:val="18"/>
      <w:szCs w:val="18"/>
    </w:rPr>
  </w:style>
  <w:style w:type="character" w:customStyle="1" w:styleId="Char1">
    <w:name w:val="批注框文本 Char"/>
    <w:basedOn w:val="a0"/>
    <w:link w:val="a7"/>
    <w:rsid w:val="00FA7F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27000">
      <w:bodyDiv w:val="1"/>
      <w:marLeft w:val="0"/>
      <w:marRight w:val="0"/>
      <w:marTop w:val="0"/>
      <w:marBottom w:val="0"/>
      <w:divBdr>
        <w:top w:val="none" w:sz="0" w:space="0" w:color="auto"/>
        <w:left w:val="none" w:sz="0" w:space="0" w:color="auto"/>
        <w:bottom w:val="none" w:sz="0" w:space="0" w:color="auto"/>
        <w:right w:val="none" w:sz="0" w:space="0" w:color="auto"/>
      </w:divBdr>
    </w:div>
    <w:div w:id="2117672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C28F-D003-4F10-AF99-59962A91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4250</Words>
  <Characters>24230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22</cp:revision>
  <dcterms:created xsi:type="dcterms:W3CDTF">2022-08-16T07:40:00Z</dcterms:created>
  <dcterms:modified xsi:type="dcterms:W3CDTF">2022-09-07T11:27:00Z</dcterms:modified>
</cp:coreProperties>
</file>