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77966</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Link between COVID-19 vaccines and myocardial infarction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Zafar U </w:t>
      </w:r>
      <w:r>
        <w:rPr>
          <w:rFonts w:ascii="Book Antiqua" w:hAnsi="Book Antiqua" w:eastAsia="Book Antiqua" w:cs="Book Antiqua"/>
          <w:i/>
          <w:color w:val="000000"/>
        </w:rPr>
        <w:t>et al</w:t>
      </w:r>
      <w:r>
        <w:rPr>
          <w:rFonts w:ascii="Book Antiqua" w:hAnsi="Book Antiqua" w:eastAsia="Book Antiqua" w:cs="Book Antiqua"/>
          <w:color w:val="000000"/>
        </w:rPr>
        <w:t>. COVID-19 vaccines and myocardial infarction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Umema Zafar, Hamna Zafar, Mian Saad Ahmed, Madiha Khattak</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Umema Zafar, Madiha Khattak,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Physiology, Khyber Medical College, Peshawar 25000, Pakistan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Hamna Zafar,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Medicine, Khyber Teaching Hospital, Peshawar 25000, Pakistan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Mian Saad Ahmed,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Forensic Medicine, Khyber Medical College, Peshawar 25000, Pakistan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Zafar U and Zafar H designed the research and analyzed the data and checked paper for final review; Ahmed MS and Khattak M performed the research and wrote the paper.</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Umema Zafar, MBBS, MPhil, Assistant Professor, Doctor,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Physiology, Khyber Medical College, Peshawar University Campus, Peshawar 25000, Pakistan. umema.com@gmail.com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30, 2022</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20, 2022</w:t>
      </w:r>
    </w:p>
    <w:p>
      <w:pPr>
        <w:snapToGrid w:val="0"/>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 2022</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October 6, 2022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BACKGROUND</w:t>
      </w:r>
    </w:p>
    <w:p>
      <w:pPr>
        <w:snapToGrid w:val="0"/>
        <w:spacing w:line="360" w:lineRule="auto"/>
        <w:jc w:val="both"/>
        <w:rPr>
          <w:rFonts w:ascii="Book Antiqua" w:hAnsi="Book Antiqua"/>
        </w:rPr>
      </w:pPr>
      <w:r>
        <w:rPr>
          <w:rFonts w:ascii="Book Antiqua" w:hAnsi="Book Antiqua" w:eastAsia="Book Antiqua" w:cs="Book Antiqua"/>
          <w:color w:val="000000"/>
        </w:rPr>
        <w:t>Vaccines for coronavirus disease 2019 (COVID-19) include ChAdOx1-SARS-COV-2 (AstraZeneca), Ad26.COV2.S (Janssen), mRNA-1273 (Moderna), BNT162b2 (Pfizer), BBIBP-CorV (Sinopharm), CoronaVac (Sinovac), and Bharat Biotech BBV152 (Covaxin).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AIM</w:t>
      </w:r>
    </w:p>
    <w:p>
      <w:pPr>
        <w:snapToGrid w:val="0"/>
        <w:spacing w:line="360" w:lineRule="auto"/>
        <w:jc w:val="both"/>
        <w:rPr>
          <w:rFonts w:ascii="Book Antiqua" w:hAnsi="Book Antiqua"/>
        </w:rPr>
      </w:pPr>
      <w:r>
        <w:rPr>
          <w:rFonts w:ascii="Book Antiqua" w:hAnsi="Book Antiqua" w:eastAsia="Book Antiqua" w:cs="Book Antiqua"/>
          <w:color w:val="000000"/>
        </w:rPr>
        <w:t>To find the association between COVID-19 vaccines and myocardial infarction (MI).</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METHODS</w:t>
      </w:r>
    </w:p>
    <w:p>
      <w:pPr>
        <w:snapToGrid w:val="0"/>
        <w:spacing w:line="360" w:lineRule="auto"/>
        <w:jc w:val="both"/>
        <w:rPr>
          <w:rFonts w:ascii="Book Antiqua" w:hAnsi="Book Antiqua"/>
        </w:rPr>
      </w:pPr>
      <w:r>
        <w:rPr>
          <w:rFonts w:ascii="Book Antiqua" w:hAnsi="Book Antiqua" w:eastAsia="Book Antiqua" w:cs="Book Antiqua"/>
          <w:color w:val="000000"/>
        </w:rPr>
        <w:t>This is a systematic review that involved searching databases such as MEDLINE, EMBASE, and PakMediNet after making a search strategy using MeSH and Emtree terms. Eligibility criteria were set, and studies having no mention of MI as a complication of COVID-19 vaccination, protocols, genetic studies, and animal studies were excluded. Data was extracted using a predesigned extraction table, and 29 studies were selected after screening and applying the eligibility criteria.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RESULTS</w:t>
      </w:r>
    </w:p>
    <w:p>
      <w:pPr>
        <w:snapToGrid w:val="0"/>
        <w:spacing w:line="360" w:lineRule="auto"/>
        <w:jc w:val="both"/>
        <w:rPr>
          <w:rFonts w:ascii="Book Antiqua" w:hAnsi="Book Antiqua"/>
        </w:rPr>
      </w:pPr>
      <w:r>
        <w:rPr>
          <w:rFonts w:ascii="Book Antiqua" w:hAnsi="Book Antiqua" w:eastAsia="Book Antiqua" w:cs="Book Antiqua"/>
          <w:color w:val="000000"/>
        </w:rPr>
        <w:t>The majority of studies mentioned AstraZeneca (18 studies) followed by Pfizer (14 studies) and Moderna (9 studies) in subjects reporting MI after vaccination. Out of all the studies, 69% reported MI cases after the first COVID-19 vaccination dose and 14% after the second, 44% reported ST-segment elevation MI, and 26% reported non-ST-segment elevation MI. The mortality rate was 29% after MI.</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CONCLUSION</w:t>
      </w:r>
    </w:p>
    <w:p>
      <w:pPr>
        <w:snapToGrid w:val="0"/>
        <w:spacing w:line="360" w:lineRule="auto"/>
        <w:jc w:val="both"/>
        <w:rPr>
          <w:rFonts w:ascii="Book Antiqua" w:hAnsi="Book Antiqua"/>
        </w:rPr>
      </w:pPr>
      <w:r>
        <w:rPr>
          <w:rFonts w:ascii="Book Antiqua" w:hAnsi="Book Antiqua" w:eastAsia="Book Antiqua" w:cs="Book Antiqua"/>
          <w:color w:val="000000"/>
        </w:rPr>
        <w:t>In conclusion, many studies linked MI to COVID-19 vaccinations, but no definitive association could be found.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SARS-CoV-2 infection; Vaccination; Myocardial infarction; Association; Pfizer; AstraZeneca; Moderna; Sinovac; Janssen; Covaxin</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rPr>
        <w:t xml:space="preserve">Zafar U, Zafar H, Ahmed MS, Khattak M. Link between COVID-19 vaccines and myocardial infarction.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10(28): </w:t>
      </w:r>
      <w:r>
        <w:rPr>
          <w:rFonts w:hint="default" w:ascii="Book Antiqua" w:hAnsi="Book Antiqua" w:eastAsia="宋体" w:cs="Book Antiqua"/>
          <w:i w:val="0"/>
          <w:iCs w:val="0"/>
          <w:color w:val="000000"/>
          <w:kern w:val="0"/>
          <w:sz w:val="24"/>
          <w:szCs w:val="24"/>
          <w:u w:val="none"/>
          <w:lang w:val="en-US" w:eastAsia="zh-CN" w:bidi="ar"/>
        </w:rPr>
        <w:t>10109-10119</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https://www.wjgnet.com/2307-8960/full/v10/i28/</w:t>
      </w:r>
      <w:r>
        <w:rPr>
          <w:rFonts w:hint="default" w:ascii="Book Antiqua" w:hAnsi="Book Antiqua" w:eastAsia="宋体" w:cs="Book Antiqua"/>
          <w:i w:val="0"/>
          <w:iCs w:val="0"/>
          <w:color w:val="000000"/>
          <w:kern w:val="0"/>
          <w:sz w:val="24"/>
          <w:szCs w:val="24"/>
          <w:u w:val="none"/>
          <w:lang w:val="en-US" w:eastAsia="zh-CN" w:bidi="ar"/>
        </w:rPr>
        <w:t>10109</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https://dx.doi.org/10.12998/wjcc.v10.i28.</w:t>
      </w:r>
      <w:r>
        <w:rPr>
          <w:rFonts w:hint="default" w:ascii="Book Antiqua" w:hAnsi="Book Antiqua" w:eastAsia="宋体" w:cs="Book Antiqua"/>
          <w:i w:val="0"/>
          <w:iCs w:val="0"/>
          <w:color w:val="000000"/>
          <w:kern w:val="0"/>
          <w:sz w:val="24"/>
          <w:szCs w:val="24"/>
          <w:u w:val="none"/>
          <w:lang w:val="en-US" w:eastAsia="zh-CN" w:bidi="ar"/>
        </w:rPr>
        <w:t>10109</w:t>
      </w:r>
    </w:p>
    <w:p>
      <w:pPr>
        <w:snapToGrid w:val="0"/>
        <w:spacing w:line="360" w:lineRule="auto"/>
        <w:jc w:val="both"/>
        <w:rPr>
          <w:rFonts w:ascii="Book Antiqua" w:hAnsi="Book Antiqua"/>
        </w:rPr>
      </w:pP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Mechanisms like vaccine-induced thrombotic thrombocytopenia and myocarditis complication have been identified in the literature linking myocardial infarction with coronavirus disease 2019 vaccination. The majority of myocardial infarction cases reported were after vaccination with the vaccine from AstraZeneca, were ST-segment elevation, and were reported after first dose of vaccine.</w:t>
      </w:r>
      <w:r>
        <w:rPr>
          <w:rFonts w:ascii="Book Antiqua" w:hAnsi="Book Antiqua"/>
        </w:rPr>
        <w:t xml:space="preserve"> </w:t>
      </w:r>
      <w:r>
        <w:rPr>
          <w:rFonts w:ascii="Book Antiqua" w:hAnsi="Book Antiqua" w:eastAsia="Book Antiqua" w:cs="Book Antiqua"/>
          <w:color w:val="000000"/>
        </w:rPr>
        <w:t>Although there are reports of myocardial infarction after coronavirus disease 2019 vaccination, no definitive link was found in the previous literature linking the two.</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Fonts w:ascii="Book Antiqua" w:hAnsi="Book Antiqua" w:eastAsia="Book Antiqua" w:cs="Book Antiqua"/>
          <w:color w:val="000000"/>
        </w:rPr>
        <w:t>Coronavirus disease 2019 (COVID-19) is an infectious disease caused by severe acute respiratory syndrome coronavirus 2. The first case of COVID-19 was reported in Wuhan, China and rapidly spread to the rest of the world</w:t>
      </w:r>
      <w:r>
        <w:rPr>
          <w:rFonts w:ascii="Book Antiqua" w:hAnsi="Book Antiqua" w:eastAsia="Book Antiqua" w:cs="Book Antiqua"/>
          <w:color w:val="000000"/>
          <w:vertAlign w:val="superscript"/>
        </w:rPr>
        <w:t>[1]</w:t>
      </w:r>
      <w:r>
        <w:rPr>
          <w:rFonts w:ascii="Book Antiqua" w:hAnsi="Book Antiqua" w:eastAsia="Book Antiqua" w:cs="Book Antiqua"/>
          <w:color w:val="000000"/>
        </w:rPr>
        <w:t>. The COVID-19 outbreak was declared a pandemic on March 11, 2020</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severe acute respiratory syndrome coronavirus 2 primarily affects the respiratory tract, it frequently causes cardiac, gastrointestinal, hepatic, nephrological, and central nervous system distress</w:t>
      </w:r>
      <w:r>
        <w:rPr>
          <w:rFonts w:ascii="Book Antiqua" w:hAnsi="Book Antiqua" w:eastAsia="Book Antiqua" w:cs="Book Antiqua"/>
          <w:color w:val="000000"/>
          <w:vertAlign w:val="superscript"/>
        </w:rPr>
        <w:t>[3]</w:t>
      </w:r>
      <w:r>
        <w:rPr>
          <w:rFonts w:ascii="Book Antiqua" w:hAnsi="Book Antiqua" w:eastAsia="Book Antiqua" w:cs="Book Antiqua"/>
          <w:color w:val="000000"/>
        </w:rPr>
        <w:t>. It mainly causes nonspecific symptoms like fever, cough, and myalgia; however, in severe cases, it can lead to respiratory failure, septic shock, multiorgan dysfunction, and even death</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COVID-19 treatment is most often general supportive care and nutritional support in addition to respiratory care. However, due to the lack of clinically approved interventions for COVID-19 treatment, attempts have been made for vaccine development to prevent the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 As a result, the safety and efficacy of several vaccines have been approved by the World Health Organization. Among these are AstraZeneca/Oxford, Johnson and Johnson/Janssen, Moderna, Pfizer/BioNTech, Sinopharm, Sinovac, and the Bharat Biotech BBV152 Covaxin vaccine</w:t>
      </w:r>
      <w:r>
        <w:rPr>
          <w:rFonts w:ascii="Book Antiqua" w:hAnsi="Book Antiqua" w:eastAsia="Book Antiqua" w:cs="Book Antiqua"/>
          <w:color w:val="000000"/>
          <w:vertAlign w:val="superscript"/>
        </w:rPr>
        <w:t>[5]</w:t>
      </w:r>
      <w:r>
        <w:rPr>
          <w:rFonts w:ascii="Book Antiqua" w:hAnsi="Book Antiqua" w:eastAsia="Book Antiqua" w:cs="Book Antiqua"/>
          <w:color w:val="000000"/>
        </w:rPr>
        <w:t>. Vaccines for severe acute respiratory syndrome coronavirus 2 have several different mechanisms of action, including: (1) RNA and DNA vaccines that are genetically engineered to produce a protein that warrants an immune response; (2) Vector vaccines that introduce a type of virus that cannot produce disease but can effectively generate an immune response; (3) Vaccines that use genetically modified viruses to become weaker or inactivated in order not to cause virulence but retain their antigenicity; and (4) Harmless fragments of proteins or protein shells with similar antigenicity to the COVID-19 virus that are used in protein-based vaccines to produce immunity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It is not uncommon to experience side effects following a COVID-19 vaccine. Fatigue, headache, muscle pain, joint pain, chills, fever, generalized body pain, and local reaction at the injection site are some of the side effects that have been reported after COVID-19 vaccination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Several cardiovascular adverse effects have also been reported after COVID-19 vaccination, including myocarditis, pericarditis, and thrombotic events. Additionally, rare cardiovascular events such as hypertension, acute coronary syndrome, stress cardiomyopathy, arrhythmias, and cardiac arrest have also been reported. Although the relationship between these rare events and the vaccination is doubtful, the incidence of these rare side effects post vaccination in the absence of any other obvious cause in otherwise healthy individuals may suggest a causal relationship between the two</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When only focusing on myocardial infarction (MI), it is observed that after a person experiences an MI, there is a 20% chance of mortality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year and 10% thereafter</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According to Johansson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the relative risk of cardiovascular morbidity and mortality was 30% higher in those who suffered from MI compared to the general population. The aims of this review were to identify the pathophysiological links between MI and COVID-19 vaccination and investigate the doses and frequencies of COVID-19 vaccines, the types of MI, and mortality statistics linked with the vaccine administration in the available literature.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napToGrid w:val="0"/>
        <w:spacing w:line="360" w:lineRule="auto"/>
        <w:jc w:val="both"/>
        <w:rPr>
          <w:rFonts w:ascii="Book Antiqua" w:hAnsi="Book Antiqua"/>
        </w:rPr>
      </w:pPr>
      <w:r>
        <w:rPr>
          <w:rFonts w:ascii="Book Antiqua" w:hAnsi="Book Antiqua" w:eastAsia="Book Antiqua" w:cs="Book Antiqua"/>
          <w:b/>
          <w:bCs/>
          <w:i/>
          <w:iCs/>
          <w:color w:val="000000"/>
        </w:rPr>
        <w:t>Databases and search strategy</w:t>
      </w:r>
    </w:p>
    <w:p>
      <w:pPr>
        <w:snapToGrid w:val="0"/>
        <w:spacing w:line="360" w:lineRule="auto"/>
        <w:jc w:val="both"/>
        <w:rPr>
          <w:rFonts w:ascii="Book Antiqua" w:hAnsi="Book Antiqua"/>
        </w:rPr>
      </w:pPr>
      <w:r>
        <w:rPr>
          <w:rFonts w:ascii="Book Antiqua" w:hAnsi="Book Antiqua" w:eastAsia="Book Antiqua" w:cs="Book Antiqua"/>
          <w:color w:val="000000"/>
        </w:rPr>
        <w:t>This systematic review was conducted over a period of 6 mo. The databases searched were MEDLINE, EMBASE, and PakMediNet. MeSH and Emtree terms were used as well as free text words (Table 1) to develop a search strategy. Various concepts were identified and then searched using Boolean operators. “AND” was used to separate various concepts, and synonyms for a single concept were separated by “OR.” The data was searched, and studies from the first delivery of COVID-19 vaccines in December 2020 until May 1, 2022 were included.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rPr>
        <w:t>Eligibility criteria</w:t>
      </w:r>
    </w:p>
    <w:p>
      <w:pPr>
        <w:snapToGrid w:val="0"/>
        <w:spacing w:line="360" w:lineRule="auto"/>
        <w:jc w:val="both"/>
        <w:rPr>
          <w:rFonts w:ascii="Book Antiqua" w:hAnsi="Book Antiqua"/>
        </w:rPr>
      </w:pPr>
      <w:r>
        <w:rPr>
          <w:rFonts w:ascii="Book Antiqua" w:hAnsi="Book Antiqua" w:eastAsia="Book Antiqua" w:cs="Book Antiqua"/>
          <w:color w:val="000000"/>
        </w:rPr>
        <w:t>Articles that mentioned COVID-19 vaccination along with MI as a vaccine complication were included. Case reports, case series, original research, and systematic reviews were also included.</w:t>
      </w:r>
    </w:p>
    <w:p>
      <w:pPr>
        <w:snapToGrid w:val="0"/>
        <w:spacing w:line="360" w:lineRule="auto"/>
        <w:jc w:val="both"/>
        <w:rPr>
          <w:rFonts w:ascii="Book Antiqua" w:hAnsi="Book Antiqua" w:eastAsia="Book Antiqua" w:cs="Book Antiqua"/>
          <w:b/>
          <w:bCs/>
          <w:i/>
          <w:iCs/>
          <w:color w:val="000000"/>
        </w:rPr>
      </w:pPr>
    </w:p>
    <w:p>
      <w:pPr>
        <w:snapToGrid w:val="0"/>
        <w:spacing w:line="360" w:lineRule="auto"/>
        <w:jc w:val="both"/>
        <w:rPr>
          <w:rFonts w:ascii="Book Antiqua" w:hAnsi="Book Antiqua"/>
        </w:rPr>
      </w:pPr>
      <w:r>
        <w:rPr>
          <w:rFonts w:ascii="Book Antiqua" w:hAnsi="Book Antiqua" w:eastAsia="Book Antiqua" w:cs="Book Antiqua"/>
          <w:b/>
          <w:bCs/>
          <w:i/>
          <w:iCs/>
          <w:color w:val="000000"/>
        </w:rPr>
        <w:t>Exclusion criteria</w:t>
      </w:r>
    </w:p>
    <w:p>
      <w:pPr>
        <w:snapToGrid w:val="0"/>
        <w:spacing w:line="360" w:lineRule="auto"/>
        <w:jc w:val="both"/>
        <w:rPr>
          <w:rFonts w:ascii="Book Antiqua" w:hAnsi="Book Antiqua"/>
        </w:rPr>
      </w:pPr>
      <w:r>
        <w:rPr>
          <w:rFonts w:ascii="Book Antiqua" w:hAnsi="Book Antiqua" w:eastAsia="Book Antiqua" w:cs="Book Antiqua"/>
          <w:color w:val="000000"/>
        </w:rPr>
        <w:t>All studies that included COVID-19 cases but had no mention of vaccinations were excluded. Studies with no mention of MI as a complication of a COVID-19 vaccination were also excluded. Protocols and research based on animals and studies mentioning vaccinations for similar diseases, like influenza, were also excluded. Genetic studies involving COVID-19 without mention of vaccination and narrative reviews not identifying a link between MI and COVID-19 vaccination were further excluded (Figure 1).</w:t>
      </w:r>
    </w:p>
    <w:p>
      <w:pPr>
        <w:snapToGrid w:val="0"/>
        <w:spacing w:line="360" w:lineRule="auto"/>
        <w:jc w:val="both"/>
        <w:rPr>
          <w:rFonts w:ascii="Book Antiqua" w:hAnsi="Book Antiqua" w:eastAsia="Book Antiqua" w:cs="Book Antiqua"/>
          <w:b/>
          <w:bCs/>
          <w:i/>
          <w:iCs/>
          <w:color w:val="000000"/>
        </w:rPr>
      </w:pPr>
    </w:p>
    <w:p>
      <w:pPr>
        <w:snapToGrid w:val="0"/>
        <w:spacing w:line="360" w:lineRule="auto"/>
        <w:jc w:val="both"/>
        <w:rPr>
          <w:rFonts w:ascii="Book Antiqua" w:hAnsi="Book Antiqua"/>
        </w:rPr>
      </w:pPr>
      <w:r>
        <w:rPr>
          <w:rFonts w:ascii="Book Antiqua" w:hAnsi="Book Antiqua" w:eastAsia="Book Antiqua" w:cs="Book Antiqua"/>
          <w:b/>
          <w:bCs/>
          <w:i/>
          <w:iCs/>
          <w:color w:val="000000"/>
        </w:rPr>
        <w:t>Data extraction</w:t>
      </w:r>
    </w:p>
    <w:p>
      <w:pPr>
        <w:snapToGrid w:val="0"/>
        <w:spacing w:line="360" w:lineRule="auto"/>
        <w:jc w:val="both"/>
        <w:rPr>
          <w:rFonts w:ascii="Book Antiqua" w:hAnsi="Book Antiqua"/>
        </w:rPr>
      </w:pPr>
      <w:r>
        <w:rPr>
          <w:rFonts w:ascii="Book Antiqua" w:hAnsi="Book Antiqua" w:eastAsia="Book Antiqua" w:cs="Book Antiqua"/>
          <w:color w:val="000000"/>
        </w:rPr>
        <w:t>The data was then extracted from the eligible studies by a structured data extraction form. Two independent researchers were engaged in both screening and data extraction, and data was analyzed for frequencies and percentages.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snapToGrid w:val="0"/>
        <w:spacing w:line="360" w:lineRule="auto"/>
        <w:jc w:val="both"/>
        <w:rPr>
          <w:rFonts w:ascii="Book Antiqua" w:hAnsi="Book Antiqua"/>
        </w:rPr>
      </w:pPr>
      <w:r>
        <w:rPr>
          <w:rFonts w:ascii="Book Antiqua" w:hAnsi="Book Antiqua" w:eastAsia="Book Antiqua" w:cs="Book Antiqua"/>
          <w:color w:val="000000"/>
        </w:rPr>
        <w:t>A total of 56 studies were identified, but only 29 were selected after applying the eligibility criteria (Table 2)</w:t>
      </w:r>
      <w:r>
        <w:rPr>
          <w:rFonts w:ascii="Book Antiqua" w:hAnsi="Book Antiqua" w:eastAsia="Book Antiqua" w:cs="Book Antiqua"/>
          <w:color w:val="000000"/>
          <w:vertAlign w:val="superscript"/>
        </w:rPr>
        <w:t>[5-7,10-35]</w:t>
      </w:r>
      <w:r>
        <w:rPr>
          <w:rFonts w:ascii="Book Antiqua" w:hAnsi="Book Antiqua" w:eastAsia="Book Antiqua" w:cs="Book Antiqua"/>
          <w:color w:val="000000"/>
        </w:rPr>
        <w:t>. The majority of these were case reports that reported the incidence of MI after COVID-19 vaccination but could not prove any causative relationship between the two. They also could not prove whether MI was due to vaccination-related changes in the body. The majority of side effects reported were from AstraZeneca followed by Pfizer and Moderna vaccines (Figure 2).</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Based on the studies included in this report, patients usually suffered from MI after the first dose of the vaccine (69%). Of these studies, 53.3% of case reports reported MI within a few hours of vaccine administration and the rest within 10 d. Out of these patients, 44% of cases reported were of ST-segment elevation MI (STEMI), and 26% were non-ST-segment elevation MI (NSTEMI). The mortality rate was 29% (Figure 3). The most studies reported were from the United States, the United Kingdom, and India (Figure 4).</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Possible mechanisms behind MI that have been identified after the literature review are as follows: </w:t>
      </w:r>
      <w:r>
        <w:rPr>
          <w:rFonts w:ascii="Book Antiqua" w:hAnsi="Book Antiqua"/>
          <w:lang w:eastAsia="zh-CN"/>
        </w:rPr>
        <w:t xml:space="preserve">(1) </w:t>
      </w:r>
      <w:r>
        <w:rPr>
          <w:rFonts w:ascii="Book Antiqua" w:hAnsi="Book Antiqua" w:eastAsia="Book Antiqua" w:cs="Book Antiqua"/>
          <w:color w:val="000000"/>
        </w:rPr>
        <w:t>Kounis syndrome, which can cause MI through different mechanisms like allergic vasospasm and stent occlusion with a thrombus infiltrated by eosinophils or mast cells; (2) Vaccine-induced thrombotic thrombocytopenia; (3) Acute coronary syndrome after influenza vaccine administration as both influenza and COVID-19 vaccines share a common excipient (polysorbate 80); (4) Demand–supply mismatch ischemia, which can be caused by the stress of getting the vaccine in elderly people with other associated comorbidities; and (5) Myocarditis.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snapToGrid w:val="0"/>
        <w:spacing w:line="360" w:lineRule="auto"/>
        <w:jc w:val="both"/>
        <w:rPr>
          <w:rFonts w:ascii="Book Antiqua" w:hAnsi="Book Antiqua"/>
        </w:rPr>
      </w:pPr>
      <w:r>
        <w:rPr>
          <w:rFonts w:ascii="Book Antiqua" w:hAnsi="Book Antiqua" w:eastAsia="Book Antiqua" w:cs="Book Antiqua"/>
          <w:color w:val="000000"/>
        </w:rPr>
        <w:t>Globally, 65.8% of people have received at least one dose of a COVID-19 vaccine, and 11.79 billion doses have been administered globally</w:t>
      </w:r>
      <w:r>
        <w:rPr>
          <w:rFonts w:ascii="Book Antiqua" w:hAnsi="Book Antiqua" w:eastAsia="Book Antiqua" w:cs="Book Antiqua"/>
          <w:color w:val="000000"/>
          <w:vertAlign w:val="superscript"/>
        </w:rPr>
        <w:t>[36]</w:t>
      </w:r>
      <w:r>
        <w:rPr>
          <w:rFonts w:ascii="Book Antiqua" w:hAnsi="Book Antiqua" w:eastAsia="Book Antiqua" w:cs="Book Antiqua"/>
          <w:color w:val="000000"/>
        </w:rPr>
        <w:t>. The doses of various vaccines administered through May 25, 2022 are as follows: Pfizer, 613 million; Moderna, 147 million; AstraZeneca, 67 million; Janssen, 19 million; Sputnik V, 1.85 million; Sinopharm, 2.31 million; Sinovac, 3737; and Covaxin, 44. Pakistan has administered at least 248672457 doses of COVID-19 vaccines so far. Assuming that every person needs two doses, that is enough to have vaccinated about 57.4% of the country’s population</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MI remains one of the rare complications of a COVID-19 vaccination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this review, nearly 69% of the studies reported MI occurrence after the first dose, and 14% reported it after the second. It is a known fact that a subsequent or a booster dose of a vaccine is given to increase the antibody titer. This is especially crucial in those with a weakened immune response due to comorbidities</w:t>
      </w:r>
      <w:r>
        <w:rPr>
          <w:rFonts w:ascii="Book Antiqua" w:hAnsi="Book Antiqua" w:eastAsia="Book Antiqua" w:cs="Book Antiqua"/>
          <w:color w:val="000000"/>
          <w:vertAlign w:val="superscript"/>
        </w:rPr>
        <w:t>[38]</w:t>
      </w:r>
      <w:r>
        <w:rPr>
          <w:rFonts w:ascii="Book Antiqua" w:hAnsi="Book Antiqua" w:eastAsia="Book Antiqua" w:cs="Book Antiqua"/>
          <w:color w:val="000000"/>
        </w:rPr>
        <w:t>. A theory based on this finding is that since MI occurrence is higher after the first vaccine dose, immune response probably plays no role or only a minimal role in MI pathophysiology. If MI was due to overstimulation of the immune system, then the frequency of MI after the second dose would be higher.</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study showed that COVID-19 vaccination produces an optimum immune response in chronic inflammatory disease patients on immunosuppressive therapy, and the risk of adverse consequences is not higher than in the normal population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No single inflammatory biomarker of systemic manifestations of vaccines has been identified but rather a battery of biomarkers, specifically, interleukin-6, C-reactive protein, and the interferon signaling pathway. A vaccine starts its action within minutes, starting from the injection site and spreading throughout the body. The factors known to affect the reactogenicity of various COVID-19 vaccines are age, gender, psychological/physical stressors, obesity, pre-existing immunity, vaccine characteristics (route, site, and method of vaccine administration), vaccine composition, antigen type, combination, and dose</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According to McManus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incidence of STEMI compared to NSTEMI has reduced over the past few years. In the present research, patients with STEMI were present in 44% of the studies compared to 26% with NSTEMI after COVID-19 vaccination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A recent case reported STEMI in a post-COVID-19-vaccinated patient in April 2022, and the patient also had a history of myocarditis. A possible explanation was the transient atrial fibrillation or plaque rupture after the myocarditis</w:t>
      </w:r>
      <w:r>
        <w:rPr>
          <w:rFonts w:ascii="Book Antiqua" w:hAnsi="Book Antiqua" w:eastAsia="Book Antiqua" w:cs="Book Antiqua"/>
          <w:color w:val="000000"/>
          <w:vertAlign w:val="superscript"/>
        </w:rPr>
        <w:t>[42]</w:t>
      </w:r>
      <w:r>
        <w:rPr>
          <w:rFonts w:ascii="Book Antiqua" w:hAnsi="Book Antiqua" w:eastAsia="Book Antiqua" w:cs="Book Antiqua"/>
          <w:color w:val="000000"/>
        </w:rPr>
        <w:t>. Therefore, myocarditis on the one hand is a primary complication of COVID-19 vaccination and on the other hand is a secondary cause of MI development after COVID-19 vaccination.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his blog, Labos wrote a critique in which he pointed out that in order to state the link between inflammation and MI after COVID-19 vaccination, the inflammatory biomarkers need to be measured before, soon after, and a month after vaccination</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Jabagi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proved that there was no association between increased risk of MI post Pfizer vaccination for COVID-19. He did a serial analysis 1 d, 1 wk, and 2 wk post vaccination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Kounis syndrome is one of the mechanisms identified for the occurrence of MI post COVID-19 vaccination as it has been observed in various patients who received a COVID-19 vaccination (Pfizer, AstraZeneca, and Sinovac vaccines)</w:t>
      </w:r>
      <w:r>
        <w:rPr>
          <w:rFonts w:ascii="Book Antiqua" w:hAnsi="Book Antiqua" w:eastAsia="Book Antiqua" w:cs="Book Antiqua"/>
          <w:color w:val="000000"/>
          <w:vertAlign w:val="superscript"/>
        </w:rPr>
        <w:t>[5,15]</w:t>
      </w:r>
      <w:r>
        <w:rPr>
          <w:rFonts w:ascii="Book Antiqua" w:hAnsi="Book Antiqua" w:eastAsia="Book Antiqua" w:cs="Book Antiqua"/>
          <w:color w:val="000000"/>
        </w:rPr>
        <w:t>. It manifests as an acute coronary syndrome accompanied by mast cell activation due to hypersensitivity or an allergic or anaphylactic reaction</w:t>
      </w:r>
      <w:r>
        <w:rPr>
          <w:rFonts w:ascii="Book Antiqua" w:hAnsi="Book Antiqua" w:eastAsia="Book Antiqua" w:cs="Book Antiqua"/>
          <w:color w:val="000000"/>
          <w:vertAlign w:val="superscript"/>
        </w:rPr>
        <w:t>[44]</w:t>
      </w:r>
      <w:r>
        <w:rPr>
          <w:rFonts w:ascii="Book Antiqua" w:hAnsi="Book Antiqua" w:eastAsia="Book Antiqua" w:cs="Book Antiqua"/>
          <w:color w:val="000000"/>
        </w:rPr>
        <w:t>. It is more commonly linked with STEMI, which probably explains the higher percentage of STEMI cases after COVID-19 vaccination compared to NSTEMI in the present research.</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Vaccine-induced thrombotic thrombocytopenia is another mechanism linking MI with COVID-19 vaccines. In vaccine-induced thrombotic thrombocytopenia, tetramers of platelet factor 4 crosslink with vaccine proteins to form multimolecular aggregates. The ethylenediamine tetraacetic acid in the vaccine possibly causes capillary leakage and dissemination of components in the blood. The multimolecular aggregates are recognized by immunoglobulin G antibodies, which activate platelets, neutrophils, and the complement system, resulting in massive coagulation system activation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 This can lead to MI and eventually mortality or long-term morbidity.</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Polysorbate 80, an excipient in the AstraZeneca vaccine, is seen to trigger allergic reactions in those allergic to the compound. Similarly, polyethylene glycol is the excipient found in Pfizer and is a cause of severe anaphylaxis in those allergic to polyethylene glycol. However, polyethylene glycol allergy is very rare compared to polysorbate 80 allergy</w:t>
      </w:r>
      <w:r>
        <w:rPr>
          <w:rFonts w:ascii="Book Antiqua" w:hAnsi="Book Antiqua" w:eastAsia="Book Antiqua" w:cs="Book Antiqua"/>
          <w:color w:val="000000"/>
          <w:vertAlign w:val="superscript"/>
        </w:rPr>
        <w:t>[46]</w:t>
      </w:r>
      <w:r>
        <w:rPr>
          <w:rFonts w:ascii="Book Antiqua" w:hAnsi="Book Antiqua" w:eastAsia="Book Antiqua" w:cs="Book Antiqua"/>
          <w:color w:val="000000"/>
        </w:rPr>
        <w:t>, which probably explains the increased number of MI cases reported in patients vaccinated with AstraZeneca compared to other vaccines.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literature searched and analyzed in this study was quite diverse. Therefore, one of the challenges faced while compiling this review was to bring the results under one umbrella. It was observed that robust original research needs to be conducted to probe the mechanisms of and the association between MI and COVID-19 vaccination. Considering the amount of clinical evidence available linking MI with COVID-19 vaccination, it is a bit early to make definitive deductions regarding their link.</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r>
        <w:rPr>
          <w:rFonts w:ascii="Book Antiqua" w:hAnsi="Book Antiqua" w:eastAsia="Book Antiqua" w:cs="Book Antiqua"/>
          <w:color w:val="000000"/>
        </w:rPr>
        <w:t>It can be concluded that there is a link between COVID-19 vaccinations and MI in temporal terms of occurrence. However, there is also a possibility that the link was found purely by chance as a majority of cases were reported within 1 d, which is too short a time for a build-up of definitive causative mechanisms for MI. This is due to the diversity of risk factors for MI, such as age, gender, body mass index, ethnicity, and physical/mental stressors. This link can be definitively proven by conducting research while considering the confounders. AstraZeneca was seen to induce the greatest amount of coronary artery disease, with STEMI as the leading type, and this primarily followed the first vaccination dose.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snapToGrid w:val="0"/>
        <w:spacing w:line="360" w:lineRule="auto"/>
        <w:jc w:val="both"/>
        <w:rPr>
          <w:rFonts w:ascii="Book Antiqua" w:hAnsi="Book Antiqua"/>
        </w:rPr>
      </w:pPr>
      <w:r>
        <w:rPr>
          <w:rFonts w:ascii="Book Antiqua" w:hAnsi="Book Antiqua" w:eastAsia="Book Antiqua" w:cs="Book Antiqua"/>
          <w:color w:val="000000"/>
        </w:rPr>
        <w:t>Coronavirus disease 2019 (COVID-19) was first identified November 2019 and subsequently caused a world pandemic. The development of vaccines was quickly achieved with the first vaccinations occurring in December 2020. From then on, a global campaign commenced to vaccinate the majority of the world’s population. The implications of these vaccines have been researched abundantly.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snapToGrid w:val="0"/>
        <w:spacing w:line="360" w:lineRule="auto"/>
        <w:jc w:val="both"/>
        <w:rPr>
          <w:rFonts w:ascii="Book Antiqua" w:hAnsi="Book Antiqua"/>
        </w:rPr>
      </w:pPr>
      <w:r>
        <w:rPr>
          <w:rFonts w:ascii="Book Antiqua" w:hAnsi="Book Antiqua" w:eastAsia="Book Antiqua" w:cs="Book Antiqua"/>
          <w:color w:val="000000"/>
        </w:rPr>
        <w:t>The side effects of COVID-19 vaccines, particularly serious cardiovascular side effects, mention myocarditis. However, myocardial infarction (MI) and its link with COVID-19 vaccines remain unclear.</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snapToGrid w:val="0"/>
        <w:spacing w:line="360" w:lineRule="auto"/>
        <w:jc w:val="both"/>
        <w:rPr>
          <w:rFonts w:ascii="Book Antiqua" w:hAnsi="Book Antiqua"/>
        </w:rPr>
      </w:pPr>
      <w:r>
        <w:rPr>
          <w:rFonts w:ascii="Book Antiqua" w:hAnsi="Book Antiqua" w:eastAsia="Book Antiqua" w:cs="Book Antiqua"/>
          <w:color w:val="000000"/>
        </w:rPr>
        <w:t>To investigate and pinpoint if any link exists between COVID-19 vaccination and MI amongst the vaccinated individuals.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snapToGrid w:val="0"/>
        <w:spacing w:line="360" w:lineRule="auto"/>
        <w:jc w:val="both"/>
        <w:rPr>
          <w:rFonts w:ascii="Book Antiqua" w:hAnsi="Book Antiqua"/>
        </w:rPr>
      </w:pPr>
      <w:r>
        <w:rPr>
          <w:rFonts w:ascii="Book Antiqua" w:hAnsi="Book Antiqua" w:eastAsia="Book Antiqua" w:cs="Book Antiqua"/>
          <w:color w:val="000000"/>
        </w:rPr>
        <w:t>We devised a search strategy to search MEDLINE, EMBASE, and PakMediNet. All studies that reported MI after COVID-19 vaccine delivery were included in this research. A structured data extraction form was developed to extract the data from the eligible studies.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snapToGrid w:val="0"/>
        <w:spacing w:line="360" w:lineRule="auto"/>
        <w:jc w:val="both"/>
        <w:rPr>
          <w:rFonts w:ascii="Book Antiqua" w:hAnsi="Book Antiqua"/>
        </w:rPr>
      </w:pPr>
      <w:r>
        <w:rPr>
          <w:rFonts w:ascii="Book Antiqua" w:hAnsi="Book Antiqua" w:eastAsia="Book Antiqua" w:cs="Book Antiqua"/>
          <w:color w:val="000000"/>
        </w:rPr>
        <w:t>The majority of MI cases reported were after vaccination with the AstraZeneca vaccine. Out of all the studies, 69% reported MI cases after the first COVID-19 vaccination dose and 14% after the second. The majority (44%) of MI reported was STEMI.</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snapToGrid w:val="0"/>
        <w:spacing w:line="360" w:lineRule="auto"/>
        <w:jc w:val="both"/>
        <w:rPr>
          <w:rFonts w:ascii="Book Antiqua" w:hAnsi="Book Antiqua"/>
        </w:rPr>
      </w:pPr>
      <w:r>
        <w:rPr>
          <w:rFonts w:ascii="Book Antiqua" w:hAnsi="Book Antiqua" w:eastAsia="Book Antiqua" w:cs="Book Antiqua"/>
          <w:color w:val="000000"/>
        </w:rPr>
        <w:t>Many studies linked MI to COVID-19 vaccinations, but no definitive association could be found.</w:t>
      </w:r>
    </w:p>
    <w:p>
      <w:pPr>
        <w:snapToGrid w:val="0"/>
        <w:spacing w:line="360" w:lineRule="auto"/>
        <w:jc w:val="both"/>
        <w:rPr>
          <w:rFonts w:ascii="Book Antiqua" w:hAnsi="Book Antiqua" w:eastAsia="Book Antiqua" w:cs="Book Antiqua"/>
          <w:b/>
          <w:bCs/>
          <w:i/>
          <w:iCs/>
          <w:color w:val="000000"/>
        </w:rPr>
      </w:pPr>
    </w:p>
    <w:p>
      <w:pPr>
        <w:snapToGrid w:val="0"/>
        <w:spacing w:line="360" w:lineRule="auto"/>
        <w:jc w:val="both"/>
        <w:rPr>
          <w:rFonts w:ascii="Book Antiqua" w:hAnsi="Book Antiqua"/>
        </w:rPr>
      </w:pPr>
      <w:r>
        <w:rPr>
          <w:rFonts w:ascii="Book Antiqua" w:hAnsi="Book Antiqua" w:eastAsia="Book Antiqua" w:cs="Book Antiqua"/>
          <w:b/>
          <w:bCs/>
          <w:i/>
          <w:iCs/>
          <w:color w:val="000000"/>
        </w:rPr>
        <w:t>Research perspectives</w:t>
      </w:r>
    </w:p>
    <w:p>
      <w:pPr>
        <w:snapToGrid w:val="0"/>
        <w:spacing w:line="360" w:lineRule="auto"/>
        <w:jc w:val="both"/>
        <w:rPr>
          <w:rFonts w:ascii="Book Antiqua" w:hAnsi="Book Antiqua"/>
        </w:rPr>
      </w:pPr>
      <w:r>
        <w:rPr>
          <w:rFonts w:ascii="Book Antiqua" w:hAnsi="Book Antiqua" w:eastAsia="Book Antiqua" w:cs="Book Antiqua"/>
          <w:color w:val="000000"/>
        </w:rPr>
        <w:t>More robust clinical trials in this regard could clarify the link between COVID-19 vaccinations and MI.</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Sultana J</w:t>
      </w:r>
      <w:r>
        <w:rPr>
          <w:rFonts w:ascii="Book Antiqua" w:hAnsi="Book Antiqua"/>
        </w:rPr>
        <w:t xml:space="preserve">, Mazzaglia G, Luxi N, Cancellieri A, Capuano A, Ferrajolo C, de Waure C, Ferlazzo G, Trifirò G. Potential effects of vaccinations on the prevention of COVID-19: rationale, clinical evidence, risks, and public health considerations. </w:t>
      </w:r>
      <w:r>
        <w:rPr>
          <w:rFonts w:ascii="Book Antiqua" w:hAnsi="Book Antiqua"/>
          <w:i/>
          <w:iCs/>
        </w:rPr>
        <w:t>Expert Rev Vaccines</w:t>
      </w:r>
      <w:r>
        <w:rPr>
          <w:rFonts w:ascii="Book Antiqua" w:hAnsi="Book Antiqua"/>
        </w:rPr>
        <w:t xml:space="preserve"> 2020; </w:t>
      </w:r>
      <w:r>
        <w:rPr>
          <w:rFonts w:ascii="Book Antiqua" w:hAnsi="Book Antiqua"/>
          <w:b/>
          <w:bCs/>
        </w:rPr>
        <w:t>19</w:t>
      </w:r>
      <w:r>
        <w:rPr>
          <w:rFonts w:ascii="Book Antiqua" w:hAnsi="Book Antiqua"/>
        </w:rPr>
        <w:t>: 919-936 [PMID: 32940090 DOI: 10.1080/14760584.2020.1825951]</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Yuan P</w:t>
      </w:r>
      <w:r>
        <w:rPr>
          <w:rFonts w:ascii="Book Antiqua" w:hAnsi="Book Antiqua"/>
        </w:rPr>
        <w:t xml:space="preserve">, Ai P, Liu Y, Ai Z, Wang Y, Cao W, Xia X, Zheng JC. Safety, Tolerability, and Immunogenicity of COVID-19 Vaccines: A Systematic Review and Meta-Analysis. </w:t>
      </w:r>
      <w:r>
        <w:rPr>
          <w:rFonts w:ascii="Book Antiqua" w:hAnsi="Book Antiqua"/>
          <w:i/>
          <w:iCs/>
        </w:rPr>
        <w:t>medRxiv</w:t>
      </w:r>
      <w:r>
        <w:rPr>
          <w:rFonts w:ascii="Book Antiqua" w:hAnsi="Book Antiqua"/>
        </w:rPr>
        <w:t xml:space="preserve"> 2020 [PMID: 33173896 DOI: 10.1101/2020.11.03.20224998]</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Majumder J</w:t>
      </w:r>
      <w:r>
        <w:rPr>
          <w:rFonts w:ascii="Book Antiqua" w:hAnsi="Book Antiqua"/>
        </w:rPr>
        <w:t xml:space="preserve">, Minko T. Recent Developments on Therapeutic and Diagnostic Approaches for COVID-19. </w:t>
      </w:r>
      <w:r>
        <w:rPr>
          <w:rFonts w:ascii="Book Antiqua" w:hAnsi="Book Antiqua"/>
          <w:i/>
          <w:iCs/>
        </w:rPr>
        <w:t>AAPS J</w:t>
      </w:r>
      <w:r>
        <w:rPr>
          <w:rFonts w:ascii="Book Antiqua" w:hAnsi="Book Antiqua"/>
        </w:rPr>
        <w:t xml:space="preserve"> 2021; </w:t>
      </w:r>
      <w:r>
        <w:rPr>
          <w:rFonts w:ascii="Book Antiqua" w:hAnsi="Book Antiqua"/>
          <w:b/>
          <w:bCs/>
        </w:rPr>
        <w:t>23</w:t>
      </w:r>
      <w:r>
        <w:rPr>
          <w:rFonts w:ascii="Book Antiqua" w:hAnsi="Book Antiqua"/>
        </w:rPr>
        <w:t>: 14 [PMID: 33400058 DOI: 10.1208/s12248-020-00532-2]</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Umakanthan S</w:t>
      </w:r>
      <w:r>
        <w:rPr>
          <w:rFonts w:ascii="Book Antiqua" w:hAnsi="Book Antiqua"/>
        </w:rPr>
        <w:t xml:space="preserve">, Sahu P, Ranade AV, Bukelo MM, Rao JS, Abrahao-Machado LF, Dahal S, Kumar H, Kv D. Origin, transmission, diagnosis and management of coronavirus disease 2019 (COVID-19). </w:t>
      </w:r>
      <w:r>
        <w:rPr>
          <w:rFonts w:ascii="Book Antiqua" w:hAnsi="Book Antiqua"/>
          <w:i/>
          <w:iCs/>
        </w:rPr>
        <w:t>Postgrad Med J</w:t>
      </w:r>
      <w:r>
        <w:rPr>
          <w:rFonts w:ascii="Book Antiqua" w:hAnsi="Book Antiqua"/>
        </w:rPr>
        <w:t xml:space="preserve"> 2020; </w:t>
      </w:r>
      <w:r>
        <w:rPr>
          <w:rFonts w:ascii="Book Antiqua" w:hAnsi="Book Antiqua"/>
          <w:b/>
          <w:bCs/>
        </w:rPr>
        <w:t>96</w:t>
      </w:r>
      <w:r>
        <w:rPr>
          <w:rFonts w:ascii="Book Antiqua" w:hAnsi="Book Antiqua"/>
        </w:rPr>
        <w:t>: 753-758 [PMID: 32563999 DOI: 10.1136/postgradmedj-2020-138234]</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Shiravi AA</w:t>
      </w:r>
      <w:r>
        <w:rPr>
          <w:rFonts w:ascii="Book Antiqua" w:hAnsi="Book Antiqua"/>
        </w:rPr>
        <w:t xml:space="preserve">, Ardekani A, Sheikhbahaei E, Heshmat-Ghahdarijani K. Cardiovascular Complications of SARS-CoV-2 Vaccines: An Overview. </w:t>
      </w:r>
      <w:r>
        <w:rPr>
          <w:rFonts w:ascii="Book Antiqua" w:hAnsi="Book Antiqua"/>
          <w:i/>
          <w:iCs/>
        </w:rPr>
        <w:t>Cardiol Ther</w:t>
      </w:r>
      <w:r>
        <w:rPr>
          <w:rFonts w:ascii="Book Antiqua" w:hAnsi="Book Antiqua"/>
        </w:rPr>
        <w:t xml:space="preserve"> 2022; </w:t>
      </w:r>
      <w:r>
        <w:rPr>
          <w:rFonts w:ascii="Book Antiqua" w:hAnsi="Book Antiqua"/>
          <w:b/>
          <w:bCs/>
        </w:rPr>
        <w:t>11</w:t>
      </w:r>
      <w:r>
        <w:rPr>
          <w:rFonts w:ascii="Book Antiqua" w:hAnsi="Book Antiqua"/>
        </w:rPr>
        <w:t>: 13-21 [PMID: 34845662 DOI: 10.1007/s40119-021-00248-0]</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Barsha SY</w:t>
      </w:r>
      <w:r>
        <w:rPr>
          <w:rFonts w:ascii="Book Antiqua" w:hAnsi="Book Antiqua"/>
        </w:rPr>
        <w:t xml:space="preserve">, Akiful Haque MM, Rashid MU, Rahman ML, Hossain MA, Zaman S, Bhuiyan E, Sultana R, Hossian M, Nabi MH, Hawlader MDH. A case of acute encephalopathy and non-ST segment elevation myocardial infarction following mRNA-1273 vaccination: possible adverse effect? </w:t>
      </w:r>
      <w:r>
        <w:rPr>
          <w:rFonts w:ascii="Book Antiqua" w:hAnsi="Book Antiqua"/>
          <w:i/>
          <w:iCs/>
        </w:rPr>
        <w:t>Clin Exp Vaccine Res</w:t>
      </w:r>
      <w:r>
        <w:rPr>
          <w:rFonts w:ascii="Book Antiqua" w:hAnsi="Book Antiqua"/>
        </w:rPr>
        <w:t xml:space="preserve"> 2021; </w:t>
      </w:r>
      <w:r>
        <w:rPr>
          <w:rFonts w:ascii="Book Antiqua" w:hAnsi="Book Antiqua"/>
          <w:b/>
          <w:bCs/>
        </w:rPr>
        <w:t>10</w:t>
      </w:r>
      <w:r>
        <w:rPr>
          <w:rFonts w:ascii="Book Antiqua" w:hAnsi="Book Antiqua"/>
        </w:rPr>
        <w:t>: 293-297 [PMID: 34703815 DOI: 10.7774/cevr.2021.10.3.293]</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Hana D</w:t>
      </w:r>
      <w:r>
        <w:rPr>
          <w:rFonts w:ascii="Book Antiqua" w:hAnsi="Book Antiqua"/>
        </w:rPr>
        <w:t xml:space="preserve">, Patel K, Roman S, Gattas B, Sofka S. Clinical Cardiovascular Adverse Events Reported Post-COVID-19 Vaccination: Are They a Real Risk? </w:t>
      </w:r>
      <w:r>
        <w:rPr>
          <w:rFonts w:ascii="Book Antiqua" w:hAnsi="Book Antiqua"/>
          <w:i/>
          <w:iCs/>
        </w:rPr>
        <w:t>Curr Probl Cardiol</w:t>
      </w:r>
      <w:r>
        <w:rPr>
          <w:rFonts w:ascii="Book Antiqua" w:hAnsi="Book Antiqua"/>
        </w:rPr>
        <w:t xml:space="preserve"> 2022; </w:t>
      </w:r>
      <w:r>
        <w:rPr>
          <w:rFonts w:ascii="Book Antiqua" w:hAnsi="Book Antiqua"/>
          <w:b/>
          <w:bCs/>
        </w:rPr>
        <w:t>47</w:t>
      </w:r>
      <w:r>
        <w:rPr>
          <w:rFonts w:ascii="Book Antiqua" w:hAnsi="Book Antiqua"/>
        </w:rPr>
        <w:t>: 101077 [PMID: 34902392 DOI: 10.1016/j.cpcardiol.2021.101077]</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Law MR</w:t>
      </w:r>
      <w:r>
        <w:rPr>
          <w:rFonts w:ascii="Book Antiqua" w:hAnsi="Book Antiqua"/>
        </w:rPr>
        <w:t xml:space="preserve">, Watt HC, Wald NJ. The underlying risk of death after myocardial infarction in the absence of treatment. </w:t>
      </w:r>
      <w:r>
        <w:rPr>
          <w:rFonts w:ascii="Book Antiqua" w:hAnsi="Book Antiqua"/>
          <w:i/>
          <w:iCs/>
        </w:rPr>
        <w:t>Arch Intern Med</w:t>
      </w:r>
      <w:r>
        <w:rPr>
          <w:rFonts w:ascii="Book Antiqua" w:hAnsi="Book Antiqua"/>
        </w:rPr>
        <w:t xml:space="preserve"> 2002; </w:t>
      </w:r>
      <w:r>
        <w:rPr>
          <w:rFonts w:ascii="Book Antiqua" w:hAnsi="Book Antiqua"/>
          <w:b/>
          <w:bCs/>
        </w:rPr>
        <w:t>162</w:t>
      </w:r>
      <w:r>
        <w:rPr>
          <w:rFonts w:ascii="Book Antiqua" w:hAnsi="Book Antiqua"/>
        </w:rPr>
        <w:t>: 2405-2410 [PMID: 12437397 DOI: 10.1001/archinte.162.21.2405]</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Johansson S</w:t>
      </w:r>
      <w:r>
        <w:rPr>
          <w:rFonts w:ascii="Book Antiqua" w:hAnsi="Book Antiqua"/>
        </w:rPr>
        <w:t xml:space="preserve">, Rosengren A, Young K, Jennings E. Mortality and morbidity trends after the first year in survivors of acute myocardial infarction: a systematic review. </w:t>
      </w:r>
      <w:r>
        <w:rPr>
          <w:rFonts w:ascii="Book Antiqua" w:hAnsi="Book Antiqua"/>
          <w:i/>
          <w:iCs/>
        </w:rPr>
        <w:t>BMC Cardiovasc Disord</w:t>
      </w:r>
      <w:r>
        <w:rPr>
          <w:rFonts w:ascii="Book Antiqua" w:hAnsi="Book Antiqua"/>
        </w:rPr>
        <w:t xml:space="preserve"> 2017; </w:t>
      </w:r>
      <w:r>
        <w:rPr>
          <w:rFonts w:ascii="Book Antiqua" w:hAnsi="Book Antiqua"/>
          <w:b/>
          <w:bCs/>
        </w:rPr>
        <w:t>17</w:t>
      </w:r>
      <w:r>
        <w:rPr>
          <w:rFonts w:ascii="Book Antiqua" w:hAnsi="Book Antiqua"/>
        </w:rPr>
        <w:t>: 53 [PMID: 28173750 DOI: 10.1186/s12872-017-0482-9]</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Jabagi MJ</w:t>
      </w:r>
      <w:r>
        <w:rPr>
          <w:rFonts w:ascii="Book Antiqua" w:hAnsi="Book Antiqua"/>
        </w:rPr>
        <w:t xml:space="preserve">, Botton J, Bertrand M, Weill A, Farrington P, Zureik M, Dray-Spira R. Myocardial Infarction, Stroke, and Pulmonary Embolism After BNT162b2 mRNA COVID-19 Vaccine in People Aged 75 Years or Older. </w:t>
      </w:r>
      <w:r>
        <w:rPr>
          <w:rFonts w:ascii="Book Antiqua" w:hAnsi="Book Antiqua"/>
          <w:i/>
          <w:iCs/>
        </w:rPr>
        <w:t>JAMA</w:t>
      </w:r>
      <w:r>
        <w:rPr>
          <w:rFonts w:ascii="Book Antiqua" w:hAnsi="Book Antiqua"/>
        </w:rPr>
        <w:t xml:space="preserve"> 2022; </w:t>
      </w:r>
      <w:r>
        <w:rPr>
          <w:rFonts w:ascii="Book Antiqua" w:hAnsi="Book Antiqua"/>
          <w:b/>
          <w:bCs/>
        </w:rPr>
        <w:t>327</w:t>
      </w:r>
      <w:r>
        <w:rPr>
          <w:rFonts w:ascii="Book Antiqua" w:hAnsi="Book Antiqua"/>
        </w:rPr>
        <w:t>: 80-82 [PMID: 34807248 DOI: 10.1001/jama.2021.21699]</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Li X</w:t>
      </w:r>
      <w:r>
        <w:rPr>
          <w:rFonts w:ascii="Book Antiqua" w:hAnsi="Book Antiqua"/>
        </w:rPr>
        <w:t xml:space="preserve">, Ostropolets A, Makadia R, Shaoibi A, Rao G, Sena AG, Martinez-Hernandez E, Delmestri A, Verhamme K, Rijnbeek PR, Duarte-Salles T, Suchard M, Ryan P, Hripcsak G, Prieto-Alhambra D. Characterizing the incidence of adverse events of special interest for COVID-19 vaccines across eight countries: a multinational network cohort study. </w:t>
      </w:r>
      <w:r>
        <w:rPr>
          <w:rFonts w:ascii="Book Antiqua" w:hAnsi="Book Antiqua"/>
          <w:i/>
          <w:iCs/>
        </w:rPr>
        <w:t>medRxiv</w:t>
      </w:r>
      <w:r>
        <w:rPr>
          <w:rFonts w:ascii="Book Antiqua" w:hAnsi="Book Antiqua"/>
        </w:rPr>
        <w:t xml:space="preserve"> 2021 [PMID: 33791732 DOI: 10.1101/2021.03.25.21254315]</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Aye YN</w:t>
      </w:r>
      <w:r>
        <w:rPr>
          <w:rFonts w:ascii="Book Antiqua" w:hAnsi="Book Antiqua"/>
        </w:rPr>
        <w:t xml:space="preserve">, Mai AS, Zhang A, Lim OZH, Lin N, Ng CH, Chan MY, Yip J, Loh PH, Chew NWS. Acute Myocardial Infarction and Myocarditis following COVID-19 Vaccination. </w:t>
      </w:r>
      <w:r>
        <w:rPr>
          <w:rFonts w:ascii="Book Antiqua" w:hAnsi="Book Antiqua"/>
          <w:i/>
          <w:iCs/>
        </w:rPr>
        <w:t>QJM</w:t>
      </w:r>
      <w:r>
        <w:rPr>
          <w:rFonts w:ascii="Book Antiqua" w:hAnsi="Book Antiqua"/>
        </w:rPr>
        <w:t xml:space="preserve"> 2021 [PMID: 34586408 DOI: 10.1093/qjmed/hcab252]</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Maadarani O</w:t>
      </w:r>
      <w:r>
        <w:rPr>
          <w:rFonts w:ascii="Book Antiqua" w:hAnsi="Book Antiqua"/>
        </w:rPr>
        <w:t xml:space="preserve">, Bitar Z, Elzoueiry M, Nader M, Abdelfatah M, Zaalouk T, Mohsen M, Elhabibi M. Myocardial infarction post COVID-19 vaccine - coincidence, Kounis syndrome or other explanation - time will tell. </w:t>
      </w:r>
      <w:r>
        <w:rPr>
          <w:rFonts w:ascii="Book Antiqua" w:hAnsi="Book Antiqua"/>
          <w:i/>
          <w:iCs/>
        </w:rPr>
        <w:t>JRSM Open</w:t>
      </w:r>
      <w:r>
        <w:rPr>
          <w:rFonts w:ascii="Book Antiqua" w:hAnsi="Book Antiqua"/>
        </w:rPr>
        <w:t xml:space="preserve"> 2021; </w:t>
      </w:r>
      <w:r>
        <w:rPr>
          <w:rFonts w:ascii="Book Antiqua" w:hAnsi="Book Antiqua"/>
          <w:b/>
          <w:bCs/>
        </w:rPr>
        <w:t>12</w:t>
      </w:r>
      <w:r>
        <w:rPr>
          <w:rFonts w:ascii="Book Antiqua" w:hAnsi="Book Antiqua"/>
        </w:rPr>
        <w:t>: 20542704211025259 [PMID: 34394944 DOI: 10.1177/20542704211025259]</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Fazlollahi A</w:t>
      </w:r>
      <w:r>
        <w:rPr>
          <w:rFonts w:ascii="Book Antiqua" w:hAnsi="Book Antiqua"/>
        </w:rPr>
        <w:t xml:space="preserve">, Zahmatyar M, Noori M, Nejadghaderi SA, Sullman MJM, Shekarriz-Foumani R, Kolahi AA, Singh K, Safiri S. Cardiac complications following mRNA COVID-19 vaccines: A systematic review of case reports and case series. </w:t>
      </w:r>
      <w:r>
        <w:rPr>
          <w:rFonts w:ascii="Book Antiqua" w:hAnsi="Book Antiqua"/>
          <w:i/>
          <w:iCs/>
        </w:rPr>
        <w:t>Rev Med Virol</w:t>
      </w:r>
      <w:r>
        <w:rPr>
          <w:rFonts w:ascii="Book Antiqua" w:hAnsi="Book Antiqua"/>
        </w:rPr>
        <w:t xml:space="preserve"> 2022; </w:t>
      </w:r>
      <w:r>
        <w:rPr>
          <w:rFonts w:ascii="Book Antiqua" w:hAnsi="Book Antiqua"/>
          <w:b/>
          <w:bCs/>
        </w:rPr>
        <w:t>32</w:t>
      </w:r>
      <w:r>
        <w:rPr>
          <w:rFonts w:ascii="Book Antiqua" w:hAnsi="Book Antiqua"/>
        </w:rPr>
        <w:t>: e2318 [PMID: 34921468 DOI: 10.1002/rmv.2318]</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Şancı E</w:t>
      </w:r>
      <w:r>
        <w:rPr>
          <w:rFonts w:ascii="Book Antiqua" w:hAnsi="Book Antiqua"/>
        </w:rPr>
        <w:t xml:space="preserve">, Örçen C, Çelik OM, Özen MT, Bozyel S. Kounis syndrome associated with BNT162b2 mRNA COVID-19 vaccine presenting as ST-elevation acute myocardial infarction. </w:t>
      </w:r>
      <w:r>
        <w:rPr>
          <w:rFonts w:ascii="Book Antiqua" w:hAnsi="Book Antiqua"/>
          <w:i/>
          <w:iCs/>
        </w:rPr>
        <w:t>Anatol J Cardiol</w:t>
      </w:r>
      <w:r>
        <w:rPr>
          <w:rFonts w:ascii="Book Antiqua" w:hAnsi="Book Antiqua"/>
        </w:rPr>
        <w:t xml:space="preserve"> 2022; </w:t>
      </w:r>
      <w:r>
        <w:rPr>
          <w:rFonts w:ascii="Book Antiqua" w:hAnsi="Book Antiqua"/>
          <w:b/>
          <w:bCs/>
        </w:rPr>
        <w:t>26</w:t>
      </w:r>
      <w:r>
        <w:rPr>
          <w:rFonts w:ascii="Book Antiqua" w:hAnsi="Book Antiqua"/>
        </w:rPr>
        <w:t>: 69-74 [PMID: 35191390 DOI: 10.5152/AnatolJCardiol.2021.1212]</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Chatterjee S</w:t>
      </w:r>
      <w:r>
        <w:rPr>
          <w:rFonts w:ascii="Book Antiqua" w:hAnsi="Book Antiqua"/>
        </w:rPr>
        <w:t xml:space="preserve">, Ojha UK, Vardhan B, Tiwari A. Myocardial infarction after COVID-19 vaccination-casual or causal? </w:t>
      </w:r>
      <w:r>
        <w:rPr>
          <w:rFonts w:ascii="Book Antiqua" w:hAnsi="Book Antiqua"/>
          <w:i/>
          <w:iCs/>
        </w:rPr>
        <w:t>Diabetes Metab Syndr</w:t>
      </w:r>
      <w:r>
        <w:rPr>
          <w:rFonts w:ascii="Book Antiqua" w:hAnsi="Book Antiqua"/>
        </w:rPr>
        <w:t xml:space="preserve"> 2021; </w:t>
      </w:r>
      <w:r>
        <w:rPr>
          <w:rFonts w:ascii="Book Antiqua" w:hAnsi="Book Antiqua"/>
          <w:b/>
          <w:bCs/>
        </w:rPr>
        <w:t>15</w:t>
      </w:r>
      <w:r>
        <w:rPr>
          <w:rFonts w:ascii="Book Antiqua" w:hAnsi="Book Antiqua"/>
        </w:rPr>
        <w:t>: 1055-1056 [PMID: 33888439 DOI: 10.1016/j.dsx.2021.04.006]</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Jeet Kaur R</w:t>
      </w:r>
      <w:r>
        <w:rPr>
          <w:rFonts w:ascii="Book Antiqua" w:hAnsi="Book Antiqua"/>
        </w:rPr>
        <w:t xml:space="preserve">, Dutta S, Charan J, Bhardwaj P, Tandon A, Yadav D, Islam S, Haque M. Cardiovascular Adverse Events Reported from COVID-19 Vaccines: A Study Based on WHO Database. </w:t>
      </w:r>
      <w:r>
        <w:rPr>
          <w:rFonts w:ascii="Book Antiqua" w:hAnsi="Book Antiqua"/>
          <w:i/>
          <w:iCs/>
        </w:rPr>
        <w:t>Int J Gen Med</w:t>
      </w:r>
      <w:r>
        <w:rPr>
          <w:rFonts w:ascii="Book Antiqua" w:hAnsi="Book Antiqua"/>
        </w:rPr>
        <w:t xml:space="preserve"> 2021; </w:t>
      </w:r>
      <w:r>
        <w:rPr>
          <w:rFonts w:ascii="Book Antiqua" w:hAnsi="Book Antiqua"/>
          <w:b/>
          <w:bCs/>
        </w:rPr>
        <w:t>14</w:t>
      </w:r>
      <w:r>
        <w:rPr>
          <w:rFonts w:ascii="Book Antiqua" w:hAnsi="Book Antiqua"/>
        </w:rPr>
        <w:t>: 3909-3927 [PMID: 34349544 DOI: 10.2147/IJGM.S324349]</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Iqbal S</w:t>
      </w:r>
      <w:r>
        <w:rPr>
          <w:rFonts w:ascii="Book Antiqua" w:hAnsi="Book Antiqua"/>
        </w:rPr>
        <w:t xml:space="preserve">, Adnan G, Farhad A, Ahmed I, Rahman MN. Acute Myocardial Infarction After Coronavirus Vaccine: A Rare Adverse Effect.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e21544 [PMID: 35223317 DOI: 10.7759/cureus.21544]</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Cari L</w:t>
      </w:r>
      <w:r>
        <w:rPr>
          <w:rFonts w:ascii="Book Antiqua" w:hAnsi="Book Antiqua"/>
        </w:rPr>
        <w:t xml:space="preserve">, Alhosseini MN, Fiore P, Pierno S, Pacor S, Bergamo A, Sava G, Nocentini G. Cardiovascular, neurological, and pulmonary events following vaccination with the BNT162b2, ChAdOx1 nCoV-19, and Ad26.COV2.S vaccines: An analysis of European data. </w:t>
      </w:r>
      <w:r>
        <w:rPr>
          <w:rFonts w:ascii="Book Antiqua" w:hAnsi="Book Antiqua"/>
          <w:i/>
          <w:iCs/>
        </w:rPr>
        <w:t>J Autoimmun</w:t>
      </w:r>
      <w:r>
        <w:rPr>
          <w:rFonts w:ascii="Book Antiqua" w:hAnsi="Book Antiqua"/>
        </w:rPr>
        <w:t xml:space="preserve"> 2021; </w:t>
      </w:r>
      <w:r>
        <w:rPr>
          <w:rFonts w:ascii="Book Antiqua" w:hAnsi="Book Antiqua"/>
          <w:b/>
          <w:bCs/>
        </w:rPr>
        <w:t>125</w:t>
      </w:r>
      <w:r>
        <w:rPr>
          <w:rFonts w:ascii="Book Antiqua" w:hAnsi="Book Antiqua"/>
        </w:rPr>
        <w:t>: 102742 [PMID: 34710832 DOI: 10.1016/j.jaut.2021.102742]</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Tajstra M</w:t>
      </w:r>
      <w:r>
        <w:rPr>
          <w:rFonts w:ascii="Book Antiqua" w:hAnsi="Book Antiqua"/>
        </w:rPr>
        <w:t xml:space="preserve">, Jaroszewicz J, Gąsior M. Acute Coronary Tree Thrombosis After Vaccination for COVID-19. </w:t>
      </w:r>
      <w:r>
        <w:rPr>
          <w:rFonts w:ascii="Book Antiqua" w:hAnsi="Book Antiqua"/>
          <w:i/>
          <w:iCs/>
        </w:rPr>
        <w:t>JACC Cardiovasc Interv</w:t>
      </w:r>
      <w:r>
        <w:rPr>
          <w:rFonts w:ascii="Book Antiqua" w:hAnsi="Book Antiqua"/>
        </w:rPr>
        <w:t xml:space="preserve"> 2021; </w:t>
      </w:r>
      <w:r>
        <w:rPr>
          <w:rFonts w:ascii="Book Antiqua" w:hAnsi="Book Antiqua"/>
          <w:b/>
          <w:bCs/>
        </w:rPr>
        <w:t>14</w:t>
      </w:r>
      <w:r>
        <w:rPr>
          <w:rFonts w:ascii="Book Antiqua" w:hAnsi="Book Antiqua"/>
        </w:rPr>
        <w:t>: e103-e104 [PMID: 33958175 DOI: 10.1016/j.jcin.2021.03.003]</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Flower L</w:t>
      </w:r>
      <w:r>
        <w:rPr>
          <w:rFonts w:ascii="Book Antiqua" w:hAnsi="Book Antiqua"/>
        </w:rPr>
        <w:t xml:space="preserve">, Bares Z, Santiapillai G, Harris S. Acute ST-segment elevation myocardial infarction secondary to vaccine-induced immune thrombosis with thrombocytopaenia (VITT). </w:t>
      </w:r>
      <w:r>
        <w:rPr>
          <w:rFonts w:ascii="Book Antiqua" w:hAnsi="Book Antiqua"/>
          <w:i/>
          <w:iCs/>
        </w:rPr>
        <w:t>BMJ Case Rep</w:t>
      </w:r>
      <w:r>
        <w:rPr>
          <w:rFonts w:ascii="Book Antiqua" w:hAnsi="Book Antiqua"/>
        </w:rPr>
        <w:t xml:space="preserve"> 2021; </w:t>
      </w:r>
      <w:r>
        <w:rPr>
          <w:rFonts w:ascii="Book Antiqua" w:hAnsi="Book Antiqua"/>
          <w:b/>
          <w:bCs/>
        </w:rPr>
        <w:t>14</w:t>
      </w:r>
      <w:r>
        <w:rPr>
          <w:rFonts w:ascii="Book Antiqua" w:hAnsi="Book Antiqua"/>
        </w:rPr>
        <w:t xml:space="preserve"> [PMID: 34580132 DOI: 10.1136/bcr-2021-245218]</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Chiang CY</w:t>
      </w:r>
      <w:r>
        <w:rPr>
          <w:rFonts w:ascii="Book Antiqua" w:hAnsi="Book Antiqua"/>
        </w:rPr>
        <w:t xml:space="preserve">, Chen CY, Yu WL, Kan WC, Feng YH. Myocardial Infarction and Azygos Vein Thrombosis After ChAdOx1 nCoV-19 Vaccination in a Hemodialysis Patient.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e18390 [PMID: 34650896 DOI: 10.7759/cureus.18390]</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Fialho I</w:t>
      </w:r>
      <w:r>
        <w:rPr>
          <w:rFonts w:ascii="Book Antiqua" w:hAnsi="Book Antiqua"/>
        </w:rPr>
        <w:t xml:space="preserve">, Mateus C, Martins-Dos-Santos G, Pita J, Cabanelas N, Baptista SB, Roque D. Recurrent Kounis syndrome - a life-threatening event after COVID-19 vaccine administration. </w:t>
      </w:r>
      <w:r>
        <w:rPr>
          <w:rFonts w:ascii="Book Antiqua" w:hAnsi="Book Antiqua"/>
          <w:i/>
          <w:iCs/>
        </w:rPr>
        <w:t>J Cardiol Cases</w:t>
      </w:r>
      <w:r>
        <w:rPr>
          <w:rFonts w:ascii="Book Antiqua" w:hAnsi="Book Antiqua"/>
        </w:rPr>
        <w:t xml:space="preserve"> 2022; </w:t>
      </w:r>
      <w:r>
        <w:rPr>
          <w:rFonts w:ascii="Book Antiqua" w:hAnsi="Book Antiqua"/>
          <w:b/>
          <w:bCs/>
        </w:rPr>
        <w:t>25</w:t>
      </w:r>
      <w:r>
        <w:rPr>
          <w:rFonts w:ascii="Book Antiqua" w:hAnsi="Book Antiqua"/>
        </w:rPr>
        <w:t>: 400-403 [PMID: 35154518 DOI: 10.1016/j.jccase.2022.01.014]</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Hsu MH</w:t>
      </w:r>
      <w:r>
        <w:rPr>
          <w:rFonts w:ascii="Book Antiqua" w:hAnsi="Book Antiqua"/>
        </w:rPr>
        <w:t xml:space="preserve">, Lee CP, Huang YC. Acute ST-Segment Elevation Myocardial Infarction After ChAdOx1 nCoV-19 Vaccination in a 33-Year-Old Man. </w:t>
      </w:r>
      <w:r>
        <w:rPr>
          <w:rFonts w:ascii="Book Antiqua" w:hAnsi="Book Antiqua"/>
          <w:i/>
          <w:iCs/>
        </w:rPr>
        <w:t>Ann Emerg Med</w:t>
      </w:r>
      <w:r>
        <w:rPr>
          <w:rFonts w:ascii="Book Antiqua" w:hAnsi="Book Antiqua"/>
        </w:rPr>
        <w:t xml:space="preserve"> 2022; </w:t>
      </w:r>
      <w:r>
        <w:rPr>
          <w:rFonts w:ascii="Book Antiqua" w:hAnsi="Book Antiqua"/>
          <w:b/>
          <w:bCs/>
        </w:rPr>
        <w:t>79</w:t>
      </w:r>
      <w:r>
        <w:rPr>
          <w:rFonts w:ascii="Book Antiqua" w:hAnsi="Book Antiqua"/>
        </w:rPr>
        <w:t>: 220-221 [PMID: 35065747 DOI: 10.1016/j.annemergmed.2021.12.002]</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Showkathali R</w:t>
      </w:r>
      <w:r>
        <w:rPr>
          <w:rFonts w:ascii="Book Antiqua" w:hAnsi="Book Antiqua"/>
        </w:rPr>
        <w:t xml:space="preserve">, Yalamanchi R, Narra L, Vinayagamoorthy N, Gunasekaran S, Nayak R, Vijayachandra Reddy Y, Mahilmaran A, Srinivasan KN, Oomman A, Kaliyamoorthy D. Coronary thrombo-embolic events after Covid-19 vaccination- a single centre study. </w:t>
      </w:r>
      <w:r>
        <w:rPr>
          <w:rFonts w:ascii="Book Antiqua" w:hAnsi="Book Antiqua"/>
          <w:i/>
          <w:iCs/>
        </w:rPr>
        <w:t>Indian Heart J</w:t>
      </w:r>
      <w:r>
        <w:rPr>
          <w:rFonts w:ascii="Book Antiqua" w:hAnsi="Book Antiqua"/>
        </w:rPr>
        <w:t xml:space="preserve"> 2022; </w:t>
      </w:r>
      <w:r>
        <w:rPr>
          <w:rFonts w:ascii="Book Antiqua" w:hAnsi="Book Antiqua"/>
          <w:b/>
          <w:bCs/>
        </w:rPr>
        <w:t>74</w:t>
      </w:r>
      <w:r>
        <w:rPr>
          <w:rFonts w:ascii="Book Antiqua" w:hAnsi="Book Antiqua"/>
        </w:rPr>
        <w:t>: 131-134 [PMID: 35122777 DOI: 10.1016/j.ihj.2022.01.002]</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Whiteley WN</w:t>
      </w:r>
      <w:r>
        <w:rPr>
          <w:rFonts w:ascii="Book Antiqua" w:hAnsi="Book Antiqua"/>
        </w:rPr>
        <w:t xml:space="preserve">, Ip S, Cooper JA, Bolton T, Keene S, Walker V, Denholm R, Akbari A, Omigie E, Hollings S, Di Angelantonio E, Denaxas S, Wood A, Sterne JAC, Sudlow C; CVD-COVID-UK consortium. Association of COVID-19 vaccines ChAdOx1 and BNT162b2 with major venous, arterial, or thrombocytopenic events: A population-based cohort study of 46 million adults in England. </w:t>
      </w:r>
      <w:r>
        <w:rPr>
          <w:rFonts w:ascii="Book Antiqua" w:hAnsi="Book Antiqua"/>
          <w:i/>
          <w:iCs/>
        </w:rPr>
        <w:t>PLoS Med</w:t>
      </w:r>
      <w:r>
        <w:rPr>
          <w:rFonts w:ascii="Book Antiqua" w:hAnsi="Book Antiqua"/>
        </w:rPr>
        <w:t xml:space="preserve"> 2022; </w:t>
      </w:r>
      <w:r>
        <w:rPr>
          <w:rFonts w:ascii="Book Antiqua" w:hAnsi="Book Antiqua"/>
          <w:b/>
          <w:bCs/>
        </w:rPr>
        <w:t>19</w:t>
      </w:r>
      <w:r>
        <w:rPr>
          <w:rFonts w:ascii="Book Antiqua" w:hAnsi="Book Antiqua"/>
        </w:rPr>
        <w:t>: e1003926 [PMID: 35192597 DOI: 10.1371/journal.pmed.1003926]</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Barda N</w:t>
      </w:r>
      <w:r>
        <w:rPr>
          <w:rFonts w:ascii="Book Antiqua" w:hAnsi="Book Antiqua"/>
        </w:rPr>
        <w:t xml:space="preserve">, Dagan N, Ben-Shlomo Y, Kepten E, Waxman J, Ohana R, Hernán MA, Lipsitch M, Kohane I, Netzer D, Reis BY, Balicer RD. Safety of the BNT162b2 mRNA Covid-19 Vaccine in a Nationwide Setting.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1078-1090 [PMID: 34432976 DOI: 10.1056/NEJMoa2110475]</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Boivin Z</w:t>
      </w:r>
      <w:r>
        <w:rPr>
          <w:rFonts w:ascii="Book Antiqua" w:hAnsi="Book Antiqua"/>
        </w:rPr>
        <w:t xml:space="preserve">, Martin J. Untimely Myocardial Infarction or COVID-19 Vaccine Side Effect.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e13651 [PMID: 33824804 DOI: 10.7759/cureus.13651]</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Hippisley-Cox J</w:t>
      </w:r>
      <w:r>
        <w:rPr>
          <w:rFonts w:ascii="Book Antiqua" w:hAnsi="Book Antiqua"/>
        </w:rPr>
        <w:t xml:space="preserve">, Patone M, Mei XW, Saatci D, Dixon S, Khunti K, Zaccardi F, Watkinson P, Shankar-Hari M, Doidge J, Harrison DA, Griffin SJ, Sheikh A, Coupland CAC. Risk of thrombocytopenia and thromboembolism after covid-19 vaccination and SARS-CoV-2 positive testing: self-controlled case series study. </w:t>
      </w:r>
      <w:r>
        <w:rPr>
          <w:rFonts w:ascii="Book Antiqua" w:hAnsi="Book Antiqua"/>
          <w:i/>
          <w:iCs/>
        </w:rPr>
        <w:t>BMJ</w:t>
      </w:r>
      <w:r>
        <w:rPr>
          <w:rFonts w:ascii="Book Antiqua" w:hAnsi="Book Antiqua"/>
        </w:rPr>
        <w:t xml:space="preserve"> 2021; </w:t>
      </w:r>
      <w:r>
        <w:rPr>
          <w:rFonts w:ascii="Book Antiqua" w:hAnsi="Book Antiqua"/>
          <w:b/>
          <w:bCs/>
        </w:rPr>
        <w:t>374</w:t>
      </w:r>
      <w:r>
        <w:rPr>
          <w:rFonts w:ascii="Book Antiqua" w:hAnsi="Book Antiqua"/>
        </w:rPr>
        <w:t>: n1931 [PMID: 34446426 DOI: 10.1136/bmj.n1931]</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Edler C</w:t>
      </w:r>
      <w:r>
        <w:rPr>
          <w:rFonts w:ascii="Book Antiqua" w:hAnsi="Book Antiqua"/>
        </w:rPr>
        <w:t xml:space="preserve">, Klein A, Schröder AS, Sperhake JP, Ondruschka B. Deaths associated with newly launched SARS-CoV-2 vaccination (Comirnaty®). </w:t>
      </w:r>
      <w:r>
        <w:rPr>
          <w:rFonts w:ascii="Book Antiqua" w:hAnsi="Book Antiqua"/>
          <w:i/>
          <w:iCs/>
        </w:rPr>
        <w:t>Leg Med (Tokyo)</w:t>
      </w:r>
      <w:r>
        <w:rPr>
          <w:rFonts w:ascii="Book Antiqua" w:hAnsi="Book Antiqua"/>
        </w:rPr>
        <w:t xml:space="preserve"> 2021; </w:t>
      </w:r>
      <w:r>
        <w:rPr>
          <w:rFonts w:ascii="Book Antiqua" w:hAnsi="Book Antiqua"/>
          <w:b/>
          <w:bCs/>
        </w:rPr>
        <w:t>51</w:t>
      </w:r>
      <w:r>
        <w:rPr>
          <w:rFonts w:ascii="Book Antiqua" w:hAnsi="Book Antiqua"/>
        </w:rPr>
        <w:t>: 101895 [PMID: 33895650 DOI: 10.1016/j.legalmed.2021.101895]</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Ho JS</w:t>
      </w:r>
      <w:r>
        <w:rPr>
          <w:rFonts w:ascii="Book Antiqua" w:hAnsi="Book Antiqua"/>
        </w:rPr>
        <w:t xml:space="preserve">, Sia CH, Ngiam JN, Loh PH, Chew NW, Kong WK, Poh KK. A review of COVID-19 vaccination and the reported cardiac manifestations. </w:t>
      </w:r>
      <w:r>
        <w:rPr>
          <w:rFonts w:ascii="Book Antiqua" w:hAnsi="Book Antiqua"/>
          <w:i/>
          <w:iCs/>
        </w:rPr>
        <w:t>Singapore Med J</w:t>
      </w:r>
      <w:r>
        <w:rPr>
          <w:rFonts w:ascii="Book Antiqua" w:hAnsi="Book Antiqua"/>
        </w:rPr>
        <w:t xml:space="preserve"> 2021 [PMID: 34808708 DOI: 10.11622/smedj.2021210]</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Sung JG</w:t>
      </w:r>
      <w:r>
        <w:rPr>
          <w:rFonts w:ascii="Book Antiqua" w:hAnsi="Book Antiqua"/>
        </w:rPr>
        <w:t xml:space="preserve">, Sobieszczyk PS, Bhatt DL. Acute Myocardial Infarction Within 24 Hours After COVID-19 Vaccination. </w:t>
      </w:r>
      <w:r>
        <w:rPr>
          <w:rFonts w:ascii="Book Antiqua" w:hAnsi="Book Antiqua"/>
          <w:i/>
          <w:iCs/>
        </w:rPr>
        <w:t>Am J Cardiol</w:t>
      </w:r>
      <w:r>
        <w:rPr>
          <w:rFonts w:ascii="Book Antiqua" w:hAnsi="Book Antiqua"/>
        </w:rPr>
        <w:t xml:space="preserve"> 2021; </w:t>
      </w:r>
      <w:r>
        <w:rPr>
          <w:rFonts w:ascii="Book Antiqua" w:hAnsi="Book Antiqua"/>
          <w:b/>
          <w:bCs/>
        </w:rPr>
        <w:t>156</w:t>
      </w:r>
      <w:r>
        <w:rPr>
          <w:rFonts w:ascii="Book Antiqua" w:hAnsi="Book Antiqua"/>
        </w:rPr>
        <w:t>: 129-131 [PMID: 34364657 DOI: 10.1016/j.amjcard.2021.06.047]</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Pottegård A</w:t>
      </w:r>
      <w:r>
        <w:rPr>
          <w:rFonts w:ascii="Book Antiqua" w:hAnsi="Book Antiqua"/>
        </w:rPr>
        <w:t xml:space="preserve">, Lund LC, Karlstad Ø, Dahl J, Andersen M, Hallas J, Lidegaard Ø, Tapia G, Gulseth HL, Ruiz PL, Watle SV, Mikkelsen AP, Pedersen L, Sørensen HT, Thomsen RW, Hviid A. Arterial events, venous thromboembolism, thrombocytopenia, and bleeding after vaccination with Oxford-AstraZeneca ChAdOx1-S in Denmark and Norway: population based cohort study. </w:t>
      </w:r>
      <w:r>
        <w:rPr>
          <w:rFonts w:ascii="Book Antiqua" w:hAnsi="Book Antiqua"/>
          <w:i/>
          <w:iCs/>
        </w:rPr>
        <w:t>BMJ</w:t>
      </w:r>
      <w:r>
        <w:rPr>
          <w:rFonts w:ascii="Book Antiqua" w:hAnsi="Book Antiqua"/>
        </w:rPr>
        <w:t xml:space="preserve"> 2021; </w:t>
      </w:r>
      <w:r>
        <w:rPr>
          <w:rFonts w:ascii="Book Antiqua" w:hAnsi="Book Antiqua"/>
          <w:b/>
          <w:bCs/>
        </w:rPr>
        <w:t>373</w:t>
      </w:r>
      <w:r>
        <w:rPr>
          <w:rFonts w:ascii="Book Antiqua" w:hAnsi="Book Antiqua"/>
        </w:rPr>
        <w:t>: n1114 [PMID: 33952445 DOI: 10.1136/bmj.n1114]</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D'Agostino V</w:t>
      </w:r>
      <w:r>
        <w:rPr>
          <w:rFonts w:ascii="Book Antiqua" w:hAnsi="Book Antiqua"/>
        </w:rPr>
        <w:t xml:space="preserve">, Caranci F, Negro A, Piscitelli V, Tuccillo B, Fasano F, Sirabella G, Marano I, Granata V, Grassi R, Pupo D, Grassi R. A Rare Case of Cerebral Venous Thrombosis and Disseminated Intravascular Coagulation Temporally Associated to the COVID-19 Vaccine Administration. </w:t>
      </w:r>
      <w:r>
        <w:rPr>
          <w:rFonts w:ascii="Book Antiqua" w:hAnsi="Book Antiqua"/>
          <w:i/>
          <w:iCs/>
        </w:rPr>
        <w:t>J Pers Med</w:t>
      </w:r>
      <w:r>
        <w:rPr>
          <w:rFonts w:ascii="Book Antiqua" w:hAnsi="Book Antiqua"/>
        </w:rPr>
        <w:t xml:space="preserve"> 2021; </w:t>
      </w:r>
      <w:r>
        <w:rPr>
          <w:rFonts w:ascii="Book Antiqua" w:hAnsi="Book Antiqua"/>
          <w:b/>
          <w:bCs/>
        </w:rPr>
        <w:t>11</w:t>
      </w:r>
      <w:r>
        <w:rPr>
          <w:rFonts w:ascii="Book Antiqua" w:hAnsi="Book Antiqua"/>
        </w:rPr>
        <w:t xml:space="preserve"> [PMID: 33917902 DOI: 10.3390/jpm11040285]</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Bardenheier BH</w:t>
      </w:r>
      <w:r>
        <w:rPr>
          <w:rFonts w:ascii="Book Antiqua" w:hAnsi="Book Antiqua"/>
        </w:rPr>
        <w:t xml:space="preserve">, Gravenstein S, Blackman C, Gutman R, Sarkar IN, Feifer RA, White EM, McConeghy K, Nanda A, Mor V. Adverse events following mRNA SARS-CoV-2 vaccination among U.S. nursing home residents. </w:t>
      </w:r>
      <w:r>
        <w:rPr>
          <w:rFonts w:ascii="Book Antiqua" w:hAnsi="Book Antiqua"/>
          <w:i/>
          <w:iCs/>
        </w:rPr>
        <w:t>Vaccine</w:t>
      </w:r>
      <w:r>
        <w:rPr>
          <w:rFonts w:ascii="Book Antiqua" w:hAnsi="Book Antiqua"/>
        </w:rPr>
        <w:t xml:space="preserve"> 2021; </w:t>
      </w:r>
      <w:r>
        <w:rPr>
          <w:rFonts w:ascii="Book Antiqua" w:hAnsi="Book Antiqua"/>
          <w:b/>
          <w:bCs/>
        </w:rPr>
        <w:t>39</w:t>
      </w:r>
      <w:r>
        <w:rPr>
          <w:rFonts w:ascii="Book Antiqua" w:hAnsi="Book Antiqua"/>
        </w:rPr>
        <w:t>: 3844-3851 [PMID: 34092431 DOI: 10.1016/j.vaccine.2021.05.088]</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rPr>
        <w:t xml:space="preserve">Our World in Data. </w:t>
      </w:r>
      <w:r>
        <w:rPr>
          <w:rFonts w:ascii="Book Antiqua" w:hAnsi="Book Antiqua"/>
        </w:rPr>
        <w:t xml:space="preserve">Coronavirus (COVID-19) Vaccinations. 2022. Available from: </w:t>
      </w:r>
      <w:r>
        <w:fldChar w:fldCharType="begin"/>
      </w:r>
      <w:r>
        <w:instrText xml:space="preserve"> HYPERLINK "https://ourworldindata.org/covid-vaccinations" \l "which-vaccines-have-been-administered-in-each-country" </w:instrText>
      </w:r>
      <w:r>
        <w:fldChar w:fldCharType="separate"/>
      </w:r>
      <w:r>
        <w:rPr>
          <w:rStyle w:val="10"/>
          <w:rFonts w:ascii="Book Antiqua" w:hAnsi="Book Antiqua"/>
        </w:rPr>
        <w:t>https://ourworldindata.org/covid-vaccinations#which-vaccines-have-been-administered-in-each-country</w:t>
      </w:r>
      <w:r>
        <w:rPr>
          <w:rStyle w:val="10"/>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rPr>
        <w:t xml:space="preserve">Pakistan: the latest coronavirus counts, charts and maps </w:t>
      </w:r>
      <w:r>
        <w:rPr>
          <w:rFonts w:ascii="Book Antiqua" w:hAnsi="Book Antiqua"/>
          <w:bCs/>
        </w:rPr>
        <w:t xml:space="preserve">[Internet]. Reuters. 2022 Available from: </w:t>
      </w:r>
      <w:r>
        <w:fldChar w:fldCharType="begin"/>
      </w:r>
      <w:r>
        <w:instrText xml:space="preserve"> HYPERLINK "https://graphics.reuters.com/world-coronavirus-tracker-and-maps/countries-and-territories/pakistan/" </w:instrText>
      </w:r>
      <w:r>
        <w:fldChar w:fldCharType="separate"/>
      </w:r>
      <w:r>
        <w:rPr>
          <w:rStyle w:val="10"/>
          <w:rFonts w:ascii="Book Antiqua" w:hAnsi="Book Antiqua"/>
          <w:bCs/>
        </w:rPr>
        <w:t>https://graphics.reuters.com/world-coronavirus-tracker-and-maps/countries-and-territories/pakistan/</w:t>
      </w:r>
      <w:r>
        <w:rPr>
          <w:rStyle w:val="10"/>
          <w:rFonts w:ascii="Book Antiqua" w:hAnsi="Book Antiqua"/>
          <w:bCs/>
        </w:rPr>
        <w:fldChar w:fldCharType="end"/>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rPr>
        <w:t>UW–Madison</w:t>
      </w:r>
      <w:r>
        <w:rPr>
          <w:rFonts w:ascii="Book Antiqua" w:hAnsi="Book Antiqua"/>
        </w:rPr>
        <w:t>. What is the difference between an additional dose and a booster shot</w:t>
      </w:r>
      <w:r>
        <w:t> </w:t>
      </w:r>
      <w:r>
        <w:rPr>
          <w:rFonts w:ascii="Book Antiqua" w:hAnsi="Book Antiqua"/>
        </w:rPr>
        <w:t xml:space="preserve">? COVID-19 Response. 2022. Available from: </w:t>
      </w:r>
      <w:r>
        <w:fldChar w:fldCharType="begin"/>
      </w:r>
      <w:r>
        <w:instrText xml:space="preserve"> HYPERLINK "https://covidresponse.wisc.edu/faq/what-is-the-difference-between-a-third-dose-and-a-booster-shot/" </w:instrText>
      </w:r>
      <w:r>
        <w:fldChar w:fldCharType="separate"/>
      </w:r>
      <w:r>
        <w:rPr>
          <w:rStyle w:val="10"/>
          <w:rFonts w:ascii="Book Antiqua" w:hAnsi="Book Antiqua"/>
        </w:rPr>
        <w:t>https://covidresponse.wisc.edu/faq/what-is-the-difference-between-a-third-dose-and-a-booster-shot/</w:t>
      </w:r>
      <w:r>
        <w:rPr>
          <w:rStyle w:val="10"/>
          <w:rFonts w:ascii="Book Antiqua" w:hAnsi="Book Antiqua"/>
        </w:rPr>
        <w:fldChar w:fldCharType="end"/>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rPr>
        <w:t>Leigh S</w:t>
      </w:r>
      <w:r>
        <w:rPr>
          <w:rFonts w:ascii="Book Antiqua" w:hAnsi="Book Antiqua"/>
        </w:rPr>
        <w:t xml:space="preserve">. COVID-19 Vaccines Produce Immune Responses in Patients With Chronic Inflammatory Diseases COVID-19 Vaccine ‘Clearly a Benefit’ Despite. 2021. Available from: </w:t>
      </w:r>
      <w:r>
        <w:fldChar w:fldCharType="begin"/>
      </w:r>
      <w:r>
        <w:instrText xml:space="preserve"> HYPERLINK "https://www.ucsf.edu/news/2021/08/421346/covid-19-vaccines-produce-immune-responses-patients-chronic-inflammatory" </w:instrText>
      </w:r>
      <w:r>
        <w:fldChar w:fldCharType="separate"/>
      </w:r>
      <w:r>
        <w:rPr>
          <w:rStyle w:val="10"/>
          <w:rFonts w:ascii="Book Antiqua" w:hAnsi="Book Antiqua"/>
        </w:rPr>
        <w:t>https://www.ucsf.edu/news/2021/08/421346/covid-19-vaccines-produce-immune-responses-patients-chronic-inflammatory</w:t>
      </w:r>
      <w:r>
        <w:rPr>
          <w:rStyle w:val="10"/>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Hervé C</w:t>
      </w:r>
      <w:r>
        <w:rPr>
          <w:rFonts w:ascii="Book Antiqua" w:hAnsi="Book Antiqua"/>
        </w:rPr>
        <w:t xml:space="preserve">, Laupèze B, Del Giudice G, Didierlaurent AM, Tavares Da Silva F. The how's and what's of vaccine reactogenicity. </w:t>
      </w:r>
      <w:r>
        <w:rPr>
          <w:rFonts w:ascii="Book Antiqua" w:hAnsi="Book Antiqua"/>
          <w:i/>
          <w:iCs/>
        </w:rPr>
        <w:t>NPJ Vaccines</w:t>
      </w:r>
      <w:r>
        <w:rPr>
          <w:rFonts w:ascii="Book Antiqua" w:hAnsi="Book Antiqua"/>
        </w:rPr>
        <w:t xml:space="preserve"> 2019; </w:t>
      </w:r>
      <w:r>
        <w:rPr>
          <w:rFonts w:ascii="Book Antiqua" w:hAnsi="Book Antiqua"/>
          <w:b/>
          <w:bCs/>
        </w:rPr>
        <w:t>4</w:t>
      </w:r>
      <w:r>
        <w:rPr>
          <w:rFonts w:ascii="Book Antiqua" w:hAnsi="Book Antiqua"/>
        </w:rPr>
        <w:t>: 39 [PMID: 31583123 DOI: 10.1038/s41541-019-0132-6]</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McManus DD</w:t>
      </w:r>
      <w:r>
        <w:rPr>
          <w:rFonts w:ascii="Book Antiqua" w:hAnsi="Book Antiqua"/>
        </w:rPr>
        <w:t xml:space="preserve">, Gore J, Yarzebski J, Spencer F, Lessard D, Goldberg RJ. Recent trends in the incidence, treatment, and outcomes of patients with STEMI and NSTEMI. </w:t>
      </w:r>
      <w:r>
        <w:rPr>
          <w:rFonts w:ascii="Book Antiqua" w:hAnsi="Book Antiqua"/>
          <w:i/>
          <w:iCs/>
        </w:rPr>
        <w:t>Am J Med</w:t>
      </w:r>
      <w:r>
        <w:rPr>
          <w:rFonts w:ascii="Book Antiqua" w:hAnsi="Book Antiqua"/>
        </w:rPr>
        <w:t xml:space="preserve"> 2011; </w:t>
      </w:r>
      <w:r>
        <w:rPr>
          <w:rFonts w:ascii="Book Antiqua" w:hAnsi="Book Antiqua"/>
          <w:b/>
          <w:bCs/>
        </w:rPr>
        <w:t>124</w:t>
      </w:r>
      <w:r>
        <w:rPr>
          <w:rFonts w:ascii="Book Antiqua" w:hAnsi="Book Antiqua"/>
        </w:rPr>
        <w:t>: 40-47 [PMID: 21187184 DOI: 10.1016/j.amjmed.2010.07.023]</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rPr>
        <w:t>Botros MB</w:t>
      </w:r>
      <w:r>
        <w:rPr>
          <w:rFonts w:ascii="Book Antiqua" w:hAnsi="Book Antiqua"/>
        </w:rPr>
        <w:t xml:space="preserve">, Narvaez-Guerra O, Aurigemma GP, Harrington C. STEMI following MRNA COVID-19 vaccination. </w:t>
      </w:r>
      <w:r>
        <w:rPr>
          <w:rFonts w:ascii="Book Antiqua" w:hAnsi="Book Antiqua"/>
          <w:i/>
        </w:rPr>
        <w:t>J Am Coll Cardiol</w:t>
      </w:r>
      <w:r>
        <w:rPr>
          <w:rFonts w:ascii="Book Antiqua" w:hAnsi="Book Antiqua"/>
        </w:rPr>
        <w:t xml:space="preserve"> 2022; </w:t>
      </w:r>
      <w:r>
        <w:rPr>
          <w:rFonts w:ascii="Book Antiqua" w:hAnsi="Book Antiqua"/>
          <w:b/>
        </w:rPr>
        <w:t>79</w:t>
      </w:r>
      <w:r>
        <w:rPr>
          <w:rFonts w:ascii="Book Antiqua" w:hAnsi="Book Antiqua"/>
        </w:rPr>
        <w:t xml:space="preserve"> (9_Suppl): 2341 [DOI: 10.1016/s0735-1097(22)03332-0]</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rPr>
        <w:t>Labos C</w:t>
      </w:r>
      <w:r>
        <w:rPr>
          <w:rFonts w:ascii="Book Antiqua" w:hAnsi="Book Antiqua"/>
        </w:rPr>
        <w:t xml:space="preserve">. Do the COVID-19 Vaccines Really Increase MI What to Read Next on Medscape. Medscape 2022. Available from: </w:t>
      </w:r>
      <w:r>
        <w:fldChar w:fldCharType="begin"/>
      </w:r>
      <w:r>
        <w:instrText xml:space="preserve"> HYPERLINK "https://www.medscape.com/viewarticle/964358" </w:instrText>
      </w:r>
      <w:r>
        <w:fldChar w:fldCharType="separate"/>
      </w:r>
      <w:r>
        <w:rPr>
          <w:rStyle w:val="10"/>
          <w:rFonts w:ascii="Book Antiqua" w:hAnsi="Book Antiqua"/>
        </w:rPr>
        <w:t>https://www.medscape.com/viewarticle/964358</w:t>
      </w:r>
      <w:r>
        <w:rPr>
          <w:rStyle w:val="10"/>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Memon S</w:t>
      </w:r>
      <w:r>
        <w:rPr>
          <w:rFonts w:ascii="Book Antiqua" w:hAnsi="Book Antiqua"/>
        </w:rPr>
        <w:t xml:space="preserve">, Chhabra L, Masrur S, Parker MW. Allergic acute coronary syndrome (Kounis syndrome). </w:t>
      </w:r>
      <w:r>
        <w:rPr>
          <w:rFonts w:ascii="Book Antiqua" w:hAnsi="Book Antiqua"/>
          <w:i/>
          <w:iCs/>
        </w:rPr>
        <w:t>Proc (Bayl Univ Med Cent)</w:t>
      </w:r>
      <w:r>
        <w:rPr>
          <w:rFonts w:ascii="Book Antiqua" w:hAnsi="Book Antiqua"/>
        </w:rPr>
        <w:t xml:space="preserve"> 2015; </w:t>
      </w:r>
      <w:r>
        <w:rPr>
          <w:rFonts w:ascii="Book Antiqua" w:hAnsi="Book Antiqua"/>
          <w:b/>
          <w:bCs/>
        </w:rPr>
        <w:t>28</w:t>
      </w:r>
      <w:r>
        <w:rPr>
          <w:rFonts w:ascii="Book Antiqua" w:hAnsi="Book Antiqua"/>
        </w:rPr>
        <w:t>: 358-362 [PMID: 26130889 DOI: 10.1080/08998280.2015.11929274]</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John CV</w:t>
      </w:r>
      <w:r>
        <w:rPr>
          <w:rFonts w:ascii="Book Antiqua" w:hAnsi="Book Antiqua"/>
        </w:rPr>
        <w:t xml:space="preserve">, Kumar R, Sivan AK, Jithin S, Abraham R, Philip CC. Vaccine-induced thrombotic thrombocytopenia (VITT): first report from India. </w:t>
      </w:r>
      <w:r>
        <w:rPr>
          <w:rFonts w:ascii="Book Antiqua" w:hAnsi="Book Antiqua"/>
          <w:i/>
          <w:iCs/>
        </w:rPr>
        <w:t>Thromb J</w:t>
      </w:r>
      <w:r>
        <w:rPr>
          <w:rFonts w:ascii="Book Antiqua" w:hAnsi="Book Antiqua"/>
        </w:rPr>
        <w:t xml:space="preserve"> 2022; </w:t>
      </w:r>
      <w:r>
        <w:rPr>
          <w:rFonts w:ascii="Book Antiqua" w:hAnsi="Book Antiqua"/>
          <w:b/>
          <w:bCs/>
        </w:rPr>
        <w:t>20</w:t>
      </w:r>
      <w:r>
        <w:rPr>
          <w:rFonts w:ascii="Book Antiqua" w:hAnsi="Book Antiqua"/>
        </w:rPr>
        <w:t>: 11 [PMID: 35246163 DOI: 10.1186/s12959-022-00370-6]</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Sellaturay P</w:t>
      </w:r>
      <w:r>
        <w:rPr>
          <w:rFonts w:ascii="Book Antiqua" w:hAnsi="Book Antiqua"/>
        </w:rPr>
        <w:t xml:space="preserve">, Gurugama P, Harper V, Dymond T, Ewan P, Nasser S. The Polysorbate containing AstraZeneca COVID-19 vaccine is tolerated by polyethylene glycol (PEG) allergic patients. </w:t>
      </w:r>
      <w:r>
        <w:rPr>
          <w:rFonts w:ascii="Book Antiqua" w:hAnsi="Book Antiqua"/>
          <w:i/>
          <w:iCs/>
        </w:rPr>
        <w:t>Clin Exp Allergy</w:t>
      </w:r>
      <w:r>
        <w:rPr>
          <w:rFonts w:ascii="Book Antiqua" w:hAnsi="Book Antiqua"/>
        </w:rPr>
        <w:t xml:space="preserve"> 2022; </w:t>
      </w:r>
      <w:r>
        <w:rPr>
          <w:rFonts w:ascii="Book Antiqua" w:hAnsi="Book Antiqua"/>
          <w:b/>
          <w:bCs/>
        </w:rPr>
        <w:t>52</w:t>
      </w:r>
      <w:r>
        <w:rPr>
          <w:rFonts w:ascii="Book Antiqua" w:hAnsi="Book Antiqua"/>
        </w:rPr>
        <w:t>: 12-17 [PMID: 34822190 DOI: 10.1111/cea.14064]</w:t>
      </w:r>
    </w:p>
    <w:p>
      <w:pPr>
        <w:snapToGrid w:val="0"/>
        <w:spacing w:line="360" w:lineRule="auto"/>
        <w:rPr>
          <w:rFonts w:ascii="Book Antiqua" w:hAnsi="Book Antiqua"/>
        </w:rPr>
      </w:pPr>
      <w:r>
        <w:rPr>
          <w:rFonts w:ascii="Book Antiqua" w:hAnsi="Book Antiqua"/>
        </w:rPr>
        <w:br w:type="page"/>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napToGrid w:val="0"/>
        <w:spacing w:line="360" w:lineRule="auto"/>
        <w:jc w:val="both"/>
        <w:rPr>
          <w:rFonts w:ascii="Book Antiqua" w:hAnsi="Book Antiqua"/>
        </w:rPr>
      </w:pPr>
    </w:p>
    <w:p>
      <w:pPr>
        <w:adjustRightInd w:val="0"/>
        <w:snapToGrid w:val="0"/>
        <w:spacing w:line="360" w:lineRule="auto"/>
        <w:ind w:right="-7"/>
        <w:jc w:val="both"/>
        <w:rPr>
          <w:rFonts w:ascii="Book Antiqua" w:hAnsi="Book Antiqua"/>
          <w:b/>
          <w:color w:val="000000"/>
        </w:rPr>
      </w:pPr>
      <w:r>
        <w:rPr>
          <w:rFonts w:ascii="Book Antiqua" w:hAnsi="Book Antiqua"/>
          <w:b/>
          <w:color w:val="000000"/>
        </w:rPr>
        <w:t>PRISMA 2009 Checklist statement</w:t>
      </w:r>
      <w:r>
        <w:rPr>
          <w:rFonts w:ascii="Book Antiqua" w:hAnsi="Book Antiqua" w:cs="TimesNewRomanPS-BoldItalicMT"/>
          <w:b/>
          <w:bCs/>
          <w:iCs/>
          <w:color w:val="000000"/>
        </w:rPr>
        <w:t>:</w:t>
      </w:r>
      <w:r>
        <w:rPr>
          <w:rFonts w:ascii="Book Antiqua" w:hAnsi="Book Antiqua"/>
          <w:b/>
          <w:color w:val="000000"/>
        </w:rPr>
        <w:t xml:space="preserve"> </w:t>
      </w:r>
      <w:r>
        <w:rPr>
          <w:rFonts w:ascii="Book Antiqua" w:hAnsi="Book Antiqua"/>
          <w:color w:val="000000"/>
        </w:rPr>
        <w:t>The authors have read the PRISMA 2009 Checklist, and the manuscript was prepared and revised in accordance with this checklist.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Physiological Society, No. 00199119; and Pakistan Biological Safety Association, No. 1032.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30, 2022</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2022</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 2022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Cardiac and Cardiovascular Systems</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Pakistan</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snapToGrid w:val="0"/>
        <w:spacing w:line="360" w:lineRule="auto"/>
        <w:jc w:val="both"/>
        <w:rPr>
          <w:rFonts w:ascii="Book Antiqua" w:hAnsi="Book Antiqua"/>
        </w:rPr>
      </w:pPr>
      <w:r>
        <w:rPr>
          <w:rFonts w:ascii="Book Antiqua" w:hAnsi="Book Antiqua" w:eastAsia="Book Antiqua" w:cs="Book Antiqua"/>
          <w:color w:val="000000"/>
        </w:rPr>
        <w:t>Grade C (Good): C, C</w:t>
      </w:r>
    </w:p>
    <w:p>
      <w:pPr>
        <w:snapToGrid w:val="0"/>
        <w:spacing w:line="360" w:lineRule="auto"/>
        <w:jc w:val="both"/>
        <w:rPr>
          <w:rFonts w:ascii="Book Antiqua" w:hAnsi="Book Antiqua"/>
        </w:rPr>
      </w:pPr>
      <w:r>
        <w:rPr>
          <w:rFonts w:ascii="Book Antiqua" w:hAnsi="Book Antiqua" w:eastAsia="Book Antiqua" w:cs="Book Antiqua"/>
          <w:color w:val="000000"/>
        </w:rPr>
        <w:t>Grade D (Fair): 0</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Kirkik D, Turkey; Krishnamoorthy Y, India; Munteanu C, Romania</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Gong ZM</w:t>
      </w:r>
    </w:p>
    <w:p>
      <w:pPr>
        <w:snapToGrid w:val="0"/>
        <w:spacing w:line="360" w:lineRule="auto"/>
        <w:rPr>
          <w:rFonts w:ascii="Book Antiqua" w:hAnsi="Book Antiqua" w:eastAsia="Book Antiqua" w:cs="Book Antiqua"/>
          <w:b/>
          <w:color w:val="000000"/>
        </w:rPr>
      </w:pPr>
      <w:r>
        <w:rPr>
          <w:rFonts w:ascii="Book Antiqua" w:hAnsi="Book Antiqua" w:eastAsia="Book Antiqua" w:cs="Book Antiqua"/>
          <w:b/>
          <w:color w:val="000000"/>
        </w:rPr>
        <w:br w:type="page"/>
      </w:r>
    </w:p>
    <w:p>
      <w:pPr>
        <w:widowControl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widowControl w:val="0"/>
        <w:snapToGrid w:val="0"/>
        <w:spacing w:line="360" w:lineRule="auto"/>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839335" cy="4660900"/>
            <wp:effectExtent l="0" t="0" r="6985" b="2540"/>
            <wp:docPr id="2" name="图片 2" descr="WJCC-10-1010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0109-g001"/>
                    <pic:cNvPicPr>
                      <a:picLocks noChangeAspect="1"/>
                    </pic:cNvPicPr>
                  </pic:nvPicPr>
                  <pic:blipFill>
                    <a:blip r:embed="rId5"/>
                    <a:stretch>
                      <a:fillRect/>
                    </a:stretch>
                  </pic:blipFill>
                  <pic:spPr>
                    <a:xfrm>
                      <a:off x="0" y="0"/>
                      <a:ext cx="4839335" cy="4660900"/>
                    </a:xfrm>
                    <a:prstGeom prst="rect">
                      <a:avLst/>
                    </a:prstGeom>
                  </pic:spPr>
                </pic:pic>
              </a:graphicData>
            </a:graphic>
          </wp:inline>
        </w:drawing>
      </w:r>
    </w:p>
    <w:p>
      <w:pPr>
        <w:widowControl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1 PRISMA flow chart showing the selection process. </w:t>
      </w:r>
      <w:r>
        <w:rPr>
          <w:rFonts w:ascii="Book Antiqua" w:hAnsi="Book Antiqua" w:eastAsia="Book Antiqua" w:cs="Book Antiqua"/>
          <w:bCs/>
          <w:color w:val="000000"/>
        </w:rPr>
        <w:t xml:space="preserve">ACE2: Angiotensin-converting enzyme 2; SARS-CoV-2: Severe </w:t>
      </w:r>
      <w:r>
        <w:rPr>
          <w:rFonts w:ascii="Book Antiqua" w:hAnsi="Book Antiqua" w:eastAsia="Book Antiqua" w:cs="Book Antiqua"/>
          <w:color w:val="000000"/>
        </w:rPr>
        <w:t>acute respiratory syndrome coronavirus 2; COVID-19: Coronavirus disease 2019.</w:t>
      </w:r>
    </w:p>
    <w:p>
      <w:pPr>
        <w:snapToGrid w:val="0"/>
        <w:spacing w:line="360" w:lineRule="auto"/>
        <w:rPr>
          <w:rFonts w:ascii="Book Antiqua" w:hAnsi="Book Antiqua" w:eastAsia="Book Antiqua" w:cs="Book Antiqua"/>
          <w:color w:val="000000"/>
        </w:rPr>
      </w:pPr>
      <w:r>
        <w:rPr>
          <w:rFonts w:ascii="Book Antiqua" w:hAnsi="Book Antiqua" w:eastAsia="Book Antiqua" w:cs="Book Antiqua"/>
          <w:color w:val="000000"/>
        </w:rPr>
        <w:br w:type="page"/>
      </w:r>
    </w:p>
    <w:p>
      <w:pPr>
        <w:widowControl w:val="0"/>
        <w:snapToGrid w:val="0"/>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178935" cy="2781935"/>
            <wp:effectExtent l="0" t="0" r="12065" b="6985"/>
            <wp:docPr id="3" name="图片 3" descr="WJCC-10-1010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0109-g002"/>
                    <pic:cNvPicPr>
                      <a:picLocks noChangeAspect="1"/>
                    </pic:cNvPicPr>
                  </pic:nvPicPr>
                  <pic:blipFill>
                    <a:blip r:embed="rId6"/>
                    <a:stretch>
                      <a:fillRect/>
                    </a:stretch>
                  </pic:blipFill>
                  <pic:spPr>
                    <a:xfrm>
                      <a:off x="0" y="0"/>
                      <a:ext cx="4178935" cy="2781935"/>
                    </a:xfrm>
                    <a:prstGeom prst="rect">
                      <a:avLst/>
                    </a:prstGeom>
                  </pic:spPr>
                </pic:pic>
              </a:graphicData>
            </a:graphic>
          </wp:inline>
        </w:drawing>
      </w:r>
    </w:p>
    <w:p>
      <w:pPr>
        <w:widowControl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2 Frequency of vaccines given to subjects in each study.</w:t>
      </w:r>
    </w:p>
    <w:p>
      <w:pPr>
        <w:snapToGrid w:val="0"/>
        <w:spacing w:line="360" w:lineRule="auto"/>
        <w:rPr>
          <w:rFonts w:ascii="Book Antiqua" w:hAnsi="Book Antiqua" w:eastAsia="Book Antiqua" w:cs="Book Antiqua"/>
          <w:b/>
          <w:color w:val="000000"/>
        </w:rPr>
      </w:pPr>
      <w:r>
        <w:rPr>
          <w:rFonts w:ascii="Book Antiqua" w:hAnsi="Book Antiqua" w:eastAsia="Book Antiqua" w:cs="Book Antiqua"/>
          <w:b/>
          <w:color w:val="000000"/>
        </w:rPr>
        <w:br w:type="page"/>
      </w:r>
    </w:p>
    <w:p>
      <w:pPr>
        <w:widowControl w:val="0"/>
        <w:snapToGrid w:val="0"/>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481195" cy="4973320"/>
            <wp:effectExtent l="0" t="0" r="14605" b="10160"/>
            <wp:docPr id="4" name="图片 4" descr="WJCC-10-1010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0109-g003"/>
                    <pic:cNvPicPr>
                      <a:picLocks noChangeAspect="1"/>
                    </pic:cNvPicPr>
                  </pic:nvPicPr>
                  <pic:blipFill>
                    <a:blip r:embed="rId7"/>
                    <a:stretch>
                      <a:fillRect/>
                    </a:stretch>
                  </pic:blipFill>
                  <pic:spPr>
                    <a:xfrm>
                      <a:off x="0" y="0"/>
                      <a:ext cx="4481195" cy="4973320"/>
                    </a:xfrm>
                    <a:prstGeom prst="rect">
                      <a:avLst/>
                    </a:prstGeom>
                  </pic:spPr>
                </pic:pic>
              </a:graphicData>
            </a:graphic>
          </wp:inline>
        </w:drawing>
      </w:r>
    </w:p>
    <w:p>
      <w:pPr>
        <w:widowControl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3 Characteristics of research studies analyzed.</w:t>
      </w:r>
      <w:r>
        <w:rPr>
          <w:rFonts w:ascii="Book Antiqua" w:hAnsi="Book Antiqua" w:cs="Book Antiqua"/>
          <w:b/>
          <w:color w:val="000000"/>
          <w:lang w:eastAsia="zh-CN"/>
        </w:rPr>
        <w:t xml:space="preserve"> </w:t>
      </w:r>
      <w:r>
        <w:rPr>
          <w:rFonts w:ascii="Book Antiqua" w:hAnsi="Book Antiqua" w:eastAsia="Book Antiqua" w:cs="Book Antiqua"/>
          <w:bCs/>
          <w:color w:val="000000"/>
        </w:rPr>
        <w:t>A:</w:t>
      </w:r>
      <w:r>
        <w:rPr>
          <w:rFonts w:ascii="Book Antiqua" w:hAnsi="Book Antiqua" w:eastAsia="Book Antiqua" w:cs="Book Antiqua"/>
          <w:color w:val="000000"/>
        </w:rPr>
        <w:t xml:space="preserve"> Doses of vaccines given to subjects/participants in studies analyzed; </w:t>
      </w:r>
      <w:r>
        <w:rPr>
          <w:rFonts w:ascii="Book Antiqua" w:hAnsi="Book Antiqua" w:eastAsia="Book Antiqua" w:cs="Book Antiqua"/>
          <w:bCs/>
          <w:color w:val="000000"/>
        </w:rPr>
        <w:t>B:</w:t>
      </w:r>
      <w:r>
        <w:rPr>
          <w:rFonts w:ascii="Book Antiqua" w:hAnsi="Book Antiqua" w:eastAsia="Book Antiqua" w:cs="Book Antiqua"/>
          <w:color w:val="000000"/>
        </w:rPr>
        <w:t xml:space="preserve"> Percentage/frequencies of types of myocardial infarction reported in studies analyzed; </w:t>
      </w:r>
      <w:r>
        <w:rPr>
          <w:rFonts w:ascii="Book Antiqua" w:hAnsi="Book Antiqua" w:eastAsia="Book Antiqua" w:cs="Book Antiqua"/>
          <w:bCs/>
          <w:color w:val="000000"/>
        </w:rPr>
        <w:t>C:</w:t>
      </w:r>
      <w:r>
        <w:rPr>
          <w:rFonts w:ascii="Book Antiqua" w:hAnsi="Book Antiqua" w:eastAsia="Book Antiqua" w:cs="Book Antiqua"/>
          <w:color w:val="000000"/>
        </w:rPr>
        <w:t xml:space="preserve"> Type of studies analyzed; </w:t>
      </w:r>
      <w:r>
        <w:rPr>
          <w:rFonts w:ascii="Book Antiqua" w:hAnsi="Book Antiqua" w:eastAsia="Book Antiqua" w:cs="Book Antiqua"/>
          <w:bCs/>
          <w:color w:val="000000"/>
        </w:rPr>
        <w:t xml:space="preserve">D: </w:t>
      </w:r>
      <w:r>
        <w:rPr>
          <w:rFonts w:ascii="Book Antiqua" w:hAnsi="Book Antiqua" w:eastAsia="Book Antiqua" w:cs="Book Antiqua"/>
          <w:color w:val="000000"/>
        </w:rPr>
        <w:t>Mortality status of subjects/participants in various studies after suffering from myocardial infarction post-vaccination. MI: Myocardial infarction; STEMI: ST-segment elevated myocardial infarction; NSTEMI: Non-ST-segment elevated myocardial infarction.</w:t>
      </w:r>
    </w:p>
    <w:p>
      <w:pPr>
        <w:snapToGrid w:val="0"/>
        <w:spacing w:line="360" w:lineRule="auto"/>
        <w:rPr>
          <w:rFonts w:ascii="Book Antiqua" w:hAnsi="Book Antiqua"/>
          <w:lang w:eastAsia="zh-CN"/>
        </w:rPr>
      </w:pPr>
      <w:r>
        <w:rPr>
          <w:rFonts w:ascii="Book Antiqua" w:hAnsi="Book Antiqua"/>
          <w:lang w:eastAsia="zh-CN"/>
        </w:rPr>
        <w:br w:type="page"/>
      </w:r>
    </w:p>
    <w:p>
      <w:pPr>
        <w:widowControl w:val="0"/>
        <w:snapToGrid w:val="0"/>
        <w:spacing w:line="360" w:lineRule="auto"/>
        <w:jc w:val="both"/>
        <w:rPr>
          <w:rFonts w:hint="eastAsia" w:ascii="Book Antiqua" w:hAnsi="Book Antiqua" w:eastAsia="宋体" w:cs="Book Antiqua"/>
          <w:color w:val="000000"/>
          <w:lang w:eastAsia="zh-CN"/>
        </w:rPr>
      </w:pPr>
      <w:bookmarkStart w:id="0" w:name="_GoBack"/>
      <w:r>
        <w:rPr>
          <w:rFonts w:hint="eastAsia" w:ascii="Book Antiqua" w:hAnsi="Book Antiqua" w:eastAsia="宋体" w:cs="Book Antiqua"/>
          <w:color w:val="000000"/>
          <w:lang w:eastAsia="zh-CN"/>
        </w:rPr>
        <w:drawing>
          <wp:inline distT="0" distB="0" distL="114300" distR="114300">
            <wp:extent cx="5938520" cy="3090545"/>
            <wp:effectExtent l="0" t="0" r="5080" b="3175"/>
            <wp:docPr id="6" name="图片 6" descr="WJCC-10-10109-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CC-10-10109-g004"/>
                    <pic:cNvPicPr>
                      <a:picLocks noChangeAspect="1"/>
                    </pic:cNvPicPr>
                  </pic:nvPicPr>
                  <pic:blipFill>
                    <a:blip r:embed="rId8"/>
                    <a:stretch>
                      <a:fillRect/>
                    </a:stretch>
                  </pic:blipFill>
                  <pic:spPr>
                    <a:xfrm>
                      <a:off x="0" y="0"/>
                      <a:ext cx="5938520" cy="3090545"/>
                    </a:xfrm>
                    <a:prstGeom prst="rect">
                      <a:avLst/>
                    </a:prstGeom>
                  </pic:spPr>
                </pic:pic>
              </a:graphicData>
            </a:graphic>
          </wp:inline>
        </w:drawing>
      </w:r>
      <w:bookmarkEnd w:id="0"/>
    </w:p>
    <w:p>
      <w:pPr>
        <w:widowControl w:val="0"/>
        <w:snapToGrid w:val="0"/>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Figure 4 Frequency of studies reporting myocardial infarction after coronavirus disease 2019 vaccination in different countries.</w:t>
      </w:r>
    </w:p>
    <w:p>
      <w:pPr>
        <w:snapToGrid w:val="0"/>
        <w:spacing w:line="360" w:lineRule="auto"/>
        <w:rPr>
          <w:rFonts w:ascii="Book Antiqua" w:hAnsi="Book Antiqua" w:eastAsia="Times New Roman"/>
          <w:b/>
          <w:color w:val="000000" w:themeColor="text1"/>
          <w:lang w:eastAsia="en-GB"/>
          <w14:textFill>
            <w14:solidFill>
              <w14:schemeClr w14:val="tx1"/>
            </w14:solidFill>
          </w14:textFill>
        </w:rPr>
      </w:pPr>
      <w:r>
        <w:rPr>
          <w:rFonts w:ascii="Book Antiqua" w:hAnsi="Book Antiqua"/>
          <w:b/>
          <w:i/>
          <w:iCs/>
          <w:color w:val="000000" w:themeColor="text1"/>
          <w14:textFill>
            <w14:solidFill>
              <w14:schemeClr w14:val="tx1"/>
            </w14:solidFill>
          </w14:textFill>
        </w:rPr>
        <w:br w:type="page"/>
      </w:r>
    </w:p>
    <w:p>
      <w:pPr>
        <w:pStyle w:val="2"/>
        <w:widowControl w:val="0"/>
        <w:snapToGrid w:val="0"/>
        <w:spacing w:after="0" w:line="360" w:lineRule="auto"/>
        <w:jc w:val="both"/>
        <w:rPr>
          <w:rFonts w:ascii="Book Antiqua" w:hAnsi="Book Antiqua"/>
          <w:b/>
          <w:i w:val="0"/>
          <w:iCs w:val="0"/>
          <w:color w:val="000000" w:themeColor="text1"/>
          <w:sz w:val="24"/>
          <w:szCs w:val="24"/>
          <w14:textFill>
            <w14:solidFill>
              <w14:schemeClr w14:val="tx1"/>
            </w14:solidFill>
          </w14:textFill>
        </w:rPr>
      </w:pPr>
      <w:r>
        <w:rPr>
          <w:rFonts w:ascii="Book Antiqua" w:hAnsi="Book Antiqua"/>
          <w:b/>
          <w:i w:val="0"/>
          <w:iCs w:val="0"/>
          <w:color w:val="000000" w:themeColor="text1"/>
          <w:sz w:val="24"/>
          <w:szCs w:val="24"/>
          <w14:textFill>
            <w14:solidFill>
              <w14:schemeClr w14:val="tx1"/>
            </w14:solidFill>
          </w14:textFill>
        </w:rPr>
        <w:t xml:space="preserve">Table </w:t>
      </w:r>
      <w:r>
        <w:rPr>
          <w:rFonts w:ascii="Book Antiqua" w:hAnsi="Book Antiqua"/>
          <w:b/>
          <w:i w:val="0"/>
          <w:iCs w:val="0"/>
          <w:color w:val="000000" w:themeColor="text1"/>
          <w:sz w:val="24"/>
          <w:szCs w:val="24"/>
          <w14:textFill>
            <w14:solidFill>
              <w14:schemeClr w14:val="tx1"/>
            </w14:solidFill>
          </w14:textFill>
        </w:rPr>
        <w:fldChar w:fldCharType="begin"/>
      </w:r>
      <w:r>
        <w:rPr>
          <w:rFonts w:ascii="Book Antiqua" w:hAnsi="Book Antiqua"/>
          <w:b/>
          <w:i w:val="0"/>
          <w:iCs w:val="0"/>
          <w:color w:val="000000" w:themeColor="text1"/>
          <w:sz w:val="24"/>
          <w:szCs w:val="24"/>
          <w14:textFill>
            <w14:solidFill>
              <w14:schemeClr w14:val="tx1"/>
            </w14:solidFill>
          </w14:textFill>
        </w:rPr>
        <w:instrText xml:space="preserve"> SEQ Table \* ARABIC </w:instrText>
      </w:r>
      <w:r>
        <w:rPr>
          <w:rFonts w:ascii="Book Antiqua" w:hAnsi="Book Antiqua"/>
          <w:b/>
          <w:i w:val="0"/>
          <w:iCs w:val="0"/>
          <w:color w:val="000000" w:themeColor="text1"/>
          <w:sz w:val="24"/>
          <w:szCs w:val="24"/>
          <w14:textFill>
            <w14:solidFill>
              <w14:schemeClr w14:val="tx1"/>
            </w14:solidFill>
          </w14:textFill>
        </w:rPr>
        <w:fldChar w:fldCharType="separate"/>
      </w:r>
      <w:r>
        <w:rPr>
          <w:rFonts w:ascii="Book Antiqua" w:hAnsi="Book Antiqua"/>
          <w:b/>
          <w:i w:val="0"/>
          <w:iCs w:val="0"/>
          <w:color w:val="000000" w:themeColor="text1"/>
          <w:sz w:val="24"/>
          <w:szCs w:val="24"/>
          <w14:textFill>
            <w14:solidFill>
              <w14:schemeClr w14:val="tx1"/>
            </w14:solidFill>
          </w14:textFill>
        </w:rPr>
        <w:t>1</w:t>
      </w:r>
      <w:r>
        <w:rPr>
          <w:rFonts w:ascii="Book Antiqua" w:hAnsi="Book Antiqua"/>
          <w:b/>
          <w:i w:val="0"/>
          <w:iCs w:val="0"/>
          <w:color w:val="000000" w:themeColor="text1"/>
          <w:sz w:val="24"/>
          <w:szCs w:val="24"/>
          <w14:textFill>
            <w14:solidFill>
              <w14:schemeClr w14:val="tx1"/>
            </w14:solidFill>
          </w14:textFill>
        </w:rPr>
        <w:fldChar w:fldCharType="end"/>
      </w:r>
      <w:r>
        <w:rPr>
          <w:rFonts w:ascii="Book Antiqua" w:hAnsi="Book Antiqua"/>
          <w:b/>
          <w:i w:val="0"/>
          <w:iCs w:val="0"/>
          <w:color w:val="000000" w:themeColor="text1"/>
          <w:sz w:val="24"/>
          <w:szCs w:val="24"/>
          <w14:textFill>
            <w14:solidFill>
              <w14:schemeClr w14:val="tx1"/>
            </w14:solidFill>
          </w14:textFill>
        </w:rPr>
        <w:t xml:space="preserve"> Concept table for building the search strategy</w:t>
      </w:r>
    </w:p>
    <w:tbl>
      <w:tblPr>
        <w:tblStyle w:val="14"/>
        <w:tblW w:w="972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0"/>
        <w:gridCol w:w="2432"/>
        <w:gridCol w:w="1860"/>
        <w:gridCol w:w="2146"/>
        <w:gridCol w:w="17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70" w:type="dxa"/>
            <w:vMerge w:val="restart"/>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r>
              <w:rPr>
                <w:rFonts w:ascii="Book Antiqua" w:hAnsi="Book Antiqua" w:cs="Times New Roman"/>
                <w:b/>
                <w:bCs/>
                <w:lang w:val="en-US"/>
              </w:rPr>
              <w:t>Key concepts</w:t>
            </w:r>
          </w:p>
        </w:tc>
        <w:tc>
          <w:tcPr>
            <w:tcW w:w="2432"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r>
              <w:rPr>
                <w:rFonts w:ascii="Book Antiqua" w:hAnsi="Book Antiqua" w:cs="Times New Roman"/>
                <w:b/>
                <w:bCs/>
                <w:lang w:val="en-US"/>
              </w:rPr>
              <w:t>Concept 1</w:t>
            </w:r>
          </w:p>
        </w:tc>
        <w:tc>
          <w:tcPr>
            <w:tcW w:w="1860"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r>
              <w:rPr>
                <w:rFonts w:ascii="Book Antiqua" w:hAnsi="Book Antiqua" w:cs="Times New Roman"/>
                <w:b/>
                <w:bCs/>
                <w:lang w:val="en-US"/>
              </w:rPr>
              <w:t>Concept 2</w:t>
            </w:r>
          </w:p>
        </w:tc>
        <w:tc>
          <w:tcPr>
            <w:tcW w:w="2146"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r>
              <w:rPr>
                <w:rFonts w:ascii="Book Antiqua" w:hAnsi="Book Antiqua" w:cs="Times New Roman"/>
                <w:b/>
                <w:bCs/>
                <w:lang w:val="en-US"/>
              </w:rPr>
              <w:t>Concept 3</w:t>
            </w:r>
          </w:p>
        </w:tc>
        <w:tc>
          <w:tcPr>
            <w:tcW w:w="1717"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r>
              <w:rPr>
                <w:rFonts w:ascii="Book Antiqua" w:hAnsi="Book Antiqua" w:cs="Times New Roman"/>
                <w:b/>
                <w:bCs/>
                <w:lang w:val="en-US"/>
              </w:rPr>
              <w:t>Concept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exact"/>
        </w:trPr>
        <w:tc>
          <w:tcPr>
            <w:tcW w:w="1570" w:type="dxa"/>
            <w:vMerge w:val="continue"/>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p>
        </w:tc>
        <w:tc>
          <w:tcPr>
            <w:tcW w:w="2432"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bCs/>
                <w:lang w:val="en-US"/>
              </w:rPr>
            </w:pPr>
            <w:r>
              <w:rPr>
                <w:rFonts w:ascii="Book Antiqua" w:hAnsi="Book Antiqua" w:cs="Times New Roman"/>
                <w:b/>
                <w:lang w:val="en-US"/>
              </w:rPr>
              <w:t>COVID-19</w:t>
            </w:r>
          </w:p>
        </w:tc>
        <w:tc>
          <w:tcPr>
            <w:tcW w:w="1860"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lang w:val="en-US"/>
              </w:rPr>
            </w:pPr>
            <w:r>
              <w:rPr>
                <w:rFonts w:ascii="Book Antiqua" w:hAnsi="Book Antiqua" w:cs="Times New Roman"/>
                <w:b/>
                <w:lang w:val="en-US"/>
              </w:rPr>
              <w:t>Vaccines</w:t>
            </w:r>
          </w:p>
          <w:p>
            <w:pPr>
              <w:widowControl w:val="0"/>
              <w:snapToGrid w:val="0"/>
              <w:spacing w:line="360" w:lineRule="auto"/>
              <w:jc w:val="both"/>
              <w:rPr>
                <w:rFonts w:ascii="Book Antiqua" w:hAnsi="Book Antiqua" w:cs="Times New Roman"/>
                <w:b/>
                <w:bCs/>
                <w:lang w:val="en-US"/>
              </w:rPr>
            </w:pPr>
          </w:p>
        </w:tc>
        <w:tc>
          <w:tcPr>
            <w:tcW w:w="2146"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lang w:val="en-US"/>
              </w:rPr>
            </w:pPr>
            <w:r>
              <w:rPr>
                <w:rFonts w:ascii="Book Antiqua" w:hAnsi="Book Antiqua" w:cs="Times New Roman"/>
                <w:b/>
                <w:lang w:val="en-US"/>
              </w:rPr>
              <w:t>Myocardial infarction</w:t>
            </w:r>
          </w:p>
          <w:p>
            <w:pPr>
              <w:widowControl w:val="0"/>
              <w:snapToGrid w:val="0"/>
              <w:spacing w:line="360" w:lineRule="auto"/>
              <w:jc w:val="both"/>
              <w:rPr>
                <w:rFonts w:ascii="Book Antiqua" w:hAnsi="Book Antiqua" w:cs="Times New Roman"/>
                <w:b/>
                <w:bCs/>
                <w:lang w:val="en-US"/>
              </w:rPr>
            </w:pPr>
          </w:p>
        </w:tc>
        <w:tc>
          <w:tcPr>
            <w:tcW w:w="1717" w:type="dxa"/>
            <w:tcBorders>
              <w:top w:val="single" w:color="auto" w:sz="4" w:space="0"/>
              <w:bottom w:val="single" w:color="auto" w:sz="4" w:space="0"/>
            </w:tcBorders>
          </w:tcPr>
          <w:p>
            <w:pPr>
              <w:widowControl w:val="0"/>
              <w:snapToGrid w:val="0"/>
              <w:spacing w:line="360" w:lineRule="auto"/>
              <w:jc w:val="both"/>
              <w:rPr>
                <w:rFonts w:ascii="Book Antiqua" w:hAnsi="Book Antiqua" w:cs="Times New Roman"/>
                <w:b/>
                <w:lang w:val="en-US"/>
              </w:rPr>
            </w:pPr>
            <w:r>
              <w:rPr>
                <w:rFonts w:ascii="Book Antiqua" w:hAnsi="Book Antiqua" w:cs="Times New Roman"/>
                <w:b/>
                <w:lang w:val="en-US"/>
              </w:rPr>
              <w:t>Link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570" w:type="dxa"/>
            <w:vMerge w:val="restart"/>
            <w:tcBorders>
              <w:top w:val="single" w:color="auto" w:sz="4" w:space="0"/>
            </w:tcBorders>
          </w:tcPr>
          <w:p>
            <w:pPr>
              <w:widowControl w:val="0"/>
              <w:snapToGrid w:val="0"/>
              <w:spacing w:line="360" w:lineRule="auto"/>
              <w:jc w:val="both"/>
              <w:rPr>
                <w:rFonts w:ascii="Book Antiqua" w:hAnsi="Book Antiqua" w:cs="Times New Roman"/>
                <w:bCs/>
                <w:lang w:val="en-US"/>
              </w:rPr>
            </w:pPr>
            <w:r>
              <w:rPr>
                <w:rFonts w:ascii="Book Antiqua" w:hAnsi="Book Antiqua" w:cs="Times New Roman"/>
                <w:bCs/>
                <w:lang w:val="en-US"/>
              </w:rPr>
              <w:t>Free text terms</w:t>
            </w:r>
          </w:p>
        </w:tc>
        <w:tc>
          <w:tcPr>
            <w:tcW w:w="2432" w:type="dxa"/>
            <w:vMerge w:val="restart"/>
            <w:tcBorders>
              <w:top w:val="single" w:color="auto" w:sz="4" w:space="0"/>
            </w:tcBorders>
          </w:tcPr>
          <w:p>
            <w:pPr>
              <w:widowControl w:val="0"/>
              <w:snapToGrid w:val="0"/>
              <w:spacing w:line="360" w:lineRule="auto"/>
              <w:jc w:val="both"/>
              <w:rPr>
                <w:rFonts w:ascii="Book Antiqua" w:hAnsi="Book Antiqua" w:cs="Times New Roman"/>
                <w:lang w:val="en-US"/>
              </w:rPr>
            </w:pPr>
          </w:p>
        </w:tc>
        <w:tc>
          <w:tcPr>
            <w:tcW w:w="1860" w:type="dxa"/>
            <w:tcBorders>
              <w:top w:val="single" w:color="auto" w:sz="4" w:space="0"/>
            </w:tcBorders>
          </w:tcPr>
          <w:p>
            <w:pPr>
              <w:widowControl w:val="0"/>
              <w:snapToGrid w:val="0"/>
              <w:spacing w:line="360" w:lineRule="auto"/>
              <w:jc w:val="both"/>
              <w:rPr>
                <w:rFonts w:ascii="Book Antiqua" w:hAnsi="Book Antiqua" w:cs="Times New Roman"/>
                <w:lang w:val="en-US"/>
              </w:rPr>
            </w:pPr>
            <w:r>
              <w:rPr>
                <w:rFonts w:ascii="Book Antiqua" w:hAnsi="Book Antiqua" w:cs="Times New Roman"/>
                <w:lang w:val="en-US"/>
              </w:rPr>
              <w:t>Vaccination</w:t>
            </w:r>
          </w:p>
        </w:tc>
        <w:tc>
          <w:tcPr>
            <w:tcW w:w="2146" w:type="dxa"/>
            <w:vMerge w:val="restart"/>
            <w:tcBorders>
              <w:top w:val="single" w:color="auto" w:sz="4" w:space="0"/>
            </w:tcBorders>
          </w:tcPr>
          <w:p>
            <w:pPr>
              <w:widowControl w:val="0"/>
              <w:snapToGrid w:val="0"/>
              <w:spacing w:line="360" w:lineRule="auto"/>
              <w:jc w:val="both"/>
              <w:rPr>
                <w:rFonts w:ascii="Book Antiqua" w:hAnsi="Book Antiqua" w:cs="Times New Roman"/>
                <w:lang w:val="en-US" w:eastAsia="zh-CN"/>
              </w:rPr>
            </w:pPr>
            <w:r>
              <w:rPr>
                <w:rFonts w:ascii="Book Antiqua" w:hAnsi="Book Antiqua" w:cs="Times New Roman"/>
                <w:lang w:val="en-US" w:eastAsia="zh-CN"/>
              </w:rPr>
              <w:t>Heart attack</w:t>
            </w:r>
          </w:p>
        </w:tc>
        <w:tc>
          <w:tcPr>
            <w:tcW w:w="1717" w:type="dxa"/>
            <w:tcBorders>
              <w:top w:val="single" w:color="auto" w:sz="4" w:space="0"/>
            </w:tcBorders>
          </w:tcPr>
          <w:p>
            <w:pPr>
              <w:widowControl w:val="0"/>
              <w:snapToGrid w:val="0"/>
              <w:spacing w:line="360" w:lineRule="auto"/>
              <w:jc w:val="both"/>
              <w:rPr>
                <w:rFonts w:ascii="Book Antiqua" w:hAnsi="Book Antiqua" w:cs="Times New Roman"/>
                <w:lang w:val="en-US" w:eastAsia="zh-CN"/>
              </w:rPr>
            </w:pPr>
            <w:r>
              <w:rPr>
                <w:rFonts w:ascii="Book Antiqua" w:hAnsi="Book Antiqua" w:cs="Times New Roman"/>
                <w:lang w:val="en-US" w:eastAsia="zh-CN"/>
              </w:rPr>
              <w:t>Relation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lang w:val="en-US"/>
              </w:rPr>
            </w:pPr>
          </w:p>
        </w:tc>
        <w:tc>
          <w:tcPr>
            <w:tcW w:w="1860" w:type="dxa"/>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Shot</w:t>
            </w:r>
          </w:p>
        </w:tc>
        <w:tc>
          <w:tcPr>
            <w:tcW w:w="2146" w:type="dxa"/>
            <w:vMerge w:val="continue"/>
          </w:tcPr>
          <w:p>
            <w:pPr>
              <w:widowControl w:val="0"/>
              <w:snapToGrid w:val="0"/>
              <w:spacing w:line="360" w:lineRule="auto"/>
              <w:jc w:val="both"/>
              <w:rPr>
                <w:rFonts w:ascii="Book Antiqua" w:hAnsi="Book Antiqua" w:cstheme="minorBidi"/>
                <w:lang w:val="en-US" w:eastAsia="zh-CN"/>
              </w:rPr>
            </w:pPr>
          </w:p>
        </w:tc>
        <w:tc>
          <w:tcPr>
            <w:tcW w:w="1717" w:type="dxa"/>
            <w:vMerge w:val="restart"/>
          </w:tcPr>
          <w:p>
            <w:pPr>
              <w:widowControl w:val="0"/>
              <w:snapToGrid w:val="0"/>
              <w:spacing w:line="360" w:lineRule="auto"/>
              <w:jc w:val="both"/>
              <w:rPr>
                <w:rFonts w:ascii="Book Antiqua" w:hAnsi="Book Antiqua" w:cstheme="minorBidi"/>
                <w:lang w:val="en-US" w:eastAsia="zh-CN"/>
              </w:rPr>
            </w:pPr>
            <w:r>
              <w:rPr>
                <w:rFonts w:ascii="Book Antiqua" w:hAnsi="Book Antiqua" w:cs="Times New Roman"/>
                <w:lang w:val="en-US" w:eastAsia="zh-CN"/>
              </w:rPr>
              <w:t>Interrelation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lang w:val="en-US"/>
              </w:rPr>
            </w:pPr>
          </w:p>
        </w:tc>
        <w:tc>
          <w:tcPr>
            <w:tcW w:w="1860" w:type="dxa"/>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Jab</w:t>
            </w:r>
          </w:p>
        </w:tc>
        <w:tc>
          <w:tcPr>
            <w:tcW w:w="2146" w:type="dxa"/>
            <w:vMerge w:val="continue"/>
          </w:tcPr>
          <w:p>
            <w:pPr>
              <w:widowControl w:val="0"/>
              <w:snapToGrid w:val="0"/>
              <w:spacing w:line="360" w:lineRule="auto"/>
              <w:jc w:val="both"/>
              <w:rPr>
                <w:rFonts w:ascii="Book Antiqua" w:hAnsi="Book Antiqua" w:cstheme="minorBidi"/>
                <w:lang w:val="en-US" w:eastAsia="zh-CN"/>
              </w:rPr>
            </w:pPr>
          </w:p>
        </w:tc>
        <w:tc>
          <w:tcPr>
            <w:tcW w:w="1717" w:type="dxa"/>
            <w:vMerge w:val="continue"/>
          </w:tcPr>
          <w:p>
            <w:pPr>
              <w:widowControl w:val="0"/>
              <w:snapToGrid w:val="0"/>
              <w:spacing w:line="360" w:lineRule="auto"/>
              <w:jc w:val="both"/>
              <w:rPr>
                <w:rFonts w:ascii="Book Antiqua" w:hAnsi="Book Antiqua" w:cstheme="minorBidi"/>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lang w:val="en-US"/>
              </w:rPr>
            </w:pPr>
          </w:p>
        </w:tc>
        <w:tc>
          <w:tcPr>
            <w:tcW w:w="1860" w:type="dxa"/>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Dose</w:t>
            </w:r>
          </w:p>
        </w:tc>
        <w:tc>
          <w:tcPr>
            <w:tcW w:w="2146" w:type="dxa"/>
            <w:vMerge w:val="continue"/>
          </w:tcPr>
          <w:p>
            <w:pPr>
              <w:widowControl w:val="0"/>
              <w:snapToGrid w:val="0"/>
              <w:spacing w:line="360" w:lineRule="auto"/>
              <w:jc w:val="both"/>
              <w:rPr>
                <w:rFonts w:ascii="Book Antiqua" w:hAnsi="Book Antiqua" w:cstheme="minorBidi"/>
                <w:lang w:val="en-US" w:eastAsia="zh-CN"/>
              </w:rPr>
            </w:pPr>
          </w:p>
        </w:tc>
        <w:tc>
          <w:tcPr>
            <w:tcW w:w="1717" w:type="dxa"/>
            <w:vMerge w:val="continue"/>
          </w:tcPr>
          <w:p>
            <w:pPr>
              <w:widowControl w:val="0"/>
              <w:snapToGrid w:val="0"/>
              <w:spacing w:line="360" w:lineRule="auto"/>
              <w:jc w:val="both"/>
              <w:rPr>
                <w:rFonts w:ascii="Book Antiqua" w:hAnsi="Book Antiqua" w:cstheme="minorBidi"/>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lang w:val="en-US"/>
              </w:rPr>
            </w:pPr>
          </w:p>
        </w:tc>
        <w:tc>
          <w:tcPr>
            <w:tcW w:w="1860" w:type="dxa"/>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Booster</w:t>
            </w:r>
          </w:p>
        </w:tc>
        <w:tc>
          <w:tcPr>
            <w:tcW w:w="2146" w:type="dxa"/>
            <w:vMerge w:val="continue"/>
          </w:tcPr>
          <w:p>
            <w:pPr>
              <w:widowControl w:val="0"/>
              <w:snapToGrid w:val="0"/>
              <w:spacing w:line="360" w:lineRule="auto"/>
              <w:jc w:val="both"/>
              <w:rPr>
                <w:rFonts w:ascii="Book Antiqua" w:hAnsi="Book Antiqua" w:cstheme="minorBidi"/>
                <w:lang w:val="en-US" w:eastAsia="zh-CN"/>
              </w:rPr>
            </w:pPr>
          </w:p>
        </w:tc>
        <w:tc>
          <w:tcPr>
            <w:tcW w:w="1717" w:type="dxa"/>
            <w:vMerge w:val="continue"/>
          </w:tcPr>
          <w:p>
            <w:pPr>
              <w:widowControl w:val="0"/>
              <w:snapToGrid w:val="0"/>
              <w:spacing w:line="360" w:lineRule="auto"/>
              <w:jc w:val="both"/>
              <w:rPr>
                <w:rFonts w:ascii="Book Antiqua" w:hAnsi="Book Antiqua" w:cstheme="minorBidi"/>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570" w:type="dxa"/>
            <w:vMerge w:val="restart"/>
          </w:tcPr>
          <w:p>
            <w:pPr>
              <w:widowControl w:val="0"/>
              <w:snapToGrid w:val="0"/>
              <w:spacing w:line="360" w:lineRule="auto"/>
              <w:jc w:val="both"/>
              <w:rPr>
                <w:rFonts w:ascii="Book Antiqua" w:hAnsi="Book Antiqua" w:cs="Times New Roman"/>
                <w:lang w:val="en-US"/>
              </w:rPr>
            </w:pPr>
            <w:r>
              <w:rPr>
                <w:rFonts w:ascii="Book Antiqua" w:hAnsi="Book Antiqua" w:cs="Times New Roman"/>
                <w:bCs/>
                <w:lang w:val="en-US"/>
              </w:rPr>
              <w:t>Controlled vocabulary</w:t>
            </w:r>
            <w:r>
              <w:rPr>
                <w:rFonts w:ascii="Book Antiqua" w:hAnsi="Book Antiqua" w:cs="Times New Roman"/>
                <w:lang w:val="en-US"/>
              </w:rPr>
              <w:t xml:space="preserve"> </w:t>
            </w:r>
            <w:r>
              <w:rPr>
                <w:rFonts w:ascii="Book Antiqua" w:hAnsi="Book Antiqua" w:cs="Times New Roman"/>
                <w:bCs/>
                <w:lang w:val="en-US"/>
              </w:rPr>
              <w:t xml:space="preserve">terms </w:t>
            </w:r>
            <w:r>
              <w:rPr>
                <w:rFonts w:ascii="Book Antiqua" w:hAnsi="Book Antiqua" w:cs="Times New Roman"/>
                <w:lang w:val="en-US"/>
              </w:rPr>
              <w:t>(MeSH terms, Emtree terms)</w:t>
            </w:r>
          </w:p>
        </w:tc>
        <w:tc>
          <w:tcPr>
            <w:tcW w:w="2432" w:type="dxa"/>
            <w:vMerge w:val="restart"/>
          </w:tcPr>
          <w:p>
            <w:pPr>
              <w:widowControl w:val="0"/>
              <w:snapToGrid w:val="0"/>
              <w:spacing w:line="360" w:lineRule="auto"/>
              <w:jc w:val="both"/>
              <w:rPr>
                <w:rFonts w:ascii="Book Antiqua" w:hAnsi="Book Antiqua" w:cs="Times New Roman"/>
                <w:lang w:val="en-US"/>
              </w:rPr>
            </w:pPr>
            <w:r>
              <w:rPr>
                <w:rFonts w:ascii="Book Antiqua" w:hAnsi="Book Antiqua" w:cstheme="minorBidi"/>
                <w:lang w:val="en-GB"/>
              </w:rPr>
              <w:t>2019 novel coronavirus</w:t>
            </w:r>
          </w:p>
        </w:tc>
        <w:tc>
          <w:tcPr>
            <w:tcW w:w="1860" w:type="dxa"/>
          </w:tcPr>
          <w:p>
            <w:pPr>
              <w:widowControl w:val="0"/>
              <w:snapToGrid w:val="0"/>
              <w:spacing w:line="360" w:lineRule="auto"/>
              <w:jc w:val="both"/>
              <w:rPr>
                <w:rFonts w:ascii="Book Antiqua" w:hAnsi="Book Antiqua" w:cs="Times New Roman"/>
                <w:lang w:val="en-US"/>
              </w:rPr>
            </w:pPr>
            <w:r>
              <w:rPr>
                <w:rFonts w:ascii="Book Antiqua" w:hAnsi="Book Antiqua" w:cs="Times New Roman"/>
                <w:lang w:val="en-US"/>
              </w:rPr>
              <w:t>Viral Vaccines</w:t>
            </w:r>
          </w:p>
        </w:tc>
        <w:tc>
          <w:tcPr>
            <w:tcW w:w="2146" w:type="dxa"/>
            <w:vMerge w:val="restart"/>
          </w:tcPr>
          <w:p>
            <w:pPr>
              <w:widowControl w:val="0"/>
              <w:snapToGrid w:val="0"/>
              <w:spacing w:line="360" w:lineRule="auto"/>
              <w:jc w:val="both"/>
              <w:rPr>
                <w:rFonts w:ascii="Book Antiqua" w:hAnsi="Book Antiqua" w:cs="Times New Roman"/>
                <w:lang w:val="en-US"/>
              </w:rPr>
            </w:pPr>
            <w:r>
              <w:rPr>
                <w:rFonts w:ascii="Book Antiqua" w:hAnsi="Book Antiqua" w:cs="Times New Roman"/>
                <w:lang w:val="en-US"/>
              </w:rPr>
              <w:t>Anterior wall myocardial infarction</w:t>
            </w:r>
          </w:p>
        </w:tc>
        <w:tc>
          <w:tcPr>
            <w:tcW w:w="1717" w:type="dxa"/>
            <w:vMerge w:val="restart"/>
          </w:tcPr>
          <w:p>
            <w:pPr>
              <w:widowControl w:val="0"/>
              <w:snapToGrid w:val="0"/>
              <w:spacing w:line="360" w:lineRule="auto"/>
              <w:jc w:val="both"/>
              <w:rPr>
                <w:rFonts w:ascii="Book Antiqua" w:hAnsi="Book Antiqua" w:cs="Times New Roman"/>
                <w:lang w:val="en-US"/>
              </w:rPr>
            </w:pPr>
            <w:r>
              <w:rPr>
                <w:rFonts w:ascii="Book Antiqua" w:hAnsi="Book Antiqua" w:cs="Times New Roman"/>
                <w:lang w:val="en-US"/>
              </w:rPr>
              <w:t>Association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lang w:val="en-US"/>
              </w:rPr>
            </w:pPr>
          </w:p>
        </w:tc>
        <w:tc>
          <w:tcPr>
            <w:tcW w:w="1860" w:type="dxa"/>
            <w:vMerge w:val="restart"/>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Immunization</w:t>
            </w:r>
          </w:p>
        </w:tc>
        <w:tc>
          <w:tcPr>
            <w:tcW w:w="2146" w:type="dxa"/>
            <w:vMerge w:val="continue"/>
          </w:tcPr>
          <w:p>
            <w:pPr>
              <w:widowControl w:val="0"/>
              <w:snapToGrid w:val="0"/>
              <w:spacing w:line="360" w:lineRule="auto"/>
              <w:jc w:val="both"/>
              <w:rPr>
                <w:rFonts w:ascii="Book Antiqua" w:hAnsi="Book Antiqua" w:cstheme="minorBidi"/>
                <w:lang w:val="en-US"/>
              </w:rPr>
            </w:pP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tcPr>
          <w:p>
            <w:pPr>
              <w:widowControl w:val="0"/>
              <w:snapToGrid w:val="0"/>
              <w:spacing w:line="360" w:lineRule="auto"/>
              <w:jc w:val="both"/>
              <w:rPr>
                <w:rFonts w:ascii="Book Antiqua" w:hAnsi="Book Antiqua" w:cstheme="minorBidi"/>
                <w:lang w:val="en-US"/>
              </w:rPr>
            </w:pPr>
            <w:r>
              <w:rPr>
                <w:rFonts w:ascii="Book Antiqua" w:hAnsi="Book Antiqua" w:cstheme="minorBidi"/>
                <w:lang w:val="en-GB"/>
              </w:rPr>
              <w:t>2019-nCoV disease</w:t>
            </w: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continue"/>
          </w:tcPr>
          <w:p>
            <w:pPr>
              <w:widowControl w:val="0"/>
              <w:snapToGrid w:val="0"/>
              <w:spacing w:line="360" w:lineRule="auto"/>
              <w:jc w:val="both"/>
              <w:rPr>
                <w:rFonts w:ascii="Book Antiqua" w:hAnsi="Book Antiqua" w:cstheme="minorBidi"/>
                <w:lang w:val="en-US"/>
              </w:rPr>
            </w:pP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tcPr>
          <w:p>
            <w:pPr>
              <w:widowControl w:val="0"/>
              <w:snapToGrid w:val="0"/>
              <w:spacing w:line="360" w:lineRule="auto"/>
              <w:jc w:val="both"/>
              <w:rPr>
                <w:rFonts w:ascii="Book Antiqua" w:hAnsi="Book Antiqua" w:cstheme="minorBidi"/>
                <w:lang w:val="en-US"/>
              </w:rPr>
            </w:pPr>
            <w:r>
              <w:rPr>
                <w:rFonts w:ascii="Book Antiqua" w:hAnsi="Book Antiqua" w:cstheme="minorBidi"/>
                <w:lang w:val="en-GB"/>
              </w:rPr>
              <w:t>2019-nCoV infection</w:t>
            </w: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restart"/>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Inferior wall myocardial infarction</w:t>
            </w: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restart"/>
          </w:tcPr>
          <w:p>
            <w:pPr>
              <w:widowControl w:val="0"/>
              <w:snapToGrid w:val="0"/>
              <w:spacing w:line="360" w:lineRule="auto"/>
              <w:jc w:val="both"/>
              <w:rPr>
                <w:rFonts w:ascii="Book Antiqua" w:hAnsi="Book Antiqua" w:cstheme="minorBidi"/>
                <w:lang w:val="en-US"/>
              </w:rPr>
            </w:pPr>
            <w:r>
              <w:rPr>
                <w:rFonts w:ascii="Book Antiqua" w:hAnsi="Book Antiqua" w:cstheme="minorBidi"/>
                <w:lang w:val="en-GB"/>
              </w:rPr>
              <w:t>COVID-19 pandemic</w:t>
            </w: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continue"/>
          </w:tcPr>
          <w:p>
            <w:pPr>
              <w:widowControl w:val="0"/>
              <w:snapToGrid w:val="0"/>
              <w:spacing w:line="360" w:lineRule="auto"/>
              <w:jc w:val="both"/>
              <w:rPr>
                <w:rFonts w:ascii="Book Antiqua" w:hAnsi="Book Antiqua" w:cstheme="minorBidi"/>
                <w:lang w:val="en-US"/>
              </w:rPr>
            </w:pP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color w:val="333333"/>
                <w:lang w:val="en-US"/>
              </w:rPr>
            </w:pP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restart"/>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Non-ST elevated myocardial infarction</w:t>
            </w: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restart"/>
          </w:tcPr>
          <w:p>
            <w:pPr>
              <w:widowControl w:val="0"/>
              <w:snapToGrid w:val="0"/>
              <w:spacing w:line="360" w:lineRule="auto"/>
              <w:jc w:val="both"/>
              <w:rPr>
                <w:rFonts w:ascii="Book Antiqua" w:hAnsi="Book Antiqua" w:cstheme="minorBidi"/>
                <w:lang w:val="en-US"/>
              </w:rPr>
            </w:pPr>
            <w:r>
              <w:rPr>
                <w:rFonts w:ascii="Book Antiqua" w:hAnsi="Book Antiqua" w:cstheme="minorBidi"/>
                <w:lang w:val="en-GB"/>
              </w:rPr>
              <w:t>COVID-19 virus disease</w:t>
            </w: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continue"/>
          </w:tcPr>
          <w:p>
            <w:pPr>
              <w:widowControl w:val="0"/>
              <w:snapToGrid w:val="0"/>
              <w:spacing w:line="360" w:lineRule="auto"/>
              <w:jc w:val="both"/>
              <w:rPr>
                <w:rFonts w:ascii="Book Antiqua" w:hAnsi="Book Antiqua" w:cstheme="minorBidi"/>
                <w:lang w:val="en-US"/>
              </w:rPr>
            </w:pP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vMerge w:val="continue"/>
          </w:tcPr>
          <w:p>
            <w:pPr>
              <w:widowControl w:val="0"/>
              <w:snapToGrid w:val="0"/>
              <w:spacing w:line="360" w:lineRule="auto"/>
              <w:jc w:val="both"/>
              <w:rPr>
                <w:rFonts w:ascii="Book Antiqua" w:hAnsi="Book Antiqua" w:cstheme="minorBidi"/>
                <w:lang w:val="en-US"/>
              </w:rPr>
            </w:pP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restart"/>
          </w:tcPr>
          <w:p>
            <w:pPr>
              <w:widowControl w:val="0"/>
              <w:snapToGrid w:val="0"/>
              <w:spacing w:line="360" w:lineRule="auto"/>
              <w:jc w:val="both"/>
              <w:rPr>
                <w:rFonts w:ascii="Book Antiqua" w:hAnsi="Book Antiqua" w:cstheme="minorBidi"/>
                <w:lang w:val="en-US"/>
              </w:rPr>
            </w:pPr>
            <w:r>
              <w:rPr>
                <w:rFonts w:ascii="Book Antiqua" w:hAnsi="Book Antiqua" w:cs="Times New Roman"/>
                <w:lang w:val="en-US"/>
              </w:rPr>
              <w:t>ST elevation myocardial infarction</w:t>
            </w: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tcPr>
          <w:p>
            <w:pPr>
              <w:widowControl w:val="0"/>
              <w:snapToGrid w:val="0"/>
              <w:spacing w:line="360" w:lineRule="auto"/>
              <w:jc w:val="both"/>
              <w:rPr>
                <w:rFonts w:ascii="Book Antiqua" w:hAnsi="Book Antiqua" w:cstheme="minorBidi"/>
                <w:lang w:val="en-US"/>
              </w:rPr>
            </w:pPr>
            <w:r>
              <w:rPr>
                <w:rFonts w:ascii="Book Antiqua" w:hAnsi="Book Antiqua" w:cstheme="minorBidi"/>
                <w:lang w:val="en-GB"/>
              </w:rPr>
              <w:t>COVID-19 virus infection</w:t>
            </w: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continue"/>
          </w:tcPr>
          <w:p>
            <w:pPr>
              <w:widowControl w:val="0"/>
              <w:snapToGrid w:val="0"/>
              <w:spacing w:line="360" w:lineRule="auto"/>
              <w:jc w:val="both"/>
              <w:rPr>
                <w:rFonts w:ascii="Book Antiqua" w:hAnsi="Book Antiqua" w:cstheme="minorBidi"/>
                <w:lang w:val="en-US"/>
              </w:rPr>
            </w:pPr>
          </w:p>
        </w:tc>
        <w:tc>
          <w:tcPr>
            <w:tcW w:w="1717" w:type="dxa"/>
            <w:vMerge w:val="continue"/>
          </w:tcPr>
          <w:p>
            <w:pPr>
              <w:widowControl w:val="0"/>
              <w:snapToGrid w:val="0"/>
              <w:spacing w:line="360" w:lineRule="auto"/>
              <w:jc w:val="both"/>
              <w:rPr>
                <w:rFonts w:ascii="Book Antiqua" w:hAnsi="Book Antiqua" w:cstheme="minorBidi"/>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1570" w:type="dxa"/>
            <w:vMerge w:val="continue"/>
          </w:tcPr>
          <w:p>
            <w:pPr>
              <w:widowControl w:val="0"/>
              <w:snapToGrid w:val="0"/>
              <w:spacing w:line="360" w:lineRule="auto"/>
              <w:jc w:val="both"/>
              <w:rPr>
                <w:rFonts w:ascii="Book Antiqua" w:hAnsi="Book Antiqua" w:cstheme="minorBidi"/>
                <w:bCs/>
                <w:lang w:val="en-US"/>
              </w:rPr>
            </w:pPr>
          </w:p>
        </w:tc>
        <w:tc>
          <w:tcPr>
            <w:tcW w:w="2432" w:type="dxa"/>
          </w:tcPr>
          <w:p>
            <w:pPr>
              <w:widowControl w:val="0"/>
              <w:snapToGrid w:val="0"/>
              <w:spacing w:line="360" w:lineRule="auto"/>
              <w:jc w:val="both"/>
              <w:rPr>
                <w:rFonts w:ascii="Book Antiqua" w:hAnsi="Book Antiqua" w:cstheme="minorBidi"/>
                <w:lang w:val="en-US"/>
              </w:rPr>
            </w:pPr>
            <w:r>
              <w:rPr>
                <w:rFonts w:ascii="Book Antiqua" w:hAnsi="Book Antiqua" w:cstheme="minorBidi"/>
                <w:lang w:val="en-GB"/>
              </w:rPr>
              <w:t>SARS-CoV-2 infection</w:t>
            </w:r>
          </w:p>
        </w:tc>
        <w:tc>
          <w:tcPr>
            <w:tcW w:w="1860" w:type="dxa"/>
            <w:vMerge w:val="continue"/>
          </w:tcPr>
          <w:p>
            <w:pPr>
              <w:widowControl w:val="0"/>
              <w:snapToGrid w:val="0"/>
              <w:spacing w:line="360" w:lineRule="auto"/>
              <w:jc w:val="both"/>
              <w:rPr>
                <w:rFonts w:ascii="Book Antiqua" w:hAnsi="Book Antiqua" w:cstheme="minorBidi"/>
                <w:lang w:val="en-US"/>
              </w:rPr>
            </w:pPr>
          </w:p>
        </w:tc>
        <w:tc>
          <w:tcPr>
            <w:tcW w:w="2146" w:type="dxa"/>
            <w:vMerge w:val="continue"/>
          </w:tcPr>
          <w:p>
            <w:pPr>
              <w:widowControl w:val="0"/>
              <w:snapToGrid w:val="0"/>
              <w:spacing w:line="360" w:lineRule="auto"/>
              <w:jc w:val="both"/>
              <w:rPr>
                <w:rFonts w:ascii="Book Antiqua" w:hAnsi="Book Antiqua" w:cstheme="minorBidi"/>
                <w:lang w:val="en-US"/>
              </w:rPr>
            </w:pPr>
          </w:p>
        </w:tc>
        <w:tc>
          <w:tcPr>
            <w:tcW w:w="1717" w:type="dxa"/>
            <w:vMerge w:val="continue"/>
          </w:tcPr>
          <w:p>
            <w:pPr>
              <w:widowControl w:val="0"/>
              <w:snapToGrid w:val="0"/>
              <w:spacing w:line="360" w:lineRule="auto"/>
              <w:jc w:val="both"/>
              <w:rPr>
                <w:rFonts w:ascii="Book Antiqua" w:hAnsi="Book Antiqua" w:cstheme="minorBidi"/>
                <w:lang w:val="en-US"/>
              </w:rPr>
            </w:pPr>
          </w:p>
        </w:tc>
      </w:tr>
    </w:tbl>
    <w:p>
      <w:pPr>
        <w:widowControl w:val="0"/>
        <w:snapToGrid w:val="0"/>
        <w:spacing w:line="360" w:lineRule="auto"/>
        <w:jc w:val="both"/>
        <w:rPr>
          <w:rFonts w:ascii="Book Antiqua" w:hAnsi="Book Antiqua"/>
        </w:rPr>
      </w:pPr>
      <w:r>
        <w:rPr>
          <w:rFonts w:ascii="Book Antiqua" w:hAnsi="Book Antiqua" w:eastAsia="Book Antiqua" w:cs="Book Antiqua"/>
          <w:color w:val="000000"/>
        </w:rPr>
        <w:t>SARS-CoV-2: Severe acute respiratory syndrome coronavirus 2; COVID-19: Coronavirus disease 2019.</w:t>
      </w:r>
    </w:p>
    <w:p>
      <w:pPr>
        <w:snapToGrid w:val="0"/>
        <w:spacing w:line="360" w:lineRule="auto"/>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br w:type="page"/>
      </w:r>
    </w:p>
    <w:p>
      <w:pPr>
        <w:widowControl w:val="0"/>
        <w:snapToGrid w:val="0"/>
        <w:spacing w:line="360" w:lineRule="auto"/>
        <w:jc w:val="both"/>
        <w:rPr>
          <w:rFonts w:ascii="Book Antiqua" w:hAnsi="Book Antiqua"/>
          <w:b/>
        </w:rPr>
      </w:pPr>
      <w:r>
        <w:rPr>
          <w:rFonts w:ascii="Book Antiqua" w:hAnsi="Book Antiqua"/>
          <w:b/>
          <w:color w:val="000000" w:themeColor="text1"/>
          <w14:textFill>
            <w14:solidFill>
              <w14:schemeClr w14:val="tx1"/>
            </w14:solidFill>
          </w14:textFill>
        </w:rPr>
        <w:t xml:space="preserve">Table </w:t>
      </w:r>
      <w:r>
        <w:rPr>
          <w:rFonts w:ascii="Book Antiqua" w:hAnsi="Book Antiqua"/>
          <w:b/>
          <w:i/>
          <w:iCs/>
          <w:color w:val="000000" w:themeColor="text1"/>
          <w14:textFill>
            <w14:solidFill>
              <w14:schemeClr w14:val="tx1"/>
            </w14:solidFill>
          </w14:textFill>
        </w:rPr>
        <w:fldChar w:fldCharType="begin"/>
      </w:r>
      <w:r>
        <w:rPr>
          <w:rFonts w:ascii="Book Antiqua" w:hAnsi="Book Antiqua"/>
          <w:b/>
          <w:color w:val="000000" w:themeColor="text1"/>
          <w14:textFill>
            <w14:solidFill>
              <w14:schemeClr w14:val="tx1"/>
            </w14:solidFill>
          </w14:textFill>
        </w:rPr>
        <w:instrText xml:space="preserve"> SEQ Table \* ARABIC </w:instrText>
      </w:r>
      <w:r>
        <w:rPr>
          <w:rFonts w:ascii="Book Antiqua" w:hAnsi="Book Antiqua"/>
          <w:b/>
          <w:i/>
          <w:iCs/>
          <w:color w:val="000000" w:themeColor="text1"/>
          <w14:textFill>
            <w14:solidFill>
              <w14:schemeClr w14:val="tx1"/>
            </w14:solidFill>
          </w14:textFill>
        </w:rPr>
        <w:fldChar w:fldCharType="separate"/>
      </w:r>
      <w:r>
        <w:rPr>
          <w:rFonts w:ascii="Book Antiqua" w:hAnsi="Book Antiqua"/>
          <w:b/>
          <w:color w:val="000000" w:themeColor="text1"/>
          <w14:textFill>
            <w14:solidFill>
              <w14:schemeClr w14:val="tx1"/>
            </w14:solidFill>
          </w14:textFill>
        </w:rPr>
        <w:t>2</w:t>
      </w:r>
      <w:r>
        <w:rPr>
          <w:rFonts w:ascii="Book Antiqua" w:hAnsi="Book Antiqua"/>
          <w:b/>
          <w:i/>
          <w:iCs/>
          <w:color w:val="000000" w:themeColor="text1"/>
          <w14:textFill>
            <w14:solidFill>
              <w14:schemeClr w14:val="tx1"/>
            </w14:solidFill>
          </w14:textFill>
        </w:rPr>
        <w:fldChar w:fldCharType="end"/>
      </w:r>
      <w:r>
        <w:rPr>
          <w:rFonts w:ascii="Book Antiqua" w:hAnsi="Book Antiqua"/>
          <w:b/>
          <w:color w:val="000000" w:themeColor="text1"/>
          <w14:textFill>
            <w14:solidFill>
              <w14:schemeClr w14:val="tx1"/>
            </w14:solidFill>
          </w14:textFill>
        </w:rPr>
        <w:t xml:space="preserve"> Analysis/summary of important findings in various studies</w:t>
      </w:r>
    </w:p>
    <w:tbl>
      <w:tblPr>
        <w:tblStyle w:val="1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2"/>
        <w:gridCol w:w="912"/>
        <w:gridCol w:w="1401"/>
        <w:gridCol w:w="1105"/>
        <w:gridCol w:w="1065"/>
        <w:gridCol w:w="903"/>
        <w:gridCol w:w="1432"/>
        <w:gridCol w:w="162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Ref.</w:t>
            </w:r>
          </w:p>
        </w:tc>
        <w:tc>
          <w:tcPr>
            <w:tcW w:w="912"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Study design</w:t>
            </w:r>
          </w:p>
        </w:tc>
        <w:tc>
          <w:tcPr>
            <w:tcW w:w="1401"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No. of cases reported</w:t>
            </w:r>
          </w:p>
        </w:tc>
        <w:tc>
          <w:tcPr>
            <w:tcW w:w="1105"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Type of vaccine given</w:t>
            </w:r>
          </w:p>
        </w:tc>
        <w:tc>
          <w:tcPr>
            <w:tcW w:w="1065"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Time during symptoms and vaccination</w:t>
            </w:r>
          </w:p>
        </w:tc>
        <w:tc>
          <w:tcPr>
            <w:tcW w:w="903"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Dose of vaccine, 1</w:t>
            </w:r>
            <w:r>
              <w:rPr>
                <w:rFonts w:ascii="Book Antiqua" w:hAnsi="Book Antiqua" w:cstheme="minorBidi"/>
                <w:b/>
                <w:bCs/>
                <w:vertAlign w:val="superscript"/>
                <w:lang w:val="en-GB"/>
              </w:rPr>
              <w:t>st</w:t>
            </w:r>
            <w:r>
              <w:rPr>
                <w:rFonts w:ascii="Book Antiqua" w:hAnsi="Book Antiqua" w:cstheme="minorBidi"/>
                <w:b/>
                <w:bCs/>
                <w:lang w:val="en-GB"/>
              </w:rPr>
              <w:t xml:space="preserve"> or 2</w:t>
            </w:r>
            <w:r>
              <w:rPr>
                <w:rFonts w:ascii="Book Antiqua" w:hAnsi="Book Antiqua" w:cstheme="minorBidi"/>
                <w:b/>
                <w:bCs/>
                <w:vertAlign w:val="superscript"/>
                <w:lang w:val="en-GB"/>
              </w:rPr>
              <w:t>nd</w:t>
            </w:r>
          </w:p>
        </w:tc>
        <w:tc>
          <w:tcPr>
            <w:tcW w:w="1432"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Type of MI</w:t>
            </w:r>
          </w:p>
        </w:tc>
        <w:tc>
          <w:tcPr>
            <w:tcW w:w="1624" w:type="dxa"/>
            <w:tcBorders>
              <w:top w:val="single" w:color="000000" w:themeColor="text1" w:sz="8" w:space="0"/>
              <w:bottom w:val="single" w:color="000000" w:themeColor="text1" w:sz="8" w:space="0"/>
            </w:tcBorders>
            <w:shd w:val="clear" w:color="auto" w:fill="auto"/>
          </w:tcPr>
          <w:p>
            <w:pPr>
              <w:snapToGrid w:val="0"/>
              <w:spacing w:line="360" w:lineRule="auto"/>
              <w:rPr>
                <w:rFonts w:ascii="Book Antiqua" w:hAnsi="Book Antiqua" w:cstheme="minorBidi"/>
                <w:b/>
                <w:bCs/>
                <w:lang w:val="en-GB"/>
              </w:rPr>
            </w:pPr>
            <w:r>
              <w:rPr>
                <w:rFonts w:ascii="Book Antiqua" w:hAnsi="Book Antiqua" w:cstheme="minorBidi"/>
                <w:b/>
                <w:bCs/>
                <w:lang w:val="en-GB"/>
              </w:rPr>
              <w:t>Patient outcome, dead or 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 xml:space="preserve">Jabagi </w:t>
            </w:r>
            <w:r>
              <w:rPr>
                <w:rFonts w:ascii="Book Antiqua" w:hAnsi="Book Antiqua" w:cs="Times New Roman"/>
                <w:b w:val="0"/>
                <w:bCs/>
                <w:i/>
                <w:color w:val="000000"/>
                <w:lang w:val="en-US"/>
              </w:rPr>
              <w:t>et al</w:t>
            </w:r>
            <w:r>
              <w:rPr>
                <w:rFonts w:ascii="Book Antiqua" w:hAnsi="Book Antiqua" w:cstheme="minorBidi"/>
                <w:b w:val="0"/>
                <w:bCs/>
                <w:color w:val="000000"/>
                <w:vertAlign w:val="superscript"/>
                <w:lang w:val="en-US"/>
              </w:rPr>
              <w:t>[10]</w:t>
            </w:r>
          </w:p>
        </w:tc>
        <w:tc>
          <w:tcPr>
            <w:tcW w:w="912"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6510/11113 (58.6%) after first dose, 4843/11113 (43.6%) after second dose of vaccine</w:t>
            </w:r>
          </w:p>
        </w:tc>
        <w:tc>
          <w:tcPr>
            <w:tcW w:w="1105"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w:t>
            </w:r>
          </w:p>
        </w:tc>
        <w:tc>
          <w:tcPr>
            <w:tcW w:w="1065"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903"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r>
              <w:rPr>
                <w:rFonts w:ascii="Book Antiqua" w:hAnsi="Book Antiqua" w:cs="Times New Roman"/>
                <w:color w:val="000000"/>
                <w:lang w:val="en-US"/>
              </w:rPr>
              <w:t xml:space="preserve"> and 2</w:t>
            </w:r>
            <w:r>
              <w:rPr>
                <w:rFonts w:ascii="Book Antiqua" w:hAnsi="Book Antiqua" w:cs="Times New Roman"/>
                <w:color w:val="000000"/>
                <w:vertAlign w:val="superscript"/>
                <w:lang w:val="en-US"/>
              </w:rPr>
              <w:t>nd</w:t>
            </w:r>
            <w:r>
              <w:rPr>
                <w:rFonts w:ascii="Book Antiqua" w:hAnsi="Book Antiqua" w:cs="Times New Roman"/>
                <w:color w:val="000000"/>
                <w:lang w:val="en-US"/>
              </w:rPr>
              <w:t xml:space="preserve"> both</w:t>
            </w:r>
          </w:p>
        </w:tc>
        <w:tc>
          <w:tcPr>
            <w:tcW w:w="1432"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tcBorders>
              <w:top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Li</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[11]</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Cohort study</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Ages 35-74 incidence = between 1/100 and 1/1000 ages 75 and above incidence = between 1/10 and 1/100 patients</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Aye</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[12]</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Cohort and systematic review</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29 in cohort, 35 in systematic review</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 30/35 (86%), Moderna 1/35 (3%), AstraZeneca 4/35 (11%), Janssen 0%</w:t>
            </w:r>
          </w:p>
        </w:tc>
        <w:tc>
          <w:tcPr>
            <w:tcW w:w="1065" w:type="dxa"/>
            <w:shd w:val="clear" w:color="auto" w:fill="auto"/>
          </w:tcPr>
          <w:p>
            <w:pPr>
              <w:widowControl w:val="0"/>
              <w:snapToGrid w:val="0"/>
              <w:spacing w:line="360" w:lineRule="auto"/>
              <w:jc w:val="both"/>
              <w:rPr>
                <w:rFonts w:ascii="Book Antiqua" w:hAnsi="Book Antiqua" w:cs="Times New Roman"/>
                <w:color w:val="212121"/>
                <w:lang w:val="en-US"/>
              </w:rPr>
            </w:pPr>
            <w:r>
              <w:rPr>
                <w:rFonts w:ascii="Book Antiqua" w:hAnsi="Book Antiqua" w:cs="Times New Roman"/>
                <w:color w:val="212121"/>
                <w:lang w:val="en-US"/>
              </w:rPr>
              <w:t>Median of 1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w:t>
            </w:r>
            <w:r>
              <w:rPr>
                <w:rFonts w:ascii="Book Antiqua" w:hAnsi="Book Antiqua" w:cs="Times New Roman"/>
                <w:color w:val="000000"/>
                <w:vertAlign w:val="superscript"/>
                <w:lang w:val="en-US"/>
              </w:rPr>
              <w:t>nd</w:t>
            </w:r>
            <w:r>
              <w:rPr>
                <w:rFonts w:ascii="Book Antiqua" w:hAnsi="Book Antiqua" w:cs="Times New Roman"/>
                <w:color w:val="000000"/>
                <w:lang w:val="en-US"/>
              </w:rPr>
              <w:t xml:space="preserve"> </w:t>
            </w:r>
          </w:p>
        </w:tc>
        <w:tc>
          <w:tcPr>
            <w:tcW w:w="1432" w:type="dxa"/>
            <w:shd w:val="clear" w:color="auto" w:fill="auto"/>
          </w:tcPr>
          <w:p>
            <w:pPr>
              <w:widowControl w:val="0"/>
              <w:snapToGrid w:val="0"/>
              <w:spacing w:line="360" w:lineRule="auto"/>
              <w:jc w:val="both"/>
              <w:rPr>
                <w:rFonts w:ascii="Book Antiqua" w:hAnsi="Book Antiqua" w:cs="Times New Roman"/>
                <w:color w:val="212121"/>
                <w:lang w:val="en-US"/>
              </w:rPr>
            </w:pPr>
            <w:r>
              <w:rPr>
                <w:rFonts w:ascii="Book Antiqua" w:hAnsi="Book Antiqua" w:cs="Times New Roman"/>
                <w:color w:val="212121"/>
                <w:lang w:val="en-US"/>
              </w:rPr>
              <w:t>STEMI 20/35 (57%) NSTEMI 15/35 (43%)</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 dead, remaining were 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Maadarani</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[13]</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1.5 h</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r>
              <w:rPr>
                <w:rFonts w:ascii="Book Antiqua" w:hAnsi="Book Antiqua" w:cs="Times New Roman"/>
                <w:color w:val="000000"/>
                <w:lang w:val="en-US"/>
              </w:rPr>
              <w:t xml:space="preserve"> </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 and NSTEMI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Fazlollahi</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[14]</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Systematic review</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3</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 Pfizer, 1 Moderna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1: 6 h, case 2: 1 h, case 3: 30 min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r>
              <w:rPr>
                <w:rFonts w:ascii="Book Antiqua" w:hAnsi="Book Antiqua" w:cs="Times New Roman"/>
                <w:color w:val="000000"/>
                <w:lang w:val="en-US"/>
              </w:rPr>
              <w:t xml:space="preserve"> </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1: NSTEMI, case 2: STEMI, case 3: 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1: alive, case 2: alive, case 3: 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Şancı</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[15]</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15 min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Chatterjee</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[16]</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Jeet Kaur</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[17]</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 xml:space="preserve">Pfizer: 44, AstraZeneca: 1, Moderna: 3 </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 xml:space="preserve"> Pfizer, AstraZeneca, and Moderna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Iqbal</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[18]</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Moderna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90 min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Cari</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[19]</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 0.00044%, AstraZeneca: 0.00168%, Janssen: 0.00217%</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 AstraZeneca, Janssen</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Dead Pfizer: 0.00013%, AstraZeneca: 0.0004%, Janssen: 0.00048%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Tajstra</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[20]</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30 min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Flower</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[21]</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8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Chiang</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[22]</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8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Fialho</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[23]</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20 min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Hsu</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[24]</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9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Showkathali</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[25]</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37 (42%)</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 was the most used vaccine-28 (76%), while 9 (24%) had Covaxin</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&lt; 1 wk: 9 (24%), 1-4 wk: 19 (52%), and &gt; 4 wk: 9 (24%)</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r>
              <w:rPr>
                <w:rFonts w:ascii="Book Antiqua" w:hAnsi="Book Antiqua" w:cs="Times New Roman"/>
                <w:color w:val="000000"/>
                <w:lang w:val="en-US"/>
              </w:rPr>
              <w:t xml:space="preserve"> (65%), 2</w:t>
            </w:r>
            <w:r>
              <w:rPr>
                <w:rFonts w:ascii="Book Antiqua" w:hAnsi="Book Antiqua" w:cs="Times New Roman"/>
                <w:color w:val="000000"/>
                <w:vertAlign w:val="superscript"/>
                <w:lang w:val="en-US"/>
              </w:rPr>
              <w:t>nd</w:t>
            </w:r>
            <w:r>
              <w:rPr>
                <w:rFonts w:ascii="Book Antiqua" w:hAnsi="Book Antiqua" w:cs="Times New Roman"/>
                <w:color w:val="000000"/>
                <w:lang w:val="en-US"/>
              </w:rPr>
              <w:t xml:space="preserve"> dose (35%) </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 and NSTEMI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Whiteley</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[26]</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 xml:space="preserve">Post vaccination &lt; 28 d 3814/13787 (27.66%). Post vaccination &gt; 28 d 2050/7758 (26.42%) </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 and Pfizer</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Dead, &lt; 28 d 16192/43766 (37.00%), &gt; 28 d 11738/19496 (60.21%)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Shiravi</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[5]</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Narrative review</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 AstraZeneca, and Sinovac vaccines</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15 min to 2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Barda</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[27]</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59/892785 = 0.006%</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Barsha</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[6]</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Moderna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12 h</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Boivin</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[28]</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 xml:space="preserve">Moderna </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 h</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Hippisley-Cox</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[29]</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 0-7 d 1983/22079 (8.98%), 8-21 d 4028/22079 (18.23%), 22-28 d 1889/22.79 (8.55%). Pfizer: 0-7 d 1578/15124 (10.43%), 8-21 d 3457/15124 (22.83%), 22-28 d 1510/15124 (10.00%)</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 and Pfizer</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 0-7 d 1983, 8-21 d 4028, 22-28 d 1889, Pfizer: 0-7 d 1578, 8-21 d 3457, 22-28 d 1510</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Edler</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[30]</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series</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 d</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Hana</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[7]</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Systematic review</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1644 cases total</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 Pfizer and Moderna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Ho</w:t>
            </w:r>
            <w:r>
              <w:rPr>
                <w:rFonts w:ascii="Book Antiqua" w:hAnsi="Book Antiqua" w:cs="Times New Roman"/>
                <w:b w:val="0"/>
                <w:bCs/>
                <w:i/>
                <w:color w:val="000000"/>
                <w:lang w:val="en-US"/>
              </w:rPr>
              <w:t xml:space="preserve"> et al</w:t>
            </w:r>
            <w:r>
              <w:rPr>
                <w:rFonts w:ascii="Book Antiqua" w:hAnsi="Book Antiqua" w:cstheme="minorBidi"/>
                <w:b w:val="0"/>
                <w:bCs/>
                <w:color w:val="000000"/>
                <w:vertAlign w:val="superscript"/>
                <w:lang w:val="en-US"/>
              </w:rPr>
              <w:t>[31]</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Systematic review</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10</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 Moderna, AstraZeneca, Sinovac</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STEMI and NSTEMI</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Some dead, some 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 xml:space="preserve">Sung </w:t>
            </w:r>
            <w:r>
              <w:rPr>
                <w:rFonts w:ascii="Book Antiqua" w:hAnsi="Book Antiqua" w:cs="Times New Roman"/>
                <w:b w:val="0"/>
                <w:bCs/>
                <w:i/>
                <w:color w:val="000000"/>
                <w:lang w:val="en-US"/>
              </w:rPr>
              <w:t>et al</w:t>
            </w:r>
            <w:r>
              <w:rPr>
                <w:rFonts w:ascii="Book Antiqua" w:hAnsi="Book Antiqua" w:cstheme="minorBidi"/>
                <w:b w:val="0"/>
                <w:bCs/>
                <w:color w:val="000000"/>
                <w:vertAlign w:val="superscript"/>
                <w:lang w:val="en-US"/>
              </w:rPr>
              <w:t>[32]</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series</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 xml:space="preserve">Moderna </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1 &lt; 24 h, case 2 &lt; 12 h</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1 STEMI, case 2 Not given</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 xml:space="preserve">Pottegård </w:t>
            </w:r>
            <w:r>
              <w:rPr>
                <w:rFonts w:ascii="Book Antiqua" w:hAnsi="Book Antiqua" w:cs="Times New Roman"/>
                <w:b w:val="0"/>
                <w:bCs/>
                <w:i/>
                <w:color w:val="000000"/>
                <w:lang w:val="en-US"/>
              </w:rPr>
              <w:t>et al</w:t>
            </w:r>
            <w:r>
              <w:rPr>
                <w:rFonts w:ascii="Book Antiqua" w:hAnsi="Book Antiqua" w:cstheme="minorBidi"/>
                <w:b w:val="0"/>
                <w:bCs/>
                <w:color w:val="000000"/>
                <w:vertAlign w:val="superscript"/>
                <w:lang w:val="en-US"/>
              </w:rPr>
              <w:t>[33]</w:t>
            </w:r>
          </w:p>
        </w:tc>
        <w:tc>
          <w:tcPr>
            <w:tcW w:w="91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Incidence rate 1.04/1.21, no of cases 20</w:t>
            </w:r>
          </w:p>
        </w:tc>
        <w:tc>
          <w:tcPr>
            <w:tcW w:w="110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903"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r>
              <w:rPr>
                <w:rFonts w:ascii="Book Antiqua" w:hAnsi="Book Antiqua" w:cs="Times New Roman"/>
                <w:color w:val="000000"/>
                <w:lang w:val="en-US"/>
              </w:rPr>
              <w:t xml:space="preserve"> </w:t>
            </w:r>
          </w:p>
        </w:tc>
        <w:tc>
          <w:tcPr>
            <w:tcW w:w="1432"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tcBorders>
              <w:bottom w:val="nil"/>
            </w:tcBorders>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 xml:space="preserve">Agostino </w:t>
            </w:r>
            <w:r>
              <w:rPr>
                <w:rFonts w:ascii="Book Antiqua" w:hAnsi="Book Antiqua" w:cs="Times New Roman"/>
                <w:b w:val="0"/>
                <w:bCs/>
                <w:i/>
                <w:color w:val="000000"/>
                <w:lang w:val="en-US"/>
              </w:rPr>
              <w:t>et al</w:t>
            </w:r>
            <w:r>
              <w:rPr>
                <w:rFonts w:ascii="Book Antiqua" w:hAnsi="Book Antiqua" w:cstheme="minorBidi"/>
                <w:b w:val="0"/>
                <w:bCs/>
                <w:color w:val="000000"/>
                <w:vertAlign w:val="superscript"/>
                <w:lang w:val="en-US"/>
              </w:rPr>
              <w:t>[34]</w:t>
            </w:r>
          </w:p>
        </w:tc>
        <w:tc>
          <w:tcPr>
            <w:tcW w:w="912"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Case report</w:t>
            </w:r>
          </w:p>
        </w:tc>
        <w:tc>
          <w:tcPr>
            <w:tcW w:w="1401"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AstraZeneca</w:t>
            </w:r>
          </w:p>
        </w:tc>
        <w:tc>
          <w:tcPr>
            <w:tcW w:w="1065"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12 d</w:t>
            </w:r>
          </w:p>
        </w:tc>
        <w:tc>
          <w:tcPr>
            <w:tcW w:w="903"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r>
              <w:rPr>
                <w:rFonts w:ascii="Book Antiqua" w:hAnsi="Book Antiqua" w:cs="Times New Roman"/>
                <w:color w:val="000000"/>
                <w:vertAlign w:val="superscript"/>
                <w:lang w:val="en-US"/>
              </w:rPr>
              <w:t>st</w:t>
            </w:r>
            <w:r>
              <w:rPr>
                <w:rFonts w:ascii="Book Antiqua" w:hAnsi="Book Antiqua" w:cs="Times New Roman"/>
                <w:color w:val="000000"/>
                <w:lang w:val="en-US"/>
              </w:rPr>
              <w:t xml:space="preserve"> </w:t>
            </w:r>
          </w:p>
        </w:tc>
        <w:tc>
          <w:tcPr>
            <w:tcW w:w="1432"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tcBorders>
              <w:bottom w:val="nil"/>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022"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b w:val="0"/>
                <w:bCs/>
                <w:color w:val="000000"/>
                <w:lang w:val="en-US"/>
              </w:rPr>
            </w:pPr>
            <w:r>
              <w:rPr>
                <w:rFonts w:ascii="Book Antiqua" w:hAnsi="Book Antiqua" w:cs="Times New Roman"/>
                <w:b w:val="0"/>
                <w:bCs/>
                <w:color w:val="000000"/>
                <w:lang w:val="en-US"/>
              </w:rPr>
              <w:t xml:space="preserve">Bardenheier </w:t>
            </w:r>
            <w:r>
              <w:rPr>
                <w:rFonts w:ascii="Book Antiqua" w:hAnsi="Book Antiqua" w:cs="Times New Roman"/>
                <w:b w:val="0"/>
                <w:bCs/>
                <w:i/>
                <w:color w:val="000000"/>
                <w:lang w:val="en-US"/>
              </w:rPr>
              <w:t>et al</w:t>
            </w:r>
            <w:r>
              <w:rPr>
                <w:rFonts w:ascii="Book Antiqua" w:hAnsi="Book Antiqua" w:cstheme="minorBidi"/>
                <w:b w:val="0"/>
                <w:bCs/>
                <w:color w:val="000000"/>
                <w:vertAlign w:val="superscript"/>
                <w:lang w:val="en-US"/>
              </w:rPr>
              <w:t>[35]</w:t>
            </w:r>
          </w:p>
        </w:tc>
        <w:tc>
          <w:tcPr>
            <w:tcW w:w="912"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Cross sectional</w:t>
            </w:r>
          </w:p>
        </w:tc>
        <w:tc>
          <w:tcPr>
            <w:tcW w:w="1401"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1</w:t>
            </w:r>
          </w:p>
        </w:tc>
        <w:tc>
          <w:tcPr>
            <w:tcW w:w="1105"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Pfizer</w:t>
            </w:r>
          </w:p>
        </w:tc>
        <w:tc>
          <w:tcPr>
            <w:tcW w:w="1065"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 d</w:t>
            </w:r>
          </w:p>
        </w:tc>
        <w:tc>
          <w:tcPr>
            <w:tcW w:w="903"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2</w:t>
            </w:r>
            <w:r>
              <w:rPr>
                <w:rFonts w:ascii="Book Antiqua" w:hAnsi="Book Antiqua" w:cs="Times New Roman"/>
                <w:color w:val="000000"/>
                <w:vertAlign w:val="superscript"/>
                <w:lang w:val="en-US"/>
              </w:rPr>
              <w:t>nd</w:t>
            </w:r>
            <w:r>
              <w:rPr>
                <w:rFonts w:ascii="Book Antiqua" w:hAnsi="Book Antiqua" w:cs="Times New Roman"/>
                <w:color w:val="000000"/>
                <w:lang w:val="en-US"/>
              </w:rPr>
              <w:t xml:space="preserve"> </w:t>
            </w:r>
          </w:p>
        </w:tc>
        <w:tc>
          <w:tcPr>
            <w:tcW w:w="1432"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Not given</w:t>
            </w:r>
          </w:p>
        </w:tc>
        <w:tc>
          <w:tcPr>
            <w:tcW w:w="1624" w:type="dxa"/>
            <w:tcBorders>
              <w:top w:val="nil"/>
              <w:bottom w:val="single" w:color="000000" w:themeColor="text1" w:sz="8" w:space="0"/>
            </w:tcBorders>
            <w:shd w:val="clear" w:color="auto" w:fill="auto"/>
          </w:tcPr>
          <w:p>
            <w:pPr>
              <w:widowControl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t>NA</w:t>
            </w:r>
          </w:p>
        </w:tc>
      </w:tr>
    </w:tbl>
    <w:p>
      <w:pPr>
        <w:widowControl w:val="0"/>
        <w:snapToGrid w:val="0"/>
        <w:spacing w:line="360" w:lineRule="auto"/>
        <w:jc w:val="both"/>
        <w:rPr>
          <w:rFonts w:ascii="Book Antiqua" w:hAnsi="Book Antiqua" w:eastAsia="Book Antiqua" w:cs="Book Antiqua"/>
          <w:color w:val="000000"/>
        </w:rPr>
        <w:sectPr>
          <w:footerReference r:id="rId3" w:type="default"/>
          <w:pgSz w:w="12240" w:h="15840"/>
          <w:pgMar w:top="1440" w:right="1440" w:bottom="1440" w:left="1440" w:header="720" w:footer="720" w:gutter="0"/>
          <w:cols w:space="720" w:num="1"/>
          <w:docGrid w:linePitch="360" w:charSpace="0"/>
        </w:sectPr>
      </w:pPr>
      <w:r>
        <w:rPr>
          <w:rFonts w:ascii="Book Antiqua" w:hAnsi="Book Antiqua"/>
          <w:lang w:eastAsia="zh-CN"/>
        </w:rPr>
        <w:t xml:space="preserve">MI: </w:t>
      </w:r>
      <w:r>
        <w:rPr>
          <w:rFonts w:ascii="Book Antiqua" w:hAnsi="Book Antiqua" w:eastAsia="Book Antiqua" w:cs="Book Antiqua"/>
          <w:color w:val="000000"/>
        </w:rPr>
        <w:t>Myocardial infarction; NA: Not available; STEMI: ST-segment elevation myocardial infarction; NSTEMI: Non-ST-segment elevation myocardial infarction; NA: Not Applicable.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widowControl w:val="0"/>
        <w:snapToGrid w:val="0"/>
        <w:spacing w:line="360" w:lineRule="auto"/>
        <w:jc w:val="both"/>
        <w:rPr>
          <w:rFonts w:ascii="Book Antiqua" w:hAnsi="Book Antiqua" w:eastAsia="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ItalicMT">
    <w:altName w:val="Courier New"/>
    <w:panose1 w:val="00000000000000000000"/>
    <w:charset w:val="00"/>
    <w:family w:val="auto"/>
    <w:pitch w:val="default"/>
    <w:sig w:usb0="00000000" w:usb1="00000000" w:usb2="00000001" w:usb3="00000000" w:csb0="000001B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929493494"/>
      <w:docPartObj>
        <w:docPartGallery w:val="autotext"/>
      </w:docPartObj>
    </w:sdtPr>
    <w:sdtEndPr>
      <w:rPr>
        <w:rFonts w:ascii="Book Antiqua" w:hAnsi="Book Antiqua"/>
        <w:sz w:val="24"/>
        <w:szCs w:val="24"/>
      </w:rPr>
    </w:sdtEndPr>
    <w:sdtContent>
      <w:sdt>
        <w:sdtPr>
          <w:rPr>
            <w:rFonts w:ascii="Book Antiqua" w:hAnsi="Book Antiqua"/>
            <w:sz w:val="24"/>
            <w:szCs w:val="24"/>
          </w:rPr>
          <w:id w:val="-170523852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29</w:t>
            </w:r>
            <w:r>
              <w:rPr>
                <w:rFonts w:ascii="Book Antiqua" w:hAnsi="Book Antiqua"/>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3473"/>
    <w:rsid w:val="000114A7"/>
    <w:rsid w:val="0003150A"/>
    <w:rsid w:val="00063FE3"/>
    <w:rsid w:val="0007617F"/>
    <w:rsid w:val="00091683"/>
    <w:rsid w:val="000B4263"/>
    <w:rsid w:val="000C1D93"/>
    <w:rsid w:val="000C6E42"/>
    <w:rsid w:val="000D72E0"/>
    <w:rsid w:val="000F4FC5"/>
    <w:rsid w:val="00105EDC"/>
    <w:rsid w:val="00106846"/>
    <w:rsid w:val="0012023A"/>
    <w:rsid w:val="001519C4"/>
    <w:rsid w:val="00154B12"/>
    <w:rsid w:val="00173786"/>
    <w:rsid w:val="001951DF"/>
    <w:rsid w:val="001A492D"/>
    <w:rsid w:val="001E790C"/>
    <w:rsid w:val="0023793C"/>
    <w:rsid w:val="00277CB9"/>
    <w:rsid w:val="002B28DF"/>
    <w:rsid w:val="002D52B6"/>
    <w:rsid w:val="002E3296"/>
    <w:rsid w:val="00302CBB"/>
    <w:rsid w:val="00303585"/>
    <w:rsid w:val="003035D0"/>
    <w:rsid w:val="00304C51"/>
    <w:rsid w:val="0031536F"/>
    <w:rsid w:val="003161F5"/>
    <w:rsid w:val="00360D46"/>
    <w:rsid w:val="00373914"/>
    <w:rsid w:val="00374470"/>
    <w:rsid w:val="0037521A"/>
    <w:rsid w:val="00382AD4"/>
    <w:rsid w:val="003872B5"/>
    <w:rsid w:val="003E344C"/>
    <w:rsid w:val="00406E4E"/>
    <w:rsid w:val="004472E8"/>
    <w:rsid w:val="00447BD0"/>
    <w:rsid w:val="00462154"/>
    <w:rsid w:val="004C74CE"/>
    <w:rsid w:val="004D641B"/>
    <w:rsid w:val="005656DB"/>
    <w:rsid w:val="005953D8"/>
    <w:rsid w:val="005B145D"/>
    <w:rsid w:val="005D22A4"/>
    <w:rsid w:val="005F6F81"/>
    <w:rsid w:val="00604870"/>
    <w:rsid w:val="006223D8"/>
    <w:rsid w:val="0068703E"/>
    <w:rsid w:val="006B1F9C"/>
    <w:rsid w:val="006F1627"/>
    <w:rsid w:val="00761A7B"/>
    <w:rsid w:val="00771B86"/>
    <w:rsid w:val="00780D58"/>
    <w:rsid w:val="007A07EC"/>
    <w:rsid w:val="007B2C89"/>
    <w:rsid w:val="007E5F98"/>
    <w:rsid w:val="00833232"/>
    <w:rsid w:val="008432AB"/>
    <w:rsid w:val="00860BD2"/>
    <w:rsid w:val="00863A4B"/>
    <w:rsid w:val="00870890"/>
    <w:rsid w:val="00890A5A"/>
    <w:rsid w:val="00894F64"/>
    <w:rsid w:val="00907F4F"/>
    <w:rsid w:val="009651F3"/>
    <w:rsid w:val="00987555"/>
    <w:rsid w:val="009D3C6C"/>
    <w:rsid w:val="009F7EE1"/>
    <w:rsid w:val="00A320AE"/>
    <w:rsid w:val="00A452D3"/>
    <w:rsid w:val="00A54638"/>
    <w:rsid w:val="00A72C4C"/>
    <w:rsid w:val="00A73A84"/>
    <w:rsid w:val="00A77B3E"/>
    <w:rsid w:val="00A846A3"/>
    <w:rsid w:val="00A963FF"/>
    <w:rsid w:val="00AB5182"/>
    <w:rsid w:val="00AE21BC"/>
    <w:rsid w:val="00AE7C27"/>
    <w:rsid w:val="00AF4DB4"/>
    <w:rsid w:val="00B14D76"/>
    <w:rsid w:val="00B25C5E"/>
    <w:rsid w:val="00B26D13"/>
    <w:rsid w:val="00B967C0"/>
    <w:rsid w:val="00BA34A2"/>
    <w:rsid w:val="00BC3734"/>
    <w:rsid w:val="00BD6308"/>
    <w:rsid w:val="00BD7924"/>
    <w:rsid w:val="00BF1BB5"/>
    <w:rsid w:val="00C20326"/>
    <w:rsid w:val="00C2187A"/>
    <w:rsid w:val="00C22438"/>
    <w:rsid w:val="00C23604"/>
    <w:rsid w:val="00C34821"/>
    <w:rsid w:val="00C42F70"/>
    <w:rsid w:val="00C4341A"/>
    <w:rsid w:val="00C5595F"/>
    <w:rsid w:val="00CA07E5"/>
    <w:rsid w:val="00CA2A55"/>
    <w:rsid w:val="00CA325F"/>
    <w:rsid w:val="00CA36F0"/>
    <w:rsid w:val="00CE15A9"/>
    <w:rsid w:val="00CF41FB"/>
    <w:rsid w:val="00CF6006"/>
    <w:rsid w:val="00D10DEB"/>
    <w:rsid w:val="00D3067D"/>
    <w:rsid w:val="00D554FB"/>
    <w:rsid w:val="00D7567B"/>
    <w:rsid w:val="00DB680F"/>
    <w:rsid w:val="00DF46DF"/>
    <w:rsid w:val="00E06C67"/>
    <w:rsid w:val="00E06CFD"/>
    <w:rsid w:val="00E11699"/>
    <w:rsid w:val="00E2590F"/>
    <w:rsid w:val="00E447A5"/>
    <w:rsid w:val="00E46A0B"/>
    <w:rsid w:val="00E5180B"/>
    <w:rsid w:val="00E566BD"/>
    <w:rsid w:val="00E636E5"/>
    <w:rsid w:val="00E821DE"/>
    <w:rsid w:val="00E9075E"/>
    <w:rsid w:val="00E97C46"/>
    <w:rsid w:val="00EC07B0"/>
    <w:rsid w:val="00EF497D"/>
    <w:rsid w:val="00F04F7C"/>
    <w:rsid w:val="00F169E6"/>
    <w:rsid w:val="00F3624A"/>
    <w:rsid w:val="00F664AF"/>
    <w:rsid w:val="00F74378"/>
    <w:rsid w:val="00F82097"/>
    <w:rsid w:val="00F92022"/>
    <w:rsid w:val="00F96FB0"/>
    <w:rsid w:val="00FB74A0"/>
    <w:rsid w:val="2FC63BC6"/>
    <w:rsid w:val="54C4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uiPriority="0"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pPr>
      <w:spacing w:after="200"/>
    </w:pPr>
    <w:rPr>
      <w:rFonts w:eastAsia="Times New Roman"/>
      <w:i/>
      <w:iCs/>
      <w:color w:val="1F497D" w:themeColor="text2"/>
      <w:sz w:val="18"/>
      <w:szCs w:val="18"/>
      <w:lang w:eastAsia="en-GB"/>
      <w14:textFill>
        <w14:solidFill>
          <w14:schemeClr w14:val="tx2"/>
        </w14:solidFill>
      </w14:textFill>
    </w:rPr>
  </w:style>
  <w:style w:type="paragraph" w:styleId="3">
    <w:name w:val="annotation text"/>
    <w:basedOn w:val="1"/>
    <w:link w:val="17"/>
    <w:unhideWhenUsed/>
    <w:qFormat/>
    <w:uiPriority w:val="0"/>
  </w:style>
  <w:style w:type="paragraph" w:styleId="4">
    <w:name w:val="Balloon Text"/>
    <w:basedOn w:val="1"/>
    <w:link w:val="16"/>
    <w:semiHidden/>
    <w:unhideWhenUsed/>
    <w:qFormat/>
    <w:uiPriority w:val="0"/>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uiPriority w:val="0"/>
    <w:rPr>
      <w:b/>
      <w:bCs/>
    </w:rPr>
  </w:style>
  <w:style w:type="character" w:styleId="10">
    <w:name w:val="Hyperlink"/>
    <w:basedOn w:val="9"/>
    <w:unhideWhenUsed/>
    <w:uiPriority w:val="0"/>
    <w:rPr>
      <w:color w:val="0000FF" w:themeColor="hyperlink"/>
      <w:u w:val="single"/>
      <w14:textFill>
        <w14:solidFill>
          <w14:schemeClr w14:val="hlink"/>
        </w14:solidFill>
      </w14:textFill>
    </w:rPr>
  </w:style>
  <w:style w:type="character" w:styleId="11">
    <w:name w:val="annotation reference"/>
    <w:basedOn w:val="9"/>
    <w:semiHidden/>
    <w:unhideWhenUsed/>
    <w:uiPriority w:val="0"/>
    <w:rPr>
      <w:sz w:val="21"/>
      <w:szCs w:val="21"/>
    </w:rPr>
  </w:style>
  <w:style w:type="character" w:customStyle="1" w:styleId="12">
    <w:name w:val="页眉 字符"/>
    <w:basedOn w:val="9"/>
    <w:link w:val="6"/>
    <w:uiPriority w:val="0"/>
    <w:rPr>
      <w:sz w:val="18"/>
      <w:szCs w:val="18"/>
    </w:rPr>
  </w:style>
  <w:style w:type="character" w:customStyle="1" w:styleId="13">
    <w:name w:val="页脚 字符"/>
    <w:basedOn w:val="9"/>
    <w:link w:val="5"/>
    <w:qFormat/>
    <w:uiPriority w:val="99"/>
    <w:rPr>
      <w:sz w:val="18"/>
      <w:szCs w:val="18"/>
    </w:rPr>
  </w:style>
  <w:style w:type="table" w:customStyle="1" w:styleId="14">
    <w:name w:val="Grid Table Light"/>
    <w:basedOn w:val="8"/>
    <w:qFormat/>
    <w:uiPriority w:val="40"/>
    <w:rPr>
      <w:rFonts w:asciiTheme="minorHAnsi" w:hAnsiTheme="minorHAnsi" w:cstheme="minorBidi"/>
      <w:sz w:val="24"/>
      <w:szCs w:val="24"/>
      <w:lang w:val="en-GB"/>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5">
    <w:name w:val="Plain Table 1"/>
    <w:basedOn w:val="8"/>
    <w:qFormat/>
    <w:uiPriority w:val="41"/>
    <w:rPr>
      <w:rFonts w:asciiTheme="minorHAnsi" w:hAnsiTheme="minorHAnsi" w:cstheme="minorBidi"/>
      <w:sz w:val="24"/>
      <w:szCs w:val="24"/>
      <w:lang w:val="en-GB"/>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批注框文本 字符"/>
    <w:basedOn w:val="9"/>
    <w:link w:val="4"/>
    <w:semiHidden/>
    <w:uiPriority w:val="0"/>
    <w:rPr>
      <w:sz w:val="18"/>
      <w:szCs w:val="18"/>
    </w:rPr>
  </w:style>
  <w:style w:type="character" w:customStyle="1" w:styleId="17">
    <w:name w:val="批注文字 字符"/>
    <w:basedOn w:val="9"/>
    <w:link w:val="3"/>
    <w:uiPriority w:val="0"/>
    <w:rPr>
      <w:sz w:val="24"/>
      <w:szCs w:val="24"/>
    </w:rPr>
  </w:style>
  <w:style w:type="character" w:customStyle="1" w:styleId="18">
    <w:name w:val="批注主题 字符"/>
    <w:basedOn w:val="17"/>
    <w:link w:val="7"/>
    <w:semiHidden/>
    <w:qFormat/>
    <w:uiPriority w:val="0"/>
    <w:rPr>
      <w:b/>
      <w:bCs/>
      <w:sz w:val="24"/>
      <w:szCs w:val="24"/>
    </w:rPr>
  </w:style>
  <w:style w:type="paragraph" w:customStyle="1" w:styleId="19">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20">
    <w:name w:val="Unresolved Mention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01EF-513D-42E1-B832-8FD10E455596}">
  <ds:schemaRefs/>
</ds:datastoreItem>
</file>

<file path=docProps/app.xml><?xml version="1.0" encoding="utf-8"?>
<Properties xmlns="http://schemas.openxmlformats.org/officeDocument/2006/extended-properties" xmlns:vt="http://schemas.openxmlformats.org/officeDocument/2006/docPropsVTypes">
  <Template>Normal</Template>
  <Pages>31</Pages>
  <Words>5341</Words>
  <Characters>31530</Characters>
  <Lines>264</Lines>
  <Paragraphs>74</Paragraphs>
  <TotalTime>0</TotalTime>
  <ScaleCrop>false</ScaleCrop>
  <LinksUpToDate>false</LinksUpToDate>
  <CharactersWithSpaces>36455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2022-09-01T18:07:00Z</dcterms:created>
  <dcterms:modified xsi:type="dcterms:W3CDTF">2022-09-27T08:16:30Z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7512E1EE23FB4C99B8F1E680BC8127BD</vt:lpwstr>
  </property>
</Properties>
</file>