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78064</w:t>
      </w:r>
    </w:p>
    <w:p>
      <w:pPr>
        <w:spacing w:line="360" w:lineRule="auto"/>
        <w:jc w:val="both"/>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LETTER TO THE EDITOR</w:t>
      </w:r>
    </w:p>
    <w:p>
      <w:pPr>
        <w:spacing w:line="360" w:lineRule="auto"/>
        <w:jc w:val="both"/>
      </w:pPr>
    </w:p>
    <w:p>
      <w:pPr>
        <w:spacing w:line="360" w:lineRule="auto"/>
        <w:jc w:val="both"/>
      </w:pPr>
      <w:r>
        <w:rPr>
          <w:rFonts w:hint="eastAsia" w:ascii="Book Antiqua" w:hAnsi="Book Antiqua" w:cs="Book Antiqua"/>
          <w:b/>
          <w:color w:val="000000"/>
        </w:rPr>
        <w:t>T</w:t>
      </w:r>
      <w:r>
        <w:rPr>
          <w:rFonts w:ascii="Book Antiqua" w:hAnsi="Book Antiqua" w:eastAsia="Book Antiqua" w:cs="Book Antiqua"/>
          <w:b/>
          <w:color w:val="000000"/>
        </w:rPr>
        <w:t>umor invasion front in oral squamous cell carcinoma</w:t>
      </w:r>
    </w:p>
    <w:p>
      <w:pPr>
        <w:spacing w:line="360" w:lineRule="auto"/>
        <w:jc w:val="both"/>
      </w:pPr>
    </w:p>
    <w:p>
      <w:pPr>
        <w:spacing w:line="360" w:lineRule="auto"/>
        <w:jc w:val="both"/>
      </w:pPr>
      <w:r>
        <w:rPr>
          <w:rFonts w:ascii="Book Antiqua" w:hAnsi="Book Antiqua" w:eastAsia="Book Antiqua" w:cs="Book Antiqua"/>
          <w:color w:val="000000"/>
        </w:rPr>
        <w:t xml:space="preserve">Cuevas-González </w:t>
      </w:r>
      <w:r>
        <w:rPr>
          <w:rFonts w:hint="eastAsia" w:ascii="Book Antiqua" w:hAnsi="Book Antiqua" w:cs="Book Antiqua"/>
          <w:color w:val="000000"/>
        </w:rPr>
        <w:t xml:space="preserve">JC </w:t>
      </w:r>
      <w:r>
        <w:rPr>
          <w:rFonts w:hint="eastAsia" w:ascii="Book Antiqua" w:hAnsi="Book Antiqua" w:cs="Book Antiqua"/>
          <w:i/>
          <w:color w:val="000000"/>
        </w:rPr>
        <w:t>et al</w:t>
      </w:r>
      <w:r>
        <w:rPr>
          <w:rFonts w:hint="eastAsia" w:ascii="Book Antiqua" w:hAnsi="Book Antiqua" w:cs="Book Antiqua"/>
          <w:color w:val="000000"/>
        </w:rPr>
        <w:t xml:space="preserve">. </w:t>
      </w:r>
      <w:r>
        <w:rPr>
          <w:rFonts w:ascii="Book Antiqua" w:hAnsi="Book Antiqua" w:eastAsia="Book Antiqua" w:cs="Book Antiqua"/>
          <w:color w:val="000000"/>
        </w:rPr>
        <w:t>Tumor invasion front in squamous carcinoma</w:t>
      </w:r>
    </w:p>
    <w:p>
      <w:pPr>
        <w:spacing w:line="360" w:lineRule="auto"/>
        <w:jc w:val="both"/>
      </w:pPr>
    </w:p>
    <w:p>
      <w:pPr>
        <w:spacing w:line="360" w:lineRule="auto"/>
        <w:jc w:val="both"/>
        <w:rPr>
          <w:lang w:val="es-MX"/>
        </w:rPr>
      </w:pPr>
      <w:r>
        <w:rPr>
          <w:rFonts w:ascii="Book Antiqua" w:hAnsi="Book Antiqua" w:eastAsia="Book Antiqua" w:cs="Book Antiqua"/>
          <w:color w:val="000000"/>
          <w:lang w:val="es-MX"/>
        </w:rPr>
        <w:t>Juan Carlos Cuevas-González, Maria Veronica Cuevas-González, Leon Francisco Espinosa-Cristobal, Alejandro Donohue Cornejo</w:t>
      </w:r>
    </w:p>
    <w:p>
      <w:pPr>
        <w:spacing w:line="360" w:lineRule="auto"/>
        <w:jc w:val="both"/>
        <w:rPr>
          <w:lang w:val="es-MX"/>
        </w:rPr>
      </w:pPr>
    </w:p>
    <w:p>
      <w:pPr>
        <w:spacing w:line="360" w:lineRule="auto"/>
        <w:jc w:val="both"/>
        <w:rPr>
          <w:lang w:val="es-MX"/>
        </w:rPr>
      </w:pPr>
      <w:r>
        <w:rPr>
          <w:rFonts w:ascii="Book Antiqua" w:hAnsi="Book Antiqua" w:eastAsia="Book Antiqua" w:cs="Book Antiqua"/>
          <w:b/>
          <w:bCs/>
          <w:color w:val="000000"/>
          <w:lang w:val="es-MX"/>
        </w:rPr>
        <w:t xml:space="preserve">Juan Carlos Cuevas-González, Leon Francisco Espinosa-Cristobal, Alejandro Donohue Cornejo, </w:t>
      </w:r>
      <w:r>
        <w:rPr>
          <w:rFonts w:ascii="Book Antiqua" w:hAnsi="Book Antiqua" w:eastAsia="Book Antiqua" w:cs="Book Antiqua"/>
          <w:color w:val="000000"/>
          <w:lang w:val="es-MX"/>
        </w:rPr>
        <w:t>Institute of Biomedical Sciences, Universidad Autonoma de Ciudad Juarez, Juarez 32320, Chihuahua, Mexico</w:t>
      </w:r>
    </w:p>
    <w:p>
      <w:pPr>
        <w:spacing w:line="360" w:lineRule="auto"/>
        <w:jc w:val="both"/>
        <w:rPr>
          <w:lang w:val="es-MX"/>
        </w:rPr>
      </w:pPr>
    </w:p>
    <w:p>
      <w:pPr>
        <w:spacing w:line="360" w:lineRule="auto"/>
        <w:jc w:val="both"/>
        <w:rPr>
          <w:lang w:val="es-MX"/>
        </w:rPr>
      </w:pPr>
      <w:r>
        <w:rPr>
          <w:rFonts w:ascii="Book Antiqua" w:hAnsi="Book Antiqua" w:eastAsia="Book Antiqua" w:cs="Book Antiqua"/>
          <w:b/>
          <w:bCs/>
          <w:color w:val="000000"/>
          <w:lang w:val="es-MX"/>
        </w:rPr>
        <w:t xml:space="preserve">Maria Veronica Cuevas-González, </w:t>
      </w:r>
      <w:r>
        <w:rPr>
          <w:rFonts w:ascii="Book Antiqua" w:hAnsi="Book Antiqua" w:eastAsia="Book Antiqua" w:cs="Book Antiqua"/>
          <w:color w:val="000000"/>
          <w:lang w:val="es-MX"/>
        </w:rPr>
        <w:t>Faculty of Health Sciences Valle de las Palmas, Universidad Autonoma de Baja California, Tijuana 21480, Baja California, Mexico</w:t>
      </w:r>
    </w:p>
    <w:p>
      <w:pPr>
        <w:spacing w:line="360" w:lineRule="auto"/>
        <w:jc w:val="both"/>
        <w:rPr>
          <w:lang w:val="es-MX"/>
        </w:rPr>
      </w:pPr>
    </w:p>
    <w:p>
      <w:pPr>
        <w:spacing w:line="360" w:lineRule="auto"/>
        <w:jc w:val="both"/>
      </w:pPr>
      <w:r>
        <w:rPr>
          <w:rFonts w:ascii="Book Antiqua" w:hAnsi="Book Antiqua" w:eastAsia="Book Antiqua" w:cs="Book Antiqua"/>
          <w:b/>
          <w:bCs/>
          <w:color w:val="000000"/>
          <w:szCs w:val="22"/>
        </w:rPr>
        <w:t xml:space="preserve">Author contributions: </w:t>
      </w:r>
      <w:r>
        <w:rPr>
          <w:rFonts w:ascii="Book Antiqua" w:hAnsi="Book Antiqua" w:eastAsia="Book Antiqua" w:cs="Book Antiqua"/>
          <w:color w:val="000000"/>
        </w:rPr>
        <w:t>Cuevas</w:t>
      </w:r>
      <w:r>
        <w:rPr>
          <w:rFonts w:hint="eastAsia" w:ascii="Book Antiqua" w:hAnsi="Book Antiqua" w:cs="Book Antiqua"/>
          <w:color w:val="000000"/>
        </w:rPr>
        <w:t>-</w:t>
      </w:r>
      <w:r>
        <w:rPr>
          <w:rFonts w:ascii="Book Antiqua" w:hAnsi="Book Antiqua" w:eastAsia="Book Antiqua" w:cs="Book Antiqua"/>
          <w:color w:val="000000"/>
        </w:rPr>
        <w:t>Gonzalez MV wrote the letter; Cuevas</w:t>
      </w:r>
      <w:r>
        <w:rPr>
          <w:rFonts w:hint="eastAsia" w:ascii="Book Antiqua" w:hAnsi="Book Antiqua" w:cs="Book Antiqua"/>
          <w:color w:val="000000"/>
        </w:rPr>
        <w:t>-</w:t>
      </w:r>
      <w:r>
        <w:rPr>
          <w:rFonts w:ascii="Book Antiqua" w:hAnsi="Book Antiqua" w:eastAsia="Book Antiqua" w:cs="Book Antiqua"/>
          <w:color w:val="000000"/>
        </w:rPr>
        <w:t>Gonzalez JC and Donohue Cornejo A</w:t>
      </w:r>
      <w:r>
        <w:rPr>
          <w:rFonts w:hint="eastAsia" w:ascii="Book Antiqua" w:hAnsi="Book Antiqua" w:cs="Book Antiqua"/>
          <w:color w:val="000000"/>
        </w:rPr>
        <w:t xml:space="preserve"> </w:t>
      </w:r>
      <w:r>
        <w:rPr>
          <w:rFonts w:ascii="Book Antiqua" w:hAnsi="Book Antiqua" w:eastAsia="Book Antiqua" w:cs="Book Antiqua"/>
          <w:color w:val="000000"/>
        </w:rPr>
        <w:t>performed the histopathological analyses</w:t>
      </w:r>
      <w:r>
        <w:rPr>
          <w:rFonts w:hint="eastAsia" w:ascii="Book Antiqua" w:hAnsi="Book Antiqua" w:cs="Book Antiqua"/>
          <w:color w:val="000000"/>
        </w:rPr>
        <w:t>;</w:t>
      </w:r>
      <w:r>
        <w:rPr>
          <w:rFonts w:ascii="Book Antiqua" w:hAnsi="Book Antiqua" w:eastAsia="Book Antiqua" w:cs="Book Antiqua"/>
          <w:color w:val="000000"/>
        </w:rPr>
        <w:t xml:space="preserve"> Espinosa Cristóbal LF revised the letter</w:t>
      </w:r>
      <w:r>
        <w:rPr>
          <w:rFonts w:hint="eastAsia" w:ascii="Book Antiqua" w:hAnsi="Book Antiqua" w:cs="Book Antiqua"/>
          <w:color w:val="000000"/>
        </w:rPr>
        <w:t xml:space="preserve">; </w:t>
      </w:r>
      <w:r>
        <w:rPr>
          <w:rFonts w:ascii="Book Antiqua" w:hAnsi="Book Antiqua" w:cs="Book Antiqua"/>
          <w:color w:val="000000"/>
        </w:rPr>
        <w:t>A</w:t>
      </w:r>
      <w:r>
        <w:rPr>
          <w:rFonts w:ascii="Book Antiqua" w:hAnsi="Book Antiqua" w:eastAsia="Book Antiqua" w:cs="Book Antiqua"/>
          <w:color w:val="000000"/>
        </w:rPr>
        <w:t>ll authors have read and approved the final manuscript.</w:t>
      </w:r>
    </w:p>
    <w:p>
      <w:pPr>
        <w:spacing w:line="360" w:lineRule="auto"/>
        <w:jc w:val="both"/>
      </w:pPr>
    </w:p>
    <w:p>
      <w:pPr>
        <w:spacing w:line="360" w:lineRule="auto"/>
        <w:jc w:val="both"/>
      </w:pPr>
      <w:r>
        <w:rPr>
          <w:rFonts w:ascii="Book Antiqua" w:hAnsi="Book Antiqua" w:eastAsia="Book Antiqua" w:cs="Book Antiqua"/>
          <w:b/>
          <w:bCs/>
          <w:color w:val="000000"/>
        </w:rPr>
        <w:t xml:space="preserve">Corresponding author: Alejandro Donohue Cornejo, PhD, Academic Research, </w:t>
      </w:r>
      <w:r>
        <w:rPr>
          <w:rFonts w:ascii="Book Antiqua" w:hAnsi="Book Antiqua" w:eastAsia="Book Antiqua" w:cs="Book Antiqua"/>
          <w:color w:val="000000"/>
        </w:rPr>
        <w:t xml:space="preserve">Institute of Biomedical Sciences, Universidad Autonoma de Ciudad Juarez, Av. Benjamín Franklin </w:t>
      </w:r>
      <w:r>
        <w:rPr>
          <w:rFonts w:hint="eastAsia" w:ascii="Book Antiqua" w:hAnsi="Book Antiqua" w:cs="Book Antiqua"/>
          <w:color w:val="000000"/>
        </w:rPr>
        <w:t>N</w:t>
      </w:r>
      <w:r>
        <w:rPr>
          <w:rFonts w:ascii="Book Antiqua" w:hAnsi="Book Antiqua" w:eastAsia="Book Antiqua" w:cs="Book Antiqua"/>
          <w:color w:val="000000"/>
        </w:rPr>
        <w:t>o. 4650, Zona Pronaf Condominio La Plata, Juarez 323</w:t>
      </w:r>
      <w:r>
        <w:rPr>
          <w:rFonts w:hint="eastAsia" w:ascii="Book Antiqua" w:hAnsi="Book Antiqua" w:cs="Book Antiqua"/>
          <w:color w:val="000000"/>
        </w:rPr>
        <w:t>2</w:t>
      </w:r>
      <w:r>
        <w:rPr>
          <w:rFonts w:ascii="Book Antiqua" w:hAnsi="Book Antiqua" w:eastAsia="Book Antiqua" w:cs="Book Antiqua"/>
          <w:color w:val="000000"/>
        </w:rPr>
        <w:t>0, Chihuahua, Mexico. adonohue@uacj.mx</w:t>
      </w:r>
    </w:p>
    <w:p>
      <w:pPr>
        <w:spacing w:line="360" w:lineRule="auto"/>
        <w:jc w:val="both"/>
      </w:pPr>
    </w:p>
    <w:p>
      <w:pPr>
        <w:spacing w:line="360" w:lineRule="auto"/>
        <w:jc w:val="both"/>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June 6, 2022</w:t>
      </w:r>
    </w:p>
    <w:p>
      <w:pPr>
        <w:spacing w:line="360" w:lineRule="auto"/>
        <w:jc w:val="both"/>
      </w:pPr>
      <w:r>
        <w:rPr>
          <w:rFonts w:ascii="Book Antiqua" w:hAnsi="Book Antiqua" w:eastAsia="Book Antiqua" w:cs="Book Antiqua"/>
          <w:b/>
          <w:bCs/>
          <w:color w:val="000000"/>
        </w:rPr>
        <w:t xml:space="preserve">Revised: </w:t>
      </w:r>
      <w:r>
        <w:rPr>
          <w:rFonts w:hint="eastAsia" w:ascii="Book Antiqua" w:hAnsi="Book Antiqua" w:cs="Book Antiqua"/>
          <w:bCs/>
          <w:color w:val="000000"/>
        </w:rPr>
        <w:t>August 13, 2022</w:t>
      </w:r>
    </w:p>
    <w:p>
      <w:pPr>
        <w:spacing w:line="360" w:lineRule="auto"/>
        <w:jc w:val="both"/>
      </w:pPr>
      <w:r>
        <w:rPr>
          <w:rFonts w:ascii="Book Antiqua" w:hAnsi="Book Antiqua" w:eastAsia="Book Antiqua" w:cs="Book Antiqua"/>
          <w:b/>
          <w:bCs/>
          <w:color w:val="000000"/>
        </w:rPr>
        <w:t xml:space="preserve">Accepted: </w:t>
      </w:r>
      <w:r>
        <w:rPr>
          <w:rFonts w:ascii="Book Antiqua" w:hAnsi="Book Antiqua" w:eastAsia="Book Antiqua" w:cs="Book Antiqua"/>
          <w:color w:val="000000"/>
        </w:rPr>
        <w:t>August 30, 2022</w:t>
      </w:r>
    </w:p>
    <w:p>
      <w:pPr>
        <w:rPr>
          <w:rFonts w:hint="eastAsia"/>
        </w:rPr>
      </w:pPr>
      <w:r>
        <w:rPr>
          <w:rFonts w:ascii="Book Antiqua" w:hAnsi="Book Antiqua" w:eastAsia="Book Antiqua" w:cs="Book Antiqua"/>
          <w:b/>
          <w:bCs/>
          <w:color w:val="000000"/>
        </w:rPr>
        <w:t xml:space="preserve">Published online: </w:t>
      </w:r>
      <w:r>
        <w:rPr>
          <w:rFonts w:ascii="Book Antiqua" w:hAnsi="Book Antiqua"/>
          <w:color w:val="000000"/>
          <w:shd w:val="clear" w:color="auto" w:fill="FFFFFF"/>
        </w:rPr>
        <w:t>October 6, 2022</w:t>
      </w:r>
    </w:p>
    <w:p>
      <w:pPr>
        <w:spacing w:line="360" w:lineRule="auto"/>
        <w:jc w:val="both"/>
      </w:pPr>
    </w:p>
    <w:p>
      <w:pPr>
        <w:spacing w:line="360" w:lineRule="auto"/>
        <w:jc w:val="both"/>
      </w:pPr>
    </w:p>
    <w:p>
      <w:pPr>
        <w:spacing w:line="360" w:lineRule="auto"/>
        <w:jc w:val="both"/>
      </w:pPr>
      <w:r>
        <w:rPr>
          <w:rFonts w:ascii="Book Antiqua" w:hAnsi="Book Antiqua" w:eastAsia="Book Antiqua" w:cs="Book Antiqua"/>
          <w:b/>
          <w:color w:val="000000"/>
        </w:rPr>
        <w:t>Abstract</w:t>
      </w:r>
    </w:p>
    <w:p>
      <w:pPr>
        <w:spacing w:line="360" w:lineRule="auto"/>
        <w:jc w:val="both"/>
      </w:pPr>
      <w:r>
        <w:rPr>
          <w:rFonts w:ascii="Book Antiqua" w:hAnsi="Book Antiqua" w:eastAsia="Book Antiqua" w:cs="Book Antiqua"/>
          <w:color w:val="000000"/>
        </w:rPr>
        <w:t>Oral squamous cell carcinoma is a neoplasm that originates from the epithelial mucosa. It is usually more frequent between the fifth and sixth decades of life, and more than 90% of carcinomas of the oral cavity are squamous cell carcinoma.</w:t>
      </w:r>
      <w:r>
        <w:rPr>
          <w:rFonts w:ascii="Book Antiqua" w:hAnsi="Book Antiqua" w:eastAsia="Book Antiqua" w:cs="Book Antiqua"/>
          <w:color w:val="000000"/>
          <w:szCs w:val="30"/>
          <w:vertAlign w:val="superscript"/>
        </w:rPr>
        <w:t xml:space="preserve"> </w:t>
      </w:r>
      <w:r>
        <w:rPr>
          <w:rFonts w:ascii="Book Antiqua" w:hAnsi="Book Antiqua" w:eastAsia="Book Antiqua" w:cs="Book Antiqua"/>
          <w:color w:val="000000"/>
        </w:rPr>
        <w:t>It is an invasive neoplasia with a significant recurrence rate; 40% of patients present with metastases in the cervical lymph nodes at the time of diagnosis. The tumor invasion front</w:t>
      </w:r>
      <w:r>
        <w:rPr>
          <w:rFonts w:hint="eastAsia" w:ascii="Book Antiqua" w:hAnsi="Book Antiqua" w:cs="Book Antiqua"/>
          <w:color w:val="000000"/>
        </w:rPr>
        <w:t xml:space="preserve"> </w:t>
      </w:r>
      <w:r>
        <w:rPr>
          <w:rFonts w:ascii="Book Antiqua" w:hAnsi="Book Antiqua" w:eastAsia="Book Antiqua" w:cs="Book Antiqua"/>
          <w:color w:val="000000"/>
        </w:rPr>
        <w:t xml:space="preserve">is a characteristic of tumor growth, which can be infiltrative or noninvasive. The histopathological parameters examined include the number of mitoses, depth of the tumor, invasion pattern, degree of keratinization, and nuclear pleomorphism. For the pathologist, these parameters are routinely evaluated but are not reported to the treating physician in all cases, which we consider to be useful information when determining the therapeutic route. </w:t>
      </w:r>
    </w:p>
    <w:p>
      <w:pPr>
        <w:spacing w:line="360" w:lineRule="auto"/>
        <w:jc w:val="both"/>
      </w:pPr>
    </w:p>
    <w:p>
      <w:pPr>
        <w:spacing w:line="360" w:lineRule="auto"/>
        <w:jc w:val="both"/>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 xml:space="preserve">Oral squamous cell carcinoma; </w:t>
      </w:r>
      <w:r>
        <w:rPr>
          <w:rFonts w:hint="eastAsia" w:ascii="Book Antiqua" w:hAnsi="Book Antiqua" w:cs="Book Antiqua"/>
          <w:color w:val="000000"/>
        </w:rPr>
        <w:t>I</w:t>
      </w:r>
      <w:r>
        <w:rPr>
          <w:rFonts w:ascii="Book Antiqua" w:hAnsi="Book Antiqua" w:eastAsia="Book Antiqua" w:cs="Book Antiqua"/>
          <w:color w:val="000000"/>
        </w:rPr>
        <w:t xml:space="preserve">nvasive neoplasia; </w:t>
      </w:r>
      <w:r>
        <w:rPr>
          <w:rFonts w:hint="eastAsia" w:ascii="Book Antiqua" w:hAnsi="Book Antiqua" w:cs="Book Antiqua"/>
          <w:color w:val="000000"/>
        </w:rPr>
        <w:t>T</w:t>
      </w:r>
      <w:r>
        <w:rPr>
          <w:rFonts w:ascii="Book Antiqua" w:hAnsi="Book Antiqua" w:eastAsia="Book Antiqua" w:cs="Book Antiqua"/>
          <w:color w:val="000000"/>
        </w:rPr>
        <w:t xml:space="preserve">herapeutic route; </w:t>
      </w:r>
      <w:r>
        <w:rPr>
          <w:rFonts w:hint="eastAsia" w:ascii="Book Antiqua" w:hAnsi="Book Antiqua" w:cs="Book Antiqua"/>
          <w:color w:val="000000"/>
        </w:rPr>
        <w:t>L</w:t>
      </w:r>
      <w:r>
        <w:rPr>
          <w:rFonts w:ascii="Book Antiqua" w:hAnsi="Book Antiqua" w:eastAsia="Book Antiqua" w:cs="Book Antiqua"/>
          <w:color w:val="000000"/>
        </w:rPr>
        <w:t xml:space="preserve">ife; </w:t>
      </w:r>
      <w:r>
        <w:rPr>
          <w:rFonts w:hint="eastAsia" w:ascii="Book Antiqua" w:hAnsi="Book Antiqua" w:cs="Book Antiqua"/>
          <w:color w:val="000000"/>
        </w:rPr>
        <w:t>T</w:t>
      </w:r>
      <w:r>
        <w:rPr>
          <w:rFonts w:ascii="Book Antiqua" w:hAnsi="Book Antiqua" w:eastAsia="Book Antiqua" w:cs="Book Antiqua"/>
          <w:color w:val="000000"/>
        </w:rPr>
        <w:t>umor growth</w:t>
      </w:r>
      <w:r>
        <w:rPr>
          <w:rFonts w:hint="eastAsia" w:ascii="Book Antiqua" w:hAnsi="Book Antiqua" w:cs="Book Antiqua"/>
          <w:color w:val="000000"/>
        </w:rPr>
        <w:t>; P</w:t>
      </w:r>
      <w:r>
        <w:rPr>
          <w:rFonts w:ascii="Book Antiqua" w:hAnsi="Book Antiqua" w:cs="Book Antiqua"/>
          <w:color w:val="000000"/>
        </w:rPr>
        <w:t>leomorphism</w:t>
      </w:r>
    </w:p>
    <w:p>
      <w:pPr>
        <w:spacing w:line="360" w:lineRule="auto"/>
        <w:jc w:val="both"/>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pPr>
    </w:p>
    <w:p>
      <w:pPr>
        <w:spacing w:line="360" w:lineRule="auto"/>
        <w:jc w:val="both"/>
        <w:rPr>
          <w:rFonts w:hint="eastAsia"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Cuevas-González JC, Cuevas-González MV, Espinosa-Cristobal LF, Donohue Cornejo A. </w:t>
      </w:r>
      <w:r>
        <w:rPr>
          <w:rFonts w:hint="eastAsia" w:ascii="Book Antiqua" w:hAnsi="Book Antiqua" w:cs="Book Antiqua"/>
          <w:color w:val="000000"/>
        </w:rPr>
        <w:t>T</w:t>
      </w:r>
      <w:r>
        <w:rPr>
          <w:rFonts w:ascii="Book Antiqua" w:hAnsi="Book Antiqua" w:eastAsia="Book Antiqua" w:cs="Book Antiqua"/>
          <w:color w:val="000000"/>
        </w:rPr>
        <w:t xml:space="preserve">umor invasion front in oral squamous cell carcinoma.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w:t>
      </w:r>
      <w:r>
        <w:rPr>
          <w:rFonts w:hint="eastAsia" w:ascii="Book Antiqua" w:hAnsi="Book Antiqua" w:eastAsia="Book Antiqua" w:cs="Book Antiqua"/>
          <w:color w:val="000000"/>
        </w:rPr>
        <w:t>10(2</w:t>
      </w:r>
      <w:r>
        <w:rPr>
          <w:rFonts w:hint="eastAsia" w:ascii="Book Antiqua" w:hAnsi="Book Antiqua" w:eastAsia="宋体" w:cs="Book Antiqua"/>
          <w:color w:val="000000"/>
          <w:lang w:val="en-US" w:eastAsia="zh-CN"/>
        </w:rPr>
        <w:t>8</w:t>
      </w:r>
      <w:r>
        <w:rPr>
          <w:rFonts w:hint="eastAsia" w:ascii="Book Antiqua" w:hAnsi="Book Antiqua" w:eastAsia="Book Antiqua" w:cs="Book Antiqua"/>
          <w:color w:val="000000"/>
        </w:rPr>
        <w:t xml:space="preserve">): </w:t>
      </w:r>
      <w:r>
        <w:rPr>
          <w:rFonts w:hint="default" w:ascii="Book Antiqua" w:hAnsi="Book Antiqua" w:eastAsia="宋体" w:cs="Book Antiqua"/>
          <w:i w:val="0"/>
          <w:iCs w:val="0"/>
          <w:color w:val="000000"/>
          <w:kern w:val="0"/>
          <w:sz w:val="24"/>
          <w:szCs w:val="24"/>
          <w:u w:val="none"/>
          <w:lang w:val="en-US" w:eastAsia="zh-CN" w:bidi="ar"/>
        </w:rPr>
        <w:t>10387-10390</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b w:val="0"/>
          <w:bCs w:val="0"/>
          <w:color w:val="000000"/>
        </w:rPr>
        <w:t>:</w:t>
      </w:r>
      <w:r>
        <w:rPr>
          <w:rFonts w:hint="eastAsia" w:ascii="Book Antiqua" w:hAnsi="Book Antiqua" w:eastAsia="Book Antiqua" w:cs="Book Antiqua"/>
          <w:color w:val="000000"/>
        </w:rPr>
        <w:t xml:space="preserve"> https://www.wjgnet.com/2307-8960/full/v10/i2</w:t>
      </w:r>
      <w:r>
        <w:rPr>
          <w:rFonts w:hint="eastAsia" w:ascii="Book Antiqua" w:hAnsi="Book Antiqua" w:eastAsia="宋体" w:cs="Book Antiqua"/>
          <w:color w:val="000000"/>
          <w:lang w:val="en-US" w:eastAsia="zh-CN"/>
        </w:rPr>
        <w:t>8</w:t>
      </w:r>
      <w:r>
        <w:rPr>
          <w:rFonts w:hint="eastAsia" w:ascii="Book Antiqua" w:hAnsi="Book Antiqua" w:eastAsia="Book Antiqua" w:cs="Book Antiqua"/>
          <w:color w:val="000000"/>
        </w:rPr>
        <w:t>/</w:t>
      </w:r>
      <w:r>
        <w:rPr>
          <w:rFonts w:hint="default" w:ascii="Book Antiqua" w:hAnsi="Book Antiqua" w:eastAsia="宋体" w:cs="Book Antiqua"/>
          <w:i w:val="0"/>
          <w:iCs w:val="0"/>
          <w:color w:val="000000"/>
          <w:kern w:val="0"/>
          <w:sz w:val="24"/>
          <w:szCs w:val="24"/>
          <w:u w:val="none"/>
          <w:lang w:val="en-US" w:eastAsia="zh-CN" w:bidi="ar"/>
        </w:rPr>
        <w:t>10387</w:t>
      </w:r>
      <w:r>
        <w:rPr>
          <w:rFonts w:hint="eastAsia" w:ascii="Book Antiqua" w:hAnsi="Book Antiqua" w:eastAsia="Book Antiqua" w:cs="Book Antiqua"/>
          <w:color w:val="000000"/>
        </w:rPr>
        <w:t>.htm</w:t>
      </w:r>
    </w:p>
    <w:p>
      <w:pPr>
        <w:spacing w:line="360" w:lineRule="auto"/>
        <w:jc w:val="both"/>
        <w:rPr>
          <w:rFonts w:ascii="Book Antiqua" w:hAnsi="Book Antiqua"/>
        </w:rPr>
      </w:pPr>
      <w:r>
        <w:rPr>
          <w:rFonts w:hint="eastAsia" w:ascii="Book Antiqua" w:hAnsi="Book Antiqua" w:eastAsia="Book Antiqua" w:cs="Book Antiqua"/>
          <w:b/>
          <w:bCs/>
          <w:color w:val="000000"/>
        </w:rPr>
        <w:t>DOI</w:t>
      </w:r>
      <w:r>
        <w:rPr>
          <w:rFonts w:hint="eastAsia" w:ascii="Book Antiqua" w:hAnsi="Book Antiqua" w:eastAsia="Book Antiqua" w:cs="Book Antiqua"/>
          <w:b w:val="0"/>
          <w:bCs w:val="0"/>
          <w:color w:val="000000"/>
        </w:rPr>
        <w:t>:</w:t>
      </w:r>
      <w:r>
        <w:rPr>
          <w:rFonts w:hint="eastAsia" w:ascii="Book Antiqua" w:hAnsi="Book Antiqua" w:eastAsia="Book Antiqua" w:cs="Book Antiqua"/>
          <w:color w:val="000000"/>
        </w:rPr>
        <w:t xml:space="preserve"> https://dx.doi.org/10.12998/wjcc.v10.i2</w:t>
      </w:r>
      <w:r>
        <w:rPr>
          <w:rFonts w:hint="eastAsia" w:ascii="Book Antiqua" w:hAnsi="Book Antiqua" w:eastAsia="宋体" w:cs="Book Antiqua"/>
          <w:color w:val="000000"/>
          <w:lang w:val="en-US" w:eastAsia="zh-CN"/>
        </w:rPr>
        <w:t>8</w:t>
      </w:r>
      <w:r>
        <w:rPr>
          <w:rFonts w:hint="eastAsia" w:ascii="Book Antiqua" w:hAnsi="Book Antiqua" w:eastAsia="Book Antiqua" w:cs="Book Antiqua"/>
          <w:color w:val="000000"/>
        </w:rPr>
        <w:t>.</w:t>
      </w:r>
      <w:r>
        <w:rPr>
          <w:rFonts w:hint="default" w:ascii="Book Antiqua" w:hAnsi="Book Antiqua" w:eastAsia="宋体" w:cs="Book Antiqua"/>
          <w:i w:val="0"/>
          <w:iCs w:val="0"/>
          <w:color w:val="000000"/>
          <w:kern w:val="0"/>
          <w:sz w:val="24"/>
          <w:szCs w:val="24"/>
          <w:u w:val="none"/>
          <w:lang w:val="en-US" w:eastAsia="zh-CN" w:bidi="ar"/>
        </w:rPr>
        <w:t>10387</w:t>
      </w:r>
    </w:p>
    <w:p>
      <w:pPr>
        <w:spacing w:line="360" w:lineRule="auto"/>
        <w:jc w:val="both"/>
      </w:pPr>
    </w:p>
    <w:p>
      <w:pPr>
        <w:spacing w:line="360" w:lineRule="auto"/>
        <w:jc w:val="both"/>
      </w:pPr>
    </w:p>
    <w:p>
      <w:pPr>
        <w:spacing w:line="360" w:lineRule="auto"/>
        <w:jc w:val="both"/>
      </w:pPr>
      <w:r>
        <w:rPr>
          <w:rFonts w:ascii="Book Antiqua" w:hAnsi="Book Antiqua" w:eastAsia="Book Antiqua" w:cs="Book Antiqua"/>
          <w:b/>
          <w:bCs/>
          <w:color w:val="000000"/>
          <w:szCs w:val="22"/>
        </w:rPr>
        <w:t xml:space="preserve">Core Tip: </w:t>
      </w:r>
      <w:r>
        <w:rPr>
          <w:rFonts w:ascii="Book Antiqua" w:hAnsi="Book Antiqua" w:eastAsia="Book Antiqua" w:cs="Book Antiqua"/>
          <w:color w:val="000000"/>
        </w:rPr>
        <w:t>The histopathological parameters of the tumor invasion front are evaluated by the pathologist at the diagnosis of squamous cell carcinoma. This information is not part of the microscopic description that the treating physician receives in all cases. Thus, we propose the evaluation and reporting of the tumor invasion front, thus providing the medical doctor with more objective criteria when establishing the therapeutic route for each patient.</w:t>
      </w:r>
    </w:p>
    <w:p>
      <w:pPr>
        <w:spacing w:line="360" w:lineRule="auto"/>
        <w:jc w:val="both"/>
      </w:pPr>
      <w:r>
        <w:rPr>
          <w:rFonts w:ascii="Book Antiqua" w:hAnsi="Book Antiqua" w:eastAsia="Book Antiqua" w:cs="Book Antiqua"/>
          <w:b/>
          <w:caps/>
          <w:color w:val="000000"/>
          <w:u w:val="single"/>
        </w:rPr>
        <w:br w:type="page"/>
      </w:r>
      <w:r>
        <w:rPr>
          <w:rFonts w:ascii="Book Antiqua" w:hAnsi="Book Antiqua" w:eastAsia="Book Antiqua" w:cs="Book Antiqua"/>
          <w:b/>
          <w:caps/>
          <w:color w:val="000000"/>
          <w:u w:val="single"/>
        </w:rPr>
        <w:t>TO THE EDITOR</w:t>
      </w:r>
    </w:p>
    <w:p>
      <w:pPr>
        <w:spacing w:line="360" w:lineRule="auto"/>
        <w:jc w:val="both"/>
      </w:pPr>
      <w:r>
        <w:rPr>
          <w:rFonts w:ascii="Book Antiqua" w:hAnsi="Book Antiqua" w:eastAsia="Book Antiqua" w:cs="Book Antiqua"/>
          <w:color w:val="000000"/>
        </w:rPr>
        <w:t>Oral squamous cell carcinoma (SCC) is a neoplasm that originates from the epithelial mucosa. It is usually more frequent between the fifth and sixth decades of life, and more than 90% of carcinomas of the oral cavity are SCC</w:t>
      </w:r>
      <w:r>
        <w:rPr>
          <w:rFonts w:hint="eastAsia" w:ascii="Book Antiqua" w:hAnsi="Book Antiqua" w:cs="Book Antiqua"/>
          <w:color w:val="000000"/>
          <w:vertAlign w:val="superscript"/>
        </w:rPr>
        <w:t>[1]</w:t>
      </w:r>
      <w:r>
        <w:rPr>
          <w:rFonts w:ascii="Book Antiqua" w:hAnsi="Book Antiqua" w:eastAsia="Book Antiqua" w:cs="Book Antiqua"/>
          <w:color w:val="000000"/>
        </w:rPr>
        <w:t>.</w:t>
      </w:r>
      <w:r>
        <w:rPr>
          <w:rFonts w:hint="eastAsia" w:ascii="Book Antiqua" w:hAnsi="Book Antiqua" w:cs="Book Antiqua"/>
          <w:color w:val="000000"/>
          <w:szCs w:val="30"/>
          <w:vertAlign w:val="superscript"/>
        </w:rPr>
        <w:t xml:space="preserve"> </w:t>
      </w:r>
      <w:r>
        <w:rPr>
          <w:rFonts w:ascii="Book Antiqua" w:hAnsi="Book Antiqua" w:eastAsia="Book Antiqua" w:cs="Book Antiqua"/>
          <w:color w:val="000000"/>
        </w:rPr>
        <w:t>Its reported incidence worldwide is 300400 cases, and it is responsible for 145,400 deaths per year with a 5-year survival rate of 50% to 60%.</w:t>
      </w:r>
      <w:r>
        <w:rPr>
          <w:rFonts w:ascii="Book Antiqua" w:hAnsi="Book Antiqua" w:eastAsia="Book Antiqua" w:cs="Book Antiqua"/>
          <w:color w:val="000000"/>
          <w:szCs w:val="22"/>
        </w:rPr>
        <w:t xml:space="preserve"> </w:t>
      </w:r>
      <w:r>
        <w:rPr>
          <w:rFonts w:ascii="Book Antiqua" w:hAnsi="Book Antiqua" w:eastAsia="Book Antiqua" w:cs="Book Antiqua"/>
          <w:color w:val="000000"/>
        </w:rPr>
        <w:t>When the origin of the primary tumor is unknown in head and neck SCC, the 5-year survival rate is only 5% to 15%</w:t>
      </w:r>
      <w:r>
        <w:rPr>
          <w:rFonts w:hint="eastAsia" w:ascii="Book Antiqua" w:hAnsi="Book Antiqua" w:cs="Book Antiqua"/>
          <w:color w:val="000000"/>
          <w:vertAlign w:val="superscript"/>
        </w:rPr>
        <w:t>[2]</w:t>
      </w:r>
      <w:r>
        <w:rPr>
          <w:rFonts w:ascii="Book Antiqua" w:hAnsi="Book Antiqua" w:eastAsia="Book Antiqua" w:cs="Book Antiqua"/>
          <w:color w:val="000000"/>
        </w:rPr>
        <w:t xml:space="preserve">. </w:t>
      </w:r>
    </w:p>
    <w:p>
      <w:pPr>
        <w:spacing w:line="360" w:lineRule="auto"/>
        <w:ind w:firstLine="268" w:firstLineChars="112"/>
        <w:jc w:val="both"/>
        <w:rPr>
          <w:rFonts w:ascii="Book Antiqua" w:hAnsi="Book Antiqua" w:cs="Book Antiqua"/>
          <w:color w:val="000000"/>
          <w:szCs w:val="30"/>
          <w:vertAlign w:val="superscript"/>
        </w:rPr>
      </w:pPr>
      <w:r>
        <w:rPr>
          <w:rFonts w:ascii="Book Antiqua" w:hAnsi="Book Antiqua" w:eastAsia="Book Antiqua" w:cs="Book Antiqua"/>
          <w:color w:val="000000"/>
        </w:rPr>
        <w:t>With regard to localization, approximately 32% of SCCs affect the oral mucosa, compared with 22% for the tongue, 11% for the lower lip, 11% for the palate, 8% for the vestibule, 5% for the alveolus, 5% for the floor of the mouth, and 3% for the gingiva</w:t>
      </w:r>
      <w:r>
        <w:rPr>
          <w:rFonts w:hint="eastAsia" w:ascii="Book Antiqua" w:hAnsi="Book Antiqua" w:cs="Book Antiqua"/>
          <w:color w:val="000000"/>
          <w:vertAlign w:val="superscript"/>
        </w:rPr>
        <w:t>[3]</w:t>
      </w:r>
      <w:r>
        <w:rPr>
          <w:rFonts w:ascii="Book Antiqua" w:hAnsi="Book Antiqua" w:eastAsia="Book Antiqua" w:cs="Book Antiqua"/>
          <w:color w:val="000000"/>
        </w:rPr>
        <w:t>.</w:t>
      </w:r>
      <w:r>
        <w:rPr>
          <w:rFonts w:ascii="Book Antiqua" w:hAnsi="Book Antiqua" w:eastAsia="Book Antiqua" w:cs="Book Antiqua"/>
          <w:color w:val="000000"/>
          <w:szCs w:val="30"/>
          <w:vertAlign w:val="superscript"/>
        </w:rPr>
        <w:t xml:space="preserve"> </w:t>
      </w:r>
    </w:p>
    <w:p>
      <w:pPr>
        <w:spacing w:line="360" w:lineRule="auto"/>
        <w:ind w:firstLine="268" w:firstLineChars="112"/>
        <w:jc w:val="both"/>
      </w:pPr>
      <w:r>
        <w:rPr>
          <w:rFonts w:ascii="Book Antiqua" w:hAnsi="Book Antiqua" w:eastAsia="Book Antiqua" w:cs="Book Antiqua"/>
          <w:color w:val="000000"/>
        </w:rPr>
        <w:t>SCC is an invasive neoplasia with a significant recurrence rate; 40% of patients present with metastases in the cervical lymph nodes at the time of diagnosis</w:t>
      </w:r>
      <w:r>
        <w:rPr>
          <w:rFonts w:hint="eastAsia" w:ascii="Book Antiqua" w:hAnsi="Book Antiqua" w:cs="Book Antiqua"/>
          <w:color w:val="000000"/>
          <w:vertAlign w:val="superscript"/>
        </w:rPr>
        <w:t>[4]</w:t>
      </w:r>
      <w:r>
        <w:rPr>
          <w:rFonts w:ascii="Book Antiqua" w:hAnsi="Book Antiqua" w:eastAsia="Book Antiqua" w:cs="Book Antiqua"/>
          <w:color w:val="000000"/>
        </w:rPr>
        <w:t>. Thus, early detection and histopathological analysis are essential for the patient to be treated in an appropriate and timely manner.</w:t>
      </w:r>
    </w:p>
    <w:p>
      <w:pPr>
        <w:spacing w:line="360" w:lineRule="auto"/>
        <w:ind w:firstLine="268" w:firstLineChars="112"/>
        <w:jc w:val="both"/>
      </w:pPr>
      <w:r>
        <w:rPr>
          <w:rFonts w:ascii="Book Antiqua" w:hAnsi="Book Antiqua" w:eastAsia="Book Antiqua" w:cs="Book Antiqua"/>
          <w:color w:val="000000"/>
        </w:rPr>
        <w:t xml:space="preserve">The tumor invasion front (TIF) is a characteristic of tumor growth, which can be infiltrative or noninvasive. The histopathological parameters examined include the number of mitoses, depth of the tumor, invasion pattern, degree of keratinization, and nuclear pleomorphism </w:t>
      </w:r>
      <w:r>
        <w:rPr>
          <w:rFonts w:ascii="Book Antiqua" w:hAnsi="Book Antiqua" w:eastAsia="Book Antiqua" w:cs="Book Antiqua"/>
          <w:bCs/>
          <w:color w:val="000000"/>
        </w:rPr>
        <w:t>(Figure 1)</w:t>
      </w:r>
      <w:r>
        <w:rPr>
          <w:rFonts w:hint="eastAsia" w:ascii="Book Antiqua" w:hAnsi="Book Antiqua" w:cs="Book Antiqua"/>
          <w:color w:val="000000"/>
          <w:vertAlign w:val="superscript"/>
        </w:rPr>
        <w:t>[5,6]</w:t>
      </w:r>
      <w:r>
        <w:rPr>
          <w:rFonts w:ascii="Book Antiqua" w:hAnsi="Book Antiqua" w:eastAsia="Book Antiqua" w:cs="Book Antiqua"/>
          <w:color w:val="000000"/>
        </w:rPr>
        <w:t>. For the pathologist, these parameters are routinely evaluated but are not reported to the treating physician in all cases, which we consider to be useful information when determining the therapeutic route. Thus, these parameters were evaluated by our working group. We analyzed 10 cases diagnosed in the Oral Pathology Laboratory of the Stomatology Department of the Universidad Autonoma de Ciudad Juarez in Mexico; 9 corresponded to well-differentiated SCC and 1 was poorly differentiated. The mean age was 57 years, and the most frequent location was the lip (6/10). Regarding the TIF, mitosis was moderate (2-5) in 50% of cases; 3 cases had one mitosis and 2 cases had more than five mitoses in the 400 x field.</w:t>
      </w:r>
    </w:p>
    <w:p>
      <w:pPr>
        <w:spacing w:line="360" w:lineRule="auto"/>
        <w:ind w:firstLine="268" w:firstLineChars="112"/>
        <w:jc w:val="both"/>
      </w:pPr>
      <w:r>
        <w:rPr>
          <w:rFonts w:ascii="Book Antiqua" w:hAnsi="Book Antiqua" w:eastAsia="Book Antiqua" w:cs="Book Antiqua"/>
          <w:color w:val="000000"/>
        </w:rPr>
        <w:t xml:space="preserve">We noted a relationship among neoplastic cells, vascularity, and depth. In 4 cases, there was infiltration into the blood vessels; in 3 cases, the neoplasm surrounded the blood vessels; and in 3 cases, it was close to the blood vessels. The tumor depth reached the muscular and glandular levels in 6/10 neoplastic cells </w:t>
      </w:r>
      <w:r>
        <w:rPr>
          <w:rFonts w:ascii="Book Antiqua" w:hAnsi="Book Antiqua" w:eastAsia="Book Antiqua" w:cs="Book Antiqua"/>
          <w:i/>
          <w:iCs/>
          <w:color w:val="000000"/>
        </w:rPr>
        <w:t>vs</w:t>
      </w:r>
      <w:r>
        <w:rPr>
          <w:rFonts w:ascii="Book Antiqua" w:hAnsi="Book Antiqua" w:eastAsia="Book Antiqua" w:cs="Book Antiqua"/>
          <w:color w:val="000000"/>
        </w:rPr>
        <w:t xml:space="preserve"> 4 in the lamina propria. These two characteristics are important to consider and should be reported to the clinician as support when establishing treatment and determining the prognosis of the carcinoma</w:t>
      </w:r>
      <w:r>
        <w:rPr>
          <w:rFonts w:hint="eastAsia" w:ascii="Book Antiqua" w:hAnsi="Book Antiqua" w:cs="Book Antiqua"/>
          <w:color w:val="000000"/>
        </w:rPr>
        <w:t xml:space="preserve"> </w:t>
      </w:r>
      <w:r>
        <w:rPr>
          <w:rFonts w:ascii="Book Antiqua" w:hAnsi="Book Antiqua" w:eastAsia="Book Antiqua" w:cs="Book Antiqua"/>
          <w:bCs/>
          <w:color w:val="000000"/>
        </w:rPr>
        <w:t>(Figure 2).</w:t>
      </w:r>
      <w:r>
        <w:rPr>
          <w:rFonts w:ascii="Book Antiqua" w:hAnsi="Book Antiqua" w:eastAsia="Book Antiqua" w:cs="Book Antiqua"/>
          <w:color w:val="000000"/>
        </w:rPr>
        <w:t xml:space="preserve"> Seven carcinomas presented with a keratin pearl and individual keratinization of at least 50%. Notably, although 90% of carcinomas were well differentiated, the tumor depth in most cases was infiltrating, which is a relevant histopathological finding. We consider that in cases of poorly differentiated carcinomas, complementary immunohistochemical studies (cytokeratins) would be very useful to confirm the epithelial origin of the neoplasm.</w:t>
      </w:r>
    </w:p>
    <w:p>
      <w:pPr>
        <w:spacing w:line="360" w:lineRule="auto"/>
        <w:ind w:firstLine="268" w:firstLineChars="112"/>
        <w:jc w:val="both"/>
      </w:pPr>
      <w:r>
        <w:rPr>
          <w:rFonts w:ascii="Book Antiqua" w:hAnsi="Book Antiqua" w:eastAsia="Book Antiqua" w:cs="Book Antiqua"/>
          <w:color w:val="000000"/>
        </w:rPr>
        <w:t xml:space="preserve">Currently, there are other efforts focused on elucidating the prognosis in oral SCC. Some of these have been reported by Nocini </w:t>
      </w:r>
      <w:r>
        <w:rPr>
          <w:rFonts w:ascii="Book Antiqua" w:hAnsi="Book Antiqua" w:eastAsia="Book Antiqua" w:cs="Book Antiqua"/>
          <w:i/>
          <w:iCs/>
          <w:color w:val="000000"/>
        </w:rPr>
        <w:t>et al</w:t>
      </w:r>
      <w:r>
        <w:rPr>
          <w:rFonts w:hint="eastAsia" w:ascii="Book Antiqua" w:hAnsi="Book Antiqua" w:cs="Book Antiqua"/>
          <w:color w:val="000000"/>
          <w:vertAlign w:val="superscript"/>
        </w:rPr>
        <w:t>[</w:t>
      </w:r>
      <w:r>
        <w:rPr>
          <w:rFonts w:ascii="Book Antiqua" w:hAnsi="Book Antiqua" w:eastAsia="Book Antiqua" w:cs="Book Antiqua"/>
          <w:color w:val="000000"/>
          <w:szCs w:val="30"/>
          <w:vertAlign w:val="superscript"/>
        </w:rPr>
        <w:t>7</w:t>
      </w:r>
      <w:r>
        <w:rPr>
          <w:rFonts w:hint="eastAsia" w:ascii="Book Antiqua" w:hAnsi="Book Antiqua" w:cs="Book Antiqua"/>
          <w:color w:val="000000"/>
          <w:szCs w:val="30"/>
          <w:vertAlign w:val="superscript"/>
        </w:rPr>
        <w:t>]</w:t>
      </w:r>
      <w:r>
        <w:rPr>
          <w:rFonts w:ascii="Book Antiqua" w:hAnsi="Book Antiqua" w:eastAsia="Book Antiqua" w:cs="Book Antiqua"/>
          <w:color w:val="000000"/>
          <w:szCs w:val="30"/>
          <w:vertAlign w:val="superscript"/>
        </w:rPr>
        <w:t xml:space="preserve"> </w:t>
      </w:r>
      <w:r>
        <w:rPr>
          <w:rFonts w:ascii="Book Antiqua" w:hAnsi="Book Antiqua" w:eastAsia="Book Antiqua" w:cs="Book Antiqua"/>
          <w:color w:val="000000"/>
        </w:rPr>
        <w:t xml:space="preserve">and Girolami </w:t>
      </w:r>
      <w:r>
        <w:rPr>
          <w:rFonts w:ascii="Book Antiqua" w:hAnsi="Book Antiqua" w:eastAsia="Book Antiqua" w:cs="Book Antiqua"/>
          <w:i/>
          <w:iCs/>
          <w:color w:val="000000"/>
        </w:rPr>
        <w:t>et al</w:t>
      </w:r>
      <w:r>
        <w:rPr>
          <w:rFonts w:hint="eastAsia" w:ascii="Book Antiqua" w:hAnsi="Book Antiqua" w:cs="Book Antiqua"/>
          <w:color w:val="000000"/>
          <w:vertAlign w:val="superscript"/>
        </w:rPr>
        <w:t>[</w:t>
      </w:r>
      <w:r>
        <w:rPr>
          <w:rFonts w:hint="eastAsia" w:ascii="Book Antiqua" w:hAnsi="Book Antiqua" w:cs="Book Antiqua"/>
          <w:color w:val="000000"/>
          <w:szCs w:val="30"/>
          <w:vertAlign w:val="superscript"/>
        </w:rPr>
        <w:t>8]</w:t>
      </w:r>
      <w:r>
        <w:rPr>
          <w:rFonts w:ascii="Book Antiqua" w:hAnsi="Book Antiqua" w:cs="Book Antiqua"/>
          <w:color w:val="000000"/>
          <w:szCs w:val="30"/>
        </w:rPr>
        <w:t>,</w:t>
      </w:r>
      <w:r>
        <w:rPr>
          <w:rFonts w:ascii="Book Antiqua" w:hAnsi="Book Antiqua" w:eastAsia="Book Antiqua" w:cs="Book Antiqua"/>
          <w:color w:val="000000"/>
        </w:rPr>
        <w:t xml:space="preserve"> who studied the expression of programmed death-ligand 1 (PD-L1) both in precancerous lesions of the head and neck, and in oral SCC. There are contrasting results for PD-L1 in the literature; the authors suggest that if an adequate standardization is carried out both in the performance and the evaluation of the marker, more reliable results can be obtained</w:t>
      </w:r>
      <w:r>
        <w:rPr>
          <w:rFonts w:hint="eastAsia" w:ascii="Book Antiqua" w:hAnsi="Book Antiqua" w:cs="Book Antiqua"/>
          <w:color w:val="000000"/>
          <w:vertAlign w:val="superscript"/>
        </w:rPr>
        <w:t>[</w:t>
      </w:r>
      <w:r>
        <w:rPr>
          <w:rFonts w:ascii="Book Antiqua" w:hAnsi="Book Antiqua" w:eastAsia="Book Antiqua" w:cs="Book Antiqua"/>
          <w:color w:val="000000"/>
          <w:szCs w:val="30"/>
          <w:vertAlign w:val="superscript"/>
        </w:rPr>
        <w:t>7</w:t>
      </w:r>
      <w:r>
        <w:rPr>
          <w:rFonts w:hint="eastAsia" w:ascii="Book Antiqua" w:hAnsi="Book Antiqua" w:cs="Book Antiqua"/>
          <w:color w:val="000000"/>
          <w:szCs w:val="30"/>
          <w:vertAlign w:val="superscript"/>
        </w:rPr>
        <w:t>,8]</w:t>
      </w:r>
      <w:r>
        <w:rPr>
          <w:rFonts w:ascii="Book Antiqua" w:hAnsi="Book Antiqua" w:eastAsia="Book Antiqua" w:cs="Book Antiqua"/>
          <w:color w:val="000000"/>
        </w:rPr>
        <w:t>.</w:t>
      </w:r>
      <w:r>
        <w:rPr>
          <w:rFonts w:hint="eastAsia" w:ascii="Book Antiqua" w:hAnsi="Book Antiqua" w:cs="Book Antiqua"/>
          <w:color w:val="000000"/>
          <w:szCs w:val="30"/>
          <w:vertAlign w:val="superscript"/>
        </w:rPr>
        <w:t xml:space="preserve"> </w:t>
      </w:r>
      <w:r>
        <w:rPr>
          <w:rFonts w:ascii="Book Antiqua" w:hAnsi="Book Antiqua" w:eastAsia="Book Antiqua" w:cs="Book Antiqua"/>
          <w:color w:val="000000"/>
        </w:rPr>
        <w:t>As shown here, this work is aimed at standardizing both histopathological characteristics and molecular biology techniques, with the sole purpose of facilitating the clinical management of oral SCC patients in a correct, precise, and timely manner.</w:t>
      </w:r>
    </w:p>
    <w:p>
      <w:pPr>
        <w:spacing w:line="360" w:lineRule="auto"/>
        <w:ind w:firstLine="268" w:firstLineChars="112"/>
        <w:jc w:val="both"/>
      </w:pPr>
      <w:r>
        <w:rPr>
          <w:rFonts w:ascii="Book Antiqua" w:hAnsi="Book Antiqua" w:eastAsia="Book Antiqua" w:cs="Book Antiqua"/>
          <w:color w:val="000000"/>
        </w:rPr>
        <w:t>In conclusion, although the histopathological parameters of TIF are evaluated by the pathologist at the diagnosis of SCC, this information is not part of the microscopic description that the treating physician receives in all cases. Thus, we propose the evaluation and reporting of the TIF, thus providing the medical doctor with more objective criteria when establishing the therapeutic route for each patient.</w:t>
      </w:r>
    </w:p>
    <w:p>
      <w:pPr>
        <w:spacing w:line="360" w:lineRule="auto"/>
        <w:jc w:val="both"/>
        <w:rPr>
          <w:rFonts w:ascii="Book Antiqua" w:hAnsi="Book Antiqua" w:eastAsia="Book Antiqua" w:cs="Book Antiqua"/>
          <w:b/>
          <w:color w:val="000000"/>
        </w:rPr>
      </w:pPr>
    </w:p>
    <w:p>
      <w:pPr>
        <w:spacing w:line="360" w:lineRule="auto"/>
        <w:jc w:val="both"/>
      </w:pPr>
      <w:r>
        <w:rPr>
          <w:rFonts w:ascii="Book Antiqua" w:hAnsi="Book Antiqua" w:eastAsia="Book Antiqua" w:cs="Book Antiqua"/>
          <w:b/>
          <w:color w:val="000000"/>
        </w:rPr>
        <w:t>REFERENCES</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 </w:t>
      </w:r>
      <w:r>
        <w:rPr>
          <w:rFonts w:ascii="Book Antiqua" w:hAnsi="Book Antiqua" w:eastAsia="Book Antiqua" w:cs="Book Antiqua"/>
          <w:b/>
          <w:bCs/>
          <w:color w:val="000000"/>
        </w:rPr>
        <w:t>El-Naggar</w:t>
      </w:r>
      <w:r>
        <w:rPr>
          <w:rFonts w:hint="eastAsia" w:ascii="Book Antiqua" w:hAnsi="Book Antiqua" w:cs="Book Antiqua"/>
          <w:b/>
          <w:bCs/>
          <w:color w:val="000000"/>
        </w:rPr>
        <w:t xml:space="preserve"> AK</w:t>
      </w:r>
      <w:r>
        <w:rPr>
          <w:rFonts w:ascii="Book Antiqua" w:hAnsi="Book Antiqua" w:eastAsia="Book Antiqua" w:cs="Book Antiqua"/>
          <w:bCs/>
          <w:color w:val="000000"/>
        </w:rPr>
        <w:t>,</w:t>
      </w:r>
      <w:r>
        <w:rPr>
          <w:rFonts w:ascii="Book Antiqua" w:hAnsi="Book Antiqua" w:eastAsia="Book Antiqua" w:cs="Book Antiqua"/>
          <w:color w:val="000000"/>
        </w:rPr>
        <w:t xml:space="preserve"> Chan</w:t>
      </w:r>
      <w:r>
        <w:rPr>
          <w:rFonts w:hint="eastAsia" w:ascii="Book Antiqua" w:hAnsi="Book Antiqua" w:cs="Book Antiqua"/>
          <w:color w:val="000000"/>
        </w:rPr>
        <w:t xml:space="preserve"> JKC</w:t>
      </w:r>
      <w:r>
        <w:rPr>
          <w:rFonts w:ascii="Book Antiqua" w:hAnsi="Book Antiqua" w:eastAsia="Book Antiqua" w:cs="Book Antiqua"/>
          <w:color w:val="000000"/>
        </w:rPr>
        <w:t>, Grandis</w:t>
      </w:r>
      <w:r>
        <w:rPr>
          <w:rFonts w:hint="eastAsia" w:ascii="Book Antiqua" w:hAnsi="Book Antiqua" w:cs="Book Antiqua"/>
          <w:color w:val="000000"/>
        </w:rPr>
        <w:t xml:space="preserve"> JR</w:t>
      </w:r>
      <w:r>
        <w:rPr>
          <w:rFonts w:ascii="Book Antiqua" w:hAnsi="Book Antiqua" w:eastAsia="Book Antiqua" w:cs="Book Antiqua"/>
          <w:color w:val="000000"/>
        </w:rPr>
        <w:t>, Takata</w:t>
      </w:r>
      <w:r>
        <w:rPr>
          <w:rFonts w:hint="eastAsia" w:ascii="Book Antiqua" w:hAnsi="Book Antiqua" w:cs="Book Antiqua"/>
          <w:color w:val="000000"/>
        </w:rPr>
        <w:t xml:space="preserve"> T</w:t>
      </w:r>
      <w:r>
        <w:rPr>
          <w:rFonts w:ascii="Book Antiqua" w:hAnsi="Book Antiqua" w:eastAsia="Book Antiqua" w:cs="Book Antiqua"/>
          <w:color w:val="000000"/>
        </w:rPr>
        <w:t>, Slootweng</w:t>
      </w:r>
      <w:r>
        <w:rPr>
          <w:rFonts w:hint="eastAsia" w:ascii="Book Antiqua" w:hAnsi="Book Antiqua" w:cs="Book Antiqua"/>
          <w:color w:val="000000"/>
        </w:rPr>
        <w:t xml:space="preserve"> PJ</w:t>
      </w:r>
      <w:r>
        <w:rPr>
          <w:rFonts w:ascii="Book Antiqua" w:hAnsi="Book Antiqua" w:eastAsia="Book Antiqua" w:cs="Book Antiqua"/>
          <w:color w:val="000000"/>
        </w:rPr>
        <w:t xml:space="preserve">. Malignant surface epithelial tumours. </w:t>
      </w:r>
      <w:r>
        <w:rPr>
          <w:rFonts w:ascii="Book Antiqua" w:hAnsi="Book Antiqua" w:eastAsia="Book Antiqua" w:cs="Book Antiqua"/>
          <w:i/>
          <w:color w:val="000000"/>
        </w:rPr>
        <w:t>WHO Classification of Head and Neck Tumours</w:t>
      </w:r>
      <w:r>
        <w:rPr>
          <w:rFonts w:ascii="Book Antiqua" w:hAnsi="Book Antiqua" w:eastAsia="Book Antiqua" w:cs="Book Antiqua"/>
          <w:color w:val="000000"/>
        </w:rPr>
        <w:t xml:space="preserve"> 2016</w:t>
      </w:r>
      <w:r>
        <w:rPr>
          <w:rFonts w:hint="eastAsia" w:ascii="Book Antiqua" w:hAnsi="Book Antiqua" w:cs="Book Antiqua"/>
          <w:color w:val="000000"/>
        </w:rPr>
        <w:t>:</w:t>
      </w:r>
      <w:r>
        <w:rPr>
          <w:rFonts w:ascii="Book Antiqua" w:hAnsi="Book Antiqua" w:eastAsia="Book Antiqua" w:cs="Book Antiqua"/>
          <w:color w:val="000000"/>
        </w:rPr>
        <w:t xml:space="preserve"> 109-111</w:t>
      </w:r>
      <w:r>
        <w:rPr>
          <w:rFonts w:hint="eastAsia" w:ascii="Book Antiqua" w:hAnsi="Book Antiqua" w:cs="Book Antiqua"/>
          <w:color w:val="000000"/>
        </w:rPr>
        <w:t xml:space="preserve"> </w:t>
      </w:r>
      <w:r>
        <w:rPr>
          <w:rFonts w:ascii="Book Antiqua" w:hAnsi="Book Antiqua" w:eastAsia="Book Antiqua" w:cs="Book Antiqua"/>
          <w:color w:val="000000"/>
        </w:rPr>
        <w:t>[DOI:</w:t>
      </w:r>
      <w:r>
        <w:rPr>
          <w:rFonts w:hint="eastAsia" w:ascii="Book Antiqua" w:hAnsi="Book Antiqua" w:cs="Book Antiqua"/>
          <w:color w:val="000000"/>
        </w:rPr>
        <w:t xml:space="preserve"> </w:t>
      </w:r>
      <w:r>
        <w:rPr>
          <w:rFonts w:ascii="Book Antiqua" w:hAnsi="Book Antiqua" w:eastAsia="Book Antiqua" w:cs="Book Antiqua"/>
          <w:color w:val="000000"/>
        </w:rPr>
        <w:t>10.1016/j.humpath.2017.05.014]</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2 </w:t>
      </w:r>
      <w:r>
        <w:rPr>
          <w:rFonts w:ascii="Book Antiqua" w:hAnsi="Book Antiqua" w:eastAsia="Book Antiqua" w:cs="Book Antiqua"/>
          <w:b/>
          <w:bCs/>
          <w:color w:val="000000"/>
        </w:rPr>
        <w:t>Große-Thie C</w:t>
      </w:r>
      <w:r>
        <w:rPr>
          <w:rFonts w:ascii="Book Antiqua" w:hAnsi="Book Antiqua" w:eastAsia="Book Antiqua" w:cs="Book Antiqua"/>
          <w:color w:val="000000"/>
        </w:rPr>
        <w:t xml:space="preserve">, Maletzki C, Junghanss C, Schmidt K. Long-term survivor of metastatic squamous-cell head and neck carcinoma with occult primary after cetuximab-based chemotherapy: A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2021; </w:t>
      </w:r>
      <w:r>
        <w:rPr>
          <w:rFonts w:ascii="Book Antiqua" w:hAnsi="Book Antiqua" w:eastAsia="Book Antiqua" w:cs="Book Antiqua"/>
          <w:b/>
          <w:bCs/>
          <w:color w:val="000000"/>
        </w:rPr>
        <w:t>9</w:t>
      </w:r>
      <w:r>
        <w:rPr>
          <w:rFonts w:ascii="Book Antiqua" w:hAnsi="Book Antiqua" w:eastAsia="Book Antiqua" w:cs="Book Antiqua"/>
          <w:color w:val="000000"/>
        </w:rPr>
        <w:t>: 7092-7098 [PMID: 34540964 DOI: 10.12998/wjcc.v9.i24.7092]</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3 </w:t>
      </w:r>
      <w:r>
        <w:rPr>
          <w:rFonts w:ascii="Book Antiqua" w:hAnsi="Book Antiqua" w:eastAsia="Book Antiqua" w:cs="Book Antiqua"/>
          <w:b/>
          <w:bCs/>
          <w:color w:val="000000"/>
        </w:rPr>
        <w:t>Korean Society of Thyroid-Head and Neck Surgery Guideline Task Force</w:t>
      </w:r>
      <w:r>
        <w:rPr>
          <w:rFonts w:ascii="Book Antiqua" w:hAnsi="Book Antiqua" w:eastAsia="Book Antiqua" w:cs="Book Antiqua"/>
          <w:bCs/>
          <w:color w:val="000000"/>
        </w:rPr>
        <w:t>,</w:t>
      </w:r>
      <w:r>
        <w:rPr>
          <w:rFonts w:ascii="Book Antiqua" w:hAnsi="Book Antiqua" w:eastAsia="Book Antiqua" w:cs="Book Antiqua"/>
          <w:color w:val="000000"/>
        </w:rPr>
        <w:t xml:space="preserve"> Joo YH, Cho JK</w:t>
      </w:r>
      <w:r>
        <w:rPr>
          <w:rFonts w:hint="eastAsia" w:ascii="Book Antiqua" w:hAnsi="Book Antiqua" w:cs="Book Antiqua"/>
          <w:color w:val="000000"/>
        </w:rPr>
        <w:t>.</w:t>
      </w:r>
      <w:r>
        <w:rPr>
          <w:rFonts w:ascii="Book Antiqua" w:hAnsi="Book Antiqua" w:eastAsia="Book Antiqua" w:cs="Book Antiqua"/>
          <w:color w:val="000000"/>
        </w:rPr>
        <w:t xml:space="preserve"> Guidelines for the Surgical Management of Oral Cancer: Korean Society of </w:t>
      </w:r>
      <w:r>
        <w:rPr>
          <w:rFonts w:ascii="Book Antiqua" w:hAnsi="Book Antiqua" w:eastAsia="Book Antiqua" w:cs="Book Antiqua"/>
          <w:i/>
          <w:color w:val="000000"/>
        </w:rPr>
        <w:t>Thyroid-Head and Neck Surgery. Clin Exp Otorhinolaryngol</w:t>
      </w:r>
      <w:r>
        <w:rPr>
          <w:rFonts w:ascii="Book Antiqua" w:hAnsi="Book Antiqua" w:eastAsia="Book Antiqua" w:cs="Book Antiqua"/>
          <w:color w:val="000000"/>
        </w:rPr>
        <w:t xml:space="preserve"> 2019</w:t>
      </w:r>
      <w:r>
        <w:rPr>
          <w:rFonts w:hint="eastAsia" w:ascii="Book Antiqua" w:hAnsi="Book Antiqua" w:cs="Book Antiqua"/>
          <w:color w:val="000000"/>
        </w:rPr>
        <w:t xml:space="preserve"> </w:t>
      </w:r>
      <w:r>
        <w:rPr>
          <w:rFonts w:ascii="Book Antiqua" w:hAnsi="Book Antiqua" w:eastAsia="Book Antiqua" w:cs="Book Antiqua"/>
          <w:color w:val="000000"/>
        </w:rPr>
        <w:t>[DOI:</w:t>
      </w:r>
      <w:r>
        <w:rPr>
          <w:rFonts w:hint="eastAsia" w:ascii="Book Antiqua" w:hAnsi="Book Antiqua" w:cs="Book Antiqua"/>
          <w:color w:val="000000"/>
        </w:rPr>
        <w:t xml:space="preserve"> </w:t>
      </w:r>
      <w:r>
        <w:rPr>
          <w:rFonts w:ascii="Book Antiqua" w:hAnsi="Book Antiqua" w:eastAsia="Book Antiqua" w:cs="Book Antiqua"/>
          <w:color w:val="000000"/>
        </w:rPr>
        <w:t>10.3342/kjorl-hns.2018.00038]</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4 </w:t>
      </w:r>
      <w:r>
        <w:rPr>
          <w:rFonts w:ascii="Book Antiqua" w:hAnsi="Book Antiqua" w:eastAsia="Book Antiqua" w:cs="Book Antiqua"/>
          <w:b/>
          <w:bCs/>
          <w:color w:val="000000"/>
        </w:rPr>
        <w:t>Pavithra V</w:t>
      </w:r>
      <w:r>
        <w:rPr>
          <w:rFonts w:ascii="Book Antiqua" w:hAnsi="Book Antiqua" w:eastAsia="Book Antiqua" w:cs="Book Antiqua"/>
          <w:color w:val="000000"/>
        </w:rPr>
        <w:t xml:space="preserve">, Kumari K, Haragannavar VC, Rao RS, Nambiar S, Augustine D, Sowmya SV. Possible Role of Bcl-2 Expression in Metastatic and Non Metastatic Oral Squamous Cell Carcinoma. </w:t>
      </w:r>
      <w:r>
        <w:rPr>
          <w:rFonts w:ascii="Book Antiqua" w:hAnsi="Book Antiqua" w:eastAsia="Book Antiqua" w:cs="Book Antiqua"/>
          <w:i/>
          <w:iCs/>
          <w:color w:val="000000"/>
        </w:rPr>
        <w:t>J Clin Diagn Res</w:t>
      </w:r>
      <w:r>
        <w:rPr>
          <w:rFonts w:ascii="Book Antiqua" w:hAnsi="Book Antiqua" w:eastAsia="Book Antiqua" w:cs="Book Antiqua"/>
          <w:color w:val="000000"/>
        </w:rPr>
        <w:t xml:space="preserve"> 2017; </w:t>
      </w:r>
      <w:r>
        <w:rPr>
          <w:rFonts w:ascii="Book Antiqua" w:hAnsi="Book Antiqua" w:eastAsia="Book Antiqua" w:cs="Book Antiqua"/>
          <w:b/>
          <w:bCs/>
          <w:color w:val="000000"/>
        </w:rPr>
        <w:t>11</w:t>
      </w:r>
      <w:r>
        <w:rPr>
          <w:rFonts w:ascii="Book Antiqua" w:hAnsi="Book Antiqua" w:eastAsia="Book Antiqua" w:cs="Book Antiqua"/>
          <w:color w:val="000000"/>
        </w:rPr>
        <w:t>: ZC51-ZC54 [PMID: 29207833 DOI: 10.7860/JCDR/2017/29363.10601]</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5 </w:t>
      </w:r>
      <w:r>
        <w:rPr>
          <w:rFonts w:ascii="Book Antiqua" w:hAnsi="Book Antiqua" w:eastAsia="Book Antiqua" w:cs="Book Antiqua"/>
          <w:b/>
          <w:bCs/>
          <w:color w:val="000000"/>
        </w:rPr>
        <w:t>Cuevas-González JC,</w:t>
      </w:r>
      <w:r>
        <w:rPr>
          <w:rFonts w:ascii="Book Antiqua" w:hAnsi="Book Antiqua" w:eastAsia="Book Antiqua" w:cs="Book Antiqua"/>
          <w:color w:val="000000"/>
        </w:rPr>
        <w:t xml:space="preserve"> Maya-García IA, Villanueva-Sánchez FG, Gaitán-Cepeda LA, Leyva-Huerta ER. Estandarización en la Observación y Clasificación de Lesiones Epiteliales Premalignas y Malignas. </w:t>
      </w:r>
      <w:r>
        <w:rPr>
          <w:rFonts w:ascii="Book Antiqua" w:hAnsi="Book Antiqua" w:eastAsia="Book Antiqua" w:cs="Book Antiqua"/>
          <w:i/>
          <w:color w:val="000000"/>
        </w:rPr>
        <w:t>Int J Morphol</w:t>
      </w:r>
      <w:r>
        <w:rPr>
          <w:rFonts w:ascii="Book Antiqua" w:hAnsi="Book Antiqua" w:eastAsia="Book Antiqua" w:cs="Book Antiqua"/>
          <w:color w:val="000000"/>
        </w:rPr>
        <w:t xml:space="preserve"> 2011; </w:t>
      </w:r>
      <w:r>
        <w:rPr>
          <w:rFonts w:ascii="Book Antiqua" w:hAnsi="Book Antiqua" w:eastAsia="Book Antiqua" w:cs="Book Antiqua"/>
          <w:b/>
          <w:bCs/>
          <w:color w:val="000000"/>
        </w:rPr>
        <w:t>29</w:t>
      </w:r>
      <w:r>
        <w:rPr>
          <w:rFonts w:ascii="Book Antiqua" w:hAnsi="Book Antiqua" w:eastAsia="Book Antiqua" w:cs="Book Antiqua"/>
          <w:color w:val="000000"/>
        </w:rPr>
        <w:t>:</w:t>
      </w:r>
      <w:r>
        <w:rPr>
          <w:rFonts w:hint="eastAsia" w:ascii="Book Antiqua" w:hAnsi="Book Antiqua" w:cs="Book Antiqua"/>
          <w:color w:val="000000"/>
        </w:rPr>
        <w:t xml:space="preserve"> </w:t>
      </w:r>
      <w:r>
        <w:rPr>
          <w:rFonts w:ascii="Book Antiqua" w:hAnsi="Book Antiqua" w:eastAsia="Book Antiqua" w:cs="Book Antiqua"/>
          <w:color w:val="000000"/>
        </w:rPr>
        <w:t>706-</w:t>
      </w:r>
      <w:r>
        <w:rPr>
          <w:rFonts w:hint="eastAsia" w:ascii="Book Antiqua" w:hAnsi="Book Antiqua" w:cs="Book Antiqua"/>
          <w:color w:val="000000"/>
        </w:rPr>
        <w:t>7</w:t>
      </w:r>
      <w:r>
        <w:rPr>
          <w:rFonts w:ascii="Book Antiqua" w:hAnsi="Book Antiqua" w:eastAsia="Book Antiqua" w:cs="Book Antiqua"/>
          <w:color w:val="000000"/>
        </w:rPr>
        <w:t>10</w:t>
      </w:r>
      <w:r>
        <w:rPr>
          <w:rFonts w:hint="eastAsia" w:ascii="Book Antiqua" w:hAnsi="Book Antiqua" w:cs="Book Antiqua"/>
          <w:color w:val="000000"/>
        </w:rPr>
        <w:t xml:space="preserve"> </w:t>
      </w:r>
      <w:r>
        <w:rPr>
          <w:rFonts w:ascii="Book Antiqua" w:hAnsi="Book Antiqua" w:eastAsia="Book Antiqua" w:cs="Book Antiqua"/>
          <w:color w:val="000000"/>
        </w:rPr>
        <w:t>[DOI:</w:t>
      </w:r>
      <w:r>
        <w:rPr>
          <w:rFonts w:hint="eastAsia" w:ascii="Book Antiqua" w:hAnsi="Book Antiqua" w:cs="Book Antiqua"/>
          <w:color w:val="000000"/>
        </w:rPr>
        <w:t xml:space="preserve"> </w:t>
      </w:r>
      <w:r>
        <w:rPr>
          <w:rFonts w:ascii="Book Antiqua" w:hAnsi="Book Antiqua" w:eastAsia="Book Antiqua" w:cs="Book Antiqua"/>
          <w:color w:val="000000"/>
        </w:rPr>
        <w:t>10.4067/s0717-95022011000300007]</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6 </w:t>
      </w:r>
      <w:r>
        <w:rPr>
          <w:rFonts w:ascii="Book Antiqua" w:hAnsi="Book Antiqua" w:eastAsia="Book Antiqua" w:cs="Book Antiqua"/>
          <w:b/>
          <w:bCs/>
          <w:color w:val="000000"/>
        </w:rPr>
        <w:t>Slaton JW</w:t>
      </w:r>
      <w:r>
        <w:rPr>
          <w:rFonts w:ascii="Book Antiqua" w:hAnsi="Book Antiqua" w:eastAsia="Book Antiqua" w:cs="Book Antiqua"/>
          <w:color w:val="000000"/>
        </w:rPr>
        <w:t xml:space="preserve">, Morgenstern N, Levy DA, Santos MW Jr, Tamboli P, Ro JY, Ayala AG, Pettaway CA. Tumor stage, vascular invasion and the percentage of poorly differentiated cancer: independent prognosticators for inguinal lymph node metastasis in penile squamous cancer. </w:t>
      </w:r>
      <w:r>
        <w:rPr>
          <w:rFonts w:ascii="Book Antiqua" w:hAnsi="Book Antiqua" w:eastAsia="Book Antiqua" w:cs="Book Antiqua"/>
          <w:i/>
          <w:iCs/>
          <w:color w:val="000000"/>
        </w:rPr>
        <w:t>J Urol</w:t>
      </w:r>
      <w:r>
        <w:rPr>
          <w:rFonts w:ascii="Book Antiqua" w:hAnsi="Book Antiqua" w:eastAsia="Book Antiqua" w:cs="Book Antiqua"/>
          <w:color w:val="000000"/>
        </w:rPr>
        <w:t xml:space="preserve"> 2001; </w:t>
      </w:r>
      <w:r>
        <w:rPr>
          <w:rFonts w:ascii="Book Antiqua" w:hAnsi="Book Antiqua" w:eastAsia="Book Antiqua" w:cs="Book Antiqua"/>
          <w:b/>
          <w:bCs/>
          <w:color w:val="000000"/>
        </w:rPr>
        <w:t>165</w:t>
      </w:r>
      <w:r>
        <w:rPr>
          <w:rFonts w:ascii="Book Antiqua" w:hAnsi="Book Antiqua" w:eastAsia="Book Antiqua" w:cs="Book Antiqua"/>
          <w:color w:val="000000"/>
        </w:rPr>
        <w:t>: 1138-1142 [PMID: 11257655]</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7 </w:t>
      </w:r>
      <w:r>
        <w:rPr>
          <w:rFonts w:ascii="Book Antiqua" w:hAnsi="Book Antiqua" w:eastAsia="Book Antiqua" w:cs="Book Antiqua"/>
          <w:b/>
          <w:bCs/>
          <w:color w:val="000000"/>
        </w:rPr>
        <w:t>Nocini R,</w:t>
      </w:r>
      <w:r>
        <w:rPr>
          <w:rFonts w:ascii="Book Antiqua" w:hAnsi="Book Antiqua" w:eastAsia="Book Antiqua" w:cs="Book Antiqua"/>
          <w:color w:val="000000"/>
        </w:rPr>
        <w:t xml:space="preserve"> Vianini M, Girolami I, Calabrese L, Scarpa A, Martini M</w:t>
      </w:r>
      <w:r>
        <w:rPr>
          <w:rFonts w:hint="eastAsia" w:ascii="Book Antiqua" w:hAnsi="Book Antiqua" w:cs="Book Antiqua"/>
          <w:color w:val="000000"/>
        </w:rPr>
        <w:t>.</w:t>
      </w:r>
      <w:r>
        <w:rPr>
          <w:rFonts w:ascii="Book Antiqua" w:hAnsi="Book Antiqua" w:eastAsia="Book Antiqua" w:cs="Book Antiqua"/>
          <w:color w:val="000000"/>
        </w:rPr>
        <w:t xml:space="preserve"> PD-L1 in oral squamous cell carcinoma: A key biomarker from the laboratory to the bedside. </w:t>
      </w:r>
      <w:r>
        <w:rPr>
          <w:rFonts w:ascii="Book Antiqua" w:hAnsi="Book Antiqua" w:eastAsia="Book Antiqua" w:cs="Book Antiqua"/>
          <w:i/>
          <w:color w:val="000000"/>
        </w:rPr>
        <w:t>Clin Exp Dent Res</w:t>
      </w:r>
      <w:r>
        <w:rPr>
          <w:rFonts w:hint="eastAsia" w:ascii="Book Antiqua" w:hAnsi="Book Antiqua" w:cs="Book Antiqua"/>
          <w:color w:val="000000"/>
        </w:rPr>
        <w:t xml:space="preserve"> </w:t>
      </w:r>
      <w:r>
        <w:rPr>
          <w:rFonts w:ascii="Book Antiqua" w:hAnsi="Book Antiqua" w:eastAsia="Book Antiqua" w:cs="Book Antiqua"/>
          <w:color w:val="000000"/>
        </w:rPr>
        <w:t xml:space="preserve">2022; </w:t>
      </w:r>
      <w:r>
        <w:rPr>
          <w:rFonts w:ascii="Book Antiqua" w:hAnsi="Book Antiqua" w:eastAsia="Book Antiqua" w:cs="Book Antiqua"/>
          <w:b/>
          <w:color w:val="000000"/>
        </w:rPr>
        <w:t>8</w:t>
      </w:r>
      <w:r>
        <w:rPr>
          <w:rFonts w:ascii="Book Antiqua" w:hAnsi="Book Antiqua" w:eastAsia="Book Antiqua" w:cs="Book Antiqua"/>
          <w:color w:val="000000"/>
        </w:rPr>
        <w:t>:</w:t>
      </w:r>
      <w:r>
        <w:rPr>
          <w:rFonts w:hint="eastAsia" w:ascii="Book Antiqua" w:hAnsi="Book Antiqua" w:cs="Book Antiqua"/>
          <w:color w:val="000000"/>
        </w:rPr>
        <w:t xml:space="preserve"> </w:t>
      </w:r>
      <w:r>
        <w:rPr>
          <w:rFonts w:ascii="Book Antiqua" w:hAnsi="Book Antiqua" w:eastAsia="Book Antiqua" w:cs="Book Antiqua"/>
          <w:color w:val="000000"/>
        </w:rPr>
        <w:t>690-</w:t>
      </w:r>
      <w:r>
        <w:rPr>
          <w:rFonts w:hint="eastAsia" w:ascii="Book Antiqua" w:hAnsi="Book Antiqua" w:cs="Book Antiqua"/>
          <w:color w:val="000000"/>
        </w:rPr>
        <w:t>6</w:t>
      </w:r>
      <w:r>
        <w:rPr>
          <w:rFonts w:ascii="Book Antiqua" w:hAnsi="Book Antiqua" w:eastAsia="Book Antiqua" w:cs="Book Antiqua"/>
          <w:color w:val="000000"/>
        </w:rPr>
        <w:t>98</w:t>
      </w:r>
      <w:r>
        <w:rPr>
          <w:rFonts w:hint="eastAsia" w:ascii="Book Antiqua" w:hAnsi="Book Antiqua" w:cs="Book Antiqua"/>
          <w:color w:val="000000"/>
        </w:rPr>
        <w:t xml:space="preserve"> </w:t>
      </w:r>
      <w:r>
        <w:rPr>
          <w:rFonts w:ascii="Book Antiqua" w:hAnsi="Book Antiqua" w:eastAsia="Book Antiqua" w:cs="Book Antiqua"/>
          <w:color w:val="000000"/>
        </w:rPr>
        <w:t>[DOI:</w:t>
      </w:r>
      <w:r>
        <w:rPr>
          <w:rFonts w:hint="eastAsia" w:ascii="Book Antiqua" w:hAnsi="Book Antiqua" w:cs="Book Antiqua"/>
          <w:color w:val="000000"/>
        </w:rPr>
        <w:t xml:space="preserve"> </w:t>
      </w:r>
      <w:r>
        <w:rPr>
          <w:rFonts w:ascii="Book Antiqua" w:hAnsi="Book Antiqua" w:eastAsia="Book Antiqua" w:cs="Book Antiqua"/>
          <w:color w:val="000000"/>
        </w:rPr>
        <w:t>10.1002/cre2.590]</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8 </w:t>
      </w:r>
      <w:r>
        <w:rPr>
          <w:rFonts w:ascii="Book Antiqua" w:hAnsi="Book Antiqua" w:eastAsia="Book Antiqua" w:cs="Book Antiqua"/>
          <w:b/>
          <w:bCs/>
          <w:color w:val="000000"/>
        </w:rPr>
        <w:t>Girolami I</w:t>
      </w:r>
      <w:r>
        <w:rPr>
          <w:rFonts w:ascii="Book Antiqua" w:hAnsi="Book Antiqua" w:eastAsia="Book Antiqua" w:cs="Book Antiqua"/>
          <w:color w:val="000000"/>
        </w:rPr>
        <w:t xml:space="preserve">, Pantanowitz L, Munari E, Martini M, Nocini R, Bisi N, Molteni G, Marchioni D, Ghimenton C, Brunelli M, Eccher A. Prevalence of PD-L1 expression in head and neck squamous precancerous lesions: a systematic review and meta-analysis. </w:t>
      </w:r>
      <w:r>
        <w:rPr>
          <w:rFonts w:ascii="Book Antiqua" w:hAnsi="Book Antiqua" w:eastAsia="Book Antiqua" w:cs="Book Antiqua"/>
          <w:i/>
          <w:iCs/>
          <w:color w:val="000000"/>
        </w:rPr>
        <w:t>Head Neck</w:t>
      </w:r>
      <w:r>
        <w:rPr>
          <w:rFonts w:ascii="Book Antiqua" w:hAnsi="Book Antiqua" w:eastAsia="Book Antiqua" w:cs="Book Antiqua"/>
          <w:color w:val="000000"/>
        </w:rPr>
        <w:t xml:space="preserve"> 2020; </w:t>
      </w:r>
      <w:r>
        <w:rPr>
          <w:rFonts w:ascii="Book Antiqua" w:hAnsi="Book Antiqua" w:eastAsia="Book Antiqua" w:cs="Book Antiqua"/>
          <w:b/>
          <w:bCs/>
          <w:color w:val="000000"/>
        </w:rPr>
        <w:t>42</w:t>
      </w:r>
      <w:r>
        <w:rPr>
          <w:rFonts w:ascii="Book Antiqua" w:hAnsi="Book Antiqua" w:eastAsia="Book Antiqua" w:cs="Book Antiqua"/>
          <w:color w:val="000000"/>
        </w:rPr>
        <w:t>: 3018-3030 [PMID: 32567746 DOI: 10.1002/hed.26339]</w:t>
      </w:r>
    </w:p>
    <w:p>
      <w:pPr>
        <w:rPr>
          <w:rFonts w:ascii="Book Antiqua" w:hAnsi="Book Antiqua" w:cs="Book Antiqua"/>
          <w:b/>
          <w:color w:val="000000"/>
        </w:rPr>
      </w:pPr>
    </w:p>
    <w:p>
      <w:pPr>
        <w:rPr>
          <w:rFonts w:ascii="Book Antiqua" w:hAnsi="Book Antiqua" w:eastAsia="Book Antiqua" w:cs="Book Antiqua"/>
          <w:b/>
          <w:color w:val="000000"/>
        </w:rPr>
      </w:pPr>
      <w:r>
        <w:rPr>
          <w:rFonts w:ascii="Book Antiqua" w:hAnsi="Book Antiqua" w:eastAsia="Book Antiqua" w:cs="Book Antiqua"/>
          <w:b/>
          <w:color w:val="000000"/>
        </w:rPr>
        <w:br w:type="page"/>
      </w:r>
    </w:p>
    <w:p>
      <w:pPr>
        <w:spacing w:line="360" w:lineRule="auto"/>
        <w:jc w:val="both"/>
      </w:pPr>
      <w:r>
        <w:rPr>
          <w:rFonts w:ascii="Book Antiqua" w:hAnsi="Book Antiqua" w:eastAsia="Book Antiqua" w:cs="Book Antiqua"/>
          <w:b/>
          <w:color w:val="000000"/>
        </w:rPr>
        <w:t>Footnotes</w:t>
      </w:r>
    </w:p>
    <w:p>
      <w:pPr>
        <w:spacing w:line="360" w:lineRule="auto"/>
        <w:jc w:val="both"/>
        <w:rPr>
          <w:rFonts w:ascii="Book Antiqua" w:hAnsi="Book Antiqua" w:cs="Book Antiqua"/>
          <w:b/>
          <w:color w:val="000000"/>
          <w:szCs w:val="23"/>
          <w:lang w:val="en-GB"/>
        </w:rPr>
      </w:pPr>
      <w:r>
        <w:rPr>
          <w:rFonts w:ascii="Book Antiqua" w:hAnsi="Book Antiqua" w:eastAsia="Book Antiqua" w:cs="Book Antiqua"/>
          <w:b/>
          <w:bCs/>
          <w:color w:val="000000"/>
          <w:szCs w:val="22"/>
        </w:rPr>
        <w:t xml:space="preserve">Conflict-of-interest statement: </w:t>
      </w:r>
      <w:r>
        <w:rPr>
          <w:rFonts w:ascii="Book Antiqua" w:hAnsi="Book Antiqua" w:eastAsia="Book Antiqua" w:cs="Book Antiqua"/>
          <w:color w:val="000000"/>
          <w:szCs w:val="23"/>
          <w:lang w:val="en-GB"/>
        </w:rPr>
        <w:t>All the Authors have no conflict of interest related to the manuscript.</w:t>
      </w:r>
    </w:p>
    <w:p>
      <w:pPr>
        <w:spacing w:line="360" w:lineRule="auto"/>
        <w:jc w:val="both"/>
      </w:pPr>
    </w:p>
    <w:p>
      <w:pPr>
        <w:spacing w:line="360" w:lineRule="auto"/>
        <w:jc w:val="both"/>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pPr>
    </w:p>
    <w:p>
      <w:pPr>
        <w:spacing w:line="360" w:lineRule="auto"/>
        <w:jc w:val="both"/>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pPr>
    </w:p>
    <w:p>
      <w:pPr>
        <w:spacing w:line="360" w:lineRule="auto"/>
        <w:jc w:val="both"/>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June 6, 2022</w:t>
      </w:r>
    </w:p>
    <w:p>
      <w:pPr>
        <w:spacing w:line="360" w:lineRule="auto"/>
        <w:jc w:val="both"/>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August 4, 2022</w:t>
      </w:r>
    </w:p>
    <w:p>
      <w:pPr>
        <w:spacing w:line="360" w:lineRule="auto"/>
        <w:jc w:val="both"/>
      </w:pPr>
      <w:r>
        <w:rPr>
          <w:rFonts w:ascii="Book Antiqua" w:hAnsi="Book Antiqua" w:eastAsia="Book Antiqua" w:cs="Book Antiqua"/>
          <w:b/>
          <w:color w:val="000000"/>
        </w:rPr>
        <w:t xml:space="preserve">Article in press: </w:t>
      </w:r>
      <w:r>
        <w:rPr>
          <w:rFonts w:ascii="Book Antiqua" w:hAnsi="Book Antiqua" w:eastAsia="Book Antiqua" w:cs="Book Antiqua"/>
          <w:color w:val="000000"/>
        </w:rPr>
        <w:t>August 30, 2022</w:t>
      </w:r>
    </w:p>
    <w:p>
      <w:pPr>
        <w:spacing w:line="360" w:lineRule="auto"/>
        <w:jc w:val="both"/>
      </w:pPr>
    </w:p>
    <w:p>
      <w:pPr>
        <w:spacing w:line="360" w:lineRule="auto"/>
        <w:jc w:val="both"/>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Medicine, research and experimental</w:t>
      </w:r>
    </w:p>
    <w:p>
      <w:pPr>
        <w:spacing w:line="360" w:lineRule="auto"/>
        <w:jc w:val="both"/>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Mexico</w:t>
      </w:r>
    </w:p>
    <w:p>
      <w:pPr>
        <w:spacing w:line="360" w:lineRule="auto"/>
        <w:jc w:val="both"/>
      </w:pPr>
      <w:r>
        <w:rPr>
          <w:rFonts w:ascii="Book Antiqua" w:hAnsi="Book Antiqua" w:eastAsia="Book Antiqua" w:cs="Book Antiqua"/>
          <w:b/>
          <w:color w:val="000000"/>
        </w:rPr>
        <w:t>Peer-review report’s scientific quality classification</w:t>
      </w:r>
    </w:p>
    <w:p>
      <w:pPr>
        <w:spacing w:line="360" w:lineRule="auto"/>
        <w:jc w:val="both"/>
      </w:pPr>
      <w:r>
        <w:rPr>
          <w:rFonts w:ascii="Book Antiqua" w:hAnsi="Book Antiqua" w:eastAsia="Book Antiqua" w:cs="Book Antiqua"/>
          <w:color w:val="000000"/>
        </w:rPr>
        <w:t>Grade A (Excellent): 0</w:t>
      </w:r>
    </w:p>
    <w:p>
      <w:pPr>
        <w:spacing w:line="360" w:lineRule="auto"/>
        <w:jc w:val="both"/>
      </w:pPr>
      <w:r>
        <w:rPr>
          <w:rFonts w:ascii="Book Antiqua" w:hAnsi="Book Antiqua" w:eastAsia="Book Antiqua" w:cs="Book Antiqua"/>
          <w:color w:val="000000"/>
        </w:rPr>
        <w:t>Grade B (Very good): B, B</w:t>
      </w:r>
    </w:p>
    <w:p>
      <w:pPr>
        <w:spacing w:line="360" w:lineRule="auto"/>
        <w:jc w:val="both"/>
      </w:pPr>
      <w:r>
        <w:rPr>
          <w:rFonts w:ascii="Book Antiqua" w:hAnsi="Book Antiqua" w:eastAsia="Book Antiqua" w:cs="Book Antiqua"/>
          <w:color w:val="000000"/>
        </w:rPr>
        <w:t>Grade C (Good): 0</w:t>
      </w:r>
    </w:p>
    <w:p>
      <w:pPr>
        <w:spacing w:line="360" w:lineRule="auto"/>
        <w:jc w:val="both"/>
      </w:pPr>
      <w:r>
        <w:rPr>
          <w:rFonts w:ascii="Book Antiqua" w:hAnsi="Book Antiqua" w:eastAsia="Book Antiqua" w:cs="Book Antiqua"/>
          <w:color w:val="000000"/>
        </w:rPr>
        <w:t>Grade D (Fair): 0</w:t>
      </w:r>
    </w:p>
    <w:p>
      <w:pPr>
        <w:spacing w:line="360" w:lineRule="auto"/>
        <w:jc w:val="both"/>
      </w:pPr>
      <w:r>
        <w:rPr>
          <w:rFonts w:ascii="Book Antiqua" w:hAnsi="Book Antiqua" w:eastAsia="Book Antiqua" w:cs="Book Antiqua"/>
          <w:color w:val="000000"/>
        </w:rPr>
        <w:t>Grade E (Poor): 0</w:t>
      </w:r>
    </w:p>
    <w:p>
      <w:pPr>
        <w:spacing w:line="360" w:lineRule="auto"/>
        <w:jc w:val="both"/>
      </w:pPr>
    </w:p>
    <w:p>
      <w:pPr>
        <w:spacing w:line="360" w:lineRule="auto"/>
        <w:jc w:val="both"/>
        <w:rPr>
          <w:rFonts w:ascii="Book Antiqua" w:hAnsi="Book Antiqua" w:cs="Book Antiqua"/>
          <w:color w:val="000000"/>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Aoun G, Lebanon; Eccher A, Italy</w:t>
      </w:r>
      <w:r>
        <w:rPr>
          <w:rFonts w:ascii="Book Antiqua" w:hAnsi="Book Antiqua" w:eastAsia="Book Antiqua" w:cs="Book Antiqua"/>
          <w:b/>
          <w:color w:val="000000"/>
        </w:rPr>
        <w:t xml:space="preserve"> S-Editor: </w:t>
      </w:r>
      <w:r>
        <w:rPr>
          <w:rFonts w:hint="eastAsia" w:ascii="Book Antiqua" w:hAnsi="Book Antiqua" w:cs="Book Antiqua"/>
          <w:color w:val="000000"/>
        </w:rPr>
        <w:t>Wang LL</w:t>
      </w:r>
      <w:r>
        <w:rPr>
          <w:rFonts w:hint="eastAsia" w:ascii="Book Antiqua" w:hAnsi="Book Antiqua" w:cs="Book Antiqua"/>
          <w:b/>
          <w:color w:val="000000"/>
        </w:rPr>
        <w:t xml:space="preserve"> </w:t>
      </w:r>
      <w:r>
        <w:rPr>
          <w:rFonts w:ascii="Book Antiqua" w:hAnsi="Book Antiqua" w:eastAsia="Book Antiqua" w:cs="Book Antiqua"/>
          <w:b/>
          <w:color w:val="000000"/>
        </w:rPr>
        <w:t xml:space="preserve">L-Editor: </w:t>
      </w:r>
      <w:r>
        <w:rPr>
          <w:rFonts w:ascii="Book Antiqua" w:hAnsi="Book Antiqua" w:eastAsia="Book Antiqua" w:cs="Book Antiqua"/>
          <w:bCs/>
          <w:color w:val="000000"/>
        </w:rPr>
        <w:t xml:space="preserve">Filipodia </w:t>
      </w:r>
      <w:r>
        <w:rPr>
          <w:rFonts w:ascii="Book Antiqua" w:hAnsi="Book Antiqua" w:eastAsia="Book Antiqua" w:cs="Book Antiqua"/>
          <w:b/>
          <w:color w:val="000000"/>
        </w:rPr>
        <w:t>P-Editor:</w:t>
      </w:r>
      <w:r>
        <w:rPr>
          <w:rFonts w:hint="eastAsia" w:ascii="Book Antiqua" w:hAnsi="Book Antiqua" w:cs="Book Antiqua"/>
          <w:color w:val="000000"/>
        </w:rPr>
        <w:t xml:space="preserve"> Wang LL</w:t>
      </w:r>
    </w:p>
    <w:p>
      <w:pPr>
        <w:spacing w:line="360" w:lineRule="auto"/>
        <w:jc w:val="both"/>
        <w:rPr>
          <w:rFonts w:ascii="Book Antiqua" w:hAnsi="Book Antiqua" w:cs="Book Antiqua"/>
          <w:color w:val="000000"/>
        </w:rPr>
      </w:pPr>
    </w:p>
    <w:p>
      <w:pPr>
        <w:spacing w:line="360" w:lineRule="auto"/>
        <w:jc w:val="both"/>
        <w:rPr>
          <w:rFonts w:ascii="Book Antiqua" w:hAnsi="Book Antiqua" w:cs="Book Antiqua"/>
          <w:color w:val="000000"/>
        </w:rPr>
      </w:pPr>
    </w:p>
    <w:p>
      <w:pPr>
        <w:spacing w:line="360" w:lineRule="auto"/>
        <w:jc w:val="both"/>
        <w:rPr>
          <w:rFonts w:ascii="Book Antiqua" w:hAnsi="Book Antiqua" w:cs="Book Antiqua"/>
          <w:color w:val="000000"/>
        </w:rPr>
      </w:pPr>
    </w:p>
    <w:p>
      <w:pPr>
        <w:spacing w:line="360" w:lineRule="auto"/>
        <w:jc w:val="both"/>
        <w:rPr>
          <w:rFonts w:ascii="Book Antiqua" w:hAnsi="Book Antiqua" w:cs="Book Antiqua"/>
          <w:color w:val="000000"/>
        </w:rPr>
      </w:pPr>
    </w:p>
    <w:p>
      <w:pPr>
        <w:spacing w:line="360" w:lineRule="auto"/>
        <w:jc w:val="both"/>
        <w:rPr>
          <w:rFonts w:ascii="Book Antiqua" w:hAnsi="Book Antiqua" w:eastAsia="Book Antiqua" w:cs="Book Antiqua"/>
          <w:b/>
          <w:color w:val="000000"/>
        </w:rPr>
      </w:pPr>
    </w:p>
    <w:p>
      <w:pPr>
        <w:spacing w:line="360" w:lineRule="auto"/>
        <w:jc w:val="both"/>
        <w:rPr>
          <w:rFonts w:ascii="Book Antiqua" w:hAnsi="Book Antiqua" w:cs="Book Antiqua"/>
          <w:b/>
          <w:color w:val="000000"/>
        </w:rPr>
      </w:pPr>
      <w:r>
        <w:rPr>
          <w:rFonts w:hint="eastAsia" w:ascii="Book Antiqua" w:hAnsi="Book Antiqua" w:cs="Book Antiqua"/>
          <w:b/>
          <w:color w:val="000000"/>
        </w:rPr>
        <w:t>Figure Legends</w:t>
      </w:r>
    </w:p>
    <w:p>
      <w:pPr>
        <w:spacing w:line="360" w:lineRule="auto"/>
        <w:jc w:val="both"/>
        <w:rPr>
          <w:rFonts w:hint="eastAsia" w:ascii="Book Antiqua" w:hAnsi="Book Antiqua" w:eastAsia="宋体" w:cs="Book Antiqua"/>
          <w:b/>
          <w:color w:val="000000"/>
          <w:lang w:eastAsia="zh-CN"/>
        </w:rPr>
      </w:pPr>
      <w:r>
        <w:rPr>
          <w:rFonts w:hint="eastAsia" w:ascii="Book Antiqua" w:hAnsi="Book Antiqua" w:eastAsia="宋体" w:cs="Book Antiqua"/>
          <w:b/>
          <w:color w:val="000000"/>
          <w:lang w:eastAsia="zh-CN"/>
        </w:rPr>
        <w:drawing>
          <wp:inline distT="0" distB="0" distL="114300" distR="114300">
            <wp:extent cx="5904865" cy="1739900"/>
            <wp:effectExtent l="0" t="0" r="8255" b="12700"/>
            <wp:docPr id="3" name="图片 3" descr="WJCC-10-10387-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0-10387-g001"/>
                    <pic:cNvPicPr>
                      <a:picLocks noChangeAspect="1"/>
                    </pic:cNvPicPr>
                  </pic:nvPicPr>
                  <pic:blipFill>
                    <a:blip r:embed="rId5"/>
                    <a:stretch>
                      <a:fillRect/>
                    </a:stretch>
                  </pic:blipFill>
                  <pic:spPr>
                    <a:xfrm>
                      <a:off x="0" y="0"/>
                      <a:ext cx="5904865" cy="1739900"/>
                    </a:xfrm>
                    <a:prstGeom prst="rect">
                      <a:avLst/>
                    </a:prstGeom>
                  </pic:spPr>
                </pic:pic>
              </a:graphicData>
            </a:graphic>
          </wp:inline>
        </w:drawing>
      </w:r>
    </w:p>
    <w:p>
      <w:pPr>
        <w:spacing w:line="360" w:lineRule="auto"/>
        <w:jc w:val="both"/>
        <w:rPr>
          <w:b/>
        </w:rPr>
      </w:pPr>
      <w:r>
        <w:rPr>
          <w:rFonts w:ascii="Book Antiqua" w:hAnsi="Book Antiqua" w:eastAsia="Book Antiqua" w:cs="Book Antiqua"/>
          <w:b/>
          <w:bCs/>
        </w:rPr>
        <w:t>Figure 1</w:t>
      </w:r>
      <w:r>
        <w:rPr>
          <w:rFonts w:hint="eastAsia" w:ascii="Book Antiqua" w:hAnsi="Book Antiqua" w:cs="Book Antiqua"/>
          <w:b/>
          <w:bCs/>
        </w:rPr>
        <w:t xml:space="preserve"> </w:t>
      </w:r>
      <w:r>
        <w:rPr>
          <w:rFonts w:ascii="Book Antiqua" w:hAnsi="Book Antiqua" w:eastAsia="Book Antiqua" w:cs="Book Antiqua"/>
          <w:b/>
        </w:rPr>
        <w:t>Histopathological parameters of</w:t>
      </w:r>
      <w:r>
        <w:rPr>
          <w:b/>
        </w:rPr>
        <w:t xml:space="preserve"> the </w:t>
      </w:r>
      <w:r>
        <w:rPr>
          <w:rFonts w:ascii="Book Antiqua" w:hAnsi="Book Antiqua" w:eastAsia="Book Antiqua" w:cs="Book Antiqua"/>
          <w:b/>
        </w:rPr>
        <w:t xml:space="preserve">tumor invasion front. </w:t>
      </w:r>
    </w:p>
    <w:p>
      <w:r>
        <w:br w:type="page"/>
      </w:r>
    </w:p>
    <w:p>
      <w:pPr>
        <w:spacing w:line="360" w:lineRule="auto"/>
        <w:jc w:val="both"/>
        <w:rPr>
          <w:rFonts w:hint="eastAsia" w:eastAsia="宋体"/>
          <w:lang w:eastAsia="zh-CN"/>
        </w:rPr>
      </w:pPr>
      <w:r>
        <w:rPr>
          <w:rFonts w:hint="eastAsia" w:eastAsia="宋体"/>
          <w:lang w:eastAsia="zh-CN"/>
        </w:rPr>
        <w:drawing>
          <wp:inline distT="0" distB="0" distL="114300" distR="114300">
            <wp:extent cx="4839335" cy="3785870"/>
            <wp:effectExtent l="0" t="0" r="6985" b="8890"/>
            <wp:docPr id="4" name="图片 4" descr="WJCC-10-10387-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10387-g002"/>
                    <pic:cNvPicPr>
                      <a:picLocks noChangeAspect="1"/>
                    </pic:cNvPicPr>
                  </pic:nvPicPr>
                  <pic:blipFill>
                    <a:blip r:embed="rId6"/>
                    <a:stretch>
                      <a:fillRect/>
                    </a:stretch>
                  </pic:blipFill>
                  <pic:spPr>
                    <a:xfrm>
                      <a:off x="0" y="0"/>
                      <a:ext cx="4839335" cy="3785870"/>
                    </a:xfrm>
                    <a:prstGeom prst="rect">
                      <a:avLst/>
                    </a:prstGeom>
                  </pic:spPr>
                </pic:pic>
              </a:graphicData>
            </a:graphic>
          </wp:inline>
        </w:drawing>
      </w:r>
    </w:p>
    <w:p>
      <w:pPr>
        <w:spacing w:line="360" w:lineRule="auto"/>
        <w:jc w:val="both"/>
      </w:pPr>
      <w:r>
        <w:rPr>
          <w:rFonts w:ascii="Book Antiqua" w:hAnsi="Book Antiqua" w:eastAsia="Book Antiqua" w:cs="Book Antiqua"/>
          <w:b/>
          <w:bCs/>
        </w:rPr>
        <w:t>Figure 2</w:t>
      </w:r>
      <w:r>
        <w:rPr>
          <w:rFonts w:hint="eastAsia" w:ascii="Book Antiqua" w:hAnsi="Book Antiqua" w:cs="Book Antiqua"/>
          <w:b/>
          <w:bCs/>
        </w:rPr>
        <w:t xml:space="preserve"> </w:t>
      </w:r>
      <w:r>
        <w:rPr>
          <w:rFonts w:ascii="Book Antiqua" w:hAnsi="Book Antiqua" w:eastAsia="Book Antiqua" w:cs="Book Antiqua"/>
          <w:b/>
        </w:rPr>
        <w:t>Hematoxylin and eosin staining.</w:t>
      </w:r>
      <w:r>
        <w:rPr>
          <w:rFonts w:ascii="Book Antiqua" w:hAnsi="Book Antiqua" w:eastAsia="Book Antiqua" w:cs="Book Antiqua"/>
        </w:rPr>
        <w:t xml:space="preserve"> A: Well-differentiated squamous cell carcinoma (hematoxylin and eosin staining, magnification 100 ×); B: Epithelial islands formed by tumor cells (hematoxylin and eosin staining, magnification 100 ×); C: </w:t>
      </w:r>
      <w:bookmarkStart w:id="0" w:name="_GoBack"/>
      <w:bookmarkEnd w:id="0"/>
      <w:r>
        <w:rPr>
          <w:rFonts w:ascii="Book Antiqua" w:hAnsi="Book Antiqua" w:eastAsia="Book Antiqua" w:cs="Book Antiqua"/>
        </w:rPr>
        <w:t>Neoplastic cells infiltrating glandular tissue (hematoxylin and eosin staining, magnification 100 ×); D:</w:t>
      </w:r>
      <w:r>
        <w:t xml:space="preserve"> </w:t>
      </w:r>
      <w:r>
        <w:rPr>
          <w:rFonts w:ascii="Book Antiqua" w:hAnsi="Book Antiqua" w:eastAsia="Book Antiqua" w:cs="Book Antiqua"/>
        </w:rPr>
        <w:t>Neoplastic cells with an infiltrating pattern in blood vessels (hematoxylin and eosin staining, magnification 400 ×).</w:t>
      </w:r>
    </w:p>
    <w:p>
      <w:pPr>
        <w:spacing w:line="360" w:lineRule="auto"/>
        <w:jc w:val="both"/>
      </w:pPr>
    </w:p>
    <w:p>
      <w:pPr>
        <w:spacing w:line="360" w:lineRule="auto"/>
        <w:jc w:val="both"/>
        <w:sectPr>
          <w:footerReference r:id="rId3" w:type="default"/>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Arabic  \* MERGEFORMAT </w:instrText>
    </w:r>
    <w:r>
      <w:rPr>
        <w:rFonts w:ascii="Book Antiqua" w:hAnsi="Book Antiqua"/>
        <w:sz w:val="24"/>
        <w:szCs w:val="24"/>
      </w:rPr>
      <w:fldChar w:fldCharType="separate"/>
    </w:r>
    <w:r>
      <w:rPr>
        <w:rFonts w:ascii="Book Antiqua" w:hAnsi="Book Antiqua"/>
        <w:sz w:val="24"/>
        <w:szCs w:val="24"/>
      </w:rPr>
      <w:t>2</w:t>
    </w:r>
    <w:r>
      <w:rPr>
        <w:rFonts w:ascii="Book Antiqua" w:hAnsi="Book Antiqua"/>
        <w:sz w:val="24"/>
        <w:szCs w:val="24"/>
      </w:rPr>
      <w:fldChar w:fldCharType="end"/>
    </w:r>
    <w:r>
      <w:rPr>
        <w:rFonts w:ascii="Book Antiqua" w:hAnsi="Book Antiqua"/>
        <w:sz w:val="24"/>
        <w:szCs w:val="24"/>
      </w:rPr>
      <w:t xml:space="preserve"> / </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Pr>
        <w:rFonts w:ascii="Book Antiqua" w:hAnsi="Book Antiqua"/>
        <w:sz w:val="24"/>
        <w:szCs w:val="24"/>
      </w:rPr>
      <w:t>8</w:t>
    </w:r>
    <w:r>
      <w:rPr>
        <w:rFonts w:ascii="Book Antiqua" w:hAnsi="Book Antiqua"/>
        <w:sz w:val="24"/>
        <w:szCs w:val="24"/>
      </w:rP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removePersonalInformation/>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hyphenationZone w:val="425"/>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002A21"/>
    <w:rsid w:val="00003393"/>
    <w:rsid w:val="001419D5"/>
    <w:rsid w:val="001B6788"/>
    <w:rsid w:val="0020026B"/>
    <w:rsid w:val="002B0F10"/>
    <w:rsid w:val="002B4701"/>
    <w:rsid w:val="002B4DDD"/>
    <w:rsid w:val="002C54D9"/>
    <w:rsid w:val="002E6AE2"/>
    <w:rsid w:val="00301BBB"/>
    <w:rsid w:val="0032639E"/>
    <w:rsid w:val="003517F2"/>
    <w:rsid w:val="00360DCC"/>
    <w:rsid w:val="0039479C"/>
    <w:rsid w:val="003D7900"/>
    <w:rsid w:val="003F5767"/>
    <w:rsid w:val="00420F51"/>
    <w:rsid w:val="00437EAD"/>
    <w:rsid w:val="00481A94"/>
    <w:rsid w:val="00490C18"/>
    <w:rsid w:val="004D616E"/>
    <w:rsid w:val="004E1822"/>
    <w:rsid w:val="00514CEA"/>
    <w:rsid w:val="00585290"/>
    <w:rsid w:val="005D3431"/>
    <w:rsid w:val="00600E5C"/>
    <w:rsid w:val="00621B45"/>
    <w:rsid w:val="00626DC7"/>
    <w:rsid w:val="006C3D19"/>
    <w:rsid w:val="007223E3"/>
    <w:rsid w:val="00754989"/>
    <w:rsid w:val="0079617A"/>
    <w:rsid w:val="007D7D71"/>
    <w:rsid w:val="008036C0"/>
    <w:rsid w:val="00817E1B"/>
    <w:rsid w:val="00850EFD"/>
    <w:rsid w:val="0085149F"/>
    <w:rsid w:val="00892E2D"/>
    <w:rsid w:val="009063A5"/>
    <w:rsid w:val="00957DF5"/>
    <w:rsid w:val="009B5FAF"/>
    <w:rsid w:val="00A20C76"/>
    <w:rsid w:val="00A31643"/>
    <w:rsid w:val="00A56FF7"/>
    <w:rsid w:val="00A6512A"/>
    <w:rsid w:val="00A77B3E"/>
    <w:rsid w:val="00A80303"/>
    <w:rsid w:val="00AB1255"/>
    <w:rsid w:val="00AE29D6"/>
    <w:rsid w:val="00AF0F8C"/>
    <w:rsid w:val="00AF6CC5"/>
    <w:rsid w:val="00B020E1"/>
    <w:rsid w:val="00B14DF3"/>
    <w:rsid w:val="00B741A8"/>
    <w:rsid w:val="00B8663F"/>
    <w:rsid w:val="00B95642"/>
    <w:rsid w:val="00C271EB"/>
    <w:rsid w:val="00C7121F"/>
    <w:rsid w:val="00CA2A55"/>
    <w:rsid w:val="00CB22FF"/>
    <w:rsid w:val="00CE7EE2"/>
    <w:rsid w:val="00D578C2"/>
    <w:rsid w:val="00D84327"/>
    <w:rsid w:val="00E86D11"/>
    <w:rsid w:val="00F26619"/>
    <w:rsid w:val="00F51E85"/>
    <w:rsid w:val="00F7374E"/>
    <w:rsid w:val="00FC5E68"/>
    <w:rsid w:val="1CD503C0"/>
    <w:rsid w:val="3C8A74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nhideWhenUsed="0" w:uiPriority="0" w:semiHidden="0" w:name="annotation text"/>
    <w:lsdException w:unhideWhenUsed="0" w:uiPriority="0" w:semiHidden="0" w:name="header"/>
    <w:lsdException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3"/>
    <w:uiPriority w:val="0"/>
    <w:rPr>
      <w:rFonts w:ascii="Times New Roman" w:hAnsi="Times New Roman" w:cs="Times New Roman" w:eastAsiaTheme="minorEastAsia"/>
      <w:lang w:eastAsia="en-US"/>
    </w:rPr>
  </w:style>
  <w:style w:type="paragraph" w:styleId="3">
    <w:name w:val="Balloon Text"/>
    <w:basedOn w:val="1"/>
    <w:link w:val="10"/>
    <w:uiPriority w:val="0"/>
    <w:rPr>
      <w:rFonts w:ascii="Times New Roman" w:hAnsi="Times New Roman" w:cs="Times New Roman" w:eastAsiaTheme="minorEastAsia"/>
      <w:sz w:val="18"/>
      <w:szCs w:val="18"/>
      <w:lang w:eastAsia="en-US"/>
    </w:rPr>
  </w:style>
  <w:style w:type="paragraph" w:styleId="4">
    <w:name w:val="footer"/>
    <w:basedOn w:val="1"/>
    <w:link w:val="12"/>
    <w:uiPriority w:val="0"/>
    <w:pPr>
      <w:tabs>
        <w:tab w:val="center" w:pos="4153"/>
        <w:tab w:val="right" w:pos="8306"/>
      </w:tabs>
      <w:snapToGrid w:val="0"/>
    </w:pPr>
    <w:rPr>
      <w:rFonts w:ascii="Times New Roman" w:hAnsi="Times New Roman" w:cs="Times New Roman" w:eastAsiaTheme="minorEastAsia"/>
      <w:sz w:val="18"/>
      <w:szCs w:val="18"/>
      <w:lang w:eastAsia="en-US"/>
    </w:rPr>
  </w:style>
  <w:style w:type="paragraph" w:styleId="5">
    <w:name w:val="header"/>
    <w:basedOn w:val="1"/>
    <w:link w:val="11"/>
    <w:uiPriority w:val="0"/>
    <w:pPr>
      <w:pBdr>
        <w:bottom w:val="single" w:color="auto" w:sz="6" w:space="1"/>
      </w:pBdr>
      <w:tabs>
        <w:tab w:val="center" w:pos="4153"/>
        <w:tab w:val="right" w:pos="8306"/>
      </w:tabs>
      <w:snapToGrid w:val="0"/>
      <w:jc w:val="center"/>
    </w:pPr>
    <w:rPr>
      <w:rFonts w:ascii="Times New Roman" w:hAnsi="Times New Roman" w:cs="Times New Roman" w:eastAsiaTheme="minorEastAsia"/>
      <w:sz w:val="18"/>
      <w:szCs w:val="18"/>
      <w:lang w:eastAsia="en-US"/>
    </w:rPr>
  </w:style>
  <w:style w:type="paragraph" w:styleId="6">
    <w:name w:val="annotation subject"/>
    <w:basedOn w:val="2"/>
    <w:next w:val="2"/>
    <w:link w:val="14"/>
    <w:uiPriority w:val="0"/>
    <w:rPr>
      <w:b/>
      <w:bCs/>
    </w:rPr>
  </w:style>
  <w:style w:type="character" w:styleId="9">
    <w:name w:val="annotation reference"/>
    <w:basedOn w:val="8"/>
    <w:uiPriority w:val="0"/>
    <w:rPr>
      <w:sz w:val="21"/>
      <w:szCs w:val="21"/>
    </w:rPr>
  </w:style>
  <w:style w:type="character" w:customStyle="1" w:styleId="10">
    <w:name w:val="批注框文本 字符"/>
    <w:basedOn w:val="8"/>
    <w:link w:val="3"/>
    <w:qFormat/>
    <w:uiPriority w:val="0"/>
    <w:rPr>
      <w:sz w:val="18"/>
      <w:szCs w:val="18"/>
    </w:rPr>
  </w:style>
  <w:style w:type="character" w:customStyle="1" w:styleId="11">
    <w:name w:val="页眉 字符"/>
    <w:basedOn w:val="8"/>
    <w:link w:val="5"/>
    <w:uiPriority w:val="0"/>
    <w:rPr>
      <w:sz w:val="18"/>
      <w:szCs w:val="18"/>
    </w:rPr>
  </w:style>
  <w:style w:type="character" w:customStyle="1" w:styleId="12">
    <w:name w:val="页脚 字符"/>
    <w:basedOn w:val="8"/>
    <w:link w:val="4"/>
    <w:qFormat/>
    <w:uiPriority w:val="0"/>
    <w:rPr>
      <w:sz w:val="18"/>
      <w:szCs w:val="18"/>
    </w:rPr>
  </w:style>
  <w:style w:type="character" w:customStyle="1" w:styleId="13">
    <w:name w:val="批注文字 字符"/>
    <w:basedOn w:val="8"/>
    <w:link w:val="2"/>
    <w:uiPriority w:val="0"/>
    <w:rPr>
      <w:sz w:val="24"/>
      <w:szCs w:val="24"/>
    </w:rPr>
  </w:style>
  <w:style w:type="character" w:customStyle="1" w:styleId="14">
    <w:name w:val="批注主题 字符"/>
    <w:basedOn w:val="13"/>
    <w:link w:val="6"/>
    <w:uiPriority w:val="0"/>
    <w:rPr>
      <w:b/>
      <w:bCs/>
      <w:sz w:val="24"/>
      <w:szCs w:val="24"/>
    </w:rPr>
  </w:style>
  <w:style w:type="paragraph" w:customStyle="1" w:styleId="15">
    <w:name w:val="Revision"/>
    <w:hidden/>
    <w:semiHidden/>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1675</Words>
  <Characters>9867</Characters>
  <Lines>79</Lines>
  <Paragraphs>22</Paragraphs>
  <TotalTime>0</TotalTime>
  <ScaleCrop>false</ScaleCrop>
  <LinksUpToDate>false</LinksUpToDate>
  <CharactersWithSpaces>11480</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2022-08-30T21:28:00Z</dcterms:created>
  <dcterms:modified xsi:type="dcterms:W3CDTF">2022-09-27T09:10:47Z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D2F7D29EF4A04CC585EC4F860CE11936</vt:lpwstr>
  </property>
</Properties>
</file>