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adjustRightInd w:val="0"/>
        <w:snapToGrid w:val="0"/>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78492</w:t>
      </w:r>
    </w:p>
    <w:p>
      <w:pPr>
        <w:adjustRightInd w:val="0"/>
        <w:snapToGrid w:val="0"/>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rPr>
        <w:t>Thalidomide combined with endoscopy in the treatment of Cronkhite-Canada syndrome: A case report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shd w:val="clear" w:color="auto" w:fill="FFFFFF"/>
        </w:rPr>
        <w:t xml:space="preserve">Rong JM </w:t>
      </w:r>
      <w:r>
        <w:rPr>
          <w:rFonts w:ascii="Book Antiqua" w:hAnsi="Book Antiqua" w:eastAsia="Book Antiqua" w:cs="Book Antiqua"/>
          <w:i/>
          <w:iCs/>
          <w:shd w:val="clear" w:color="auto" w:fill="FFFFFF"/>
        </w:rPr>
        <w:t>et al</w:t>
      </w:r>
      <w:r>
        <w:rPr>
          <w:rFonts w:ascii="Book Antiqua" w:hAnsi="Book Antiqua" w:eastAsia="Book Antiqua" w:cs="Book Antiqua"/>
          <w:shd w:val="clear" w:color="auto" w:fill="FFFFFF"/>
        </w:rPr>
        <w:t>. Thalidomide in the treatment of CCS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rPr>
        <w:t>Jia-Mei Rong, Meng-Lin Shi, Jun-Kun Niu, Juan Luo, Ying-Lei Miao</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Jia-Mei Rong, Meng-Lin Shi, Jun-Kun Niu, Juan Luo, Ying-Lei Miao, </w:t>
      </w:r>
      <w:r>
        <w:rPr>
          <w:rFonts w:ascii="Book Antiqua" w:hAnsi="Book Antiqua" w:eastAsia="Book Antiqua" w:cs="Book Antiqua"/>
        </w:rPr>
        <w:t>Department of Gastroenterology, The First Affiliated Hospital of Kunming Medical University, Kunming 650032, Yunnan Province, China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Author contributions: </w:t>
      </w:r>
      <w:r>
        <w:rPr>
          <w:rFonts w:ascii="Book Antiqua" w:hAnsi="Book Antiqua" w:eastAsia="Book Antiqua" w:cs="Book Antiqua"/>
        </w:rPr>
        <w:t>Rong JM and Shi ML contributed to manuscript writing and editing, and data collection; Niu JK and Luo J helped revise the manuscript; Miao YL reviewed and revised the entire manuscript; all authors read and approved the final manuscript.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Supported by </w:t>
      </w:r>
      <w:r>
        <w:rPr>
          <w:rFonts w:ascii="Book Antiqua" w:hAnsi="Book Antiqua" w:eastAsia="Book Antiqua" w:cs="Book Antiqua"/>
          <w:shd w:val="clear" w:color="auto" w:fill="FFFFFF"/>
        </w:rPr>
        <w:t>National Natural Science Foundation of China, No. 82170550.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Corresponding author: Ying-Lei Miao, PhD, Chief Physician, </w:t>
      </w:r>
      <w:r>
        <w:rPr>
          <w:rFonts w:ascii="Book Antiqua" w:hAnsi="Book Antiqua" w:eastAsia="Book Antiqua" w:cs="Book Antiqua"/>
        </w:rPr>
        <w:t>Department of Gastroenterology, The First Affiliated Hospital of Kunming Medical University, No. 295 Xichang Road, Kunming 650032, Yunnan Province, China. miaoyinglei@kmmu.edu.cn</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July 9, 2022</w:t>
      </w: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August 5, 2022</w:t>
      </w: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August 24, 2022</w:t>
      </w: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rPr>
        <w:t>October 6, 2022</w:t>
      </w:r>
    </w:p>
    <w:p>
      <w:pPr>
        <w:adjustRightInd w:val="0"/>
        <w:snapToGrid w:val="0"/>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rPr>
      </w:pPr>
      <w:r>
        <w:rPr>
          <w:rFonts w:ascii="Book Antiqua" w:hAnsi="Book Antiqua" w:eastAsia="Book Antiqua" w:cs="Book Antiqua"/>
          <w:b/>
        </w:rPr>
        <w:t>Abstract</w:t>
      </w:r>
    </w:p>
    <w:p>
      <w:pPr>
        <w:adjustRightInd w:val="0"/>
        <w:snapToGrid w:val="0"/>
        <w:spacing w:line="360" w:lineRule="auto"/>
        <w:jc w:val="both"/>
        <w:rPr>
          <w:rFonts w:ascii="Book Antiqua" w:hAnsi="Book Antiqua"/>
        </w:rPr>
      </w:pPr>
      <w:r>
        <w:rPr>
          <w:rFonts w:ascii="Book Antiqua" w:hAnsi="Book Antiqua" w:eastAsia="Book Antiqua" w:cs="Book Antiqua"/>
        </w:rPr>
        <w:t>BACKGROUND</w:t>
      </w:r>
    </w:p>
    <w:p>
      <w:pPr>
        <w:adjustRightInd w:val="0"/>
        <w:snapToGrid w:val="0"/>
        <w:spacing w:line="360" w:lineRule="auto"/>
        <w:jc w:val="both"/>
        <w:rPr>
          <w:rFonts w:ascii="Book Antiqua" w:hAnsi="Book Antiqua"/>
        </w:rPr>
      </w:pPr>
      <w:r>
        <w:rPr>
          <w:rFonts w:ascii="Book Antiqua" w:hAnsi="Book Antiqua" w:eastAsia="Book Antiqua" w:cs="Book Antiqua"/>
        </w:rPr>
        <w:t>Cronkhite-Canada syndrome (CCS) is a rare non-hereditary disease with a poor prognosis and a mortality rate of up to 55%. Currently, there is no standard treatment for CCS. The department of gastroenterology of our hospital admitted a patient with CCS whose symptoms improved significantly after treatment with thalidomide combined with endoscopy, and there was no obvious adverse reaction during the 2-year follow-up.</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rPr>
        <w:t>CASE SUMMARY</w:t>
      </w:r>
    </w:p>
    <w:p>
      <w:pPr>
        <w:adjustRightInd w:val="0"/>
        <w:snapToGrid w:val="0"/>
        <w:spacing w:line="360" w:lineRule="auto"/>
        <w:jc w:val="both"/>
        <w:rPr>
          <w:rFonts w:ascii="Book Antiqua" w:hAnsi="Book Antiqua"/>
        </w:rPr>
      </w:pPr>
      <w:r>
        <w:rPr>
          <w:rFonts w:ascii="Book Antiqua" w:hAnsi="Book Antiqua" w:eastAsia="Book Antiqua" w:cs="Book Antiqua"/>
        </w:rPr>
        <w:t>A 47-year-old Chinese man presented with diarrhea for more than 4 mo, accompanied by loss of taste, fatigue, and weight loss. Physical examination demonstrated that the patient’s skin and hands were hyperpigmented, the front edges of the nails of both hands were notably thickened and yellow, and the nails were partially atrophied. Gastrointestinal endoscopy identified a diffuse polypoid bulge, and the patient bore an albumin level of 27.3 g/L. The level of the calcium correction amount was (2.164 mM) which allowed for a comprehensive diagnosis of Cronkhite-Canada syndrome, combined with hypoalbuminemia and hypocalcemia. Thalidomide of 150 mg per day was administered to regulate immunity, and the symptoms were relieved after 1 wk. During the follow-up period, polyps were still found that had not been resolved by thalidomide treatment, and endoscopic therapy was performed. This resulted in further improvement of his condition and no particular discomfort during the 2 years of follow-up.</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rPr>
        <w:t>CONCLUSION</w:t>
      </w:r>
    </w:p>
    <w:p>
      <w:pPr>
        <w:adjustRightInd w:val="0"/>
        <w:snapToGrid w:val="0"/>
        <w:spacing w:line="360" w:lineRule="auto"/>
        <w:jc w:val="both"/>
        <w:rPr>
          <w:rFonts w:ascii="Book Antiqua" w:hAnsi="Book Antiqua"/>
        </w:rPr>
      </w:pPr>
      <w:r>
        <w:rPr>
          <w:rFonts w:ascii="Book Antiqua" w:hAnsi="Book Antiqua" w:eastAsia="Book Antiqua" w:cs="Book Antiqua"/>
        </w:rPr>
        <w:t>The patient’s symptoms were significantly relieved by thalidomide 2 years after treatment, proposing it as a potential treatment for CCS.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Cronkhite-Canada syndrome; Diarrhea; Polyp; Thalidomide; Endoscopic therapy; Case report</w:t>
      </w:r>
    </w:p>
    <w:p>
      <w:pPr>
        <w:adjustRightInd w:val="0"/>
        <w:snapToGrid w:val="0"/>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rPr>
        <w:t xml:space="preserve">Rong JM, Shi ML, Niu JK, Luo J, Miao YL. Thalidomide combined with endoscopy in the treatment of Cronkhite-Canada syndrome: A case report. </w:t>
      </w:r>
      <w:r>
        <w:rPr>
          <w:rFonts w:ascii="Book Antiqua" w:hAnsi="Book Antiqua" w:eastAsia="Book Antiqua" w:cs="Book Antiqua"/>
          <w:i/>
          <w:iCs/>
        </w:rPr>
        <w:t>World J Clin Cases</w:t>
      </w:r>
      <w:r>
        <w:rPr>
          <w:rFonts w:ascii="Book Antiqua" w:hAnsi="Book Antiqua" w:eastAsia="Book Antiqua" w:cs="Book Antiqua"/>
        </w:rPr>
        <w:t xml:space="preserve"> 2022</w:t>
      </w:r>
      <w:bookmarkStart w:id="0" w:name="_Hlk111841120"/>
      <w:r>
        <w:rPr>
          <w:rFonts w:ascii="Book Antiqua" w:hAnsi="Book Antiqua" w:eastAsia="Book Antiqua" w:cs="Book Antiqua"/>
          <w:color w:val="000000"/>
        </w:rPr>
        <w:t xml:space="preserve">; </w:t>
      </w:r>
      <w:r>
        <w:rPr>
          <w:rFonts w:hint="eastAsia" w:ascii="Book Antiqua" w:hAnsi="Book Antiqua" w:eastAsia="Book Antiqua" w:cs="Book Antiqua"/>
          <w:color w:val="000000"/>
        </w:rPr>
        <w:t>10(2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10366-10374</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https://www.wjgnet.com/2307-8960/full/v10/i2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10366</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https://dx.doi.org/10.12998/wjcc.v10.i2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10366</w:t>
      </w:r>
    </w:p>
    <w:p>
      <w:pPr>
        <w:spacing w:line="360" w:lineRule="auto"/>
        <w:jc w:val="both"/>
        <w:rPr>
          <w:rFonts w:ascii="Book Antiqua" w:hAnsi="Book Antiqua"/>
        </w:rPr>
      </w:pPr>
    </w:p>
    <w:bookmarkEnd w:id="0"/>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Cronkhite-Canada syndrome (CCS) is a rare non-hereditary disease with a poor prognosis and a mortality rate of up to 55%. Currently, there is no standard treatment for CCS. The symptoms of the patient in this case were significantly improved after treatment with thalidomide combined with endoscopy, and they were followed up for 2 years. No obvious adverse reactions were observed. Thalidomide may be a new potential therapeutic drug for CCS, and we will continue to follow up to determine its long-term efficacy.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u w:val="single"/>
        </w:rPr>
        <w:t>INTRODUCTION</w:t>
      </w:r>
    </w:p>
    <w:p>
      <w:pPr>
        <w:adjustRightInd w:val="0"/>
        <w:snapToGrid w:val="0"/>
        <w:spacing w:line="360" w:lineRule="auto"/>
        <w:jc w:val="both"/>
        <w:rPr>
          <w:rFonts w:ascii="Book Antiqua" w:hAnsi="Book Antiqua"/>
        </w:rPr>
      </w:pPr>
      <w:r>
        <w:rPr>
          <w:rFonts w:ascii="Book Antiqua" w:hAnsi="Book Antiqua" w:eastAsia="Book Antiqua" w:cs="Book Antiqua"/>
        </w:rPr>
        <w:t>Cronkhite-Canada syndrome (CCS), also known as polyp pigmentation alopecia fingernail dystrophy syndrome, is characterized by multiple polyps of the gastrointestinal tract, hair loss, nail dystrophy, and abnormal skin pigmentation. It was first reported by Cronkhite and Canada in 1955</w:t>
      </w:r>
      <w:r>
        <w:rPr>
          <w:rFonts w:ascii="Book Antiqua" w:hAnsi="Book Antiqua" w:eastAsia="Book Antiqua" w:cs="Book Antiqua"/>
        </w:rPr>
        <w:fldChar w:fldCharType="begin"/>
      </w:r>
      <w:r>
        <w:rPr>
          <w:rFonts w:ascii="Book Antiqua" w:hAnsi="Book Antiqua" w:eastAsia="宋体" w:cs="Book Antiqua"/>
          <w:lang w:eastAsia="zh-CN"/>
        </w:rPr>
        <w:instrText xml:space="preserve"> ADDIN NE.Ref.{F5A9D65B-FC78-4C14-8AAC-34C42FF98DC2}</w:instrText>
      </w:r>
      <w:r>
        <w:rPr>
          <w:rFonts w:ascii="Book Antiqua" w:hAnsi="Book Antiqua" w:eastAsia="Book Antiqua" w:cs="Book Antiqua"/>
        </w:rPr>
        <w:fldChar w:fldCharType="separate"/>
      </w:r>
      <w:r>
        <w:rPr>
          <w:rFonts w:ascii="Book Antiqua" w:hAnsi="Book Antiqua"/>
          <w:vertAlign w:val="superscript"/>
        </w:rPr>
        <w:t>[1]</w:t>
      </w:r>
      <w:r>
        <w:rPr>
          <w:rFonts w:ascii="Book Antiqua" w:hAnsi="Book Antiqua" w:eastAsia="Book Antiqua" w:cs="Book Antiqua"/>
        </w:rPr>
        <w:fldChar w:fldCharType="end"/>
      </w:r>
      <w:r>
        <w:rPr>
          <w:rFonts w:ascii="Book Antiqua" w:hAnsi="Book Antiqua" w:eastAsia="Book Antiqua" w:cs="Book Antiqua"/>
        </w:rPr>
        <w:t>. The pathogenesis and etiology of CCS remain unclear and may be related to infection, autoimmunity, vitamin deficiency, mental stress, or fatigue</w:t>
      </w:r>
      <w:r>
        <w:rPr>
          <w:rFonts w:ascii="Book Antiqua" w:hAnsi="Book Antiqua" w:eastAsia="Book Antiqua" w:cs="Book Antiqua"/>
        </w:rPr>
        <w:fldChar w:fldCharType="begin"/>
      </w:r>
      <w:r>
        <w:rPr>
          <w:rFonts w:ascii="Book Antiqua" w:hAnsi="Book Antiqua" w:eastAsia="宋体" w:cs="Book Antiqua"/>
          <w:lang w:eastAsia="zh-CN"/>
        </w:rPr>
        <w:instrText xml:space="preserve"> ADDIN NE.Ref.{FC6914D0-0D68-4389-AF5E-86D0F01C3DF0}</w:instrText>
      </w:r>
      <w:r>
        <w:rPr>
          <w:rFonts w:ascii="Book Antiqua" w:hAnsi="Book Antiqua" w:eastAsia="Book Antiqua" w:cs="Book Antiqua"/>
        </w:rPr>
        <w:fldChar w:fldCharType="separate"/>
      </w:r>
      <w:r>
        <w:rPr>
          <w:rFonts w:ascii="Book Antiqua" w:hAnsi="Book Antiqua"/>
          <w:vertAlign w:val="superscript"/>
        </w:rPr>
        <w:t>[2]</w:t>
      </w:r>
      <w:r>
        <w:rPr>
          <w:rFonts w:ascii="Book Antiqua" w:hAnsi="Book Antiqua" w:eastAsia="Book Antiqua" w:cs="Book Antiqua"/>
        </w:rPr>
        <w:fldChar w:fldCharType="end"/>
      </w:r>
      <w:r>
        <w:rPr>
          <w:rFonts w:ascii="Book Antiqua" w:hAnsi="Book Antiqua" w:eastAsia="Book Antiqua" w:cs="Book Antiqua"/>
        </w:rPr>
        <w:t>. CCS is a rare disease with a prevalence rate of 3.7 per million</w:t>
      </w:r>
      <w:r>
        <w:rPr>
          <w:rFonts w:ascii="Book Antiqua" w:hAnsi="Book Antiqua" w:eastAsia="Book Antiqua" w:cs="Book Antiqua"/>
        </w:rPr>
        <w:fldChar w:fldCharType="begin"/>
      </w:r>
      <w:r>
        <w:rPr>
          <w:rFonts w:ascii="Book Antiqua" w:hAnsi="Book Antiqua" w:eastAsia="宋体" w:cs="Book Antiqua"/>
          <w:lang w:eastAsia="zh-CN"/>
        </w:rPr>
        <w:instrText xml:space="preserve"> ADDIN NE.Ref.{618B5EB7-DE52-4357-AF57-752882E220A5}</w:instrText>
      </w:r>
      <w:r>
        <w:rPr>
          <w:rFonts w:ascii="Book Antiqua" w:hAnsi="Book Antiqua" w:eastAsia="Book Antiqua" w:cs="Book Antiqua"/>
        </w:rPr>
        <w:fldChar w:fldCharType="separate"/>
      </w:r>
      <w:r>
        <w:rPr>
          <w:rFonts w:ascii="Book Antiqua" w:hAnsi="Book Antiqua"/>
          <w:vertAlign w:val="superscript"/>
        </w:rPr>
        <w:t>[3]</w:t>
      </w:r>
      <w:r>
        <w:rPr>
          <w:rFonts w:ascii="Book Antiqua" w:hAnsi="Book Antiqua" w:eastAsia="Book Antiqua" w:cs="Book Antiqua"/>
        </w:rPr>
        <w:fldChar w:fldCharType="end"/>
      </w:r>
      <w:r>
        <w:rPr>
          <w:rFonts w:ascii="Book Antiqua" w:hAnsi="Book Antiqua" w:eastAsia="Book Antiqua" w:cs="Book Antiqua"/>
        </w:rPr>
        <w:t>. Since the disease was first reported in 1955, only about 500 cases have been reported in the world, of which 75% are from Japan</w:t>
      </w:r>
      <w:r>
        <w:rPr>
          <w:rFonts w:ascii="Book Antiqua" w:hAnsi="Book Antiqua" w:eastAsia="Book Antiqua" w:cs="Book Antiqua"/>
        </w:rPr>
        <w:fldChar w:fldCharType="begin"/>
      </w:r>
      <w:r>
        <w:rPr>
          <w:rFonts w:ascii="Book Antiqua" w:hAnsi="Book Antiqua" w:eastAsia="宋体" w:cs="Book Antiqua"/>
          <w:lang w:eastAsia="zh-CN"/>
        </w:rPr>
        <w:instrText xml:space="preserve"> ADDIN NE.Ref.{4312AC25-8E9D-442D-AD1C-1FEDEE2FFCC7}</w:instrText>
      </w:r>
      <w:r>
        <w:rPr>
          <w:rFonts w:ascii="Book Antiqua" w:hAnsi="Book Antiqua" w:eastAsia="Book Antiqua" w:cs="Book Antiqua"/>
        </w:rPr>
        <w:fldChar w:fldCharType="separate"/>
      </w:r>
      <w:r>
        <w:rPr>
          <w:rFonts w:ascii="Book Antiqua" w:hAnsi="Book Antiqua"/>
          <w:vertAlign w:val="superscript"/>
        </w:rPr>
        <w:t>[4]</w:t>
      </w:r>
      <w:r>
        <w:rPr>
          <w:rFonts w:ascii="Book Antiqua" w:hAnsi="Book Antiqua" w:eastAsia="Book Antiqua" w:cs="Book Antiqua"/>
        </w:rPr>
        <w:fldChar w:fldCharType="end"/>
      </w:r>
      <w:r>
        <w:rPr>
          <w:rFonts w:ascii="Book Antiqua" w:hAnsi="Book Antiqua" w:eastAsia="Book Antiqua" w:cs="Book Antiqua"/>
        </w:rPr>
        <w:t>. The first symptoms in most patients are gastrointestinal, often accompanied by anemia, edema, and weight and taste loss</w:t>
      </w:r>
      <w:r>
        <w:rPr>
          <w:rFonts w:ascii="Book Antiqua" w:hAnsi="Book Antiqua" w:eastAsia="Book Antiqua" w:cs="Book Antiqua"/>
        </w:rPr>
        <w:fldChar w:fldCharType="begin"/>
      </w:r>
      <w:r>
        <w:rPr>
          <w:rFonts w:ascii="Book Antiqua" w:hAnsi="Book Antiqua" w:eastAsia="宋体" w:cs="Book Antiqua"/>
          <w:lang w:eastAsia="zh-CN"/>
        </w:rPr>
        <w:instrText xml:space="preserve"> ADDIN NE.Ref.{E4B6AC80-D524-4133-98EA-96CE89AA3DAB}</w:instrText>
      </w:r>
      <w:r>
        <w:rPr>
          <w:rFonts w:ascii="Book Antiqua" w:hAnsi="Book Antiqua" w:eastAsia="Book Antiqua" w:cs="Book Antiqua"/>
        </w:rPr>
        <w:fldChar w:fldCharType="separate"/>
      </w:r>
      <w:r>
        <w:rPr>
          <w:rFonts w:ascii="Book Antiqua" w:hAnsi="Book Antiqua"/>
          <w:vertAlign w:val="superscript"/>
        </w:rPr>
        <w:t>[5]</w:t>
      </w:r>
      <w:r>
        <w:rPr>
          <w:rFonts w:ascii="Book Antiqua" w:hAnsi="Book Antiqua" w:eastAsia="Book Antiqua" w:cs="Book Antiqua"/>
        </w:rPr>
        <w:fldChar w:fldCharType="end"/>
      </w:r>
      <w:r>
        <w:rPr>
          <w:rFonts w:ascii="Book Antiqua" w:hAnsi="Book Antiqua" w:eastAsia="Book Antiqua" w:cs="Book Antiqua"/>
        </w:rPr>
        <w:t>. At present, the etiology, pathogenesis, and reasonable treatment of CCS disease are still in the exploratory stage. This study reports the clinical data, diagnosis, and treatment of a case of CCS in our hospital with thalidomide combined with endoscopy. It also reviews the relevant literature and summarizes the current treatment of CCS so as to provide clinicians with a treatment reference for patients with CCS.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u w:val="single"/>
        </w:rPr>
        <w:t>CASE PRESENTATION</w:t>
      </w:r>
    </w:p>
    <w:p>
      <w:pPr>
        <w:adjustRightInd w:val="0"/>
        <w:snapToGrid w:val="0"/>
        <w:spacing w:line="360" w:lineRule="auto"/>
        <w:jc w:val="both"/>
        <w:rPr>
          <w:rFonts w:ascii="Book Antiqua" w:hAnsi="Book Antiqua"/>
        </w:rPr>
      </w:pPr>
      <w:r>
        <w:rPr>
          <w:rFonts w:ascii="Book Antiqua" w:hAnsi="Book Antiqua" w:eastAsia="Book Antiqua" w:cs="Book Antiqua"/>
          <w:b/>
          <w:i/>
        </w:rPr>
        <w:t>Chief complaints</w:t>
      </w:r>
    </w:p>
    <w:p>
      <w:pPr>
        <w:adjustRightInd w:val="0"/>
        <w:snapToGrid w:val="0"/>
        <w:spacing w:line="360" w:lineRule="auto"/>
        <w:jc w:val="both"/>
        <w:rPr>
          <w:rFonts w:ascii="Book Antiqua" w:hAnsi="Book Antiqua"/>
        </w:rPr>
      </w:pPr>
      <w:r>
        <w:rPr>
          <w:rFonts w:ascii="Book Antiqua" w:hAnsi="Book Antiqua" w:eastAsia="Book Antiqua" w:cs="Book Antiqua"/>
        </w:rPr>
        <w:t>A 47-year-old male patient presented with diarrhea for more than four months.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rPr>
        <w:t>History of present illness</w:t>
      </w:r>
    </w:p>
    <w:p>
      <w:pPr>
        <w:adjustRightInd w:val="0"/>
        <w:snapToGrid w:val="0"/>
        <w:spacing w:line="360" w:lineRule="auto"/>
        <w:jc w:val="both"/>
        <w:rPr>
          <w:rFonts w:ascii="Book Antiqua" w:hAnsi="Book Antiqua"/>
        </w:rPr>
      </w:pPr>
      <w:r>
        <w:rPr>
          <w:rFonts w:ascii="Book Antiqua" w:hAnsi="Book Antiqua" w:eastAsia="Book Antiqua" w:cs="Book Antiqua"/>
        </w:rPr>
        <w:t>The patient had diarrhea without obvious incentives for more than 4 mo. The number of times a day was 8-10, and the stool was yellow paste. The amount was approximately 100-200 mL/time. There was no mucus, pus, or blood and intermittent pain around the umbilical cord. The diarrhea was usually accompanied by loss of taste, fatigue, and occasional nausea and vomiting. The vomit included stomach contents, and there was no obvious abdominal distension or hair loss.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rPr>
        <w:t>History of past illness</w:t>
      </w:r>
    </w:p>
    <w:p>
      <w:pPr>
        <w:adjustRightInd w:val="0"/>
        <w:snapToGrid w:val="0"/>
        <w:spacing w:line="360" w:lineRule="auto"/>
        <w:jc w:val="both"/>
        <w:rPr>
          <w:rFonts w:ascii="Book Antiqua" w:hAnsi="Book Antiqua"/>
        </w:rPr>
      </w:pPr>
      <w:r>
        <w:rPr>
          <w:rFonts w:ascii="Book Antiqua" w:hAnsi="Book Antiqua" w:eastAsia="Book Antiqua" w:cs="Book Antiqua"/>
        </w:rPr>
        <w:t>He had a previous medical history of hyperthyroidism, Grave’s eye disease, and diabetes mellitus.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rPr>
        <w:t>Personal and family history</w:t>
      </w:r>
    </w:p>
    <w:p>
      <w:pPr>
        <w:adjustRightInd w:val="0"/>
        <w:snapToGrid w:val="0"/>
        <w:spacing w:line="360" w:lineRule="auto"/>
        <w:jc w:val="both"/>
        <w:rPr>
          <w:rFonts w:ascii="Book Antiqua" w:hAnsi="Book Antiqua"/>
        </w:rPr>
      </w:pPr>
      <w:r>
        <w:rPr>
          <w:rFonts w:ascii="Book Antiqua" w:hAnsi="Book Antiqua" w:eastAsia="Book Antiqua" w:cs="Book Antiqua"/>
        </w:rPr>
        <w:t>The patient smoked about 360 packs per year of cigarettes for more than 20 years and drank an average of 4 double liquors of alcohol per day for more than 10 years while denying any relevant family history.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rPr>
        <w:t>Physical examination</w:t>
      </w:r>
    </w:p>
    <w:p>
      <w:pPr>
        <w:adjustRightInd w:val="0"/>
        <w:snapToGrid w:val="0"/>
        <w:spacing w:line="360" w:lineRule="auto"/>
        <w:jc w:val="both"/>
        <w:rPr>
          <w:rFonts w:ascii="Book Antiqua" w:hAnsi="Book Antiqua"/>
        </w:rPr>
      </w:pPr>
      <w:r>
        <w:rPr>
          <w:rFonts w:ascii="Book Antiqua" w:hAnsi="Book Antiqua" w:eastAsia="Book Antiqua" w:cs="Book Antiqua"/>
        </w:rPr>
        <w:t>On physical examination, the vital signs were as follows: body temperature, 36.3</w:t>
      </w:r>
      <w:r>
        <w:rPr>
          <w:rFonts w:ascii="Book Antiqua" w:hAnsi="Book Antiqua" w:eastAsia="宋体" w:cs="宋体"/>
          <w:lang w:eastAsia="zh-CN"/>
        </w:rPr>
        <w:t xml:space="preserve"> </w:t>
      </w:r>
      <w:r>
        <w:rPr>
          <w:rFonts w:hint="eastAsia" w:ascii="宋体" w:hAnsi="宋体" w:eastAsia="宋体" w:cs="宋体"/>
          <w:lang w:eastAsia="zh-CN"/>
        </w:rPr>
        <w:t>℃</w:t>
      </w:r>
      <w:r>
        <w:rPr>
          <w:rFonts w:ascii="Book Antiqua" w:hAnsi="Book Antiqua" w:eastAsia="Book Antiqua" w:cs="Book Antiqua"/>
        </w:rPr>
        <w:t>; blood pressure, 111/88 mmHg; heart rate, 110 beats per min; respiratory rate, 22 breaths per min. His height was 170 cm, and his weight was 75 kg. Furthermore, the skin around his lips and hands was pigmented, the anterior edge of the nails of both his hands was significantly thickened and yellow, and his nails were partially atrophied (Figure 1).</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rPr>
        <w:t>Laboratory examinations</w:t>
      </w:r>
    </w:p>
    <w:p>
      <w:pPr>
        <w:adjustRightInd w:val="0"/>
        <w:snapToGrid w:val="0"/>
        <w:spacing w:line="360" w:lineRule="auto"/>
        <w:jc w:val="both"/>
        <w:rPr>
          <w:rFonts w:ascii="Book Antiqua" w:hAnsi="Book Antiqua"/>
        </w:rPr>
      </w:pPr>
      <w:r>
        <w:rPr>
          <w:rFonts w:ascii="Book Antiqua" w:hAnsi="Book Antiqua" w:eastAsia="Book Antiqua" w:cs="Book Antiqua"/>
        </w:rPr>
        <w:t>Pertinent laboratory findings included an increased platelet count (5.01 × 10</w:t>
      </w:r>
      <w:r>
        <w:rPr>
          <w:rFonts w:ascii="Book Antiqua" w:hAnsi="Book Antiqua" w:eastAsia="Book Antiqua" w:cs="Book Antiqua"/>
          <w:vertAlign w:val="superscript"/>
        </w:rPr>
        <w:t>11</w:t>
      </w:r>
      <w:r>
        <w:rPr>
          <w:rFonts w:ascii="Book Antiqua" w:hAnsi="Book Antiqua" w:eastAsia="Book Antiqua" w:cs="Book Antiqua"/>
        </w:rPr>
        <w:t>/L) and hypoalbuminemia (serum albumin of 27.3 g/L) with a reduced total protein (50 g/L). The level of the calcium correction amount was (2.164 mM) along with his IgM and C3 levels (0.25 g/L and 0.82 g/L, respectively), but his anti-neutrophil cytoplasmic antibody</w:t>
      </w:r>
      <w:r>
        <w:rPr>
          <w:rFonts w:ascii="Book Antiqua" w:hAnsi="Book Antiqua" w:eastAsia="宋体" w:cs="宋体"/>
          <w:lang w:eastAsia="zh-CN"/>
        </w:rPr>
        <w:t>,</w:t>
      </w:r>
      <w:r>
        <w:rPr>
          <w:rFonts w:ascii="Book Antiqua" w:hAnsi="Book Antiqua" w:eastAsia="Book Antiqua" w:cs="Book Antiqua"/>
        </w:rPr>
        <w:t xml:space="preserve"> antinuclear antibody</w:t>
      </w:r>
      <w:r>
        <w:rPr>
          <w:rFonts w:ascii="Book Antiqua" w:hAnsi="Book Antiqua" w:eastAsia="宋体" w:cs="宋体"/>
          <w:lang w:eastAsia="zh-CN"/>
        </w:rPr>
        <w:t>,</w:t>
      </w:r>
      <w:r>
        <w:rPr>
          <w:rFonts w:ascii="Book Antiqua" w:hAnsi="Book Antiqua" w:eastAsia="Book Antiqua" w:cs="Book Antiqua"/>
        </w:rPr>
        <w:t xml:space="preserve"> IgG and IgG4 findings were normal.</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rPr>
        <w:t>Imaging examinations</w:t>
      </w:r>
    </w:p>
    <w:p>
      <w:pPr>
        <w:adjustRightInd w:val="0"/>
        <w:snapToGrid w:val="0"/>
        <w:spacing w:line="360" w:lineRule="auto"/>
        <w:jc w:val="both"/>
        <w:rPr>
          <w:rFonts w:ascii="Book Antiqua" w:hAnsi="Book Antiqua"/>
        </w:rPr>
      </w:pPr>
      <w:r>
        <w:rPr>
          <w:rFonts w:ascii="Book Antiqua" w:hAnsi="Book Antiqua" w:eastAsia="Book Antiqua" w:cs="Book Antiqua"/>
        </w:rPr>
        <w:t>Gastroscopy imaging identified the</w:t>
      </w:r>
      <w:r>
        <w:rPr>
          <w:rFonts w:ascii="Book Antiqua" w:hAnsi="Book Antiqua" w:eastAsia="Book Antiqua" w:cs="Book Antiqua"/>
          <w:b/>
          <w:bCs/>
        </w:rPr>
        <w:t xml:space="preserve"> </w:t>
      </w:r>
      <w:r>
        <w:rPr>
          <w:rFonts w:ascii="Book Antiqua" w:hAnsi="Book Antiqua" w:eastAsia="Book Antiqua" w:cs="Book Antiqua"/>
        </w:rPr>
        <w:t>esophageal mucosa to be smooth without any abnormalities. The mucosa of the whole stomach, pylorus, and duodenum bore a diffuse polypoid bulge appearance, and the surface mucosa was congested (Figure 2A-C). Pathological examination of the tissue sent for gastric biopsy showed the existence of hyperplastic polyp changes. The colonoscopy performed identified mucosal hyperemia, edema, and granular bulge in the lower segment of the ileum (about 30 cm away from the ileocecal valve), and a diffuse polypoid bulge of the mucosa could be observed from about 15 cm from the end of the ileum to the rectum, some of which was nodular with mucosal hyperemia and erosion on the surface. Rectal lesions were lighter than in other intestinal segments (Figure 2D-F). Pathological examination of the descending colon, transverse colon, ascending colon, terminal ileum, lower segment of the ileum, rectum, and sigmoid colon identified proliferative and juvenile polyps under the microscope (Figure 3).</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u w:val="single"/>
        </w:rPr>
        <w:t>FINAL DIAGNOSIS</w:t>
      </w:r>
    </w:p>
    <w:p>
      <w:pPr>
        <w:adjustRightInd w:val="0"/>
        <w:snapToGrid w:val="0"/>
        <w:spacing w:line="360" w:lineRule="auto"/>
        <w:jc w:val="both"/>
        <w:rPr>
          <w:rFonts w:ascii="Book Antiqua" w:hAnsi="Book Antiqua"/>
        </w:rPr>
      </w:pPr>
      <w:r>
        <w:rPr>
          <w:rFonts w:ascii="Book Antiqua" w:hAnsi="Book Antiqua" w:eastAsia="Book Antiqua" w:cs="Book Antiqua"/>
        </w:rPr>
        <w:t>The diagnosis of CCS was finally made.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u w:val="single"/>
        </w:rPr>
        <w:t>TREATMENT</w:t>
      </w:r>
    </w:p>
    <w:p>
      <w:pPr>
        <w:adjustRightInd w:val="0"/>
        <w:snapToGrid w:val="0"/>
        <w:spacing w:line="360" w:lineRule="auto"/>
        <w:jc w:val="both"/>
        <w:rPr>
          <w:rFonts w:ascii="Book Antiqua" w:hAnsi="Book Antiqua"/>
        </w:rPr>
      </w:pPr>
      <w:r>
        <w:rPr>
          <w:rFonts w:ascii="Book Antiqua" w:hAnsi="Book Antiqua" w:eastAsia="Book Antiqua" w:cs="Book Antiqua"/>
        </w:rPr>
        <w:t>A thalidomide dose of 150 mg per day (two tablets each time, three times a day</w:t>
      </w:r>
      <w:r>
        <w:rPr>
          <w:rFonts w:ascii="Book Antiqua" w:hAnsi="Book Antiqua" w:eastAsia="宋体" w:cs="宋体"/>
          <w:lang w:eastAsia="zh-CN"/>
        </w:rPr>
        <w:t xml:space="preserve">) </w:t>
      </w:r>
      <w:r>
        <w:rPr>
          <w:rFonts w:ascii="Book Antiqua" w:hAnsi="Book Antiqua" w:eastAsia="Book Antiqua" w:cs="Book Antiqua"/>
        </w:rPr>
        <w:t>was administered orally to regulate immunity, alongside enteral nutritional support to regulate the intestinal flora, stop the diarrhea, and ameliorate the remaining symptoms. After one week of treatment, the patients’ diarrhea was relieved, and the taste loss, abnormal pigmentation, and malnourished nails were gradually improved. The patient continued the treatment after his discharge from the hospital.</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u w:val="single"/>
        </w:rPr>
        <w:t>OUTCOME AND FOLLOW-UP</w:t>
      </w:r>
    </w:p>
    <w:p>
      <w:pPr>
        <w:adjustRightInd w:val="0"/>
        <w:snapToGrid w:val="0"/>
        <w:spacing w:line="360" w:lineRule="auto"/>
        <w:jc w:val="both"/>
        <w:rPr>
          <w:rFonts w:ascii="Book Antiqua" w:hAnsi="Book Antiqua"/>
        </w:rPr>
      </w:pPr>
      <w:r>
        <w:rPr>
          <w:rFonts w:ascii="Book Antiqua" w:hAnsi="Book Antiqua" w:eastAsia="Book Antiqua" w:cs="Book Antiqua"/>
        </w:rPr>
        <w:t>At the first follow-up visit (July 1, 2020), the symptoms of fatigue, diarrhea, and taste loss were significantly improved, the pigmentation around the lips and the back of the hand had improved, and the nail development was close to normal (Figure 4A and B). He bore an albumin level of 38.8 g/L and a platelet count of 5.13 × 10</w:t>
      </w:r>
      <w:r>
        <w:rPr>
          <w:rFonts w:ascii="Book Antiqua" w:hAnsi="Book Antiqua" w:eastAsia="Book Antiqua" w:cs="Book Antiqua"/>
          <w:vertAlign w:val="superscript"/>
        </w:rPr>
        <w:t>11</w:t>
      </w:r>
      <w:r>
        <w:rPr>
          <w:rFonts w:ascii="Book Antiqua" w:hAnsi="Book Antiqua" w:eastAsia="Book Antiqua" w:cs="Book Antiqua"/>
        </w:rPr>
        <w:t>/L. Gastroscopic examination revealed a diffuse polypoid protuberance of the mucosa of the whole stomach, pylorus, and duodenum and congestion of the surface mucosa (Figure 5A-C). During enteroscopic examination from the ileocecal part to the rectum, a diffuse polypoid protrusion of the mucosa could be observed, some of which was nodular, with congestion and erosion of surface mucosa. The rectal lesions were lighter than other intestinal segments. This examination showed a notable improvement as compared to the previous examination (Figure 6A-C).</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rPr>
        <w:t>At the second follow-up visit (October 28, 2020), the patient felt no discomfort, and the nails had returned to normal without pigmentation (Figure 4C and D). He bore an albumin concentration of 42.4 g/L and a platelet count of 3.35 × 10</w:t>
      </w:r>
      <w:r>
        <w:rPr>
          <w:rFonts w:ascii="Book Antiqua" w:hAnsi="Book Antiqua" w:eastAsia="Book Antiqua" w:cs="Book Antiqua"/>
          <w:vertAlign w:val="superscript"/>
        </w:rPr>
        <w:t>11</w:t>
      </w:r>
      <w:r>
        <w:rPr>
          <w:rFonts w:ascii="Book Antiqua" w:hAnsi="Book Antiqua" w:eastAsia="Book Antiqua" w:cs="Book Antiqua"/>
        </w:rPr>
        <w:t>/L. Gastroscopic examination of the rough mucosa of the gastric fundus and body identified congestion and edema, and the same was true for the mucosa of the gastric horn, antrum, and duodenum. The lesion improved significantly (Figure 5D-F). Colonoscopy identified &gt; 10 polyps with a diameter of about 0.3-1.0 cm, varying in size and shape throughout the large intestine, and with the remaining mucosa being smooth (Figure 6D-F). Thalidomide administration was adjusted to 100 mg per day</w:t>
      </w:r>
      <w:r>
        <w:rPr>
          <w:rFonts w:ascii="Book Antiqua" w:hAnsi="Book Antiqua" w:eastAsia="宋体" w:cs="宋体"/>
        </w:rPr>
        <w:t xml:space="preserve"> (</w:t>
      </w:r>
      <w:r>
        <w:rPr>
          <w:rFonts w:ascii="Book Antiqua" w:hAnsi="Book Antiqua" w:eastAsia="Book Antiqua" w:cs="Book Antiqua"/>
        </w:rPr>
        <w:t>two tablets each time, two times a day</w:t>
      </w:r>
      <w:r>
        <w:rPr>
          <w:rFonts w:ascii="Book Antiqua" w:hAnsi="Book Antiqua" w:eastAsia="宋体" w:cs="宋体"/>
          <w:lang w:eastAsia="zh-CN"/>
        </w:rPr>
        <w:t xml:space="preserve">) </w:t>
      </w:r>
      <w:r>
        <w:rPr>
          <w:rFonts w:ascii="Book Antiqua" w:hAnsi="Book Antiqua" w:eastAsia="Book Antiqua" w:cs="Book Antiqua"/>
        </w:rPr>
        <w:t>for treatment maintenance.</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rPr>
        <w:t>At the third follow-up visit (June 8, 2021), the patient felt no discomfort, and his nails had returned to normal without pigmentation. His albumin level was 47.1 g/L, and his platelet count was 2.46 × 10</w:t>
      </w:r>
      <w:r>
        <w:rPr>
          <w:rFonts w:ascii="Book Antiqua" w:hAnsi="Book Antiqua" w:eastAsia="Book Antiqua" w:cs="Book Antiqua"/>
          <w:vertAlign w:val="superscript"/>
        </w:rPr>
        <w:t>11</w:t>
      </w:r>
      <w:r>
        <w:rPr>
          <w:rFonts w:ascii="Book Antiqua" w:hAnsi="Book Antiqua" w:eastAsia="Book Antiqua" w:cs="Book Antiqua"/>
        </w:rPr>
        <w:t>/L. Gastroscopic examination demonstrated congestion and edema of the gastric fundus, gastric body, gastric horn, gastric antrum, and duodenal mucosa. Colonoscopy identified &gt; 10 polyps of different sizes and shapes with a diameter of about 0.3-1.0 cm throughout the whole large intestine. Since the larger polyps had not subsided after drug treatment and there was a risk of tumorigenesis, the polyps were removed by endoscopic high-frequency electrocoagulation. The pathological examination showed the presence of tubular adenoma of the colon with low-grade intraepithelial neoplasia (Figure 6G-I). After successful recovery and discharge, the patient was followed up in the outpatient department, and thalidomide treatment was reduced to 75 mg per day</w:t>
      </w:r>
      <w:r>
        <w:rPr>
          <w:rFonts w:ascii="Book Antiqua" w:hAnsi="Book Antiqua" w:eastAsia="宋体" w:cs="宋体"/>
          <w:lang w:eastAsia="zh-CN"/>
        </w:rPr>
        <w:t xml:space="preserve"> (</w:t>
      </w:r>
      <w:r>
        <w:rPr>
          <w:rFonts w:ascii="Book Antiqua" w:hAnsi="Book Antiqua" w:eastAsia="Book Antiqua" w:cs="Book Antiqua"/>
        </w:rPr>
        <w:t>three tablets each time, once a day</w:t>
      </w:r>
      <w:r>
        <w:rPr>
          <w:rFonts w:ascii="Book Antiqua" w:hAnsi="Book Antiqua" w:eastAsia="宋体" w:cs="宋体"/>
          <w:lang w:eastAsia="zh-CN"/>
        </w:rPr>
        <w:t>)</w:t>
      </w:r>
      <w:r>
        <w:rPr>
          <w:rFonts w:ascii="Book Antiqua" w:hAnsi="Book Antiqua" w:eastAsia="Book Antiqua" w:cs="Book Antiqua"/>
        </w:rPr>
        <w:t>.</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rPr>
        <w:t>After the fourth follow-up visit (January 14, 2022), the patient felt no discomfort, and the nails had returned to normal without pigmentation. His albumin level was 50 g/L, and his platelet count was 2.74 × 10</w:t>
      </w:r>
      <w:r>
        <w:rPr>
          <w:rFonts w:ascii="Book Antiqua" w:hAnsi="Book Antiqua" w:eastAsia="Book Antiqua" w:cs="Book Antiqua"/>
          <w:vertAlign w:val="superscript"/>
        </w:rPr>
        <w:t>11</w:t>
      </w:r>
      <w:r>
        <w:rPr>
          <w:rFonts w:ascii="Book Antiqua" w:hAnsi="Book Antiqua" w:eastAsia="Book Antiqua" w:cs="Book Antiqua"/>
        </w:rPr>
        <w:t>/L. Gastroscopic examination revealed the presence of congestion and edema of the gastric fundus, gastric body, and duodenal mucosa. Enteroscopy identified three polyps with a diameter of about 0.5-1.0 cm in the hepatic flexure, descending colon, and sigmoid colon (Figure 6J-L). The patient was instructed to adjust thalidomide to 100 mg per day at present and is still under follow-up.</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u w:val="single"/>
        </w:rPr>
        <w:t>DISCUSSION</w:t>
      </w:r>
    </w:p>
    <w:p>
      <w:pPr>
        <w:adjustRightInd w:val="0"/>
        <w:snapToGrid w:val="0"/>
        <w:spacing w:line="360" w:lineRule="auto"/>
        <w:jc w:val="both"/>
        <w:rPr>
          <w:rFonts w:ascii="Book Antiqua" w:hAnsi="Book Antiqua"/>
        </w:rPr>
      </w:pPr>
      <w:r>
        <w:rPr>
          <w:rFonts w:ascii="Book Antiqua" w:hAnsi="Book Antiqua" w:eastAsia="Book Antiqua" w:cs="Book Antiqua"/>
        </w:rPr>
        <w:t>CCS is a rare and non-hereditary disease characterized by multiple polyps and ectodermal changes in the digestive tract. A retrospective study of 103 cases of CCS in China in 2020</w:t>
      </w:r>
      <w:r>
        <w:rPr>
          <w:rFonts w:ascii="Book Antiqua" w:hAnsi="Book Antiqua" w:eastAsia="Book Antiqua" w:cs="Book Antiqua"/>
        </w:rPr>
        <w:fldChar w:fldCharType="begin"/>
      </w:r>
      <w:r>
        <w:rPr>
          <w:rFonts w:ascii="Book Antiqua" w:hAnsi="Book Antiqua" w:eastAsia="宋体" w:cs="Book Antiqua"/>
          <w:lang w:eastAsia="zh-CN"/>
        </w:rPr>
        <w:instrText xml:space="preserve"> ADDIN NE.Ref.{658BDFDB-4109-415D-BB6D-3489C3B076C1}</w:instrText>
      </w:r>
      <w:r>
        <w:rPr>
          <w:rFonts w:ascii="Book Antiqua" w:hAnsi="Book Antiqua" w:eastAsia="Book Antiqua" w:cs="Book Antiqua"/>
        </w:rPr>
        <w:fldChar w:fldCharType="separate"/>
      </w:r>
      <w:r>
        <w:rPr>
          <w:rFonts w:ascii="Book Antiqua" w:hAnsi="Book Antiqua"/>
          <w:vertAlign w:val="superscript"/>
        </w:rPr>
        <w:t>[6]</w:t>
      </w:r>
      <w:r>
        <w:rPr>
          <w:rFonts w:ascii="Book Antiqua" w:hAnsi="Book Antiqua" w:eastAsia="Book Antiqua" w:cs="Book Antiqua"/>
        </w:rPr>
        <w:fldChar w:fldCharType="end"/>
      </w:r>
      <w:r>
        <w:rPr>
          <w:rFonts w:ascii="Book Antiqua" w:hAnsi="Book Antiqua" w:eastAsia="Book Antiqua" w:cs="Book Antiqua"/>
        </w:rPr>
        <w:t xml:space="preserve"> found that the incidence rate of CCS among people aged 50-70 years was high (62.62%), most of them were men (72.82%), and 50 patients (51.02%) received corticosteroid treatment, which is the treatment most frequently deployed. The etiology and pathogenesis of CCS are not clear and may be related to diverse etiologies, such as immunity, infection, inflammation, lack of growth factors, arsenic poisoning, fatigue, stress response, or mental stress</w:t>
      </w:r>
      <w:r>
        <w:rPr>
          <w:rFonts w:ascii="Book Antiqua" w:hAnsi="Book Antiqua" w:eastAsia="Book Antiqua" w:cs="Book Antiqua"/>
          <w:vertAlign w:val="superscript"/>
        </w:rPr>
        <w:t>[</w:t>
      </w:r>
      <w:r>
        <w:rPr>
          <w:rFonts w:ascii="Book Antiqua" w:hAnsi="Book Antiqua" w:eastAsia="Book Antiqua" w:cs="Book Antiqua"/>
          <w:vertAlign w:val="superscript"/>
        </w:rPr>
        <w:fldChar w:fldCharType="begin"/>
      </w:r>
      <w:r>
        <w:rPr>
          <w:rFonts w:ascii="Book Antiqua" w:hAnsi="Book Antiqua" w:eastAsia="宋体" w:cs="Book Antiqua"/>
          <w:vertAlign w:val="superscript"/>
          <w:lang w:eastAsia="zh-CN"/>
        </w:rPr>
        <w:instrText xml:space="preserve"> ADDIN NE.Ref.{F6A39203-D58A-48A6-B247-8AB0835FE967}</w:instrText>
      </w:r>
      <w:r>
        <w:rPr>
          <w:rFonts w:ascii="Book Antiqua" w:hAnsi="Book Antiqua" w:eastAsia="Book Antiqua" w:cs="Book Antiqua"/>
          <w:vertAlign w:val="superscript"/>
        </w:rPr>
        <w:fldChar w:fldCharType="separate"/>
      </w:r>
      <w:r>
        <w:rPr>
          <w:rFonts w:ascii="Book Antiqua" w:hAnsi="Book Antiqua"/>
          <w:vertAlign w:val="superscript"/>
        </w:rPr>
        <w:t>7,8]</w:t>
      </w:r>
      <w:r>
        <w:rPr>
          <w:rFonts w:ascii="Book Antiqua" w:hAnsi="Book Antiqua" w:eastAsia="Book Antiqua" w:cs="Book Antiqua"/>
          <w:vertAlign w:val="superscript"/>
        </w:rPr>
        <w:fldChar w:fldCharType="end"/>
      </w:r>
      <w:r>
        <w:rPr>
          <w:rFonts w:ascii="Book Antiqua" w:hAnsi="Book Antiqua" w:eastAsia="Book Antiqua" w:cs="Book Antiqua"/>
        </w:rPr>
        <w:t>. Increasing evidence supports autoimmune diseases as an underlying cause of CCS pathogenesis (Hashimoto’s thyroiditis, membranous nephropathy, rheumatoid arthritis, systemic lupus erythematosus</w:t>
      </w:r>
      <w:r>
        <w:rPr>
          <w:rFonts w:ascii="Book Antiqua" w:hAnsi="Book Antiqua" w:eastAsia="Book Antiqua" w:cs="Book Antiqua"/>
        </w:rPr>
        <w:fldChar w:fldCharType="begin"/>
      </w:r>
      <w:r>
        <w:rPr>
          <w:rFonts w:ascii="Book Antiqua" w:hAnsi="Book Antiqua" w:eastAsia="宋体" w:cs="Book Antiqua"/>
          <w:lang w:eastAsia="zh-CN"/>
        </w:rPr>
        <w:instrText xml:space="preserve"> ADDIN NE.Ref.{A440713D-49F1-4822-8443-7F49C2861A85}</w:instrText>
      </w:r>
      <w:r>
        <w:rPr>
          <w:rFonts w:ascii="Book Antiqua" w:hAnsi="Book Antiqua" w:eastAsia="Book Antiqua" w:cs="Book Antiqua"/>
        </w:rPr>
        <w:fldChar w:fldCharType="separate"/>
      </w:r>
      <w:r>
        <w:rPr>
          <w:rFonts w:ascii="Book Antiqua" w:hAnsi="Book Antiqua"/>
          <w:vertAlign w:val="superscript"/>
        </w:rPr>
        <w:t>[9]</w:t>
      </w:r>
      <w:r>
        <w:rPr>
          <w:rFonts w:ascii="Book Antiqua" w:hAnsi="Book Antiqua" w:eastAsia="Book Antiqua" w:cs="Book Antiqua"/>
        </w:rPr>
        <w:fldChar w:fldCharType="end"/>
      </w:r>
      <w:r>
        <w:rPr>
          <w:rFonts w:ascii="Book Antiqua" w:hAnsi="Book Antiqua" w:eastAsia="Book Antiqua" w:cs="Book Antiqua"/>
        </w:rPr>
        <w:t>) accompanied by potentially increased levels of blood antinuclear antibody and IgG4. The typical characteristics of CCS include abdominal pain, diarrhea, hair loss, loss of finger or toenails, abnormal skin pigmentation, decreased libido and taste, weight loss due to insufficient food intake, malabsorption and gastrointestinal tract loss</w:t>
      </w:r>
      <w:r>
        <w:rPr>
          <w:rFonts w:ascii="Book Antiqua" w:hAnsi="Book Antiqua" w:eastAsia="Book Antiqua" w:cs="Book Antiqua"/>
        </w:rPr>
        <w:fldChar w:fldCharType="begin"/>
      </w:r>
      <w:r>
        <w:rPr>
          <w:rFonts w:ascii="Book Antiqua" w:hAnsi="Book Antiqua" w:eastAsia="宋体" w:cs="Book Antiqua"/>
          <w:lang w:eastAsia="zh-CN"/>
        </w:rPr>
        <w:instrText xml:space="preserve"> ADDIN NE.Ref.{858BAC2F-DF83-45C6-B3BC-D32E733FE5BF}</w:instrText>
      </w:r>
      <w:r>
        <w:rPr>
          <w:rFonts w:ascii="Book Antiqua" w:hAnsi="Book Antiqua" w:eastAsia="Book Antiqua" w:cs="Book Antiqua"/>
        </w:rPr>
        <w:fldChar w:fldCharType="separate"/>
      </w:r>
      <w:r>
        <w:rPr>
          <w:rFonts w:ascii="Book Antiqua" w:hAnsi="Book Antiqua"/>
          <w:vertAlign w:val="superscript"/>
        </w:rPr>
        <w:t>[10]</w:t>
      </w:r>
      <w:r>
        <w:rPr>
          <w:rFonts w:ascii="Book Antiqua" w:hAnsi="Book Antiqua" w:eastAsia="Book Antiqua" w:cs="Book Antiqua"/>
        </w:rPr>
        <w:fldChar w:fldCharType="end"/>
      </w:r>
      <w:r>
        <w:rPr>
          <w:rFonts w:ascii="Book Antiqua" w:hAnsi="Book Antiqua" w:eastAsia="Book Antiqua" w:cs="Book Antiqua"/>
        </w:rPr>
        <w:t xml:space="preserve">, hypoproteinemia, hypokalemia, and hypocalcemia, to name a few. Under endoscopy, it is often manifested by the presence of multiple polyps in the digestive tract below the esophagus. The diagnosis of CCS should be implemented comprehensively. At present, there is no unified diagnostic standard. Endoscopic features include diffuse polyps throughout the entire gastrointestinal tract, except for the esophagus. Pathological types of polyps in CCS mainly include inflammatory, hyperplastic, hamartomatous, and adenomatous polyps. Observed under the microscope, CCS polyps in different parts show some common features with relatively specific morphological manifestations, including edema and widening of the muscularis propria, inflammatory cell infiltration, local cystic expansion of glands, and filling with proteins. Fluid or condensed mucus; even if normal mucosa is observed under endoscopy, biopsy often has abnormal manifestations, such as edema with a chronic inflammatory reaction, </w:t>
      </w:r>
      <w:r>
        <w:rPr>
          <w:rFonts w:ascii="Book Antiqua" w:hAnsi="Book Antiqua" w:eastAsia="Book Antiqua" w:cs="Book Antiqua"/>
          <w:i/>
          <w:iCs/>
        </w:rPr>
        <w:t>etc.</w:t>
      </w:r>
      <w:r>
        <w:rPr>
          <w:rFonts w:ascii="Book Antiqua" w:hAnsi="Book Antiqua" w:eastAsia="Book Antiqua" w:cs="Book Antiqua"/>
        </w:rPr>
        <w:t xml:space="preserve"> Generally, when other gastrointestinal polyp syndromes are excluded and the patient presents typical endoscopic and histopathological manifestations, as well as gastrointestinal symptoms, such as diarrhea and ectodermal changes, CCS should be considered.</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rPr>
        <w:t>This case has been of an older man with chronic onset, mainly manifested by diarrhea, fatigue, decreased taste, and significant weight loss, with pigmentation around his lips and hands, as well as thickening and atrophy of his finger and toenails. The patient had a history of hyperthyroidism, Grave’s eye disease, and other diseases but bore no significant family history. His symptoms were accompanied by hypoalbuminemia and hypocalcemia. Gastroenteroscopy revealed diffuse mucosal polyp-like protuberances. The disease was diagnosed as proliferative polyps and tubular adenoma. After excluding familial genetic diseases with multiple intestinal polyps as main manifestations, such as familial adenomatous polyposis, Peutz-Jeghers syndrome, and other diseases, the diagnosis of CCS was comprehensively considered.</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rPr>
        <w:t>At present, there is no standard treatment for CCS, and few patients recover without treatment</w:t>
      </w:r>
      <w:r>
        <w:rPr>
          <w:rFonts w:ascii="Book Antiqua" w:hAnsi="Book Antiqua" w:eastAsia="Book Antiqua" w:cs="Book Antiqua"/>
        </w:rPr>
        <w:fldChar w:fldCharType="begin"/>
      </w:r>
      <w:r>
        <w:rPr>
          <w:rFonts w:ascii="Book Antiqua" w:hAnsi="Book Antiqua" w:eastAsia="宋体" w:cs="Book Antiqua"/>
          <w:lang w:eastAsia="zh-CN"/>
        </w:rPr>
        <w:instrText xml:space="preserve"> ADDIN NE.Ref.{C24D3C4F-9654-4600-8FA1-5D51186AAFBF}</w:instrText>
      </w:r>
      <w:r>
        <w:rPr>
          <w:rFonts w:ascii="Book Antiqua" w:hAnsi="Book Antiqua" w:eastAsia="Book Antiqua" w:cs="Book Antiqua"/>
        </w:rPr>
        <w:fldChar w:fldCharType="separate"/>
      </w:r>
      <w:r>
        <w:rPr>
          <w:rFonts w:ascii="Book Antiqua" w:hAnsi="Book Antiqua"/>
          <w:vertAlign w:val="superscript"/>
        </w:rPr>
        <w:t>[11]</w:t>
      </w:r>
      <w:r>
        <w:rPr>
          <w:rFonts w:ascii="Book Antiqua" w:hAnsi="Book Antiqua" w:eastAsia="Book Antiqua" w:cs="Book Antiqua"/>
        </w:rPr>
        <w:fldChar w:fldCharType="end"/>
      </w:r>
      <w:r>
        <w:rPr>
          <w:rFonts w:ascii="Book Antiqua" w:hAnsi="Book Antiqua" w:eastAsia="Book Antiqua" w:cs="Book Antiqua"/>
        </w:rPr>
        <w:t>. The currently used CCS treatments include glucocorticoids, antibiotics, 5-aminosalicylic acid, H2 receptor antagonists, calcineurin inhibitors, cyclosporine, azathioprine and anti-tumor necrosis factor antagonists, Helicobacter pylori eradication, fecal bacteria transplantation, nutritional support, and other symptomatic treatments</w:t>
      </w:r>
      <w:r>
        <w:rPr>
          <w:rFonts w:ascii="Book Antiqua" w:hAnsi="Book Antiqua" w:eastAsia="Book Antiqua" w:cs="Book Antiqua"/>
          <w:vertAlign w:val="superscript"/>
        </w:rPr>
        <w:t>[</w:t>
      </w:r>
      <w:r>
        <w:rPr>
          <w:rFonts w:ascii="Book Antiqua" w:hAnsi="Book Antiqua" w:eastAsia="Book Antiqua" w:cs="Book Antiqua"/>
          <w:vertAlign w:val="superscript"/>
        </w:rPr>
        <w:fldChar w:fldCharType="begin"/>
      </w:r>
      <w:r>
        <w:rPr>
          <w:rFonts w:ascii="Book Antiqua" w:hAnsi="Book Antiqua" w:eastAsia="宋体" w:cs="Book Antiqua"/>
          <w:vertAlign w:val="superscript"/>
          <w:lang w:eastAsia="zh-CN"/>
        </w:rPr>
        <w:instrText xml:space="preserve"> ADDIN NE.Ref.{A0896145-4343-4898-B497-588664EF78C2}</w:instrText>
      </w:r>
      <w:r>
        <w:rPr>
          <w:rFonts w:ascii="Book Antiqua" w:hAnsi="Book Antiqua" w:eastAsia="Book Antiqua" w:cs="Book Antiqua"/>
          <w:vertAlign w:val="superscript"/>
        </w:rPr>
        <w:fldChar w:fldCharType="separate"/>
      </w:r>
      <w:r>
        <w:rPr>
          <w:rFonts w:ascii="Book Antiqua" w:hAnsi="Book Antiqua"/>
          <w:vertAlign w:val="superscript"/>
        </w:rPr>
        <w:t>12-19]</w:t>
      </w:r>
      <w:r>
        <w:rPr>
          <w:rFonts w:ascii="Book Antiqua" w:hAnsi="Book Antiqua" w:eastAsia="Book Antiqua" w:cs="Book Antiqua"/>
          <w:vertAlign w:val="superscript"/>
        </w:rPr>
        <w:fldChar w:fldCharType="end"/>
      </w:r>
      <w:r>
        <w:rPr>
          <w:rFonts w:ascii="Book Antiqua" w:hAnsi="Book Antiqua" w:eastAsia="Book Antiqua" w:cs="Book Antiqua"/>
        </w:rPr>
        <w:t>. Glucocorticoids are a commonly used treatment method that can quickly and effectively elicit disease remission. However, with the reduction or even withdrawal of glucocorticoids, some patients will relapse or even aggravate the disease. More than 35% of patients fail to achieve long-term clinical remission after taking glucocorticoids</w:t>
      </w:r>
      <w:r>
        <w:rPr>
          <w:rFonts w:ascii="Book Antiqua" w:hAnsi="Book Antiqua" w:eastAsia="Book Antiqua" w:cs="Book Antiqua"/>
        </w:rPr>
        <w:fldChar w:fldCharType="begin"/>
      </w:r>
      <w:r>
        <w:rPr>
          <w:rFonts w:ascii="Book Antiqua" w:hAnsi="Book Antiqua" w:eastAsia="宋体" w:cs="Book Antiqua"/>
          <w:lang w:eastAsia="zh-CN"/>
        </w:rPr>
        <w:instrText xml:space="preserve"> ADDIN NE.Ref.{163F0649-95C1-4B7D-AB32-10435EDF6F46}</w:instrText>
      </w:r>
      <w:r>
        <w:rPr>
          <w:rFonts w:ascii="Book Antiqua" w:hAnsi="Book Antiqua" w:eastAsia="Book Antiqua" w:cs="Book Antiqua"/>
        </w:rPr>
        <w:fldChar w:fldCharType="separate"/>
      </w:r>
      <w:r>
        <w:rPr>
          <w:rFonts w:ascii="Book Antiqua" w:hAnsi="Book Antiqua"/>
          <w:vertAlign w:val="superscript"/>
        </w:rPr>
        <w:t>[20]</w:t>
      </w:r>
      <w:r>
        <w:rPr>
          <w:rFonts w:ascii="Book Antiqua" w:hAnsi="Book Antiqua" w:eastAsia="Book Antiqua" w:cs="Book Antiqua"/>
        </w:rPr>
        <w:fldChar w:fldCharType="end"/>
      </w:r>
      <w:r>
        <w:rPr>
          <w:rFonts w:ascii="Book Antiqua" w:hAnsi="Book Antiqua" w:eastAsia="Book Antiqua" w:cs="Book Antiqua"/>
        </w:rPr>
        <w:t>. So far, there is no relevant report on thalidomide in the treatment of CCS.</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rPr>
        <w:t>Thalidomide is an effective tumor necrosis factor inhibitor with immunosuppressive, immunomodulatory, anti-inflammatory, and potentially anti-tumor activities</w:t>
      </w:r>
      <w:r>
        <w:rPr>
          <w:rFonts w:ascii="Book Antiqua" w:hAnsi="Book Antiqua" w:eastAsia="Book Antiqua" w:cs="Book Antiqua"/>
        </w:rPr>
        <w:fldChar w:fldCharType="begin"/>
      </w:r>
      <w:r>
        <w:rPr>
          <w:rFonts w:ascii="Book Antiqua" w:hAnsi="Book Antiqua" w:eastAsia="宋体" w:cs="Book Antiqua"/>
          <w:lang w:eastAsia="zh-CN"/>
        </w:rPr>
        <w:instrText xml:space="preserve"> ADDIN NE.Ref.{01E6DDBA-A4AF-4BDA-ACB2-F9B0C0A7C6CD}</w:instrText>
      </w:r>
      <w:r>
        <w:rPr>
          <w:rFonts w:ascii="Book Antiqua" w:hAnsi="Book Antiqua" w:eastAsia="Book Antiqua" w:cs="Book Antiqua"/>
        </w:rPr>
        <w:fldChar w:fldCharType="separate"/>
      </w:r>
      <w:r>
        <w:rPr>
          <w:rFonts w:ascii="Book Antiqua" w:hAnsi="Book Antiqua"/>
          <w:vertAlign w:val="superscript"/>
        </w:rPr>
        <w:t>[21]</w:t>
      </w:r>
      <w:r>
        <w:rPr>
          <w:rFonts w:ascii="Book Antiqua" w:hAnsi="Book Antiqua" w:eastAsia="Book Antiqua" w:cs="Book Antiqua"/>
        </w:rPr>
        <w:fldChar w:fldCharType="end"/>
      </w:r>
      <w:r>
        <w:rPr>
          <w:rFonts w:ascii="Book Antiqua" w:hAnsi="Book Antiqua" w:eastAsia="Book Antiqua" w:cs="Book Antiqua"/>
        </w:rPr>
        <w:t>. It has been widely used in the clinic to treat autoimmune diseases, such as leprosy nodular erythema, vasculitis, ankylosing spondylitis, rheumatoid arthritis, Behcet’s disease, and inflammatory bowel disease</w:t>
      </w:r>
      <w:r>
        <w:rPr>
          <w:rFonts w:ascii="Book Antiqua" w:hAnsi="Book Antiqua" w:eastAsia="Book Antiqua" w:cs="Book Antiqua"/>
          <w:vertAlign w:val="superscript"/>
        </w:rPr>
        <w:t>[</w:t>
      </w:r>
      <w:r>
        <w:rPr>
          <w:rFonts w:ascii="Book Antiqua" w:hAnsi="Book Antiqua" w:eastAsia="Book Antiqua" w:cs="Book Antiqua"/>
          <w:vertAlign w:val="superscript"/>
        </w:rPr>
        <w:fldChar w:fldCharType="begin"/>
      </w:r>
      <w:r>
        <w:rPr>
          <w:rFonts w:ascii="Book Antiqua" w:hAnsi="Book Antiqua" w:eastAsia="宋体" w:cs="Book Antiqua"/>
          <w:vertAlign w:val="superscript"/>
          <w:lang w:eastAsia="zh-CN"/>
        </w:rPr>
        <w:instrText xml:space="preserve"> ADDIN NE.Ref.{E407DF6B-D2B6-4DD4-A280-B7BB819D678E}</w:instrText>
      </w:r>
      <w:r>
        <w:rPr>
          <w:rFonts w:ascii="Book Antiqua" w:hAnsi="Book Antiqua" w:eastAsia="Book Antiqua" w:cs="Book Antiqua"/>
          <w:vertAlign w:val="superscript"/>
        </w:rPr>
        <w:fldChar w:fldCharType="separate"/>
      </w:r>
      <w:r>
        <w:rPr>
          <w:rFonts w:ascii="Book Antiqua" w:hAnsi="Book Antiqua"/>
          <w:vertAlign w:val="superscript"/>
        </w:rPr>
        <w:t>22-24]</w:t>
      </w:r>
      <w:r>
        <w:rPr>
          <w:rFonts w:ascii="Book Antiqua" w:hAnsi="Book Antiqua" w:eastAsia="Book Antiqua" w:cs="Book Antiqua"/>
          <w:vertAlign w:val="superscript"/>
        </w:rPr>
        <w:fldChar w:fldCharType="end"/>
      </w:r>
      <w:r>
        <w:rPr>
          <w:rFonts w:ascii="Book Antiqua" w:hAnsi="Book Antiqua" w:eastAsia="Book Antiqua" w:cs="Book Antiqua"/>
        </w:rPr>
        <w:t>. Thalidomide can inhibit TNF-α transcription and the cytochrome pathway by binding α1-acid glycoproteins and inhibiting the secretion of TNF-α. Studies have shown that TNF-α is strongly positive in macrophages and lymphocytes in CCS patients</w:t>
      </w:r>
      <w:r>
        <w:rPr>
          <w:rFonts w:ascii="Book Antiqua" w:hAnsi="Book Antiqua" w:eastAsia="Book Antiqua" w:cs="Book Antiqua"/>
        </w:rPr>
        <w:fldChar w:fldCharType="begin"/>
      </w:r>
      <w:r>
        <w:rPr>
          <w:rFonts w:ascii="Book Antiqua" w:hAnsi="Book Antiqua" w:eastAsia="宋体" w:cs="Book Antiqua"/>
          <w:lang w:eastAsia="zh-CN"/>
        </w:rPr>
        <w:instrText xml:space="preserve"> ADDIN NE.Ref.{5240E148-1143-4D7A-BC66-262B73755EA7}</w:instrText>
      </w:r>
      <w:r>
        <w:rPr>
          <w:rFonts w:ascii="Book Antiqua" w:hAnsi="Book Antiqua" w:eastAsia="Book Antiqua" w:cs="Book Antiqua"/>
        </w:rPr>
        <w:fldChar w:fldCharType="separate"/>
      </w:r>
      <w:r>
        <w:rPr>
          <w:rFonts w:ascii="Book Antiqua" w:hAnsi="Book Antiqua"/>
          <w:vertAlign w:val="superscript"/>
        </w:rPr>
        <w:t>[25]</w:t>
      </w:r>
      <w:r>
        <w:rPr>
          <w:rFonts w:ascii="Book Antiqua" w:hAnsi="Book Antiqua" w:eastAsia="Book Antiqua" w:cs="Book Antiqua"/>
        </w:rPr>
        <w:fldChar w:fldCharType="end"/>
      </w:r>
      <w:r>
        <w:rPr>
          <w:rFonts w:ascii="Book Antiqua" w:hAnsi="Book Antiqua" w:eastAsia="Book Antiqua" w:cs="Book Antiqua"/>
        </w:rPr>
        <w:t>. In fact, CCS could be characterized as an immune disorder syndrome mediated by IgG4 plasma cells</w:t>
      </w:r>
      <w:r>
        <w:rPr>
          <w:rFonts w:ascii="Book Antiqua" w:hAnsi="Book Antiqua" w:eastAsia="Book Antiqua" w:cs="Book Antiqua"/>
        </w:rPr>
        <w:fldChar w:fldCharType="begin"/>
      </w:r>
      <w:r>
        <w:rPr>
          <w:rFonts w:ascii="Book Antiqua" w:hAnsi="Book Antiqua" w:eastAsia="宋体" w:cs="Book Antiqua"/>
          <w:lang w:eastAsia="zh-CN"/>
        </w:rPr>
        <w:instrText xml:space="preserve"> ADDIN NE.Ref.{315F02BB-7D89-4164-8B21-6F3F11848D3E}</w:instrText>
      </w:r>
      <w:r>
        <w:rPr>
          <w:rFonts w:ascii="Book Antiqua" w:hAnsi="Book Antiqua" w:eastAsia="Book Antiqua" w:cs="Book Antiqua"/>
        </w:rPr>
        <w:fldChar w:fldCharType="separate"/>
      </w:r>
      <w:r>
        <w:rPr>
          <w:rFonts w:ascii="Book Antiqua" w:hAnsi="Book Antiqua"/>
          <w:vertAlign w:val="superscript"/>
        </w:rPr>
        <w:t>[26]</w:t>
      </w:r>
      <w:r>
        <w:rPr>
          <w:rFonts w:ascii="Book Antiqua" w:hAnsi="Book Antiqua" w:eastAsia="Book Antiqua" w:cs="Book Antiqua"/>
        </w:rPr>
        <w:fldChar w:fldCharType="end"/>
      </w:r>
      <w:r>
        <w:rPr>
          <w:rFonts w:ascii="Book Antiqua" w:hAnsi="Book Antiqua" w:eastAsia="Book Antiqua" w:cs="Book Antiqua"/>
        </w:rPr>
        <w:t>. Previous studies have reported the effect of thalidomide on hormone and immunosuppressant treatment of IgG4-related diseases. Therefore, we speculated that thalidomide, an immunosuppressant, may be effective in the treatment of CCS. At the same time, compared with hormones, thalidomide acts faster and presents a lower risk of causing infertility. Its use also allows for avoiding other side effects such as osteoporosis, ischemic osteonecrosis, and peptic ulcer caused by hormones. Therefore, we chose thalidomide for its immunomodulatory properties. The long-term follow-up results showed that after taking thalidomide, the clinical symptoms of CCS were quickly relieved, could be maintained for a long time, had only a small economic burden, and were effective and convenient.</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rPr>
        <w:t>CCS prognosis is generally poor. If there is no treatment or treatment delay, the mortality rate of CCS can be as high as 55%. Malnutrition, hypoproteinemia, repeated infection, sepsis, heart failure, and gastrointestinal bleeding are the common causes of death from the disease</w:t>
      </w:r>
      <w:r>
        <w:rPr>
          <w:rFonts w:ascii="Book Antiqua" w:hAnsi="Book Antiqua" w:eastAsia="Book Antiqua" w:cs="Book Antiqua"/>
          <w:vertAlign w:val="superscript"/>
        </w:rPr>
        <w:t>[26]</w:t>
      </w:r>
      <w:r>
        <w:rPr>
          <w:rFonts w:ascii="Book Antiqua" w:hAnsi="Book Antiqua" w:eastAsia="Book Antiqua" w:cs="Book Antiqua"/>
        </w:rPr>
        <w:t>. Patients with this disease also bear the risk of malignant tumors. For example, intestinal polyps can be adenomatous polyps and serrated adenomas, both of which are precancerous lesions of colorectal cancer. Therefore, regular monitoring and follow-up are required during the treatment of CCS. If polyps that cannot be subsided by drug administration are found, they need to be removed under endoscopy in time. Experts generally believe that endoscopic monitoring should be carried out every 6-12 mo in order to reduce the mortality rate due to CCS. The patient, in this case, was followed up regularly. Polyps that had not subsided with thalidomide treatment during the follow-up period were timely combined with endoscopic resection, and the postoperative pathological examination was atypical hyperplasia, suggesting that we could early identify precancerous lesions, reduce the risk of polyp malignancies, and obtain a good prognosis.</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rPr>
        <w:t>Our case report is limited to only one patient, and the follow-up time has not been long enough to provide meaningful statistical results. The benefit of thalidomide combined with endoscopy in the treatment of CCS has not been confirmed using a larger sample. Therefore, further clinical studies are needed to determine the dose and duration of treatment and evaluate the long-term efficacy and side effects of thalidomide.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u w:val="single"/>
        </w:rPr>
        <w:t>CONCLUSION</w:t>
      </w:r>
    </w:p>
    <w:p>
      <w:pPr>
        <w:adjustRightInd w:val="0"/>
        <w:snapToGrid w:val="0"/>
        <w:spacing w:line="360" w:lineRule="auto"/>
        <w:jc w:val="both"/>
        <w:rPr>
          <w:rFonts w:ascii="Book Antiqua" w:hAnsi="Book Antiqua"/>
        </w:rPr>
      </w:pPr>
      <w:r>
        <w:rPr>
          <w:rFonts w:ascii="Book Antiqua" w:hAnsi="Book Antiqua" w:eastAsia="Book Antiqua" w:cs="Book Antiqua"/>
        </w:rPr>
        <w:t>At present, the etiology, pathogenesis, and reasonable treatment plan of CCS disease are still in the exploratory stage. The clinical data, diagnosis, and treatment of thalidomide combined with endoscopic therapy in this patient with CCS suggest that thalidomide may be an effective treatment for CCS and thus provide a reference for clinicians.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u w:val="single"/>
        </w:rPr>
        <w:t>ACKNOWLEDGEMENTS</w:t>
      </w:r>
    </w:p>
    <w:p>
      <w:pPr>
        <w:adjustRightInd w:val="0"/>
        <w:snapToGrid w:val="0"/>
        <w:spacing w:line="360" w:lineRule="auto"/>
        <w:jc w:val="both"/>
        <w:rPr>
          <w:rFonts w:ascii="Book Antiqua" w:hAnsi="Book Antiqua"/>
        </w:rPr>
      </w:pPr>
      <w:r>
        <w:rPr>
          <w:rFonts w:ascii="Book Antiqua" w:hAnsi="Book Antiqua" w:eastAsia="Book Antiqua" w:cs="Book Antiqua"/>
        </w:rPr>
        <w:t>We would like to thank the patients and the members of the team for their participation in this study.</w:t>
      </w:r>
    </w:p>
    <w:p>
      <w:pPr>
        <w:adjustRightInd w:val="0"/>
        <w:snapToGrid w:val="0"/>
        <w:spacing w:line="360" w:lineRule="auto"/>
        <w:jc w:val="both"/>
        <w:rPr>
          <w:rFonts w:ascii="Book Antiqua" w:hAnsi="Book Antiqua"/>
        </w:rPr>
      </w:pPr>
    </w:p>
    <w:p>
      <w:pPr>
        <w:adjustRightInd w:val="0"/>
        <w:snapToGrid w:val="0"/>
        <w:spacing w:line="360" w:lineRule="auto"/>
        <w:jc w:val="both"/>
        <w:rPr>
          <w:rStyle w:val="9"/>
          <w:rFonts w:ascii="Book Antiqua" w:hAnsi="Book Antiqua"/>
          <w:sz w:val="24"/>
          <w:szCs w:val="24"/>
        </w:rPr>
      </w:pPr>
      <w:r>
        <w:rPr>
          <w:rFonts w:ascii="Book Antiqua" w:hAnsi="Book Antiqua" w:eastAsia="Book Antiqua" w:cs="Book Antiqua"/>
          <w:b/>
        </w:rPr>
        <w:t>REFERENCES</w:t>
      </w:r>
    </w:p>
    <w:p>
      <w:pPr>
        <w:adjustRightInd w:val="0"/>
        <w:snapToGrid w:val="0"/>
        <w:spacing w:line="360" w:lineRule="auto"/>
        <w:jc w:val="both"/>
        <w:rPr>
          <w:rFonts w:ascii="Book Antiqua" w:hAnsi="Book Antiqua"/>
        </w:rPr>
      </w:pPr>
      <w:r>
        <w:rPr>
          <w:rFonts w:ascii="Book Antiqua" w:hAnsi="Book Antiqua" w:eastAsia="宋体" w:cs="Book Antiqua"/>
          <w:color w:val="000000"/>
          <w:lang w:eastAsia="zh-CN"/>
        </w:rPr>
        <w:t>1</w:t>
      </w:r>
      <w:r>
        <w:rPr>
          <w:rFonts w:ascii="Book Antiqua" w:hAnsi="Book Antiqua" w:eastAsia="Book Antiqua" w:cs="Book Antiqua"/>
          <w:color w:val="000000"/>
        </w:rPr>
        <w:t xml:space="preserve"> </w:t>
      </w:r>
      <w:r>
        <w:rPr>
          <w:rFonts w:ascii="Book Antiqua" w:hAnsi="Book Antiqua" w:eastAsia="Book Antiqua" w:cs="Book Antiqua"/>
          <w:b/>
          <w:bCs/>
          <w:color w:val="000000"/>
        </w:rPr>
        <w:t>CRONKHITE LW Jr</w:t>
      </w:r>
      <w:r>
        <w:rPr>
          <w:rFonts w:ascii="Book Antiqua" w:hAnsi="Book Antiqua" w:eastAsia="Book Antiqua" w:cs="Book Antiqua"/>
          <w:color w:val="000000"/>
        </w:rPr>
        <w:t xml:space="preserve">, CANADA WJ. Generalized gastrointestinal polyposis; an unusual syndrome of polyposis, pigmentation, alopecia and onychotrophia.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1955; </w:t>
      </w:r>
      <w:r>
        <w:rPr>
          <w:rFonts w:ascii="Book Antiqua" w:hAnsi="Book Antiqua" w:eastAsia="Book Antiqua" w:cs="Book Antiqua"/>
          <w:b/>
          <w:bCs/>
          <w:color w:val="000000"/>
        </w:rPr>
        <w:t>252</w:t>
      </w:r>
      <w:r>
        <w:rPr>
          <w:rFonts w:ascii="Book Antiqua" w:hAnsi="Book Antiqua" w:eastAsia="Book Antiqua" w:cs="Book Antiqua"/>
          <w:color w:val="000000"/>
        </w:rPr>
        <w:t>: 1011-1015 [PMID: 14383952 DOI: 10.1056/NEJM195506162522401]</w:t>
      </w:r>
    </w:p>
    <w:p>
      <w:pPr>
        <w:adjustRightInd w:val="0"/>
        <w:snapToGrid w:val="0"/>
        <w:spacing w:line="360" w:lineRule="auto"/>
        <w:jc w:val="both"/>
        <w:rPr>
          <w:rFonts w:ascii="Book Antiqua" w:hAnsi="Book Antiqua" w:eastAsia="Book Antiqua" w:cs="Book Antiqua"/>
        </w:rPr>
      </w:pPr>
      <w:r>
        <w:rPr>
          <w:rFonts w:ascii="Book Antiqua" w:hAnsi="Book Antiqua" w:eastAsia="宋体" w:cs="Book Antiqua"/>
          <w:lang w:eastAsia="zh-CN"/>
        </w:rPr>
        <w:t>2</w:t>
      </w:r>
      <w:r>
        <w:rPr>
          <w:rFonts w:ascii="Book Antiqua" w:hAnsi="Book Antiqua" w:eastAsia="Book Antiqua" w:cs="Book Antiqua"/>
        </w:rPr>
        <w:t xml:space="preserve"> </w:t>
      </w:r>
      <w:r>
        <w:rPr>
          <w:rFonts w:ascii="Book Antiqua" w:hAnsi="Book Antiqua" w:eastAsia="Book Antiqua" w:cs="Book Antiqua"/>
          <w:b/>
          <w:bCs/>
        </w:rPr>
        <w:t>Vashistha N,</w:t>
      </w:r>
      <w:r>
        <w:rPr>
          <w:rFonts w:ascii="Book Antiqua" w:hAnsi="Book Antiqua"/>
          <w:b/>
        </w:rPr>
        <w:t xml:space="preserve"> </w:t>
      </w:r>
      <w:r>
        <w:rPr>
          <w:rFonts w:ascii="Book Antiqua" w:hAnsi="Book Antiqua" w:eastAsia="Book Antiqua" w:cs="Book Antiqua"/>
        </w:rPr>
        <w:t>Chakravarty S, Singhal D.</w:t>
      </w:r>
      <w:r>
        <w:rPr>
          <w:rFonts w:ascii="Book Antiqua" w:hAnsi="Book Antiqua"/>
        </w:rPr>
        <w:t xml:space="preserve"> </w:t>
      </w:r>
      <w:r>
        <w:rPr>
          <w:rFonts w:ascii="Book Antiqua" w:hAnsi="Book Antiqua" w:eastAsia="Book Antiqua" w:cs="Book Antiqua"/>
        </w:rPr>
        <w:t>Cronkhite-Canada syndrome.</w:t>
      </w:r>
      <w:r>
        <w:rPr>
          <w:rFonts w:ascii="Book Antiqua" w:hAnsi="Book Antiqua" w:eastAsia="Book Antiqua" w:cs="Book Antiqua"/>
          <w:i/>
          <w:iCs/>
        </w:rPr>
        <w:t xml:space="preserve"> Gastrointest Endosc</w:t>
      </w:r>
      <w:r>
        <w:rPr>
          <w:rFonts w:ascii="Book Antiqua" w:hAnsi="Book Antiqua"/>
        </w:rPr>
        <w:t xml:space="preserve"> </w:t>
      </w:r>
      <w:r>
        <w:rPr>
          <w:rFonts w:ascii="Book Antiqua" w:hAnsi="Book Antiqua" w:eastAsia="Book Antiqua" w:cs="Book Antiqua"/>
        </w:rPr>
        <w:t>2017; 86: 922-923 [PMID: 28576394 DOI: 10.1016/j.gie.2017.05.028]</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宋体" w:cs="Book Antiqua"/>
          <w:color w:val="000000"/>
          <w:lang w:eastAsia="zh-CN"/>
        </w:rPr>
        <w:t xml:space="preserve">3 </w:t>
      </w:r>
      <w:r>
        <w:rPr>
          <w:rFonts w:ascii="Book Antiqua" w:hAnsi="Book Antiqua" w:eastAsia="Book Antiqua" w:cs="Book Antiqua"/>
          <w:b/>
          <w:bCs/>
          <w:color w:val="000000"/>
        </w:rPr>
        <w:t>Oba MS</w:t>
      </w:r>
      <w:r>
        <w:rPr>
          <w:rFonts w:ascii="Book Antiqua" w:hAnsi="Book Antiqua" w:eastAsia="Book Antiqua" w:cs="Book Antiqua"/>
          <w:color w:val="000000"/>
        </w:rPr>
        <w:t xml:space="preserve">, Murakami Y, Nishiwaki Y, Asakura K, Ohfuji S, Fukushima W, Nakamura Y, Suzuki Y. Estimated Prevalence of Cronkhite-Canada Syndrome, Chronic Enteropathy Associated With SLCO2A1 Gene, and Intestinal Behçet's Disease in Japan in 2017: A Nationwide Survey. </w:t>
      </w:r>
      <w:r>
        <w:rPr>
          <w:rFonts w:ascii="Book Antiqua" w:hAnsi="Book Antiqua" w:eastAsia="Book Antiqua" w:cs="Book Antiqua"/>
          <w:i/>
          <w:iCs/>
          <w:color w:val="000000"/>
        </w:rPr>
        <w:t>J Epidemiol</w:t>
      </w:r>
      <w:r>
        <w:rPr>
          <w:rFonts w:ascii="Book Antiqua" w:hAnsi="Book Antiqua" w:eastAsia="Book Antiqua" w:cs="Book Antiqua"/>
          <w:color w:val="000000"/>
        </w:rPr>
        <w:t xml:space="preserve"> 2021; </w:t>
      </w:r>
      <w:r>
        <w:rPr>
          <w:rFonts w:ascii="Book Antiqua" w:hAnsi="Book Antiqua" w:eastAsia="Book Antiqua" w:cs="Book Antiqua"/>
          <w:b/>
          <w:bCs/>
          <w:color w:val="000000"/>
        </w:rPr>
        <w:t>31</w:t>
      </w:r>
      <w:r>
        <w:rPr>
          <w:rFonts w:ascii="Book Antiqua" w:hAnsi="Book Antiqua" w:eastAsia="Book Antiqua" w:cs="Book Antiqua"/>
          <w:color w:val="000000"/>
        </w:rPr>
        <w:t>: 139-144 [PMID: 32092751 DOI: 10.2188/jea.JE20190349]</w:t>
      </w:r>
    </w:p>
    <w:p>
      <w:pPr>
        <w:adjustRightInd w:val="0"/>
        <w:snapToGrid w:val="0"/>
        <w:spacing w:line="360" w:lineRule="auto"/>
        <w:jc w:val="both"/>
        <w:rPr>
          <w:rFonts w:ascii="Book Antiqua" w:hAnsi="Book Antiqua"/>
        </w:rPr>
      </w:pPr>
      <w:r>
        <w:rPr>
          <w:rFonts w:ascii="Book Antiqua" w:hAnsi="Book Antiqua" w:eastAsia="宋体" w:cs="Book Antiqua"/>
          <w:color w:val="000000"/>
          <w:lang w:eastAsia="zh-CN"/>
        </w:rPr>
        <w:t xml:space="preserve">4 </w:t>
      </w:r>
      <w:r>
        <w:rPr>
          <w:rFonts w:ascii="Book Antiqua" w:hAnsi="Book Antiqua" w:eastAsia="Book Antiqua" w:cs="Book Antiqua"/>
          <w:b/>
          <w:bCs/>
          <w:color w:val="000000"/>
        </w:rPr>
        <w:t>Watanabe C</w:t>
      </w:r>
      <w:r>
        <w:rPr>
          <w:rFonts w:ascii="Book Antiqua" w:hAnsi="Book Antiqua" w:eastAsia="Book Antiqua" w:cs="Book Antiqua"/>
          <w:color w:val="000000"/>
        </w:rPr>
        <w:t xml:space="preserve">, Komoto S, Tomita K, Hokari R, Tanaka M, Hirata I, Hibi T, Kaunitz JD, Miura S. Endoscopic and clinical evaluation of treatment and prognosis of Cronkhite-Canada syndrome: a Japanese nationwide survey. </w:t>
      </w:r>
      <w:r>
        <w:rPr>
          <w:rFonts w:ascii="Book Antiqua" w:hAnsi="Book Antiqua" w:eastAsia="Book Antiqua" w:cs="Book Antiqua"/>
          <w:i/>
          <w:iCs/>
          <w:color w:val="000000"/>
        </w:rPr>
        <w:t>J Gastroenterol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51</w:t>
      </w:r>
      <w:r>
        <w:rPr>
          <w:rFonts w:ascii="Book Antiqua" w:hAnsi="Book Antiqua" w:eastAsia="Book Antiqua" w:cs="Book Antiqua"/>
          <w:color w:val="000000"/>
        </w:rPr>
        <w:t>: 327-336 [PMID: 26216651 DOI: 10.1007/s00535-015-1107-7]</w:t>
      </w:r>
    </w:p>
    <w:p>
      <w:pPr>
        <w:adjustRightInd w:val="0"/>
        <w:snapToGrid w:val="0"/>
        <w:spacing w:line="360" w:lineRule="auto"/>
        <w:jc w:val="both"/>
        <w:rPr>
          <w:rFonts w:ascii="Book Antiqua" w:hAnsi="Book Antiqua"/>
        </w:rPr>
      </w:pPr>
      <w:r>
        <w:rPr>
          <w:rFonts w:ascii="Book Antiqua" w:hAnsi="Book Antiqua" w:eastAsia="宋体" w:cs="Book Antiqua"/>
          <w:color w:val="000000"/>
          <w:lang w:eastAsia="zh-CN"/>
        </w:rPr>
        <w:t>5</w:t>
      </w:r>
      <w:r>
        <w:rPr>
          <w:rFonts w:ascii="Book Antiqua" w:hAnsi="Book Antiqua" w:eastAsia="宋体" w:cs="Book Antiqua"/>
          <w:b/>
          <w:bCs/>
          <w:color w:val="000000"/>
          <w:lang w:eastAsia="zh-CN"/>
        </w:rPr>
        <w:t xml:space="preserve"> </w:t>
      </w:r>
      <w:r>
        <w:rPr>
          <w:rFonts w:ascii="Book Antiqua" w:hAnsi="Book Antiqua" w:eastAsia="Book Antiqua" w:cs="Book Antiqua"/>
          <w:b/>
          <w:bCs/>
          <w:color w:val="000000"/>
        </w:rPr>
        <w:t>Chakrabarti S</w:t>
      </w:r>
      <w:r>
        <w:rPr>
          <w:rFonts w:ascii="Book Antiqua" w:hAnsi="Book Antiqua" w:eastAsia="Book Antiqua" w:cs="Book Antiqua"/>
          <w:color w:val="000000"/>
        </w:rPr>
        <w:t xml:space="preserve">. Cronkhite-Canada Syndrome (CCS)-A Rare Case Report. </w:t>
      </w:r>
      <w:r>
        <w:rPr>
          <w:rFonts w:ascii="Book Antiqua" w:hAnsi="Book Antiqua" w:eastAsia="Book Antiqua" w:cs="Book Antiqua"/>
          <w:i/>
          <w:iCs/>
          <w:color w:val="000000"/>
        </w:rPr>
        <w:t>J Clin Diagn Res</w:t>
      </w:r>
      <w:r>
        <w:rPr>
          <w:rFonts w:ascii="Book Antiqua" w:hAnsi="Book Antiqua" w:eastAsia="Book Antiqua" w:cs="Book Antiqua"/>
          <w:color w:val="000000"/>
        </w:rPr>
        <w:t xml:space="preserve"> 2015; </w:t>
      </w:r>
      <w:r>
        <w:rPr>
          <w:rFonts w:ascii="Book Antiqua" w:hAnsi="Book Antiqua" w:eastAsia="Book Antiqua" w:cs="Book Antiqua"/>
          <w:b/>
          <w:bCs/>
          <w:color w:val="000000"/>
        </w:rPr>
        <w:t>9</w:t>
      </w:r>
      <w:r>
        <w:rPr>
          <w:rFonts w:ascii="Book Antiqua" w:hAnsi="Book Antiqua" w:eastAsia="Book Antiqua" w:cs="Book Antiqua"/>
          <w:color w:val="000000"/>
        </w:rPr>
        <w:t>: OD08-OD09 [PMID: 25954656 DOI: 10.7860/JCDR/2015/11919.5700]</w:t>
      </w:r>
    </w:p>
    <w:p>
      <w:pPr>
        <w:adjustRightInd w:val="0"/>
        <w:snapToGrid w:val="0"/>
        <w:spacing w:line="360" w:lineRule="auto"/>
        <w:jc w:val="both"/>
        <w:rPr>
          <w:rFonts w:ascii="Book Antiqua" w:hAnsi="Book Antiqua"/>
        </w:rPr>
      </w:pPr>
      <w:r>
        <w:rPr>
          <w:rFonts w:ascii="Book Antiqua" w:hAnsi="Book Antiqua" w:eastAsia="宋体" w:cs="Book Antiqua"/>
          <w:color w:val="000000"/>
          <w:lang w:eastAsia="zh-CN"/>
        </w:rPr>
        <w:t>6</w:t>
      </w:r>
      <w:r>
        <w:rPr>
          <w:rFonts w:ascii="Book Antiqua" w:hAnsi="Book Antiqua" w:eastAsia="Book Antiqua" w:cs="Book Antiqua"/>
          <w:color w:val="000000"/>
        </w:rPr>
        <w:t xml:space="preserve"> </w:t>
      </w:r>
      <w:r>
        <w:rPr>
          <w:rFonts w:ascii="Book Antiqua" w:hAnsi="Book Antiqua" w:eastAsia="Book Antiqua" w:cs="Book Antiqua"/>
          <w:b/>
          <w:bCs/>
          <w:color w:val="000000"/>
        </w:rPr>
        <w:t>Lu Y</w:t>
      </w:r>
      <w:r>
        <w:rPr>
          <w:rFonts w:ascii="Book Antiqua" w:hAnsi="Book Antiqua" w:eastAsia="Book Antiqua" w:cs="Book Antiqua"/>
          <w:color w:val="000000"/>
        </w:rPr>
        <w:t xml:space="preserve">, Huang F, Wang Y, Zhou J, Zhao Q, Liu L. Clinical and Endoscopic Characteristics of Chinese Cronkhite-Canada Syndrome Patients: A Retrospective Study of 103 Cases. </w:t>
      </w:r>
      <w:r>
        <w:rPr>
          <w:rFonts w:ascii="Book Antiqua" w:hAnsi="Book Antiqua" w:eastAsia="Book Antiqua" w:cs="Book Antiqua"/>
          <w:i/>
          <w:iCs/>
          <w:color w:val="000000"/>
        </w:rPr>
        <w:t>Dig Dis</w:t>
      </w:r>
      <w:r>
        <w:rPr>
          <w:rFonts w:ascii="Book Antiqua" w:hAnsi="Book Antiqua" w:eastAsia="Book Antiqua" w:cs="Book Antiqua"/>
          <w:color w:val="000000"/>
        </w:rPr>
        <w:t xml:space="preserve"> 2021; </w:t>
      </w:r>
      <w:r>
        <w:rPr>
          <w:rFonts w:ascii="Book Antiqua" w:hAnsi="Book Antiqua" w:eastAsia="Book Antiqua" w:cs="Book Antiqua"/>
          <w:b/>
          <w:bCs/>
          <w:color w:val="000000"/>
        </w:rPr>
        <w:t>39</w:t>
      </w:r>
      <w:r>
        <w:rPr>
          <w:rFonts w:ascii="Book Antiqua" w:hAnsi="Book Antiqua" w:eastAsia="Book Antiqua" w:cs="Book Antiqua"/>
          <w:color w:val="000000"/>
        </w:rPr>
        <w:t>: 488-495 [PMID: 33440392 DOI: 10.1159/000514354]</w:t>
      </w:r>
    </w:p>
    <w:p>
      <w:pPr>
        <w:adjustRightInd w:val="0"/>
        <w:snapToGrid w:val="0"/>
        <w:spacing w:line="360" w:lineRule="auto"/>
        <w:jc w:val="both"/>
        <w:rPr>
          <w:rFonts w:ascii="Book Antiqua" w:hAnsi="Book Antiqua"/>
        </w:rPr>
      </w:pPr>
      <w:r>
        <w:rPr>
          <w:rFonts w:ascii="Book Antiqua" w:hAnsi="Book Antiqua" w:eastAsia="宋体" w:cs="Book Antiqua"/>
          <w:color w:val="000000"/>
          <w:lang w:eastAsia="zh-CN"/>
        </w:rPr>
        <w:t xml:space="preserve">7 </w:t>
      </w:r>
      <w:r>
        <w:rPr>
          <w:rFonts w:ascii="Book Antiqua" w:hAnsi="Book Antiqua" w:eastAsia="Book Antiqua" w:cs="Book Antiqua"/>
          <w:b/>
          <w:bCs/>
          <w:color w:val="000000"/>
        </w:rPr>
        <w:t>Takeuchi Y</w:t>
      </w:r>
      <w:r>
        <w:rPr>
          <w:rFonts w:ascii="Book Antiqua" w:hAnsi="Book Antiqua" w:eastAsia="Book Antiqua" w:cs="Book Antiqua"/>
          <w:color w:val="000000"/>
        </w:rPr>
        <w:t xml:space="preserve">, Yoshikawa M, Tsukamoto N, Shiroi A, Hoshida Y, Enomoto Y, Kimura T, Yamamoto K, Shiiki H, Kikuchi E, Fukui H. Cronkhite-Canada syndrome with colon cancer, portal thrombosis, high titer of antinuclear antibodies, and membranous glomerulonephritis. </w:t>
      </w:r>
      <w:r>
        <w:rPr>
          <w:rFonts w:ascii="Book Antiqua" w:hAnsi="Book Antiqua" w:eastAsia="Book Antiqua" w:cs="Book Antiqua"/>
          <w:i/>
          <w:iCs/>
          <w:color w:val="000000"/>
        </w:rPr>
        <w:t>J Gastroenterol</w:t>
      </w:r>
      <w:r>
        <w:rPr>
          <w:rFonts w:ascii="Book Antiqua" w:hAnsi="Book Antiqua" w:eastAsia="Book Antiqua" w:cs="Book Antiqua"/>
          <w:color w:val="000000"/>
        </w:rPr>
        <w:t xml:space="preserve"> 2003; </w:t>
      </w:r>
      <w:r>
        <w:rPr>
          <w:rFonts w:ascii="Book Antiqua" w:hAnsi="Book Antiqua" w:eastAsia="Book Antiqua" w:cs="Book Antiqua"/>
          <w:b/>
          <w:bCs/>
          <w:color w:val="000000"/>
        </w:rPr>
        <w:t>38</w:t>
      </w:r>
      <w:r>
        <w:rPr>
          <w:rFonts w:ascii="Book Antiqua" w:hAnsi="Book Antiqua" w:eastAsia="Book Antiqua" w:cs="Book Antiqua"/>
          <w:color w:val="000000"/>
        </w:rPr>
        <w:t>: 791-795 [PMID: 14505136 DOI: 10.1007/s00535-002-1148-6]</w:t>
      </w:r>
    </w:p>
    <w:p>
      <w:pPr>
        <w:adjustRightInd w:val="0"/>
        <w:snapToGrid w:val="0"/>
        <w:spacing w:line="360" w:lineRule="auto"/>
        <w:jc w:val="both"/>
        <w:rPr>
          <w:rFonts w:ascii="Book Antiqua" w:hAnsi="Book Antiqua"/>
        </w:rPr>
      </w:pPr>
      <w:r>
        <w:rPr>
          <w:rFonts w:ascii="Book Antiqua" w:hAnsi="Book Antiqua" w:eastAsia="宋体" w:cs="Book Antiqua"/>
          <w:color w:val="000000"/>
          <w:lang w:eastAsia="zh-CN"/>
        </w:rPr>
        <w:t xml:space="preserve">8 </w:t>
      </w:r>
      <w:r>
        <w:rPr>
          <w:rFonts w:ascii="Book Antiqua" w:hAnsi="Book Antiqua" w:eastAsia="Book Antiqua" w:cs="Book Antiqua"/>
          <w:b/>
          <w:bCs/>
          <w:color w:val="000000"/>
        </w:rPr>
        <w:t>Ward EM</w:t>
      </w:r>
      <w:r>
        <w:rPr>
          <w:rFonts w:ascii="Book Antiqua" w:hAnsi="Book Antiqua" w:eastAsia="Book Antiqua" w:cs="Book Antiqua"/>
          <w:color w:val="000000"/>
        </w:rPr>
        <w:t xml:space="preserve">, Wolfsen HC. Pharmacological management of Cronkhite-Canada syndrome. </w:t>
      </w:r>
      <w:r>
        <w:rPr>
          <w:rFonts w:ascii="Book Antiqua" w:hAnsi="Book Antiqua" w:eastAsia="Book Antiqua" w:cs="Book Antiqua"/>
          <w:i/>
          <w:iCs/>
          <w:color w:val="000000"/>
        </w:rPr>
        <w:t>Expert Opin Pharmacother</w:t>
      </w:r>
      <w:r>
        <w:rPr>
          <w:rFonts w:ascii="Book Antiqua" w:hAnsi="Book Antiqua" w:eastAsia="Book Antiqua" w:cs="Book Antiqua"/>
          <w:color w:val="000000"/>
        </w:rPr>
        <w:t xml:space="preserve"> 2003; </w:t>
      </w:r>
      <w:r>
        <w:rPr>
          <w:rFonts w:ascii="Book Antiqua" w:hAnsi="Book Antiqua" w:eastAsia="Book Antiqua" w:cs="Book Antiqua"/>
          <w:b/>
          <w:bCs/>
          <w:color w:val="000000"/>
        </w:rPr>
        <w:t>4</w:t>
      </w:r>
      <w:r>
        <w:rPr>
          <w:rFonts w:ascii="Book Antiqua" w:hAnsi="Book Antiqua" w:eastAsia="Book Antiqua" w:cs="Book Antiqua"/>
          <w:color w:val="000000"/>
        </w:rPr>
        <w:t>: 385-389 [PMID: 12614190 DOI: 10.1517/14656566.4.3.385]</w:t>
      </w:r>
    </w:p>
    <w:p>
      <w:pPr>
        <w:adjustRightInd w:val="0"/>
        <w:snapToGrid w:val="0"/>
        <w:spacing w:line="360" w:lineRule="auto"/>
        <w:jc w:val="both"/>
        <w:rPr>
          <w:rFonts w:ascii="Book Antiqua" w:hAnsi="Book Antiqua"/>
        </w:rPr>
      </w:pPr>
      <w:r>
        <w:rPr>
          <w:rFonts w:ascii="Book Antiqua" w:hAnsi="Book Antiqua" w:eastAsia="宋体" w:cs="Book Antiqua"/>
          <w:color w:val="000000"/>
          <w:lang w:eastAsia="zh-CN"/>
        </w:rPr>
        <w:t xml:space="preserve">9 </w:t>
      </w:r>
      <w:r>
        <w:rPr>
          <w:rFonts w:ascii="Book Antiqua" w:hAnsi="Book Antiqua" w:eastAsia="Book Antiqua" w:cs="Book Antiqua"/>
          <w:b/>
          <w:bCs/>
          <w:color w:val="000000"/>
        </w:rPr>
        <w:t>Firth C</w:t>
      </w:r>
      <w:r>
        <w:rPr>
          <w:rFonts w:ascii="Book Antiqua" w:hAnsi="Book Antiqua" w:eastAsia="Book Antiqua" w:cs="Book Antiqua"/>
          <w:color w:val="000000"/>
        </w:rPr>
        <w:t xml:space="preserve">, Harris LA, Smith ML, Thomas LF. A Case Report of Cronkhite-Canada Syndrome Complicated by Membranous Nephropathy. </w:t>
      </w:r>
      <w:r>
        <w:rPr>
          <w:rFonts w:ascii="Book Antiqua" w:hAnsi="Book Antiqua" w:eastAsia="Book Antiqua" w:cs="Book Antiqua"/>
          <w:i/>
          <w:iCs/>
          <w:color w:val="000000"/>
        </w:rPr>
        <w:t>Case Rep Nephrol Dial</w:t>
      </w:r>
      <w:r>
        <w:rPr>
          <w:rFonts w:ascii="Book Antiqua" w:hAnsi="Book Antiqua" w:eastAsia="Book Antiqua" w:cs="Book Antiqua"/>
          <w:color w:val="000000"/>
        </w:rPr>
        <w:t xml:space="preserve"> 2018; </w:t>
      </w:r>
      <w:r>
        <w:rPr>
          <w:rFonts w:ascii="Book Antiqua" w:hAnsi="Book Antiqua" w:eastAsia="Book Antiqua" w:cs="Book Antiqua"/>
          <w:b/>
          <w:bCs/>
          <w:color w:val="000000"/>
        </w:rPr>
        <w:t>8</w:t>
      </w:r>
      <w:r>
        <w:rPr>
          <w:rFonts w:ascii="Book Antiqua" w:hAnsi="Book Antiqua" w:eastAsia="Book Antiqua" w:cs="Book Antiqua"/>
          <w:color w:val="000000"/>
        </w:rPr>
        <w:t>: 261-267 [PMID: 30643792 DOI: 10.1159/000494714]</w:t>
      </w:r>
    </w:p>
    <w:p>
      <w:pPr>
        <w:adjustRightInd w:val="0"/>
        <w:snapToGrid w:val="0"/>
        <w:spacing w:line="360" w:lineRule="auto"/>
        <w:jc w:val="both"/>
        <w:rPr>
          <w:rFonts w:ascii="Book Antiqua" w:hAnsi="Book Antiqua"/>
        </w:rPr>
      </w:pPr>
      <w:r>
        <w:rPr>
          <w:rFonts w:ascii="Book Antiqua" w:hAnsi="Book Antiqua" w:eastAsia="宋体" w:cs="Book Antiqua"/>
          <w:color w:val="000000"/>
          <w:lang w:eastAsia="zh-CN"/>
        </w:rPr>
        <w:t xml:space="preserve">10 </w:t>
      </w:r>
      <w:r>
        <w:rPr>
          <w:rFonts w:ascii="Book Antiqua" w:hAnsi="Book Antiqua" w:eastAsia="Book Antiqua" w:cs="Book Antiqua"/>
          <w:b/>
          <w:bCs/>
          <w:color w:val="000000"/>
        </w:rPr>
        <w:t>Slavik T</w:t>
      </w:r>
      <w:r>
        <w:rPr>
          <w:rFonts w:ascii="Book Antiqua" w:hAnsi="Book Antiqua" w:eastAsia="Book Antiqua" w:cs="Book Antiqua"/>
          <w:color w:val="000000"/>
        </w:rPr>
        <w:t xml:space="preserve">, Montgomery EA. Cronkhite-Canada syndrome six decades on: the many faces of an enigmatic disease. </w:t>
      </w:r>
      <w:r>
        <w:rPr>
          <w:rFonts w:ascii="Book Antiqua" w:hAnsi="Book Antiqua" w:eastAsia="Book Antiqua" w:cs="Book Antiqua"/>
          <w:i/>
          <w:iCs/>
          <w:color w:val="000000"/>
        </w:rPr>
        <w:t>J Clin Pathol</w:t>
      </w:r>
      <w:r>
        <w:rPr>
          <w:rFonts w:ascii="Book Antiqua" w:hAnsi="Book Antiqua" w:eastAsia="Book Antiqua" w:cs="Book Antiqua"/>
          <w:color w:val="000000"/>
        </w:rPr>
        <w:t xml:space="preserve"> 2014; </w:t>
      </w:r>
      <w:r>
        <w:rPr>
          <w:rFonts w:ascii="Book Antiqua" w:hAnsi="Book Antiqua" w:eastAsia="Book Antiqua" w:cs="Book Antiqua"/>
          <w:b/>
          <w:bCs/>
          <w:color w:val="000000"/>
        </w:rPr>
        <w:t>67</w:t>
      </w:r>
      <w:r>
        <w:rPr>
          <w:rFonts w:ascii="Book Antiqua" w:hAnsi="Book Antiqua" w:eastAsia="Book Antiqua" w:cs="Book Antiqua"/>
          <w:color w:val="000000"/>
        </w:rPr>
        <w:t>: 891-897 [PMID: 25004941 DOI: 10.1136/jclinpath-2014-202488]</w:t>
      </w:r>
    </w:p>
    <w:p>
      <w:pPr>
        <w:widowControl w:val="0"/>
        <w:adjustRightInd w:val="0"/>
        <w:snapToGrid w:val="0"/>
        <w:spacing w:line="360" w:lineRule="auto"/>
        <w:jc w:val="both"/>
        <w:rPr>
          <w:rFonts w:ascii="Book Antiqua" w:hAnsi="Book Antiqua" w:eastAsia="宋体"/>
          <w:lang w:eastAsia="zh-CN"/>
        </w:rPr>
      </w:pPr>
      <w:r>
        <w:rPr>
          <w:rFonts w:ascii="Book Antiqua" w:hAnsi="Book Antiqua" w:eastAsia="宋体" w:cs="Book Antiqua"/>
          <w:color w:val="000000"/>
          <w:lang w:eastAsia="zh-CN"/>
        </w:rPr>
        <w:t>1</w:t>
      </w:r>
      <w:r>
        <w:rPr>
          <w:rFonts w:ascii="Book Antiqua" w:hAnsi="Book Antiqua" w:eastAsia="Book Antiqua" w:cs="Book Antiqua"/>
          <w:color w:val="000000"/>
        </w:rPr>
        <w:t xml:space="preserve">1 </w:t>
      </w:r>
      <w:r>
        <w:rPr>
          <w:rFonts w:ascii="Book Antiqua" w:hAnsi="Book Antiqua" w:eastAsia="Book Antiqua" w:cs="Book Antiqua"/>
          <w:b/>
          <w:bCs/>
          <w:color w:val="000000" w:themeColor="text1"/>
          <w14:textFill>
            <w14:solidFill>
              <w14:schemeClr w14:val="tx1"/>
            </w14:solidFill>
          </w14:textFill>
        </w:rPr>
        <w:t>She Q,</w:t>
      </w:r>
      <w:r>
        <w:rPr>
          <w:rFonts w:ascii="Book Antiqua" w:hAnsi="Book Antiqua" w:eastAsia="Book Antiqua" w:cs="Book Antiqua"/>
          <w:color w:val="000000" w:themeColor="text1"/>
          <w14:textFill>
            <w14:solidFill>
              <w14:schemeClr w14:val="tx1"/>
            </w14:solidFill>
          </w14:textFill>
        </w:rPr>
        <w:t xml:space="preserve"> Jiang JX, Si XM, Tian XY, Shi RH, Zhang GX. A severe course of Cronkhite-Canada syndrome and the review of cli</w:t>
      </w:r>
      <w:r>
        <w:rPr>
          <w:rFonts w:ascii="Book Antiqua" w:hAnsi="Book Antiqua" w:eastAsia="Book Antiqua" w:cs="Book Antiqua"/>
          <w:color w:val="000000"/>
        </w:rPr>
        <w:t>nica</w:t>
      </w:r>
      <w:r>
        <w:rPr>
          <w:rFonts w:ascii="Book Antiqua" w:hAnsi="Book Antiqua" w:eastAsia="Book Antiqua" w:cs="Book Antiqua"/>
          <w:color w:val="000000" w:themeColor="text1"/>
          <w14:textFill>
            <w14:solidFill>
              <w14:schemeClr w14:val="tx1"/>
            </w14:solidFill>
          </w14:textFill>
        </w:rPr>
        <w:t>l features and therapy in 49 Chinese patients.</w:t>
      </w:r>
      <w:r>
        <w:rPr>
          <w:rFonts w:ascii="Book Antiqua" w:hAnsi="Book Antiqua" w:eastAsia="Book Antiqua" w:cs="Book Antiqua"/>
          <w:i/>
          <w:iCs/>
          <w:color w:val="000000" w:themeColor="text1"/>
          <w14:textFill>
            <w14:solidFill>
              <w14:schemeClr w14:val="tx1"/>
            </w14:solidFill>
          </w14:textFill>
        </w:rPr>
        <w:t>Turk J Gastroenterol</w:t>
      </w:r>
      <w:r>
        <w:rPr>
          <w:rFonts w:ascii="Book Antiqua" w:hAnsi="Book Antiqua" w:eastAsia="Book Antiqua" w:cs="Book Antiqua"/>
          <w:color w:val="000000" w:themeColor="text1"/>
          <w14:textFill>
            <w14:solidFill>
              <w14:schemeClr w14:val="tx1"/>
            </w14:solidFill>
          </w14:textFill>
        </w:rPr>
        <w:t xml:space="preserve"> 2013; 24: 277-285 [PMID: 24226722 DOI: 10.4318/tjg.2013.0527]</w:t>
      </w:r>
    </w:p>
    <w:p>
      <w:pPr>
        <w:adjustRightInd w:val="0"/>
        <w:snapToGrid w:val="0"/>
        <w:spacing w:line="360" w:lineRule="auto"/>
        <w:jc w:val="both"/>
        <w:rPr>
          <w:rFonts w:ascii="Book Antiqua" w:hAnsi="Book Antiqua"/>
        </w:rPr>
      </w:pPr>
      <w:r>
        <w:rPr>
          <w:rFonts w:ascii="Book Antiqua" w:hAnsi="Book Antiqua" w:eastAsia="宋体" w:cs="Book Antiqua"/>
          <w:color w:val="000000"/>
          <w:lang w:eastAsia="zh-CN"/>
        </w:rPr>
        <w:t>12</w:t>
      </w:r>
      <w:r>
        <w:rPr>
          <w:rFonts w:ascii="Book Antiqua" w:hAnsi="Book Antiqua" w:eastAsia="Book Antiqua" w:cs="Book Antiqua"/>
          <w:color w:val="000000"/>
        </w:rPr>
        <w:t xml:space="preserve"> </w:t>
      </w:r>
      <w:r>
        <w:rPr>
          <w:rFonts w:ascii="Book Antiqua" w:hAnsi="Book Antiqua" w:eastAsia="Book Antiqua" w:cs="Book Antiqua"/>
          <w:b/>
          <w:bCs/>
          <w:color w:val="000000"/>
        </w:rPr>
        <w:t>Daniel ES</w:t>
      </w:r>
      <w:r>
        <w:rPr>
          <w:rFonts w:ascii="Book Antiqua" w:hAnsi="Book Antiqua" w:eastAsia="Book Antiqua" w:cs="Book Antiqua"/>
          <w:color w:val="000000"/>
        </w:rPr>
        <w:t xml:space="preserve">, Ludwig SL, Lewin KJ, Ruprecht RM, Rajacich GM, Schwabe AD. The Cronkhite-Canada Syndrome. An analysis of clinical and pathologic features and therapy in 55 patients. </w:t>
      </w:r>
      <w:r>
        <w:rPr>
          <w:rFonts w:ascii="Book Antiqua" w:hAnsi="Book Antiqua" w:eastAsia="Book Antiqua" w:cs="Book Antiqua"/>
          <w:i/>
          <w:iCs/>
          <w:color w:val="000000"/>
        </w:rPr>
        <w:t>Medicine (Baltimore)</w:t>
      </w:r>
      <w:r>
        <w:rPr>
          <w:rFonts w:ascii="Book Antiqua" w:hAnsi="Book Antiqua" w:eastAsia="Book Antiqua" w:cs="Book Antiqua"/>
          <w:color w:val="000000"/>
        </w:rPr>
        <w:t xml:space="preserve"> 1982; </w:t>
      </w:r>
      <w:r>
        <w:rPr>
          <w:rFonts w:ascii="Book Antiqua" w:hAnsi="Book Antiqua" w:eastAsia="Book Antiqua" w:cs="Book Antiqua"/>
          <w:b/>
          <w:bCs/>
          <w:color w:val="000000"/>
        </w:rPr>
        <w:t>61</w:t>
      </w:r>
      <w:r>
        <w:rPr>
          <w:rFonts w:ascii="Book Antiqua" w:hAnsi="Book Antiqua" w:eastAsia="Book Antiqua" w:cs="Book Antiqua"/>
          <w:color w:val="000000"/>
        </w:rPr>
        <w:t>: 293-309 [PMID: 7109958]</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宋体" w:cs="Book Antiqua"/>
          <w:color w:val="000000"/>
          <w:lang w:eastAsia="zh-CN"/>
        </w:rPr>
        <w:t>13</w:t>
      </w:r>
      <w:r>
        <w:rPr>
          <w:rFonts w:ascii="Book Antiqua" w:hAnsi="Book Antiqua" w:eastAsia="Book Antiqua" w:cs="Book Antiqua"/>
          <w:color w:val="000000"/>
        </w:rPr>
        <w:t xml:space="preserve"> </w:t>
      </w:r>
      <w:r>
        <w:rPr>
          <w:rFonts w:ascii="Book Antiqua" w:hAnsi="Book Antiqua" w:eastAsia="Book Antiqua" w:cs="Book Antiqua"/>
          <w:b/>
          <w:bCs/>
          <w:color w:val="000000"/>
        </w:rPr>
        <w:t>Kim SY</w:t>
      </w:r>
      <w:r>
        <w:rPr>
          <w:rFonts w:ascii="Book Antiqua" w:hAnsi="Book Antiqua" w:eastAsia="Book Antiqua" w:cs="Book Antiqua"/>
          <w:color w:val="000000"/>
        </w:rPr>
        <w:t xml:space="preserve">, Shin J, Park JS, Cha B, Seo Y, Park SH, Lee JH, Kim JS, Kwon G. The first report on effect of fecal microbiota transplantation as a complementary treatment in a patient with steroid-refractory Cronkhite-Canada syndrome: A case report. </w:t>
      </w:r>
      <w:r>
        <w:rPr>
          <w:rFonts w:ascii="Book Antiqua" w:hAnsi="Book Antiqua" w:eastAsia="Book Antiqua" w:cs="Book Antiqua"/>
          <w:i/>
          <w:iCs/>
          <w:color w:val="000000"/>
        </w:rPr>
        <w:t>Medicine (Baltimore)</w:t>
      </w:r>
      <w:r>
        <w:rPr>
          <w:rFonts w:ascii="Book Antiqua" w:hAnsi="Book Antiqua" w:eastAsia="Book Antiqua" w:cs="Book Antiqua"/>
          <w:color w:val="000000"/>
        </w:rPr>
        <w:t xml:space="preserve"> 2022; </w:t>
      </w:r>
      <w:r>
        <w:rPr>
          <w:rFonts w:ascii="Book Antiqua" w:hAnsi="Book Antiqua" w:eastAsia="Book Antiqua" w:cs="Book Antiqua"/>
          <w:b/>
          <w:bCs/>
          <w:color w:val="000000"/>
        </w:rPr>
        <w:t>101</w:t>
      </w:r>
      <w:r>
        <w:rPr>
          <w:rFonts w:ascii="Book Antiqua" w:hAnsi="Book Antiqua" w:eastAsia="Book Antiqua" w:cs="Book Antiqua"/>
          <w:color w:val="000000"/>
        </w:rPr>
        <w:t>: e29135 [PMID: 35357354 DOI: 10.1097/MD.0000000000029135]</w:t>
      </w:r>
    </w:p>
    <w:p>
      <w:pPr>
        <w:adjustRightInd w:val="0"/>
        <w:snapToGrid w:val="0"/>
        <w:spacing w:line="360" w:lineRule="auto"/>
        <w:jc w:val="both"/>
        <w:rPr>
          <w:rFonts w:ascii="Book Antiqua" w:hAnsi="Book Antiqua"/>
        </w:rPr>
      </w:pPr>
      <w:r>
        <w:rPr>
          <w:rFonts w:ascii="Book Antiqua" w:hAnsi="Book Antiqua" w:eastAsia="宋体" w:cs="Book Antiqua"/>
          <w:color w:val="000000"/>
          <w:lang w:eastAsia="zh-CN"/>
        </w:rPr>
        <w:t xml:space="preserve">14 </w:t>
      </w:r>
      <w:r>
        <w:rPr>
          <w:rFonts w:ascii="Book Antiqua" w:hAnsi="Book Antiqua" w:eastAsia="Book Antiqua" w:cs="Book Antiqua"/>
          <w:b/>
          <w:bCs/>
          <w:color w:val="000000"/>
        </w:rPr>
        <w:t>Lê KA</w:t>
      </w:r>
      <w:r>
        <w:rPr>
          <w:rFonts w:ascii="Book Antiqua" w:hAnsi="Book Antiqua" w:eastAsia="Book Antiqua" w:cs="Book Antiqua"/>
          <w:color w:val="000000"/>
        </w:rPr>
        <w:t xml:space="preserve">, Li Y, Xu X, Yang W, Liu T, Zhao X, Tang YG, Cai D, Go VL, Pandol S, Hui H. Alterations in fecal Lactobacillus and Bifidobacterium species in type 2 diabetic patients in Southern China population. </w:t>
      </w:r>
      <w:r>
        <w:rPr>
          <w:rFonts w:ascii="Book Antiqua" w:hAnsi="Book Antiqua" w:eastAsia="Book Antiqua" w:cs="Book Antiqua"/>
          <w:i/>
          <w:iCs/>
          <w:color w:val="000000"/>
        </w:rPr>
        <w:t>Front Physiol</w:t>
      </w:r>
      <w:r>
        <w:rPr>
          <w:rFonts w:ascii="Book Antiqua" w:hAnsi="Book Antiqua" w:eastAsia="Book Antiqua" w:cs="Book Antiqua"/>
          <w:color w:val="000000"/>
        </w:rPr>
        <w:t xml:space="preserve"> 2012; </w:t>
      </w:r>
      <w:r>
        <w:rPr>
          <w:rFonts w:ascii="Book Antiqua" w:hAnsi="Book Antiqua" w:eastAsia="Book Antiqua" w:cs="Book Antiqua"/>
          <w:b/>
          <w:bCs/>
          <w:color w:val="000000"/>
        </w:rPr>
        <w:t>3</w:t>
      </w:r>
      <w:r>
        <w:rPr>
          <w:rFonts w:ascii="Book Antiqua" w:hAnsi="Book Antiqua" w:eastAsia="Book Antiqua" w:cs="Book Antiqua"/>
          <w:color w:val="000000"/>
        </w:rPr>
        <w:t>: 496 [PMID: 23386831 DOI: 10.3389/fphys.2012.00496]</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1</w:t>
      </w:r>
      <w:r>
        <w:rPr>
          <w:rFonts w:ascii="Book Antiqua" w:hAnsi="Book Antiqua" w:eastAsia="宋体" w:cs="Book Antiqua"/>
          <w:color w:val="000000"/>
          <w:lang w:eastAsia="zh-CN"/>
        </w:rPr>
        <w:t>5</w:t>
      </w:r>
      <w:r>
        <w:rPr>
          <w:rFonts w:ascii="Book Antiqua" w:hAnsi="Book Antiqua" w:eastAsia="Book Antiqua" w:cs="Book Antiqua"/>
          <w:color w:val="000000"/>
        </w:rPr>
        <w:t xml:space="preserve"> </w:t>
      </w:r>
      <w:r>
        <w:rPr>
          <w:rFonts w:ascii="Book Antiqua" w:hAnsi="Book Antiqua" w:eastAsia="Book Antiqua" w:cs="Book Antiqua"/>
          <w:b/>
          <w:bCs/>
          <w:color w:val="000000"/>
        </w:rPr>
        <w:t>Nagy A</w:t>
      </w:r>
      <w:r>
        <w:rPr>
          <w:rFonts w:ascii="Book Antiqua" w:hAnsi="Book Antiqua" w:eastAsia="Book Antiqua" w:cs="Book Antiqua"/>
          <w:color w:val="000000"/>
        </w:rPr>
        <w:t xml:space="preserve">, Tóth L, Theisz J, Bajkó N, Zolnai Z, Varga M, Igaz I. Cronkhite-Canada syndrome. </w:t>
      </w:r>
      <w:r>
        <w:rPr>
          <w:rFonts w:ascii="Book Antiqua" w:hAnsi="Book Antiqua" w:eastAsia="Book Antiqua" w:cs="Book Antiqua"/>
          <w:i/>
          <w:iCs/>
          <w:color w:val="000000"/>
        </w:rPr>
        <w:t>Orv Hetil</w:t>
      </w:r>
      <w:r>
        <w:rPr>
          <w:rFonts w:ascii="Book Antiqua" w:hAnsi="Book Antiqua" w:eastAsia="Book Antiqua" w:cs="Book Antiqua"/>
          <w:color w:val="000000"/>
        </w:rPr>
        <w:t xml:space="preserve"> 2021; </w:t>
      </w:r>
      <w:r>
        <w:rPr>
          <w:rFonts w:ascii="Book Antiqua" w:hAnsi="Book Antiqua" w:eastAsia="Book Antiqua" w:cs="Book Antiqua"/>
          <w:b/>
          <w:bCs/>
          <w:color w:val="000000"/>
        </w:rPr>
        <w:t>162</w:t>
      </w:r>
      <w:r>
        <w:rPr>
          <w:rFonts w:ascii="Book Antiqua" w:hAnsi="Book Antiqua" w:eastAsia="Book Antiqua" w:cs="Book Antiqua"/>
          <w:color w:val="000000"/>
        </w:rPr>
        <w:t>: 432-438 [PMID: 33714942 DOI: 10.1556/650.2021.32055]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1</w:t>
      </w:r>
      <w:r>
        <w:rPr>
          <w:rFonts w:ascii="Book Antiqua" w:hAnsi="Book Antiqua" w:eastAsia="宋体" w:cs="Book Antiqua"/>
          <w:color w:val="000000"/>
          <w:lang w:eastAsia="zh-CN"/>
        </w:rPr>
        <w:t>6</w:t>
      </w:r>
      <w:r>
        <w:rPr>
          <w:rFonts w:ascii="Book Antiqua" w:hAnsi="Book Antiqua" w:eastAsia="Book Antiqua" w:cs="Book Antiqua"/>
          <w:color w:val="000000"/>
        </w:rPr>
        <w:t xml:space="preserve"> </w:t>
      </w:r>
      <w:r>
        <w:rPr>
          <w:rFonts w:ascii="Book Antiqua" w:hAnsi="Book Antiqua" w:eastAsia="Book Antiqua" w:cs="Book Antiqua"/>
          <w:b/>
          <w:bCs/>
          <w:color w:val="000000"/>
        </w:rPr>
        <w:t>Okamoto K</w:t>
      </w:r>
      <w:r>
        <w:rPr>
          <w:rFonts w:ascii="Book Antiqua" w:hAnsi="Book Antiqua" w:eastAsia="Book Antiqua" w:cs="Book Antiqua"/>
          <w:color w:val="000000"/>
        </w:rPr>
        <w:t xml:space="preserve">, Isomoto H, Shikuwa S, Nishiyama H, Ito M, Kohno S. A case of Cronkhite-Canada syndrome: remission after treatment with anti-Helicobacter pylori regimen. </w:t>
      </w:r>
      <w:r>
        <w:rPr>
          <w:rFonts w:ascii="Book Antiqua" w:hAnsi="Book Antiqua" w:eastAsia="Book Antiqua" w:cs="Book Antiqua"/>
          <w:i/>
          <w:iCs/>
          <w:color w:val="000000"/>
        </w:rPr>
        <w:t>Digestion</w:t>
      </w:r>
      <w:r>
        <w:rPr>
          <w:rFonts w:ascii="Book Antiqua" w:hAnsi="Book Antiqua" w:eastAsia="Book Antiqua" w:cs="Book Antiqua"/>
          <w:color w:val="000000"/>
        </w:rPr>
        <w:t xml:space="preserve"> 2008; </w:t>
      </w:r>
      <w:r>
        <w:rPr>
          <w:rFonts w:ascii="Book Antiqua" w:hAnsi="Book Antiqua" w:eastAsia="Book Antiqua" w:cs="Book Antiqua"/>
          <w:b/>
          <w:bCs/>
          <w:color w:val="000000"/>
        </w:rPr>
        <w:t>78</w:t>
      </w:r>
      <w:r>
        <w:rPr>
          <w:rFonts w:ascii="Book Antiqua" w:hAnsi="Book Antiqua" w:eastAsia="Book Antiqua" w:cs="Book Antiqua"/>
          <w:color w:val="000000"/>
        </w:rPr>
        <w:t>: 82-87 [PMID: 18948692 DOI: 10.1159/000165354]</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1</w:t>
      </w:r>
      <w:r>
        <w:rPr>
          <w:rFonts w:ascii="Book Antiqua" w:hAnsi="Book Antiqua" w:eastAsia="宋体" w:cs="Book Antiqua"/>
          <w:color w:val="000000"/>
          <w:lang w:eastAsia="zh-CN"/>
        </w:rPr>
        <w:t>7</w:t>
      </w:r>
      <w:r>
        <w:rPr>
          <w:rFonts w:ascii="Book Antiqua" w:hAnsi="Book Antiqua" w:eastAsia="Book Antiqua" w:cs="Book Antiqua"/>
          <w:color w:val="000000"/>
        </w:rPr>
        <w:t xml:space="preserve"> </w:t>
      </w:r>
      <w:r>
        <w:rPr>
          <w:rFonts w:ascii="Book Antiqua" w:hAnsi="Book Antiqua" w:eastAsia="Book Antiqua" w:cs="Book Antiqua"/>
          <w:b/>
          <w:bCs/>
          <w:color w:val="000000"/>
        </w:rPr>
        <w:t>Sweetser S</w:t>
      </w:r>
      <w:r>
        <w:rPr>
          <w:rFonts w:ascii="Book Antiqua" w:hAnsi="Book Antiqua" w:eastAsia="Book Antiqua" w:cs="Book Antiqua"/>
          <w:color w:val="000000"/>
        </w:rPr>
        <w:t xml:space="preserve">, Alexander GL, Boardman LA. A case of Cronkhite-Canada syndrome presenting with adenomatous and inflammatory colon polyps. </w:t>
      </w:r>
      <w:r>
        <w:rPr>
          <w:rFonts w:ascii="Book Antiqua" w:hAnsi="Book Antiqua" w:eastAsia="Book Antiqua" w:cs="Book Antiqua"/>
          <w:i/>
          <w:iCs/>
          <w:color w:val="000000"/>
        </w:rPr>
        <w:t>Nat Rev Gastroenterol Hepatol</w:t>
      </w:r>
      <w:r>
        <w:rPr>
          <w:rFonts w:ascii="Book Antiqua" w:hAnsi="Book Antiqua" w:eastAsia="Book Antiqua" w:cs="Book Antiqua"/>
          <w:color w:val="000000"/>
        </w:rPr>
        <w:t xml:space="preserve"> 2010; </w:t>
      </w:r>
      <w:r>
        <w:rPr>
          <w:rFonts w:ascii="Book Antiqua" w:hAnsi="Book Antiqua" w:eastAsia="Book Antiqua" w:cs="Book Antiqua"/>
          <w:b/>
          <w:bCs/>
          <w:color w:val="000000"/>
        </w:rPr>
        <w:t>7</w:t>
      </w:r>
      <w:r>
        <w:rPr>
          <w:rFonts w:ascii="Book Antiqua" w:hAnsi="Book Antiqua" w:eastAsia="Book Antiqua" w:cs="Book Antiqua"/>
          <w:color w:val="000000"/>
        </w:rPr>
        <w:t>: 460-464 [PMID: 20628344 DOI: 10.1038/nrgastro.2010.112]</w:t>
      </w:r>
    </w:p>
    <w:p>
      <w:pPr>
        <w:adjustRightInd w:val="0"/>
        <w:snapToGrid w:val="0"/>
        <w:spacing w:line="360" w:lineRule="auto"/>
        <w:jc w:val="both"/>
        <w:rPr>
          <w:rFonts w:ascii="Book Antiqua" w:hAnsi="Book Antiqua"/>
        </w:rPr>
      </w:pPr>
      <w:r>
        <w:rPr>
          <w:rFonts w:ascii="Book Antiqua" w:hAnsi="Book Antiqua" w:eastAsia="宋体" w:cs="Book Antiqua"/>
          <w:color w:val="000000"/>
          <w:lang w:eastAsia="zh-CN"/>
        </w:rPr>
        <w:t>18</w:t>
      </w:r>
      <w:r>
        <w:rPr>
          <w:rFonts w:ascii="Book Antiqua" w:hAnsi="Book Antiqua" w:eastAsia="Book Antiqua" w:cs="Book Antiqua"/>
          <w:color w:val="000000"/>
        </w:rPr>
        <w:t xml:space="preserve"> </w:t>
      </w:r>
      <w:r>
        <w:rPr>
          <w:rFonts w:ascii="Book Antiqua" w:hAnsi="Book Antiqua" w:eastAsia="Book Antiqua" w:cs="Book Antiqua"/>
          <w:b/>
          <w:bCs/>
          <w:color w:val="000000"/>
        </w:rPr>
        <w:t>Watanabe D</w:t>
      </w:r>
      <w:r>
        <w:rPr>
          <w:rFonts w:ascii="Book Antiqua" w:hAnsi="Book Antiqua" w:eastAsia="Book Antiqua" w:cs="Book Antiqua"/>
          <w:color w:val="000000"/>
        </w:rPr>
        <w:t xml:space="preserve">, Ooi M, Hoshi N, Kohashi M, Yoshie T, Ikehara N, Yoshida M, Yanagita E, Yamasaki T, Itoh T, Azuma T. Successful treatment of Cronkhite-Canada syndrome using anti-tumor necrosis factor antibody therapy.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2014; </w:t>
      </w:r>
      <w:r>
        <w:rPr>
          <w:rFonts w:ascii="Book Antiqua" w:hAnsi="Book Antiqua" w:eastAsia="Book Antiqua" w:cs="Book Antiqua"/>
          <w:b/>
          <w:bCs/>
          <w:color w:val="000000"/>
        </w:rPr>
        <w:t>46 Suppl 1 UCTN</w:t>
      </w:r>
      <w:r>
        <w:rPr>
          <w:rFonts w:ascii="Book Antiqua" w:hAnsi="Book Antiqua" w:eastAsia="Book Antiqua" w:cs="Book Antiqua"/>
          <w:color w:val="000000"/>
        </w:rPr>
        <w:t>: E476-E477 [PMID: 25314205 DOI: 10.1055/s-0034-1377539]</w:t>
      </w:r>
    </w:p>
    <w:p>
      <w:pPr>
        <w:adjustRightInd w:val="0"/>
        <w:snapToGrid w:val="0"/>
        <w:spacing w:line="360" w:lineRule="auto"/>
        <w:jc w:val="both"/>
        <w:rPr>
          <w:rFonts w:ascii="Book Antiqua" w:hAnsi="Book Antiqua"/>
        </w:rPr>
      </w:pPr>
      <w:r>
        <w:rPr>
          <w:rFonts w:ascii="Book Antiqua" w:hAnsi="Book Antiqua" w:eastAsia="宋体" w:cs="Book Antiqua"/>
          <w:color w:val="000000"/>
          <w:lang w:eastAsia="zh-CN"/>
        </w:rPr>
        <w:t>19</w:t>
      </w:r>
      <w:r>
        <w:rPr>
          <w:rFonts w:ascii="Book Antiqua" w:hAnsi="Book Antiqua" w:eastAsia="Book Antiqua" w:cs="Book Antiqua"/>
          <w:color w:val="000000"/>
        </w:rPr>
        <w:t xml:space="preserve"> </w:t>
      </w:r>
      <w:r>
        <w:rPr>
          <w:rFonts w:ascii="Book Antiqua" w:hAnsi="Book Antiqua" w:eastAsia="Book Antiqua" w:cs="Book Antiqua"/>
          <w:b/>
          <w:bCs/>
          <w:color w:val="000000"/>
        </w:rPr>
        <w:t>Yu X</w:t>
      </w:r>
      <w:r>
        <w:rPr>
          <w:rFonts w:ascii="Book Antiqua" w:hAnsi="Book Antiqua" w:eastAsia="Book Antiqua" w:cs="Book Antiqua"/>
          <w:color w:val="000000"/>
        </w:rPr>
        <w:t xml:space="preserve">, Wang C, Wang M, Wu Y, Zhang L, Yang Q, Chen L. Cronkhite-Canada syndrome: a retrospective analysis of four cases at a single medical center. </w:t>
      </w:r>
      <w:r>
        <w:rPr>
          <w:rFonts w:ascii="Book Antiqua" w:hAnsi="Book Antiqua" w:eastAsia="Book Antiqua" w:cs="Book Antiqua"/>
          <w:i/>
          <w:iCs/>
          <w:color w:val="000000"/>
        </w:rPr>
        <w:t>Scand J Gastroenterol</w:t>
      </w:r>
      <w:r>
        <w:rPr>
          <w:rFonts w:ascii="Book Antiqua" w:hAnsi="Book Antiqua" w:eastAsia="Book Antiqua" w:cs="Book Antiqua"/>
          <w:color w:val="000000"/>
        </w:rPr>
        <w:t xml:space="preserve"> 2022; </w:t>
      </w:r>
      <w:r>
        <w:rPr>
          <w:rFonts w:ascii="Book Antiqua" w:hAnsi="Book Antiqua" w:eastAsia="Book Antiqua" w:cs="Book Antiqua"/>
          <w:b/>
          <w:bCs/>
          <w:color w:val="000000"/>
        </w:rPr>
        <w:t>57</w:t>
      </w:r>
      <w:r>
        <w:rPr>
          <w:rFonts w:ascii="Book Antiqua" w:hAnsi="Book Antiqua" w:eastAsia="Book Antiqua" w:cs="Book Antiqua"/>
          <w:color w:val="000000"/>
        </w:rPr>
        <w:t>: 958-964 [PMID: 35289240 DOI: 10.1080/00365521.2022.2048885]</w:t>
      </w:r>
    </w:p>
    <w:p>
      <w:pPr>
        <w:adjustRightInd w:val="0"/>
        <w:snapToGrid w:val="0"/>
        <w:spacing w:line="360" w:lineRule="auto"/>
        <w:jc w:val="both"/>
        <w:rPr>
          <w:rFonts w:ascii="Book Antiqua" w:hAnsi="Book Antiqua"/>
        </w:rPr>
      </w:pPr>
      <w:r>
        <w:rPr>
          <w:rFonts w:ascii="Book Antiqua" w:hAnsi="Book Antiqua" w:eastAsia="宋体" w:cs="Book Antiqua"/>
          <w:color w:val="000000"/>
          <w:lang w:eastAsia="zh-CN"/>
        </w:rPr>
        <w:t>20</w:t>
      </w:r>
      <w:r>
        <w:rPr>
          <w:rFonts w:ascii="Book Antiqua" w:hAnsi="Book Antiqua" w:eastAsia="Book Antiqua" w:cs="Book Antiqua"/>
          <w:color w:val="000000"/>
        </w:rPr>
        <w:t xml:space="preserve"> </w:t>
      </w:r>
      <w:r>
        <w:rPr>
          <w:rFonts w:ascii="Book Antiqua" w:hAnsi="Book Antiqua" w:eastAsia="Book Antiqua" w:cs="Book Antiqua"/>
          <w:b/>
          <w:bCs/>
          <w:color w:val="000000"/>
        </w:rPr>
        <w:t>Liu S</w:t>
      </w:r>
      <w:r>
        <w:rPr>
          <w:rFonts w:ascii="Book Antiqua" w:hAnsi="Book Antiqua" w:eastAsia="Book Antiqua" w:cs="Book Antiqua"/>
          <w:color w:val="000000"/>
        </w:rPr>
        <w:t xml:space="preserve">, You Y, Ruan G, Zhou L, Chen D, Wu D, Yan X, Zhang S, Zhou W, Li J, Qian J. The Long-Term Clinical and Endoscopic Outcomes of Cronkhite-Canada Syndrome. </w:t>
      </w:r>
      <w:r>
        <w:rPr>
          <w:rFonts w:ascii="Book Antiqua" w:hAnsi="Book Antiqua" w:eastAsia="Book Antiqua" w:cs="Book Antiqua"/>
          <w:i/>
          <w:iCs/>
          <w:color w:val="000000"/>
        </w:rPr>
        <w:t>Clin Transl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11</w:t>
      </w:r>
      <w:r>
        <w:rPr>
          <w:rFonts w:ascii="Book Antiqua" w:hAnsi="Book Antiqua" w:eastAsia="Book Antiqua" w:cs="Book Antiqua"/>
          <w:color w:val="000000"/>
        </w:rPr>
        <w:t>: e00167 [PMID: 32352683 DOI: 10.14309/ctg.0000000000000167]</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2</w:t>
      </w:r>
      <w:r>
        <w:rPr>
          <w:rFonts w:ascii="Book Antiqua" w:hAnsi="Book Antiqua" w:eastAsia="宋体" w:cs="Book Antiqua"/>
          <w:color w:val="000000"/>
          <w:lang w:eastAsia="zh-CN"/>
        </w:rPr>
        <w:t>1</w:t>
      </w:r>
      <w:r>
        <w:rPr>
          <w:rFonts w:ascii="Book Antiqua" w:hAnsi="Book Antiqua" w:eastAsia="Book Antiqua" w:cs="Book Antiqua"/>
          <w:color w:val="000000"/>
        </w:rPr>
        <w:t xml:space="preserve"> </w:t>
      </w:r>
      <w:r>
        <w:rPr>
          <w:rFonts w:ascii="Book Antiqua" w:hAnsi="Book Antiqua" w:eastAsia="Book Antiqua" w:cs="Book Antiqua"/>
          <w:b/>
          <w:bCs/>
          <w:color w:val="000000"/>
        </w:rPr>
        <w:t>Tjiu JW</w:t>
      </w:r>
      <w:r>
        <w:rPr>
          <w:rFonts w:ascii="Book Antiqua" w:hAnsi="Book Antiqua" w:eastAsia="Book Antiqua" w:cs="Book Antiqua"/>
          <w:color w:val="000000"/>
        </w:rPr>
        <w:t xml:space="preserve">, Hsiao CH, Tsai TF. Cutaneous Rosai-Dorfman disease: remission with thalidomide treatment. </w:t>
      </w:r>
      <w:r>
        <w:rPr>
          <w:rFonts w:ascii="Book Antiqua" w:hAnsi="Book Antiqua" w:eastAsia="Book Antiqua" w:cs="Book Antiqua"/>
          <w:i/>
          <w:iCs/>
          <w:color w:val="000000"/>
        </w:rPr>
        <w:t>Br J Dermatol</w:t>
      </w:r>
      <w:r>
        <w:rPr>
          <w:rFonts w:ascii="Book Antiqua" w:hAnsi="Book Antiqua" w:eastAsia="Book Antiqua" w:cs="Book Antiqua"/>
          <w:color w:val="000000"/>
        </w:rPr>
        <w:t xml:space="preserve"> 2003; </w:t>
      </w:r>
      <w:r>
        <w:rPr>
          <w:rFonts w:ascii="Book Antiqua" w:hAnsi="Book Antiqua" w:eastAsia="Book Antiqua" w:cs="Book Antiqua"/>
          <w:b/>
          <w:bCs/>
          <w:color w:val="000000"/>
        </w:rPr>
        <w:t>148</w:t>
      </w:r>
      <w:r>
        <w:rPr>
          <w:rFonts w:ascii="Book Antiqua" w:hAnsi="Book Antiqua" w:eastAsia="Book Antiqua" w:cs="Book Antiqua"/>
          <w:color w:val="000000"/>
        </w:rPr>
        <w:t>: 1060-1061 [PMID: 12786846 DOI: 10.1046/j.1365-2133.2003.05311.x]</w:t>
      </w:r>
    </w:p>
    <w:p>
      <w:pPr>
        <w:adjustRightInd w:val="0"/>
        <w:snapToGrid w:val="0"/>
        <w:spacing w:line="360" w:lineRule="auto"/>
        <w:jc w:val="both"/>
        <w:rPr>
          <w:rFonts w:ascii="Book Antiqua" w:hAnsi="Book Antiqua"/>
        </w:rPr>
      </w:pPr>
      <w:r>
        <w:rPr>
          <w:rFonts w:ascii="Book Antiqua" w:hAnsi="Book Antiqua" w:eastAsia="宋体" w:cs="Book Antiqua"/>
          <w:color w:val="000000"/>
          <w:lang w:eastAsia="zh-CN"/>
        </w:rPr>
        <w:t>22</w:t>
      </w:r>
      <w:r>
        <w:rPr>
          <w:rFonts w:ascii="Book Antiqua" w:hAnsi="Book Antiqua" w:eastAsia="Book Antiqua" w:cs="Book Antiqua"/>
          <w:color w:val="000000"/>
        </w:rPr>
        <w:t xml:space="preserve"> </w:t>
      </w:r>
      <w:r>
        <w:rPr>
          <w:rFonts w:ascii="Book Antiqua" w:hAnsi="Book Antiqua" w:eastAsia="Book Antiqua" w:cs="Book Antiqua"/>
          <w:b/>
          <w:bCs/>
          <w:color w:val="000000"/>
        </w:rPr>
        <w:t>Lehman TJ</w:t>
      </w:r>
      <w:r>
        <w:rPr>
          <w:rFonts w:ascii="Book Antiqua" w:hAnsi="Book Antiqua" w:eastAsia="Book Antiqua" w:cs="Book Antiqua"/>
          <w:color w:val="000000"/>
        </w:rPr>
        <w:t xml:space="preserve">, Schechter SJ, Sundel RP, Oliveira SK, Huttenlocher A, Onel KB. Thalidomide for severe systemic onset juvenile rheumatoid arthritis: A multicenter study. </w:t>
      </w:r>
      <w:r>
        <w:rPr>
          <w:rFonts w:ascii="Book Antiqua" w:hAnsi="Book Antiqua" w:eastAsia="Book Antiqua" w:cs="Book Antiqua"/>
          <w:i/>
          <w:iCs/>
          <w:color w:val="000000"/>
        </w:rPr>
        <w:t>J Pediatr</w:t>
      </w:r>
      <w:r>
        <w:rPr>
          <w:rFonts w:ascii="Book Antiqua" w:hAnsi="Book Antiqua" w:eastAsia="Book Antiqua" w:cs="Book Antiqua"/>
          <w:color w:val="000000"/>
        </w:rPr>
        <w:t xml:space="preserve"> 2004; </w:t>
      </w:r>
      <w:r>
        <w:rPr>
          <w:rFonts w:ascii="Book Antiqua" w:hAnsi="Book Antiqua" w:eastAsia="Book Antiqua" w:cs="Book Antiqua"/>
          <w:b/>
          <w:bCs/>
          <w:color w:val="000000"/>
        </w:rPr>
        <w:t>145</w:t>
      </w:r>
      <w:r>
        <w:rPr>
          <w:rFonts w:ascii="Book Antiqua" w:hAnsi="Book Antiqua" w:eastAsia="Book Antiqua" w:cs="Book Antiqua"/>
          <w:color w:val="000000"/>
        </w:rPr>
        <w:t>: 856-857 [PMID: 15580219 DOI: 10.1016/j.jpeds.2004.08.020]</w:t>
      </w:r>
    </w:p>
    <w:p>
      <w:pPr>
        <w:adjustRightInd w:val="0"/>
        <w:snapToGrid w:val="0"/>
        <w:spacing w:line="360" w:lineRule="auto"/>
        <w:jc w:val="both"/>
        <w:rPr>
          <w:rFonts w:ascii="Book Antiqua" w:hAnsi="Book Antiqua"/>
        </w:rPr>
      </w:pPr>
      <w:r>
        <w:rPr>
          <w:rFonts w:ascii="Book Antiqua" w:hAnsi="Book Antiqua" w:eastAsia="宋体" w:cs="Book Antiqua"/>
          <w:color w:val="000000"/>
          <w:lang w:eastAsia="zh-CN"/>
        </w:rPr>
        <w:t>23</w:t>
      </w:r>
      <w:r>
        <w:rPr>
          <w:rFonts w:ascii="Book Antiqua" w:hAnsi="Book Antiqua" w:eastAsia="Book Antiqua" w:cs="Book Antiqua"/>
          <w:color w:val="000000"/>
        </w:rPr>
        <w:t xml:space="preserve"> </w:t>
      </w:r>
      <w:r>
        <w:rPr>
          <w:rFonts w:ascii="Book Antiqua" w:hAnsi="Book Antiqua" w:eastAsia="Book Antiqua" w:cs="Book Antiqua"/>
          <w:b/>
          <w:bCs/>
          <w:color w:val="000000"/>
        </w:rPr>
        <w:t>Letsinger JA</w:t>
      </w:r>
      <w:r>
        <w:rPr>
          <w:rFonts w:ascii="Book Antiqua" w:hAnsi="Book Antiqua" w:eastAsia="Book Antiqua" w:cs="Book Antiqua"/>
          <w:color w:val="000000"/>
        </w:rPr>
        <w:t xml:space="preserve">, McCarty MA, Jorizzo JL. Complex aphthosis: a large case series with evaluation algorithm and therapeutic ladder from topicals to thalidomide. </w:t>
      </w:r>
      <w:r>
        <w:rPr>
          <w:rFonts w:ascii="Book Antiqua" w:hAnsi="Book Antiqua" w:eastAsia="Book Antiqua" w:cs="Book Antiqua"/>
          <w:i/>
          <w:iCs/>
          <w:color w:val="000000"/>
        </w:rPr>
        <w:t>J Am Acad Dermatol</w:t>
      </w:r>
      <w:r>
        <w:rPr>
          <w:rFonts w:ascii="Book Antiqua" w:hAnsi="Book Antiqua" w:eastAsia="Book Antiqua" w:cs="Book Antiqua"/>
          <w:color w:val="000000"/>
        </w:rPr>
        <w:t xml:space="preserve"> 2005; </w:t>
      </w:r>
      <w:r>
        <w:rPr>
          <w:rFonts w:ascii="Book Antiqua" w:hAnsi="Book Antiqua" w:eastAsia="Book Antiqua" w:cs="Book Antiqua"/>
          <w:b/>
          <w:bCs/>
          <w:color w:val="000000"/>
        </w:rPr>
        <w:t>52</w:t>
      </w:r>
      <w:r>
        <w:rPr>
          <w:rFonts w:ascii="Book Antiqua" w:hAnsi="Book Antiqua" w:eastAsia="Book Antiqua" w:cs="Book Antiqua"/>
          <w:color w:val="000000"/>
        </w:rPr>
        <w:t>: 500-508 [PMID: 15761429 DOI: 10.1016/j.jaad.2004.10.863]</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Yang C</w:t>
      </w:r>
      <w:r>
        <w:rPr>
          <w:rFonts w:ascii="Book Antiqua" w:hAnsi="Book Antiqua" w:eastAsia="Book Antiqua" w:cs="Book Antiqua"/>
          <w:color w:val="000000"/>
        </w:rPr>
        <w:t xml:space="preserve">, Singh P, Singh H, Le ML, El-Matary W. Systematic review: thalidomide and thalidomide analogues for treatment of inflammatory bowel disease. </w:t>
      </w:r>
      <w:r>
        <w:rPr>
          <w:rFonts w:ascii="Book Antiqua" w:hAnsi="Book Antiqua" w:eastAsia="Book Antiqua" w:cs="Book Antiqua"/>
          <w:i/>
          <w:iCs/>
          <w:color w:val="000000"/>
        </w:rPr>
        <w:t>Aliment Pharmacol Ther</w:t>
      </w:r>
      <w:r>
        <w:rPr>
          <w:rFonts w:ascii="Book Antiqua" w:hAnsi="Book Antiqua" w:eastAsia="Book Antiqua" w:cs="Book Antiqua"/>
          <w:color w:val="000000"/>
        </w:rPr>
        <w:t xml:space="preserve"> 2015; </w:t>
      </w:r>
      <w:r>
        <w:rPr>
          <w:rFonts w:ascii="Book Antiqua" w:hAnsi="Book Antiqua" w:eastAsia="Book Antiqua" w:cs="Book Antiqua"/>
          <w:b/>
          <w:bCs/>
          <w:color w:val="000000"/>
        </w:rPr>
        <w:t>41</w:t>
      </w:r>
      <w:r>
        <w:rPr>
          <w:rFonts w:ascii="Book Antiqua" w:hAnsi="Book Antiqua" w:eastAsia="Book Antiqua" w:cs="Book Antiqua"/>
          <w:color w:val="000000"/>
        </w:rPr>
        <w:t>: 1079-1093 [PMID: 25858208 DOI: 10.1111/apt.13181]</w:t>
      </w:r>
    </w:p>
    <w:p>
      <w:pPr>
        <w:adjustRightInd w:val="0"/>
        <w:snapToGrid w:val="0"/>
        <w:spacing w:line="360" w:lineRule="auto"/>
        <w:jc w:val="both"/>
        <w:rPr>
          <w:rFonts w:ascii="Book Antiqua" w:hAnsi="Book Antiqua"/>
        </w:rPr>
      </w:pPr>
      <w:r>
        <w:rPr>
          <w:rFonts w:ascii="Book Antiqua" w:hAnsi="Book Antiqua" w:eastAsia="宋体" w:cs="Book Antiqua"/>
          <w:color w:val="000000"/>
          <w:lang w:eastAsia="zh-CN"/>
        </w:rPr>
        <w:t>25</w:t>
      </w:r>
      <w:r>
        <w:rPr>
          <w:rFonts w:ascii="Book Antiqua" w:hAnsi="Book Antiqua" w:eastAsia="Book Antiqua" w:cs="Book Antiqua"/>
          <w:color w:val="000000"/>
        </w:rPr>
        <w:t xml:space="preserve"> </w:t>
      </w:r>
      <w:r>
        <w:rPr>
          <w:rFonts w:ascii="Book Antiqua" w:hAnsi="Book Antiqua" w:eastAsia="Book Antiqua" w:cs="Book Antiqua"/>
          <w:b/>
          <w:bCs/>
          <w:color w:val="000000"/>
        </w:rPr>
        <w:t>Martinek J</w:t>
      </w:r>
      <w:r>
        <w:rPr>
          <w:rFonts w:ascii="Book Antiqua" w:hAnsi="Book Antiqua" w:eastAsia="Book Antiqua" w:cs="Book Antiqua"/>
          <w:color w:val="000000"/>
        </w:rPr>
        <w:t xml:space="preserve">, Chvatalova T, Zavada F, Vankova P, Tuckova I, Zavoral M. A fulminant course of Cronkhite-Canada syndrome.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2010; </w:t>
      </w:r>
      <w:r>
        <w:rPr>
          <w:rFonts w:ascii="Book Antiqua" w:hAnsi="Book Antiqua" w:eastAsia="Book Antiqua" w:cs="Book Antiqua"/>
          <w:b/>
          <w:bCs/>
          <w:color w:val="000000"/>
        </w:rPr>
        <w:t>42 Suppl 2</w:t>
      </w:r>
      <w:r>
        <w:rPr>
          <w:rFonts w:ascii="Book Antiqua" w:hAnsi="Book Antiqua" w:eastAsia="Book Antiqua" w:cs="Book Antiqua"/>
          <w:color w:val="000000"/>
        </w:rPr>
        <w:t>: E350-E351 [PMID: 21170844 DOI: 10.1055/s-0030-1256003]</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宋体" w:cs="Book Antiqua"/>
          <w:color w:val="000000"/>
          <w:lang w:eastAsia="zh-CN"/>
        </w:rPr>
        <w:t>26</w:t>
      </w:r>
      <w:r>
        <w:rPr>
          <w:rFonts w:ascii="Book Antiqua" w:hAnsi="Book Antiqua" w:eastAsia="Book Antiqua" w:cs="Book Antiqua"/>
          <w:color w:val="000000"/>
        </w:rPr>
        <w:t xml:space="preserve"> </w:t>
      </w:r>
      <w:r>
        <w:rPr>
          <w:rFonts w:ascii="Book Antiqua" w:hAnsi="Book Antiqua" w:eastAsia="Book Antiqua" w:cs="Book Antiqua"/>
          <w:b/>
          <w:bCs/>
          <w:color w:val="000000"/>
        </w:rPr>
        <w:t>Sweetser S</w:t>
      </w:r>
      <w:r>
        <w:rPr>
          <w:rFonts w:ascii="Book Antiqua" w:hAnsi="Book Antiqua" w:eastAsia="Book Antiqua" w:cs="Book Antiqua"/>
          <w:color w:val="000000"/>
        </w:rPr>
        <w:t xml:space="preserve">, Ahlquist DA, Osborn NK, Sanderson SO, Smyrk TC, Chari ST, Boardman LA. Clinicopathologic features and treatment outcomes in Cronkhite-Canada syndrome: support for autoimmunity. </w:t>
      </w:r>
      <w:r>
        <w:rPr>
          <w:rFonts w:ascii="Book Antiqua" w:hAnsi="Book Antiqua" w:eastAsia="Book Antiqua" w:cs="Book Antiqua"/>
          <w:i/>
          <w:iCs/>
          <w:color w:val="000000"/>
        </w:rPr>
        <w:t>Dig Dis Sci</w:t>
      </w:r>
      <w:r>
        <w:rPr>
          <w:rFonts w:ascii="Book Antiqua" w:hAnsi="Book Antiqua" w:eastAsia="Book Antiqua" w:cs="Book Antiqua"/>
          <w:color w:val="000000"/>
        </w:rPr>
        <w:t xml:space="preserve"> 2012; </w:t>
      </w:r>
      <w:r>
        <w:rPr>
          <w:rFonts w:ascii="Book Antiqua" w:hAnsi="Book Antiqua" w:eastAsia="Book Antiqua" w:cs="Book Antiqua"/>
          <w:b/>
          <w:bCs/>
          <w:color w:val="000000"/>
        </w:rPr>
        <w:t>57</w:t>
      </w:r>
      <w:r>
        <w:rPr>
          <w:rFonts w:ascii="Book Antiqua" w:hAnsi="Book Antiqua" w:eastAsia="Book Antiqua" w:cs="Book Antiqua"/>
          <w:color w:val="000000"/>
        </w:rPr>
        <w:t>: 496-502 [PMID: 21881972 DOI: 10.1007/s10620-011-1874-9]</w:t>
      </w:r>
    </w:p>
    <w:p>
      <w:pPr>
        <w:rPr>
          <w:rFonts w:ascii="Book Antiqua" w:hAnsi="Book Antiqua" w:eastAsia="Book Antiqua" w:cs="Book Antiqua"/>
          <w:color w:val="000000"/>
        </w:rPr>
      </w:pPr>
      <w:r>
        <w:rPr>
          <w:rFonts w:ascii="Book Antiqua" w:hAnsi="Book Antiqua" w:eastAsia="Book Antiqua" w:cs="Book Antiqua"/>
          <w:color w:val="000000"/>
        </w:rPr>
        <w:br w:type="page"/>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Footnotes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A written informed consent was obtained from the patient for publication of this case report.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eastAsia="Book Antiqua" w:cs="Book Antiqua"/>
          <w:color w:val="000000"/>
          <w:lang w:eastAsia="zh-CN"/>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w:t>
      </w:r>
      <w:r>
        <w:rPr>
          <w:rFonts w:ascii="Book Antiqua" w:hAnsi="Book Antiqua" w:eastAsia="Book Antiqua" w:cs="Book Antiqua"/>
          <w:color w:val="000000"/>
          <w:lang w:eastAsia="zh-CN"/>
        </w:rPr>
        <w:t>he authors have nothing to disclose.</w:t>
      </w:r>
    </w:p>
    <w:p>
      <w:pPr>
        <w:adjustRightInd w:val="0"/>
        <w:snapToGrid w:val="0"/>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July 9, 2022</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August 1, 2022</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August 24, 2022</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A (Excellent):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B (Very good):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C (Good): C, C</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D (Fair):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E (Poor): 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Lin MS, Taiwan; Mirazimi SMA, Iran</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Wang DM</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Wang DM</w:t>
      </w:r>
    </w:p>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br w:type="page"/>
      </w:r>
    </w:p>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adjustRightInd w:val="0"/>
        <w:snapToGrid w:val="0"/>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760720" cy="1883410"/>
            <wp:effectExtent l="0" t="0" r="0" b="6350"/>
            <wp:docPr id="4" name="图片 4" descr="WJCC-10-1036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0366-g001"/>
                    <pic:cNvPicPr>
                      <a:picLocks noChangeAspect="1"/>
                    </pic:cNvPicPr>
                  </pic:nvPicPr>
                  <pic:blipFill>
                    <a:blip r:embed="rId5"/>
                    <a:stretch>
                      <a:fillRect/>
                    </a:stretch>
                  </pic:blipFill>
                  <pic:spPr>
                    <a:xfrm>
                      <a:off x="0" y="0"/>
                      <a:ext cx="5760720" cy="1883410"/>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bCs/>
          <w:color w:val="000000"/>
        </w:rPr>
      </w:pPr>
      <w:r>
        <w:rPr>
          <w:rFonts w:ascii="Book Antiqua" w:hAnsi="Book Antiqua" w:eastAsia="Book Antiqua" w:cs="Book Antiqua"/>
          <w:b/>
          <w:bCs/>
          <w:color w:val="000000"/>
        </w:rPr>
        <w:t xml:space="preserve">Figure 1 Physical examination (March 16, 2020) revealed hyperpigmentation and nail atrophy in the patients. </w:t>
      </w:r>
      <w:r>
        <w:rPr>
          <w:rFonts w:ascii="Book Antiqua" w:hAnsi="Book Antiqua" w:eastAsia="Book Antiqua" w:cs="Book Antiqua"/>
          <w:bCs/>
          <w:color w:val="000000"/>
        </w:rPr>
        <w:t>A: Lips and skin; B: Skin and fingernails; C: Skin and toenails.</w:t>
      </w:r>
    </w:p>
    <w:p>
      <w:pPr>
        <w:adjustRightInd w:val="0"/>
        <w:snapToGrid w:val="0"/>
        <w:spacing w:line="360" w:lineRule="auto"/>
        <w:jc w:val="both"/>
        <w:rPr>
          <w:rFonts w:ascii="Book Antiqua" w:hAnsi="Book Antiqua" w:eastAsia="Book Antiqua" w:cs="Book Antiqua"/>
          <w:bCs/>
          <w:color w:val="000000"/>
        </w:rPr>
      </w:pPr>
      <w:r>
        <w:rPr>
          <w:rFonts w:ascii="Book Antiqua" w:hAnsi="Book Antiqua" w:eastAsia="Book Antiqua" w:cs="Book Antiqua"/>
          <w:bCs/>
          <w:color w:val="000000"/>
        </w:rPr>
        <w:br w:type="page"/>
      </w:r>
    </w:p>
    <w:p>
      <w:pPr>
        <w:adjustRightInd w:val="0"/>
        <w:snapToGrid w:val="0"/>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760720" cy="3666490"/>
            <wp:effectExtent l="0" t="0" r="0" b="6350"/>
            <wp:docPr id="7" name="图片 7" descr="WJCC-10-1036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10366-g002"/>
                    <pic:cNvPicPr>
                      <a:picLocks noChangeAspect="1"/>
                    </pic:cNvPicPr>
                  </pic:nvPicPr>
                  <pic:blipFill>
                    <a:blip r:embed="rId6"/>
                    <a:stretch>
                      <a:fillRect/>
                    </a:stretch>
                  </pic:blipFill>
                  <pic:spPr>
                    <a:xfrm>
                      <a:off x="0" y="0"/>
                      <a:ext cx="5760720" cy="3666490"/>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2 Diffuse polypoid protrusion and congested surface mucosa and lower gastrointestinal endoscopy (March 30, 2020). Congestion of the whole colonic mucosa with edema, erosion, granular bulge, and partially nodular characteristics. </w:t>
      </w:r>
      <w:r>
        <w:rPr>
          <w:rFonts w:ascii="Book Antiqua" w:hAnsi="Book Antiqua" w:eastAsia="Book Antiqua" w:cs="Book Antiqua"/>
          <w:color w:val="000000"/>
        </w:rPr>
        <w:t>A: Gastric antrum; B: Gastric body; C: Duodenum; D: Ileocecum; E: Ascending colon; F: Transverse colon.</w:t>
      </w:r>
    </w:p>
    <w:p>
      <w:pPr>
        <w:adjustRightInd w:val="0"/>
        <w:snapToGrid w:val="0"/>
        <w:spacing w:line="360" w:lineRule="auto"/>
        <w:jc w:val="both"/>
        <w:rPr>
          <w:rFonts w:ascii="Book Antiqua" w:hAnsi="Book Antiqua" w:eastAsia="Book Antiqua" w:cs="Book Antiqua"/>
          <w:bCs/>
          <w:color w:val="000000"/>
        </w:rPr>
      </w:pPr>
      <w:r>
        <w:rPr>
          <w:rFonts w:ascii="Book Antiqua" w:hAnsi="Book Antiqua" w:eastAsia="Book Antiqua" w:cs="Book Antiqua"/>
          <w:bCs/>
          <w:color w:val="000000"/>
        </w:rPr>
        <w:br w:type="page"/>
      </w:r>
    </w:p>
    <w:p>
      <w:pPr>
        <w:adjustRightInd w:val="0"/>
        <w:snapToGrid w:val="0"/>
        <w:spacing w:line="360" w:lineRule="auto"/>
        <w:jc w:val="both"/>
        <w:rPr>
          <w:rFonts w:hint="eastAsia" w:ascii="Book Antiqua" w:hAnsi="Book Antiqua" w:eastAsia="宋体"/>
          <w:b/>
          <w:bCs/>
          <w:lang w:eastAsia="zh-CN"/>
        </w:rPr>
      </w:pPr>
      <w:r>
        <w:rPr>
          <w:rFonts w:hint="eastAsia" w:ascii="Book Antiqua" w:hAnsi="Book Antiqua" w:eastAsia="宋体"/>
          <w:b/>
          <w:bCs/>
          <w:lang w:eastAsia="zh-CN"/>
        </w:rPr>
        <w:drawing>
          <wp:inline distT="0" distB="0" distL="114300" distR="114300">
            <wp:extent cx="5760720" cy="1880870"/>
            <wp:effectExtent l="0" t="0" r="0" b="8890"/>
            <wp:docPr id="8" name="图片 8" descr="WJCC-10-1036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10366-g003"/>
                    <pic:cNvPicPr>
                      <a:picLocks noChangeAspect="1"/>
                    </pic:cNvPicPr>
                  </pic:nvPicPr>
                  <pic:blipFill>
                    <a:blip r:embed="rId7"/>
                    <a:stretch>
                      <a:fillRect/>
                    </a:stretch>
                  </pic:blipFill>
                  <pic:spPr>
                    <a:xfrm>
                      <a:off x="0" y="0"/>
                      <a:ext cx="5760720" cy="1880870"/>
                    </a:xfrm>
                    <a:prstGeom prst="rect">
                      <a:avLst/>
                    </a:prstGeom>
                  </pic:spPr>
                </pic:pic>
              </a:graphicData>
            </a:graphic>
          </wp:inline>
        </w:drawing>
      </w:r>
    </w:p>
    <w:p>
      <w:pPr>
        <w:adjustRightInd w:val="0"/>
        <w:snapToGrid w:val="0"/>
        <w:spacing w:line="360" w:lineRule="auto"/>
        <w:jc w:val="both"/>
        <w:rPr>
          <w:rFonts w:ascii="Book Antiqua" w:hAnsi="Book Antiqua"/>
        </w:rPr>
      </w:pPr>
      <w:r>
        <w:rPr>
          <w:rFonts w:ascii="Book Antiqua" w:hAnsi="Book Antiqua"/>
          <w:b/>
          <w:bCs/>
        </w:rPr>
        <w:t xml:space="preserve">Figure 3 Histopathological examination of lesions in the colon visualized by hematoxylin-eosin staining (March 30, 2020). The disease tests of polyps revealed hyperplastic and juvenile polyps. </w:t>
      </w:r>
      <w:r>
        <w:rPr>
          <w:rFonts w:ascii="Book Antiqua" w:hAnsi="Book Antiqua"/>
        </w:rPr>
        <w:t>A: Terminal ileum; B: Transverse colon; C: Ectum. (A-C: Hematoxylin-eosin staining × 100).</w:t>
      </w:r>
    </w:p>
    <w:p>
      <w:pPr>
        <w:adjustRightInd w:val="0"/>
        <w:snapToGrid w:val="0"/>
        <w:spacing w:line="360" w:lineRule="auto"/>
        <w:jc w:val="both"/>
        <w:rPr>
          <w:rFonts w:ascii="Book Antiqua" w:hAnsi="Book Antiqua"/>
        </w:rPr>
      </w:pPr>
      <w:r>
        <w:rPr>
          <w:rFonts w:ascii="Book Antiqua" w:hAnsi="Book Antiqua"/>
        </w:rPr>
        <w:br w:type="page"/>
      </w:r>
    </w:p>
    <w:p>
      <w:pPr>
        <w:adjustRightInd w:val="0"/>
        <w:snapToGrid w:val="0"/>
        <w:spacing w:line="360" w:lineRule="auto"/>
        <w:jc w:val="both"/>
        <w:rPr>
          <w:rFonts w:hint="eastAsia" w:ascii="Book Antiqua" w:hAnsi="Book Antiqua" w:eastAsia="宋体"/>
          <w:b/>
          <w:bCs/>
          <w:lang w:eastAsia="zh-CN"/>
        </w:rPr>
      </w:pPr>
      <w:r>
        <w:rPr>
          <w:rFonts w:hint="eastAsia" w:ascii="Book Antiqua" w:hAnsi="Book Antiqua" w:eastAsia="宋体"/>
          <w:b/>
          <w:bCs/>
          <w:lang w:eastAsia="zh-CN"/>
        </w:rPr>
        <w:drawing>
          <wp:inline distT="0" distB="0" distL="114300" distR="114300">
            <wp:extent cx="3965575" cy="3767455"/>
            <wp:effectExtent l="0" t="0" r="12065" b="12065"/>
            <wp:docPr id="9" name="图片 9" descr="WJCC-10-10366-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10366-g004"/>
                    <pic:cNvPicPr>
                      <a:picLocks noChangeAspect="1"/>
                    </pic:cNvPicPr>
                  </pic:nvPicPr>
                  <pic:blipFill>
                    <a:blip r:embed="rId8"/>
                    <a:stretch>
                      <a:fillRect/>
                    </a:stretch>
                  </pic:blipFill>
                  <pic:spPr>
                    <a:xfrm>
                      <a:off x="0" y="0"/>
                      <a:ext cx="3965575" cy="3767455"/>
                    </a:xfrm>
                    <a:prstGeom prst="rect">
                      <a:avLst/>
                    </a:prstGeom>
                  </pic:spPr>
                </pic:pic>
              </a:graphicData>
            </a:graphic>
          </wp:inline>
        </w:drawing>
      </w:r>
    </w:p>
    <w:p>
      <w:pPr>
        <w:adjustRightInd w:val="0"/>
        <w:snapToGrid w:val="0"/>
        <w:spacing w:line="360" w:lineRule="auto"/>
        <w:jc w:val="both"/>
        <w:rPr>
          <w:rFonts w:ascii="Book Antiqua" w:hAnsi="Book Antiqua"/>
        </w:rPr>
      </w:pPr>
      <w:r>
        <w:rPr>
          <w:rFonts w:ascii="Book Antiqua" w:hAnsi="Book Antiqua"/>
          <w:b/>
          <w:bCs/>
        </w:rPr>
        <w:t xml:space="preserve">Figure 4 Physical examination identified that the pigmentation had subsided, and the nail growth was nearly normal. </w:t>
      </w:r>
      <w:r>
        <w:rPr>
          <w:rFonts w:ascii="Book Antiqua" w:hAnsi="Book Antiqua"/>
        </w:rPr>
        <w:t>A: Lips and skin (July 1, 2020); B: Skin and fingernails (July 1, 2020); C: Lips and skin (October 28, 2020); D: Fingernails (October 28, 2020).</w:t>
      </w:r>
    </w:p>
    <w:p>
      <w:pPr>
        <w:adjustRightInd w:val="0"/>
        <w:snapToGrid w:val="0"/>
        <w:spacing w:line="360" w:lineRule="auto"/>
        <w:jc w:val="both"/>
        <w:rPr>
          <w:rFonts w:ascii="Book Antiqua" w:hAnsi="Book Antiqua"/>
        </w:rPr>
      </w:pPr>
      <w:r>
        <w:rPr>
          <w:rFonts w:ascii="Book Antiqua" w:hAnsi="Book Antiqua"/>
        </w:rPr>
        <w:br w:type="page"/>
      </w:r>
    </w:p>
    <w:p>
      <w:pPr>
        <w:adjustRightInd w:val="0"/>
        <w:snapToGrid w:val="0"/>
        <w:spacing w:line="360" w:lineRule="auto"/>
        <w:jc w:val="both"/>
        <w:rPr>
          <w:rFonts w:hint="eastAsia" w:ascii="Book Antiqua" w:hAnsi="Book Antiqua" w:eastAsia="宋体"/>
          <w:b/>
          <w:bCs/>
          <w:lang w:eastAsia="zh-CN"/>
        </w:rPr>
      </w:pPr>
      <w:r>
        <w:rPr>
          <w:rFonts w:hint="eastAsia" w:ascii="Book Antiqua" w:hAnsi="Book Antiqua" w:eastAsia="宋体"/>
          <w:b/>
          <w:bCs/>
          <w:lang w:eastAsia="zh-CN"/>
        </w:rPr>
        <w:drawing>
          <wp:inline distT="0" distB="0" distL="114300" distR="114300">
            <wp:extent cx="5760720" cy="3666490"/>
            <wp:effectExtent l="0" t="0" r="0" b="6350"/>
            <wp:docPr id="10" name="图片 10" descr="WJCC-10-10366-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10366-g005"/>
                    <pic:cNvPicPr>
                      <a:picLocks noChangeAspect="1"/>
                    </pic:cNvPicPr>
                  </pic:nvPicPr>
                  <pic:blipFill>
                    <a:blip r:embed="rId9"/>
                    <a:stretch>
                      <a:fillRect/>
                    </a:stretch>
                  </pic:blipFill>
                  <pic:spPr>
                    <a:xfrm>
                      <a:off x="0" y="0"/>
                      <a:ext cx="5760720" cy="3666490"/>
                    </a:xfrm>
                    <a:prstGeom prst="rect">
                      <a:avLst/>
                    </a:prstGeom>
                  </pic:spPr>
                </pic:pic>
              </a:graphicData>
            </a:graphic>
          </wp:inline>
        </w:drawing>
      </w:r>
    </w:p>
    <w:p>
      <w:pPr>
        <w:adjustRightInd w:val="0"/>
        <w:snapToGrid w:val="0"/>
        <w:spacing w:line="360" w:lineRule="auto"/>
        <w:jc w:val="both"/>
        <w:rPr>
          <w:rFonts w:ascii="Book Antiqua" w:hAnsi="Book Antiqua"/>
        </w:rPr>
      </w:pPr>
      <w:r>
        <w:rPr>
          <w:rFonts w:ascii="Book Antiqua" w:hAnsi="Book Antiqua"/>
          <w:b/>
          <w:bCs/>
        </w:rPr>
        <w:t xml:space="preserve">Figure 5 Upper gastrointestinal endoscopy. The mucosal polypoid protrusion was significantly improved (July 1, 2020). Presence of mucosal congestion and edema (October 28, 2020). </w:t>
      </w:r>
      <w:r>
        <w:rPr>
          <w:rFonts w:ascii="Book Antiqua" w:hAnsi="Book Antiqua"/>
        </w:rPr>
        <w:t>A: Gastric antrum (July 1, 2020); B: Gastric body (July 1, 2020); C: Duodenum (July 1, 2020); D: Gastric antrum (October 28, 2020); E: Gastric body (October 28, 2020); F: Duodenum (October 28, 2020).</w:t>
      </w:r>
    </w:p>
    <w:p>
      <w:pPr>
        <w:adjustRightInd w:val="0"/>
        <w:snapToGrid w:val="0"/>
        <w:spacing w:line="360" w:lineRule="auto"/>
        <w:jc w:val="both"/>
        <w:rPr>
          <w:rFonts w:ascii="Book Antiqua" w:hAnsi="Book Antiqua"/>
        </w:rPr>
      </w:pPr>
      <w:r>
        <w:rPr>
          <w:rFonts w:ascii="Book Antiqua" w:hAnsi="Book Antiqua"/>
        </w:rPr>
        <w:br w:type="page"/>
      </w:r>
    </w:p>
    <w:p>
      <w:pPr>
        <w:adjustRightInd w:val="0"/>
        <w:snapToGrid w:val="0"/>
        <w:spacing w:line="360" w:lineRule="auto"/>
        <w:jc w:val="both"/>
        <w:rPr>
          <w:rFonts w:hint="eastAsia" w:ascii="Book Antiqua" w:hAnsi="Book Antiqua" w:eastAsia="宋体"/>
          <w:lang w:eastAsia="zh-CN"/>
        </w:rPr>
      </w:pPr>
      <w:bookmarkStart w:id="1" w:name="_GoBack"/>
      <w:r>
        <w:rPr>
          <w:rFonts w:hint="eastAsia" w:ascii="Book Antiqua" w:hAnsi="Book Antiqua" w:eastAsia="宋体"/>
          <w:lang w:eastAsia="zh-CN"/>
        </w:rPr>
        <w:drawing>
          <wp:inline distT="0" distB="0" distL="114300" distR="114300">
            <wp:extent cx="5308600" cy="6732905"/>
            <wp:effectExtent l="0" t="0" r="10160" b="3175"/>
            <wp:docPr id="11" name="图片 11" descr="WJCC-10-10366-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10-10366-g006"/>
                    <pic:cNvPicPr>
                      <a:picLocks noChangeAspect="1"/>
                    </pic:cNvPicPr>
                  </pic:nvPicPr>
                  <pic:blipFill>
                    <a:blip r:embed="rId10"/>
                    <a:stretch>
                      <a:fillRect/>
                    </a:stretch>
                  </pic:blipFill>
                  <pic:spPr>
                    <a:xfrm>
                      <a:off x="0" y="0"/>
                      <a:ext cx="5308600" cy="6732905"/>
                    </a:xfrm>
                    <a:prstGeom prst="rect">
                      <a:avLst/>
                    </a:prstGeom>
                  </pic:spPr>
                </pic:pic>
              </a:graphicData>
            </a:graphic>
          </wp:inline>
        </w:drawing>
      </w:r>
      <w:bookmarkEnd w:id="1"/>
    </w:p>
    <w:p>
      <w:pPr>
        <w:adjustRightInd w:val="0"/>
        <w:snapToGrid w:val="0"/>
        <w:spacing w:line="360" w:lineRule="auto"/>
        <w:jc w:val="both"/>
        <w:rPr>
          <w:rFonts w:ascii="Book Antiqua" w:hAnsi="Book Antiqua"/>
        </w:rPr>
      </w:pPr>
      <w:r>
        <w:rPr>
          <w:rFonts w:ascii="Book Antiqua" w:hAnsi="Book Antiqua"/>
          <w:b/>
          <w:bCs/>
        </w:rPr>
        <w:t>Figure 6 Lower gastrointestinal endoscopy. The mucosal polypoid protrusion was significantly improved (July 1, 2020).</w:t>
      </w:r>
      <w:r>
        <w:rPr>
          <w:rFonts w:ascii="Book Antiqua" w:hAnsi="Book Antiqua"/>
        </w:rPr>
        <w:t xml:space="preserve"> </w:t>
      </w:r>
      <w:r>
        <w:rPr>
          <w:rFonts w:ascii="Book Antiqua" w:hAnsi="Book Antiqua"/>
          <w:b/>
          <w:bCs/>
        </w:rPr>
        <w:t xml:space="preserve">More than 10 polyps of different sizes and shapes with a diameter of about 0.3-1.0 cm can be seen throughout the large intestine (October 28, 2020 and June 8, 2021). </w:t>
      </w:r>
      <w:r>
        <w:rPr>
          <w:rFonts w:ascii="Book Antiqua" w:hAnsi="Book Antiqua"/>
        </w:rPr>
        <w:t>A: Ileocecum (July 1, 2020); B: Ascending colon (July 1, 2020); C: Transverse colon (July 1, 2020); D-F: October 28, 2020; G-I: June 8, 2021; J: Hepatic flexure polyp (January 14, 2021); K: Descending colon polyps (January 14, 2021); L: Sigmoid colon polyps (January 14, 2021).</w:t>
      </w:r>
    </w:p>
    <w:p>
      <w:pPr>
        <w:adjustRightInd w:val="0"/>
        <w:snapToGrid w:val="0"/>
        <w:spacing w:line="360" w:lineRule="auto"/>
        <w:jc w:val="both"/>
        <w:rPr>
          <w:rFonts w:ascii="Book Antiqua" w:hAnsi="Book Antiqua" w:eastAsia="宋体"/>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eastAsia="宋体"/>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 Antiqua" w:hAnsi="Book Antiqua"/>
        <w:sz w:val="24"/>
        <w:szCs w:val="24"/>
      </w:rPr>
      <w:id w:val="1504700332"/>
    </w:sdtPr>
    <w:sdtEndPr>
      <w:rPr>
        <w:rFonts w:ascii="Book Antiqua" w:hAnsi="Book Antiqua"/>
        <w:sz w:val="24"/>
        <w:szCs w:val="24"/>
      </w:rPr>
    </w:sdtEndPr>
    <w:sdtContent>
      <w:sdt>
        <w:sdtPr>
          <w:rPr>
            <w:rFonts w:ascii="Book Antiqua" w:hAnsi="Book Antiqua"/>
            <w:sz w:val="24"/>
            <w:szCs w:val="24"/>
          </w:rPr>
          <w:id w:val="-1769616900"/>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 w:name="NE.Ref{01E6DDBA-A4AF-4BDA-ACB2-F9B0C0A7C6CD}" w:val=" ADDIN NE.Ref.{01E6DDBA-A4AF-4BDA-ACB2-F9B0C0A7C6CD}&lt;Citation&gt;&lt;Group&gt;&lt;References&gt;&lt;Item&gt;&lt;ID&gt;583&lt;/ID&gt;&lt;UID&gt;{3B6F4A4A-021E-4EC8-A6C4-6C220E3D18F6}&lt;/UID&gt;&lt;Title&gt;Cutaneous Rosai-Dorfman disease: remission with thalidomide treatment&lt;/Title&gt;&lt;Template&gt;Journal Article&lt;/Template&gt;&lt;Star&gt;0&lt;/Star&gt;&lt;Tag&gt;0&lt;/Tag&gt;&lt;Author&gt;Tjiu, J W; Hsiao, C H; Tsai, T F&lt;/Author&gt;&lt;Year&gt;2003&lt;/Year&gt;&lt;Details&gt;&lt;_accession_num&gt;12786846&lt;/_accession_num&gt;&lt;_date_display&gt;2003 May&lt;/_date_display&gt;&lt;_date&gt;2003-05-01&lt;/_date&gt;&lt;_doi&gt;10.1046/j.1365-2133.2003.05311.x&lt;/_doi&gt;&lt;_isbn&gt;0007-0963 (Print); 0007-0963 (Linking)&lt;/_isbn&gt;&lt;_issue&gt;5&lt;/_issue&gt;&lt;_journal&gt;Br J Dermatol&lt;/_journal&gt;&lt;_language&gt;eng&lt;/_language&gt;&lt;_pages&gt;1060-1&lt;/_pages&gt;&lt;_subject_headings&gt;Facial Dermatoses/*drug therapy/pathology; Female; Histiocytosis, Sinus/*drug therapy/pathology; Humans; Immunosuppressive Agents/*therapeutic use; Middle Aged; Thalidomide/*therapeutic use&lt;/_subject_headings&gt;&lt;_tertiary_title&gt;The British journal of dermatology&lt;/_tertiary_title&gt;&lt;_type_work&gt;Case Reports; Letter; Review&lt;/_type_work&gt;&lt;_url&gt;http://www.ncbi.nlm.nih.gov/entrez/query.fcgi?cmd=Retrieve&amp;amp;db=pubmed&amp;amp;dopt=Abstract&amp;amp;list_uids=12786846&amp;amp;query_hl=1&lt;/_url&gt;&lt;_volume&gt;148&lt;/_volume&gt;&lt;_created&gt;64499669&lt;/_created&gt;&lt;_modified&gt;64499670&lt;/_modified&gt;&lt;_db_updated&gt;PubMed&lt;/_db_updated&gt;&lt;_impact_factor&gt;   9.302&lt;/_impact_factor&gt;&lt;/Details&gt;&lt;Extra&gt;&lt;DBUID&gt;{F96A950B-833F-4880-A151-76DA2D6A2879}&lt;/DBUID&gt;&lt;/Extra&gt;&lt;/Item&gt;&lt;/References&gt;&lt;/Group&gt;&lt;/Citation&gt;_x000a_"/>
    <w:docVar w:name="NE.Ref{0D4AAAA4-D12B-42F7-8E36-656F6A646EDC}" w:val=" ADDIN NE.Ref.{0D4AAAA4-D12B-42F7-8E36-656F6A646EDC}&lt;Citation&gt;&lt;Group&gt;&lt;References&gt;&lt;Item&gt;&lt;ID&gt;580&lt;/ID&gt;&lt;UID&gt;{C7AC2EBB-FFED-4ED9-A3A6-D48FE145AF7E}&lt;/UID&gt;&lt;Title&gt;Successful treatment of Cronkhite-Canada syndrome using anti-tumor necrosis factor antibody therapy&lt;/Title&gt;&lt;Template&gt;Journal Article&lt;/Template&gt;&lt;Star&gt;0&lt;/Star&gt;&lt;Tag&gt;0&lt;/Tag&gt;&lt;Author&gt;Watanabe, D; Ooi, M; Hoshi, N; Kohashi, M; Yoshie, T; Ikehara, N; Yoshida, M; Yanagita, E; Yamasaki, T; Itoh, T; Azuma, T&lt;/Author&gt;&lt;Year&gt;2014&lt;/Year&gt;&lt;Details&gt;&lt;_accession_num&gt;25314205&lt;/_accession_num&gt;&lt;_author_adr&gt;Division of Gastroenterology, Department of Internal Medicine, Kobe University Graduate School of Medicine, Kobe,Japan.; Division of Gastroenterology, Department of Internal Medicine, Kobe University Graduate School of Medicine, Kobe,Japan.; Division of Gastroenterology, Department of Internal Medicine, Kobe University Graduate School of Medicine, Kobe,Japan.; Division of Gastroenterology, Department of Internal Medicine, Kobe University Graduate School of Medicine, Kobe,Japan.; Division of Gastroenterology, Department of Internal Medicine, Kobe University Graduate School of Medicine, Kobe,Japan.; Division of Gastroenterology, Department of Internal Medicine, Kobe University Graduate School of Medicine, Kobe,Japan.; Division of Metabolomics Research, Department of Internal Medicine, Kobe University Graduate School of Medicine, Kobe, Japan.; Division of Diagnostic Pathology, Department of Pathology, Kobe University Graduate School of Medicine, Kobe, Japan.; Division of Diagnostic Pathology, Department of Pathology, Kobe University Graduate School of Medicine, Kobe, Japan.; Division of Diagnostic Pathology, Department of Pathology, Kobe University Graduate School of Medicine, Kobe, Japan.; Division of Gastroenterology, Department of Internal Medicine, Kobe University Graduate School of Medicine, Kobe,Japan.&lt;/_author_adr&gt;&lt;_date_display&gt;2014&lt;/_date_display&gt;&lt;_date&gt;2014-01-20&lt;/_date&gt;&lt;_doi&gt;10.1055/s-0034-1377539&lt;/_doi&gt;&lt;_isbn&gt;1438-8812 (Electronic); 0013-726X (Linking)&lt;/_isbn&gt;&lt;_journal&gt;Endoscopy&lt;/_journal&gt;&lt;_language&gt;eng&lt;/_language&gt;&lt;_pages&gt;E476-7&lt;/_pages&gt;&lt;_subject_headings&gt;Antibodies, Monoclonal/*therapeutic use; Gastrointestinal Agents/*therapeutic use; Humans; Infliximab; Intestinal Polyposis/*drug therapy; Male; Middle Aged; Treatment Outcome&lt;/_subject_headings&gt;&lt;_tertiary_title&gt;Endoscopy&lt;/_tertiary_title&gt;&lt;_type_work&gt;Case Reports; Journal Article&lt;/_type_work&gt;&lt;_url&gt;http://www.ncbi.nlm.nih.gov/entrez/query.fcgi?cmd=Retrieve&amp;amp;db=pubmed&amp;amp;dopt=Abstract&amp;amp;list_uids=25314205&amp;amp;query_hl=1&lt;/_url&gt;&lt;_volume&gt;46 Suppl 1 UCTN&lt;/_volume&gt;&lt;_created&gt;64499668&lt;/_created&gt;&lt;_modified&gt;64499668&lt;/_modified&gt;&lt;_db_updated&gt;PubMed&lt;/_db_updated&gt;&lt;_impact_factor&gt;  10.093&lt;/_impact_factor&gt;&lt;_collection_scope&gt;SCI;SCIE&lt;/_collection_scope&gt;&lt;/Details&gt;&lt;Extra&gt;&lt;DBUID&gt;{F96A950B-833F-4880-A151-76DA2D6A2879}&lt;/DBUID&gt;&lt;/Extra&gt;&lt;/Item&gt;&lt;/References&gt;&lt;/Group&gt;&lt;/Citation&gt;_x000a_"/>
    <w:docVar w:name="NE.Ref{163F0649-95C1-4B7D-AB32-10435EDF6F46}" w:val=" ADDIN NE.Ref.{163F0649-95C1-4B7D-AB32-10435EDF6F46}&lt;Citation&gt;&lt;Group&gt;&lt;References&gt;&lt;Item&gt;&lt;ID&gt;582&lt;/ID&gt;&lt;UID&gt;{1753A329-7FA1-41D5-AEFD-8ACE742366E9}&lt;/UID&gt;&lt;Title&gt;The Long-Term Clinical and Endoscopic Outcomes of Cronkhite-Canada Syndrome&lt;/Title&gt;&lt;Template&gt;Journal Article&lt;/Template&gt;&lt;Star&gt;0&lt;/Star&gt;&lt;Tag&gt;0&lt;/Tag&gt;&lt;Author&gt;Liu, S; You, Y; Ruan, G; Zhou, L; Chen, D; Wu, D; Yan, X; Zhang, S; Zhou, W; Li, J; Qian, J&lt;/Author&gt;&lt;Year&gt;2020&lt;/Year&gt;&lt;Details&gt;&lt;_accession_num&gt;32352683&lt;/_accession_num&gt;&lt;_author_adr&gt;Department of Gastroenterology, Chinese Academy of Medical Sciences, Peking Union Medical College Hospital, Beijing, China.; Department of Pathology, Chinese Academy of Medical Sciences, Peking Union Medical College Hospital, Beijing, China.; Department of Gastroenterology, Chinese Academy of Medical Sciences, Peking Union Medical College Hospital, Beijing, China.; Department of Pathology, Chinese Academy of Medical Sciences, Peking Union Medical College Hospital, Beijing, China.; Department of Gastroenterology, Chinese Academy of Medical Sciences, Peking Union Medical College Hospital, Beijing, China.; Department of Gastroenterology, Chinese Academy of Medical Sciences, Peking Union Medical College Hospital, Beijing, China.; Department of Gastroenterology, Chinese Academy of Medical Sciences, Peking Union Medical College Hospital, Beijing, China.; Department of Gastroenterology, Chinese Academy of Medical Sciences, Peking Union Medical College Hospital, Beijing, China.; Department of Pathology, Chinese Academy of Medical Sciences, Peking Union Medical College Hospital, Beijing, China.; Department of Gastroenterology, Chinese Academy of Medical Sciences, Peking Union Medical College Hospital, Beijing, China.; Department of Gastroenterology, Chinese Academy of Medical Sciences, Peking Union Medical College Hospital, Beijing, China.&lt;/_author_adr&gt;&lt;_date_display&gt;2020 Apr&lt;/_date_display&gt;&lt;_date&gt;2020-04-01&lt;/_date&gt;&lt;_doi&gt;10.14309/ctg.0000000000000167&lt;/_doi&gt;&lt;_isbn&gt;2155-384X (Electronic); 2155-384X (Linking)&lt;/_isbn&gt;&lt;_issue&gt;4&lt;/_issue&gt;&lt;_journal&gt;Clin Transl Gastroenterol&lt;/_journal&gt;&lt;_language&gt;eng&lt;/_language&gt;&lt;_pages&gt;e00167&lt;/_pages&gt;&lt;_subject_headings&gt;Adenomatous Polyps/diagnosis/drug therapy/*mortality/pathology; Age Factors; Colon/diagnostic imaging/pathology; Colonoscopy/*statistics &amp;amp; numerical data; Disease-Free Survival; Female; Follow-Up Studies; Gastric Mucosa/diagnostic imaging/pathology; Gastroscopy/*statistics &amp;amp; numerical data; Glucocorticoids/*therapeutic use; Humans; Intestinal Mucosa/diagnostic imaging/pathology; Intestinal Polyposis/diagnosis/drug therapy/*mortality/pathology; Male; Middle Aged; Prognosis; Recurrence; Retrospective Studies; Risk Assessment/statistics &amp;amp; numerical data; Risk Factors; Stomach/diagnostic imaging/pathology; Stomach Neoplasms/diagnosis/drug therapy/*mortality/pathology; Survival Rate&lt;/_subject_headings&gt;&lt;_tertiary_title&gt;Clinical and translational gastroenterology&lt;/_tertiary_title&gt;&lt;_type_work&gt;Journal Article; Research Support, Non-U.S. Gov&amp;apos;t&lt;/_type_work&gt;&lt;_url&gt;http://www.ncbi.nlm.nih.gov/entrez/query.fcgi?cmd=Retrieve&amp;amp;db=pubmed&amp;amp;dopt=Abstract&amp;amp;list_uids=32352683&amp;amp;query_hl=1&lt;/_url&gt;&lt;_volume&gt;11&lt;/_volume&gt;&lt;_created&gt;64499669&lt;/_created&gt;&lt;_modified&gt;64499669&lt;/_modified&gt;&lt;_db_updated&gt;PubMed&lt;/_db_updated&gt;&lt;_impact_factor&gt;   4.488&lt;/_impact_factor&gt;&lt;/Details&gt;&lt;Extra&gt;&lt;DBUID&gt;{F96A950B-833F-4880-A151-76DA2D6A2879}&lt;/DBUID&gt;&lt;/Extra&gt;&lt;/Item&gt;&lt;/References&gt;&lt;/Group&gt;&lt;/Citation&gt;_x000a_"/>
    <w:docVar w:name="NE.Ref{315F02BB-7D89-4164-8B21-6F3F11848D3E}" w:val=" ADDIN NE.Ref.{315F02BB-7D89-4164-8B21-6F3F11848D3E}&lt;Citation&gt;&lt;Group&gt;&lt;References&gt;&lt;Item&gt;&lt;ID&gt;588&lt;/ID&gt;&lt;UID&gt;{29DE511D-EA17-417D-8CB3-CAD38BE42C78}&lt;/UID&gt;&lt;Title&gt;Clinicopathologic features and treatment outcomes in Cronkhite-Canada syndrome: support for autoimmunity&lt;/Title&gt;&lt;Template&gt;Journal Article&lt;/Template&gt;&lt;Star&gt;0&lt;/Star&gt;&lt;Tag&gt;0&lt;/Tag&gt;&lt;Author&gt;Sweetser, S; Ahlquist, D A; Osborn, N K; Sanderson, S O; Smyrk, T C; Chari, S T; Boardman, L A&lt;/Author&gt;&lt;Year&gt;2012&lt;/Year&gt;&lt;Details&gt;&lt;_accession_num&gt;21881972&lt;/_accession_num&gt;&lt;_author_adr&gt;Division of Gastroenterology and Hepatology, Mayo Clinic College of Medicine, 200 First Street SW, Rochester, MN 55905, USA. sweetser.seth@mayo.edu&lt;/_author_adr&gt;&lt;_date_display&gt;2012 Feb&lt;/_date_display&gt;&lt;_date&gt;2012-02-01&lt;/_date&gt;&lt;_doi&gt;10.1007/s10620-011-1874-9&lt;/_doi&gt;&lt;_isbn&gt;1573-2568 (Electronic); 0163-2116 (Linking)&lt;/_isbn&gt;&lt;_issue&gt;2&lt;/_issue&gt;&lt;_journal&gt;Dig Dis Sci&lt;/_journal&gt;&lt;_language&gt;eng&lt;/_language&gt;&lt;_pages&gt;496-502&lt;/_pages&gt;&lt;_subject_headings&gt;Aged; Autoimmune Diseases/pathology; Azathioprine/*therapeutic use; Female; Glucocorticoids/*therapeutic use; Humans; Immunoglobulin G/*immunology; Immunohistochemistry; Immunosuppressive Agents/*therapeutic use; Intestinal Polyposis/*immunology/pathology/physiopathology; Male; Middle Aged; Retrospective Studies; Treatment Outcome&lt;/_subject_headings&gt;&lt;_tertiary_title&gt;Digestive diseases and sciences&lt;/_tertiary_title&gt;&lt;_type_work&gt;Journal Article&lt;/_type_work&gt;&lt;_url&gt;http://www.ncbi.nlm.nih.gov/entrez/query.fcgi?cmd=Retrieve&amp;amp;db=pubmed&amp;amp;dopt=Abstract&amp;amp;list_uids=21881972&amp;amp;query_hl=1&lt;/_url&gt;&lt;_volume&gt;57&lt;/_volume&gt;&lt;_created&gt;64499672&lt;/_created&gt;&lt;_modified&gt;64499672&lt;/_modified&gt;&lt;_db_updated&gt;PubMed&lt;/_db_updated&gt;&lt;_impact_factor&gt;   3.199&lt;/_impact_factor&gt;&lt;/Details&gt;&lt;Extra&gt;&lt;DBUID&gt;{F96A950B-833F-4880-A151-76DA2D6A2879}&lt;/DBUID&gt;&lt;/Extra&gt;&lt;/Item&gt;&lt;/References&gt;&lt;/Group&gt;&lt;/Citation&gt;_x000a_"/>
    <w:docVar w:name="NE.Ref{4312AC25-8E9D-442D-AD1C-1FEDEE2FFCC7}" w:val=" ADDIN NE.Ref.{4312AC25-8E9D-442D-AD1C-1FEDEE2FFCC7}&lt;Citation&gt;&lt;Group&gt;&lt;References&gt;&lt;Item&gt;&lt;ID&gt;566&lt;/ID&gt;&lt;UID&gt;{DCF19FBD-1913-4A1A-AD07-7F766067F9EE}&lt;/UID&gt;&lt;Title&gt;Endoscopic and clinical evaluation of treatment and prognosis of Cronkhite-Canada syndrome: a Japanese nationwide survey&lt;/Title&gt;&lt;Template&gt;Journal Article&lt;/Template&gt;&lt;Star&gt;0&lt;/Star&gt;&lt;Tag&gt;0&lt;/Tag&gt;&lt;Author&gt;Watanabe, C; Komoto, S; Tomita, K; Hokari, R; Tanaka, M; Hirata, I; Hibi, T; Kaunitz, J D; Miura, S&lt;/Author&gt;&lt;Year&gt;2016&lt;/Year&gt;&lt;Details&gt;&lt;_accession_num&gt;26216651&lt;/_accession_num&gt;&lt;_author_adr&gt;Department of Internal Medicine, National Defense Medical College, 3-2 Namiki, Tokorozawa, Saitama, 359-8513, Japan. chikakow@ndmc.ac.jp.; Department of Internal Medicine, National Defense Medical College, 3-2 Namiki, Tokorozawa, Saitama, 359-8513, Japan.; Department of Internal Medicine, National Defense Medical College, 3-2 Namiki, Tokorozawa, Saitama, 359-8513, Japan.; Department of Internal Medicine, National Defense Medical College, 3-2 Namiki, Tokorozawa, Saitama, 359-8513, Japan.; Department of Pathology and Laboratory Medicine, Hirosaki City Hospital, Aomori,  Japan.; Department of Gastroenterology, Fujita Health University, Aichi, Japan.; Center for Advanced IBD Research and Treatment, Kitasato Institute Hospital, Tokyo, Japan.; Greater Los Angeles VA Medical Center and Department of Medicine and Department of Surgery, David Geffen School of Medicine, University of California, Los Angeles, Los Angeles, CA, USA.; Department of Internal Medicine, National Defense Medical College, 3-2 Namiki, Tokorozawa, Saitama, 359-8513, Japan.&lt;/_author_adr&gt;&lt;_date_display&gt;2016 Apr&lt;/_date_display&gt;&lt;_date&gt;2016-04-01&lt;/_date&gt;&lt;_doi&gt;10.1007/s00535-015-1107-7&lt;/_doi&gt;&lt;_isbn&gt;1435-5922 (Electronic); 0944-1174 (Linking)&lt;/_isbn&gt;&lt;_issue&gt;4&lt;/_issue&gt;&lt;_journal&gt;J Gastroenterol&lt;/_journal&gt;&lt;_keywords&gt;Acquired gastrointestinal polyposis syndrome; Colon cancer; Gastric cancer; Malnutrition&lt;/_keywords&gt;&lt;_language&gt;eng&lt;/_language&gt;&lt;_pages&gt;327-36&lt;/_pages&gt;&lt;_subject_headings&gt;Administration, Oral; Adrenal Cortex Hormones/administration &amp;amp; dosage/*therapeutic use; Adult; Aged; Aged, 80 and over; Endoscopy, Gastrointestinal/*methods; Female; Humans; Intestinal Mucosa/*pathology; Intestinal Polyposis/diagnosis/pathology/*therapy; Japan; Male; Middle Aged; Nutritional Support/methods; Prognosis; Recurrence; Remission Induction; Retrospective Studies; Surveys and Questionnaires; Time Factors&lt;/_subject_headings&gt;&lt;_tertiary_title&gt;Journal of gastroenterology&lt;/_tertiary_title&gt;&lt;_type_work&gt;Journal Article; Research Support, Non-U.S. Gov&amp;apos;t&lt;/_type_work&gt;&lt;_url&gt;http://www.ncbi.nlm.nih.gov/entrez/query.fcgi?cmd=Retrieve&amp;amp;db=pubmed&amp;amp;dopt=Abstract&amp;amp;list_uids=26216651&amp;amp;query_hl=1&lt;/_url&gt;&lt;_volume&gt;51&lt;/_volume&gt;&lt;_created&gt;64499660&lt;/_created&gt;&lt;_modified&gt;64499660&lt;/_modified&gt;&lt;_db_updated&gt;PubMed&lt;/_db_updated&gt;&lt;_impact_factor&gt;   7.527&lt;/_impact_factor&gt;&lt;_collection_scope&gt;SCIE&lt;/_collection_scope&gt;&lt;/Details&gt;&lt;Extra&gt;&lt;DBUID&gt;{F96A950B-833F-4880-A151-76DA2D6A2879}&lt;/DBUID&gt;&lt;/Extra&gt;&lt;/Item&gt;&lt;/References&gt;&lt;/Group&gt;&lt;/Citation&gt;_x000a_"/>
    <w:docVar w:name="NE.Ref{4F7B6E2A-C9B0-4673-8058-D47A82BDBF84}" w:val=" ADDIN NE.Ref.{4F7B6E2A-C9B0-4673-8058-D47A82BDBF84}&lt;Citation&gt;&lt;Group&gt;&lt;References&gt;&lt;Item&gt;&lt;ID&gt;579&lt;/ID&gt;&lt;UID&gt;{607AF792-B510-4CFE-A661-A4B931D2DB0D}&lt;/UID&gt;&lt;Title&gt;A case of Cronkhite-Canada syndrome presenting with adenomatous and inflammatory  colon polyps&lt;/Title&gt;&lt;Template&gt;Journal Article&lt;/Template&gt;&lt;Star&gt;0&lt;/Star&gt;&lt;Tag&gt;0&lt;/Tag&gt;&lt;Author&gt;Sweetser, S; Alexander, G L; Boardman, L A&lt;/Author&gt;&lt;Year&gt;2010&lt;/Year&gt;&lt;Details&gt;&lt;_accession_num&gt;20628344&lt;/_accession_num&gt;&lt;_author_adr&gt;Division of Gastroenterology and Hepatology, Mayo Clinic College of Medicine, Rochester, MN 55905, USA. sweetser.seth@mayo.edu&lt;/_author_adr&gt;&lt;_date_display&gt;2010 Aug&lt;/_date_display&gt;&lt;_date&gt;2010-08-01&lt;/_date&gt;&lt;_doi&gt;10.1038/nrgastro.2010.112&lt;/_doi&gt;&lt;_isbn&gt;1759-5053 (Electronic); 1759-5045 (Linking)&lt;/_isbn&gt;&lt;_issue&gt;8&lt;/_issue&gt;&lt;_journal&gt;Nat Rev Gastroenterol Hepatol&lt;/_journal&gt;&lt;_language&gt;eng&lt;/_language&gt;&lt;_pages&gt;460-4&lt;/_pages&gt;&lt;_subject_headings&gt;Aged; Anti-Inflammatory Agents/*therapeutic use; Biopsy; Colon/immunology/*pathology; Colonoscopy; Histamine H2 Antagonists/therapeutic use; Humans; Intestinal Polyposis/*drug therapy/immunology/*pathology; Male; Prednisone/*therapeutic use; Vitamins/therapeutic use&lt;/_subject_headings&gt;&lt;_tertiary_title&gt;Nature reviews. Gastroenterology &amp;amp; hepatology&lt;/_tertiary_title&gt;&lt;_type_work&gt;Case Reports; Journal Article; Review&lt;/_type_work&gt;&lt;_url&gt;http://www.ncbi.nlm.nih.gov/entrez/query.fcgi?cmd=Retrieve&amp;amp;db=pubmed&amp;amp;dopt=Abstract&amp;amp;list_uids=20628344&amp;amp;query_hl=1&lt;/_url&gt;&lt;_volume&gt;7&lt;/_volume&gt;&lt;_created&gt;64499667&lt;/_created&gt;&lt;_modified&gt;64499667&lt;/_modified&gt;&lt;_db_updated&gt;PubMed&lt;/_db_updated&gt;&lt;_impact_factor&gt;  46.802&lt;/_impact_factor&gt;&lt;/Details&gt;&lt;Extra&gt;&lt;DBUID&gt;{F96A950B-833F-4880-A151-76DA2D6A2879}&lt;/DBUID&gt;&lt;/Extra&gt;&lt;/Item&gt;&lt;/References&gt;&lt;/Group&gt;&lt;/Citation&gt;_x000a_"/>
    <w:docVar w:name="NE.Ref{5240E148-1143-4D7A-BC66-262B73755EA7}" w:val=" ADDIN NE.Ref.{5240E148-1143-4D7A-BC66-262B73755EA7}&lt;Citation&gt;&lt;Group&gt;&lt;References&gt;&lt;Item&gt;&lt;ID&gt;587&lt;/ID&gt;&lt;UID&gt;{64D4C982-A3C7-41B1-9551-262F08B13A9B}&lt;/UID&gt;&lt;Title&gt;A fulminant course of Cronkhite-Canada syndrome&lt;/Title&gt;&lt;Template&gt;Journal Article&lt;/Template&gt;&lt;Star&gt;0&lt;/Star&gt;&lt;Tag&gt;0&lt;/Tag&gt;&lt;Author&gt;Martinek, J; Chvatalova, T; Zavada, F; Vankova, P; Tuckova, I; Zavoral, M&lt;/Author&gt;&lt;Year&gt;2010&lt;/Year&gt;&lt;Details&gt;&lt;_accession_num&gt;21170844&lt;/_accession_num&gt;&lt;_author_adr&gt;Charles University in Prague, Department of Internal Medicine, First Faculty of Medicine and Central Military Hospital, Praha, Czech Republic. jan.martinek@volny.cz&lt;/_author_adr&gt;&lt;_date_display&gt;2010&lt;/_date_display&gt;&lt;_date&gt;2010-01-20&lt;/_date&gt;&lt;_doi&gt;10.1055/s-0030-1256003&lt;/_doi&gt;&lt;_isbn&gt;1438-8812 (Electronic); 0013-726X (Linking)&lt;/_isbn&gt;&lt;_journal&gt;Endoscopy&lt;/_journal&gt;&lt;_language&gt;eng&lt;/_language&gt;&lt;_pages&gt;E350-1&lt;/_pages&gt;&lt;_subject_headings&gt;Colonoscopy; Gastroscopy; Humans; Intestinal Polyposis/*diagnosis; Male; Middle Aged&lt;/_subject_headings&gt;&lt;_tertiary_title&gt;Endoscopy&lt;/_tertiary_title&gt;&lt;_type_work&gt;Case Reports; Journal Article&lt;/_type_work&gt;&lt;_url&gt;http://www.ncbi.nlm.nih.gov/entrez/query.fcgi?cmd=Retrieve&amp;amp;db=pubmed&amp;amp;dopt=Abstract&amp;amp;list_uids=21170844&amp;amp;query_hl=1&lt;/_url&gt;&lt;_volume&gt;42 Suppl 2&lt;/_volume&gt;&lt;_created&gt;64499671&lt;/_created&gt;&lt;_modified&gt;64499671&lt;/_modified&gt;&lt;_db_updated&gt;PubMed&lt;/_db_updated&gt;&lt;_impact_factor&gt;  10.093&lt;/_impact_factor&gt;&lt;_collection_scope&gt;SCI;SCIE&lt;/_collection_scope&gt;&lt;/Details&gt;&lt;Extra&gt;&lt;DBUID&gt;{F96A950B-833F-4880-A151-76DA2D6A2879}&lt;/DBUID&gt;&lt;/Extra&gt;&lt;/Item&gt;&lt;/References&gt;&lt;/Group&gt;&lt;/Citation&gt;_x000a_"/>
    <w:docVar w:name="NE.Ref{596384A9-B151-4641-8CAA-93992FC74839}" w:val=" ADDIN NE.Ref.{596384A9-B151-4641-8CAA-93992FC74839}&lt;Citation&gt;&lt;Group&gt;&lt;References&gt;&lt;Item&gt;&lt;ID&gt;578&lt;/ID&gt;&lt;UID&gt;{65B67066-9B5E-4550-8E23-83C1AAC60321}&lt;/UID&gt;&lt;Title&gt;A case of Cronkhite-Canada syndrome: remission after treatment with anti-Helicobacter pylori regimen&lt;/Title&gt;&lt;Template&gt;Journal Article&lt;/Template&gt;&lt;Star&gt;0&lt;/Star&gt;&lt;Tag&gt;0&lt;/Tag&gt;&lt;Author&gt;Okamoto, K; Isomoto, H; Shikuwa, S; Nishiyama, H; Ito, M; Kohno, S&lt;/Author&gt;&lt;Year&gt;2008&lt;/Year&gt;&lt;Details&gt;&lt;_accession_num&gt;18948692&lt;/_accession_num&gt;&lt;_author_adr&gt;Department of Internal Medicine, Nagasaki National Medical Center, Omura, Japan.&lt;/_author_adr&gt;&lt;_date_display&gt;2008&lt;/_date_display&gt;&lt;_date&gt;2008-01-20&lt;/_date&gt;&lt;_doi&gt;10.1159/000165354&lt;/_doi&gt;&lt;_isbn&gt;1421-9867 (Electronic); 0012-2823 (Linking)&lt;/_isbn&gt;&lt;_issue&gt;2-3&lt;/_issue&gt;&lt;_journal&gt;Digestion&lt;/_journal&gt;&lt;_language&gt;eng&lt;/_language&gt;&lt;_ori_publication&gt;Copyright 2008 S. Karger AG, Basel.&lt;/_ori_publication&gt;&lt;_pages&gt;82-7&lt;/_pages&gt;&lt;_subject_headings&gt;2-Pyridinylmethylsulfinylbenzimidazoles/therapeutic use; Aged; Alopecia; Amoxicillin/therapeutic use; Anti-Bacterial Agents/*therapeutic use; Anti-Ulcer Agents/therapeutic use; Clarithromycin/therapeutic use; Colonic Polyps/pathology; Colonoscopy; Gastritis/microbiology; Helicobacter Infections/complications/*drug therapy/microbiology/pathology; Humans; Hyperpigmentation/pathology; Intestinal Polyposis/complications/*drug therapy; Lansoprazole; Male; Syndrome&lt;/_subject_headings&gt;&lt;_tertiary_title&gt;Digestion&lt;/_tertiary_title&gt;&lt;_type_work&gt;Case Reports; Journal Article&lt;/_type_work&gt;&lt;_url&gt;http://www.ncbi.nlm.nih.gov/entrez/query.fcgi?cmd=Retrieve&amp;amp;db=pubmed&amp;amp;dopt=Abstract&amp;amp;list_uids=18948692&amp;amp;query_hl=1&lt;/_url&gt;&lt;_volume&gt;78&lt;/_volume&gt;&lt;_created&gt;64499667&lt;/_created&gt;&lt;_modified&gt;64499667&lt;/_modified&gt;&lt;_db_updated&gt;PubMed&lt;/_db_updated&gt;&lt;_impact_factor&gt;   3.216&lt;/_impact_factor&gt;&lt;_collection_scope&gt;SCI;SCIE&lt;/_collection_scope&gt;&lt;/Details&gt;&lt;Extra&gt;&lt;DBUID&gt;{F96A950B-833F-4880-A151-76DA2D6A2879}&lt;/DBUID&gt;&lt;/Extra&gt;&lt;/Item&gt;&lt;/References&gt;&lt;/Group&gt;&lt;/Citation&gt;_x000a_"/>
    <w:docVar w:name="NE.Ref{618B5EB7-DE52-4357-AF57-752882E220A5}" w:val=" ADDIN NE.Ref.{618B5EB7-DE52-4357-AF57-752882E220A5}&lt;Citation&gt;&lt;Group&gt;&lt;References&gt;&lt;Item&gt;&lt;ID&gt;565&lt;/ID&gt;&lt;UID&gt;{B139A931-AA3E-4063-8C2B-CBC7068B028A}&lt;/UID&gt;&lt;Title&gt;Estimated Prevalence of Cronkhite-Canada Syndrome, Chronic Enteropathy Associated With SLCO2A1 Gene, and Intestinal Behcet&amp;apos;s Disease in Japan in 2017: A Nationwide Survey&lt;/Title&gt;&lt;Template&gt;Journal Article&lt;/Template&gt;&lt;Star&gt;0&lt;/Star&gt;&lt;Tag&gt;0&lt;/Tag&gt;&lt;Author&gt;Oba, M S; Murakami, Y; Nishiwaki, Y; Asakura, K; Ohfuji, S; Fukushima, W; Nakamura, Y; Suzuki, Y&lt;/Author&gt;&lt;Year&gt;2021&lt;/Year&gt;&lt;Details&gt;&lt;_accession_num&gt;32092751&lt;/_accession_num&gt;&lt;_author_adr&gt;Department of Medical Statistics, Toho University.; Department of Medical Statistics, Toho University.; Department of Environmental and Occupational Health, Toho University.; Department of Environmental and Occupational Health, Toho University.; Department of Public Health, Osaka City University Graduate School of Medicine.; Department of Public Health, Osaka City University Graduate School of Medicine.; Department of Public Health, Jichi Medical University.; Department of Internal Medicine, Toho University Sakura Medical Center.&lt;/_author_adr&gt;&lt;_date_display&gt;2021 Feb 5&lt;/_date_display&gt;&lt;_date&gt;2021-02-05&lt;/_date&gt;&lt;_doi&gt;10.2188/jea.JE20190349&lt;/_doi&gt;&lt;_isbn&gt;1349-9092 (Electronic); 0917-5040 (Linking)&lt;/_isbn&gt;&lt;_issue&gt;2&lt;/_issue&gt;&lt;_journal&gt;J Epidemiol&lt;/_journal&gt;&lt;_keywords&gt;Cronkhite-Canada syndrome; chronic enteropathy associated with SLCO2A1 gene; intestinal Behcet&amp;apos;s disease; nationwide survey; prevalence&lt;/_keywords&gt;&lt;_language&gt;eng&lt;/_language&gt;&lt;_pages&gt;139-144&lt;/_pages&gt;&lt;_subject_headings&gt;Behcet Syndrome/*epidemiology/genetics; Chronic Disease; Female; Health Surveys; Humans; Intestinal Diseases/*epidemiology/genetics; Intestinal Polyposis/*epidemiology/genetics; Japan/epidemiology; Male; Organic Anion Transporters/*genetics; Prevalence&lt;/_subject_headings&gt;&lt;_tertiary_title&gt;Journal of epidemiology&lt;/_tertiary_title&gt;&lt;_type_work&gt;Journal Article&lt;/_type_work&gt;&lt;_url&gt;http://www.ncbi.nlm.nih.gov/entrez/query.fcgi?cmd=Retrieve&amp;amp;db=pubmed&amp;amp;dopt=Abstract&amp;amp;list_uids=32092751&amp;amp;query_hl=1&lt;/_url&gt;&lt;_volume&gt;31&lt;/_volume&gt;&lt;_created&gt;64499656&lt;/_created&gt;&lt;_modified&gt;64499656&lt;/_modified&gt;&lt;_db_updated&gt;PubMed&lt;/_db_updated&gt;&lt;_impact_factor&gt;   3.211&lt;/_impact_factor&gt;&lt;_collection_scope&gt;SCIE&lt;/_collection_scope&gt;&lt;/Details&gt;&lt;Extra&gt;&lt;DBUID&gt;{F96A950B-833F-4880-A151-76DA2D6A2879}&lt;/DBUID&gt;&lt;/Extra&gt;&lt;/Item&gt;&lt;/References&gt;&lt;/Group&gt;&lt;/Citation&gt;_x000a_"/>
    <w:docVar w:name="NE.Ref{658BDFDB-4109-415D-BB6D-3489C3B076C1}" w:val=" ADDIN NE.Ref.{658BDFDB-4109-415D-BB6D-3489C3B076C1}&lt;Citation&gt;&lt;Group&gt;&lt;References&gt;&lt;Item&gt;&lt;ID&gt;568&lt;/ID&gt;&lt;UID&gt;{F3D68272-03F3-4256-ADF9-15B357B5D8B3}&lt;/UID&gt;&lt;Title&gt;Clinical and Endoscopic Characteristics of Chinese Cronkhite-Canada Syndrome Patients: A Retrospective Study of 103 Cases&lt;/Title&gt;&lt;Template&gt;Journal Article&lt;/Template&gt;&lt;Star&gt;0&lt;/Star&gt;&lt;Tag&gt;0&lt;/Tag&gt;&lt;Author&gt;Lu, Y; Huang, F; Wang, Y; Zhou, J; Zhao, Q; Liu, L&lt;/Author&gt;&lt;Year&gt;2021&lt;/Year&gt;&lt;Details&gt;&lt;_accession_num&gt;33440392&lt;/_accession_num&gt;&lt;_author_adr&gt;Department of Gastroenterology, Zhongnan Hospital of Wuhan University, Wuhan, China.; Hubei Clinical Center &amp;amp; Key Laboratory of Intestinal &amp;amp; Colorectal Diseases, Wuhan, China.; Department of Gastroenterology, Zhongnan Hospital of Wuhan University, Wuhan, China.; Hubei Clinical Center &amp;amp; Key Laboratory of Intestinal &amp;amp; Colorectal Diseases, Wuhan, China.; Department of Gastroenterology, Zhongnan Hospital of Wuhan University, Wuhan, China.; Hubei Clinical Center &amp;amp; Key Laboratory of Intestinal &amp;amp; Colorectal Diseases, Wuhan, China.; Department of Gastroenterology, Zhongnan Hospital of Wuhan University, Wuhan, China.; Hubei Clinical Center &amp;amp; Key Laboratory of Intestinal &amp;amp; Colorectal Diseases, Wuhan, China.; Department of Gastroenterology, Zhongnan Hospital of Wuhan University, Wuhan, China.; Hubei Clinical Center &amp;amp; Key Laboratory of Intestinal &amp;amp; Colorectal Diseases, Wuhan, China.; Department of Gastroenterology, Zhongnan Hospital of Wuhan University, Wuhan, China.; Hubei Clinical Center &amp;amp; Key Laboratory of Intestinal &amp;amp; Colorectal Diseases, Wuhan, China.&lt;/_author_adr&gt;&lt;_date_display&gt;2021&lt;/_date_display&gt;&lt;_date&gt;2021-01-20&lt;/_date&gt;&lt;_doi&gt;10.1159/000514354&lt;/_doi&gt;&lt;_isbn&gt;1421-9875 (Electronic); 0257-2753 (Linking)&lt;/_isbn&gt;&lt;_issue&gt;5&lt;/_issue&gt;&lt;_journal&gt;Dig Dis&lt;/_journal&gt;&lt;_keywords&gt;Clinical characteristics; Cronkhite-Canada syndrome; Endoscopy&lt;/_keywords&gt;&lt;_language&gt;eng&lt;/_language&gt;&lt;_ori_publication&gt;(c) 2021 S. Karger AG, Basel.&lt;/_ori_publication&gt;&lt;_pages&gt;488-495&lt;/_pages&gt;&lt;_subject_headings&gt;Aged; China/epidemiology; Endoscopy; Female; Humans; *Intestinal Polyposis/epidemiology; Male; Middle Aged; Retrospective Studies&lt;/_subject_headings&gt;&lt;_tertiary_title&gt;Digestive diseases (Basel, Switzerland)&lt;/_tertiary_title&gt;&lt;_type_work&gt;Journal Article&lt;/_type_work&gt;&lt;_url&gt;http://www.ncbi.nlm.nih.gov/entrez/query.fcgi?cmd=Retrieve&amp;amp;db=pubmed&amp;amp;dopt=Abstract&amp;amp;list_uids=33440392&amp;amp;query_hl=1&lt;/_url&gt;&lt;_volume&gt;39&lt;/_volume&gt;&lt;_created&gt;64499662&lt;/_created&gt;&lt;_modified&gt;64499662&lt;/_modified&gt;&lt;_db_updated&gt;PubMed&lt;/_db_updated&gt;&lt;_impact_factor&gt;   2.404&lt;/_impact_factor&gt;&lt;/Details&gt;&lt;Extra&gt;&lt;DBUID&gt;{F96A950B-833F-4880-A151-76DA2D6A2879}&lt;/DBUID&gt;&lt;/Extra&gt;&lt;/Item&gt;&lt;/References&gt;&lt;/Group&gt;&lt;/Citation&gt;_x000a_"/>
    <w:docVar w:name="NE.Ref{858BAC2F-DF83-45C6-B3BC-D32E733FE5BF}" w:val=" ADDIN NE.Ref.{858BAC2F-DF83-45C6-B3BC-D32E733FE5BF}&lt;Citation&gt;&lt;Group&gt;&lt;References&gt;&lt;Item&gt;&lt;ID&gt;572&lt;/ID&gt;&lt;UID&gt;{E123DB4E-A0D1-4625-A1C1-557C414629AE}&lt;/UID&gt;&lt;Title&gt;Cronkhite-Canada syndrome six decades on: the many faces of an enigmatic disease&lt;/Title&gt;&lt;Template&gt;Journal Article&lt;/Template&gt;&lt;Star&gt;0&lt;/Star&gt;&lt;Tag&gt;0&lt;/Tag&gt;&lt;Author&gt;Slavik, T; Montgomery, E A&lt;/Author&gt;&lt;Year&gt;2014&lt;/Year&gt;&lt;Details&gt;&lt;_accession_num&gt;25004941&lt;/_accession_num&gt;&lt;_date_display&gt;2014 Oct&lt;/_date_display&gt;&lt;_date&gt;2014-10-01&lt;/_date&gt;&lt;_doi&gt;10.1136/jclinpath-2014-202488&lt;/_doi&gt;&lt;_isbn&gt;1472-4146 (Electronic); 0021-9746 (Linking)&lt;/_isbn&gt;&lt;_issue&gt;10&lt;/_issue&gt;&lt;_journal&gt;J Clin Pathol&lt;/_journal&gt;&lt;_language&gt;eng&lt;/_language&gt;&lt;_pages&gt;891-7&lt;/_pages&gt;&lt;_subject_headings&gt;Humans; Intestinal Mucosa/*pathology; Intestinal Polyposis/*pathology; Intestinal Polyps/*pathology; Prognosis; Stomach/*pathology; Syndrome&lt;/_subject_headings&gt;&lt;_tertiary_title&gt;Journal of clinical pathology&lt;/_tertiary_title&gt;&lt;_type_work&gt;Journal Article; Review&lt;/_type_work&gt;&lt;_url&gt;http://www.ncbi.nlm.nih.gov/entrez/query.fcgi?cmd=Retrieve&amp;amp;db=pubmed&amp;amp;dopt=Abstract&amp;amp;list_uids=25004941&amp;amp;query_hl=1&lt;/_url&gt;&lt;_volume&gt;67&lt;/_volume&gt;&lt;_created&gt;64499664&lt;/_created&gt;&lt;_modified&gt;64499664&lt;/_modified&gt;&lt;_db_updated&gt;PubMed&lt;/_db_updated&gt;&lt;_impact_factor&gt;   3.411&lt;/_impact_factor&gt;&lt;_collection_scope&gt;SCI;SCIE&lt;/_collection_scope&gt;&lt;/Details&gt;&lt;Extra&gt;&lt;DBUID&gt;{F96A950B-833F-4880-A151-76DA2D6A2879}&lt;/DBUID&gt;&lt;/Extra&gt;&lt;/Item&gt;&lt;/References&gt;&lt;/Group&gt;&lt;/Citation&gt;_x000a_"/>
    <w:docVar w:name="NE.Ref{8F756EDC-512A-419B-B45D-3020FF857F89}" w:val=" ADDIN NE.Ref.{8F756EDC-512A-419B-B45D-3020FF857F89}&lt;Citation&gt;&lt;Group&gt;&lt;References&gt;&lt;Item&gt;&lt;ID&gt;576&lt;/ID&gt;&lt;UID&gt;{6F4D7A12-EA59-4B69-ABC1-86A070330B91}&lt;/UID&gt;&lt;Title&gt;Alterations in fecal Lactobacillus and Bifidobacterium species in type 2 diabetic patients in Southern China population&lt;/Title&gt;&lt;Template&gt;Journal Article&lt;/Template&gt;&lt;Star&gt;0&lt;/Star&gt;&lt;Tag&gt;0&lt;/Tag&gt;&lt;Author&gt;&amp;quot;Le KA&amp;quot;; Li, Y; Xu, X; Yang, W; Liu, T; Zhao, X; Tang, Y G; Cai, D; Go, V L; Pandol, S; Hui, H&lt;/Author&gt;&lt;Year&gt;2012&lt;/Year&gt;&lt;Details&gt;&lt;_accession_num&gt;23386831&lt;/_accession_num&gt;&lt;_author_adr&gt;International Center for Metabolic Diseases, Southern Medical University Guangzhou, China ; Nutrition and Health Department, Nestec Ltd., Nestle Research  Center Lausanne, Switzerland.&lt;/_author_adr&gt;&lt;_date_display&gt;2012&lt;/_date_display&gt;&lt;_date&gt;2012-01-20&lt;/_date&gt;&lt;_doi&gt;10.3389/fphys.2012.00496&lt;/_doi&gt;&lt;_isbn&gt;1664-042X (Electronic); 1664-042X (Linking)&lt;/_isbn&gt;&lt;_journal&gt;Front Physiol&lt;/_journal&gt;&lt;_keywords&gt;gut; metabolic diseases; microbiota; microflora&lt;/_keywords&gt;&lt;_language&gt;eng&lt;/_language&gt;&lt;_pages&gt;496&lt;/_pages&gt;&lt;_tertiary_title&gt;Frontiers in physiology&lt;/_tertiary_title&gt;&lt;_type_work&gt;Journal Article&lt;/_type_work&gt;&lt;_url&gt;http://www.ncbi.nlm.nih.gov/entrez/query.fcgi?cmd=Retrieve&amp;amp;db=pubmed&amp;amp;dopt=Abstract&amp;amp;list_uids=23386831&amp;amp;query_hl=1&lt;/_url&gt;&lt;_volume&gt;3&lt;/_volume&gt;&lt;_created&gt;64499666&lt;/_created&gt;&lt;_modified&gt;64499666&lt;/_modified&gt;&lt;_db_updated&gt;PubMed&lt;/_db_updated&gt;&lt;_impact_factor&gt;   4.566&lt;/_impact_factor&gt;&lt;_collection_scope&gt;SCIE&lt;/_collection_scope&gt;&lt;/Details&gt;&lt;Extra&gt;&lt;DBUID&gt;{F96A950B-833F-4880-A151-76DA2D6A2879}&lt;/DBUID&gt;&lt;/Extra&gt;&lt;/Item&gt;&lt;/References&gt;&lt;/Group&gt;&lt;/Citation&gt;_x000a_"/>
    <w:docVar w:name="NE.Ref{A0896145-4343-4898-B497-588664EF78C2}" w:val=" ADDIN NE.Ref.{A0896145-4343-4898-B497-588664EF78C2}&lt;Citation&gt;&lt;Group&gt;&lt;References&gt;&lt;Item&gt;&lt;ID&gt;574&lt;/ID&gt;&lt;UID&gt;{111C6A29-8F58-49E5-AC79-59FBE041FA3F}&lt;/UID&gt;&lt;Title&gt;The Cronkhite-Canada Syndrome. An analysis of clinical and pathologic features and therapy in 55 patients&lt;/Title&gt;&lt;Template&gt;Journal Article&lt;/Template&gt;&lt;Star&gt;0&lt;/Star&gt;&lt;Tag&gt;0&lt;/Tag&gt;&lt;Author&gt;Daniel, E S; Ludwig, S L; Lewin, K J; Ruprecht, R M; Rajacich, G M; Schwabe, A D&lt;/Author&gt;&lt;Year&gt;1982&lt;/Year&gt;&lt;Details&gt;&lt;_accession_num&gt;7109958&lt;/_accession_num&gt;&lt;_date_display&gt;1982 Sep&lt;/_date_display&gt;&lt;_date&gt;1982-09-01&lt;/_date&gt;&lt;_isbn&gt;0025-7974 (Print); 0025-7974 (Linking)&lt;/_isbn&gt;&lt;_issue&gt;5&lt;/_issue&gt;&lt;_journal&gt;Medicine (Baltimore)&lt;/_journal&gt;&lt;_language&gt;eng&lt;/_language&gt;&lt;_pages&gt;293-309&lt;/_pages&gt;&lt;_subject_headings&gt;Adult; Age Factors; Aged; Alopecia/*pathology; Blood Proteins/analysis; Diarrhea/pathology; Digestive System/diagnostic imaging; Electrolytes/blood; Female; Gastrointestinal Neoplasms/*pathology/therapy; Humans; Intestinal Polyps/pathology; Liver/pathology; Male; Middle Aged; Nail Diseases/*pathology/therapy; Pigmentation Disorders/*pathology/therapy; Polyps/*pathology/therapy; Prognosis; Radiography; Sex Factors; Syndrome&lt;/_subject_headings&gt;&lt;_tertiary_title&gt;Medicine&lt;/_tertiary_title&gt;&lt;_type_work&gt;Case Reports; Journal Article&lt;/_type_work&gt;&lt;_url&gt;http://www.ncbi.nlm.nih.gov/entrez/query.fcgi?cmd=Retrieve&amp;amp;db=pubmed&amp;amp;dopt=Abstract&amp;amp;list_uids=7109958&amp;amp;query_hl=1&lt;/_url&gt;&lt;_volume&gt;61&lt;/_volume&gt;&lt;_created&gt;64499665&lt;/_created&gt;&lt;_modified&gt;64499665&lt;/_modified&gt;&lt;_db_updated&gt;PubMed&lt;/_db_updated&gt;&lt;_impact_factor&gt;   1.889&lt;/_impact_factor&gt;&lt;/Details&gt;&lt;Extra&gt;&lt;DBUID&gt;{F96A950B-833F-4880-A151-76DA2D6A2879}&lt;/DBUID&gt;&lt;/Extra&gt;&lt;/Item&gt;&lt;/References&gt;&lt;/Group&gt;&lt;/Citation&gt;_x000a_"/>
    <w:docVar w:name="NE.Ref{A440713D-49F1-4822-8443-7F49C2861A85}" w:val=" ADDIN NE.Ref.{A440713D-49F1-4822-8443-7F49C2861A85}&lt;Citation&gt;&lt;Group&gt;&lt;References&gt;&lt;Item&gt;&lt;ID&gt;571&lt;/ID&gt;&lt;UID&gt;{42351930-6471-48D0-BF24-37E0CCF96A06}&lt;/UID&gt;&lt;Title&gt;A Case Report of Cronkhite-Canada Syndrome Complicated by Membranous Nephropathy&lt;/Title&gt;&lt;Template&gt;Journal Article&lt;/Template&gt;&lt;Star&gt;0&lt;/Star&gt;&lt;Tag&gt;0&lt;/Tag&gt;&lt;Author&gt;Firth, C; Harris, L A; Smith, M L; Thomas, L F&lt;/Author&gt;&lt;Year&gt;2018&lt;/Year&gt;&lt;Details&gt;&lt;_accession_num&gt;30643792&lt;/_accession_num&gt;&lt;_author_adr&gt;Department of Internal Medicine, Mayo Clinic in Arizona, Scottsdale, Arizona, USA.; Division of Gastroenterology, Mayo Clinic in Arizona, Scottsdale, Arizona, USA.; Department of Anatomic Pathology, Mayo Clinic in Arizona, Scottsdale, Arizona, USA.; Division of Nephrology and Hypertension, Mayo Clinic in Arizona, Scottsdale, Arizona, USA.&lt;/_author_adr&gt;&lt;_date_display&gt;2018 Sep-Dec&lt;/_date_display&gt;&lt;_date&gt;2018-09-01&lt;/_date&gt;&lt;_doi&gt;10.1159/000494714&lt;/_doi&gt;&lt;_isbn&gt;2296-9705 (Print)&lt;/_isbn&gt;&lt;_issue&gt;3&lt;/_issue&gt;&lt;_journal&gt;Case Rep Nephrol Dial&lt;/_journal&gt;&lt;_keywords&gt;Cronkhite-Canada syndrome; Membranous nephropathy; Polyposis syndrome; Proteinuria; Rituximab&lt;/_keywords&gt;&lt;_language&gt;eng&lt;/_language&gt;&lt;_pages&gt;261-267&lt;/_pages&gt;&lt;_tertiary_title&gt;Case reports in nephrology and dialysis&lt;/_tertiary_title&gt;&lt;_type_work&gt;Case Reports&lt;/_type_work&gt;&lt;_url&gt;http://www.ncbi.nlm.nih.gov/entrez/query.fcgi?cmd=Retrieve&amp;amp;db=pubmed&amp;amp;dopt=Abstract&amp;amp;list_uids=30643792&amp;amp;query_hl=1&lt;/_url&gt;&lt;_volume&gt;8&lt;/_volume&gt;&lt;_created&gt;64499663&lt;/_created&gt;&lt;_modified&gt;64499663&lt;/_modified&gt;&lt;_db_updated&gt;PubMed&lt;/_db_updated&gt;&lt;/Details&gt;&lt;Extra&gt;&lt;DBUID&gt;{F96A950B-833F-4880-A151-76DA2D6A2879}&lt;/DBUID&gt;&lt;/Extra&gt;&lt;/Item&gt;&lt;/References&gt;&lt;/Group&gt;&lt;/Citation&gt;_x000a_"/>
    <w:docVar w:name="NE.Ref{B5C9116A-D11D-48BE-9268-C9768E39D316}" w:val=" ADDIN NE.Ref.{B5C9116A-D11D-48BE-9268-C9768E39D316}&lt;Citation&gt;&lt;Group&gt;&lt;References&gt;&lt;Item&gt;&lt;ID&gt;586&lt;/ID&gt;&lt;UID&gt;{7BD9BFE3-BE1E-4A6B-A324-2D6DA120B264}&lt;/UID&gt;&lt;Title&gt;Systematic review: thalidomide and thalidomide analogues for treatment of inflammatory bowel disease&lt;/Title&gt;&lt;Template&gt;Journal Article&lt;/Template&gt;&lt;Star&gt;0&lt;/Star&gt;&lt;Tag&gt;0&lt;/Tag&gt;&lt;Author&gt;Yang, C; Singh, P; Singh, H; &amp;quot;Le ML&amp;quot;; El-Matary, W&lt;/Author&gt;&lt;Year&gt;2015&lt;/Year&gt;&lt;Details&gt;&lt;_accession_num&gt;25858208&lt;/_accession_num&gt;&lt;_author_adr&gt;Department of Pediatrics, Faculty of Health Sciences, College of Medicine, University of Manitoba, Winnipeg, MB, Canada.&lt;/_author_adr&gt;&lt;_date_display&gt;2015 Jun&lt;/_date_display&gt;&lt;_date&gt;2015-06-01&lt;/_date&gt;&lt;_doi&gt;10.1111/apt.13181&lt;/_doi&gt;&lt;_isbn&gt;1365-2036 (Electronic); 0269-2813 (Linking)&lt;/_isbn&gt;&lt;_issue&gt;11&lt;/_issue&gt;&lt;_journal&gt;Aliment Pharmacol Ther&lt;/_journal&gt;&lt;_language&gt;eng&lt;/_language&gt;&lt;_ori_publication&gt;(c) 2015 John Wiley &amp;amp; Sons Ltd.&lt;/_ori_publication&gt;&lt;_pages&gt;1079-93&lt;/_pages&gt;&lt;_subject_headings&gt;Adult; Child; Colitis, Ulcerative/*drug therapy; Crohn Disease/*drug therapy; Humans; Inflammatory Bowel Diseases/drug therapy; Remission Induction; Thalidomide/analogs &amp;amp; derivatives/*therapeutic use&lt;/_subject_headings&gt;&lt;_tertiary_title&gt;Alimentary pharmacology &amp;amp; therapeutics&lt;/_tertiary_title&gt;&lt;_type_work&gt;Journal Article; Research Support, Non-U.S. Gov&amp;apos;t; Review; Systematic Review&lt;/_type_work&gt;&lt;_url&gt;http://www.ncbi.nlm.nih.gov/entrez/query.fcgi?cmd=Retrieve&amp;amp;db=pubmed&amp;amp;dopt=Abstract&amp;amp;list_uids=25858208&amp;amp;query_hl=1&lt;/_url&gt;&lt;_volume&gt;41&lt;/_volume&gt;&lt;_created&gt;64499671&lt;/_created&gt;&lt;_modified&gt;64499671&lt;/_modified&gt;&lt;_db_updated&gt;PubMed&lt;/_db_updated&gt;&lt;_impact_factor&gt;   8.171&lt;/_impact_factor&gt;&lt;/Details&gt;&lt;Extra&gt;&lt;DBUID&gt;{F96A950B-833F-4880-A151-76DA2D6A2879}&lt;/DBUID&gt;&lt;/Extra&gt;&lt;/Item&gt;&lt;/References&gt;&lt;/Group&gt;&lt;/Citation&gt;_x000a_"/>
    <w:docVar w:name="NE.Ref{B72DC976-9AFA-41BC-A7DE-51653395441D}" w:val=" ADDIN NE.Ref.{B72DC976-9AFA-41BC-A7DE-51653395441D}&lt;Citation&gt;&lt;Group&gt;&lt;References&gt;&lt;Item&gt;&lt;ID&gt;585&lt;/ID&gt;&lt;UID&gt;{0EC45AA3-E6A9-4593-B006-56B4BE775499}&lt;/UID&gt;&lt;Title&gt;Complex aphthosis: a large case series with evaluation algorithm and therapeutic  ladder from topicals to thalidomide&lt;/Title&gt;&lt;Template&gt;Journal Article&lt;/Template&gt;&lt;Star&gt;0&lt;/Star&gt;&lt;Tag&gt;0&lt;/Tag&gt;&lt;Author&gt;Letsinger, J A; McCarty, M A; Jorizzo, J L&lt;/Author&gt;&lt;Year&gt;2005&lt;/Year&gt;&lt;Details&gt;&lt;_accession_num&gt;15761429&lt;/_accession_num&gt;&lt;_author_adr&gt;Department of Dermatology at University of California, San Fransico, CA 94118, USA. letsingerj@derm.ucsf.edu&lt;/_author_adr&gt;&lt;_date_display&gt;2005 Mar&lt;/_date_display&gt;&lt;_date&gt;2005-03-01&lt;/_date&gt;&lt;_doi&gt;10.1016/j.jaad.2004.10.863&lt;/_doi&gt;&lt;_isbn&gt;1097-6787 (Electronic); 0190-9622 (Linking)&lt;/_isbn&gt;&lt;_issue&gt;3 Pt 1&lt;/_issue&gt;&lt;_journal&gt;J Am Acad Dermatol&lt;/_journal&gt;&lt;_language&gt;eng&lt;/_language&gt;&lt;_pages&gt;500-8&lt;/_pages&gt;&lt;_subject_headings&gt;Adult; Algorithms; Behcet Syndrome/diagnosis; Diagnosis, Differential; Female; Humans; Male; Recurrence; *Stomatitis, Aphthous/classification/diagnosis/drug therapy; Thalidomide/therapeutic use&lt;/_subject_headings&gt;&lt;_tertiary_title&gt;Journal of the American Academy of Dermatology&lt;/_tertiary_title&gt;&lt;_type_work&gt;Journal Article; Research Support, Non-U.S. Gov&amp;apos;t; Review&lt;/_type_work&gt;&lt;_url&gt;http://www.ncbi.nlm.nih.gov/entrez/query.fcgi?cmd=Retrieve&amp;amp;db=pubmed&amp;amp;dopt=Abstract&amp;amp;list_uids=15761429&amp;amp;query_hl=1&lt;/_url&gt;&lt;_volume&gt;52&lt;/_volume&gt;&lt;_created&gt;64499670&lt;/_created&gt;&lt;_modified&gt;64499670&lt;/_modified&gt;&lt;_db_updated&gt;PubMed&lt;/_db_updated&gt;&lt;_impact_factor&gt;  11.527&lt;/_impact_factor&gt;&lt;_collection_scope&gt;SCI;SCIE&lt;/_collection_scope&gt;&lt;/Details&gt;&lt;Extra&gt;&lt;DBUID&gt;{F96A950B-833F-4880-A151-76DA2D6A2879}&lt;/DBUID&gt;&lt;/Extra&gt;&lt;/Item&gt;&lt;/References&gt;&lt;/Group&gt;&lt;/Citation&gt;_x000a_"/>
    <w:docVar w:name="NE.Ref{B8F1B6C7-0B26-4298-877A-419F57702533}" w:val=" ADDIN NE.Ref.{B8F1B6C7-0B26-4298-877A-419F57702533}&lt;Citation&gt;&lt;Group&gt;&lt;References&gt;&lt;Item&gt;&lt;ID&gt;563&lt;/ID&gt;&lt;UID&gt;{C9DCDCDB-DA17-4579-A79A-1F87DFEEE62A}&lt;/UID&gt;&lt;Title&gt;Generalized gastrointestinal polyposis; an unusual syndrome of polyposis, pigmentation, alopecia and onychotrophia&lt;/Title&gt;&lt;Template&gt;Journal Article&lt;/Template&gt;&lt;Star&gt;0&lt;/Star&gt;&lt;Tag&gt;0&lt;/Tag&gt;&lt;Author&gt;CRONKHITE, LW Jr; CANADA, W J&lt;/Author&gt;&lt;Year&gt;1955&lt;/Year&gt;&lt;Details&gt;&lt;_accession_num&gt;14383952&lt;/_accession_num&gt;&lt;_date_display&gt;1955 Jun 16&lt;/_date_display&gt;&lt;_date&gt;1955-06-16&lt;/_date&gt;&lt;_doi&gt;10.1056/NEJM195506162522401&lt;/_doi&gt;&lt;_isbn&gt;0028-4793 (Print); 0028-4793 (Linking)&lt;/_isbn&gt;&lt;_issue&gt;24&lt;/_issue&gt;&lt;_journal&gt;N Engl J Med&lt;/_journal&gt;&lt;_keywords&gt;*ALOPECIA/complications; *ATROPHY; *GASTROINTESTINAL SYSTEM/neoplasms; *NAILS/diseases; *PIGMENTATION&lt;/_keywords&gt;&lt;_language&gt;eng&lt;/_language&gt;&lt;_pages&gt;1011-5&lt;/_pages&gt;&lt;_subject_headings&gt;Alopecia/*complications; *Atrophy; *Gastrointestinal Tract; Humans; *Nail Diseases; *Nails; *Neoplasms; *Pigmentation&lt;/_subject_headings&gt;&lt;_tertiary_title&gt;The New England journal of medicine&lt;/_tertiary_title&gt;&lt;_type_work&gt;Journal Article&lt;/_type_work&gt;&lt;_url&gt;http://www.ncbi.nlm.nih.gov/entrez/query.fcgi?cmd=Retrieve&amp;amp;db=pubmed&amp;amp;dopt=Abstract&amp;amp;list_uids=14383952&amp;amp;query_hl=1&lt;/_url&gt;&lt;_volume&gt;252&lt;/_volume&gt;&lt;_created&gt;64499651&lt;/_created&gt;&lt;_modified&gt;64499651&lt;/_modified&gt;&lt;_db_updated&gt;PubMed&lt;/_db_updated&gt;&lt;_impact_factor&gt;  91.253&lt;/_impact_factor&gt;&lt;/Details&gt;&lt;Extra&gt;&lt;DBUID&gt;{F96A950B-833F-4880-A151-76DA2D6A2879}&lt;/DBUID&gt;&lt;/Extra&gt;&lt;/Item&gt;&lt;/References&gt;&lt;/Group&gt;&lt;/Citation&gt;_x000a_"/>
    <w:docVar w:name="NE.Ref{C24D3C4F-9654-4600-8FA1-5D51186AAFBF}" w:val=" ADDIN NE.Ref.{C24D3C4F-9654-4600-8FA1-5D51186AAFBF}&lt;Citation&gt;&lt;Group&gt;&lt;References&gt;&lt;Item&gt;&lt;ID&gt;573&lt;/ID&gt;&lt;UID&gt;{5AAAD976-BE6E-4BD1-954F-EDEE04AF94CB}&lt;/UID&gt;&lt;Title&gt;Pharmacological management of Cronkhite-Canada syndrome&lt;/Title&gt;&lt;Template&gt;Journal Article&lt;/Template&gt;&lt;Star&gt;0&lt;/Star&gt;&lt;Tag&gt;0&lt;/Tag&gt;&lt;Author&gt;Ward, E M; Wolfsen, H C&lt;/Author&gt;&lt;Year&gt;2003&lt;/Year&gt;&lt;Details&gt;&lt;_accession_num&gt;12614190&lt;/_accession_num&gt;&lt;_author_adr&gt;Division of Gastroenterology and Hepatology, Mayo Clinic, 4500 San Pablo Road, Jacksonville, FL 32224, USA.&lt;/_author_adr&gt;&lt;_date_display&gt;2003 Mar&lt;/_date_display&gt;&lt;_date&gt;2003-03-01&lt;/_date&gt;&lt;_doi&gt;10.1517/14656566.4.3.385&lt;/_doi&gt;&lt;_isbn&gt;1465-6566 (Print); 1465-6566 (Linking)&lt;/_isbn&gt;&lt;_issue&gt;3&lt;/_issue&gt;&lt;_journal&gt;Expert Opin Pharmacother&lt;/_journal&gt;&lt;_language&gt;eng&lt;/_language&gt;&lt;_pages&gt;385-9&lt;/_pages&gt;&lt;_subject_headings&gt;Adrenal Cortex Hormones/therapeutic use; Anabolic Agents/therapeutic use; Anti-Bacterial Agents/therapeutic use; Digestive System Surgical Procedures; Drug Therapy, Combination; Endoscopy, Gastrointestinal; Enzyme Inhibitors/therapeutic use; Histamine Antagonists/therapeutic use; Humans; Intestinal Polyps/*drug therapy/surgery/therapy; Nutritional Support; Proton Pump Inhibitors&lt;/_subject_headings&gt;&lt;_tertiary_title&gt;Expert opinion on pharmacotherapy&lt;/_tertiary_title&gt;&lt;_type_work&gt;Journal Article; Review&lt;/_type_work&gt;&lt;_url&gt;http://www.ncbi.nlm.nih.gov/entrez/query.fcgi?cmd=Retrieve&amp;amp;db=pubmed&amp;amp;dopt=Abstract&amp;amp;list_uids=12614190&amp;amp;query_hl=1&lt;/_url&gt;&lt;_volume&gt;4&lt;/_volume&gt;&lt;_created&gt;64499665&lt;/_created&gt;&lt;_modified&gt;64499665&lt;/_modified&gt;&lt;_db_updated&gt;PubMed&lt;/_db_updated&gt;&lt;_impact_factor&gt;   3.889&lt;/_impact_factor&gt;&lt;/Details&gt;&lt;Extra&gt;&lt;DBUID&gt;{F96A950B-833F-4880-A151-76DA2D6A2879}&lt;/DBUID&gt;&lt;/Extra&gt;&lt;/Item&gt;&lt;/References&gt;&lt;/Group&gt;&lt;/Citation&gt;_x000a_"/>
    <w:docVar w:name="NE.Ref{CA804C85-1101-4588-93B1-68B0F9542045}" w:val=" ADDIN NE.Ref.{CA804C85-1101-4588-93B1-68B0F9542045}&lt;Citation&gt;&lt;Group&gt;&lt;References&gt;&lt;Item&gt;&lt;ID&gt;581&lt;/ID&gt;&lt;UID&gt;{937EDC78-2D1B-4C81-B09E-518FB4BAB4A7}&lt;/UID&gt;&lt;Title&gt;Cronkhite-Canada syndrome: a retrospective analysis of four cases at a single medical center&lt;/Title&gt;&lt;Template&gt;Journal Article&lt;/Template&gt;&lt;Star&gt;0&lt;/Star&gt;&lt;Tag&gt;0&lt;/Tag&gt;&lt;Author&gt;Yu, X; Wang, C; Wang, M; Wu, Y; Zhang, L; Yang, Q; Chen, L&lt;/Author&gt;&lt;Year&gt;2022&lt;/Year&gt;&lt;Details&gt;&lt;_accession_num&gt;35289240&lt;/_accession_num&gt;&lt;_author_adr&gt;Department of Gastroenterology, The First Affiliated Hospital of Fujian Medical University, Fuzhou, China.; Department of Gastroenterology, The First Affiliated Hospital of Fujian Medical University, Fuzhou, China.; Department of Pathology, The First Affiliated Hospital of Fujian Medical University, Fuzhou, China.; Department of Radiography, The First Affiliated Hospital of Fujian Medical University, Fuzhou, China.; Department of Gastroenterology, The First Affiliated Hospital of Fujian Medical University, Fuzhou, China.; Department of Gastroenterology, The First Affiliated Hospital of Fujian Medical University, Fuzhou, China.; Department of Neurosurgery &amp;amp; Neurocritical care, Huashan Hospital, Fudan University, Shanghai, China.; Department of Critical care, The First Affiliated Hospital of Fujian Medical University, Fuzhou, China.&lt;/_author_adr&gt;&lt;_date_display&gt;2022 Aug&lt;/_date_display&gt;&lt;_date&gt;2022-08-01&lt;/_date&gt;&lt;_doi&gt;10.1080/00365521.2022.2048885&lt;/_doi&gt;&lt;_isbn&gt;1502-7708 (Electronic); 0036-5521 (Linking)&lt;/_isbn&gt;&lt;_issue&gt;8&lt;/_issue&gt;&lt;_journal&gt;Scand J Gastroenterol&lt;/_journal&gt;&lt;_keywords&gt;*Cronkhite-Canada syndrome; *clinical characteristics; *imaging features; *prognosis; *treatment&lt;/_keywords&gt;&lt;_language&gt;eng&lt;/_language&gt;&lt;_pages&gt;958-964&lt;/_pages&gt;&lt;_subject_headings&gt;*Adenoma; Adult; *Colorectal Neoplasms; Female; Humans; *Intestinal Polyposis/diagnosis/pathology/therapy; Male; Middle Aged; *Polyps; Prednisone; Retrospective Studies&lt;/_subject_headings&gt;&lt;_tertiary_title&gt;Scandinavian journal of gastroenterology&lt;/_tertiary_title&gt;&lt;_type_work&gt;Journal Article&lt;/_type_work&gt;&lt;_url&gt;http://www.ncbi.nlm.nih.gov/entrez/query.fcgi?cmd=Retrieve&amp;amp;db=pubmed&amp;amp;dopt=Abstract&amp;amp;list_uids=35289240&amp;amp;query_hl=1&lt;/_url&gt;&lt;_volume&gt;57&lt;/_volume&gt;&lt;_created&gt;64499668&lt;/_created&gt;&lt;_modified&gt;64499668&lt;/_modified&gt;&lt;_db_updated&gt;PubMed&lt;/_db_updated&gt;&lt;_impact_factor&gt;   2.425&lt;/_impact_factor&gt;&lt;/Details&gt;&lt;Extra&gt;&lt;DBUID&gt;{F96A950B-833F-4880-A151-76DA2D6A2879}&lt;/DBUID&gt;&lt;/Extra&gt;&lt;/Item&gt;&lt;/References&gt;&lt;/Group&gt;&lt;/Citation&gt;_x000a_"/>
    <w:docVar w:name="NE.Ref{D78D2A12-78E2-49D3-BE13-7BE018EF82A1}" w:val=" ADDIN NE.Ref.{D78D2A12-78E2-49D3-BE13-7BE018EF82A1}&lt;Citation&gt;&lt;Group&gt;&lt;References&gt;&lt;Item&gt;&lt;ID&gt;575&lt;/ID&gt;&lt;UID&gt;{0D723B58-E23A-481F-97BC-A83C0DCE5A4B}&lt;/UID&gt;&lt;Title&gt;The first report on effect of fecal microbiota transplantation as a complementary treatment in a patient with steroid-refractory Cronkhite-Canada syndrome: A case  report&lt;/Title&gt;&lt;Template&gt;Journal Article&lt;/Template&gt;&lt;Star&gt;0&lt;/Star&gt;&lt;Tag&gt;0&lt;/Tag&gt;&lt;Author&gt;Kim, S Y; Shin, J; Park, J S; Cha, B; Seo, Y; Park, S H; Lee, J H; Kim, J S; Kwon, G&lt;/Author&gt;&lt;Year&gt;2022&lt;/Year&gt;&lt;Details&gt;&lt;_accession_num&gt;35357354&lt;/_accession_num&gt;&lt;_author_adr&gt;Digestive Disease Center, Department of Internal Medicine, Inha University College of Medicine, Incheon, South Korea.; Digestive Disease Center, Department of Internal Medicine, Inha University College of Medicine, Incheon, South Korea.; Digestive Disease Center, Department of Internal Medicine, Inha University College of Medicine, Incheon, South Korea.; Digestive Disease Center, Department of Internal Medicine, Inha University College of Medicine, Incheon, South Korea.; Department of Pathology, Inha University College of Medicine, Incheon, South Korea.; Department of Hospital Medicine, Inha University College of Medicine, Incheon, South Korea.; Department of Hospital Medicine, Inha University College of Medicine, Incheon, South Korea.; Department of Nano-Bioengineering, Incheon National University, Incheon, South Korea.; Digestive Disease Center, Department of Internal Medicine, Inha University College of Medicine, Incheon, South Korea.&lt;/_author_adr&gt;&lt;_date_display&gt;2022 Mar 25&lt;/_date_display&gt;&lt;_date&gt;2022-03-25&lt;/_date&gt;&lt;_doi&gt;10.1097/MD.0000000000029135&lt;/_doi&gt;&lt;_isbn&gt;1536-5964 (Electronic); 0025-7974 (Linking)&lt;/_isbn&gt;&lt;_issue&gt;12&lt;/_issue&gt;&lt;_journal&gt;Medicine (Baltimore)&lt;/_journal&gt;&lt;_language&gt;eng&lt;/_language&gt;&lt;_ori_publication&gt;Copyright (c) 2022 the Author(s). Published by Wolters Kluwer Health, Inc.&lt;/_ori_publication&gt;&lt;_pages&gt;e29135&lt;/_pages&gt;&lt;_subject_headings&gt;Aged; *Fecal Microbiota Transplantation/methods; Feces/microbiology; Humans; *Intestinal Polyposis/therapy; Male; RNA, Ribosomal, 16S/genetics; Steroids&lt;/_subject_headings&gt;&lt;_tertiary_title&gt;Medicine&lt;/_tertiary_title&gt;&lt;_type_work&gt;Case Reports; Journal Article&lt;/_type_work&gt;&lt;_url&gt;http://www.ncbi.nlm.nih.gov/entrez/query.fcgi?cmd=Retrieve&amp;amp;db=pubmed&amp;amp;dopt=Abstract&amp;amp;list_uids=35357354&amp;amp;query_hl=1&lt;/_url&gt;&lt;_volume&gt;101&lt;/_volume&gt;&lt;_created&gt;64499666&lt;/_created&gt;&lt;_modified&gt;64499666&lt;/_modified&gt;&lt;_db_updated&gt;PubMed&lt;/_db_updated&gt;&lt;_impact_factor&gt;   1.889&lt;/_impact_factor&gt;&lt;/Details&gt;&lt;Extra&gt;&lt;DBUID&gt;{F96A950B-833F-4880-A151-76DA2D6A2879}&lt;/DBUID&gt;&lt;/Extra&gt;&lt;/Item&gt;&lt;/References&gt;&lt;/Group&gt;&lt;/Citation&gt;_x000a_"/>
    <w:docVar w:name="NE.Ref{E407DF6B-D2B6-4DD4-A280-B7BB819D678E}" w:val=" ADDIN NE.Ref.{E407DF6B-D2B6-4DD4-A280-B7BB819D678E}&lt;Citation&gt;&lt;Group&gt;&lt;References&gt;&lt;Item&gt;&lt;ID&gt;584&lt;/ID&gt;&lt;UID&gt;{F9D17FCD-2F2D-4274-BF15-8C5924BCB82B}&lt;/UID&gt;&lt;Title&gt;Thalidomide for severe systemic onset juvenile rheumatoid arthritis: A multicenter study&lt;/Title&gt;&lt;Template&gt;Journal Article&lt;/Template&gt;&lt;Star&gt;0&lt;/Star&gt;&lt;Tag&gt;0&lt;/Tag&gt;&lt;Author&gt;Lehman, T J; Schechter, S J; Sundel, R P; Oliveira, S K; Huttenlocher, A; Onel, K B&lt;/Author&gt;&lt;Year&gt;2004&lt;/Year&gt;&lt;Details&gt;&lt;_accession_num&gt;15580219&lt;/_accession_num&gt;&lt;_author_adr&gt;Division of Pediatric Rheumatology, Hospital for Special Surgery, and the Department of Pediatrics, Sanford Weill Medical College of Cornell University, New York, New York, USA.&lt;/_author_adr&gt;&lt;_date_display&gt;2004 Dec&lt;/_date_display&gt;&lt;_date&gt;2004-12-01&lt;/_date&gt;&lt;_doi&gt;10.1016/j.jpeds.2004.08.020&lt;/_doi&gt;&lt;_isbn&gt;0022-3476 (Print); 0022-3476 (Linking)&lt;/_isbn&gt;&lt;_issue&gt;6&lt;/_issue&gt;&lt;_journal&gt;J Pediatr&lt;/_journal&gt;&lt;_language&gt;eng&lt;/_language&gt;&lt;_pages&gt;856-7&lt;/_pages&gt;&lt;_subject_headings&gt;Arthritis, Juvenile/*drug therapy; Blood Sedimentation/drug effects; Child; Female; Humans; Immunosuppressive Agents/*therapeutic use; Male; Thalidomide/*therapeutic use; Treatment Outcome&lt;/_subject_headings&gt;&lt;_tertiary_title&gt;The Journal of pediatrics&lt;/_tertiary_title&gt;&lt;_type_work&gt;Journal Article; Multicenter Study; Research Support, Non-U.S. Gov&amp;apos;t&lt;/_type_work&gt;&lt;_url&gt;http://www.ncbi.nlm.nih.gov/entrez/query.fcgi?cmd=Retrieve&amp;amp;db=pubmed&amp;amp;dopt=Abstract&amp;amp;list_uids=15580219&amp;amp;query_hl=1&lt;/_url&gt;&lt;_volume&gt;145&lt;/_volume&gt;&lt;_created&gt;64499670&lt;/_created&gt;&lt;_modified&gt;64499670&lt;/_modified&gt;&lt;_db_updated&gt;PubMed&lt;/_db_updated&gt;&lt;_impact_factor&gt;   4.406&lt;/_impact_factor&gt;&lt;/Details&gt;&lt;Extra&gt;&lt;DBUID&gt;{F96A950B-833F-4880-A151-76DA2D6A2879}&lt;/DBUID&gt;&lt;/Extra&gt;&lt;/Item&gt;&lt;/References&gt;&lt;/Group&gt;&lt;/Citation&gt;_x000a_"/>
    <w:docVar w:name="NE.Ref{E4B6AC80-D524-4133-98EA-96CE89AA3DAB}" w:val=" ADDIN NE.Ref.{E4B6AC80-D524-4133-98EA-96CE89AA3DAB}&lt;Citation&gt;&lt;Group&gt;&lt;References&gt;&lt;Item&gt;&lt;ID&gt;567&lt;/ID&gt;&lt;UID&gt;{16A58D9B-B16F-446A-8671-7496880B1FE2}&lt;/UID&gt;&lt;Title&gt;Cronkhite-Canada Syndrome (CCS)-A Rare Case Report&lt;/Title&gt;&lt;Template&gt;Journal Article&lt;/Template&gt;&lt;Star&gt;0&lt;/Star&gt;&lt;Tag&gt;0&lt;/Tag&gt;&lt;Author&gt;Chakrabarti, S&lt;/Author&gt;&lt;Year&gt;2015&lt;/Year&gt;&lt;Details&gt;&lt;_accession_num&gt;25954656&lt;/_accession_num&gt;&lt;_author_adr&gt;Post Graduate Trainee, Department of General Medicine, Ipgmer , Kolkata, India .&lt;/_author_adr&gt;&lt;_date_display&gt;2015 Mar&lt;/_date_display&gt;&lt;_date&gt;2015-03-01&lt;/_date&gt;&lt;_doi&gt;10.7860/JCDR/2015/11919.5700&lt;/_doi&gt;&lt;_isbn&gt;2249-782X (Print); 0973-709X (Linking)&lt;/_isbn&gt;&lt;_issue&gt;3&lt;/_issue&gt;&lt;_journal&gt;J Clin Diagn Res&lt;/_journal&gt;&lt;_keywords&gt;Alopecia; Hyperpigmentation; Onychodystrophy; Polyposis&lt;/_keywords&gt;&lt;_language&gt;eng&lt;/_language&gt;&lt;_pages&gt;OD08-9&lt;/_pages&gt;&lt;_tertiary_title&gt;Journal of clinical and diagnostic research : JCDR&lt;/_tertiary_title&gt;&lt;_type_work&gt;Case Reports&lt;/_type_work&gt;&lt;_url&gt;http://www.ncbi.nlm.nih.gov/entrez/query.fcgi?cmd=Retrieve&amp;amp;db=pubmed&amp;amp;dopt=Abstract&amp;amp;list_uids=25954656&amp;amp;query_hl=1&lt;/_url&gt;&lt;_volume&gt;9&lt;/_volume&gt;&lt;_created&gt;64499661&lt;/_created&gt;&lt;_modified&gt;64499661&lt;/_modified&gt;&lt;_db_updated&gt;PubMed&lt;/_db_updated&gt;&lt;/Details&gt;&lt;Extra&gt;&lt;DBUID&gt;{F96A950B-833F-4880-A151-76DA2D6A2879}&lt;/DBUID&gt;&lt;/Extra&gt;&lt;/Item&gt;&lt;/References&gt;&lt;/Group&gt;&lt;/Citation&gt;_x000a_"/>
    <w:docVar w:name="NE.Ref{ED52530B-BE15-478A-ACDE-A56021090B36}" w:val=" ADDIN NE.Ref.{ED52530B-BE15-478A-ACDE-A56021090B36}&lt;Citation&gt;&lt;Group&gt;&lt;References&gt;&lt;Item&gt;&lt;ID&gt;577&lt;/ID&gt;&lt;UID&gt;{37CDB402-AB6B-4261-BF11-771FBFA5E3BF}&lt;/UID&gt;&lt;Title&gt;Cronkhite-Canada syndrome&lt;/Title&gt;&lt;Template&gt;Journal Article&lt;/Template&gt;&lt;Star&gt;0&lt;/Star&gt;&lt;Tag&gt;0&lt;/Tag&gt;&lt;Author&gt;Nagy, A; Toth, L; Theisz, J; Bajko, N; Zolnai, Z; Varga, M; Igaz, I&lt;/Author&gt;&lt;Year&gt;2021&lt;/Year&gt;&lt;Details&gt;&lt;_accession_num&gt;33714942&lt;/_accession_num&gt;&lt;_author_adr&gt;1 Szent Imre Egyetemi Oktatokorhaz, Gasztroenterologia Profil, Budapest, Tetenyi  ut 12-16., 1115.; 1 Szent Imre Egyetemi Oktatokorhaz, Gasztroenterologia Profil, Budapest, Tetenyi  ut 12-16., 1115.; 1 Szent Imre Egyetemi Oktatokorhaz, Gasztroenterologia Profil, Budapest, Tetenyi  ut 12-16., 1115.; 2 Szent Imre Egyetemi Oktatokorhaz, Kepalkoto Diagnosztikai Osztaly, Budapest.; 3 Szent Imre Egyetemi Oktatokorhaz, Patologiai Osztaly, Budapest.; 4 Szent Imre Egyetemi Oktatokorhaz, Dietetikai Szolgalat, Budapest.; 1 Szent Imre Egyetemi Oktatokorhaz, Gasztroenterologia Profil, Budapest, Tetenyi  ut 12-16., 1115.; 5 Szent Margit Korhaz, Gasztroenterologia Osztaly, Budapest.&lt;/_author_adr&gt;&lt;_date_display&gt;2021 Mar 14&lt;/_date_display&gt;&lt;_date&gt;2021-03-14&lt;/_date&gt;&lt;_doi&gt;10.1556/650.2021.32055&lt;/_doi&gt;&lt;_isbn&gt;1788-6120 (Electronic); 0030-6002 (Linking)&lt;/_isbn&gt;&lt;_issue&gt;11&lt;/_issue&gt;&lt;_journal&gt;Orv Hetil&lt;/_journal&gt;&lt;_keywords&gt;*Cronkhite-Canada syndrome; *Cronkhite-Canada-szindroma; *feherjeveszto enteropathia; *gastrointestinal polyposis; *onychodystrophia; *onychodystrophy; *polyposisszindroma; *protein-losing enteropathy&lt;/_keywords&gt;&lt;_language&gt;hun&lt;/_language&gt;&lt;_pages&gt;432-438&lt;/_pages&gt;&lt;_subject_headings&gt;Aged; Humans; Hungary; *Intestinal Polyposis/diagnosis; Male&lt;/_subject_headings&gt;&lt;_tertiary_title&gt;Orvosi hetilap&lt;/_tertiary_title&gt;&lt;_type_work&gt;Case Reports&lt;/_type_work&gt;&lt;_url&gt;http://www.ncbi.nlm.nih.gov/entrez/query.fcgi?cmd=Retrieve&amp;amp;db=pubmed&amp;amp;dopt=Abstract&amp;amp;list_uids=33714942&amp;amp;query_hl=1&lt;/_url&gt;&lt;_volume&gt;162&lt;/_volume&gt;&lt;_created&gt;64499666&lt;/_created&gt;&lt;_modified&gt;64499666&lt;/_modified&gt;&lt;_db_updated&gt;PubMed&lt;/_db_updated&gt;&lt;_impact_factor&gt;   0.540&lt;/_impact_factor&gt;&lt;/Details&gt;&lt;Extra&gt;&lt;DBUID&gt;{F96A950B-833F-4880-A151-76DA2D6A2879}&lt;/DBUID&gt;&lt;/Extra&gt;&lt;/Item&gt;&lt;/References&gt;&lt;/Group&gt;&lt;/Citation&gt;_x000a_"/>
    <w:docVar w:name="NE.Ref{F5A9D65B-FC78-4C14-8AAC-34C42FF98DC2}" w:val=" ADDIN NE.Ref.{F5A9D65B-FC78-4C14-8AAC-34C42FF98DC2}&lt;Citation&gt;&lt;Group&gt;&lt;References&gt;&lt;Item&gt;&lt;ID&gt;563&lt;/ID&gt;&lt;UID&gt;{C9DCDCDB-DA17-4579-A79A-1F87DFEEE62A}&lt;/UID&gt;&lt;Title&gt;Generalized gastrointestinal polyposis; an unusual syndrome of polyposis, pigmentation, alopecia and onychotrophia&lt;/Title&gt;&lt;Template&gt;Journal Article&lt;/Template&gt;&lt;Star&gt;0&lt;/Star&gt;&lt;Tag&gt;0&lt;/Tag&gt;&lt;Author&gt;CRONKHITE, LW Jr; CANADA, W J&lt;/Author&gt;&lt;Year&gt;1955&lt;/Year&gt;&lt;Details&gt;&lt;_accession_num&gt;14383952&lt;/_accession_num&gt;&lt;_date_display&gt;1955 Jun 16&lt;/_date_display&gt;&lt;_date&gt;1955-06-16&lt;/_date&gt;&lt;_doi&gt;10.1056/NEJM195506162522401&lt;/_doi&gt;&lt;_isbn&gt;0028-4793 (Print); 0028-4793 (Linking)&lt;/_isbn&gt;&lt;_issue&gt;24&lt;/_issue&gt;&lt;_journal&gt;N Engl J Med&lt;/_journal&gt;&lt;_keywords&gt;*ALOPECIA/complications; *ATROPHY; *GASTROINTESTINAL SYSTEM/neoplasms; *NAILS/diseases; *PIGMENTATION&lt;/_keywords&gt;&lt;_language&gt;eng&lt;/_language&gt;&lt;_pages&gt;1011-5&lt;/_pages&gt;&lt;_subject_headings&gt;Alopecia/*complications; *Atrophy; *Gastrointestinal Tract; Humans; *Nail Diseases; *Nails; *Neoplasms; *Pigmentation&lt;/_subject_headings&gt;&lt;_tertiary_title&gt;The New England journal of medicine&lt;/_tertiary_title&gt;&lt;_type_work&gt;Journal Article&lt;/_type_work&gt;&lt;_url&gt;http://www.ncbi.nlm.nih.gov/entrez/query.fcgi?cmd=Retrieve&amp;amp;db=pubmed&amp;amp;dopt=Abstract&amp;amp;list_uids=14383952&amp;amp;query_hl=1&lt;/_url&gt;&lt;_volume&gt;252&lt;/_volume&gt;&lt;_created&gt;64499651&lt;/_created&gt;&lt;_modified&gt;64499651&lt;/_modified&gt;&lt;_db_updated&gt;PubMed&lt;/_db_updated&gt;&lt;_impact_factor&gt;  91.253&lt;/_impact_factor&gt;&lt;/Details&gt;&lt;Extra&gt;&lt;DBUID&gt;{F96A950B-833F-4880-A151-76DA2D6A2879}&lt;/DBUID&gt;&lt;/Extra&gt;&lt;/Item&gt;&lt;/References&gt;&lt;/Group&gt;&lt;/Citation&gt;_x000a_"/>
    <w:docVar w:name="NE.Ref{F6A39203-D58A-48A6-B247-8AB0835FE967}" w:val=" ADDIN NE.Ref.{F6A39203-D58A-48A6-B247-8AB0835FE967}&lt;Citation&gt;&lt;Group&gt;&lt;References&gt;&lt;Item&gt;&lt;ID&gt;569&lt;/ID&gt;&lt;UID&gt;{7FBC534B-4653-43A0-BD85-4F537508E515}&lt;/UID&gt;&lt;Title&gt;Cronkhite-Canada syndrome with colon cancer, portal thrombosis, high titer of antinuclear antibodies, and membranous glomerulonephritis&lt;/Title&gt;&lt;Template&gt;Journal Article&lt;/Template&gt;&lt;Star&gt;0&lt;/Star&gt;&lt;Tag&gt;0&lt;/Tag&gt;&lt;Author&gt;Takeuchi, Y; Yoshikawa, M; Tsukamoto, N; Shiroi, A; Hoshida, Y; Enomoto, Y; Kimura, T; Yamamoto, K; Shiiki, H; Kikuchi, E; Fukui, H&lt;/Author&gt;&lt;Year&gt;2003&lt;/Year&gt;&lt;Details&gt;&lt;_accession_num&gt;14505136&lt;/_accession_num&gt;&lt;_author_adr&gt;Department of Internal Medicine, Division of Gastroenterology, Belland General Hospital, Sakai, Japan.&lt;/_author_adr&gt;&lt;_date_display&gt;2003&lt;/_date_display&gt;&lt;_date&gt;2003-01-20&lt;/_date&gt;&lt;_doi&gt;10.1007/s00535-002-1148-6&lt;/_doi&gt;&lt;_isbn&gt;0944-1174 (Print); 0944-1174 (Linking)&lt;/_isbn&gt;&lt;_issue&gt;8&lt;/_issue&gt;&lt;_journal&gt;J Gastroenterol&lt;/_journal&gt;&lt;_language&gt;eng&lt;/_language&gt;&lt;_pages&gt;791-5&lt;/_pages&gt;&lt;_subject_headings&gt;Antibodies, Antinuclear/*blood; Colonic Neoplasms/*complications/immunology; Glomerulonephritis, Membranous/*complications; Humans; Intestinal Polyposis/*complications/immunology; Male; Middle Aged; *Portal Vein; Venous Thrombosis/*complications&lt;/_subject_headings&gt;&lt;_tertiary_title&gt;Journal of gastroenterology&lt;/_tertiary_title&gt;&lt;_type_work&gt;Case Reports; Journal Article&lt;/_type_work&gt;&lt;_url&gt;http://www.ncbi.nlm.nih.gov/entrez/query.fcgi?cmd=Retrieve&amp;amp;db=pubmed&amp;amp;dopt=Abstract&amp;amp;list_uids=14505136&amp;amp;query_hl=1&lt;/_url&gt;&lt;_volume&gt;38&lt;/_volume&gt;&lt;_created&gt;64499662&lt;/_created&gt;&lt;_modified&gt;64499662&lt;/_modified&gt;&lt;_db_updated&gt;PubMed&lt;/_db_updated&gt;&lt;_impact_factor&gt;   7.527&lt;/_impact_factor&gt;&lt;_collection_scope&gt;SCIE&lt;/_collection_scope&gt;&lt;/Details&gt;&lt;Extra&gt;&lt;DBUID&gt;{F96A950B-833F-4880-A151-76DA2D6A2879}&lt;/DBUID&gt;&lt;/Extra&gt;&lt;/Item&gt;&lt;/References&gt;&lt;/Group&gt;&lt;Group&gt;&lt;References&gt;&lt;Item&gt;&lt;ID&gt;570&lt;/ID&gt;&lt;UID&gt;{F56750B3-96BF-4A50-AAFC-26F59A3C054A}&lt;/UID&gt;&lt;Title&gt;Pharmacological management of Cronkhite-Canada syndrome&lt;/Title&gt;&lt;Template&gt;Journal Article&lt;/Template&gt;&lt;Star&gt;0&lt;/Star&gt;&lt;Tag&gt;0&lt;/Tag&gt;&lt;Author&gt;Ward, E M; Wolfsen, H C&lt;/Author&gt;&lt;Year&gt;2003&lt;/Year&gt;&lt;Details&gt;&lt;_accession_num&gt;12614190&lt;/_accession_num&gt;&lt;_author_adr&gt;Division of Gastroenterology and Hepatology, Mayo Clinic, 4500 San Pablo Road, Jacksonville, FL 32224, USA.&lt;/_author_adr&gt;&lt;_date_display&gt;2003 Mar&lt;/_date_display&gt;&lt;_date&gt;2003-03-01&lt;/_date&gt;&lt;_doi&gt;10.1517/14656566.4.3.385&lt;/_doi&gt;&lt;_isbn&gt;1465-6566 (Print); 1465-6566 (Linking)&lt;/_isbn&gt;&lt;_issue&gt;3&lt;/_issue&gt;&lt;_journal&gt;Expert Opin Pharmacother&lt;/_journal&gt;&lt;_language&gt;eng&lt;/_language&gt;&lt;_pages&gt;385-9&lt;/_pages&gt;&lt;_subject_headings&gt;Adrenal Cortex Hormones/therapeutic use; Anabolic Agents/therapeutic use; Anti-Bacterial Agents/therapeutic use; Digestive System Surgical Procedures; Drug Therapy, Combination; Endoscopy, Gastrointestinal; Enzyme Inhibitors/therapeutic use; Histamine Antagonists/therapeutic use; Humans; Intestinal Polyps/*drug therapy/surgery/therapy; Nutritional Support; Proton Pump Inhibitors&lt;/_subject_headings&gt;&lt;_tertiary_title&gt;Expert opinion on pharmacotherapy&lt;/_tertiary_title&gt;&lt;_type_work&gt;Journal Article; Review&lt;/_type_work&gt;&lt;_url&gt;http://www.ncbi.nlm.nih.gov/entrez/query.fcgi?cmd=Retrieve&amp;amp;db=pubmed&amp;amp;dopt=Abstract&amp;amp;list_uids=12614190&amp;amp;query_hl=1&lt;/_url&gt;&lt;_volume&gt;4&lt;/_volume&gt;&lt;_created&gt;64499663&lt;/_created&gt;&lt;_modified&gt;64499663&lt;/_modified&gt;&lt;_db_updated&gt;PubMed&lt;/_db_updated&gt;&lt;_impact_factor&gt;   3.889&lt;/_impact_factor&gt;&lt;/Details&gt;&lt;Extra&gt;&lt;DBUID&gt;{F96A950B-833F-4880-A151-76DA2D6A2879}&lt;/DBUID&gt;&lt;/Extra&gt;&lt;/Item&gt;&lt;/References&gt;&lt;/Group&gt;&lt;/Citation&gt;_x000a_"/>
    <w:docVar w:name="NE.Ref{FC6914D0-0D68-4389-AF5E-86D0F01C3DF0}" w:val=" ADDIN NE.Ref.{FC6914D0-0D68-4389-AF5E-86D0F01C3DF0}&lt;Citation&gt;&lt;Group&gt;&lt;References&gt;&lt;Item&gt;&lt;ID&gt;564&lt;/ID&gt;&lt;UID&gt;{F721FE88-1D9B-4D3B-9C53-0C8A4D89DFFB}&lt;/UID&gt;&lt;Title&gt;Cronkhite-Canada syndrome&lt;/Title&gt;&lt;Template&gt;Journal Article&lt;/Template&gt;&lt;Star&gt;0&lt;/Star&gt;&lt;Tag&gt;0&lt;/Tag&gt;&lt;Author&gt;Vashistha, N; Chakravarty, S; Singhal, D&lt;/Author&gt;&lt;Year&gt;2017&lt;/Year&gt;&lt;Details&gt;&lt;_accession_num&gt;28576394&lt;/_accession_num&gt;&lt;_author_adr&gt;Department of Surgical Gastroenterolgy, Max Super Speciality Hospital, Saket, New Delhi, India.; Department of Gastroenterolgy, Max Super Speciality Hospital, Saket, New Delhi, India.; Department of Surgical Gastroenterology, Max Super Speciality Hospital, Saket, New Delhi, India.&lt;/_author_adr&gt;&lt;_date_display&gt;2017 Nov&lt;/_date_display&gt;&lt;_date&gt;2017-11-01&lt;/_date&gt;&lt;_doi&gt;10.1016/j.gie.2017.05.028&lt;/_doi&gt;&lt;_isbn&gt;1097-6779 (Electronic); 0016-5107 (Linking)&lt;/_isbn&gt;&lt;_issue&gt;5&lt;/_issue&gt;&lt;_journal&gt;Gastrointest Endosc&lt;/_journal&gt;&lt;_language&gt;eng&lt;/_language&gt;&lt;_pages&gt;922-923&lt;/_pages&gt;&lt;_subject_headings&gt;Adult; Colonoscopy; Humans; Intestinal Polyposis/*diagnosis/*pathology; Male; Nail Diseases/*diagnosis; Tongue Diseases/*diagnosis&lt;/_subject_headings&gt;&lt;_tertiary_title&gt;Gastrointestinal endoscopy&lt;/_tertiary_title&gt;&lt;_type_work&gt;Case Reports; Journal Article&lt;/_type_work&gt;&lt;_url&gt;http://www.ncbi.nlm.nih.gov/entrez/query.fcgi?cmd=Retrieve&amp;amp;db=pubmed&amp;amp;dopt=Abstract&amp;amp;list_uids=28576394&amp;amp;query_hl=1&lt;/_url&gt;&lt;_volume&gt;86&lt;/_volume&gt;&lt;_created&gt;64499655&lt;/_created&gt;&lt;_modified&gt;64499655&lt;/_modified&gt;&lt;_db_updated&gt;PubMed&lt;/_db_updated&gt;&lt;_impact_factor&gt;   9.427&lt;/_impact_factor&gt;&lt;_collection_scope&gt;SCI;SCIE&lt;/_collection_scope&gt;&lt;/Details&gt;&lt;Extra&gt;&lt;DBUID&gt;{F96A950B-833F-4880-A151-76DA2D6A2879}&lt;/DBUID&gt;&lt;/Extra&gt;&lt;/Item&gt;&lt;/References&gt;&lt;/Group&gt;&lt;/Citation&gt;_x000a_"/>
    <w:docVar w:name="ne_docsoft" w:val="MSWord"/>
    <w:docVar w:name="ne_docversion" w:val="NoteExpress 2.0"/>
    <w:docVar w:name="ne_stylename" w:val="World J Gastroenterology"/>
  </w:docVars>
  <w:rsids>
    <w:rsidRoot w:val="00172A27"/>
    <w:rsid w:val="00076C2D"/>
    <w:rsid w:val="000A6D26"/>
    <w:rsid w:val="000C41D8"/>
    <w:rsid w:val="00172A27"/>
    <w:rsid w:val="00180586"/>
    <w:rsid w:val="001E1422"/>
    <w:rsid w:val="00246A2B"/>
    <w:rsid w:val="002D0295"/>
    <w:rsid w:val="002D4DE3"/>
    <w:rsid w:val="003707AF"/>
    <w:rsid w:val="003E481A"/>
    <w:rsid w:val="004632D3"/>
    <w:rsid w:val="004953FA"/>
    <w:rsid w:val="004D1A3B"/>
    <w:rsid w:val="004E5414"/>
    <w:rsid w:val="005120C1"/>
    <w:rsid w:val="0052376C"/>
    <w:rsid w:val="00564517"/>
    <w:rsid w:val="00565427"/>
    <w:rsid w:val="005A335D"/>
    <w:rsid w:val="005D6CC0"/>
    <w:rsid w:val="005E495A"/>
    <w:rsid w:val="00637A36"/>
    <w:rsid w:val="006D05D7"/>
    <w:rsid w:val="00715765"/>
    <w:rsid w:val="00775C1B"/>
    <w:rsid w:val="00780B0E"/>
    <w:rsid w:val="007B3B91"/>
    <w:rsid w:val="00834E72"/>
    <w:rsid w:val="00837B3C"/>
    <w:rsid w:val="0084360B"/>
    <w:rsid w:val="0084767F"/>
    <w:rsid w:val="00873986"/>
    <w:rsid w:val="009A6FB4"/>
    <w:rsid w:val="00A77B3E"/>
    <w:rsid w:val="00BA2035"/>
    <w:rsid w:val="00BB3D92"/>
    <w:rsid w:val="00C17A6C"/>
    <w:rsid w:val="00C4078D"/>
    <w:rsid w:val="00C70E6C"/>
    <w:rsid w:val="00CA2A55"/>
    <w:rsid w:val="00D2423E"/>
    <w:rsid w:val="00D371F9"/>
    <w:rsid w:val="00D61A51"/>
    <w:rsid w:val="00D656FA"/>
    <w:rsid w:val="00DC13AD"/>
    <w:rsid w:val="00DE445A"/>
    <w:rsid w:val="00E42116"/>
    <w:rsid w:val="00E87DB1"/>
    <w:rsid w:val="00EA32F3"/>
    <w:rsid w:val="00EA7D9B"/>
    <w:rsid w:val="00EB7AAC"/>
    <w:rsid w:val="00F11BF3"/>
    <w:rsid w:val="00F17785"/>
    <w:rsid w:val="00F433C1"/>
    <w:rsid w:val="0CD97495"/>
    <w:rsid w:val="17CF7114"/>
    <w:rsid w:val="27BC2D29"/>
    <w:rsid w:val="2CCC34A9"/>
    <w:rsid w:val="570C28E2"/>
    <w:rsid w:val="5CD057BC"/>
    <w:rsid w:val="74E500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uiPriority w:val="0"/>
  </w:style>
  <w:style w:type="paragraph" w:styleId="3">
    <w:name w:val="footer"/>
    <w:basedOn w:val="1"/>
    <w:link w:val="11"/>
    <w:uiPriority w:val="99"/>
    <w:pPr>
      <w:tabs>
        <w:tab w:val="center" w:pos="4153"/>
        <w:tab w:val="right" w:pos="8306"/>
      </w:tabs>
      <w:snapToGrid w:val="0"/>
    </w:pPr>
    <w:rPr>
      <w:sz w:val="18"/>
      <w:szCs w:val="18"/>
    </w:rPr>
  </w:style>
  <w:style w:type="paragraph" w:styleId="4">
    <w:name w:val="header"/>
    <w:basedOn w:val="1"/>
    <w:link w:val="10"/>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spacing w:before="100" w:beforeAutospacing="1" w:after="100" w:afterAutospacing="1"/>
    </w:pPr>
    <w:rPr>
      <w:rFonts w:ascii="宋体" w:hAnsi="宋体" w:eastAsia="宋体" w:cs="宋体"/>
      <w:lang w:eastAsia="zh-CN"/>
    </w:rPr>
  </w:style>
  <w:style w:type="paragraph" w:styleId="6">
    <w:name w:val="annotation subject"/>
    <w:basedOn w:val="2"/>
    <w:next w:val="2"/>
    <w:link w:val="13"/>
    <w:uiPriority w:val="0"/>
    <w:rPr>
      <w:b/>
      <w:bCs/>
    </w:rPr>
  </w:style>
  <w:style w:type="character" w:styleId="9">
    <w:name w:val="annotation reference"/>
    <w:basedOn w:val="8"/>
    <w:qFormat/>
    <w:uiPriority w:val="0"/>
    <w:rPr>
      <w:sz w:val="21"/>
      <w:szCs w:val="21"/>
    </w:rPr>
  </w:style>
  <w:style w:type="character" w:customStyle="1" w:styleId="10">
    <w:name w:val="页眉 字符"/>
    <w:basedOn w:val="8"/>
    <w:link w:val="4"/>
    <w:uiPriority w:val="0"/>
    <w:rPr>
      <w:rFonts w:eastAsia="Times New Roman"/>
      <w:sz w:val="18"/>
      <w:szCs w:val="18"/>
      <w:lang w:eastAsia="en-US"/>
    </w:rPr>
  </w:style>
  <w:style w:type="character" w:customStyle="1" w:styleId="11">
    <w:name w:val="页脚 字符"/>
    <w:basedOn w:val="8"/>
    <w:link w:val="3"/>
    <w:uiPriority w:val="99"/>
    <w:rPr>
      <w:rFonts w:eastAsia="Times New Roman"/>
      <w:sz w:val="18"/>
      <w:szCs w:val="18"/>
      <w:lang w:eastAsia="en-US"/>
    </w:rPr>
  </w:style>
  <w:style w:type="character" w:customStyle="1" w:styleId="12">
    <w:name w:val="批注文字 字符"/>
    <w:basedOn w:val="8"/>
    <w:link w:val="2"/>
    <w:uiPriority w:val="0"/>
    <w:rPr>
      <w:rFonts w:eastAsia="Times New Roman"/>
      <w:sz w:val="24"/>
      <w:szCs w:val="24"/>
      <w:lang w:eastAsia="en-US"/>
    </w:rPr>
  </w:style>
  <w:style w:type="character" w:customStyle="1" w:styleId="13">
    <w:name w:val="批注主题 字符"/>
    <w:basedOn w:val="12"/>
    <w:link w:val="6"/>
    <w:uiPriority w:val="0"/>
    <w:rPr>
      <w:rFonts w:eastAsia="Times New Roman"/>
      <w:b/>
      <w:bCs/>
      <w:sz w:val="24"/>
      <w:szCs w:val="24"/>
      <w:lang w:eastAsia="en-US"/>
    </w:rPr>
  </w:style>
  <w:style w:type="paragraph" w:customStyle="1" w:styleId="14">
    <w:name w:val="修订1"/>
    <w:hidden/>
    <w:semiHidden/>
    <w:qFormat/>
    <w:uiPriority w:val="99"/>
    <w:rPr>
      <w:rFonts w:ascii="Times New Roman" w:hAnsi="Times New Roman" w:eastAsia="Times New Roman" w:cs="Times New Roman"/>
      <w:sz w:val="24"/>
      <w:szCs w:val="24"/>
      <w:lang w:val="en-US" w:eastAsia="en-US" w:bidi="ar-SA"/>
    </w:rPr>
  </w:style>
  <w:style w:type="paragraph" w:customStyle="1" w:styleId="15">
    <w:name w:val="修订2"/>
    <w:hidden/>
    <w:semiHidden/>
    <w:uiPriority w:val="99"/>
    <w:rPr>
      <w:rFonts w:ascii="Times New Roman" w:hAnsi="Times New Roman" w:eastAsia="Times New Roman" w:cs="Times New Roman"/>
      <w:sz w:val="24"/>
      <w:szCs w:val="24"/>
      <w:lang w:val="en-US" w:eastAsia="en-US" w:bidi="ar-SA"/>
    </w:rPr>
  </w:style>
  <w:style w:type="paragraph" w:customStyle="1" w:styleId="16">
    <w:name w:val="Revision"/>
    <w:hidden/>
    <w:semiHidden/>
    <w:qFormat/>
    <w:uiPriority w:val="99"/>
    <w:rPr>
      <w:rFonts w:ascii="Times New Roman" w:hAnsi="Times New Roman" w:eastAsia="Times New Roman" w:cs="Times New Roma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4305</Words>
  <Characters>25193</Characters>
  <Lines>213</Lines>
  <Paragraphs>59</Paragraphs>
  <TotalTime>0</TotalTime>
  <ScaleCrop>false</ScaleCrop>
  <LinksUpToDate>false</LinksUpToDate>
  <CharactersWithSpaces>29373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2022-08-24T18:40:00Z</dcterms:created>
  <dc:creator>Asus</dc:creator>
  <cp:lastModifiedBy>晓晨</cp:lastModifiedBy>
  <dcterms:modified xsi:type="dcterms:W3CDTF">2022-09-27T09:09:52Z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EA913818812346388000693F4A7C8DEE</vt:lpwstr>
  </property>
</Properties>
</file>