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6CABE"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63C9997"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78776</w:t>
      </w:r>
    </w:p>
    <w:p w14:paraId="2DDD0308"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CA2732" w14:textId="77777777" w:rsidR="0083714A" w:rsidRDefault="0083714A">
      <w:pPr>
        <w:spacing w:line="360" w:lineRule="auto"/>
        <w:jc w:val="both"/>
        <w:rPr>
          <w:rFonts w:ascii="Book Antiqua" w:hAnsi="Book Antiqua"/>
        </w:rPr>
      </w:pPr>
    </w:p>
    <w:p w14:paraId="704E621B"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Favorable response of primary pulmonary lymphoepithelioma-like carcinoma to sintilimab combined with chemotherapy: A case report</w:t>
      </w:r>
    </w:p>
    <w:p w14:paraId="0A16A7D0" w14:textId="77777777" w:rsidR="0083714A" w:rsidRDefault="0083714A">
      <w:pPr>
        <w:spacing w:line="360" w:lineRule="auto"/>
        <w:jc w:val="both"/>
        <w:rPr>
          <w:rFonts w:ascii="Book Antiqua" w:hAnsi="Book Antiqua"/>
        </w:rPr>
      </w:pPr>
    </w:p>
    <w:p w14:paraId="22308FBC"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 xml:space="preserve">Zeng SY </w:t>
      </w:r>
      <w:r>
        <w:rPr>
          <w:rFonts w:ascii="Book Antiqua" w:eastAsia="Book Antiqua" w:hAnsi="Book Antiqua" w:cs="Book Antiqua"/>
          <w:i/>
          <w:iCs/>
          <w:color w:val="000000"/>
        </w:rPr>
        <w:t>et al</w:t>
      </w:r>
      <w:r>
        <w:rPr>
          <w:rFonts w:ascii="Book Antiqua" w:eastAsia="Book Antiqua" w:hAnsi="Book Antiqua" w:cs="Book Antiqua"/>
          <w:color w:val="000000"/>
        </w:rPr>
        <w:t>. Sintilimab + chemotherapy for primary pulmonary LELC</w:t>
      </w:r>
    </w:p>
    <w:p w14:paraId="3C06E97A" w14:textId="77777777" w:rsidR="0083714A" w:rsidRDefault="0083714A">
      <w:pPr>
        <w:spacing w:line="360" w:lineRule="auto"/>
        <w:jc w:val="both"/>
        <w:rPr>
          <w:rFonts w:ascii="Book Antiqua" w:hAnsi="Book Antiqua"/>
        </w:rPr>
      </w:pPr>
    </w:p>
    <w:p w14:paraId="7037C06A"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Shu-Ying Zeng, Jin Yuan, Min Lv</w:t>
      </w:r>
    </w:p>
    <w:p w14:paraId="25DD8D35" w14:textId="77777777" w:rsidR="0083714A" w:rsidRDefault="0083714A">
      <w:pPr>
        <w:spacing w:line="360" w:lineRule="auto"/>
        <w:jc w:val="both"/>
        <w:rPr>
          <w:rFonts w:ascii="Book Antiqua" w:hAnsi="Book Antiqua"/>
        </w:rPr>
      </w:pPr>
    </w:p>
    <w:p w14:paraId="3F7EF6E8"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Shu-Ying Zeng, Jin Yuan, Min Lv, </w:t>
      </w:r>
      <w:r>
        <w:rPr>
          <w:rFonts w:ascii="Book Antiqua" w:eastAsia="Book Antiqua" w:hAnsi="Book Antiqua" w:cs="Book Antiqua"/>
          <w:color w:val="000000"/>
        </w:rPr>
        <w:t>Department of Oncology, The First People's Hospital of Longquanyi District Chengdu, Chengdu 652532, Sichuan Province, China</w:t>
      </w:r>
    </w:p>
    <w:p w14:paraId="04D2F528" w14:textId="77777777" w:rsidR="0083714A" w:rsidRDefault="0083714A">
      <w:pPr>
        <w:spacing w:line="360" w:lineRule="auto"/>
        <w:jc w:val="both"/>
        <w:rPr>
          <w:rFonts w:ascii="Book Antiqua" w:hAnsi="Book Antiqua"/>
        </w:rPr>
      </w:pPr>
    </w:p>
    <w:p w14:paraId="2C13AEF6" w14:textId="77777777" w:rsidR="0083714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Zeng SY contributed to protocol/project development, data collection or management, data analysis, and manuscript writing/editing; Yuan J contributed to data collection and manuscript editing; Lv M contributed to protocol/project development and manuscript editing</w:t>
      </w:r>
      <w:r>
        <w:rPr>
          <w:rFonts w:ascii="Book Antiqua" w:hAnsi="Book Antiqua" w:cs="Book Antiqua"/>
          <w:color w:val="000000"/>
          <w:lang w:eastAsia="zh-CN"/>
        </w:rPr>
        <w:t>.</w:t>
      </w:r>
    </w:p>
    <w:p w14:paraId="0A2BEC63" w14:textId="77777777" w:rsidR="0083714A" w:rsidRDefault="0083714A">
      <w:pPr>
        <w:spacing w:line="360" w:lineRule="auto"/>
        <w:jc w:val="both"/>
        <w:rPr>
          <w:rFonts w:ascii="Book Antiqua" w:hAnsi="Book Antiqua"/>
        </w:rPr>
      </w:pPr>
    </w:p>
    <w:p w14:paraId="52183D59"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Shu-Ying Zeng, CCST, MSc, PhD, Doctor, </w:t>
      </w:r>
      <w:r>
        <w:rPr>
          <w:rFonts w:ascii="Book Antiqua" w:eastAsia="Book Antiqua" w:hAnsi="Book Antiqua" w:cs="Book Antiqua"/>
          <w:color w:val="000000"/>
        </w:rPr>
        <w:t>Department of Oncology, The First People's Hospital of Longquanyi District Chengdu, No. 39 Mudan Street, Jinjiang District, Chengdu 652532, Sichuan Province, China. 18982193611@163.com</w:t>
      </w:r>
    </w:p>
    <w:p w14:paraId="06F65FB2" w14:textId="77777777" w:rsidR="0083714A" w:rsidRDefault="0083714A">
      <w:pPr>
        <w:spacing w:line="360" w:lineRule="auto"/>
        <w:jc w:val="both"/>
        <w:rPr>
          <w:rFonts w:ascii="Book Antiqua" w:hAnsi="Book Antiqua"/>
        </w:rPr>
      </w:pPr>
    </w:p>
    <w:p w14:paraId="34C1D368"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14, 2022</w:t>
      </w:r>
    </w:p>
    <w:p w14:paraId="0AD808E9"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19, 2022</w:t>
      </w:r>
    </w:p>
    <w:p w14:paraId="1CDA9B1A" w14:textId="77777777" w:rsidR="0083714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23, 2022</w:t>
      </w:r>
    </w:p>
    <w:p w14:paraId="097D00BA" w14:textId="77777777" w:rsidR="0083714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November 6, 2022</w:t>
      </w:r>
    </w:p>
    <w:p w14:paraId="1B918F9A" w14:textId="77777777" w:rsidR="0083714A" w:rsidRDefault="0083714A">
      <w:pPr>
        <w:spacing w:line="360" w:lineRule="auto"/>
        <w:jc w:val="both"/>
        <w:rPr>
          <w:rFonts w:ascii="Book Antiqua" w:hAnsi="Book Antiqua"/>
        </w:rPr>
        <w:sectPr w:rsidR="0083714A">
          <w:footerReference w:type="default" r:id="rId6"/>
          <w:pgSz w:w="12240" w:h="15840"/>
          <w:pgMar w:top="1440" w:right="1440" w:bottom="1440" w:left="1440" w:header="720" w:footer="720" w:gutter="0"/>
          <w:cols w:space="720"/>
          <w:docGrid w:linePitch="360"/>
        </w:sectPr>
      </w:pPr>
    </w:p>
    <w:p w14:paraId="3A3ECAFB"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5FDD654"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46141182"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There is no established treatment for primary pulmonary lymphoepithelioma-like carcinoma (LELC) until now.</w:t>
      </w:r>
    </w:p>
    <w:p w14:paraId="0AF07C86" w14:textId="77777777" w:rsidR="0083714A" w:rsidRDefault="0083714A">
      <w:pPr>
        <w:spacing w:line="360" w:lineRule="auto"/>
        <w:jc w:val="both"/>
        <w:rPr>
          <w:rFonts w:ascii="Book Antiqua" w:hAnsi="Book Antiqua"/>
        </w:rPr>
      </w:pPr>
    </w:p>
    <w:p w14:paraId="46E5E16B"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7C059D4F"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 xml:space="preserve"> In this study, the patient responded well to sintilimab combined with paclitaxel and carboplatin, showing no obvious side effects. Meantime, the values of carbohydrate antigen 15-3 (CA15-3) and carbohydrate antigen 72-4 (CA72-4) gradually returned to normal.</w:t>
      </w:r>
    </w:p>
    <w:p w14:paraId="7E70DEED" w14:textId="77777777" w:rsidR="0083714A" w:rsidRDefault="0083714A">
      <w:pPr>
        <w:spacing w:line="360" w:lineRule="auto"/>
        <w:jc w:val="both"/>
        <w:rPr>
          <w:rFonts w:ascii="Book Antiqua" w:hAnsi="Book Antiqua"/>
        </w:rPr>
      </w:pPr>
    </w:p>
    <w:p w14:paraId="4B25146C"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688D437B"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Immunotherapy combined with chemotherapy in advanced-stage LELC may be more effective than immunotherapy or chemotherapy alone. CA15-3 and CA72-4 are biomarkers for evaluating therapeutic effects for LELC.</w:t>
      </w:r>
    </w:p>
    <w:p w14:paraId="0E62B422" w14:textId="77777777" w:rsidR="0083714A" w:rsidRDefault="0083714A">
      <w:pPr>
        <w:spacing w:line="360" w:lineRule="auto"/>
        <w:jc w:val="both"/>
        <w:rPr>
          <w:rFonts w:ascii="Book Antiqua" w:hAnsi="Book Antiqua"/>
        </w:rPr>
      </w:pPr>
    </w:p>
    <w:p w14:paraId="7BA525C9" w14:textId="77777777" w:rsidR="0083714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Lymphoepithelioma-like carcinoma; Non-small cell lung cancer; Immunotherapy; Sintilimab; Programmed death-1</w:t>
      </w:r>
      <w:r>
        <w:rPr>
          <w:rFonts w:ascii="Book Antiqua" w:hAnsi="Book Antiqua" w:cs="Book Antiqua"/>
          <w:color w:val="000000"/>
          <w:lang w:eastAsia="zh-CN"/>
        </w:rPr>
        <w:t>; Case report</w:t>
      </w:r>
    </w:p>
    <w:p w14:paraId="09A77B05" w14:textId="77777777" w:rsidR="0083714A" w:rsidRDefault="0083714A">
      <w:pPr>
        <w:rPr>
          <w:rFonts w:ascii="Book Antiqua" w:hAnsi="Book Antiqua"/>
        </w:rPr>
      </w:pPr>
    </w:p>
    <w:p w14:paraId="792730FA" w14:textId="77777777" w:rsidR="0083714A" w:rsidRDefault="00000000">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F8ECF91" w14:textId="77777777" w:rsidR="0083714A" w:rsidRDefault="0083714A">
      <w:pPr>
        <w:spacing w:line="360" w:lineRule="auto"/>
        <w:jc w:val="both"/>
        <w:rPr>
          <w:rFonts w:ascii="Book Antiqua" w:hAnsi="Book Antiqua"/>
        </w:rPr>
      </w:pPr>
    </w:p>
    <w:p w14:paraId="54BDEB7B" w14:textId="77777777" w:rsidR="0083714A" w:rsidRDefault="00000000">
      <w:pPr>
        <w:spacing w:line="360" w:lineRule="auto"/>
        <w:jc w:val="both"/>
        <w:rPr>
          <w:rFonts w:ascii="Book Antiqua" w:eastAsia="Book Antiqua" w:hAnsi="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eastAsia="Book Antiqua" w:hAnsi="Book Antiqua" w:cs="Book Antiqua"/>
          <w:color w:val="000000"/>
        </w:rPr>
        <w:t xml:space="preserve">Zeng SY, Yuan J, Lv M. Favorable response of primary pulmonary lymphoepithelioma-like carcinoma to sintilimab combined with chemotherapy: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10(31): </w:t>
      </w:r>
      <w:r>
        <w:rPr>
          <w:rFonts w:ascii="Book Antiqua" w:hAnsi="Book Antiqua"/>
        </w:rPr>
        <w:t>11617-11624</w:t>
      </w:r>
    </w:p>
    <w:p w14:paraId="14FFA6A0"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https://www.wjgnet.com/2307-8960/full/v10/i31/</w:t>
      </w:r>
      <w:r>
        <w:rPr>
          <w:rFonts w:ascii="Book Antiqua" w:hAnsi="Book Antiqua"/>
        </w:rPr>
        <w:t>11617</w:t>
      </w:r>
      <w:r>
        <w:rPr>
          <w:rFonts w:ascii="Book Antiqua" w:eastAsia="Book Antiqua" w:hAnsi="Book Antiqua" w:cs="Book Antiqua"/>
          <w:color w:val="000000"/>
        </w:rPr>
        <w:t>.htm</w:t>
      </w:r>
    </w:p>
    <w:p w14:paraId="2EA812E8"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https://dx.doi.org/10.12998/wjcc.v10.i31.</w:t>
      </w:r>
      <w:r>
        <w:rPr>
          <w:rFonts w:ascii="Book Antiqua" w:hAnsi="Book Antiqua"/>
        </w:rPr>
        <w:t>11617</w:t>
      </w:r>
    </w:p>
    <w:p w14:paraId="00EA0C67" w14:textId="77777777" w:rsidR="0083714A" w:rsidRDefault="0083714A">
      <w:pPr>
        <w:spacing w:line="360" w:lineRule="auto"/>
        <w:jc w:val="both"/>
        <w:rPr>
          <w:rFonts w:ascii="Book Antiqua" w:hAnsi="Book Antiqua"/>
        </w:rPr>
      </w:pPr>
    </w:p>
    <w:p w14:paraId="2DEA6EC9"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Herein, we present the case of a </w:t>
      </w:r>
      <w:r>
        <w:rPr>
          <w:rFonts w:ascii="Book Antiqua" w:hAnsi="Book Antiqua" w:cs="Book Antiqua"/>
          <w:color w:val="000000"/>
          <w:lang w:eastAsia="zh-CN"/>
        </w:rPr>
        <w:t>l</w:t>
      </w:r>
      <w:r>
        <w:rPr>
          <w:rFonts w:ascii="Book Antiqua" w:eastAsia="Book Antiqua" w:hAnsi="Book Antiqua" w:cs="Book Antiqua"/>
          <w:color w:val="000000"/>
        </w:rPr>
        <w:t>ymphoepithelioma-like carcinoma (LELC) patient who was successfully treated with sintilimab combined with paclitaxel and carboplatin. Recent literature on LELC is also reviewed and discussed for future avenues for LELC research.</w:t>
      </w:r>
    </w:p>
    <w:p w14:paraId="15A8E4AC" w14:textId="77777777" w:rsidR="0083714A" w:rsidRDefault="0083714A">
      <w:pPr>
        <w:spacing w:line="360" w:lineRule="auto"/>
        <w:jc w:val="both"/>
        <w:rPr>
          <w:rFonts w:ascii="Book Antiqua" w:hAnsi="Book Antiqua"/>
        </w:rPr>
      </w:pPr>
    </w:p>
    <w:p w14:paraId="0B595CB0"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E457E9F"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 xml:space="preserve">Lymphoepithelioma-like carcinoma (LELC) is a rare subtype of NSCLC and first identified as a unique Epstein-Barr virus (EBV)-associated tumor by Bégin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EBV infection is generally acknowledged as the most important etiology</w:t>
      </w:r>
      <w:r>
        <w:rPr>
          <w:rFonts w:ascii="Book Antiqua" w:eastAsia="Book Antiqua" w:hAnsi="Book Antiqua" w:cs="Book Antiqua"/>
          <w:color w:val="000000"/>
        </w:rPr>
        <w:t xml:space="preserve"> for LELC. Multi-dimensional comparison has revealed that pulmonary LELC resembles nasopharyngeal carcinoma (NPC) but is clearly different from other lung cancers</w:t>
      </w:r>
      <w:r>
        <w:rPr>
          <w:rFonts w:ascii="Book Antiqua" w:eastAsia="Book Antiqua" w:hAnsi="Book Antiqua" w:cs="Book Antiqua"/>
          <w:color w:val="000000"/>
          <w:vertAlign w:val="superscript"/>
        </w:rPr>
        <w:t>[2]</w:t>
      </w:r>
      <w:r>
        <w:rPr>
          <w:rFonts w:ascii="Book Antiqua" w:eastAsia="Book Antiqua" w:hAnsi="Book Antiqua" w:cs="Book Antiqua"/>
          <w:color w:val="000000"/>
        </w:rPr>
        <w:t>. Most LELC cases have been documented in Southeast Asia, including Hong Kong, Taiwan, Guangdong, and Singapore, with sporadic cases having been seen in the West</w:t>
      </w:r>
      <w:r>
        <w:rPr>
          <w:rFonts w:ascii="Book Antiqua" w:eastAsia="Book Antiqua" w:hAnsi="Book Antiqua" w:cs="Book Antiqua"/>
          <w:color w:val="000000"/>
          <w:vertAlign w:val="superscript"/>
        </w:rPr>
        <w:t>[3]</w:t>
      </w:r>
      <w:r>
        <w:rPr>
          <w:rFonts w:ascii="Book Antiqua" w:eastAsia="Book Antiqua" w:hAnsi="Book Antiqua" w:cs="Book Antiqua"/>
          <w:color w:val="000000"/>
        </w:rPr>
        <w:t>. Currently, specific treatment guidelines for LELC have not been established</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recent years, dramatic progress has been </w:t>
      </w:r>
      <w:r>
        <w:rPr>
          <w:rFonts w:ascii="Book Antiqua" w:eastAsia="宋体" w:hAnsi="Book Antiqua" w:cs="Book Antiqua"/>
          <w:color w:val="000000"/>
          <w:lang w:eastAsia="zh-CN"/>
        </w:rPr>
        <w:t>made</w:t>
      </w:r>
      <w:r>
        <w:rPr>
          <w:rFonts w:ascii="Book Antiqua" w:eastAsia="Book Antiqua" w:hAnsi="Book Antiqua" w:cs="Book Antiqua"/>
          <w:color w:val="000000"/>
        </w:rPr>
        <w:t xml:space="preserve"> in immunotherapy for cancer.</w:t>
      </w:r>
    </w:p>
    <w:p w14:paraId="4B17A88A"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Herein, we present the case of a LELC patient who was successfully treated with sintilimab combined with paclitaxel and carboplatin. Recent literature on LELC is also reviewed and discussed.</w:t>
      </w:r>
    </w:p>
    <w:p w14:paraId="65A98149" w14:textId="77777777" w:rsidR="0083714A" w:rsidRDefault="0083714A">
      <w:pPr>
        <w:spacing w:line="360" w:lineRule="auto"/>
        <w:ind w:firstLine="240"/>
        <w:jc w:val="both"/>
        <w:rPr>
          <w:rFonts w:ascii="Book Antiqua" w:hAnsi="Book Antiqua"/>
        </w:rPr>
      </w:pPr>
    </w:p>
    <w:p w14:paraId="32D1AE7A"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11F59CF"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1AC52BB9"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A 61-year-old nonsmoker Chinese woman was admitted to our hospital on November 19, 2018. She had no symptoms, but her chest computed tomography (CT) during her annual healthy check-up showed a mass in the right lung lower lobe. Contrast-enhanced CT of the chest</w:t>
      </w:r>
      <w:r>
        <w:rPr>
          <w:rFonts w:ascii="Book Antiqua" w:eastAsia="宋体" w:hAnsi="Book Antiqua" w:cs="Book Antiqua"/>
          <w:color w:val="000000"/>
          <w:lang w:eastAsia="zh-CN"/>
        </w:rPr>
        <w:t xml:space="preserve">, </w:t>
      </w:r>
      <w:r>
        <w:rPr>
          <w:rFonts w:ascii="Book Antiqua" w:eastAsia="Book Antiqua" w:hAnsi="Book Antiqua" w:cs="Book Antiqua"/>
          <w:color w:val="000000"/>
        </w:rPr>
        <w:t>brain</w:t>
      </w:r>
      <w:r>
        <w:rPr>
          <w:rFonts w:ascii="Book Antiqua" w:eastAsia="宋体" w:hAnsi="Book Antiqua" w:cs="Book Antiqua"/>
          <w:color w:val="000000"/>
          <w:lang w:eastAsia="zh-CN"/>
        </w:rPr>
        <w:t xml:space="preserve">, </w:t>
      </w:r>
      <w:r>
        <w:rPr>
          <w:rFonts w:ascii="Book Antiqua" w:eastAsia="Book Antiqua" w:hAnsi="Book Antiqua" w:cs="Book Antiqua"/>
          <w:color w:val="000000"/>
        </w:rPr>
        <w:t>whole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abdomen, and nasopharynx and a </w:t>
      </w:r>
      <w:bookmarkStart w:id="1" w:name="OLE_LINK2"/>
      <w:r>
        <w:rPr>
          <w:rFonts w:ascii="Book Antiqua" w:eastAsia="宋体" w:hAnsi="Book Antiqua" w:cs="Book Antiqua"/>
          <w:color w:val="000000"/>
          <w:lang w:eastAsia="zh-CN"/>
        </w:rPr>
        <w:t>w</w:t>
      </w:r>
      <w:r>
        <w:rPr>
          <w:rFonts w:ascii="Book Antiqua" w:eastAsia="Book Antiqua" w:hAnsi="Book Antiqua" w:cs="Book Antiqua"/>
          <w:color w:val="000000"/>
        </w:rPr>
        <w:t>hole body bone scan</w:t>
      </w:r>
      <w:bookmarkEnd w:id="1"/>
      <w:r>
        <w:rPr>
          <w:rFonts w:ascii="Book Antiqua" w:eastAsia="宋体" w:hAnsi="Book Antiqua" w:cs="Book Antiqua"/>
          <w:color w:val="000000"/>
          <w:lang w:eastAsia="zh-CN"/>
        </w:rPr>
        <w:t xml:space="preserve"> </w:t>
      </w:r>
      <w:r>
        <w:rPr>
          <w:rFonts w:ascii="Book Antiqua" w:eastAsia="Book Antiqua" w:hAnsi="Book Antiqua" w:cs="Book Antiqua"/>
          <w:color w:val="000000"/>
        </w:rPr>
        <w:t>were performed on November 20, 2018. The contrast-enhanced CT of the chest revealed a 2.8 cm × 2.9 cm mass in the right lower lobe, showing superficial lobules with unclear boundaries; the adjacent oblique fissure was pulled (Figure 1A and B). The contrast-enhanced CT of the brain</w:t>
      </w:r>
      <w:r>
        <w:rPr>
          <w:rFonts w:ascii="Book Antiqua" w:eastAsia="宋体" w:hAnsi="Book Antiqua" w:cs="Book Antiqua"/>
          <w:color w:val="000000"/>
          <w:lang w:eastAsia="zh-CN"/>
        </w:rPr>
        <w:t xml:space="preserve">, </w:t>
      </w:r>
      <w:r>
        <w:rPr>
          <w:rFonts w:ascii="Book Antiqua" w:eastAsia="Book Antiqua" w:hAnsi="Book Antiqua" w:cs="Book Antiqua"/>
          <w:color w:val="000000"/>
        </w:rPr>
        <w:t>whole</w:t>
      </w:r>
      <w:r>
        <w:rPr>
          <w:rFonts w:ascii="Book Antiqua" w:eastAsia="宋体" w:hAnsi="Book Antiqua" w:cs="Book Antiqua"/>
          <w:color w:val="000000"/>
          <w:lang w:eastAsia="zh-CN"/>
        </w:rPr>
        <w:t xml:space="preserve"> </w:t>
      </w:r>
      <w:r>
        <w:rPr>
          <w:rFonts w:ascii="Book Antiqua" w:eastAsia="Book Antiqua" w:hAnsi="Book Antiqua" w:cs="Book Antiqua"/>
          <w:color w:val="000000"/>
        </w:rPr>
        <w:t>abdomen, and nasopharynx and</w:t>
      </w:r>
      <w:r>
        <w:rPr>
          <w:rFonts w:ascii="Book Antiqua" w:eastAsia="宋体" w:hAnsi="Book Antiqua" w:cs="Book Antiqua"/>
          <w:color w:val="000000"/>
          <w:lang w:eastAsia="zh-CN"/>
        </w:rPr>
        <w:t xml:space="preserve"> </w:t>
      </w:r>
      <w:r>
        <w:rPr>
          <w:rFonts w:ascii="Book Antiqua" w:eastAsia="宋体" w:hAnsi="Book Antiqua" w:cs="Book Antiqua"/>
          <w:color w:val="000000"/>
          <w:lang w:eastAsia="zh-CN"/>
        </w:rPr>
        <w:lastRenderedPageBreak/>
        <w:t>w</w:t>
      </w:r>
      <w:r>
        <w:rPr>
          <w:rFonts w:ascii="Book Antiqua" w:eastAsia="Book Antiqua" w:hAnsi="Book Antiqua" w:cs="Book Antiqua"/>
          <w:color w:val="000000"/>
        </w:rPr>
        <w:t>hole body bone scan</w:t>
      </w:r>
      <w:r>
        <w:rPr>
          <w:rFonts w:ascii="Book Antiqua" w:eastAsia="宋体" w:hAnsi="Book Antiqua" w:cs="Book Antiqua"/>
          <w:color w:val="000000"/>
          <w:lang w:eastAsia="zh-CN"/>
        </w:rPr>
        <w:t xml:space="preserve"> revealed no abnormality</w:t>
      </w:r>
      <w:r>
        <w:rPr>
          <w:rFonts w:ascii="Book Antiqua" w:eastAsia="Book Antiqua" w:hAnsi="Book Antiqua" w:cs="Book Antiqua"/>
          <w:color w:val="000000"/>
        </w:rPr>
        <w:t xml:space="preserve"> (Figure 1C and D). At the same time, the serum tumor markers carbohydrate antigen 125 (CA-125) and neural specificity enolase (NSE) were </w:t>
      </w:r>
      <w:r>
        <w:rPr>
          <w:rFonts w:ascii="Book Antiqua" w:eastAsia="宋体" w:hAnsi="Book Antiqua" w:cs="Book Antiqua"/>
          <w:color w:val="000000"/>
          <w:lang w:eastAsia="zh-CN"/>
        </w:rPr>
        <w:t xml:space="preserve">higher </w:t>
      </w:r>
      <w:r>
        <w:rPr>
          <w:rFonts w:ascii="Book Antiqua" w:eastAsia="Book Antiqua" w:hAnsi="Book Antiqua" w:cs="Book Antiqua"/>
          <w:color w:val="000000"/>
        </w:rPr>
        <w:t xml:space="preserve">than normal (53.46 U/mL </w:t>
      </w:r>
      <w:r>
        <w:rPr>
          <w:rFonts w:ascii="Book Antiqua" w:eastAsia="Book Antiqua" w:hAnsi="Book Antiqua" w:cs="Book Antiqua"/>
          <w:i/>
          <w:iCs/>
          <w:color w:val="000000"/>
        </w:rPr>
        <w:t>vs</w:t>
      </w:r>
      <w:r>
        <w:rPr>
          <w:rFonts w:ascii="Book Antiqua" w:eastAsia="Book Antiqua" w:hAnsi="Book Antiqua" w:cs="Book Antiqua"/>
          <w:color w:val="000000"/>
        </w:rPr>
        <w:t xml:space="preserve"> &lt; 35 U/mL, and 23.96 ng/ mL </w:t>
      </w:r>
      <w:r>
        <w:rPr>
          <w:rFonts w:ascii="Book Antiqua" w:eastAsia="Book Antiqua" w:hAnsi="Book Antiqua" w:cs="Book Antiqua"/>
          <w:i/>
          <w:iCs/>
          <w:color w:val="000000"/>
        </w:rPr>
        <w:t>vs</w:t>
      </w:r>
      <w:r>
        <w:rPr>
          <w:rFonts w:ascii="Book Antiqua" w:eastAsia="Book Antiqua" w:hAnsi="Book Antiqua" w:cs="Book Antiqua"/>
          <w:color w:val="000000"/>
        </w:rPr>
        <w:t xml:space="preserve"> &lt; 15 ng/mL, respectively); other tumor markers were negative. Physical examination showed an eastern cooperative oncology group performance status of 0. Surgical contraindications were excluded; video-assisted thoracoscopic surgery, right lower lobe lobotomy, and mediastinal lymph node dissection were performed under general anesthesia on November 22, 2018. Pathologic examination indicated a stage IIA (</w:t>
      </w:r>
      <w:r>
        <w:rPr>
          <w:rFonts w:ascii="Book Antiqua" w:eastAsia="Book Antiqua" w:hAnsi="Book Antiqua" w:cs="Book Antiqua"/>
          <w:color w:val="000000"/>
          <w:vertAlign w:val="subscript"/>
        </w:rPr>
        <w:t>P</w:t>
      </w:r>
      <w:r>
        <w:rPr>
          <w:rFonts w:ascii="Book Antiqua" w:eastAsia="Book Antiqua" w:hAnsi="Book Antiqua" w:cs="Book Antiqua"/>
          <w:color w:val="000000"/>
        </w:rPr>
        <w:t>T1aN1M0) disease based on the tumor size and</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interlobular lymph node involvement. Pathology of surgical specimen of the right lower lobe suggested LELC based on hematoxylin-eosin (HE) and immunohistochemical (IHC) staining; IHC staining</w:t>
      </w:r>
      <w:r>
        <w:rPr>
          <w:rFonts w:ascii="Book Antiqua" w:eastAsia="宋体" w:hAnsi="Book Antiqua" w:cs="Book Antiqua"/>
          <w:color w:val="000000"/>
          <w:lang w:eastAsia="zh-CN"/>
        </w:rPr>
        <w:t xml:space="preserve"> demonstrated </w:t>
      </w:r>
      <w:r>
        <w:rPr>
          <w:rFonts w:ascii="Book Antiqua" w:eastAsia="Book Antiqua" w:hAnsi="Book Antiqua" w:cs="Book Antiqua"/>
          <w:color w:val="000000"/>
        </w:rPr>
        <w:t>CK5/6 (+), P40 (+), PCK (+), TTF-1 (-),</w:t>
      </w:r>
      <w:r>
        <w:rPr>
          <w:rFonts w:ascii="Book Antiqua" w:eastAsia="宋体" w:hAnsi="Book Antiqua" w:cs="Book Antiqua"/>
          <w:color w:val="000000"/>
          <w:lang w:eastAsia="zh-CN"/>
        </w:rPr>
        <w:t xml:space="preserve"> </w:t>
      </w:r>
      <w:r>
        <w:rPr>
          <w:rFonts w:ascii="Book Antiqua" w:eastAsia="Book Antiqua" w:hAnsi="Book Antiqua" w:cs="Book Antiqua"/>
          <w:color w:val="000000"/>
        </w:rPr>
        <w:t>CK7 (-),  NapsinA (-), CgA (-), Syn (-), Ki67 (+ 40%), EBER1/2-ISH (+),</w:t>
      </w:r>
      <w:r>
        <w:rPr>
          <w:rFonts w:ascii="Book Antiqua" w:hAnsi="Book Antiqua" w:cs="Book Antiqua"/>
          <w:color w:val="000000"/>
          <w:lang w:eastAsia="zh-CN"/>
        </w:rPr>
        <w:t xml:space="preserve"> </w:t>
      </w:r>
      <w:r>
        <w:rPr>
          <w:rFonts w:ascii="Book Antiqua" w:hAnsi="Book Antiqua"/>
          <w:kern w:val="24"/>
          <w:lang w:eastAsia="zh-CN"/>
        </w:rPr>
        <w:t>p</w:t>
      </w:r>
      <w:r>
        <w:rPr>
          <w:rFonts w:ascii="Book Antiqua" w:eastAsia="Times New Roman" w:hAnsi="Book Antiqua"/>
          <w:kern w:val="24"/>
        </w:rPr>
        <w:t>rogrammed death-1</w:t>
      </w:r>
      <w:r>
        <w:rPr>
          <w:rFonts w:ascii="Book Antiqua" w:hAnsi="Book Antiqua"/>
          <w:kern w:val="24"/>
          <w:lang w:eastAsia="zh-CN"/>
        </w:rPr>
        <w:t xml:space="preserve"> (</w:t>
      </w:r>
      <w:r>
        <w:rPr>
          <w:rFonts w:ascii="Book Antiqua" w:eastAsia="Book Antiqua" w:hAnsi="Book Antiqua" w:cs="Book Antiqua"/>
          <w:color w:val="000000"/>
        </w:rPr>
        <w:t>PD-L1</w:t>
      </w:r>
      <w:r>
        <w:rPr>
          <w:rFonts w:ascii="Book Antiqua" w:hAnsi="Book Antiqua" w:cs="Book Antiqua"/>
          <w:color w:val="000000"/>
          <w:lang w:eastAsia="zh-CN"/>
        </w:rPr>
        <w:t>)</w:t>
      </w:r>
      <w:r>
        <w:rPr>
          <w:rFonts w:ascii="Book Antiqua" w:eastAsia="Book Antiqua" w:hAnsi="Book Antiqua" w:cs="Book Antiqua"/>
          <w:color w:val="000000"/>
        </w:rPr>
        <w:t xml:space="preserve"> (+, 70%, SP142, ZSGB-BIO) (Figure 2A and B), and mismatch repair (MMR) proteins (integrity) (Figure 2C-F). </w:t>
      </w:r>
      <w:r>
        <w:rPr>
          <w:rFonts w:ascii="Book Antiqua" w:eastAsia="宋体" w:hAnsi="Book Antiqua" w:cs="Book Antiqua"/>
          <w:color w:val="000000"/>
          <w:lang w:eastAsia="zh-CN"/>
        </w:rPr>
        <w:t>N</w:t>
      </w:r>
      <w:r>
        <w:rPr>
          <w:rFonts w:ascii="Book Antiqua" w:eastAsia="Book Antiqua" w:hAnsi="Book Antiqua" w:cs="Book Antiqua"/>
          <w:color w:val="000000"/>
        </w:rPr>
        <w:t xml:space="preserve">o genetic mutations </w:t>
      </w:r>
      <w:r>
        <w:rPr>
          <w:rFonts w:ascii="Book Antiqua" w:eastAsia="宋体" w:hAnsi="Book Antiqua" w:cs="Book Antiqua"/>
          <w:color w:val="000000"/>
          <w:lang w:eastAsia="zh-CN"/>
        </w:rPr>
        <w:t xml:space="preserve">of </w:t>
      </w:r>
      <w:r>
        <w:rPr>
          <w:rFonts w:ascii="Book Antiqua" w:eastAsia="Book Antiqua" w:hAnsi="Book Antiqua" w:cs="Book Antiqua"/>
          <w:color w:val="000000"/>
        </w:rPr>
        <w:t>KRAS, BRAF, EGFR, and ERBB2 or rearrangements in ALK, ROS1, and RET were seen after next-generation sequencing of the right lower lobe specimen was performed.</w:t>
      </w:r>
    </w:p>
    <w:p w14:paraId="192B23AA"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This patient did not undergo postoperative adjuvant chemotherapy. After being lost to follow-up for 1 year, she presented to the hospital in November 2019 with a lump of 4.3 cm × 5.2 cm in size on her right chest and pain.</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Contrast-enhanced CT indicated bone destruction of the right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rib with a soft tissue mass and cortical thickening of the adjacent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rib (Figure 3A and B). A whole-body bone scan suggested increased bone metabolism in the right 3</w:t>
      </w:r>
      <w:r>
        <w:rPr>
          <w:rFonts w:ascii="Book Antiqua" w:eastAsia="Book Antiqua" w:hAnsi="Book Antiqua" w:cs="Book Antiqua"/>
          <w:color w:val="000000"/>
          <w:vertAlign w:val="superscript"/>
        </w:rPr>
        <w:t>rd</w:t>
      </w:r>
      <w:r>
        <w:rPr>
          <w:rFonts w:ascii="Book Antiqua" w:eastAsia="Book Antiqua" w:hAnsi="Book Antiqua" w:cs="Book Antiqua"/>
          <w:color w:val="000000"/>
        </w:rPr>
        <w:t>-5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coastal axillary segments and possible bone metastasis (Figure 3C and D). At the same time, the serum tumor markers carbohydrate antigen 15-3 (CA15-3) and carbohydrate antigen 72-4 (CA72-4) were higher than normal (36 U/mL </w:t>
      </w:r>
      <w:r>
        <w:rPr>
          <w:rFonts w:ascii="Book Antiqua" w:eastAsia="Book Antiqua" w:hAnsi="Book Antiqua" w:cs="Book Antiqua"/>
          <w:i/>
          <w:iCs/>
          <w:color w:val="000000"/>
        </w:rPr>
        <w:t>vs</w:t>
      </w:r>
      <w:r>
        <w:rPr>
          <w:rFonts w:ascii="Book Antiqua" w:eastAsia="Book Antiqua" w:hAnsi="Book Antiqua" w:cs="Book Antiqua"/>
          <w:color w:val="000000"/>
        </w:rPr>
        <w:t xml:space="preserve"> &lt; 28 U/mL, and 14 ng/mL </w:t>
      </w:r>
      <w:r>
        <w:rPr>
          <w:rFonts w:ascii="Book Antiqua" w:eastAsia="Book Antiqua" w:hAnsi="Book Antiqua" w:cs="Book Antiqua"/>
          <w:i/>
          <w:iCs/>
          <w:color w:val="000000"/>
        </w:rPr>
        <w:t>vs</w:t>
      </w:r>
      <w:r>
        <w:rPr>
          <w:rFonts w:ascii="Book Antiqua" w:eastAsia="Book Antiqua" w:hAnsi="Book Antiqua" w:cs="Book Antiqua"/>
          <w:color w:val="000000"/>
        </w:rPr>
        <w:t xml:space="preserve"> &lt; 3.3 ng/mL, respectively). After multidisciplinary consultation and obtaining the patient’s informed consent, she was treated with sintilimab (</w:t>
      </w:r>
      <w:r>
        <w:rPr>
          <w:rFonts w:ascii="Book Antiqua" w:eastAsia="Book Antiqua" w:hAnsi="Book Antiqua" w:cs="Book Antiqua"/>
          <w:color w:val="000000"/>
          <w:shd w:val="clear" w:color="auto" w:fill="FFFFFF"/>
        </w:rPr>
        <w:t>Tyvyt</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xml:space="preserve">, 200 mg ivgtt d0), paclitaxel (210 mg ivgtt d1), and carboplatin (550 mg ivgtt d1) every 3 wk. After two cycles, her lump on the right chest </w:t>
      </w:r>
      <w:r>
        <w:rPr>
          <w:rFonts w:ascii="Book Antiqua" w:eastAsia="Book Antiqua" w:hAnsi="Book Antiqua" w:cs="Book Antiqua"/>
          <w:color w:val="000000"/>
        </w:rPr>
        <w:lastRenderedPageBreak/>
        <w:t>and pain resolved, and she did not experience any toxicity. Interestingly, the mass size was significantly reduced, and the patient achieved partial remission (PR) (according to RECIST 1.1). We checked contrast-enhanced CT again after six cycles of sintilimab combined with chemotherapy, which still revealed PR. Subsequently, the chemotherapy was stopped on March 17, 2020 and sintilimab maintenance treatment of 200 mg ivgtt (given every 3 wk) was initiated.</w:t>
      </w:r>
    </w:p>
    <w:p w14:paraId="2703E0DD"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So far, the patient has finished six cycles of sintilimab combined with chemotherapy and ten cycles of sintilimab maintenance treatment (Figure 4). The values of CA15-3 and CA72-4 gradually returned to normal (10.4 U/mL</w:t>
      </w:r>
      <w:r>
        <w:rPr>
          <w:rFonts w:ascii="Book Antiqua" w:eastAsia="Book Antiqua" w:hAnsi="Book Antiqua" w:cs="Book Antiqua"/>
          <w:i/>
          <w:iCs/>
          <w:color w:val="000000"/>
        </w:rPr>
        <w:t xml:space="preserve"> vs </w:t>
      </w:r>
      <w:r>
        <w:rPr>
          <w:rFonts w:ascii="Book Antiqua" w:eastAsia="Book Antiqua" w:hAnsi="Book Antiqua" w:cs="Book Antiqua"/>
          <w:color w:val="000000"/>
        </w:rPr>
        <w:t xml:space="preserve">&lt; 28 U/mL, and 2.1 ng/ mL </w:t>
      </w:r>
      <w:r>
        <w:rPr>
          <w:rFonts w:ascii="Book Antiqua" w:eastAsia="Book Antiqua" w:hAnsi="Book Antiqua" w:cs="Book Antiqua"/>
          <w:i/>
          <w:iCs/>
          <w:color w:val="000000"/>
        </w:rPr>
        <w:t>vs</w:t>
      </w:r>
      <w:r>
        <w:rPr>
          <w:rFonts w:ascii="Book Antiqua" w:eastAsia="Book Antiqua" w:hAnsi="Book Antiqua" w:cs="Book Antiqua"/>
          <w:color w:val="000000"/>
        </w:rPr>
        <w:t xml:space="preserve"> &lt; 3.3 ng/mL, respectively). The patient was in a continuous PR state. No obvious side effects were observed during the treatment process.</w:t>
      </w:r>
    </w:p>
    <w:p w14:paraId="5AD64949" w14:textId="77777777" w:rsidR="0083714A" w:rsidRDefault="0083714A">
      <w:pPr>
        <w:spacing w:line="360" w:lineRule="auto"/>
        <w:ind w:firstLine="240"/>
        <w:jc w:val="both"/>
        <w:rPr>
          <w:rFonts w:ascii="Book Antiqua" w:hAnsi="Book Antiqua"/>
        </w:rPr>
      </w:pPr>
    </w:p>
    <w:p w14:paraId="69C66EE7"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C9977A5" w14:textId="77777777" w:rsidR="0083714A" w:rsidRDefault="00000000">
      <w:pPr>
        <w:spacing w:line="360" w:lineRule="auto"/>
        <w:jc w:val="both"/>
        <w:rPr>
          <w:rFonts w:ascii="Book Antiqua" w:eastAsia="宋体" w:hAnsi="Book Antiqua"/>
          <w:kern w:val="24"/>
          <w:lang w:eastAsia="zh-CN"/>
        </w:rPr>
      </w:pPr>
      <w:r>
        <w:rPr>
          <w:rFonts w:ascii="Book Antiqua" w:eastAsia="Times New Roman" w:hAnsi="Book Antiqua"/>
          <w:kern w:val="24"/>
        </w:rPr>
        <w:t>A 61-year-old nonsmoker Chinese woman</w:t>
      </w:r>
      <w:r>
        <w:rPr>
          <w:rFonts w:ascii="Book Antiqua" w:eastAsia="宋体" w:hAnsi="Book Antiqua"/>
          <w:kern w:val="24"/>
          <w:lang w:eastAsia="zh-CN"/>
        </w:rPr>
        <w:t xml:space="preserve"> </w:t>
      </w:r>
      <w:r>
        <w:rPr>
          <w:rFonts w:ascii="Book Antiqua" w:eastAsia="Times New Roman" w:hAnsi="Book Antiqua"/>
          <w:kern w:val="24"/>
        </w:rPr>
        <w:t>was admitted to our hospital on November 19, 2018</w:t>
      </w:r>
      <w:r>
        <w:rPr>
          <w:rFonts w:ascii="Book Antiqua" w:eastAsia="宋体" w:hAnsi="Book Antiqua"/>
          <w:kern w:val="24"/>
          <w:lang w:eastAsia="zh-CN"/>
        </w:rPr>
        <w:t xml:space="preserve">, and </w:t>
      </w:r>
      <w:r>
        <w:rPr>
          <w:rFonts w:ascii="Book Antiqua" w:eastAsia="Times New Roman" w:hAnsi="Book Antiqua"/>
          <w:kern w:val="24"/>
        </w:rPr>
        <w:t>contrast-enhanced CT of the chest revealed a 2.8</w:t>
      </w:r>
      <w:r>
        <w:rPr>
          <w:rFonts w:ascii="Book Antiqua" w:hAnsi="Book Antiqua"/>
          <w:kern w:val="24"/>
          <w:lang w:eastAsia="zh-CN"/>
        </w:rPr>
        <w:t xml:space="preserve"> </w:t>
      </w:r>
      <w:r>
        <w:rPr>
          <w:rFonts w:ascii="Book Antiqua" w:eastAsia="Times New Roman" w:hAnsi="Book Antiqua"/>
          <w:kern w:val="24"/>
        </w:rPr>
        <w:t>cm</w:t>
      </w:r>
      <w:r>
        <w:rPr>
          <w:rFonts w:ascii="Book Antiqua" w:hAnsi="Book Antiqua"/>
          <w:kern w:val="24"/>
          <w:lang w:eastAsia="zh-CN"/>
        </w:rPr>
        <w:t xml:space="preserve"> × </w:t>
      </w:r>
      <w:r>
        <w:rPr>
          <w:rFonts w:ascii="Book Antiqua" w:eastAsia="Times New Roman" w:hAnsi="Book Antiqua"/>
          <w:kern w:val="24"/>
        </w:rPr>
        <w:t>2.9</w:t>
      </w:r>
      <w:r>
        <w:rPr>
          <w:rFonts w:ascii="Book Antiqua" w:hAnsi="Book Antiqua"/>
          <w:kern w:val="24"/>
          <w:lang w:eastAsia="zh-CN"/>
        </w:rPr>
        <w:t xml:space="preserve"> </w:t>
      </w:r>
      <w:r>
        <w:rPr>
          <w:rFonts w:ascii="Book Antiqua" w:eastAsia="Times New Roman" w:hAnsi="Book Antiqua"/>
          <w:kern w:val="24"/>
        </w:rPr>
        <w:t>cm mass in the right lower lobe, showing superficial lobules with unclear boundaries</w:t>
      </w:r>
      <w:r>
        <w:rPr>
          <w:rFonts w:ascii="Book Antiqua" w:eastAsia="宋体" w:hAnsi="Book Antiqua"/>
          <w:kern w:val="24"/>
          <w:lang w:eastAsia="zh-CN"/>
        </w:rPr>
        <w:t xml:space="preserve">. She underwent </w:t>
      </w:r>
      <w:r>
        <w:rPr>
          <w:rFonts w:ascii="Book Antiqua" w:eastAsia="Times New Roman" w:hAnsi="Book Antiqua"/>
          <w:kern w:val="24"/>
        </w:rPr>
        <w:t>video-assisted thoracoscopic surgery, right lower lobe lobotomy, and mediastinal lymph node dissection</w:t>
      </w:r>
      <w:r>
        <w:rPr>
          <w:rFonts w:ascii="Book Antiqua" w:eastAsia="宋体" w:hAnsi="Book Antiqua"/>
          <w:kern w:val="24"/>
          <w:lang w:eastAsia="zh-CN"/>
        </w:rPr>
        <w:t>.</w:t>
      </w:r>
    </w:p>
    <w:p w14:paraId="268FEC14" w14:textId="77777777" w:rsidR="0083714A" w:rsidRDefault="0083714A">
      <w:pPr>
        <w:spacing w:line="360" w:lineRule="auto"/>
        <w:jc w:val="both"/>
        <w:rPr>
          <w:rFonts w:ascii="Book Antiqua" w:hAnsi="Book Antiqua"/>
        </w:rPr>
      </w:pPr>
    </w:p>
    <w:p w14:paraId="7A608DE9"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5310AE5"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The patient had a history of hypertension</w:t>
      </w:r>
      <w:r>
        <w:rPr>
          <w:rFonts w:ascii="Book Antiqua" w:eastAsia="宋体" w:hAnsi="Book Antiqua" w:cs="Book Antiqua"/>
          <w:color w:val="000000"/>
          <w:lang w:eastAsia="zh-CN"/>
        </w:rPr>
        <w:t xml:space="preserve"> and d</w:t>
      </w:r>
      <w:r>
        <w:rPr>
          <w:rFonts w:ascii="Book Antiqua" w:eastAsia="Book Antiqua" w:hAnsi="Book Antiqua" w:cs="Book Antiqua"/>
          <w:color w:val="000000"/>
        </w:rPr>
        <w:t>iabetes.</w:t>
      </w:r>
    </w:p>
    <w:p w14:paraId="257BD8B9" w14:textId="77777777" w:rsidR="0083714A" w:rsidRDefault="0083714A">
      <w:pPr>
        <w:spacing w:line="360" w:lineRule="auto"/>
        <w:jc w:val="both"/>
        <w:rPr>
          <w:rFonts w:ascii="Book Antiqua" w:hAnsi="Book Antiqua"/>
        </w:rPr>
      </w:pPr>
    </w:p>
    <w:p w14:paraId="1B35E968"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E47F718" w14:textId="77777777" w:rsidR="0083714A" w:rsidRDefault="00000000">
      <w:pPr>
        <w:spacing w:line="360" w:lineRule="auto"/>
        <w:jc w:val="both"/>
        <w:rPr>
          <w:rFonts w:ascii="Book Antiqua" w:eastAsia="Book Antiqua" w:hAnsi="Book Antiqua" w:cs="Book Antiqua"/>
          <w:color w:val="000000"/>
        </w:rPr>
      </w:pPr>
      <w:r>
        <w:rPr>
          <w:rFonts w:ascii="Book Antiqua" w:eastAsia="宋体" w:hAnsi="Book Antiqua" w:cs="Book Antiqua"/>
          <w:color w:val="000000"/>
          <w:lang w:eastAsia="zh-CN"/>
        </w:rPr>
        <w:t>This patient was born in Chengdu and lived here. She denied having a family history of hereditary disease.</w:t>
      </w:r>
    </w:p>
    <w:p w14:paraId="29DF5C64" w14:textId="77777777" w:rsidR="0083714A" w:rsidRDefault="0083714A">
      <w:pPr>
        <w:spacing w:line="360" w:lineRule="auto"/>
        <w:jc w:val="both"/>
        <w:rPr>
          <w:rFonts w:ascii="Book Antiqua" w:hAnsi="Book Antiqua"/>
        </w:rPr>
      </w:pPr>
    </w:p>
    <w:p w14:paraId="78E827CA"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7D4B6AD0" w14:textId="77777777" w:rsidR="0083714A" w:rsidRDefault="00000000">
      <w:pPr>
        <w:spacing w:line="360" w:lineRule="auto"/>
        <w:jc w:val="both"/>
        <w:rPr>
          <w:rFonts w:ascii="Book Antiqua" w:hAnsi="Book Antiqua"/>
        </w:rPr>
      </w:pPr>
      <w:r>
        <w:rPr>
          <w:rFonts w:ascii="Book Antiqua" w:eastAsia="宋体" w:hAnsi="Book Antiqua" w:cs="Book Antiqua"/>
          <w:color w:val="000000"/>
          <w:lang w:eastAsia="zh-CN"/>
        </w:rPr>
        <w:t xml:space="preserve">The patient’s </w:t>
      </w:r>
      <w:r>
        <w:rPr>
          <w:rFonts w:ascii="Book Antiqua" w:eastAsia="Book Antiqua" w:hAnsi="Book Antiqua" w:cs="Book Antiqua"/>
          <w:color w:val="000000"/>
        </w:rPr>
        <w:t>temperature</w:t>
      </w:r>
      <w:r>
        <w:rPr>
          <w:rFonts w:ascii="Book Antiqua" w:eastAsia="宋体" w:hAnsi="Book Antiqua" w:cs="Book Antiqua"/>
          <w:color w:val="000000"/>
          <w:lang w:eastAsia="zh-CN"/>
        </w:rPr>
        <w:t xml:space="preserve"> was 36.7 </w:t>
      </w:r>
      <w:r>
        <w:rPr>
          <w:rFonts w:ascii="Book Antiqua" w:eastAsia="Book Antiqua" w:hAnsi="Book Antiqua" w:cs="Book Antiqua"/>
          <w:color w:val="000000"/>
        </w:rPr>
        <w:t>°C</w:t>
      </w:r>
      <w:r>
        <w:rPr>
          <w:rFonts w:ascii="Book Antiqua" w:eastAsia="宋体" w:hAnsi="Book Antiqua" w:cs="Book Antiqua"/>
          <w:color w:val="000000"/>
          <w:lang w:eastAsia="zh-CN"/>
        </w:rPr>
        <w:t xml:space="preserve">, and her </w:t>
      </w:r>
      <w:r>
        <w:rPr>
          <w:rFonts w:ascii="Book Antiqua" w:eastAsia="Book Antiqua" w:hAnsi="Book Antiqua" w:cs="Book Antiqua"/>
          <w:color w:val="000000"/>
        </w:rPr>
        <w:t>blood pressure was 1</w:t>
      </w:r>
      <w:r>
        <w:rPr>
          <w:rFonts w:ascii="Book Antiqua" w:eastAsia="宋体" w:hAnsi="Book Antiqua" w:cs="Book Antiqua"/>
          <w:color w:val="000000"/>
          <w:lang w:eastAsia="zh-CN"/>
        </w:rPr>
        <w:t>2</w:t>
      </w:r>
      <w:r>
        <w:rPr>
          <w:rFonts w:ascii="Book Antiqua" w:eastAsia="Book Antiqua" w:hAnsi="Book Antiqua" w:cs="Book Antiqua"/>
          <w:color w:val="000000"/>
        </w:rPr>
        <w:t>0/</w:t>
      </w:r>
      <w:r>
        <w:rPr>
          <w:rFonts w:ascii="Book Antiqua" w:eastAsia="宋体" w:hAnsi="Book Antiqua" w:cs="Book Antiqua"/>
          <w:color w:val="000000"/>
          <w:lang w:eastAsia="zh-CN"/>
        </w:rPr>
        <w:t>8</w:t>
      </w:r>
      <w:r>
        <w:rPr>
          <w:rFonts w:ascii="Book Antiqua" w:eastAsia="Book Antiqua" w:hAnsi="Book Antiqua" w:cs="Book Antiqua"/>
          <w:color w:val="000000"/>
        </w:rPr>
        <w:t>0 mmHg</w:t>
      </w:r>
      <w:r>
        <w:rPr>
          <w:rFonts w:ascii="Book Antiqua" w:eastAsia="宋体" w:hAnsi="Book Antiqua" w:cs="Book Antiqua"/>
          <w:color w:val="000000"/>
          <w:lang w:eastAsia="zh-CN"/>
        </w:rPr>
        <w:t xml:space="preserve">, </w:t>
      </w:r>
      <w:r>
        <w:rPr>
          <w:rFonts w:ascii="Book Antiqua" w:eastAsia="Book Antiqua" w:hAnsi="Book Antiqua" w:cs="Book Antiqua"/>
          <w:color w:val="000000"/>
        </w:rPr>
        <w:t>heart rate</w:t>
      </w:r>
      <w:r>
        <w:rPr>
          <w:rFonts w:ascii="Book Antiqua" w:eastAsia="宋体" w:hAnsi="Book Antiqua" w:cs="Book Antiqua"/>
          <w:color w:val="000000"/>
          <w:lang w:eastAsia="zh-CN"/>
        </w:rPr>
        <w:t xml:space="preserve"> was </w:t>
      </w:r>
      <w:r>
        <w:rPr>
          <w:rFonts w:ascii="Book Antiqua" w:eastAsia="Book Antiqua" w:hAnsi="Book Antiqua" w:cs="Book Antiqua"/>
          <w:color w:val="000000"/>
        </w:rPr>
        <w:t>70 bpm</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 xml:space="preserve">oxygen saturation in room air was 99%. Physical </w:t>
      </w:r>
      <w:r>
        <w:rPr>
          <w:rFonts w:ascii="Book Antiqua" w:eastAsia="Book Antiqua" w:hAnsi="Book Antiqua" w:cs="Book Antiqua"/>
          <w:color w:val="000000"/>
        </w:rPr>
        <w:lastRenderedPageBreak/>
        <w:t>examination showed 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breath sound of both lungs</w:t>
      </w:r>
      <w:r>
        <w:rPr>
          <w:rFonts w:ascii="Book Antiqua" w:eastAsia="宋体" w:hAnsi="Book Antiqua" w:cs="Book Antiqua"/>
          <w:color w:val="000000"/>
          <w:lang w:eastAsia="zh-CN"/>
        </w:rPr>
        <w:t xml:space="preserve"> was normal. </w:t>
      </w:r>
      <w:r>
        <w:rPr>
          <w:rFonts w:ascii="Book Antiqua" w:eastAsia="Book Antiqua" w:hAnsi="Book Antiqua" w:cs="Book Antiqua"/>
          <w:color w:val="000000"/>
        </w:rPr>
        <w:t>No other positive signs were found in the physical examination.</w:t>
      </w:r>
    </w:p>
    <w:p w14:paraId="514DA645" w14:textId="77777777" w:rsidR="0083714A" w:rsidRDefault="0083714A">
      <w:pPr>
        <w:spacing w:line="360" w:lineRule="auto"/>
        <w:jc w:val="both"/>
        <w:rPr>
          <w:rFonts w:ascii="Book Antiqua" w:hAnsi="Book Antiqua"/>
          <w:lang w:eastAsia="zh-CN"/>
        </w:rPr>
      </w:pPr>
    </w:p>
    <w:p w14:paraId="2AF096E2"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6AD93291" w14:textId="77777777" w:rsidR="0083714A" w:rsidRDefault="00000000">
      <w:pPr>
        <w:spacing w:line="360" w:lineRule="auto"/>
        <w:jc w:val="both"/>
        <w:rPr>
          <w:rFonts w:ascii="Book Antiqua" w:hAnsi="Book Antiqua"/>
          <w:lang w:eastAsia="zh-CN"/>
        </w:rPr>
      </w:pPr>
      <w:r>
        <w:rPr>
          <w:rFonts w:ascii="Book Antiqua" w:eastAsia="Times New Roman" w:hAnsi="Book Antiqua"/>
          <w:kern w:val="24"/>
        </w:rPr>
        <w:t xml:space="preserve">Laboratory examinations revealed that the patient’s CA15-3 </w:t>
      </w:r>
      <w:r>
        <w:rPr>
          <w:rFonts w:ascii="Book Antiqua" w:eastAsia="宋体" w:hAnsi="Book Antiqua"/>
          <w:kern w:val="24"/>
          <w:lang w:eastAsia="zh-CN"/>
        </w:rPr>
        <w:t xml:space="preserve">was </w:t>
      </w:r>
      <w:r>
        <w:rPr>
          <w:rFonts w:ascii="Book Antiqua" w:eastAsia="Times New Roman" w:hAnsi="Book Antiqua"/>
          <w:kern w:val="24"/>
        </w:rPr>
        <w:t>36</w:t>
      </w:r>
      <w:r>
        <w:rPr>
          <w:rFonts w:ascii="Book Antiqua" w:hAnsi="Book Antiqua"/>
          <w:kern w:val="24"/>
          <w:lang w:eastAsia="zh-CN"/>
        </w:rPr>
        <w:t xml:space="preserve"> </w:t>
      </w:r>
      <w:r>
        <w:rPr>
          <w:rFonts w:ascii="Book Antiqua" w:eastAsia="Times New Roman" w:hAnsi="Book Antiqua"/>
          <w:kern w:val="24"/>
        </w:rPr>
        <w:t>U/mL</w:t>
      </w:r>
      <w:r>
        <w:rPr>
          <w:rFonts w:ascii="Book Antiqua" w:eastAsia="宋体" w:hAnsi="Book Antiqua"/>
          <w:kern w:val="24"/>
          <w:lang w:eastAsia="zh-CN"/>
        </w:rPr>
        <w:t xml:space="preserve">, </w:t>
      </w:r>
      <w:r>
        <w:rPr>
          <w:rFonts w:ascii="Book Antiqua" w:eastAsia="Times New Roman" w:hAnsi="Book Antiqua"/>
          <w:kern w:val="24"/>
        </w:rPr>
        <w:t>CA72-4 was 4 ng/ mL</w:t>
      </w:r>
      <w:r>
        <w:rPr>
          <w:rFonts w:ascii="Book Antiqua" w:eastAsia="宋体" w:hAnsi="Book Antiqua"/>
          <w:kern w:val="24"/>
          <w:lang w:eastAsia="zh-CN"/>
        </w:rPr>
        <w:t xml:space="preserve">, </w:t>
      </w:r>
      <w:r>
        <w:rPr>
          <w:rFonts w:ascii="Book Antiqua" w:eastAsia="Times New Roman" w:hAnsi="Book Antiqua"/>
          <w:kern w:val="24"/>
        </w:rPr>
        <w:t>CA-125</w:t>
      </w:r>
      <w:r>
        <w:rPr>
          <w:rFonts w:ascii="Book Antiqua" w:eastAsia="宋体" w:hAnsi="Book Antiqua"/>
          <w:kern w:val="24"/>
          <w:lang w:eastAsia="zh-CN"/>
        </w:rPr>
        <w:t xml:space="preserve"> was </w:t>
      </w:r>
      <w:r>
        <w:rPr>
          <w:rFonts w:ascii="Book Antiqua" w:eastAsia="Times New Roman" w:hAnsi="Book Antiqua"/>
          <w:kern w:val="24"/>
        </w:rPr>
        <w:t>53.46</w:t>
      </w:r>
      <w:r>
        <w:rPr>
          <w:rFonts w:ascii="Book Antiqua" w:hAnsi="Book Antiqua"/>
          <w:kern w:val="24"/>
          <w:lang w:eastAsia="zh-CN"/>
        </w:rPr>
        <w:t xml:space="preserve"> </w:t>
      </w:r>
      <w:r>
        <w:rPr>
          <w:rFonts w:ascii="Book Antiqua" w:eastAsia="Times New Roman" w:hAnsi="Book Antiqua"/>
          <w:kern w:val="24"/>
        </w:rPr>
        <w:t>U/mL</w:t>
      </w:r>
      <w:r>
        <w:rPr>
          <w:rFonts w:ascii="Book Antiqua" w:eastAsia="宋体" w:hAnsi="Book Antiqua"/>
          <w:kern w:val="24"/>
          <w:lang w:eastAsia="zh-CN"/>
        </w:rPr>
        <w:t xml:space="preserve">, and </w:t>
      </w:r>
      <w:r>
        <w:rPr>
          <w:rFonts w:ascii="Book Antiqua" w:eastAsia="Times New Roman" w:hAnsi="Book Antiqua"/>
          <w:kern w:val="24"/>
        </w:rPr>
        <w:t>NSE</w:t>
      </w:r>
      <w:r>
        <w:rPr>
          <w:rFonts w:ascii="Book Antiqua" w:eastAsia="宋体" w:hAnsi="Book Antiqua"/>
          <w:kern w:val="24"/>
          <w:lang w:eastAsia="zh-CN"/>
        </w:rPr>
        <w:t xml:space="preserve"> was </w:t>
      </w:r>
      <w:r>
        <w:rPr>
          <w:rFonts w:ascii="Book Antiqua" w:eastAsia="Times New Roman" w:hAnsi="Book Antiqua"/>
          <w:kern w:val="24"/>
        </w:rPr>
        <w:t>23.96 ng/mL</w:t>
      </w:r>
      <w:r>
        <w:rPr>
          <w:rFonts w:ascii="Book Antiqua" w:eastAsia="宋体" w:hAnsi="Book Antiqua"/>
          <w:kern w:val="24"/>
          <w:lang w:eastAsia="zh-CN"/>
        </w:rPr>
        <w:t>.</w:t>
      </w:r>
    </w:p>
    <w:p w14:paraId="2975D60B" w14:textId="77777777" w:rsidR="0083714A" w:rsidRDefault="0083714A">
      <w:pPr>
        <w:spacing w:line="360" w:lineRule="auto"/>
        <w:jc w:val="both"/>
        <w:rPr>
          <w:rFonts w:ascii="Book Antiqua" w:hAnsi="Book Antiqua"/>
        </w:rPr>
      </w:pPr>
    </w:p>
    <w:p w14:paraId="28A13718" w14:textId="77777777" w:rsidR="0083714A"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4BCB580E" w14:textId="77777777" w:rsidR="0083714A" w:rsidRDefault="00000000">
      <w:pPr>
        <w:spacing w:line="360" w:lineRule="auto"/>
        <w:jc w:val="both"/>
        <w:rPr>
          <w:rFonts w:ascii="Book Antiqua" w:hAnsi="Book Antiqua"/>
          <w:kern w:val="24"/>
          <w:lang w:eastAsia="zh-CN"/>
        </w:rPr>
      </w:pPr>
      <w:r>
        <w:rPr>
          <w:rFonts w:ascii="Book Antiqua" w:eastAsia="Times New Roman" w:hAnsi="Book Antiqua"/>
          <w:kern w:val="24"/>
        </w:rPr>
        <w:t>Contrast-enhanced CT indicated bone destruction of the right 4</w:t>
      </w:r>
      <w:r>
        <w:rPr>
          <w:rFonts w:ascii="Book Antiqua" w:eastAsia="Times New Roman" w:hAnsi="Book Antiqua"/>
          <w:kern w:val="24"/>
          <w:vertAlign w:val="superscript"/>
        </w:rPr>
        <w:t>th</w:t>
      </w:r>
      <w:r>
        <w:rPr>
          <w:rFonts w:ascii="Book Antiqua" w:eastAsia="Times New Roman" w:hAnsi="Book Antiqua"/>
          <w:kern w:val="24"/>
        </w:rPr>
        <w:t xml:space="preserve"> rib with a soft tissue mass and cortical thickening of the adjacent 5</w:t>
      </w:r>
      <w:r>
        <w:rPr>
          <w:rFonts w:ascii="Book Antiqua" w:eastAsia="Times New Roman" w:hAnsi="Book Antiqua"/>
          <w:kern w:val="24"/>
          <w:vertAlign w:val="superscript"/>
        </w:rPr>
        <w:t>th</w:t>
      </w:r>
      <w:r>
        <w:rPr>
          <w:rFonts w:ascii="Book Antiqua" w:eastAsia="Times New Roman" w:hAnsi="Book Antiqua"/>
          <w:kern w:val="24"/>
        </w:rPr>
        <w:t xml:space="preserve"> rib. A whole-body bone scan suggested increased bone metabolism in the right 3</w:t>
      </w:r>
      <w:r>
        <w:rPr>
          <w:rFonts w:ascii="Book Antiqua" w:eastAsia="Times New Roman" w:hAnsi="Book Antiqua"/>
          <w:kern w:val="24"/>
          <w:vertAlign w:val="superscript"/>
        </w:rPr>
        <w:t>rd</w:t>
      </w:r>
      <w:r>
        <w:rPr>
          <w:rFonts w:ascii="Book Antiqua" w:eastAsia="Times New Roman" w:hAnsi="Book Antiqua"/>
          <w:kern w:val="24"/>
        </w:rPr>
        <w:t>-5</w:t>
      </w:r>
      <w:r>
        <w:rPr>
          <w:rFonts w:ascii="Book Antiqua" w:eastAsia="Times New Roman" w:hAnsi="Book Antiqua"/>
          <w:kern w:val="24"/>
          <w:vertAlign w:val="superscript"/>
        </w:rPr>
        <w:t>th</w:t>
      </w:r>
      <w:r>
        <w:rPr>
          <w:rFonts w:ascii="Book Antiqua" w:eastAsia="Times New Roman" w:hAnsi="Book Antiqua"/>
          <w:kern w:val="24"/>
        </w:rPr>
        <w:t xml:space="preserve"> coastal axillary segments and possible bone metastasis</w:t>
      </w:r>
      <w:r>
        <w:rPr>
          <w:rFonts w:ascii="Book Antiqua" w:hAnsi="Book Antiqua"/>
          <w:kern w:val="24"/>
          <w:lang w:eastAsia="zh-CN"/>
        </w:rPr>
        <w:t>.</w:t>
      </w:r>
    </w:p>
    <w:p w14:paraId="52FDDDBD" w14:textId="77777777" w:rsidR="0083714A" w:rsidRDefault="0083714A">
      <w:pPr>
        <w:spacing w:line="360" w:lineRule="auto"/>
        <w:jc w:val="both"/>
        <w:rPr>
          <w:rFonts w:ascii="Book Antiqua" w:hAnsi="Book Antiqua"/>
          <w:lang w:eastAsia="zh-CN"/>
        </w:rPr>
      </w:pPr>
    </w:p>
    <w:p w14:paraId="70306E87"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D0D2D34" w14:textId="77777777" w:rsidR="0083714A" w:rsidRDefault="00000000">
      <w:pPr>
        <w:spacing w:line="360" w:lineRule="auto"/>
        <w:jc w:val="both"/>
        <w:rPr>
          <w:rFonts w:ascii="Book Antiqua" w:hAnsi="Book Antiqua"/>
          <w:lang w:eastAsia="zh-CN"/>
        </w:rPr>
      </w:pPr>
      <w:r>
        <w:rPr>
          <w:rFonts w:ascii="Book Antiqua" w:hAnsi="Book Antiqua" w:cs="Book Antiqua"/>
          <w:bCs/>
          <w:color w:val="000000"/>
          <w:lang w:eastAsia="zh-CN"/>
        </w:rPr>
        <w:t xml:space="preserve">The patient was diagnosed as having </w:t>
      </w:r>
      <w:r>
        <w:rPr>
          <w:rFonts w:ascii="Book Antiqua" w:eastAsia="Book Antiqua" w:hAnsi="Book Antiqua" w:cs="Book Antiqua"/>
          <w:bCs/>
          <w:color w:val="000000"/>
        </w:rPr>
        <w:t xml:space="preserve">primary pulmonary </w:t>
      </w:r>
      <w:r>
        <w:rPr>
          <w:rFonts w:ascii="Book Antiqua" w:hAnsi="Book Antiqua" w:cs="Book Antiqua"/>
          <w:bCs/>
          <w:color w:val="000000"/>
          <w:lang w:eastAsia="zh-CN"/>
        </w:rPr>
        <w:t>LELC.</w:t>
      </w:r>
    </w:p>
    <w:p w14:paraId="4D8BD69E" w14:textId="77777777" w:rsidR="0083714A" w:rsidRDefault="0083714A">
      <w:pPr>
        <w:spacing w:line="360" w:lineRule="auto"/>
        <w:jc w:val="both"/>
        <w:rPr>
          <w:rFonts w:ascii="Book Antiqua" w:hAnsi="Book Antiqua"/>
        </w:rPr>
      </w:pPr>
    </w:p>
    <w:p w14:paraId="08B5441E"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D02E8C6" w14:textId="77777777" w:rsidR="0083714A" w:rsidRDefault="00000000">
      <w:pPr>
        <w:spacing w:line="360" w:lineRule="auto"/>
        <w:jc w:val="both"/>
        <w:rPr>
          <w:rFonts w:ascii="Book Antiqua" w:hAnsi="Book Antiqua"/>
          <w:kern w:val="24"/>
          <w:lang w:eastAsia="zh-CN"/>
        </w:rPr>
      </w:pPr>
      <w:bookmarkStart w:id="2" w:name="OLE_LINK60"/>
      <w:bookmarkStart w:id="3" w:name="OLE_LINK45"/>
      <w:r>
        <w:rPr>
          <w:rFonts w:ascii="Book Antiqua" w:eastAsia="宋体" w:hAnsi="Book Antiqua"/>
          <w:kern w:val="24"/>
          <w:lang w:eastAsia="zh-CN"/>
        </w:rPr>
        <w:t>T</w:t>
      </w:r>
      <w:r>
        <w:rPr>
          <w:rFonts w:ascii="Book Antiqua" w:eastAsia="Times New Roman" w:hAnsi="Book Antiqua"/>
          <w:kern w:val="24"/>
        </w:rPr>
        <w:t>he patient was treated with sintilimab (</w:t>
      </w:r>
      <w:r>
        <w:rPr>
          <w:rFonts w:ascii="Book Antiqua" w:hAnsi="Book Antiqua"/>
          <w:kern w:val="24"/>
          <w:shd w:val="clear" w:color="auto" w:fill="FFFFFF"/>
        </w:rPr>
        <w:t>Tyvyt</w:t>
      </w:r>
      <w:r>
        <w:rPr>
          <w:rFonts w:ascii="Book Antiqua" w:hAnsi="Book Antiqua"/>
          <w:kern w:val="24"/>
          <w:shd w:val="clear" w:color="auto" w:fill="FFFFFF"/>
          <w:vertAlign w:val="superscript"/>
        </w:rPr>
        <w:t>®</w:t>
      </w:r>
      <w:r>
        <w:rPr>
          <w:rFonts w:ascii="Book Antiqua" w:eastAsia="Times New Roman" w:hAnsi="Book Antiqua"/>
          <w:kern w:val="24"/>
        </w:rPr>
        <w:t>, 200mg ivgtt d</w:t>
      </w:r>
      <w:r>
        <w:rPr>
          <w:rFonts w:ascii="Book Antiqua" w:hAnsi="Book Antiqua"/>
          <w:kern w:val="24"/>
        </w:rPr>
        <w:t>0</w:t>
      </w:r>
      <w:r>
        <w:rPr>
          <w:rFonts w:ascii="Book Antiqua" w:eastAsia="Times New Roman" w:hAnsi="Book Antiqua"/>
          <w:kern w:val="24"/>
        </w:rPr>
        <w:t>), paclitaxel (210</w:t>
      </w:r>
      <w:r>
        <w:rPr>
          <w:rFonts w:ascii="Book Antiqua" w:hAnsi="Book Antiqua"/>
          <w:kern w:val="24"/>
          <w:lang w:eastAsia="zh-CN"/>
        </w:rPr>
        <w:t xml:space="preserve"> </w:t>
      </w:r>
      <w:r>
        <w:rPr>
          <w:rFonts w:ascii="Book Antiqua" w:eastAsia="Times New Roman" w:hAnsi="Book Antiqua"/>
          <w:kern w:val="24"/>
        </w:rPr>
        <w:t>mg ivgtt d</w:t>
      </w:r>
      <w:r>
        <w:rPr>
          <w:rFonts w:ascii="Book Antiqua" w:hAnsi="Book Antiqua"/>
          <w:kern w:val="24"/>
        </w:rPr>
        <w:t>1</w:t>
      </w:r>
      <w:r>
        <w:rPr>
          <w:rFonts w:ascii="Book Antiqua" w:eastAsia="Times New Roman" w:hAnsi="Book Antiqua"/>
          <w:kern w:val="24"/>
        </w:rPr>
        <w:t>), and carboplatin (550</w:t>
      </w:r>
      <w:r>
        <w:rPr>
          <w:rFonts w:ascii="Book Antiqua" w:hAnsi="Book Antiqua"/>
          <w:kern w:val="24"/>
          <w:lang w:eastAsia="zh-CN"/>
        </w:rPr>
        <w:t xml:space="preserve"> </w:t>
      </w:r>
      <w:r>
        <w:rPr>
          <w:rFonts w:ascii="Book Antiqua" w:eastAsia="Times New Roman" w:hAnsi="Book Antiqua"/>
          <w:kern w:val="24"/>
        </w:rPr>
        <w:t>mg ivgtt d1) every 3 w</w:t>
      </w:r>
      <w:r>
        <w:rPr>
          <w:rFonts w:ascii="Book Antiqua" w:hAnsi="Book Antiqua"/>
          <w:kern w:val="24"/>
          <w:lang w:eastAsia="zh-CN"/>
        </w:rPr>
        <w:t>k</w:t>
      </w:r>
      <w:r>
        <w:rPr>
          <w:rFonts w:ascii="Book Antiqua" w:eastAsia="Times New Roman" w:hAnsi="Book Antiqua"/>
          <w:kern w:val="24"/>
        </w:rPr>
        <w:t>.</w:t>
      </w:r>
      <w:bookmarkEnd w:id="2"/>
      <w:bookmarkEnd w:id="3"/>
      <w:r>
        <w:rPr>
          <w:rFonts w:ascii="Book Antiqua" w:eastAsia="宋体" w:hAnsi="Book Antiqua"/>
          <w:kern w:val="24"/>
          <w:lang w:eastAsia="zh-CN"/>
        </w:rPr>
        <w:t xml:space="preserve"> </w:t>
      </w:r>
      <w:r>
        <w:rPr>
          <w:rFonts w:ascii="Book Antiqua" w:eastAsia="Times New Roman" w:hAnsi="Book Antiqua"/>
          <w:kern w:val="24"/>
        </w:rPr>
        <w:t xml:space="preserve">Subsequently, the chemotherapy was stopped and </w:t>
      </w:r>
      <w:bookmarkStart w:id="4" w:name="OLE_LINK3"/>
      <w:bookmarkStart w:id="5" w:name="OLE_LINK4"/>
      <w:r>
        <w:rPr>
          <w:rFonts w:ascii="Book Antiqua" w:eastAsia="Times New Roman" w:hAnsi="Book Antiqua"/>
          <w:kern w:val="24"/>
        </w:rPr>
        <w:t>sintilimab</w:t>
      </w:r>
      <w:bookmarkEnd w:id="4"/>
      <w:bookmarkEnd w:id="5"/>
      <w:r>
        <w:rPr>
          <w:rFonts w:ascii="Book Antiqua" w:eastAsia="Times New Roman" w:hAnsi="Book Antiqua"/>
          <w:kern w:val="24"/>
        </w:rPr>
        <w:t xml:space="preserve"> maintenance treatment of 200</w:t>
      </w:r>
      <w:r>
        <w:rPr>
          <w:rFonts w:ascii="Book Antiqua" w:hAnsi="Book Antiqua"/>
          <w:kern w:val="24"/>
          <w:lang w:eastAsia="zh-CN"/>
        </w:rPr>
        <w:t xml:space="preserve"> </w:t>
      </w:r>
      <w:r>
        <w:rPr>
          <w:rFonts w:ascii="Book Antiqua" w:eastAsia="Times New Roman" w:hAnsi="Book Antiqua"/>
          <w:kern w:val="24"/>
        </w:rPr>
        <w:t>mg</w:t>
      </w:r>
      <w:r>
        <w:rPr>
          <w:rFonts w:ascii="Book Antiqua" w:hAnsi="Book Antiqua"/>
          <w:kern w:val="24"/>
        </w:rPr>
        <w:t xml:space="preserve"> ivgtt (given </w:t>
      </w:r>
      <w:r>
        <w:rPr>
          <w:rFonts w:ascii="Book Antiqua" w:eastAsia="Times New Roman" w:hAnsi="Book Antiqua"/>
          <w:kern w:val="24"/>
        </w:rPr>
        <w:t>every 3 w</w:t>
      </w:r>
      <w:r>
        <w:rPr>
          <w:rFonts w:ascii="Book Antiqua" w:hAnsi="Book Antiqua"/>
          <w:kern w:val="24"/>
          <w:lang w:eastAsia="zh-CN"/>
        </w:rPr>
        <w:t>k</w:t>
      </w:r>
      <w:r>
        <w:rPr>
          <w:rFonts w:ascii="Book Antiqua" w:eastAsia="Times New Roman" w:hAnsi="Book Antiqua"/>
          <w:kern w:val="24"/>
        </w:rPr>
        <w:t>) was initiated.</w:t>
      </w:r>
    </w:p>
    <w:p w14:paraId="63A8BE68" w14:textId="77777777" w:rsidR="0083714A" w:rsidRDefault="0083714A">
      <w:pPr>
        <w:spacing w:line="360" w:lineRule="auto"/>
        <w:jc w:val="both"/>
        <w:rPr>
          <w:rFonts w:ascii="Book Antiqua" w:hAnsi="Book Antiqua"/>
          <w:lang w:eastAsia="zh-CN"/>
        </w:rPr>
      </w:pPr>
    </w:p>
    <w:p w14:paraId="5B9D8AC0"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5E0C1F7" w14:textId="77777777" w:rsidR="0083714A" w:rsidRDefault="00000000">
      <w:pPr>
        <w:spacing w:line="360" w:lineRule="auto"/>
        <w:jc w:val="both"/>
        <w:rPr>
          <w:rFonts w:ascii="Book Antiqua" w:eastAsia="宋体" w:hAnsi="Book Antiqua"/>
          <w:kern w:val="24"/>
          <w:lang w:eastAsia="zh-CN"/>
        </w:rPr>
      </w:pPr>
      <w:bookmarkStart w:id="6" w:name="OLE_LINK11"/>
      <w:bookmarkStart w:id="7" w:name="OLE_LINK12"/>
      <w:r>
        <w:rPr>
          <w:rFonts w:ascii="Book Antiqua" w:eastAsia="Times New Roman" w:hAnsi="Book Antiqua"/>
          <w:kern w:val="24"/>
        </w:rPr>
        <w:t>The patient was in a continuous PR state</w:t>
      </w:r>
      <w:bookmarkEnd w:id="6"/>
      <w:bookmarkEnd w:id="7"/>
      <w:r>
        <w:rPr>
          <w:rFonts w:ascii="Book Antiqua" w:eastAsia="Times New Roman" w:hAnsi="Book Antiqua"/>
          <w:kern w:val="24"/>
        </w:rPr>
        <w:t>. No obvious side effects were observed during the treatment process.</w:t>
      </w:r>
      <w:r>
        <w:rPr>
          <w:rFonts w:ascii="Book Antiqua" w:hAnsi="Book Antiqua"/>
          <w:lang w:eastAsia="zh-CN"/>
        </w:rPr>
        <w:t xml:space="preserve"> T</w:t>
      </w:r>
      <w:r>
        <w:rPr>
          <w:rFonts w:ascii="Book Antiqua" w:eastAsia="Times New Roman" w:hAnsi="Book Antiqua"/>
          <w:kern w:val="24"/>
        </w:rPr>
        <w:t>he values of CA15-3 and</w:t>
      </w:r>
      <w:r>
        <w:rPr>
          <w:rFonts w:ascii="Book Antiqua" w:hAnsi="Book Antiqua"/>
          <w:kern w:val="24"/>
          <w:lang w:eastAsia="zh-CN"/>
        </w:rPr>
        <w:t xml:space="preserve"> </w:t>
      </w:r>
      <w:r>
        <w:rPr>
          <w:rFonts w:ascii="Book Antiqua" w:eastAsia="Times New Roman" w:hAnsi="Book Antiqua"/>
          <w:kern w:val="24"/>
        </w:rPr>
        <w:t>CA72-4 gradually returned to normal</w:t>
      </w:r>
      <w:r>
        <w:rPr>
          <w:rFonts w:ascii="Book Antiqua" w:eastAsia="宋体" w:hAnsi="Book Antiqua"/>
          <w:kern w:val="24"/>
          <w:lang w:eastAsia="zh-CN"/>
        </w:rPr>
        <w:t>. She has been followed for 1 year.</w:t>
      </w:r>
    </w:p>
    <w:p w14:paraId="5A7DEEE1" w14:textId="77777777" w:rsidR="0083714A" w:rsidRDefault="0083714A">
      <w:pPr>
        <w:spacing w:line="360" w:lineRule="auto"/>
        <w:jc w:val="both"/>
        <w:rPr>
          <w:rFonts w:ascii="Book Antiqua" w:eastAsia="宋体" w:hAnsi="Book Antiqua"/>
          <w:lang w:eastAsia="zh-CN"/>
        </w:rPr>
      </w:pPr>
    </w:p>
    <w:p w14:paraId="2C4218E3"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EC18C8F"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lastRenderedPageBreak/>
        <w:t>As far as we know</w:t>
      </w:r>
      <w:r>
        <w:rPr>
          <w:rFonts w:ascii="Book Antiqua" w:eastAsia="宋体" w:hAnsi="Book Antiqua" w:cs="Book Antiqua"/>
          <w:color w:val="000000"/>
          <w:lang w:eastAsia="zh-CN"/>
        </w:rPr>
        <w:t>,</w:t>
      </w:r>
      <w:r>
        <w:rPr>
          <w:rFonts w:ascii="Book Antiqua" w:eastAsia="Book Antiqua" w:hAnsi="Book Antiqua" w:cs="Book Antiqua"/>
          <w:color w:val="000000"/>
        </w:rPr>
        <w:t xml:space="preserve"> this is </w:t>
      </w:r>
      <w:r>
        <w:rPr>
          <w:rFonts w:ascii="Book Antiqua" w:eastAsia="宋体" w:hAnsi="Book Antiqua" w:cs="Book Antiqua"/>
          <w:color w:val="000000"/>
          <w:lang w:eastAsia="zh-CN"/>
        </w:rPr>
        <w:t>the</w:t>
      </w:r>
      <w:r>
        <w:rPr>
          <w:rFonts w:ascii="Book Antiqua" w:eastAsia="Book Antiqua" w:hAnsi="Book Antiqua" w:cs="Book Antiqua"/>
          <w:color w:val="000000"/>
        </w:rPr>
        <w:t xml:space="preserve"> first report of a patient with LELC who positively responded to sintilimab combined with chemotherapy. The patient achieved a partial response to our therapeutic regimen after two cycles. She completed six cycles of sintilimab combined with chemotherapy and ten cycles of sintilimab maintenance treatment. Her tumor burden significantly decreased, without obvious side effects. The timeline summarizing the main events of this case report is showed in Figure 5.</w:t>
      </w:r>
    </w:p>
    <w:p w14:paraId="623A50D2"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order to investigate the molecular mechanism underlying the development of LELC, several studies have examined the mutation status of LELC oncogenic driver and tumor suppressor genes, such as EGFR, KRAS, BRAF, ALK, ROS1, and TP53. Yin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found EGFR mutation in five patients (5/175, 2.9%) and ALK alteration in three patients (3/140, 2.1%). The subtype might not be sensitive to conventional targeted therapy for NSCLC. Several studies revealed that PD-L1 expression is prevalent in pulmonary LELC. Chang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observed detectable PD-L1 expression in 75.8% (50/66) of pulmonary LELCs. There are high PD-L1 expression and infrequent driver mutations in LELCs compared with conventional NSCLCs. Wu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that among PD-L1-positive cases, 91.5% of</w:t>
      </w:r>
      <w:r>
        <w:rPr>
          <w:rFonts w:ascii="Book Antiqua" w:eastAsia="Book Antiqua" w:hAnsi="Book Antiqua" w:cs="Book Antiqua"/>
          <w:color w:val="000000"/>
          <w:shd w:val="clear" w:color="auto" w:fill="FFFFFF"/>
        </w:rPr>
        <w:t xml:space="preserve"> primary pulmonary LELC</w:t>
      </w:r>
      <w:r>
        <w:rPr>
          <w:rFonts w:ascii="Book Antiqua" w:eastAsia="Book Antiqua" w:hAnsi="Book Antiqua" w:cs="Book Antiqua"/>
          <w:color w:val="000000"/>
        </w:rPr>
        <w:t xml:space="preserve"> patients (54/59) had a t</w:t>
      </w:r>
      <w:r>
        <w:rPr>
          <w:rFonts w:ascii="Book Antiqua" w:eastAsia="Book Antiqua" w:hAnsi="Book Antiqua" w:cs="Book Antiqua"/>
          <w:color w:val="000000"/>
          <w:shd w:val="clear" w:color="auto" w:fill="FFFFFF"/>
        </w:rPr>
        <w:t>umor proportion score (</w:t>
      </w:r>
      <w:r>
        <w:rPr>
          <w:rFonts w:ascii="Book Antiqua" w:eastAsia="Book Antiqua" w:hAnsi="Book Antiqua" w:cs="Book Antiqua"/>
          <w:color w:val="000000"/>
        </w:rPr>
        <w:t xml:space="preserve">TPS) ≥ 5%, while more than half of PLELC patients (36/59, 61.0 %) with a TPS ≥ 50% showed high levels of PD-L1 expression. Patients with positive PD-L1 expression had longer PFS and OS than those with negative PD-L1 expression. Xie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found that 69% (20/29) of patients had positive PD-L1 expression,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whereas three patients benefited from a PD-1 inhibitor. In contrary, Paz-Ares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showed that the positive rate of PD-L1 in LELC patients was 74.3%, and overexpression of PD-L1 was associated with impaired DFS.</w:t>
      </w:r>
    </w:p>
    <w:p w14:paraId="723B6054"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The treatment for PLELC mainly depends on tumor stage. Surgery is the mainstay of treatment in early-stage tumors, while a combination of chemotherapy and radiotherapy is used for advanced patients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most commonly used chemotherapy include cisplatin or carboplatin combined with 5-fluorouracil, paclitaxel, docetaxel, or gemcitabine</w:t>
      </w:r>
      <w:r>
        <w:rPr>
          <w:rFonts w:ascii="Book Antiqua" w:eastAsia="Book Antiqua" w:hAnsi="Book Antiqua" w:cs="Book Antiqua"/>
          <w:color w:val="000000"/>
          <w:vertAlign w:val="superscript"/>
        </w:rPr>
        <w:t>[9]</w:t>
      </w:r>
      <w:r>
        <w:rPr>
          <w:rFonts w:ascii="Book Antiqua" w:eastAsia="Book Antiqua" w:hAnsi="Book Antiqua" w:cs="Book Antiqua"/>
          <w:color w:val="000000"/>
        </w:rPr>
        <w:t>. High PD-L1 level and lack of canonical druggable driver mutations raise the potential of checkpoint immunotherapy for PLELC</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Our patient revealed the </w:t>
      </w:r>
      <w:r>
        <w:rPr>
          <w:rFonts w:ascii="Book Antiqua" w:eastAsia="Book Antiqua" w:hAnsi="Book Antiqua" w:cs="Book Antiqua"/>
          <w:color w:val="000000"/>
        </w:rPr>
        <w:lastRenderedPageBreak/>
        <w:t>characteristics of the EBER1/2-ISH (+) and PD-L1 (+, 70%),</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and the lack of any canonical druggable driver mutations, which supported the feasibility of checkpoint immunotherapy.</w:t>
      </w:r>
    </w:p>
    <w:p w14:paraId="6AEB60C3"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The immune checkpoint PD-1 blockade is a recent addition to the treatment approach against different types of advanced cancers</w:t>
      </w:r>
      <w:r>
        <w:rPr>
          <w:rFonts w:ascii="Book Antiqua" w:eastAsia="Book Antiqua" w:hAnsi="Book Antiqua" w:cs="Book Antiqua"/>
          <w:color w:val="000000"/>
          <w:vertAlign w:val="superscript"/>
        </w:rPr>
        <w:t>[8]</w:t>
      </w:r>
      <w:r>
        <w:rPr>
          <w:rFonts w:ascii="Book Antiqua" w:eastAsia="Book Antiqua" w:hAnsi="Book Antiqua" w:cs="Book Antiqua"/>
          <w:color w:val="000000"/>
        </w:rPr>
        <w:t>. Two anti-PD-1 antibodies, nivolumab and pembrolizumab, have shown survival benefits over standard second-line chemotherapy in treating NSCLC</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11</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Sintilimab, as a monotherapy, owns a safety profile in adults with relapsed or refractory classical Hodgkin’s lymphoma participating in ORIENT-1</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which is similar to the safety profiles of nivolumab and pembrolizumab. Gao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discovered that neoadjuvant sintilimab was well tolerated by patients with NSCLC, and a 40.5% major pathologic response rate is encouraging. Thus far, immunotherapy has rarely been adopted for patients with LELC. At present, there are few reports on immunotherapy for LELC. Kim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first reported treating a patient with LELC using nivolumab who underwent chemotherapy; side effects, including tachypnea and cough, occurred 10 d after the first treatment. Moreover, Tang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a patient who was given 3</w:t>
      </w:r>
      <w:r>
        <w:rPr>
          <w:rFonts w:ascii="Book Antiqua" w:hAnsi="Book Antiqua" w:cs="Book Antiqua"/>
          <w:color w:val="000000"/>
          <w:lang w:eastAsia="zh-CN"/>
        </w:rPr>
        <w:t xml:space="preserve"> </w:t>
      </w:r>
      <w:r>
        <w:rPr>
          <w:rFonts w:ascii="Book Antiqua" w:eastAsia="Book Antiqua" w:hAnsi="Book Antiqua" w:cs="Book Antiqua"/>
          <w:color w:val="000000"/>
        </w:rPr>
        <w:t>mg/kg nivolumab every 2 wk after first-line chemotherapy; after two cycles, the patient achieved PR. CT revealed that the disease had progressed 5 mo later in our patient, after which nedaplatin and paclitaxel were added to the nivolumab, resulting in a reduction of the tumor.</w:t>
      </w:r>
    </w:p>
    <w:p w14:paraId="62EC088E"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Our patient achieved PR after two cycles of sintilimab, paclitaxel, and carboplatin every 3 wk. By September 2020, the patient successfully completed six cycles of sintilimab combined with chemotherapy and ten cycles of sintilimab maintenance treatment in a continuous PR state without obvious side effects during the treatment process. To date, five patients with primary advanced LELCs have been reported, including the one reported in this study, who have received immunotherapy combined with chemotherapy or targeted therapy (Table 1). It is possible that immunotherapy combined with chemotherapy in advanced primary pulmonary LELC may be more effective than immunotherapy or chemotherapy alone. Thus, immunotherapy combined </w:t>
      </w:r>
      <w:r>
        <w:rPr>
          <w:rFonts w:ascii="Book Antiqua" w:eastAsia="Book Antiqua" w:hAnsi="Book Antiqua" w:cs="Book Antiqua"/>
          <w:color w:val="000000"/>
        </w:rPr>
        <w:lastRenderedPageBreak/>
        <w:t>with chemotherapy should be considered as the first line of treatment for patients with advanced primary pulmonary LELC.</w:t>
      </w:r>
    </w:p>
    <w:p w14:paraId="14112933"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NSE is an effective biomarker for immunotherapy in LELC. In our patients, we found that after effective treatment, CA15-3 and CA72-4 returned to normal. NSE remained normal throughout the relapse. Thus, CA15-3 and CA72-4 are efficient biomarkers for detecting LELC.</w:t>
      </w:r>
    </w:p>
    <w:p w14:paraId="7166356F" w14:textId="77777777" w:rsidR="0083714A" w:rsidRDefault="00000000">
      <w:pPr>
        <w:spacing w:line="360" w:lineRule="auto"/>
        <w:ind w:firstLine="240"/>
        <w:jc w:val="both"/>
        <w:rPr>
          <w:rFonts w:ascii="Book Antiqua" w:hAnsi="Book Antiqua"/>
        </w:rPr>
      </w:pPr>
      <w:r>
        <w:rPr>
          <w:rFonts w:ascii="Book Antiqua" w:eastAsia="Book Antiqua" w:hAnsi="Book Antiqua" w:cs="Book Antiqua"/>
          <w:color w:val="000000"/>
        </w:rPr>
        <w:t>Although immune checkpoint inhibitor-based therapy has shown great potential in solid tumors, the shortage of validated biomarkers is still an important issue since only a part of patients could benefit from immunotherapy. In addition, some potential biomarkers should be further explored, such as PD-L1 level, tumor mutational burden, microsatellite instability status, and gut microbiota. Furthermore, the efficacy of immunotherapy in clinical trials may differ in terms of drugs, patients, designs, study phases, and so on.</w:t>
      </w:r>
    </w:p>
    <w:p w14:paraId="791CCE18" w14:textId="77777777" w:rsidR="0083714A" w:rsidRDefault="0083714A">
      <w:pPr>
        <w:spacing w:line="360" w:lineRule="auto"/>
        <w:ind w:firstLine="240"/>
        <w:jc w:val="both"/>
        <w:rPr>
          <w:rFonts w:ascii="Book Antiqua" w:hAnsi="Book Antiqua"/>
        </w:rPr>
      </w:pPr>
    </w:p>
    <w:p w14:paraId="611B68C6"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38F7015"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Our patient achieved PR after immunotherapy combined with chemotherapy, which suggested that the combined treatment regimen may be more effective than immunotherapy or chemotherapy alone. Meanwhile, both CA15-3 and CA72-4 are biomarkers for evaluating therapeutic effects for LELC.</w:t>
      </w:r>
    </w:p>
    <w:p w14:paraId="60CBD501" w14:textId="77777777" w:rsidR="0083714A" w:rsidRDefault="0083714A">
      <w:pPr>
        <w:spacing w:line="360" w:lineRule="auto"/>
        <w:jc w:val="both"/>
        <w:rPr>
          <w:rFonts w:ascii="Book Antiqua" w:hAnsi="Book Antiqua"/>
        </w:rPr>
      </w:pPr>
    </w:p>
    <w:p w14:paraId="06B77F7A" w14:textId="77777777" w:rsidR="0083714A"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8A22551"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The authors wish to thank the patient for allowing the publication of her case details.</w:t>
      </w:r>
    </w:p>
    <w:p w14:paraId="0F7E5E88" w14:textId="77777777" w:rsidR="0083714A" w:rsidRDefault="0083714A">
      <w:pPr>
        <w:spacing w:line="360" w:lineRule="auto"/>
        <w:jc w:val="both"/>
        <w:rPr>
          <w:rFonts w:ascii="Book Antiqua" w:hAnsi="Book Antiqua"/>
        </w:rPr>
      </w:pPr>
    </w:p>
    <w:p w14:paraId="7DFD5388"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A7A7739"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Bégin LR</w:t>
      </w:r>
      <w:r>
        <w:rPr>
          <w:rFonts w:ascii="Book Antiqua" w:eastAsia="Book Antiqua" w:hAnsi="Book Antiqua" w:cs="Book Antiqua"/>
          <w:color w:val="000000"/>
        </w:rPr>
        <w:t xml:space="preserve">, Eskandari J, Joncas J, Panasci L. Epstein-Barr virus related lymphoepithelioma-like carcinoma of lung.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1987; </w:t>
      </w:r>
      <w:r>
        <w:rPr>
          <w:rFonts w:ascii="Book Antiqua" w:eastAsia="Book Antiqua" w:hAnsi="Book Antiqua" w:cs="Book Antiqua"/>
          <w:b/>
          <w:bCs/>
          <w:color w:val="000000"/>
        </w:rPr>
        <w:t>36</w:t>
      </w:r>
      <w:r>
        <w:rPr>
          <w:rFonts w:ascii="Book Antiqua" w:eastAsia="Book Antiqua" w:hAnsi="Book Antiqua" w:cs="Book Antiqua"/>
          <w:color w:val="000000"/>
        </w:rPr>
        <w:t>: 280-283 [PMID: 2826922 DOI: 10.1002/jso.2930360413]</w:t>
      </w:r>
    </w:p>
    <w:p w14:paraId="473CB86C"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Hong S</w:t>
      </w:r>
      <w:r>
        <w:rPr>
          <w:rFonts w:ascii="Book Antiqua" w:eastAsia="Book Antiqua" w:hAnsi="Book Antiqua" w:cs="Book Antiqua"/>
          <w:color w:val="000000"/>
        </w:rPr>
        <w:t xml:space="preserve">, Liu D, Luo S, Fang W, Zhan J, Fu S, Zhang Y, Wu X, Zhou H, Chen X, Chen G, Zhang Z, Zheng Q, Li X, Chen J, Liu X, Lei M, Ye C, Wang J, Yang H, Xu X, Zhu S, Yang </w:t>
      </w:r>
      <w:r>
        <w:rPr>
          <w:rFonts w:ascii="Book Antiqua" w:eastAsia="Book Antiqua" w:hAnsi="Book Antiqua" w:cs="Book Antiqua"/>
          <w:color w:val="000000"/>
        </w:rPr>
        <w:lastRenderedPageBreak/>
        <w:t xml:space="preserve">Y, Zhao Y, Zhou N, Zhao H, Huang Y, Zhang L, Wu K, Zhang L. The genomic landscape of Epstein-Barr virus-associated pulmonary lymphoepithelioma-like carcinoma.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3108 [PMID: 31311932 DOI: 10.1038/s41467-019-10902-w]</w:t>
      </w:r>
    </w:p>
    <w:p w14:paraId="7F7BE4AB"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Qin Y</w:t>
      </w:r>
      <w:r>
        <w:rPr>
          <w:rFonts w:ascii="Book Antiqua" w:eastAsia="Book Antiqua" w:hAnsi="Book Antiqua" w:cs="Book Antiqua"/>
          <w:color w:val="000000"/>
        </w:rPr>
        <w:t xml:space="preserve">, Gao G, Xie X, Zhu Z, Guan W, Lin X, Xie Z, Ming O, Chen R, Zhong N, Li S, Zhou C. Clinical Features and Prognosis of Pulmonary Lymphoepithelioma-like Carcinoma: Summary of Eighty-five Cases.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e329-e337 [PMID: 30683631 DOI: 10.1016/j.cllc.2018.12.014]</w:t>
      </w:r>
    </w:p>
    <w:p w14:paraId="4F00615E"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Yin K</w:t>
      </w:r>
      <w:r>
        <w:rPr>
          <w:rFonts w:ascii="Book Antiqua" w:eastAsia="Book Antiqua" w:hAnsi="Book Antiqua" w:cs="Book Antiqua"/>
          <w:color w:val="000000"/>
        </w:rPr>
        <w:t xml:space="preserve">, Feng HB, Li LL, Chen Y, Xie Z, Lv ZY, Guo WB, Lu DX, Yang XN, Yan WQ, Wu YL, Zhang XC. Low frequency of mutation of epidermal growth factor receptor (EGFR) and arrangement of anaplastic lymphoma kinase (ALK) in primary pulmonary lymphoepithelioma-like carcinoma. </w:t>
      </w:r>
      <w:r>
        <w:rPr>
          <w:rFonts w:ascii="Book Antiqua" w:eastAsia="Book Antiqua" w:hAnsi="Book Antiqua" w:cs="Book Antiqua"/>
          <w:i/>
          <w:iCs/>
          <w:color w:val="000000"/>
        </w:rPr>
        <w:t>Thorac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346-352 [PMID: 31794146 DOI: 10.1111/1759-7714.13271]</w:t>
      </w:r>
    </w:p>
    <w:p w14:paraId="5CA426B1"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Chang YL</w:t>
      </w:r>
      <w:r>
        <w:rPr>
          <w:rFonts w:ascii="Book Antiqua" w:eastAsia="Book Antiqua" w:hAnsi="Book Antiqua" w:cs="Book Antiqua"/>
          <w:color w:val="000000"/>
        </w:rPr>
        <w:t xml:space="preserve">, Yang CY, Lin MW, Wu CT, Yang PC. PD-L1 is highly expressed in lung lymphoepithelioma-like carcinoma: A potential rationale for immunotherapy.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88</w:t>
      </w:r>
      <w:r>
        <w:rPr>
          <w:rFonts w:ascii="Book Antiqua" w:eastAsia="Book Antiqua" w:hAnsi="Book Antiqua" w:cs="Book Antiqua"/>
          <w:color w:val="000000"/>
        </w:rPr>
        <w:t>: 254-259 [PMID: 25862146 DOI: 10.1016/j.lungcan.2015.03.017]</w:t>
      </w:r>
    </w:p>
    <w:p w14:paraId="206D4273"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Wu Q</w:t>
      </w:r>
      <w:r>
        <w:rPr>
          <w:rFonts w:ascii="Book Antiqua" w:eastAsia="Book Antiqua" w:hAnsi="Book Antiqua" w:cs="Book Antiqua"/>
          <w:color w:val="000000"/>
        </w:rPr>
        <w:t xml:space="preserve">, Wang W, Zhou P, Fu Y, Zhang Y, Shao YW, Jiang L. Primary pulmonary lymphoepithelioma-like carcinoma is characterized by high PD-L1 expression, but low tumor mutation burden.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216</w:t>
      </w:r>
      <w:r>
        <w:rPr>
          <w:rFonts w:ascii="Book Antiqua" w:eastAsia="Book Antiqua" w:hAnsi="Book Antiqua" w:cs="Book Antiqua"/>
          <w:color w:val="000000"/>
        </w:rPr>
        <w:t>: 153043 [PMID: 32703503 DOI: 10.1016/j.prp.2020.153043]</w:t>
      </w:r>
    </w:p>
    <w:p w14:paraId="1A9AE9B5"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Xie Z</w:t>
      </w:r>
      <w:r>
        <w:rPr>
          <w:rFonts w:ascii="Book Antiqua" w:eastAsia="Book Antiqua" w:hAnsi="Book Antiqua" w:cs="Book Antiqua"/>
          <w:color w:val="000000"/>
        </w:rPr>
        <w:t xml:space="preserve">, Liu L, Lin X, Xie X, Gu Y, Liu M, Zhang J, Ouyang M, Lizaso A, Zhang H, Feng W, Li B, Han-Zhang H, Chen S, Li S, Zhong N, Liu H, Zhou C, Qin Y. A multicenter analysis of genomic profiles and PD-L1 expression of primary lymphoepithelioma-like carcinoma of the lung.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626-638 [PMID: 31659278 DOI: 10.1038/s41379-019-0391-9]</w:t>
      </w:r>
    </w:p>
    <w:p w14:paraId="44047382"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Paz-Ares L</w:t>
      </w:r>
      <w:r>
        <w:rPr>
          <w:rFonts w:ascii="Book Antiqua" w:eastAsia="Book Antiqua" w:hAnsi="Book Antiqua" w:cs="Book Antiqua"/>
          <w:color w:val="000000"/>
        </w:rPr>
        <w:t>, Luft A, Vicente D, Tafreshi A, Gümüş M, Mazières J, Hermes B, Çay Şenler F, Csőszi T, Fülöp A, Rodríguez-Cid J, Wilson J, Sugawara S, Kato T, Lee KH, Cheng Y, Novello S, Halmos B, Li X, Lubiniecki GM, Piperdi B, Kowalski DM; KEYNOTE-407 Investigators. Pembrolizumab plus Chemotherapy for Squamous Non-</w:t>
      </w:r>
      <w:r>
        <w:rPr>
          <w:rFonts w:ascii="Book Antiqua" w:eastAsia="Book Antiqua" w:hAnsi="Book Antiqua" w:cs="Book Antiqua"/>
          <w:color w:val="000000"/>
        </w:rPr>
        <w:lastRenderedPageBreak/>
        <w:t xml:space="preserve">Small-Cell Lung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379</w:t>
      </w:r>
      <w:r>
        <w:rPr>
          <w:rFonts w:ascii="Book Antiqua" w:eastAsia="Book Antiqua" w:hAnsi="Book Antiqua" w:cs="Book Antiqua"/>
          <w:color w:val="000000"/>
        </w:rPr>
        <w:t>: 2040-2051 [PMID: 30280635 DOI: 10.1056/NEJMoa1810865]</w:t>
      </w:r>
    </w:p>
    <w:p w14:paraId="79D02940"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Shi Y</w:t>
      </w:r>
      <w:r>
        <w:rPr>
          <w:rFonts w:ascii="Book Antiqua" w:eastAsia="Book Antiqua" w:hAnsi="Book Antiqua" w:cs="Book Antiqua"/>
          <w:color w:val="000000"/>
        </w:rPr>
        <w:t xml:space="preserve">, Su H, Song Y, Jiang W, Sun X, Qian W, Zhang W, Gao Y, Jin Z, Zhou J, Jin C, Zou L, Qiu L, Li W, Yang J, Hou M, Zeng S, Zhang Q, Hu J, Zhou H, Xiong Y, Liu P. Safety and activity of sintilimab in patients with relapsed or refractory classical Hodgkin lymphoma (ORIENT-1): a multicentre, single-arm, phase 2 trial. </w:t>
      </w:r>
      <w:r>
        <w:rPr>
          <w:rFonts w:ascii="Book Antiqua" w:eastAsia="Book Antiqua" w:hAnsi="Book Antiqua" w:cs="Book Antiqua"/>
          <w:i/>
          <w:iCs/>
          <w:color w:val="000000"/>
        </w:rPr>
        <w:t>Lancet Haematol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e12-e19 [PMID: 30612710 DOI: 10.1016/S2352-3026(18)30192-3]</w:t>
      </w:r>
    </w:p>
    <w:p w14:paraId="41CB7316"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Gao S</w:t>
      </w:r>
      <w:r>
        <w:rPr>
          <w:rFonts w:ascii="Book Antiqua" w:eastAsia="Book Antiqua" w:hAnsi="Book Antiqua" w:cs="Book Antiqua"/>
          <w:color w:val="000000"/>
        </w:rPr>
        <w:t xml:space="preserve">, Li N, Gao S, Xue Q, Ying J, Wang S, Tao X, Zhao J, Mao Y, Wang B, Shao K, Lei W, Wang D, Lv F, Zhao L, Zhang F, Zhao Z, Su K, Tan F, Gao Y, Sun N, Wu D, Yu Y, Ling Y, Wang Z, Duan C, Tang W, Zhang L, He S, Wu N, Wang J, He J. Neoadjuvant PD-1 inhibitor (Sintilimab) in NSCLC.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816-826 [PMID: 32036071 DOI: 10.1016/j.jtho.2020.01.017]</w:t>
      </w:r>
    </w:p>
    <w:p w14:paraId="350AF021"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Tang Z</w:t>
      </w:r>
      <w:r>
        <w:rPr>
          <w:rFonts w:ascii="Book Antiqua" w:eastAsia="Book Antiqua" w:hAnsi="Book Antiqua" w:cs="Book Antiqua"/>
          <w:color w:val="000000"/>
        </w:rPr>
        <w:t xml:space="preserve">, Fang R, Tong G, Liu P, Ou Z, Tang Y. Overcoming resistance to anti-PD-1 immunotherapy in lymphoepithelioma-like carcinoma: A case report and review of the literature.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335-340 [PMID: 32623076 DOI: 10.1016/j.lungcan.2020.06.027]</w:t>
      </w:r>
    </w:p>
    <w:p w14:paraId="7FAAF35B"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Kim C</w:t>
      </w:r>
      <w:r>
        <w:rPr>
          <w:rFonts w:ascii="Book Antiqua" w:eastAsia="Book Antiqua" w:hAnsi="Book Antiqua" w:cs="Book Antiqua"/>
          <w:color w:val="000000"/>
        </w:rPr>
        <w:t xml:space="preserve">, Rajan A, DeBrito PA, Giaccone G. Metastatic lymphoepithelioma-like carcinoma of the lung treated with nivolumab: a case report and focused review of literature. </w:t>
      </w:r>
      <w:r>
        <w:rPr>
          <w:rFonts w:ascii="Book Antiqua" w:eastAsia="Book Antiqua" w:hAnsi="Book Antiqua" w:cs="Book Antiqua"/>
          <w:i/>
          <w:iCs/>
          <w:color w:val="000000"/>
        </w:rPr>
        <w:t>Transl Lung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720-726 [PMID: 28149767 DOI: 10.21037/tlcr.2016.11.06]</w:t>
      </w:r>
    </w:p>
    <w:p w14:paraId="5C46F44D" w14:textId="77777777" w:rsidR="008371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Zhou N</w:t>
      </w:r>
      <w:r>
        <w:rPr>
          <w:rFonts w:ascii="Book Antiqua" w:eastAsia="Book Antiqua" w:hAnsi="Book Antiqua" w:cs="Book Antiqua"/>
          <w:color w:val="000000"/>
        </w:rPr>
        <w:t xml:space="preserve">, Lin Y, Peng X, Wang Y, Wang Y. Thorough survey and analysis of pulmonary lymphoepithelioma-like carcinoma in Macau and multimodality treatment for advanced disease.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138</w:t>
      </w:r>
      <w:r>
        <w:rPr>
          <w:rFonts w:ascii="Book Antiqua" w:eastAsia="Book Antiqua" w:hAnsi="Book Antiqua" w:cs="Book Antiqua"/>
          <w:color w:val="000000"/>
        </w:rPr>
        <w:t>: 116-123 [PMID: 31683094 DOI: 10.1016/j.lungcan.2019.10.004]</w:t>
      </w:r>
    </w:p>
    <w:p w14:paraId="29170CC2" w14:textId="77777777" w:rsidR="0083714A" w:rsidRDefault="0083714A">
      <w:pPr>
        <w:spacing w:line="360" w:lineRule="auto"/>
        <w:jc w:val="both"/>
        <w:rPr>
          <w:rFonts w:ascii="Book Antiqua" w:hAnsi="Book Antiqua"/>
          <w:kern w:val="24"/>
          <w:lang w:eastAsia="zh-CN"/>
        </w:rPr>
        <w:sectPr w:rsidR="0083714A">
          <w:pgSz w:w="12240" w:h="15840"/>
          <w:pgMar w:top="1440" w:right="1440" w:bottom="1440" w:left="1440" w:header="720" w:footer="720" w:gutter="0"/>
          <w:cols w:space="720"/>
          <w:docGrid w:linePitch="360"/>
        </w:sectPr>
      </w:pPr>
    </w:p>
    <w:p w14:paraId="74513FB2"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C058BF8" w14:textId="77777777" w:rsidR="0083714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2BD7901F" w14:textId="77777777" w:rsidR="0083714A" w:rsidRDefault="0083714A">
      <w:pPr>
        <w:spacing w:line="360" w:lineRule="auto"/>
        <w:jc w:val="both"/>
        <w:rPr>
          <w:rFonts w:ascii="Book Antiqua" w:hAnsi="Book Antiqua"/>
        </w:rPr>
      </w:pPr>
    </w:p>
    <w:p w14:paraId="07C0C5D0"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09717A28" w14:textId="77777777" w:rsidR="0083714A" w:rsidRDefault="0083714A">
      <w:pPr>
        <w:spacing w:line="360" w:lineRule="auto"/>
        <w:jc w:val="both"/>
        <w:rPr>
          <w:rFonts w:ascii="Book Antiqua" w:hAnsi="Book Antiqua"/>
        </w:rPr>
      </w:pPr>
    </w:p>
    <w:p w14:paraId="61680FD8"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034BDF6" w14:textId="77777777" w:rsidR="0083714A" w:rsidRDefault="0083714A">
      <w:pPr>
        <w:spacing w:line="360" w:lineRule="auto"/>
        <w:jc w:val="both"/>
        <w:rPr>
          <w:rFonts w:ascii="Book Antiqua" w:hAnsi="Book Antiqua"/>
        </w:rPr>
      </w:pPr>
    </w:p>
    <w:p w14:paraId="3268872C"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F165FC0" w14:textId="77777777" w:rsidR="0083714A" w:rsidRDefault="0083714A">
      <w:pPr>
        <w:spacing w:line="360" w:lineRule="auto"/>
        <w:jc w:val="both"/>
        <w:rPr>
          <w:rFonts w:ascii="Book Antiqua" w:hAnsi="Book Antiqua"/>
        </w:rPr>
      </w:pPr>
    </w:p>
    <w:p w14:paraId="48642E81"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658D81D"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967B4CA" w14:textId="77777777" w:rsidR="0083714A" w:rsidRDefault="0083714A">
      <w:pPr>
        <w:spacing w:line="360" w:lineRule="auto"/>
        <w:jc w:val="both"/>
        <w:rPr>
          <w:rFonts w:ascii="Book Antiqua" w:hAnsi="Book Antiqua"/>
        </w:rPr>
      </w:pPr>
    </w:p>
    <w:p w14:paraId="7A8F8491"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14, 2022</w:t>
      </w:r>
    </w:p>
    <w:p w14:paraId="6EDDB10C"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 2022</w:t>
      </w:r>
    </w:p>
    <w:p w14:paraId="49DE1BA9" w14:textId="77777777" w:rsidR="0083714A" w:rsidRDefault="00000000">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September 23, 2022</w:t>
      </w:r>
    </w:p>
    <w:p w14:paraId="68D7F770" w14:textId="77777777" w:rsidR="0083714A" w:rsidRDefault="0083714A">
      <w:pPr>
        <w:spacing w:line="360" w:lineRule="auto"/>
        <w:jc w:val="both"/>
        <w:rPr>
          <w:rFonts w:ascii="Book Antiqua" w:hAnsi="Book Antiqua"/>
        </w:rPr>
      </w:pPr>
    </w:p>
    <w:p w14:paraId="403C63BF" w14:textId="77777777" w:rsidR="0083714A" w:rsidRDefault="00000000">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67CB6AFB"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D3FBCD" w14:textId="77777777" w:rsidR="0083714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C6F8811"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Grade A (Excellent): A, A</w:t>
      </w:r>
    </w:p>
    <w:p w14:paraId="1DC3CE8B"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7BD77738"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14059F8D"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Grade D (Fair): D</w:t>
      </w:r>
    </w:p>
    <w:p w14:paraId="36C68F9B" w14:textId="77777777" w:rsidR="0083714A"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7A800DAA" w14:textId="77777777" w:rsidR="0083714A" w:rsidRDefault="0083714A">
      <w:pPr>
        <w:spacing w:line="360" w:lineRule="auto"/>
        <w:jc w:val="both"/>
        <w:rPr>
          <w:rFonts w:ascii="Book Antiqua" w:hAnsi="Book Antiqua"/>
        </w:rPr>
      </w:pPr>
    </w:p>
    <w:p w14:paraId="1D99233A" w14:textId="77777777" w:rsidR="0083714A" w:rsidRDefault="00000000">
      <w:pPr>
        <w:spacing w:line="360" w:lineRule="auto"/>
        <w:jc w:val="both"/>
        <w:rPr>
          <w:rFonts w:ascii="Book Antiqua" w:hAnsi="Book Antiqua"/>
        </w:rPr>
        <w:sectPr w:rsidR="0083714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Mazilu L, Romania; Rizzo A</w:t>
      </w:r>
      <w:r>
        <w:rPr>
          <w:rFonts w:ascii="Book Antiqua" w:hAnsi="Book Antiqua" w:cs="Book Antiqua"/>
          <w:color w:val="000000"/>
          <w:lang w:eastAsia="zh-CN"/>
        </w:rPr>
        <w:t>, Italy</w:t>
      </w:r>
      <w:r>
        <w:rPr>
          <w:rFonts w:ascii="Book Antiqua" w:eastAsia="Book Antiqua" w:hAnsi="Book Antiqua" w:cs="Book Antiqua"/>
          <w:b/>
          <w:color w:val="000000"/>
        </w:rPr>
        <w:t xml:space="preserve"> S-Editor: </w:t>
      </w:r>
      <w:r>
        <w:rPr>
          <w:rFonts w:ascii="Book Antiqua" w:hAnsi="Book Antiqua" w:cs="Book Antiqua"/>
          <w:color w:val="000000"/>
          <w:lang w:eastAsia="zh-CN"/>
        </w:rPr>
        <w:t>Chen YL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hAnsi="Book Antiqua" w:cs="Book Antiqua"/>
          <w:color w:val="000000"/>
          <w:lang w:eastAsia="zh-CN"/>
        </w:rPr>
        <w:t>Chen YL</w:t>
      </w:r>
    </w:p>
    <w:p w14:paraId="16E93446" w14:textId="77777777" w:rsidR="0083714A"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B8730DB" w14:textId="6A40B485" w:rsidR="0083714A" w:rsidRDefault="001950F7">
      <w:pPr>
        <w:spacing w:line="360" w:lineRule="auto"/>
        <w:jc w:val="both"/>
        <w:rPr>
          <w:rFonts w:ascii="Book Antiqua" w:hAnsi="Book Antiqua"/>
          <w:lang w:eastAsia="zh-CN"/>
        </w:rPr>
      </w:pPr>
      <w:r>
        <w:rPr>
          <w:noProof/>
        </w:rPr>
        <w:drawing>
          <wp:inline distT="0" distB="0" distL="0" distR="0" wp14:anchorId="344A32D1" wp14:editId="75EB985A">
            <wp:extent cx="3765550" cy="4394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5550" cy="4394200"/>
                    </a:xfrm>
                    <a:prstGeom prst="rect">
                      <a:avLst/>
                    </a:prstGeom>
                    <a:noFill/>
                    <a:ln>
                      <a:noFill/>
                    </a:ln>
                  </pic:spPr>
                </pic:pic>
              </a:graphicData>
            </a:graphic>
          </wp:inline>
        </w:drawing>
      </w:r>
    </w:p>
    <w:p w14:paraId="5C6A09B7"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Imaging examinations before surgery. </w:t>
      </w:r>
      <w:r>
        <w:rPr>
          <w:rFonts w:ascii="Book Antiqua" w:eastAsia="Book Antiqua" w:hAnsi="Book Antiqua" w:cs="Book Antiqua"/>
          <w:color w:val="000000"/>
        </w:rPr>
        <w:t>A and B: Contrast-enhanced computed tomography of the chest showing a 2.8 cm × 2.9 cm mass in the right lower lobe; C and D: Whole body bone scan showed no abnormality.</w:t>
      </w:r>
    </w:p>
    <w:p w14:paraId="6B03883F" w14:textId="77777777" w:rsidR="0083714A" w:rsidRDefault="0083714A">
      <w:pPr>
        <w:spacing w:line="360" w:lineRule="auto"/>
        <w:jc w:val="both"/>
        <w:rPr>
          <w:rFonts w:ascii="Book Antiqua" w:hAnsi="Book Antiqua"/>
          <w:lang w:eastAsia="zh-CN"/>
        </w:rPr>
      </w:pPr>
    </w:p>
    <w:p w14:paraId="018EBFC4" w14:textId="392462EA" w:rsidR="0083714A" w:rsidRDefault="001950F7">
      <w:pPr>
        <w:spacing w:line="360" w:lineRule="auto"/>
        <w:jc w:val="both"/>
        <w:rPr>
          <w:rFonts w:ascii="Book Antiqua" w:hAnsi="Book Antiqua"/>
          <w:lang w:eastAsia="zh-CN"/>
        </w:rPr>
      </w:pPr>
      <w:r>
        <w:rPr>
          <w:noProof/>
        </w:rPr>
        <w:lastRenderedPageBreak/>
        <w:drawing>
          <wp:inline distT="0" distB="0" distL="0" distR="0" wp14:anchorId="3DB2B624" wp14:editId="46B2D3CE">
            <wp:extent cx="5943600" cy="31546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inline>
        </w:drawing>
      </w:r>
    </w:p>
    <w:p w14:paraId="5C5F84D0"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Figure 2 </w:t>
      </w:r>
      <w:r>
        <w:rPr>
          <w:rFonts w:ascii="Book Antiqua" w:hAnsi="Book Antiqua" w:cs="Book Antiqua"/>
          <w:b/>
          <w:bCs/>
          <w:color w:val="000000"/>
          <w:lang w:eastAsia="zh-CN"/>
        </w:rPr>
        <w:t>I</w:t>
      </w:r>
      <w:r>
        <w:rPr>
          <w:rFonts w:ascii="Book Antiqua" w:eastAsia="Book Antiqua" w:hAnsi="Book Antiqua" w:cs="Book Antiqua"/>
          <w:b/>
          <w:bCs/>
          <w:color w:val="000000"/>
        </w:rPr>
        <w:t>mmunohistochemistry</w:t>
      </w:r>
      <w:r>
        <w:rPr>
          <w:rFonts w:ascii="Book Antiqua" w:hAnsi="Book Antiqua" w:cs="Book Antiqua"/>
          <w:b/>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A:</w:t>
      </w:r>
      <w:r>
        <w:rPr>
          <w:rFonts w:ascii="Book Antiqua" w:eastAsia="Book Antiqua" w:hAnsi="Book Antiqua" w:cs="Book Antiqua"/>
          <w:color w:val="000000"/>
        </w:rPr>
        <w:t xml:space="preserve"> </w:t>
      </w:r>
      <w:r>
        <w:rPr>
          <w:rFonts w:ascii="Book Antiqua" w:hAnsi="Book Antiqua" w:cs="Book Antiqua"/>
          <w:bCs/>
          <w:color w:val="000000"/>
          <w:lang w:eastAsia="zh-CN"/>
        </w:rPr>
        <w:t>I</w:t>
      </w:r>
      <w:r>
        <w:rPr>
          <w:rFonts w:ascii="Book Antiqua" w:eastAsia="Book Antiqua" w:hAnsi="Book Antiqua" w:cs="Book Antiqua"/>
          <w:bCs/>
          <w:color w:val="000000"/>
        </w:rPr>
        <w:t>mmunohistochemical</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IHC</w:t>
      </w:r>
      <w:r>
        <w:rPr>
          <w:rFonts w:ascii="Book Antiqua" w:hAnsi="Book Antiqua" w:cs="Book Antiqua"/>
          <w:color w:val="000000"/>
          <w:lang w:eastAsia="zh-CN"/>
        </w:rPr>
        <w:t>) staining</w:t>
      </w:r>
      <w:r>
        <w:rPr>
          <w:rFonts w:ascii="Book Antiqua" w:eastAsia="Book Antiqua" w:hAnsi="Book Antiqua" w:cs="Book Antiqua"/>
          <w:color w:val="000000"/>
        </w:rPr>
        <w:t xml:space="preserve"> for </w:t>
      </w:r>
      <w:r>
        <w:rPr>
          <w:rFonts w:ascii="Book Antiqua" w:hAnsi="Book Antiqua" w:cs="Book Antiqua"/>
          <w:color w:val="000000"/>
          <w:lang w:eastAsia="zh-CN"/>
        </w:rPr>
        <w:t>p</w:t>
      </w:r>
      <w:r>
        <w:rPr>
          <w:rFonts w:ascii="Book Antiqua" w:eastAsia="Book Antiqua" w:hAnsi="Book Antiqua" w:cs="Book Antiqua"/>
          <w:color w:val="000000"/>
        </w:rPr>
        <w:t>rogrammed death-1 (PD-1) revealed positive neoplastic cells with a membranous pattern (× 200</w:t>
      </w:r>
      <w:r>
        <w:rPr>
          <w:rFonts w:ascii="Book Antiqua" w:hAnsi="Book Antiqua" w:cs="Book Antiqua" w:hint="eastAsia"/>
          <w:color w:val="000000"/>
          <w:lang w:eastAsia="zh-CN"/>
        </w:rPr>
        <w:t xml:space="preserve">, scale bar: </w:t>
      </w:r>
      <w:r>
        <w:rPr>
          <w:rFonts w:ascii="Book Antiqua" w:hAnsi="Book Antiqua" w:cs="Book Antiqua"/>
          <w:color w:val="000000"/>
          <w:lang w:eastAsia="zh-CN"/>
        </w:rPr>
        <w:t>100</w:t>
      </w:r>
      <w:r>
        <w:rPr>
          <w:rFonts w:ascii="Book Antiqua" w:hAnsi="Book Antiqua" w:cs="Book Antiqua" w:hint="eastAsia"/>
          <w:color w:val="000000"/>
          <w:lang w:eastAsia="zh-CN"/>
        </w:rPr>
        <w:t xml:space="preserve"> </w:t>
      </w:r>
      <w:r>
        <w:rPr>
          <w:rFonts w:ascii="Book Antiqua" w:hAnsi="Book Antiqua" w:cs="Book Antiqua"/>
          <w:color w:val="000000"/>
          <w:lang w:eastAsia="zh-CN"/>
        </w:rPr>
        <w:t>μm</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B: </w:t>
      </w:r>
      <w:r>
        <w:rPr>
          <w:rFonts w:ascii="Book Antiqua" w:eastAsia="Book Antiqua" w:hAnsi="Book Antiqua" w:cs="Book Antiqua"/>
          <w:color w:val="000000"/>
        </w:rPr>
        <w:t>IHC staining for PD-1 revealed negative neoplastic cells (× 200</w:t>
      </w:r>
      <w:r>
        <w:rPr>
          <w:rFonts w:ascii="Book Antiqua" w:hAnsi="Book Antiqua" w:cs="Book Antiqua" w:hint="eastAsia"/>
          <w:color w:val="000000"/>
          <w:lang w:eastAsia="zh-CN"/>
        </w:rPr>
        <w:t xml:space="preserve">, scale bar: </w:t>
      </w:r>
      <w:r>
        <w:rPr>
          <w:rFonts w:ascii="Book Antiqua" w:hAnsi="Book Antiqua" w:cs="Book Antiqua"/>
          <w:color w:val="000000"/>
          <w:lang w:eastAsia="zh-CN"/>
        </w:rPr>
        <w:t>100</w:t>
      </w:r>
      <w:r>
        <w:rPr>
          <w:rFonts w:ascii="Book Antiqua" w:hAnsi="Book Antiqua" w:cs="Book Antiqua" w:hint="eastAsia"/>
          <w:color w:val="000000"/>
          <w:lang w:eastAsia="zh-CN"/>
        </w:rPr>
        <w:t xml:space="preserve"> </w:t>
      </w:r>
      <w:r>
        <w:rPr>
          <w:rFonts w:ascii="Book Antiqua" w:hAnsi="Book Antiqua" w:cs="Book Antiqua"/>
          <w:color w:val="000000"/>
          <w:lang w:eastAsia="zh-CN"/>
        </w:rPr>
        <w:t>μm</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C-F: </w:t>
      </w:r>
      <w:r>
        <w:rPr>
          <w:rFonts w:ascii="Book Antiqua" w:eastAsia="Book Antiqua" w:hAnsi="Book Antiqua" w:cs="Book Antiqua"/>
          <w:color w:val="000000"/>
        </w:rPr>
        <w:t>IHC staining for mismatch repair (MMR) proteins revealed integrity of the MMR system (× 200</w:t>
      </w:r>
      <w:r>
        <w:rPr>
          <w:rFonts w:ascii="Book Antiqua" w:hAnsi="Book Antiqua" w:cs="Book Antiqua" w:hint="eastAsia"/>
          <w:color w:val="000000"/>
          <w:lang w:eastAsia="zh-CN"/>
        </w:rPr>
        <w:t xml:space="preserve">, scale bar: </w:t>
      </w:r>
      <w:r>
        <w:rPr>
          <w:rFonts w:ascii="Book Antiqua" w:hAnsi="Book Antiqua" w:cs="Book Antiqua"/>
          <w:color w:val="000000"/>
          <w:lang w:eastAsia="zh-CN"/>
        </w:rPr>
        <w:t>100</w:t>
      </w:r>
      <w:r>
        <w:rPr>
          <w:rFonts w:ascii="Book Antiqua" w:hAnsi="Book Antiqua" w:cs="Book Antiqua" w:hint="eastAsia"/>
          <w:color w:val="000000"/>
          <w:lang w:eastAsia="zh-CN"/>
        </w:rPr>
        <w:t xml:space="preserve"> </w:t>
      </w:r>
      <w:r>
        <w:rPr>
          <w:rFonts w:ascii="Book Antiqua" w:hAnsi="Book Antiqua" w:cs="Book Antiqua"/>
          <w:color w:val="000000"/>
          <w:lang w:eastAsia="zh-CN"/>
        </w:rPr>
        <w:t>μm</w:t>
      </w:r>
      <w:r>
        <w:rPr>
          <w:rFonts w:ascii="Book Antiqua" w:eastAsia="Book Antiqua" w:hAnsi="Book Antiqua" w:cs="Book Antiqua"/>
          <w:color w:val="000000"/>
        </w:rPr>
        <w:t>).</w:t>
      </w:r>
    </w:p>
    <w:p w14:paraId="57770BC2" w14:textId="77777777" w:rsidR="0083714A" w:rsidRDefault="0083714A">
      <w:pPr>
        <w:spacing w:line="360" w:lineRule="auto"/>
        <w:jc w:val="both"/>
        <w:rPr>
          <w:rFonts w:ascii="Book Antiqua" w:hAnsi="Book Antiqua"/>
          <w:lang w:eastAsia="zh-CN"/>
        </w:rPr>
      </w:pPr>
    </w:p>
    <w:p w14:paraId="0D0B01DF" w14:textId="06BDAE55" w:rsidR="0083714A" w:rsidRDefault="001950F7">
      <w:pPr>
        <w:spacing w:line="360" w:lineRule="auto"/>
        <w:jc w:val="both"/>
        <w:rPr>
          <w:rFonts w:ascii="Book Antiqua" w:hAnsi="Book Antiqua"/>
          <w:lang w:eastAsia="zh-CN"/>
        </w:rPr>
      </w:pPr>
      <w:r>
        <w:rPr>
          <w:noProof/>
        </w:rPr>
        <w:lastRenderedPageBreak/>
        <w:drawing>
          <wp:inline distT="0" distB="0" distL="0" distR="0" wp14:anchorId="639E88D3" wp14:editId="7AD6350A">
            <wp:extent cx="3924300" cy="4019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4019550"/>
                    </a:xfrm>
                    <a:prstGeom prst="rect">
                      <a:avLst/>
                    </a:prstGeom>
                    <a:noFill/>
                    <a:ln>
                      <a:noFill/>
                    </a:ln>
                  </pic:spPr>
                </pic:pic>
              </a:graphicData>
            </a:graphic>
          </wp:inline>
        </w:drawing>
      </w:r>
    </w:p>
    <w:p w14:paraId="7A538D2B"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 xml:space="preserve">Figure 3 Imaging examinations after recurrence. </w:t>
      </w:r>
      <w:r>
        <w:rPr>
          <w:rFonts w:ascii="Book Antiqua" w:eastAsia="Book Antiqua" w:hAnsi="Book Antiqua" w:cs="Book Antiqua"/>
          <w:color w:val="000000"/>
        </w:rPr>
        <w:t>A and B: Contrast-enhanced computed tomography of the chest before therapy. The right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rib with a soft tissue mass measuring 41 mm × 35 mm, and cortical thickening of the adjacent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rib were detected; C and D: Whole-body bone scan revealed that bone metabolism was increased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coastal axillary segments on the right side.</w:t>
      </w:r>
    </w:p>
    <w:p w14:paraId="725B9D8F" w14:textId="77777777" w:rsidR="0083714A" w:rsidRDefault="0083714A">
      <w:pPr>
        <w:spacing w:line="360" w:lineRule="auto"/>
        <w:jc w:val="both"/>
        <w:rPr>
          <w:rFonts w:ascii="Book Antiqua" w:hAnsi="Book Antiqua"/>
          <w:lang w:eastAsia="zh-CN"/>
        </w:rPr>
      </w:pPr>
    </w:p>
    <w:p w14:paraId="3FB8695D" w14:textId="537FE971" w:rsidR="0083714A" w:rsidRDefault="001950F7">
      <w:pPr>
        <w:spacing w:line="360" w:lineRule="auto"/>
        <w:jc w:val="both"/>
        <w:rPr>
          <w:rFonts w:ascii="Book Antiqua" w:hAnsi="Book Antiqua"/>
          <w:lang w:eastAsia="zh-CN"/>
        </w:rPr>
      </w:pPr>
      <w:r>
        <w:rPr>
          <w:noProof/>
        </w:rPr>
        <w:lastRenderedPageBreak/>
        <w:drawing>
          <wp:inline distT="0" distB="0" distL="0" distR="0" wp14:anchorId="016E153D" wp14:editId="3714C73D">
            <wp:extent cx="5943600" cy="2915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15285"/>
                    </a:xfrm>
                    <a:prstGeom prst="rect">
                      <a:avLst/>
                    </a:prstGeom>
                    <a:noFill/>
                    <a:ln>
                      <a:noFill/>
                    </a:ln>
                  </pic:spPr>
                </pic:pic>
              </a:graphicData>
            </a:graphic>
          </wp:inline>
        </w:drawing>
      </w:r>
    </w:p>
    <w:p w14:paraId="20AEFCB7" w14:textId="77777777" w:rsidR="0083714A" w:rsidRDefault="00000000">
      <w:pPr>
        <w:spacing w:line="360" w:lineRule="auto"/>
        <w:jc w:val="both"/>
        <w:rPr>
          <w:rFonts w:ascii="Book Antiqua" w:hAnsi="Book Antiqua"/>
        </w:rPr>
      </w:pPr>
      <w:r>
        <w:rPr>
          <w:rFonts w:ascii="Book Antiqua" w:eastAsia="Book Antiqua" w:hAnsi="Book Antiqua" w:cs="Book Antiqua"/>
          <w:b/>
          <w:bCs/>
          <w:color w:val="000000"/>
        </w:rPr>
        <w:t>Figure 4 Imaging examination</w:t>
      </w:r>
      <w:r>
        <w:rPr>
          <w:rFonts w:ascii="Book Antiqua" w:hAnsi="Book Antiqua" w:cs="Book Antiqua"/>
          <w:b/>
          <w:bCs/>
          <w:color w:val="000000"/>
          <w:lang w:eastAsia="zh-CN"/>
        </w:rPr>
        <w:t>.</w:t>
      </w:r>
      <w:r>
        <w:rPr>
          <w:rFonts w:ascii="Book Antiqua" w:eastAsia="Book Antiqua" w:hAnsi="Book Antiqua" w:cs="Book Antiqua"/>
          <w:color w:val="000000"/>
        </w:rPr>
        <w:t xml:space="preserve"> A and B: Computed tomography (CT) after two cycles of immunotherapy combined with chemotherapy; C and D: CT scan preformed after six cycles of immunotherapy combined with chemotherapy; E and F: CT revealed a continuous PR state after 6 mo of immunotherapy combined with chemotherapy.</w:t>
      </w:r>
    </w:p>
    <w:p w14:paraId="7421A97B" w14:textId="77777777" w:rsidR="0083714A" w:rsidRDefault="0083714A">
      <w:pPr>
        <w:spacing w:line="360" w:lineRule="auto"/>
        <w:jc w:val="both"/>
        <w:rPr>
          <w:rFonts w:ascii="Book Antiqua" w:hAnsi="Book Antiqua"/>
          <w:lang w:eastAsia="zh-CN"/>
        </w:rPr>
      </w:pPr>
    </w:p>
    <w:p w14:paraId="4A6FCBF1" w14:textId="77777777" w:rsidR="0083714A" w:rsidRDefault="0083714A">
      <w:pPr>
        <w:spacing w:line="360" w:lineRule="auto"/>
        <w:jc w:val="both"/>
        <w:rPr>
          <w:rFonts w:ascii="Book Antiqua" w:hAnsi="Book Antiqua"/>
          <w:lang w:eastAsia="zh-CN"/>
        </w:rPr>
      </w:pPr>
    </w:p>
    <w:p w14:paraId="3DEFCAEC" w14:textId="0425D6CA" w:rsidR="0083714A" w:rsidRDefault="001950F7">
      <w:pPr>
        <w:spacing w:line="360" w:lineRule="auto"/>
        <w:jc w:val="both"/>
        <w:rPr>
          <w:rFonts w:ascii="Book Antiqua" w:hAnsi="Book Antiqua"/>
          <w:lang w:eastAsia="zh-CN"/>
        </w:rPr>
      </w:pPr>
      <w:r>
        <w:rPr>
          <w:noProof/>
        </w:rPr>
        <w:drawing>
          <wp:inline distT="0" distB="0" distL="0" distR="0" wp14:anchorId="6EA97CC6" wp14:editId="1579FE84">
            <wp:extent cx="5403850" cy="20066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850" cy="2006600"/>
                    </a:xfrm>
                    <a:prstGeom prst="rect">
                      <a:avLst/>
                    </a:prstGeom>
                    <a:noFill/>
                    <a:ln>
                      <a:noFill/>
                    </a:ln>
                  </pic:spPr>
                </pic:pic>
              </a:graphicData>
            </a:graphic>
          </wp:inline>
        </w:drawing>
      </w:r>
    </w:p>
    <w:p w14:paraId="33488891" w14:textId="77777777" w:rsidR="0083714A" w:rsidRDefault="00000000">
      <w:pPr>
        <w:spacing w:line="360" w:lineRule="auto"/>
        <w:jc w:val="both"/>
        <w:rPr>
          <w:rFonts w:ascii="Book Antiqua" w:eastAsia="Book Antiqua" w:hAnsi="Book Antiqua" w:cs="Book Antiqua"/>
          <w:b/>
          <w:bCs/>
          <w:color w:val="000000"/>
        </w:rPr>
        <w:sectPr w:rsidR="0083714A">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5 Timeline summarizing main events of this case report.</w:t>
      </w:r>
    </w:p>
    <w:p w14:paraId="00ABEB6F" w14:textId="77777777" w:rsidR="0083714A" w:rsidRDefault="00000000">
      <w:pPr>
        <w:spacing w:line="360" w:lineRule="auto"/>
        <w:jc w:val="both"/>
        <w:rPr>
          <w:rFonts w:ascii="Book Antiqua" w:eastAsia="Times New Roman" w:hAnsi="Book Antiqua"/>
          <w:b/>
          <w:i/>
          <w:kern w:val="24"/>
        </w:rPr>
      </w:pPr>
      <w:r>
        <w:rPr>
          <w:rFonts w:ascii="Book Antiqua" w:eastAsia="Times New Roman" w:hAnsi="Book Antiqua"/>
          <w:b/>
          <w:kern w:val="24"/>
        </w:rPr>
        <w:lastRenderedPageBreak/>
        <w:t>Table 1</w:t>
      </w:r>
      <w:r>
        <w:rPr>
          <w:rFonts w:ascii="Book Antiqua" w:hAnsi="Book Antiqua"/>
          <w:b/>
          <w:kern w:val="24"/>
          <w:lang w:eastAsia="zh-CN"/>
        </w:rPr>
        <w:t xml:space="preserve"> </w:t>
      </w:r>
      <w:r>
        <w:rPr>
          <w:rFonts w:ascii="Book Antiqua" w:eastAsia="Times New Roman" w:hAnsi="Book Antiqua"/>
          <w:b/>
          <w:kern w:val="24"/>
        </w:rPr>
        <w:t xml:space="preserve">Case reports and retrospective series of lymphoepithelioma-like carcinoma management with </w:t>
      </w:r>
      <w:r>
        <w:rPr>
          <w:rFonts w:ascii="Book Antiqua" w:hAnsi="Book Antiqua"/>
          <w:b/>
          <w:kern w:val="24"/>
          <w:lang w:eastAsia="zh-CN"/>
        </w:rPr>
        <w:t>p</w:t>
      </w:r>
      <w:r>
        <w:rPr>
          <w:rFonts w:ascii="Book Antiqua" w:eastAsia="Times New Roman" w:hAnsi="Book Antiqua"/>
          <w:b/>
          <w:kern w:val="24"/>
        </w:rPr>
        <w:t>rogrammed cell death protein 1/</w:t>
      </w:r>
      <w:r>
        <w:rPr>
          <w:rFonts w:ascii="Book Antiqua" w:hAnsi="Book Antiqua"/>
        </w:rPr>
        <w:t xml:space="preserve"> </w:t>
      </w:r>
      <w:r>
        <w:rPr>
          <w:rFonts w:ascii="Book Antiqua" w:hAnsi="Book Antiqua"/>
          <w:b/>
          <w:kern w:val="24"/>
          <w:lang w:eastAsia="zh-CN"/>
        </w:rPr>
        <w:t>p</w:t>
      </w:r>
      <w:r>
        <w:rPr>
          <w:rFonts w:ascii="Book Antiqua" w:eastAsia="Times New Roman" w:hAnsi="Book Antiqua"/>
          <w:b/>
          <w:kern w:val="24"/>
        </w:rPr>
        <w:t>rogrammed death-1 inhibition in combination with chemotherapy or targeted therapy</w:t>
      </w:r>
    </w:p>
    <w:tbl>
      <w:tblPr>
        <w:tblStyle w:val="ad"/>
        <w:tblW w:w="48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310"/>
        <w:gridCol w:w="763"/>
        <w:gridCol w:w="1542"/>
        <w:gridCol w:w="1968"/>
        <w:gridCol w:w="2554"/>
        <w:gridCol w:w="1372"/>
        <w:gridCol w:w="1602"/>
        <w:gridCol w:w="1050"/>
      </w:tblGrid>
      <w:tr w:rsidR="0083714A" w14:paraId="20E23CD0" w14:textId="77777777">
        <w:trPr>
          <w:trHeight w:val="995"/>
        </w:trPr>
        <w:tc>
          <w:tcPr>
            <w:tcW w:w="285" w:type="pct"/>
            <w:tcBorders>
              <w:top w:val="single" w:sz="4" w:space="0" w:color="auto"/>
              <w:bottom w:val="single" w:sz="4" w:space="0" w:color="auto"/>
            </w:tcBorders>
          </w:tcPr>
          <w:p w14:paraId="5E73C31C" w14:textId="77777777" w:rsidR="0083714A" w:rsidRDefault="00000000">
            <w:pPr>
              <w:widowControl w:val="0"/>
              <w:spacing w:after="0" w:line="360" w:lineRule="auto"/>
              <w:jc w:val="both"/>
              <w:rPr>
                <w:rFonts w:ascii="Book Antiqua" w:eastAsia="Times New Roman" w:hAnsi="Book Antiqua"/>
                <w:b/>
                <w:kern w:val="24"/>
              </w:rPr>
            </w:pPr>
            <w:bookmarkStart w:id="8" w:name="OLE_LINK36"/>
            <w:bookmarkStart w:id="9" w:name="_Hlk46241107"/>
            <w:r>
              <w:rPr>
                <w:rFonts w:ascii="Book Antiqua" w:eastAsia="Times New Roman" w:hAnsi="Book Antiqua"/>
                <w:b/>
                <w:kern w:val="24"/>
              </w:rPr>
              <w:t>Case</w:t>
            </w:r>
          </w:p>
        </w:tc>
        <w:tc>
          <w:tcPr>
            <w:tcW w:w="508" w:type="pct"/>
            <w:tcBorders>
              <w:top w:val="single" w:sz="4" w:space="0" w:color="auto"/>
              <w:bottom w:val="single" w:sz="4" w:space="0" w:color="auto"/>
            </w:tcBorders>
          </w:tcPr>
          <w:p w14:paraId="1A10F572"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Reference</w:t>
            </w:r>
          </w:p>
        </w:tc>
        <w:tc>
          <w:tcPr>
            <w:tcW w:w="296" w:type="pct"/>
            <w:tcBorders>
              <w:top w:val="single" w:sz="4" w:space="0" w:color="auto"/>
              <w:bottom w:val="single" w:sz="4" w:space="0" w:color="auto"/>
            </w:tcBorders>
          </w:tcPr>
          <w:p w14:paraId="17A4E76A" w14:textId="77777777" w:rsidR="0083714A" w:rsidRDefault="00000000">
            <w:pPr>
              <w:widowControl w:val="0"/>
              <w:spacing w:after="0" w:line="360" w:lineRule="auto"/>
              <w:jc w:val="both"/>
              <w:rPr>
                <w:rFonts w:ascii="Book Antiqua" w:hAnsi="Book Antiqua"/>
                <w:b/>
                <w:kern w:val="24"/>
                <w:lang w:eastAsia="zh-CN"/>
              </w:rPr>
            </w:pPr>
            <w:r>
              <w:rPr>
                <w:rFonts w:ascii="Book Antiqua" w:eastAsia="Times New Roman" w:hAnsi="Book Antiqua"/>
                <w:b/>
                <w:kern w:val="24"/>
              </w:rPr>
              <w:t>E</w:t>
            </w:r>
            <w:r>
              <w:rPr>
                <w:rFonts w:ascii="Book Antiqua" w:hAnsi="Book Antiqua"/>
                <w:b/>
                <w:kern w:val="24"/>
                <w:lang w:eastAsia="zh-CN"/>
              </w:rPr>
              <w:t>BV</w:t>
            </w:r>
          </w:p>
        </w:tc>
        <w:tc>
          <w:tcPr>
            <w:tcW w:w="598" w:type="pct"/>
            <w:tcBorders>
              <w:top w:val="single" w:sz="4" w:space="0" w:color="auto"/>
              <w:bottom w:val="single" w:sz="4" w:space="0" w:color="auto"/>
            </w:tcBorders>
          </w:tcPr>
          <w:p w14:paraId="2C4E8E8C"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P</w:t>
            </w:r>
            <w:r>
              <w:rPr>
                <w:rFonts w:ascii="Book Antiqua" w:hAnsi="Book Antiqua"/>
                <w:b/>
                <w:kern w:val="24"/>
                <w:lang w:eastAsia="zh-CN"/>
              </w:rPr>
              <w:t>D</w:t>
            </w:r>
            <w:r>
              <w:rPr>
                <w:rFonts w:ascii="Book Antiqua" w:eastAsia="Times New Roman" w:hAnsi="Book Antiqua"/>
                <w:b/>
                <w:kern w:val="24"/>
              </w:rPr>
              <w:t xml:space="preserve">-L1 </w:t>
            </w:r>
            <w:r>
              <w:rPr>
                <w:rFonts w:ascii="Book Antiqua" w:hAnsi="Book Antiqua"/>
                <w:b/>
                <w:kern w:val="24"/>
                <w:lang w:eastAsia="zh-CN"/>
              </w:rPr>
              <w:t>e</w:t>
            </w:r>
            <w:r>
              <w:rPr>
                <w:rFonts w:ascii="Book Antiqua" w:eastAsia="Times New Roman" w:hAnsi="Book Antiqua"/>
                <w:b/>
                <w:kern w:val="24"/>
              </w:rPr>
              <w:t>xpression</w:t>
            </w:r>
          </w:p>
        </w:tc>
        <w:tc>
          <w:tcPr>
            <w:tcW w:w="763" w:type="pct"/>
            <w:tcBorders>
              <w:top w:val="single" w:sz="4" w:space="0" w:color="auto"/>
              <w:bottom w:val="single" w:sz="4" w:space="0" w:color="auto"/>
            </w:tcBorders>
          </w:tcPr>
          <w:p w14:paraId="5CBF5DCF"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Previous treatment history</w:t>
            </w:r>
          </w:p>
        </w:tc>
        <w:tc>
          <w:tcPr>
            <w:tcW w:w="990" w:type="pct"/>
            <w:tcBorders>
              <w:top w:val="single" w:sz="4" w:space="0" w:color="auto"/>
              <w:bottom w:val="single" w:sz="4" w:space="0" w:color="auto"/>
            </w:tcBorders>
          </w:tcPr>
          <w:p w14:paraId="347EBCF2"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Treatment</w:t>
            </w:r>
          </w:p>
        </w:tc>
        <w:tc>
          <w:tcPr>
            <w:tcW w:w="532" w:type="pct"/>
            <w:tcBorders>
              <w:top w:val="single" w:sz="4" w:space="0" w:color="auto"/>
              <w:bottom w:val="single" w:sz="4" w:space="0" w:color="auto"/>
            </w:tcBorders>
          </w:tcPr>
          <w:p w14:paraId="7D235538"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 xml:space="preserve">Onset </w:t>
            </w:r>
            <w:r>
              <w:rPr>
                <w:rFonts w:ascii="Book Antiqua" w:hAnsi="Book Antiqua"/>
                <w:b/>
                <w:kern w:val="24"/>
                <w:lang w:eastAsia="zh-CN"/>
              </w:rPr>
              <w:t>t</w:t>
            </w:r>
            <w:r>
              <w:rPr>
                <w:rFonts w:ascii="Book Antiqua" w:eastAsia="Times New Roman" w:hAnsi="Book Antiqua"/>
                <w:b/>
                <w:kern w:val="24"/>
              </w:rPr>
              <w:t>ime</w:t>
            </w:r>
          </w:p>
        </w:tc>
        <w:tc>
          <w:tcPr>
            <w:tcW w:w="621" w:type="pct"/>
            <w:tcBorders>
              <w:top w:val="single" w:sz="4" w:space="0" w:color="auto"/>
              <w:bottom w:val="single" w:sz="4" w:space="0" w:color="auto"/>
            </w:tcBorders>
          </w:tcPr>
          <w:p w14:paraId="4F894638"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 xml:space="preserve">Best </w:t>
            </w:r>
            <w:r>
              <w:rPr>
                <w:rFonts w:ascii="Book Antiqua" w:hAnsi="Book Antiqua"/>
                <w:b/>
                <w:kern w:val="24"/>
                <w:lang w:eastAsia="zh-CN"/>
              </w:rPr>
              <w:t>r</w:t>
            </w:r>
            <w:r>
              <w:rPr>
                <w:rFonts w:ascii="Book Antiqua" w:eastAsia="Times New Roman" w:hAnsi="Book Antiqua"/>
                <w:b/>
                <w:kern w:val="24"/>
              </w:rPr>
              <w:t>esponse</w:t>
            </w:r>
          </w:p>
        </w:tc>
        <w:tc>
          <w:tcPr>
            <w:tcW w:w="407" w:type="pct"/>
            <w:tcBorders>
              <w:top w:val="single" w:sz="4" w:space="0" w:color="auto"/>
              <w:bottom w:val="single" w:sz="4" w:space="0" w:color="auto"/>
            </w:tcBorders>
          </w:tcPr>
          <w:p w14:paraId="6057BC5E" w14:textId="77777777" w:rsidR="0083714A" w:rsidRDefault="00000000">
            <w:pPr>
              <w:widowControl w:val="0"/>
              <w:spacing w:after="0" w:line="360" w:lineRule="auto"/>
              <w:jc w:val="both"/>
              <w:rPr>
                <w:rFonts w:ascii="Book Antiqua" w:eastAsia="Times New Roman" w:hAnsi="Book Antiqua"/>
                <w:b/>
                <w:kern w:val="24"/>
              </w:rPr>
            </w:pPr>
            <w:r>
              <w:rPr>
                <w:rFonts w:ascii="Book Antiqua" w:eastAsia="Times New Roman" w:hAnsi="Book Antiqua"/>
                <w:b/>
                <w:kern w:val="24"/>
              </w:rPr>
              <w:t>P</w:t>
            </w:r>
            <w:r>
              <w:rPr>
                <w:rFonts w:ascii="Book Antiqua" w:hAnsi="Book Antiqua"/>
                <w:b/>
                <w:kern w:val="24"/>
                <w:lang w:eastAsia="zh-CN"/>
              </w:rPr>
              <w:t xml:space="preserve">FS </w:t>
            </w:r>
            <w:r>
              <w:rPr>
                <w:rFonts w:ascii="Book Antiqua" w:eastAsia="Times New Roman" w:hAnsi="Book Antiqua"/>
                <w:b/>
                <w:kern w:val="24"/>
              </w:rPr>
              <w:t>(M)</w:t>
            </w:r>
          </w:p>
        </w:tc>
      </w:tr>
      <w:tr w:rsidR="0083714A" w14:paraId="476CB731" w14:textId="77777777">
        <w:trPr>
          <w:trHeight w:val="995"/>
        </w:trPr>
        <w:tc>
          <w:tcPr>
            <w:tcW w:w="285" w:type="pct"/>
            <w:tcBorders>
              <w:top w:val="single" w:sz="4" w:space="0" w:color="auto"/>
            </w:tcBorders>
          </w:tcPr>
          <w:p w14:paraId="2243C929"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1</w:t>
            </w:r>
          </w:p>
        </w:tc>
        <w:tc>
          <w:tcPr>
            <w:tcW w:w="508" w:type="pct"/>
            <w:tcBorders>
              <w:top w:val="single" w:sz="4" w:space="0" w:color="auto"/>
            </w:tcBorders>
          </w:tcPr>
          <w:p w14:paraId="1D88FC51"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 xml:space="preserve">Zhou </w:t>
            </w:r>
            <w:r>
              <w:rPr>
                <w:rFonts w:ascii="Book Antiqua" w:hAnsi="Book Antiqua"/>
                <w:i/>
                <w:kern w:val="24"/>
              </w:rPr>
              <w:t>et al</w:t>
            </w:r>
            <w:r>
              <w:rPr>
                <w:rFonts w:ascii="Book Antiqua" w:hAnsi="Book Antiqua"/>
                <w:kern w:val="24"/>
                <w:vertAlign w:val="superscript"/>
                <w:lang w:eastAsia="zh-CN"/>
              </w:rPr>
              <w:t>[13]</w:t>
            </w:r>
          </w:p>
        </w:tc>
        <w:tc>
          <w:tcPr>
            <w:tcW w:w="296" w:type="pct"/>
            <w:tcBorders>
              <w:top w:val="single" w:sz="4" w:space="0" w:color="auto"/>
            </w:tcBorders>
          </w:tcPr>
          <w:p w14:paraId="2B4481C6"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598" w:type="pct"/>
            <w:tcBorders>
              <w:top w:val="single" w:sz="4" w:space="0" w:color="auto"/>
            </w:tcBorders>
          </w:tcPr>
          <w:p w14:paraId="7E33544E"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60%</w:t>
            </w:r>
          </w:p>
        </w:tc>
        <w:tc>
          <w:tcPr>
            <w:tcW w:w="763" w:type="pct"/>
            <w:tcBorders>
              <w:top w:val="single" w:sz="4" w:space="0" w:color="auto"/>
            </w:tcBorders>
          </w:tcPr>
          <w:p w14:paraId="12362A34"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kern w:val="24"/>
              </w:rPr>
              <w:t>1</w:t>
            </w:r>
            <w:r>
              <w:rPr>
                <w:rFonts w:ascii="Book Antiqua" w:hAnsi="Book Antiqua"/>
                <w:kern w:val="24"/>
                <w:vertAlign w:val="superscript"/>
              </w:rPr>
              <w:t>st</w:t>
            </w:r>
            <w:r>
              <w:rPr>
                <w:rFonts w:ascii="Book Antiqua" w:hAnsi="Book Antiqua"/>
                <w:kern w:val="24"/>
              </w:rPr>
              <w:t>-line chemotherapy</w:t>
            </w:r>
          </w:p>
        </w:tc>
        <w:tc>
          <w:tcPr>
            <w:tcW w:w="990" w:type="pct"/>
            <w:tcBorders>
              <w:top w:val="single" w:sz="4" w:space="0" w:color="auto"/>
            </w:tcBorders>
          </w:tcPr>
          <w:p w14:paraId="42FDB5B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2</w:t>
            </w:r>
            <w:r>
              <w:rPr>
                <w:rFonts w:ascii="Book Antiqua" w:hAnsi="Book Antiqua"/>
                <w:kern w:val="24"/>
                <w:vertAlign w:val="superscript"/>
              </w:rPr>
              <w:t>nd</w:t>
            </w:r>
            <w:r>
              <w:rPr>
                <w:rFonts w:ascii="Book Antiqua" w:hAnsi="Book Antiqua"/>
                <w:kern w:val="24"/>
              </w:rPr>
              <w:t>-line nivolumab</w:t>
            </w:r>
            <w:r>
              <w:rPr>
                <w:rFonts w:ascii="Book Antiqua" w:hAnsi="Book Antiqua"/>
                <w:kern w:val="24"/>
                <w:lang w:eastAsia="zh-CN"/>
              </w:rPr>
              <w:t xml:space="preserve">, </w:t>
            </w:r>
            <w:r>
              <w:rPr>
                <w:rFonts w:ascii="Book Antiqua" w:hAnsi="Book Antiqua"/>
                <w:kern w:val="24"/>
              </w:rPr>
              <w:t>3</w:t>
            </w:r>
            <w:r>
              <w:rPr>
                <w:rFonts w:ascii="Book Antiqua" w:hAnsi="Book Antiqua"/>
                <w:kern w:val="24"/>
                <w:vertAlign w:val="superscript"/>
              </w:rPr>
              <w:t>rd</w:t>
            </w:r>
            <w:r>
              <w:rPr>
                <w:rFonts w:ascii="Book Antiqua" w:hAnsi="Book Antiqua"/>
                <w:kern w:val="24"/>
              </w:rPr>
              <w:t>-line nivolumab</w:t>
            </w:r>
            <w:r>
              <w:rPr>
                <w:rFonts w:ascii="Book Antiqua" w:hAnsi="Book Antiqu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anluotinib</w:t>
            </w:r>
            <w:r>
              <w:rPr>
                <w:rFonts w:ascii="Book Antiqua" w:hAnsi="Book Antiqu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gemcibabine</w:t>
            </w:r>
          </w:p>
        </w:tc>
        <w:tc>
          <w:tcPr>
            <w:tcW w:w="532" w:type="pct"/>
            <w:tcBorders>
              <w:top w:val="single" w:sz="4" w:space="0" w:color="auto"/>
            </w:tcBorders>
          </w:tcPr>
          <w:p w14:paraId="1A317A30"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621" w:type="pct"/>
            <w:tcBorders>
              <w:top w:val="single" w:sz="4" w:space="0" w:color="auto"/>
            </w:tcBorders>
          </w:tcPr>
          <w:p w14:paraId="77294034"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SD</w:t>
            </w:r>
          </w:p>
        </w:tc>
        <w:tc>
          <w:tcPr>
            <w:tcW w:w="407" w:type="pct"/>
            <w:tcBorders>
              <w:top w:val="single" w:sz="4" w:space="0" w:color="auto"/>
            </w:tcBorders>
          </w:tcPr>
          <w:p w14:paraId="0490F0A6"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2</w:t>
            </w:r>
            <w:r>
              <w:rPr>
                <w:rFonts w:ascii="Book Antiqua" w:hAnsi="Book Antiqua"/>
                <w:kern w:val="24"/>
                <w:lang w:eastAsia="zh-CN"/>
              </w:rPr>
              <w:t xml:space="preserve">, </w:t>
            </w:r>
            <w:r>
              <w:rPr>
                <w:rFonts w:ascii="Book Antiqua" w:hAnsi="Book Antiqua"/>
                <w:kern w:val="24"/>
              </w:rPr>
              <w:t>4</w:t>
            </w:r>
          </w:p>
        </w:tc>
      </w:tr>
      <w:tr w:rsidR="0083714A" w14:paraId="70689571" w14:textId="77777777">
        <w:trPr>
          <w:trHeight w:val="995"/>
        </w:trPr>
        <w:tc>
          <w:tcPr>
            <w:tcW w:w="285" w:type="pct"/>
          </w:tcPr>
          <w:p w14:paraId="30BCB70E"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2</w:t>
            </w:r>
          </w:p>
        </w:tc>
        <w:tc>
          <w:tcPr>
            <w:tcW w:w="508" w:type="pct"/>
          </w:tcPr>
          <w:p w14:paraId="52C76F46"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kern w:val="24"/>
              </w:rPr>
              <w:t xml:space="preserve">Zhou </w:t>
            </w:r>
            <w:r>
              <w:rPr>
                <w:rFonts w:ascii="Book Antiqua" w:hAnsi="Book Antiqua"/>
                <w:i/>
                <w:kern w:val="24"/>
              </w:rPr>
              <w:t>et al</w:t>
            </w:r>
            <w:r>
              <w:rPr>
                <w:rFonts w:ascii="Book Antiqua" w:hAnsi="Book Antiqua"/>
                <w:kern w:val="24"/>
                <w:vertAlign w:val="superscript"/>
                <w:lang w:eastAsia="zh-CN"/>
              </w:rPr>
              <w:t>[13]</w:t>
            </w:r>
          </w:p>
        </w:tc>
        <w:tc>
          <w:tcPr>
            <w:tcW w:w="296" w:type="pct"/>
          </w:tcPr>
          <w:p w14:paraId="4804AC71"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598" w:type="pct"/>
          </w:tcPr>
          <w:p w14:paraId="765846FC"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30%</w:t>
            </w:r>
          </w:p>
        </w:tc>
        <w:tc>
          <w:tcPr>
            <w:tcW w:w="763" w:type="pct"/>
          </w:tcPr>
          <w:p w14:paraId="33A82CE1"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990" w:type="pct"/>
          </w:tcPr>
          <w:p w14:paraId="55CE8CF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Nivolumab</w:t>
            </w:r>
            <w:r>
              <w:rPr>
                <w:rFonts w:ascii="Book Antiqua" w:hAnsi="Book Antiqu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gemcibabine</w:t>
            </w:r>
          </w:p>
        </w:tc>
        <w:tc>
          <w:tcPr>
            <w:tcW w:w="532" w:type="pct"/>
          </w:tcPr>
          <w:p w14:paraId="70033978"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621" w:type="pct"/>
          </w:tcPr>
          <w:p w14:paraId="46C0AAF4"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SD</w:t>
            </w:r>
          </w:p>
        </w:tc>
        <w:tc>
          <w:tcPr>
            <w:tcW w:w="407" w:type="pct"/>
          </w:tcPr>
          <w:p w14:paraId="686B1DF1"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r>
      <w:tr w:rsidR="0083714A" w14:paraId="4B88254C" w14:textId="77777777">
        <w:trPr>
          <w:trHeight w:val="995"/>
        </w:trPr>
        <w:tc>
          <w:tcPr>
            <w:tcW w:w="285" w:type="pct"/>
          </w:tcPr>
          <w:p w14:paraId="773A09A8"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3</w:t>
            </w:r>
          </w:p>
        </w:tc>
        <w:tc>
          <w:tcPr>
            <w:tcW w:w="508" w:type="pct"/>
          </w:tcPr>
          <w:p w14:paraId="08916ABF"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kern w:val="24"/>
              </w:rPr>
              <w:t xml:space="preserve">Xie </w:t>
            </w:r>
            <w:r>
              <w:rPr>
                <w:rFonts w:ascii="Book Antiqua" w:hAnsi="Book Antiqua"/>
                <w:i/>
                <w:kern w:val="24"/>
              </w:rPr>
              <w:t>et al</w:t>
            </w:r>
            <w:r>
              <w:rPr>
                <w:rFonts w:ascii="Book Antiqua" w:hAnsi="Book Antiqua"/>
                <w:kern w:val="24"/>
                <w:vertAlign w:val="superscript"/>
                <w:lang w:eastAsia="zh-CN"/>
              </w:rPr>
              <w:t>[7]</w:t>
            </w:r>
          </w:p>
        </w:tc>
        <w:tc>
          <w:tcPr>
            <w:tcW w:w="296" w:type="pct"/>
          </w:tcPr>
          <w:p w14:paraId="4DB8C67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598" w:type="pct"/>
          </w:tcPr>
          <w:p w14:paraId="44A30CC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15%</w:t>
            </w:r>
          </w:p>
        </w:tc>
        <w:tc>
          <w:tcPr>
            <w:tcW w:w="763" w:type="pct"/>
          </w:tcPr>
          <w:p w14:paraId="3E2E6C63"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2</w:t>
            </w:r>
            <w:r>
              <w:rPr>
                <w:rFonts w:ascii="Book Antiqua" w:hAnsi="Book Antiqua"/>
                <w:kern w:val="24"/>
                <w:vertAlign w:val="superscript"/>
              </w:rPr>
              <w:t>nd</w:t>
            </w:r>
            <w:r>
              <w:rPr>
                <w:rFonts w:ascii="Book Antiqua" w:hAnsi="Book Antiqua"/>
                <w:kern w:val="24"/>
              </w:rPr>
              <w:t>-line</w:t>
            </w:r>
            <w:r>
              <w:rPr>
                <w:rFonts w:ascii="Book Antiqua" w:hAnsi="Book Antiqua"/>
                <w:kern w:val="24"/>
                <w:lang w:eastAsia="zh-CN"/>
              </w:rPr>
              <w:t xml:space="preserve"> </w:t>
            </w:r>
            <w:r>
              <w:rPr>
                <w:rFonts w:ascii="Book Antiqua" w:hAnsi="Book Antiqua"/>
                <w:kern w:val="24"/>
              </w:rPr>
              <w:t>chemotherapy</w:t>
            </w:r>
          </w:p>
        </w:tc>
        <w:tc>
          <w:tcPr>
            <w:tcW w:w="990" w:type="pct"/>
          </w:tcPr>
          <w:p w14:paraId="1600E4FD"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Camrelizumab</w:t>
            </w:r>
            <w:r>
              <w:rPr>
                <w:rFonts w:ascii="Book Antiqua" w:hAnsi="Book Antiqu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apatinib</w:t>
            </w:r>
          </w:p>
        </w:tc>
        <w:tc>
          <w:tcPr>
            <w:tcW w:w="532" w:type="pct"/>
          </w:tcPr>
          <w:p w14:paraId="3B5D7B47"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621" w:type="pct"/>
          </w:tcPr>
          <w:p w14:paraId="0C4F2392"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SD</w:t>
            </w:r>
          </w:p>
        </w:tc>
        <w:tc>
          <w:tcPr>
            <w:tcW w:w="407" w:type="pct"/>
          </w:tcPr>
          <w:p w14:paraId="5314442C"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7</w:t>
            </w:r>
            <w:r>
              <w:rPr>
                <w:rFonts w:ascii="Book Antiqua" w:hAnsi="Book Antiqua"/>
                <w:kern w:val="24"/>
                <w:lang w:eastAsia="zh-CN"/>
              </w:rPr>
              <w:t xml:space="preserve"> </w:t>
            </w:r>
            <w:r>
              <w:rPr>
                <w:rFonts w:ascii="Book Antiqua" w:hAnsi="Book Antiqua"/>
                <w:kern w:val="24"/>
              </w:rPr>
              <w:t>+</w:t>
            </w:r>
          </w:p>
        </w:tc>
      </w:tr>
      <w:tr w:rsidR="0083714A" w14:paraId="4657687E" w14:textId="77777777">
        <w:trPr>
          <w:trHeight w:val="995"/>
        </w:trPr>
        <w:tc>
          <w:tcPr>
            <w:tcW w:w="285" w:type="pct"/>
          </w:tcPr>
          <w:p w14:paraId="410BC23B"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4</w:t>
            </w:r>
          </w:p>
        </w:tc>
        <w:tc>
          <w:tcPr>
            <w:tcW w:w="508" w:type="pct"/>
          </w:tcPr>
          <w:p w14:paraId="7B27214E"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kern w:val="24"/>
              </w:rPr>
              <w:t>Tang</w:t>
            </w:r>
            <w:r>
              <w:rPr>
                <w:rFonts w:ascii="Book Antiqua" w:hAnsi="Book Antiqua"/>
                <w:kern w:val="24"/>
                <w:vertAlign w:val="superscript"/>
              </w:rPr>
              <w:t xml:space="preserve"> </w:t>
            </w:r>
            <w:r>
              <w:rPr>
                <w:rFonts w:ascii="Book Antiqua" w:hAnsi="Book Antiqua"/>
                <w:i/>
                <w:kern w:val="24"/>
                <w:lang w:eastAsia="zh-CN"/>
              </w:rPr>
              <w:t>et al</w:t>
            </w:r>
            <w:r>
              <w:rPr>
                <w:rFonts w:ascii="Book Antiqua" w:hAnsi="Book Antiqua"/>
                <w:kern w:val="24"/>
                <w:vertAlign w:val="superscript"/>
                <w:lang w:eastAsia="zh-CN"/>
              </w:rPr>
              <w:t>[11]</w:t>
            </w:r>
          </w:p>
        </w:tc>
        <w:tc>
          <w:tcPr>
            <w:tcW w:w="296" w:type="pct"/>
          </w:tcPr>
          <w:p w14:paraId="27359F4E"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c>
          <w:tcPr>
            <w:tcW w:w="598" w:type="pct"/>
          </w:tcPr>
          <w:p w14:paraId="4F2D3173"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10%</w:t>
            </w:r>
          </w:p>
        </w:tc>
        <w:tc>
          <w:tcPr>
            <w:tcW w:w="763" w:type="pct"/>
          </w:tcPr>
          <w:p w14:paraId="13CEF8E0"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kern w:val="24"/>
              </w:rPr>
              <w:t>1</w:t>
            </w:r>
            <w:r>
              <w:rPr>
                <w:rFonts w:ascii="Book Antiqua" w:hAnsi="Book Antiqua"/>
                <w:kern w:val="24"/>
                <w:vertAlign w:val="superscript"/>
              </w:rPr>
              <w:t>st</w:t>
            </w:r>
            <w:r>
              <w:rPr>
                <w:rFonts w:ascii="Book Antiqua" w:hAnsi="Book Antiqua"/>
                <w:kern w:val="24"/>
              </w:rPr>
              <w:t>-line chemotherapy</w:t>
            </w:r>
          </w:p>
        </w:tc>
        <w:tc>
          <w:tcPr>
            <w:tcW w:w="990" w:type="pct"/>
          </w:tcPr>
          <w:p w14:paraId="062E52A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2</w:t>
            </w:r>
            <w:r>
              <w:rPr>
                <w:rFonts w:ascii="Book Antiqua" w:hAnsi="Book Antiqua"/>
                <w:kern w:val="24"/>
                <w:vertAlign w:val="superscript"/>
              </w:rPr>
              <w:t>nd</w:t>
            </w:r>
            <w:r>
              <w:rPr>
                <w:rFonts w:ascii="Book Antiqua" w:hAnsi="Book Antiqua"/>
                <w:kern w:val="24"/>
              </w:rPr>
              <w:t>-line nivolumab</w:t>
            </w:r>
            <w:bookmarkStart w:id="10" w:name="OLE_LINK9"/>
            <w:bookmarkStart w:id="11" w:name="OLE_LINK10"/>
            <w:r>
              <w:rPr>
                <w:rFonts w:ascii="Book Antiqua" w:hAnsi="Book Antiqua"/>
                <w:kern w:val="24"/>
                <w:lang w:eastAsia="zh-CN"/>
              </w:rPr>
              <w:t xml:space="preserve">, </w:t>
            </w:r>
            <w:r>
              <w:rPr>
                <w:rFonts w:ascii="Book Antiqua" w:hAnsi="Book Antiqua"/>
                <w:kern w:val="24"/>
              </w:rPr>
              <w:t>3</w:t>
            </w:r>
            <w:r>
              <w:rPr>
                <w:rFonts w:ascii="Book Antiqua" w:hAnsi="Book Antiqua"/>
                <w:kern w:val="24"/>
                <w:vertAlign w:val="superscript"/>
              </w:rPr>
              <w:t>rd</w:t>
            </w:r>
            <w:r>
              <w:rPr>
                <w:rFonts w:ascii="Book Antiqua" w:hAnsi="Book Antiqua"/>
                <w:kern w:val="24"/>
              </w:rPr>
              <w:t>-line</w:t>
            </w:r>
            <w:bookmarkEnd w:id="10"/>
            <w:bookmarkEnd w:id="11"/>
          </w:p>
        </w:tc>
        <w:tc>
          <w:tcPr>
            <w:tcW w:w="532" w:type="pct"/>
          </w:tcPr>
          <w:p w14:paraId="3A25FA75"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Two cycles</w:t>
            </w:r>
          </w:p>
        </w:tc>
        <w:tc>
          <w:tcPr>
            <w:tcW w:w="621" w:type="pct"/>
          </w:tcPr>
          <w:p w14:paraId="5E0624E8"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PR</w:t>
            </w:r>
          </w:p>
        </w:tc>
        <w:tc>
          <w:tcPr>
            <w:tcW w:w="407" w:type="pct"/>
          </w:tcPr>
          <w:p w14:paraId="2CC2C049"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5</w:t>
            </w:r>
          </w:p>
        </w:tc>
      </w:tr>
      <w:tr w:rsidR="0083714A" w14:paraId="02D737CD" w14:textId="77777777">
        <w:trPr>
          <w:trHeight w:val="995"/>
        </w:trPr>
        <w:tc>
          <w:tcPr>
            <w:tcW w:w="285" w:type="pct"/>
          </w:tcPr>
          <w:p w14:paraId="2250778D" w14:textId="77777777" w:rsidR="0083714A" w:rsidRDefault="0083714A">
            <w:pPr>
              <w:widowControl w:val="0"/>
              <w:spacing w:after="0" w:line="360" w:lineRule="auto"/>
              <w:jc w:val="both"/>
              <w:rPr>
                <w:rFonts w:ascii="Book Antiqua" w:hAnsi="Book Antiqua"/>
                <w:kern w:val="24"/>
              </w:rPr>
            </w:pPr>
          </w:p>
        </w:tc>
        <w:tc>
          <w:tcPr>
            <w:tcW w:w="508" w:type="pct"/>
          </w:tcPr>
          <w:p w14:paraId="04072488" w14:textId="77777777" w:rsidR="0083714A" w:rsidRDefault="0083714A">
            <w:pPr>
              <w:widowControl w:val="0"/>
              <w:spacing w:after="0" w:line="360" w:lineRule="auto"/>
              <w:jc w:val="both"/>
              <w:rPr>
                <w:rFonts w:ascii="Book Antiqua" w:hAnsi="Book Antiqua"/>
                <w:kern w:val="24"/>
              </w:rPr>
            </w:pPr>
          </w:p>
        </w:tc>
        <w:tc>
          <w:tcPr>
            <w:tcW w:w="296" w:type="pct"/>
          </w:tcPr>
          <w:p w14:paraId="211133C0" w14:textId="77777777" w:rsidR="0083714A" w:rsidRDefault="0083714A">
            <w:pPr>
              <w:widowControl w:val="0"/>
              <w:spacing w:after="0" w:line="360" w:lineRule="auto"/>
              <w:jc w:val="both"/>
              <w:rPr>
                <w:rFonts w:ascii="Book Antiqua" w:hAnsi="Book Antiqua"/>
                <w:kern w:val="24"/>
              </w:rPr>
            </w:pPr>
          </w:p>
        </w:tc>
        <w:tc>
          <w:tcPr>
            <w:tcW w:w="598" w:type="pct"/>
          </w:tcPr>
          <w:p w14:paraId="2BFB0506" w14:textId="77777777" w:rsidR="0083714A" w:rsidRDefault="0083714A">
            <w:pPr>
              <w:widowControl w:val="0"/>
              <w:spacing w:after="0" w:line="360" w:lineRule="auto"/>
              <w:jc w:val="both"/>
              <w:rPr>
                <w:rFonts w:ascii="Book Antiqua" w:hAnsi="Book Antiqua"/>
                <w:kern w:val="24"/>
              </w:rPr>
            </w:pPr>
          </w:p>
        </w:tc>
        <w:tc>
          <w:tcPr>
            <w:tcW w:w="763" w:type="pct"/>
          </w:tcPr>
          <w:p w14:paraId="57FC7A77" w14:textId="77777777" w:rsidR="0083714A" w:rsidRDefault="0083714A">
            <w:pPr>
              <w:widowControl w:val="0"/>
              <w:spacing w:after="0" w:line="360" w:lineRule="auto"/>
              <w:jc w:val="both"/>
              <w:rPr>
                <w:rFonts w:ascii="Book Antiqua" w:hAnsi="Book Antiqua"/>
                <w:kern w:val="24"/>
              </w:rPr>
            </w:pPr>
          </w:p>
        </w:tc>
        <w:tc>
          <w:tcPr>
            <w:tcW w:w="990" w:type="pct"/>
          </w:tcPr>
          <w:p w14:paraId="0BF3056B"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Nivolumab</w:t>
            </w:r>
            <w:r>
              <w:rPr>
                <w:rFonts w:ascii="Book Antiqua" w:hAnsi="Book Antiqua" w:hint="eastAsi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nedaplatin +</w:t>
            </w:r>
            <w:r>
              <w:rPr>
                <w:rFonts w:ascii="Book Antiqua" w:hAnsi="Book Antiqua"/>
                <w:kern w:val="24"/>
                <w:lang w:eastAsia="zh-CN"/>
              </w:rPr>
              <w:t xml:space="preserve"> </w:t>
            </w:r>
            <w:r>
              <w:rPr>
                <w:rFonts w:ascii="Book Antiqua" w:hAnsi="Book Antiqua"/>
                <w:kern w:val="24"/>
              </w:rPr>
              <w:t>paclitaxel</w:t>
            </w:r>
          </w:p>
        </w:tc>
        <w:tc>
          <w:tcPr>
            <w:tcW w:w="532" w:type="pct"/>
          </w:tcPr>
          <w:p w14:paraId="052399B7"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Four cycles</w:t>
            </w:r>
          </w:p>
        </w:tc>
        <w:tc>
          <w:tcPr>
            <w:tcW w:w="621" w:type="pct"/>
          </w:tcPr>
          <w:p w14:paraId="41CCABA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SD</w:t>
            </w:r>
          </w:p>
        </w:tc>
        <w:tc>
          <w:tcPr>
            <w:tcW w:w="407" w:type="pct"/>
          </w:tcPr>
          <w:p w14:paraId="63E27CB6"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r>
      <w:tr w:rsidR="0083714A" w14:paraId="249950F9" w14:textId="77777777">
        <w:trPr>
          <w:trHeight w:val="1872"/>
        </w:trPr>
        <w:tc>
          <w:tcPr>
            <w:tcW w:w="285" w:type="pct"/>
            <w:tcBorders>
              <w:bottom w:val="single" w:sz="4" w:space="0" w:color="auto"/>
            </w:tcBorders>
          </w:tcPr>
          <w:p w14:paraId="1584533F"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lastRenderedPageBreak/>
              <w:t>5</w:t>
            </w:r>
          </w:p>
        </w:tc>
        <w:tc>
          <w:tcPr>
            <w:tcW w:w="508" w:type="pct"/>
            <w:tcBorders>
              <w:bottom w:val="single" w:sz="4" w:space="0" w:color="auto"/>
            </w:tcBorders>
          </w:tcPr>
          <w:p w14:paraId="107A4BF8"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kern w:val="24"/>
              </w:rPr>
              <w:t>Zeng</w:t>
            </w:r>
          </w:p>
          <w:p w14:paraId="3EC1166D" w14:textId="77777777" w:rsidR="0083714A" w:rsidRDefault="00000000">
            <w:pPr>
              <w:widowControl w:val="0"/>
              <w:spacing w:after="0" w:line="360" w:lineRule="auto"/>
              <w:jc w:val="both"/>
              <w:rPr>
                <w:rFonts w:ascii="Book Antiqua" w:hAnsi="Book Antiqua"/>
                <w:kern w:val="24"/>
                <w:lang w:eastAsia="zh-CN"/>
              </w:rPr>
            </w:pPr>
            <w:r>
              <w:rPr>
                <w:rFonts w:ascii="Book Antiqua" w:hAnsi="Book Antiqua"/>
                <w:i/>
                <w:kern w:val="24"/>
              </w:rPr>
              <w:t>et al</w:t>
            </w:r>
            <w:r>
              <w:rPr>
                <w:rFonts w:ascii="Book Antiqua" w:hAnsi="Book Antiqua" w:hint="eastAsia"/>
                <w:kern w:val="24"/>
                <w:lang w:eastAsia="zh-CN"/>
              </w:rPr>
              <w:t xml:space="preserve"> (our case)</w:t>
            </w:r>
          </w:p>
        </w:tc>
        <w:tc>
          <w:tcPr>
            <w:tcW w:w="296" w:type="pct"/>
            <w:tcBorders>
              <w:bottom w:val="single" w:sz="4" w:space="0" w:color="auto"/>
            </w:tcBorders>
          </w:tcPr>
          <w:p w14:paraId="10862952"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w:t>
            </w:r>
          </w:p>
        </w:tc>
        <w:tc>
          <w:tcPr>
            <w:tcW w:w="598" w:type="pct"/>
            <w:tcBorders>
              <w:bottom w:val="single" w:sz="4" w:space="0" w:color="auto"/>
            </w:tcBorders>
          </w:tcPr>
          <w:p w14:paraId="05EBDA7A"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70%</w:t>
            </w:r>
          </w:p>
        </w:tc>
        <w:tc>
          <w:tcPr>
            <w:tcW w:w="763" w:type="pct"/>
            <w:tcBorders>
              <w:bottom w:val="single" w:sz="4" w:space="0" w:color="auto"/>
            </w:tcBorders>
          </w:tcPr>
          <w:p w14:paraId="442929D3"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Surgery</w:t>
            </w:r>
          </w:p>
        </w:tc>
        <w:tc>
          <w:tcPr>
            <w:tcW w:w="990" w:type="pct"/>
            <w:tcBorders>
              <w:bottom w:val="single" w:sz="4" w:space="0" w:color="auto"/>
            </w:tcBorders>
          </w:tcPr>
          <w:p w14:paraId="7A3663A2"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Sintilimab</w:t>
            </w:r>
            <w:r>
              <w:rPr>
                <w:rFonts w:ascii="Book Antiqua" w:hAnsi="Book Antiqu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paclitaxel</w:t>
            </w:r>
            <w:r>
              <w:rPr>
                <w:rFonts w:ascii="Book Antiqua" w:hAnsi="Book Antiqua"/>
                <w:kern w:val="24"/>
                <w:lang w:eastAsia="zh-CN"/>
              </w:rPr>
              <w:t xml:space="preserve"> </w:t>
            </w:r>
            <w:r>
              <w:rPr>
                <w:rFonts w:ascii="Book Antiqua" w:hAnsi="Book Antiqua"/>
                <w:kern w:val="24"/>
              </w:rPr>
              <w:t>+</w:t>
            </w:r>
            <w:r>
              <w:rPr>
                <w:rFonts w:ascii="Book Antiqua" w:hAnsi="Book Antiqua"/>
                <w:kern w:val="24"/>
                <w:lang w:eastAsia="zh-CN"/>
              </w:rPr>
              <w:t xml:space="preserve"> </w:t>
            </w:r>
            <w:r>
              <w:rPr>
                <w:rFonts w:ascii="Book Antiqua" w:hAnsi="Book Antiqua"/>
                <w:kern w:val="24"/>
              </w:rPr>
              <w:t>carboplation</w:t>
            </w:r>
          </w:p>
        </w:tc>
        <w:tc>
          <w:tcPr>
            <w:tcW w:w="532" w:type="pct"/>
            <w:tcBorders>
              <w:bottom w:val="single" w:sz="4" w:space="0" w:color="auto"/>
            </w:tcBorders>
          </w:tcPr>
          <w:p w14:paraId="139931D8"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Two cycles</w:t>
            </w:r>
          </w:p>
        </w:tc>
        <w:tc>
          <w:tcPr>
            <w:tcW w:w="621" w:type="pct"/>
            <w:tcBorders>
              <w:bottom w:val="single" w:sz="4" w:space="0" w:color="auto"/>
            </w:tcBorders>
          </w:tcPr>
          <w:p w14:paraId="7719E5D6"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PR</w:t>
            </w:r>
          </w:p>
        </w:tc>
        <w:tc>
          <w:tcPr>
            <w:tcW w:w="407" w:type="pct"/>
            <w:tcBorders>
              <w:bottom w:val="single" w:sz="4" w:space="0" w:color="auto"/>
            </w:tcBorders>
          </w:tcPr>
          <w:p w14:paraId="37932FB0" w14:textId="77777777" w:rsidR="0083714A" w:rsidRDefault="00000000">
            <w:pPr>
              <w:widowControl w:val="0"/>
              <w:spacing w:after="0" w:line="360" w:lineRule="auto"/>
              <w:jc w:val="both"/>
              <w:rPr>
                <w:rFonts w:ascii="Book Antiqua" w:hAnsi="Book Antiqua"/>
                <w:kern w:val="24"/>
              </w:rPr>
            </w:pPr>
            <w:r>
              <w:rPr>
                <w:rFonts w:ascii="Book Antiqua" w:hAnsi="Book Antiqua"/>
                <w:kern w:val="24"/>
              </w:rPr>
              <w:t>NA</w:t>
            </w:r>
          </w:p>
        </w:tc>
      </w:tr>
    </w:tbl>
    <w:bookmarkEnd w:id="8"/>
    <w:bookmarkEnd w:id="9"/>
    <w:p w14:paraId="28C438B9" w14:textId="77777777" w:rsidR="0083714A" w:rsidRDefault="00000000">
      <w:pPr>
        <w:spacing w:line="360" w:lineRule="auto"/>
        <w:jc w:val="both"/>
        <w:rPr>
          <w:rFonts w:ascii="Book Antiqua" w:eastAsia="Times New Roman" w:hAnsi="Book Antiqua"/>
          <w:kern w:val="24"/>
        </w:rPr>
      </w:pPr>
      <w:r>
        <w:rPr>
          <w:rFonts w:ascii="Book Antiqua" w:eastAsia="Times New Roman" w:hAnsi="Book Antiqua"/>
          <w:kern w:val="24"/>
        </w:rPr>
        <w:t>EBV</w:t>
      </w:r>
      <w:r>
        <w:rPr>
          <w:rFonts w:ascii="Book Antiqua" w:hAnsi="Book Antiqua"/>
          <w:kern w:val="24"/>
          <w:lang w:eastAsia="zh-CN"/>
        </w:rPr>
        <w:t>:</w:t>
      </w:r>
      <w:r>
        <w:rPr>
          <w:rFonts w:ascii="Book Antiqua" w:eastAsia="Times New Roman" w:hAnsi="Book Antiqua"/>
          <w:kern w:val="24"/>
        </w:rPr>
        <w:t xml:space="preserve"> Epstein–Barr virus; PD-L1</w:t>
      </w:r>
      <w:r>
        <w:rPr>
          <w:rFonts w:ascii="Book Antiqua" w:hAnsi="Book Antiqua"/>
          <w:kern w:val="24"/>
          <w:lang w:eastAsia="zh-CN"/>
        </w:rPr>
        <w:t>:</w:t>
      </w:r>
      <w:r>
        <w:rPr>
          <w:rFonts w:ascii="Book Antiqua" w:eastAsia="Times New Roman" w:hAnsi="Book Antiqua"/>
          <w:kern w:val="24"/>
        </w:rPr>
        <w:t xml:space="preserve"> </w:t>
      </w:r>
      <w:r>
        <w:rPr>
          <w:rFonts w:ascii="Book Antiqua" w:hAnsi="Book Antiqua"/>
          <w:kern w:val="24"/>
          <w:lang w:eastAsia="zh-CN"/>
        </w:rPr>
        <w:t>P</w:t>
      </w:r>
      <w:r>
        <w:rPr>
          <w:rFonts w:ascii="Book Antiqua" w:eastAsia="Times New Roman" w:hAnsi="Book Antiqua"/>
          <w:kern w:val="24"/>
        </w:rPr>
        <w:t>rogrammed death-1; PFS</w:t>
      </w:r>
      <w:r>
        <w:rPr>
          <w:rFonts w:ascii="Book Antiqua" w:hAnsi="Book Antiqua"/>
          <w:kern w:val="24"/>
          <w:lang w:eastAsia="zh-CN"/>
        </w:rPr>
        <w:t>: P</w:t>
      </w:r>
      <w:r>
        <w:rPr>
          <w:rFonts w:ascii="Book Antiqua" w:eastAsia="Times New Roman" w:hAnsi="Book Antiqua"/>
          <w:kern w:val="24"/>
        </w:rPr>
        <w:t>rogression-free survival; OS</w:t>
      </w:r>
      <w:r>
        <w:rPr>
          <w:rFonts w:ascii="Book Antiqua" w:hAnsi="Book Antiqua"/>
          <w:kern w:val="24"/>
          <w:lang w:eastAsia="zh-CN"/>
        </w:rPr>
        <w:t>: O</w:t>
      </w:r>
      <w:r>
        <w:rPr>
          <w:rFonts w:ascii="Book Antiqua" w:eastAsia="Times New Roman" w:hAnsi="Book Antiqua"/>
          <w:kern w:val="24"/>
        </w:rPr>
        <w:t>verall survival; PR</w:t>
      </w:r>
      <w:r>
        <w:rPr>
          <w:rFonts w:ascii="Book Antiqua" w:hAnsi="Book Antiqua"/>
          <w:kern w:val="24"/>
          <w:lang w:eastAsia="zh-CN"/>
        </w:rPr>
        <w:t>: P</w:t>
      </w:r>
      <w:r>
        <w:rPr>
          <w:rFonts w:ascii="Book Antiqua" w:eastAsia="Times New Roman" w:hAnsi="Book Antiqua"/>
          <w:kern w:val="24"/>
        </w:rPr>
        <w:t>artial response; SD</w:t>
      </w:r>
      <w:r>
        <w:rPr>
          <w:rFonts w:ascii="Book Antiqua" w:hAnsi="Book Antiqua"/>
          <w:kern w:val="24"/>
          <w:lang w:eastAsia="zh-CN"/>
        </w:rPr>
        <w:t>:</w:t>
      </w:r>
      <w:r>
        <w:rPr>
          <w:rFonts w:ascii="Book Antiqua" w:eastAsia="Times New Roman" w:hAnsi="Book Antiqua"/>
          <w:kern w:val="24"/>
        </w:rPr>
        <w:t xml:space="preserve"> </w:t>
      </w:r>
      <w:r>
        <w:rPr>
          <w:rFonts w:ascii="Book Antiqua" w:hAnsi="Book Antiqua"/>
          <w:kern w:val="24"/>
          <w:lang w:eastAsia="zh-CN"/>
        </w:rPr>
        <w:t>S</w:t>
      </w:r>
      <w:r>
        <w:rPr>
          <w:rFonts w:ascii="Book Antiqua" w:eastAsia="Times New Roman" w:hAnsi="Book Antiqua"/>
          <w:kern w:val="24"/>
        </w:rPr>
        <w:t>table disease; NA</w:t>
      </w:r>
      <w:r>
        <w:rPr>
          <w:rFonts w:ascii="Book Antiqua" w:hAnsi="Book Antiqua"/>
          <w:kern w:val="24"/>
          <w:lang w:eastAsia="zh-CN"/>
        </w:rPr>
        <w:t>:</w:t>
      </w:r>
      <w:r>
        <w:rPr>
          <w:rFonts w:ascii="Book Antiqua" w:eastAsia="Times New Roman" w:hAnsi="Book Antiqua"/>
          <w:kern w:val="24"/>
        </w:rPr>
        <w:t xml:space="preserve"> </w:t>
      </w:r>
      <w:r>
        <w:rPr>
          <w:rFonts w:ascii="Book Antiqua" w:hAnsi="Book Antiqua"/>
          <w:kern w:val="24"/>
          <w:lang w:eastAsia="zh-CN"/>
        </w:rPr>
        <w:t>N</w:t>
      </w:r>
      <w:r>
        <w:rPr>
          <w:rFonts w:ascii="Book Antiqua" w:eastAsia="Times New Roman" w:hAnsi="Book Antiqua"/>
          <w:kern w:val="24"/>
        </w:rPr>
        <w:t>ot available.</w:t>
      </w:r>
    </w:p>
    <w:p w14:paraId="0AC0EA00" w14:textId="77777777" w:rsidR="0083714A" w:rsidRDefault="0083714A">
      <w:pPr>
        <w:spacing w:line="360" w:lineRule="auto"/>
        <w:jc w:val="both"/>
        <w:rPr>
          <w:rStyle w:val="af"/>
          <w:rFonts w:ascii="Book Antiqua" w:hAnsi="Book Antiqua"/>
          <w:sz w:val="24"/>
          <w:szCs w:val="24"/>
          <w:lang w:eastAsia="zh-CN"/>
        </w:rPr>
      </w:pPr>
    </w:p>
    <w:p w14:paraId="25DDBED8" w14:textId="77777777" w:rsidR="0083714A" w:rsidRDefault="0083714A">
      <w:pPr>
        <w:rPr>
          <w:rStyle w:val="af"/>
          <w:rFonts w:ascii="Book Antiqua" w:hAnsi="Book Antiqua"/>
          <w:sz w:val="24"/>
          <w:szCs w:val="24"/>
          <w:lang w:eastAsia="zh-CN"/>
        </w:rPr>
        <w:sectPr w:rsidR="0083714A">
          <w:pgSz w:w="15840" w:h="12240" w:orient="landscape"/>
          <w:pgMar w:top="1440" w:right="1440" w:bottom="1440" w:left="1440" w:header="720" w:footer="720" w:gutter="0"/>
          <w:cols w:space="720"/>
          <w:docGrid w:linePitch="360"/>
        </w:sectPr>
      </w:pPr>
    </w:p>
    <w:p w14:paraId="46EF2AD4" w14:textId="77777777" w:rsidR="0083714A" w:rsidRDefault="0083714A">
      <w:pPr>
        <w:snapToGrid w:val="0"/>
        <w:ind w:leftChars="100" w:left="240"/>
        <w:jc w:val="center"/>
        <w:rPr>
          <w:rFonts w:ascii="Book Antiqua" w:hAnsi="Book Antiqua"/>
        </w:rPr>
      </w:pPr>
    </w:p>
    <w:p w14:paraId="604ACFFE" w14:textId="77777777" w:rsidR="0083714A" w:rsidRDefault="0083714A">
      <w:pPr>
        <w:snapToGrid w:val="0"/>
        <w:ind w:leftChars="100" w:left="240"/>
        <w:jc w:val="center"/>
        <w:rPr>
          <w:rFonts w:ascii="Book Antiqua" w:hAnsi="Book Antiqua"/>
        </w:rPr>
      </w:pPr>
    </w:p>
    <w:p w14:paraId="311A4054" w14:textId="77777777" w:rsidR="0083714A" w:rsidRDefault="0083714A">
      <w:pPr>
        <w:snapToGrid w:val="0"/>
        <w:ind w:leftChars="100" w:left="240"/>
        <w:jc w:val="center"/>
        <w:rPr>
          <w:rFonts w:ascii="Book Antiqua" w:hAnsi="Book Antiqua"/>
        </w:rPr>
      </w:pPr>
    </w:p>
    <w:p w14:paraId="5722B66C" w14:textId="77777777" w:rsidR="0083714A" w:rsidRDefault="0083714A">
      <w:pPr>
        <w:snapToGrid w:val="0"/>
        <w:ind w:leftChars="100" w:left="240"/>
        <w:jc w:val="center"/>
        <w:rPr>
          <w:rFonts w:ascii="Book Antiqua" w:hAnsi="Book Antiqua"/>
        </w:rPr>
      </w:pPr>
    </w:p>
    <w:p w14:paraId="69BD3A41" w14:textId="77777777" w:rsidR="0083714A" w:rsidRDefault="00000000">
      <w:pPr>
        <w:snapToGrid w:val="0"/>
        <w:ind w:leftChars="100" w:left="240"/>
        <w:jc w:val="center"/>
        <w:rPr>
          <w:rFonts w:ascii="Book Antiqua" w:hAnsi="Book Antiqua"/>
        </w:rPr>
      </w:pPr>
      <w:r>
        <w:rPr>
          <w:rFonts w:ascii="Book Antiqua" w:hAnsi="Book Antiqua"/>
          <w:noProof/>
        </w:rPr>
        <w:drawing>
          <wp:inline distT="0" distB="0" distL="0" distR="0" wp14:anchorId="52929627" wp14:editId="5C9740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B70B478" w14:textId="77777777" w:rsidR="0083714A" w:rsidRDefault="0083714A">
      <w:pPr>
        <w:snapToGrid w:val="0"/>
        <w:ind w:leftChars="100" w:left="240"/>
        <w:jc w:val="center"/>
        <w:rPr>
          <w:rFonts w:ascii="Book Antiqua" w:hAnsi="Book Antiqua"/>
        </w:rPr>
      </w:pPr>
    </w:p>
    <w:p w14:paraId="4DC825CD" w14:textId="77777777" w:rsidR="0083714A"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25F0AE2" w14:textId="77777777" w:rsidR="0083714A"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3138AC" w14:textId="77777777" w:rsidR="0083714A"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57FDA4" w14:textId="77777777" w:rsidR="0083714A"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AA70A5" w14:textId="77777777" w:rsidR="0083714A"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9B02B5C" w14:textId="77777777" w:rsidR="0083714A" w:rsidRDefault="0000000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67C0B7D" w14:textId="77777777" w:rsidR="0083714A" w:rsidRDefault="0083714A">
      <w:pPr>
        <w:snapToGrid w:val="0"/>
        <w:ind w:leftChars="100" w:left="240"/>
        <w:jc w:val="center"/>
        <w:rPr>
          <w:rFonts w:ascii="Book Antiqua" w:hAnsi="Book Antiqua"/>
        </w:rPr>
      </w:pPr>
    </w:p>
    <w:p w14:paraId="1FD1948D" w14:textId="77777777" w:rsidR="0083714A" w:rsidRDefault="0083714A">
      <w:pPr>
        <w:snapToGrid w:val="0"/>
        <w:ind w:leftChars="100" w:left="240"/>
        <w:jc w:val="center"/>
        <w:rPr>
          <w:rFonts w:ascii="Book Antiqua" w:hAnsi="Book Antiqua"/>
        </w:rPr>
      </w:pPr>
    </w:p>
    <w:p w14:paraId="463CAC68" w14:textId="77777777" w:rsidR="0083714A" w:rsidRDefault="0083714A">
      <w:pPr>
        <w:snapToGrid w:val="0"/>
        <w:ind w:leftChars="100" w:left="240"/>
        <w:jc w:val="center"/>
        <w:rPr>
          <w:rFonts w:ascii="Book Antiqua" w:hAnsi="Book Antiqua"/>
        </w:rPr>
      </w:pPr>
    </w:p>
    <w:p w14:paraId="20AEDAB0" w14:textId="77777777" w:rsidR="0083714A" w:rsidRDefault="00000000">
      <w:pPr>
        <w:snapToGrid w:val="0"/>
        <w:ind w:leftChars="100" w:left="240"/>
        <w:jc w:val="center"/>
        <w:rPr>
          <w:rFonts w:ascii="Book Antiqua" w:hAnsi="Book Antiqua"/>
        </w:rPr>
      </w:pPr>
      <w:r>
        <w:rPr>
          <w:rFonts w:ascii="Book Antiqua" w:hAnsi="Book Antiqua"/>
          <w:noProof/>
        </w:rPr>
        <w:drawing>
          <wp:inline distT="0" distB="0" distL="0" distR="0" wp14:anchorId="318F1214" wp14:editId="58B54E8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F0861A9" w14:textId="77777777" w:rsidR="0083714A" w:rsidRDefault="0083714A">
      <w:pPr>
        <w:snapToGrid w:val="0"/>
        <w:ind w:leftChars="100" w:left="240"/>
        <w:jc w:val="center"/>
        <w:rPr>
          <w:rFonts w:ascii="Book Antiqua" w:hAnsi="Book Antiqua"/>
        </w:rPr>
      </w:pPr>
    </w:p>
    <w:p w14:paraId="2F97746D" w14:textId="77777777" w:rsidR="0083714A" w:rsidRDefault="0083714A">
      <w:pPr>
        <w:snapToGrid w:val="0"/>
        <w:ind w:leftChars="100" w:left="240"/>
        <w:jc w:val="center"/>
        <w:rPr>
          <w:rFonts w:ascii="Book Antiqua" w:hAnsi="Book Antiqua"/>
        </w:rPr>
      </w:pPr>
    </w:p>
    <w:p w14:paraId="605A3FF4" w14:textId="77777777" w:rsidR="0083714A" w:rsidRDefault="0083714A">
      <w:pPr>
        <w:snapToGrid w:val="0"/>
        <w:ind w:leftChars="100" w:left="240"/>
        <w:jc w:val="center"/>
        <w:rPr>
          <w:rFonts w:ascii="Book Antiqua" w:hAnsi="Book Antiqua"/>
        </w:rPr>
      </w:pPr>
    </w:p>
    <w:p w14:paraId="015462FD" w14:textId="77777777" w:rsidR="0083714A" w:rsidRDefault="0083714A">
      <w:pPr>
        <w:snapToGrid w:val="0"/>
        <w:ind w:leftChars="100" w:left="240"/>
        <w:jc w:val="center"/>
        <w:rPr>
          <w:rFonts w:ascii="Book Antiqua" w:hAnsi="Book Antiqua"/>
        </w:rPr>
      </w:pPr>
    </w:p>
    <w:p w14:paraId="1D66343E" w14:textId="77777777" w:rsidR="0083714A" w:rsidRDefault="0083714A">
      <w:pPr>
        <w:snapToGrid w:val="0"/>
        <w:ind w:leftChars="100" w:left="240"/>
        <w:jc w:val="center"/>
        <w:rPr>
          <w:rFonts w:ascii="Book Antiqua" w:hAnsi="Book Antiqua"/>
        </w:rPr>
      </w:pPr>
    </w:p>
    <w:p w14:paraId="74EEE811" w14:textId="77777777" w:rsidR="0083714A" w:rsidRDefault="0083714A">
      <w:pPr>
        <w:snapToGrid w:val="0"/>
        <w:ind w:leftChars="100" w:left="240"/>
        <w:jc w:val="center"/>
        <w:rPr>
          <w:rFonts w:ascii="Book Antiqua" w:hAnsi="Book Antiqua"/>
        </w:rPr>
      </w:pPr>
    </w:p>
    <w:p w14:paraId="0C49CCB4" w14:textId="77777777" w:rsidR="0083714A" w:rsidRDefault="0083714A">
      <w:pPr>
        <w:snapToGrid w:val="0"/>
        <w:ind w:leftChars="100" w:left="240"/>
        <w:jc w:val="center"/>
        <w:rPr>
          <w:rFonts w:ascii="Book Antiqua" w:hAnsi="Book Antiqua"/>
        </w:rPr>
      </w:pPr>
    </w:p>
    <w:p w14:paraId="063EBC48" w14:textId="77777777" w:rsidR="0083714A" w:rsidRDefault="0083714A">
      <w:pPr>
        <w:snapToGrid w:val="0"/>
        <w:ind w:leftChars="100" w:left="240"/>
        <w:jc w:val="center"/>
        <w:rPr>
          <w:rFonts w:ascii="Book Antiqua" w:hAnsi="Book Antiqua"/>
        </w:rPr>
      </w:pPr>
    </w:p>
    <w:p w14:paraId="2FC9D40C" w14:textId="77777777" w:rsidR="0083714A" w:rsidRDefault="0083714A">
      <w:pPr>
        <w:snapToGrid w:val="0"/>
        <w:ind w:leftChars="100" w:left="240"/>
        <w:jc w:val="center"/>
        <w:rPr>
          <w:rFonts w:ascii="Book Antiqua" w:hAnsi="Book Antiqua"/>
        </w:rPr>
      </w:pPr>
    </w:p>
    <w:p w14:paraId="6CD8AB8B" w14:textId="77777777" w:rsidR="0083714A" w:rsidRDefault="0083714A">
      <w:pPr>
        <w:snapToGrid w:val="0"/>
        <w:ind w:leftChars="100" w:left="240"/>
        <w:jc w:val="right"/>
        <w:rPr>
          <w:rFonts w:ascii="Book Antiqua" w:hAnsi="Book Antiqua"/>
          <w:color w:val="000000" w:themeColor="text1"/>
        </w:rPr>
      </w:pPr>
    </w:p>
    <w:p w14:paraId="4F39F5DF" w14:textId="77777777" w:rsidR="0083714A" w:rsidRDefault="0000000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7D9A47F2" w14:textId="77777777" w:rsidR="0083714A" w:rsidRDefault="0083714A">
      <w:pPr>
        <w:rPr>
          <w:rFonts w:ascii="Book Antiqua" w:hAnsi="Book Antiqua" w:cs="Book Antiqua"/>
          <w:b/>
          <w:bCs/>
          <w:color w:val="000000"/>
        </w:rPr>
      </w:pPr>
    </w:p>
    <w:p w14:paraId="22C70A40" w14:textId="77777777" w:rsidR="0083714A" w:rsidRDefault="0083714A">
      <w:pPr>
        <w:spacing w:line="360" w:lineRule="auto"/>
        <w:jc w:val="both"/>
        <w:rPr>
          <w:rStyle w:val="af"/>
          <w:rFonts w:ascii="Book Antiqua" w:hAnsi="Book Antiqua"/>
          <w:sz w:val="24"/>
          <w:szCs w:val="24"/>
          <w:lang w:eastAsia="zh-CN"/>
        </w:rPr>
      </w:pPr>
    </w:p>
    <w:sectPr w:rsidR="008371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64537" w14:textId="77777777" w:rsidR="00461497" w:rsidRDefault="00461497">
      <w:r>
        <w:separator/>
      </w:r>
    </w:p>
  </w:endnote>
  <w:endnote w:type="continuationSeparator" w:id="0">
    <w:p w14:paraId="0F7198F3" w14:textId="77777777" w:rsidR="00461497" w:rsidRDefault="0046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4082"/>
      <w:docPartObj>
        <w:docPartGallery w:val="AutoText"/>
      </w:docPartObj>
    </w:sdtPr>
    <w:sdtContent>
      <w:sdt>
        <w:sdtPr>
          <w:id w:val="860082579"/>
          <w:docPartObj>
            <w:docPartGallery w:val="AutoText"/>
          </w:docPartObj>
        </w:sdtPr>
        <w:sdtContent>
          <w:p w14:paraId="45D6F9FE" w14:textId="77777777" w:rsidR="0083714A" w:rsidRDefault="0000000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20</w:t>
            </w:r>
            <w:r>
              <w:rPr>
                <w:b/>
                <w:bCs/>
                <w:sz w:val="24"/>
                <w:szCs w:val="24"/>
              </w:rPr>
              <w:fldChar w:fldCharType="end"/>
            </w:r>
          </w:p>
        </w:sdtContent>
      </w:sdt>
    </w:sdtContent>
  </w:sdt>
  <w:p w14:paraId="63415F1C" w14:textId="77777777" w:rsidR="0083714A" w:rsidRDefault="0083714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E4C8B" w14:textId="77777777" w:rsidR="00461497" w:rsidRDefault="00461497">
      <w:r>
        <w:separator/>
      </w:r>
    </w:p>
  </w:footnote>
  <w:footnote w:type="continuationSeparator" w:id="0">
    <w:p w14:paraId="497D24C5" w14:textId="77777777" w:rsidR="00461497" w:rsidRDefault="004614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4E2D"/>
    <w:rsid w:val="00024DF6"/>
    <w:rsid w:val="00040E70"/>
    <w:rsid w:val="001950F7"/>
    <w:rsid w:val="00223A49"/>
    <w:rsid w:val="00255692"/>
    <w:rsid w:val="00285DFD"/>
    <w:rsid w:val="00322F5E"/>
    <w:rsid w:val="00365456"/>
    <w:rsid w:val="00382A04"/>
    <w:rsid w:val="003E44DF"/>
    <w:rsid w:val="00461497"/>
    <w:rsid w:val="004969C0"/>
    <w:rsid w:val="004B1FA9"/>
    <w:rsid w:val="00522EF6"/>
    <w:rsid w:val="0054547E"/>
    <w:rsid w:val="00556D49"/>
    <w:rsid w:val="00591885"/>
    <w:rsid w:val="005C6340"/>
    <w:rsid w:val="005F14D4"/>
    <w:rsid w:val="00601DC5"/>
    <w:rsid w:val="00620AD6"/>
    <w:rsid w:val="0074402E"/>
    <w:rsid w:val="008324C9"/>
    <w:rsid w:val="0083714A"/>
    <w:rsid w:val="00864039"/>
    <w:rsid w:val="0088658B"/>
    <w:rsid w:val="008F3797"/>
    <w:rsid w:val="00967681"/>
    <w:rsid w:val="00995950"/>
    <w:rsid w:val="00A54B4E"/>
    <w:rsid w:val="00A6245C"/>
    <w:rsid w:val="00A753AA"/>
    <w:rsid w:val="00A77B3E"/>
    <w:rsid w:val="00AF6C7B"/>
    <w:rsid w:val="00B00CC4"/>
    <w:rsid w:val="00B2044D"/>
    <w:rsid w:val="00B74AF9"/>
    <w:rsid w:val="00BA10E3"/>
    <w:rsid w:val="00BC6731"/>
    <w:rsid w:val="00C62D8E"/>
    <w:rsid w:val="00C70338"/>
    <w:rsid w:val="00CA2A55"/>
    <w:rsid w:val="00CB67BE"/>
    <w:rsid w:val="00D563B4"/>
    <w:rsid w:val="00D80898"/>
    <w:rsid w:val="00D81859"/>
    <w:rsid w:val="00D849A1"/>
    <w:rsid w:val="00DC47FA"/>
    <w:rsid w:val="00E35EFF"/>
    <w:rsid w:val="00E36147"/>
    <w:rsid w:val="00E8158D"/>
    <w:rsid w:val="00EF4405"/>
    <w:rsid w:val="00F1058F"/>
    <w:rsid w:val="00F23568"/>
    <w:rsid w:val="00F338D9"/>
    <w:rsid w:val="00F71EC5"/>
    <w:rsid w:val="00FE163C"/>
    <w:rsid w:val="00FF6361"/>
    <w:rsid w:val="0A0124A3"/>
    <w:rsid w:val="0F061E10"/>
    <w:rsid w:val="1D556936"/>
    <w:rsid w:val="24972BC1"/>
    <w:rsid w:val="272157E2"/>
    <w:rsid w:val="2BA96603"/>
    <w:rsid w:val="2CC413E2"/>
    <w:rsid w:val="2DEF0E39"/>
    <w:rsid w:val="2EBE5F2F"/>
    <w:rsid w:val="2FD47B8E"/>
    <w:rsid w:val="30BB082E"/>
    <w:rsid w:val="332901F1"/>
    <w:rsid w:val="373235E0"/>
    <w:rsid w:val="48B42FB7"/>
    <w:rsid w:val="67CF7FBC"/>
    <w:rsid w:val="6E4C47B8"/>
    <w:rsid w:val="7B9A4DB4"/>
    <w:rsid w:val="7DF45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17A060"/>
  <w15:docId w15:val="{6EDC6B8E-C412-4E53-B7BB-988E323C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nhideWhenUsed/>
    <w:rPr>
      <w:color w:val="0000FF" w:themeColor="hyperlink"/>
      <w:u w:val="single"/>
    </w:rPr>
  </w:style>
  <w:style w:type="character" w:styleId="af">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character" w:customStyle="1" w:styleId="aa">
    <w:name w:val="页眉 字符"/>
    <w:basedOn w:val="a0"/>
    <w:link w:val="a9"/>
    <w:rPr>
      <w:rFonts w:eastAsiaTheme="minorEastAsia"/>
      <w:sz w:val="18"/>
      <w:szCs w:val="18"/>
      <w:lang w:eastAsia="en-US"/>
    </w:rPr>
  </w:style>
  <w:style w:type="character" w:customStyle="1" w:styleId="a8">
    <w:name w:val="页脚 字符"/>
    <w:basedOn w:val="a0"/>
    <w:link w:val="a7"/>
    <w:uiPriority w:val="99"/>
    <w:rPr>
      <w:rFonts w:eastAsiaTheme="minorEastAsia"/>
      <w:sz w:val="18"/>
      <w:szCs w:val="18"/>
      <w:lang w:eastAsia="en-US"/>
    </w:rPr>
  </w:style>
  <w:style w:type="paragraph" w:customStyle="1" w:styleId="1">
    <w:name w:val="修订1"/>
    <w:hidden/>
    <w:uiPriority w:val="99"/>
    <w:unhideWhenUsed/>
    <w:rPr>
      <w:rFonts w:eastAsiaTheme="minorEastAsia"/>
      <w:sz w:val="24"/>
      <w:szCs w:val="24"/>
      <w:lang w:eastAsia="en-US"/>
    </w:rPr>
  </w:style>
  <w:style w:type="character" w:customStyle="1" w:styleId="10">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20</Pages>
  <Words>3512</Words>
  <Characters>20021</Characters>
  <Application>Microsoft Office Word</Application>
  <DocSecurity>0</DocSecurity>
  <Lines>166</Lines>
  <Paragraphs>46</Paragraphs>
  <ScaleCrop>false</ScaleCrop>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zhouyou</dc:creator>
  <cp:lastModifiedBy> </cp:lastModifiedBy>
  <cp:revision>34</cp:revision>
  <dcterms:created xsi:type="dcterms:W3CDTF">2022-09-18T09:45:00Z</dcterms:created>
  <dcterms:modified xsi:type="dcterms:W3CDTF">2022-10-26T01:39:00Z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61144201B8444ADCA33566074C928C04</vt:lpwstr>
  </property>
</Properties>
</file>