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79175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Prevalence of polymyxin-induced nephrotoxicity and its predictors in critically ill adult patients: A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JL </w:t>
      </w:r>
      <w:r>
        <w:rPr>
          <w:rFonts w:ascii="Book Antiqua" w:hAnsi="Book Antiqua" w:eastAsia="Book Antiqua" w:cs="Book Antiqua"/>
          <w:i/>
          <w:color w:val="000000"/>
        </w:rPr>
        <w:t>et al</w:t>
      </w:r>
      <w:r>
        <w:rPr>
          <w:rFonts w:ascii="Book Antiqua" w:hAnsi="Book Antiqua" w:eastAsia="Book Antiqua" w:cs="Book Antiqua"/>
          <w:color w:val="000000"/>
        </w:rPr>
        <w:t>. Polymyxin-induced nephrotoxicity in ICU adult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Jiang-Lin Wang, Bi-Xiao Xiang, Xiao-Li Song, Rui-Man Que, Xiao-Cong Zuo, Yue-Liang Xie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Jiang-Lin Wang, Bi-Xiao Xiang, Rui-Man Que, Xiao-Cong Zuo, Yue-Liang Xie, </w:t>
      </w:r>
      <w:r>
        <w:rPr>
          <w:rFonts w:ascii="Book Antiqua" w:hAnsi="Book Antiqua" w:eastAsia="Book Antiqua" w:cs="Book Antiqua"/>
          <w:color w:val="000000"/>
        </w:rPr>
        <w:t>Department of Pharmacy, The Third Xiangya Hospital of Central South University, Changsha 410013, Hunan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Xiao-Li Song, </w:t>
      </w:r>
      <w:r>
        <w:rPr>
          <w:rFonts w:ascii="Book Antiqua" w:hAnsi="Book Antiqua" w:eastAsia="Book Antiqua" w:cs="Book Antiqua"/>
          <w:color w:val="000000"/>
        </w:rPr>
        <w:t>Department of Pharmacy, Sanya Central Hospital, Sanya 572000, Hainan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Wang JL acquisition of data, analysis and interpretation of data, drafting the article, final approval; Xiang BX acquisition of data, final approval; Song XL acquisition of data, final approval; Que RM acquisition of data, final approval; Zuo XC critical revision, final approval; Xie YL conception and design of the study, critical revision, final approval.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Hunan Province Natural Science Foundation, No. 2022JJ80043; Nature Science Foundation of Changsha, No. kq2014268; Hunan Engineering Research Center of Intelligent Prevention and Control for Drug Induced Organ Injury, No. 40; Scientific Research Fund Project of Hunan Pharmaceutical Society, No. 2020YXH010.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Yue-Liang Xie, PharmD, Pharmacist, </w:t>
      </w:r>
      <w:r>
        <w:rPr>
          <w:rFonts w:ascii="Book Antiqua" w:hAnsi="Book Antiqua" w:eastAsia="Book Antiqua" w:cs="Book Antiqua"/>
          <w:color w:val="000000"/>
        </w:rPr>
        <w:t>Department of Pharmacy, The Third Xiangya Hospital of Central South University, No. 138 Tongzipo Road, Changsha 410013, Hunan Province, China. xieyliang@csu.edu.cn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8,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September 15,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23, 2022</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Published online:</w:t>
      </w:r>
      <w:r>
        <w:rPr>
          <w:rFonts w:ascii="Book Antiqua" w:hAnsi="Book Antiqua"/>
          <w:color w:val="000000"/>
          <w:shd w:val="clear" w:color="auto" w:fill="FFFFFF"/>
        </w:rPr>
        <w:t xml:space="preserve"> November 6, 2022</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shd w:val="clear" w:color="auto" w:fill="FFFFFF"/>
        </w:rPr>
        <w:t>P</w:t>
      </w:r>
      <w:r>
        <w:rPr>
          <w:rFonts w:ascii="Book Antiqua" w:hAnsi="Book Antiqua" w:eastAsia="Book Antiqua" w:cs="Book Antiqua"/>
          <w:color w:val="000000"/>
        </w:rPr>
        <w:t xml:space="preserve">olymyxin-induced nephrotoxicity is a major safety concern in clinical practice due to long-term adverse outcomes and high mortality.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 xml:space="preserve">To conducted a systematic review and meta-analysis of the prevalence and potential predictors of polymyxin-induced nephrotoxicity in adult intensive care unit (ICU) patients.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PubMed, EMBASE, the Cochrane Library and Reference Citation Analysis database were searched for relevant studies from inception through May 30, 2022. The pooled prevalence of polymyxin-induced nephrotoxicity and pooled risk ratios of associated factors were analysed using a random-effects or fixed-effects model by Stata SE ver. 12.1. Additionally, subgroup analyses and meta-regression were conducted to assess heterogeneity.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A total of 89 studies involving 12234 critically ill adult patients were included in the meta-analysis. The overall pooled incidence of polymyxin-induced nephrotoxicity was 34.8%. The pooled prevalence of colistin-induced nephrotoxicity was not higher than that of polymyxin B (PMB)-induced nephrotoxicity. The subgroup analyses showed that nephrotoxicity was significantly associated with dosing interval, nephrotoxicity criteria, age, publication year, study quality and sample size, which were confirmed in the univariable meta-regression analysis. Nephrotoxicity was significantly increased when the total daily dose was divided into 2 doses but not 3 or 4 doses. Furthermore, older age, the presence of sepsis or septic shock, hypoalbuminemia, and concomitant vancomycin or vasopressor use were independent risk factors for polymyxin-induced nephrotoxicity, while an elevated baseline glomerular filtration rate was a protective factor against colistin-induced nephrotoxicity.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Our findings indicated that the incidence of polymyxin-induced nephrotoxicity among ICU patients was high. It emphasizes the importance of additional efforts to manage ICU patients receiving polymyxins to decrease the risk of adverse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Polymyxins; Nephrotoxicity; Critically ill adult patients; Risk factors; Meta-analysis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hAnsi="Book Antiqua" w:eastAsia="Book Antiqua" w:cs="Book Antiqua"/>
          <w:color w:val="000000"/>
        </w:rPr>
        <w:t xml:space="preserve">Wang JL, Xiang BX, Song XL, Que RM, Zuo XC, Xie YL. Prevalence of polymyxin-induced nephrotoxicity and its predictors in critically ill adult patients: A meta-analysis.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10(31): </w:t>
      </w:r>
      <w:r>
        <w:rPr>
          <w:rFonts w:hint="default" w:ascii="Book Antiqua" w:hAnsi="Book Antiqua" w:eastAsia="宋体" w:cs="Book Antiqua"/>
          <w:i w:val="0"/>
          <w:iCs w:val="0"/>
          <w:color w:val="000000"/>
          <w:kern w:val="0"/>
          <w:sz w:val="24"/>
          <w:szCs w:val="24"/>
          <w:u w:val="none"/>
          <w:lang w:val="en-US" w:eastAsia="zh-CN" w:bidi="ar"/>
        </w:rPr>
        <w:t>11466-11485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https://www.wjgnet.com/2307-8960/full/v10/i31/</w:t>
      </w:r>
      <w:r>
        <w:rPr>
          <w:rFonts w:hint="default" w:ascii="Book Antiqua" w:hAnsi="Book Antiqua" w:eastAsia="宋体" w:cs="Book Antiqua"/>
          <w:i w:val="0"/>
          <w:iCs w:val="0"/>
          <w:color w:val="000000"/>
          <w:kern w:val="0"/>
          <w:sz w:val="24"/>
          <w:szCs w:val="24"/>
          <w:u w:val="none"/>
          <w:lang w:val="en-US" w:eastAsia="zh-CN" w:bidi="ar"/>
        </w:rPr>
        <w:t>11466</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https://dx.doi.org/10.12998/wjcc.v10.i31.</w:t>
      </w:r>
      <w:r>
        <w:rPr>
          <w:rFonts w:hint="default" w:ascii="Book Antiqua" w:hAnsi="Book Antiqua" w:eastAsia="宋体" w:cs="Book Antiqua"/>
          <w:i w:val="0"/>
          <w:iCs w:val="0"/>
          <w:color w:val="000000"/>
          <w:kern w:val="0"/>
          <w:sz w:val="24"/>
          <w:szCs w:val="24"/>
          <w:u w:val="none"/>
          <w:lang w:val="en-US" w:eastAsia="zh-CN" w:bidi="ar"/>
        </w:rPr>
        <w:t>11466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Polymyxins have recently been reintroduced as a last-line option in chemotherapy for infections caused by multidrug-resistant gram-negative bacteria. However, these agents can cause nephrotoxicity. Notably, the prevalence of and risk factors for polymyxin-associated nephrotoxicity in adult intensive care unit (ICU) patients remain unclear. This is the first systematic review and meta-analysis to estimate the prevalence of and risk factors for polymyxin-induced nephrotoxicity in adult ICU patients. Based on the data collected and analysed, we conclude that the high incidence of polymyxin-induced nephrotoxicity is a primary safety concern and challenge in clinical practice. The avoidance of modifiable risk factors (such as nephrotoxic drugs and dosage regimens containing polymyxins) in adult ICU patients can likely reduce the risk of polymyxin-induced nephrotoxicity.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Acute kidney injury (AKI), a vastly complex heterogeneous syndrome, is associated with long-term adverse outcomes and high mortality</w:t>
      </w:r>
      <w:r>
        <w:rPr>
          <w:rFonts w:ascii="Book Antiqua" w:hAnsi="Book Antiqua" w:eastAsia="Book Antiqua" w:cs="Book Antiqua"/>
          <w:color w:val="000000"/>
          <w:vertAlign w:val="superscript"/>
        </w:rPr>
        <w:t>[1]</w:t>
      </w:r>
      <w:r>
        <w:rPr>
          <w:rFonts w:ascii="Book Antiqua" w:hAnsi="Book Antiqua" w:eastAsia="Book Antiqua" w:cs="Book Antiqua"/>
          <w:color w:val="000000"/>
        </w:rPr>
        <w:t>. Nearly 22% of hospitalized patients develop AKI, and the incidence of AKI in patients in intensive care units (ICUs) can reach 50%-70%</w:t>
      </w:r>
      <w:r>
        <w:rPr>
          <w:rFonts w:ascii="Book Antiqua" w:hAnsi="Book Antiqua" w:eastAsia="Book Antiqua" w:cs="Book Antiqua"/>
          <w:color w:val="000000"/>
          <w:vertAlign w:val="superscript"/>
        </w:rPr>
        <w:t>[2-4]</w:t>
      </w:r>
      <w:r>
        <w:rPr>
          <w:rFonts w:ascii="Book Antiqua" w:hAnsi="Book Antiqua" w:eastAsia="Book Antiqua" w:cs="Book Antiqua"/>
          <w:color w:val="000000"/>
        </w:rPr>
        <w:t>. Nephrotoxic drugs are considered the third most common aetiology for AKI following sepsis and hypovolemia and account for approximately 14% of cases in ICUs</w:t>
      </w:r>
      <w:r>
        <w:rPr>
          <w:rFonts w:ascii="Book Antiqua" w:hAnsi="Book Antiqua" w:eastAsia="Book Antiqua" w:cs="Book Antiqua"/>
          <w:color w:val="000000"/>
          <w:vertAlign w:val="superscript"/>
        </w:rPr>
        <w:t>[4]</w:t>
      </w:r>
      <w:r>
        <w:rPr>
          <w:rFonts w:ascii="Book Antiqua" w:hAnsi="Book Antiqua" w:eastAsia="Book Antiqua" w:cs="Book Antiqua"/>
          <w:color w:val="000000"/>
        </w:rPr>
        <w:t>. Drug-related risk hypervigilance and nephrotoxic drug stewardship are important strategies for the prevention of AKI in ICU patients</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Polymyxins (such as colistin and polymyxin B), were introduced into clinical practice in the 1950s but abandoned soon after due to broad toxicity, especially nephrotoxicity. Recently, polymyxins have been reintroduced as a final option in for the treatment of infections caused by carbapenem-resistant gram-negative bacteria in critically ill patients</w:t>
      </w:r>
      <w:r>
        <w:rPr>
          <w:rFonts w:ascii="Book Antiqua" w:hAnsi="Book Antiqua" w:eastAsia="Book Antiqua" w:cs="Book Antiqua"/>
          <w:color w:val="000000"/>
          <w:vertAlign w:val="superscript"/>
        </w:rPr>
        <w:t>[6,7]</w:t>
      </w:r>
      <w:r>
        <w:rPr>
          <w:rFonts w:ascii="Book Antiqua" w:hAnsi="Book Antiqua" w:eastAsia="Book Antiqua" w:cs="Book Antiqua"/>
          <w:color w:val="000000"/>
        </w:rPr>
        <w:t>, though polymyxin-associated nephrotoxicity is still the primary safety concern and obstacle to their widespread clinical application</w:t>
      </w:r>
      <w:r>
        <w:rPr>
          <w:rFonts w:ascii="Book Antiqua" w:hAnsi="Book Antiqua" w:eastAsia="Book Antiqua" w:cs="Book Antiqua"/>
          <w:color w:val="000000"/>
          <w:vertAlign w:val="superscript"/>
        </w:rPr>
        <w:t>[7,8]</w:t>
      </w:r>
      <w:r>
        <w:rPr>
          <w:rFonts w:ascii="Book Antiqua" w:hAnsi="Book Antiqua" w:eastAsia="Book Antiqua" w:cs="Book Antiqua"/>
          <w:color w:val="000000"/>
        </w:rPr>
        <w:t>. A recent study suggested that among antibiotics, colistin had the highest AKI reporting odds ratios based on real-world data, including 2042801 reports from the Food and Drug Administration (FDA) Adverse Event Reporting System</w:t>
      </w:r>
      <w:r>
        <w:rPr>
          <w:rFonts w:ascii="Book Antiqua" w:hAnsi="Book Antiqua" w:eastAsia="Book Antiqua" w:cs="Book Antiqua"/>
          <w:color w:val="000000"/>
          <w:vertAlign w:val="superscript"/>
        </w:rPr>
        <w:t>[9]</w:t>
      </w:r>
      <w:r>
        <w:rPr>
          <w:rFonts w:ascii="Book Antiqua" w:hAnsi="Book Antiqua" w:eastAsia="Book Antiqua" w:cs="Book Antiqua"/>
          <w:color w:val="000000"/>
        </w:rPr>
        <w:t>. Hence, there is an urgent need to analyse the prevalence and potential risk factors for polymyxin-induced nephrotoxicity in critically ill patients.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Several systematic reviews and meta-analyses on polymyxin-induced nephrotoxicity and its predictors have been conducted</w:t>
      </w:r>
      <w:r>
        <w:rPr>
          <w:rFonts w:ascii="Book Antiqua" w:hAnsi="Book Antiqua" w:eastAsia="Book Antiqua" w:cs="Book Antiqua"/>
          <w:color w:val="000000"/>
          <w:vertAlign w:val="superscript"/>
        </w:rPr>
        <w:t>[10-13]</w:t>
      </w:r>
      <w:r>
        <w:rPr>
          <w:rFonts w:ascii="Book Antiqua" w:hAnsi="Book Antiqua" w:eastAsia="Book Antiqua" w:cs="Book Antiqua"/>
          <w:color w:val="000000"/>
        </w:rPr>
        <w:t>. The nephrotoxicity prevalence varies widely, ranging from 26.7% to 45%</w:t>
      </w:r>
      <w:r>
        <w:rPr>
          <w:rFonts w:ascii="Book Antiqua" w:hAnsi="Book Antiqua" w:eastAsia="Book Antiqua" w:cs="Book Antiqua"/>
          <w:color w:val="000000"/>
          <w:vertAlign w:val="superscript"/>
        </w:rPr>
        <w:t>[10,12,13]</w:t>
      </w:r>
      <w:r>
        <w:rPr>
          <w:rFonts w:ascii="Book Antiqua" w:hAnsi="Book Antiqua" w:eastAsia="Book Antiqua" w:cs="Book Antiqua"/>
          <w:color w:val="000000"/>
        </w:rPr>
        <w:t xml:space="preserve">. A meta-analysis of 237 studies that enrolled 35569 hospitalized patients treated with systemic or inhaled polymyxins was conducted. Patients receiving inhaled polymyxins showed a significantly lower nephrotoxicity rate than patients receiving systemic polymyxins (13.8%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29.5%;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r>
        <w:rPr>
          <w:rFonts w:ascii="Book Antiqua" w:hAnsi="Book Antiqua" w:eastAsia="Book Antiqua" w:cs="Book Antiqua"/>
          <w:color w:val="000000"/>
          <w:vertAlign w:val="superscript"/>
        </w:rPr>
        <w:t>[13]</w:t>
      </w:r>
      <w:r>
        <w:rPr>
          <w:rFonts w:ascii="Book Antiqua" w:hAnsi="Book Antiqua" w:eastAsia="Book Antiqua" w:cs="Book Antiqua"/>
          <w:color w:val="000000"/>
        </w:rPr>
        <w:t>. Another recent meta-analysis of 48 studies involving 6,199 adult patients with at least 48 h of intravenous polymyxin exposure showed that older age, a high daily dose, accompanying diabetes, and concomitant nephrotoxic drugs uses were independent predictors of nephrotoxicity</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However, the incidence of nephrotoxicity was significantly higher in ICU patients than in non-ICU patients [odds ratio (OR) = 1.55; 95% confidence interval (CI), 1.02-2.37; </w:t>
      </w:r>
      <w:r>
        <w:rPr>
          <w:rFonts w:ascii="Book Antiqua" w:hAnsi="Book Antiqua" w:eastAsia="Book Antiqua" w:cs="Book Antiqua"/>
          <w:i/>
          <w:iCs/>
          <w:color w:val="000000"/>
        </w:rPr>
        <w:t>P</w:t>
      </w:r>
      <w:r>
        <w:rPr>
          <w:rFonts w:ascii="Book Antiqua" w:hAnsi="Book Antiqua" w:eastAsia="Book Antiqua" w:cs="Book Antiqua"/>
          <w:color w:val="000000"/>
        </w:rPr>
        <w:t xml:space="preserve"> = 0.042]</w:t>
      </w:r>
      <w:r>
        <w:rPr>
          <w:rFonts w:ascii="Book Antiqua" w:hAnsi="Book Antiqua" w:eastAsia="Book Antiqua" w:cs="Book Antiqua"/>
          <w:color w:val="000000"/>
          <w:vertAlign w:val="superscript"/>
        </w:rPr>
        <w:t>[13]</w:t>
      </w:r>
      <w:r>
        <w:rPr>
          <w:rFonts w:ascii="Book Antiqua" w:hAnsi="Book Antiqua" w:eastAsia="Book Antiqua" w:cs="Book Antiqua"/>
          <w:color w:val="000000"/>
        </w:rPr>
        <w:t>. In addition, the severity of patient illness was also reported to be a risk factor for colistin-related nephrotoxicity</w:t>
      </w:r>
      <w:r>
        <w:rPr>
          <w:rFonts w:ascii="Book Antiqua" w:hAnsi="Book Antiqua" w:eastAsia="Book Antiqua" w:cs="Book Antiqua"/>
          <w:color w:val="000000"/>
          <w:vertAlign w:val="superscript"/>
        </w:rPr>
        <w:t>[14]</w:t>
      </w:r>
      <w:r>
        <w:rPr>
          <w:rFonts w:ascii="Book Antiqua" w:hAnsi="Book Antiqua" w:eastAsia="Book Antiqua" w:cs="Book Antiqua"/>
          <w:color w:val="000000"/>
        </w:rPr>
        <w:t>. In general, previous meta-analyses pooled nephrotoxicity events and assessed risk factors for AKI in hospital patients receiving polymyxins; these data were insufficient to evaluate the prevalence and risk factors for polymyxin-associated nephrotoxicity in adult ICU patients, who account for the majority of the population using polymyxins in clinical practice.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This systematic review and meta-analysis were conducted and reported in accordance with the Meta-analysis of Observational Studies in Epidemiology guidelines and Preferred Reporting Items for Systematic Reviews and Meta-analyses (PRISMA) guidelines, respectively.</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Literature search</w:t>
      </w:r>
    </w:p>
    <w:p>
      <w:pPr>
        <w:spacing w:line="360" w:lineRule="auto"/>
        <w:jc w:val="both"/>
        <w:rPr>
          <w:rFonts w:ascii="Book Antiqua" w:hAnsi="Book Antiqua"/>
        </w:rPr>
      </w:pPr>
      <w:r>
        <w:rPr>
          <w:rFonts w:ascii="Book Antiqua" w:hAnsi="Book Antiqua" w:eastAsia="Book Antiqua" w:cs="Book Antiqua"/>
          <w:color w:val="000000"/>
        </w:rPr>
        <w:t xml:space="preserve">We searched PubMed, EMBASE and the Cochrane Library from inception through May 30, 2022, and limited the search to English-language studies involving humans. </w:t>
      </w:r>
      <w:r>
        <w:rPr>
          <w:rFonts w:hint="eastAsia" w:ascii="Book Antiqua" w:hAnsi="Book Antiqua" w:eastAsia="Book Antiqua" w:cs="Book Antiqua"/>
          <w:color w:val="000000"/>
        </w:rPr>
        <w:t xml:space="preserve">When revising the manuscript, we searched the </w:t>
      </w:r>
      <w:r>
        <w:rPr>
          <w:rFonts w:ascii="Book Antiqua" w:hAnsi="Book Antiqua" w:eastAsia="Book Antiqua" w:cs="Book Antiqua"/>
          <w:color w:val="000000"/>
        </w:rPr>
        <w:t xml:space="preserve">Reference Citation Analysis (RCA) </w:t>
      </w:r>
      <w:r>
        <w:rPr>
          <w:rFonts w:hint="eastAsia" w:ascii="Book Antiqua" w:hAnsi="Book Antiqua" w:eastAsia="Book Antiqua" w:cs="Book Antiqua"/>
          <w:color w:val="000000"/>
        </w:rPr>
        <w:t>database in order to supplement and improve the highlights of the latest frontier research results, but we did not find any potential articles to be included</w:t>
      </w:r>
      <w:r>
        <w:rPr>
          <w:rFonts w:hint="eastAsia" w:ascii="宋体" w:hAnsi="宋体" w:eastAsia="宋体" w:cs="宋体"/>
          <w:color w:val="000000"/>
          <w:lang w:eastAsia="zh-CN"/>
        </w:rPr>
        <w:t>.</w:t>
      </w:r>
      <w:r>
        <w:rPr>
          <w:rFonts w:ascii="宋体" w:hAnsi="宋体" w:eastAsia="宋体" w:cs="宋体"/>
          <w:color w:val="000000"/>
          <w:lang w:eastAsia="zh-CN"/>
        </w:rPr>
        <w:t xml:space="preserve"> </w:t>
      </w:r>
      <w:r>
        <w:rPr>
          <w:rFonts w:ascii="Book Antiqua" w:hAnsi="Book Antiqua" w:eastAsia="Book Antiqua" w:cs="Book Antiqua"/>
          <w:color w:val="000000"/>
        </w:rPr>
        <w:t>Reference lists of the retrieved studies, systematic reviews, and meta-analyses pertaining to our study were also reviewed. The search strategy is provided in Supplementary Table 1.</w:t>
      </w:r>
    </w:p>
    <w:p>
      <w:pPr>
        <w:spacing w:line="360" w:lineRule="auto"/>
        <w:ind w:firstLine="42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selection and data extraction</w:t>
      </w:r>
    </w:p>
    <w:p>
      <w:pPr>
        <w:spacing w:line="360" w:lineRule="auto"/>
        <w:jc w:val="both"/>
        <w:rPr>
          <w:rFonts w:ascii="Book Antiqua" w:hAnsi="Book Antiqua"/>
        </w:rPr>
      </w:pPr>
      <w:r>
        <w:rPr>
          <w:rFonts w:ascii="Book Antiqua" w:hAnsi="Book Antiqua" w:eastAsia="Book Antiqua" w:cs="Book Antiqua"/>
          <w:color w:val="000000"/>
        </w:rPr>
        <w:t>Observational studies and randomized clinical trials (RCTs) were eligible for meta-analysis if they met the following criteria: (1) The incidence of nephrotoxicity induced by polymyxin B (PMB) or colistin in adult (age &gt; 18 years) ICU patients was reported; (2) patients received at least 48 h of intravenous polymyxin exposure; and (3) risk factors associated with nephrotoxicity induced by either type of polymyxin were reported as ORs, relative risks (RRs) or hazard ratio (HRs) with 95%CIs. Studies were excluded if they met the following exclusion criteria: (1) Review, abstracts from conference proceedings, comments, or case reports; (2) missing full text or an inability to retrieve data required for analysis; or (3) a sample size of less than 10 patients.</w:t>
      </w:r>
    </w:p>
    <w:p>
      <w:pPr>
        <w:spacing w:line="360" w:lineRule="auto"/>
        <w:ind w:firstLine="425"/>
        <w:jc w:val="both"/>
        <w:rPr>
          <w:rFonts w:ascii="Book Antiqua" w:hAnsi="Book Antiqua"/>
        </w:rPr>
      </w:pPr>
      <w:r>
        <w:rPr>
          <w:rFonts w:ascii="Book Antiqua" w:hAnsi="Book Antiqua" w:eastAsia="Book Antiqua" w:cs="Book Antiqua"/>
          <w:color w:val="000000"/>
        </w:rPr>
        <w:t xml:space="preserve">Duplicates were detected and removed first. Then, two authors (Bi-xiao Xiang and Yue-liang Xie) independently screened the titles, abstracts and full texts based on the inclusion criteria and exclusion criteria. Two investigators (Jiang-lin Wang and Bi-xiao Xiang) independently extracted the data based on the predetermined selection criteria. Data extraction details are presented in the </w:t>
      </w:r>
      <w:r>
        <w:fldChar w:fldCharType="begin"/>
      </w:r>
      <w:r>
        <w:instrText xml:space="preserve"> HYPERLINK "https://oup.silverchair-cdn.com/oup/backfile/Content_public/Journal/rheumatology/PAP/10.1093_rheumatology_keac046/2/keac046_supplementary_data.doc?Expires=1659949427&amp;Signature=hcWjQAf3ETGeXHAQMVBnmruvkQSYllE7SfNZvT9bMHVsLvFEyzfi0hD2JAB6hCGMbH76ZQrXHORK5fRwNo~r8IMdfjYfUC6sYzBxR4Fi4EdrnhiaEfIT8tSkRBwbm~Eo9Fqz7VKPGQhTU3OvGmaKsy46h2IFTIr7~gRnjGlz2-RelIs01zLUNHeBQzHWGqSj88hs-Xdtbe6SCnmQNxo0eMmMvufNpnbQlr~ttcVX1T~VLQqDVcTwQzGf4H-4FLITZ243EGk6MsyL52nJLbGZmYWhdwdATDxpt~O5nOviwkf6GPt4et7xYx83H8HOjHgTWPEA3HaORtILZN078IiC9w__&amp;Key-Pair-Id=APKAIE5G5CRDK6RD3PGA" </w:instrText>
      </w:r>
      <w:r>
        <w:fldChar w:fldCharType="separate"/>
      </w:r>
      <w:r>
        <w:rPr>
          <w:rFonts w:ascii="Book Antiqua" w:hAnsi="Book Antiqua" w:eastAsia="Book Antiqua" w:cs="Book Antiqua"/>
          <w:color w:val="000000"/>
        </w:rPr>
        <w:t>supplementary</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Method. All disagreements were resolved by consensus and, if not possible, by discussion with the remaining authors.</w:t>
      </w:r>
    </w:p>
    <w:p>
      <w:pPr>
        <w:spacing w:line="360" w:lineRule="auto"/>
        <w:ind w:firstLine="42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Risk of bias</w:t>
      </w:r>
    </w:p>
    <w:p>
      <w:pPr>
        <w:spacing w:line="360" w:lineRule="auto"/>
        <w:jc w:val="both"/>
        <w:rPr>
          <w:rFonts w:ascii="Book Antiqua" w:hAnsi="Book Antiqua"/>
        </w:rPr>
      </w:pPr>
      <w:r>
        <w:rPr>
          <w:rFonts w:ascii="Book Antiqua" w:hAnsi="Book Antiqua" w:eastAsia="Book Antiqua" w:cs="Book Antiqua"/>
          <w:color w:val="000000"/>
        </w:rPr>
        <w:t>Two reviewers (Yue-Liang Xie and Jiang-Lin Wang) independently evaluated the risk of bias of the included studies using the Cochrane Collaboration risk of bias tool and the Newcastle–Ottawa Scale for RCTs and for observational studies (cohort and case–control studies), respectively. Discrepancies were resolved by a third investigator (Xiao-Cong Zuo). The scores on the Newcastle–Ottawa Scale range from 0 to 9. The included studies were classified into one of three categories based on the scores for each study: Low quality (score of less than 4), moderate quality (score of 5-7) and high quality (score of 8-9). The overall risk of bias for each included RCT was classified as low if the risk of bias was low in all domains, unclear if the risk of bias was unclear in one or more domains and with no judgement of high risk of bias, and high if the risk of bias was high in one or more domains</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w:t>
      </w:r>
    </w:p>
    <w:p>
      <w:pPr>
        <w:spacing w:line="360" w:lineRule="auto"/>
        <w:ind w:firstLine="42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Raw data including numbers of nephrotoxic events and total sample size were statistically pooled using a random effects model to calculate the overall event rate and 95%CI. The pooled ORs with 95%CIs of associated factors were calculated using a random-effects or fixed-effects model (</w:t>
      </w:r>
      <w:r>
        <w:rPr>
          <w:rFonts w:ascii="Book Antiqua" w:hAnsi="Book Antiqua" w:eastAsia="Book Antiqua" w:cs="Book Antiqua"/>
          <w:i/>
          <w:color w:val="000000"/>
        </w:rPr>
        <w:t>I</w:t>
      </w:r>
      <w:r>
        <w:rPr>
          <w:rFonts w:ascii="Book Antiqua" w:hAnsi="Book Antiqua" w:eastAsia="Book Antiqua" w:cs="Book Antiqua"/>
          <w:color w:val="000000"/>
        </w:rPr>
        <w:t xml:space="preserve">² &lt; 50%). In addition, the RRs of colistin </w:t>
      </w:r>
      <w:r>
        <w:rPr>
          <w:rFonts w:ascii="Book Antiqua" w:hAnsi="Book Antiqua" w:eastAsia="Book Antiqua" w:cs="Book Antiqua"/>
          <w:i/>
          <w:iCs/>
          <w:color w:val="000000"/>
        </w:rPr>
        <w:t>vs</w:t>
      </w:r>
      <w:r>
        <w:rPr>
          <w:rFonts w:ascii="Book Antiqua" w:hAnsi="Book Antiqua" w:eastAsia="Book Antiqua" w:cs="Book Antiqua"/>
          <w:color w:val="000000"/>
        </w:rPr>
        <w:t xml:space="preserve"> PMB as well as polymyxin treatment regimens </w:t>
      </w:r>
      <w:r>
        <w:rPr>
          <w:rFonts w:ascii="Book Antiqua" w:hAnsi="Book Antiqua" w:eastAsia="Book Antiqua" w:cs="Book Antiqua"/>
          <w:i/>
          <w:iCs/>
          <w:color w:val="000000"/>
        </w:rPr>
        <w:t>vs</w:t>
      </w:r>
      <w:r>
        <w:rPr>
          <w:rFonts w:ascii="Book Antiqua" w:hAnsi="Book Antiqua" w:eastAsia="Book Antiqua" w:cs="Book Antiqua"/>
          <w:color w:val="000000"/>
        </w:rPr>
        <w:t xml:space="preserve"> nonpolymyxin-based treatment regimens were computed considering parallel design studies. Studies were weighted using the inverse variance method. We calculated the inconsistency index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to measure heterogeneity. According to prespecified cut-off values, low heterogeneity was defined as an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&lt; 50%, and high heterogeneity was defined as an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50%. For each outcome, sensitivity analysis was performed by sequentially omitting each study from the pool; all studies were removed one at a time to analyse their influence on the pooled estimate and heterogeneity.</w:t>
      </w:r>
    </w:p>
    <w:p>
      <w:pPr>
        <w:spacing w:line="360" w:lineRule="auto"/>
        <w:ind w:firstLine="425"/>
        <w:jc w:val="both"/>
        <w:rPr>
          <w:rFonts w:ascii="Book Antiqua" w:hAnsi="Book Antiqua"/>
        </w:rPr>
      </w:pPr>
      <w:r>
        <w:rPr>
          <w:rFonts w:ascii="Book Antiqua" w:hAnsi="Book Antiqua" w:eastAsia="Book Antiqua" w:cs="Book Antiqua"/>
          <w:color w:val="000000"/>
        </w:rPr>
        <w:t>To account for potential sources of heterogeneity in the pooled incidence of polymyxin-induced nephrotoxicity, we performed several subgroup analyses detailed in the Supplementary Methods. To further investigate potential sources of heterogeneity for the incidence of polymyxin-induced nephrotoxicity, we conducted several meta-regressions. In the first step, we performed univariable meta-regression analyses according to the mean age in each study, sex, study design, sample size, publication year, geographical location, definition of AKI and risk of bias. A multivariable meta-regression analysis was then conducted with the factors significantly associated with polymyxin-induced nephrotoxicity incidence in the univariable meta-regression analyses.</w:t>
      </w:r>
    </w:p>
    <w:p>
      <w:pPr>
        <w:spacing w:line="360" w:lineRule="auto"/>
        <w:ind w:firstLine="425"/>
        <w:jc w:val="both"/>
        <w:rPr>
          <w:rFonts w:ascii="Book Antiqua" w:hAnsi="Book Antiqua"/>
        </w:rPr>
      </w:pPr>
      <w:r>
        <w:rPr>
          <w:rFonts w:ascii="Book Antiqua" w:hAnsi="Book Antiqua" w:eastAsia="Book Antiqua" w:cs="Book Antiqua"/>
          <w:color w:val="000000"/>
        </w:rPr>
        <w:t>Publication bias was examined visually with the use of funnel plots and filled funnel plots and assessed with Egger’s test. When both indicators showed a significant result, it was assumed that publication bias was present. All statistical analyses were performed using Stata SE ver. 12.1 (StataCorp., College Station, TX</w:t>
      </w:r>
      <w:r>
        <w:rPr>
          <w:rFonts w:ascii="Book Antiqua" w:hAnsi="Book Antiqua" w:cs="Book Antiqua"/>
          <w:color w:val="000000"/>
          <w:lang w:eastAsia="zh-CN"/>
        </w:rPr>
        <w:t>, United States</w:t>
      </w:r>
      <w:r>
        <w:rPr>
          <w:rFonts w:ascii="Book Antiqua" w:hAnsi="Book Antiqua" w:eastAsia="Book Antiqua" w:cs="Book Antiqua"/>
          <w:color w:val="000000"/>
        </w:rPr>
        <w:t xml:space="preserve">). Statistical tests were 2-sided, and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was considered statistically significant.</w:t>
      </w:r>
    </w:p>
    <w:p>
      <w:pPr>
        <w:spacing w:line="360" w:lineRule="auto"/>
        <w:ind w:firstLine="42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Search results</w:t>
      </w:r>
    </w:p>
    <w:p>
      <w:pPr>
        <w:spacing w:line="360" w:lineRule="auto"/>
        <w:jc w:val="both"/>
        <w:rPr>
          <w:rFonts w:ascii="Book Antiqua" w:hAnsi="Book Antiqua"/>
        </w:rPr>
      </w:pPr>
      <w:r>
        <w:rPr>
          <w:rFonts w:ascii="Book Antiqua" w:hAnsi="Book Antiqua" w:eastAsia="Book Antiqua" w:cs="Book Antiqua"/>
          <w:color w:val="000000"/>
        </w:rPr>
        <w:t>A total of 1437 results were retrieved from the search. After the removal of duplicates and title and abstract screening, 176 full texts were assessed for eligibility, and 89 studies were included for quantitative synthesis (Supplementary Table 1)</w:t>
      </w:r>
      <w:r>
        <w:rPr>
          <w:rFonts w:ascii="Book Antiqua" w:hAnsi="Book Antiqua" w:eastAsia="Book Antiqua" w:cs="Book Antiqua"/>
          <w:color w:val="000000"/>
          <w:vertAlign w:val="superscript"/>
        </w:rPr>
        <w:t>[16-104]</w:t>
      </w:r>
      <w:r>
        <w:rPr>
          <w:rFonts w:ascii="Book Antiqua" w:hAnsi="Book Antiqua" w:eastAsia="Book Antiqua" w:cs="Book Antiqua"/>
          <w:color w:val="000000"/>
        </w:rPr>
        <w:t>. The detailed study selection process is depicted in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Characteristics of the included studies</w:t>
      </w:r>
    </w:p>
    <w:p>
      <w:pPr>
        <w:spacing w:line="360" w:lineRule="auto"/>
        <w:jc w:val="both"/>
        <w:rPr>
          <w:rFonts w:ascii="Book Antiqua" w:hAnsi="Book Antiqua"/>
        </w:rPr>
      </w:pPr>
      <w:r>
        <w:rPr>
          <w:rFonts w:ascii="Book Antiqua" w:hAnsi="Book Antiqua" w:eastAsia="Book Antiqua" w:cs="Book Antiqua"/>
          <w:color w:val="000000"/>
        </w:rPr>
        <w:t>The characteristics of the included studies are shown in Supplementary Table 2. This systematic review and meta-analysis included 12234 adult critically ill patients receiving polymyxins, of whom 11211 were included in the colistin-treated groups and 903 were included in the PMB-treatment groups. All studies were published from 2003 to 2022. Among the included studies, 9 were RCTs</w:t>
      </w:r>
      <w:r>
        <w:rPr>
          <w:rFonts w:ascii="Book Antiqua" w:hAnsi="Book Antiqua" w:eastAsia="Book Antiqua" w:cs="Book Antiqua"/>
          <w:color w:val="000000"/>
          <w:vertAlign w:val="superscript"/>
        </w:rPr>
        <w:t>[16,18,23,34,35,54,57,81,87]</w:t>
      </w:r>
      <w:r>
        <w:rPr>
          <w:rFonts w:ascii="Book Antiqua" w:hAnsi="Book Antiqua" w:eastAsia="Book Antiqua" w:cs="Book Antiqua"/>
          <w:color w:val="000000"/>
        </w:rPr>
        <w:t>, 5 were case–control studies</w:t>
      </w:r>
      <w:r>
        <w:rPr>
          <w:rFonts w:ascii="Book Antiqua" w:hAnsi="Book Antiqua" w:eastAsia="Book Antiqua" w:cs="Book Antiqua"/>
          <w:color w:val="000000"/>
          <w:vertAlign w:val="superscript"/>
        </w:rPr>
        <w:t>[31,47,51,74,86]</w:t>
      </w:r>
      <w:r>
        <w:rPr>
          <w:rFonts w:ascii="Book Antiqua" w:hAnsi="Book Antiqua" w:eastAsia="Book Antiqua" w:cs="Book Antiqua"/>
          <w:color w:val="000000"/>
        </w:rPr>
        <w:t xml:space="preserve"> and 75 were cohort studies</w:t>
      </w:r>
      <w:r>
        <w:rPr>
          <w:rFonts w:ascii="Book Antiqua" w:hAnsi="Book Antiqua" w:eastAsia="Book Antiqua" w:cs="Book Antiqua"/>
          <w:color w:val="000000"/>
          <w:vertAlign w:val="superscript"/>
        </w:rPr>
        <w:t>[17,19-22,24-30,32,33,36-46,48-50,52,53,55,56,58-73,75-80,82-85,88-104]</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The sample sizes per study ranged from 11 to 4910 critically ill patients. This systematic review and meta-analysis included 3 parallel cohort studies that reported outcome measures associated with colistin and PMB use</w:t>
      </w:r>
      <w:r>
        <w:rPr>
          <w:rFonts w:ascii="Book Antiqua" w:hAnsi="Book Antiqua" w:eastAsia="Book Antiqua" w:cs="Book Antiqua"/>
          <w:color w:val="000000"/>
          <w:vertAlign w:val="superscript"/>
        </w:rPr>
        <w:t>[62,76,80]</w:t>
      </w:r>
      <w:r>
        <w:rPr>
          <w:rFonts w:ascii="Book Antiqua" w:hAnsi="Book Antiqua" w:eastAsia="Book Antiqua" w:cs="Book Antiqua"/>
          <w:color w:val="000000"/>
        </w:rPr>
        <w:t>, 2 studies with colistin and PMB use</w:t>
      </w:r>
      <w:r>
        <w:rPr>
          <w:rFonts w:ascii="Book Antiqua" w:hAnsi="Book Antiqua" w:eastAsia="Book Antiqua" w:cs="Book Antiqua"/>
          <w:color w:val="000000"/>
          <w:vertAlign w:val="superscript"/>
        </w:rPr>
        <w:t>[17,68]</w:t>
      </w:r>
      <w:r>
        <w:rPr>
          <w:rFonts w:ascii="Book Antiqua" w:hAnsi="Book Antiqua" w:eastAsia="Book Antiqua" w:cs="Book Antiqua"/>
          <w:color w:val="000000"/>
        </w:rPr>
        <w:t>, 75 studies with colistin use alone</w:t>
      </w:r>
      <w:r>
        <w:rPr>
          <w:rFonts w:ascii="Book Antiqua" w:hAnsi="Book Antiqua" w:eastAsia="Book Antiqua" w:cs="Book Antiqua"/>
          <w:color w:val="000000"/>
          <w:vertAlign w:val="superscript"/>
        </w:rPr>
        <w:t>[16,18-40,42-57,59-61,64-67,70-75,78,81,83-99,101-102,104]</w:t>
      </w:r>
      <w:r>
        <w:rPr>
          <w:rFonts w:ascii="Book Antiqua" w:hAnsi="Book Antiqua" w:eastAsia="Book Antiqua" w:cs="Book Antiqua"/>
          <w:color w:val="000000"/>
        </w:rPr>
        <w:t xml:space="preserve"> and 9 studies with PMB use alone</w:t>
      </w:r>
      <w:r>
        <w:rPr>
          <w:rFonts w:ascii="Book Antiqua" w:hAnsi="Book Antiqua" w:eastAsia="Book Antiqua" w:cs="Book Antiqua"/>
          <w:color w:val="000000"/>
          <w:vertAlign w:val="superscript"/>
        </w:rPr>
        <w:t>[41,58,63,69,77,79,82,100,103]</w:t>
      </w:r>
      <w:r>
        <w:rPr>
          <w:rFonts w:ascii="Book Antiqua" w:hAnsi="Book Antiqua" w:eastAsia="Book Antiqua" w:cs="Book Antiqua"/>
          <w:color w:val="000000"/>
        </w:rPr>
        <w:t>. Regarding the geographical distribution, 35 studies were conducted in Europe, 31 in Asia, 6 in North America, 6 in South America and 4 in Africa. Regarding the definitions of AKI, 38, 10, and 8 studies relied on the Risk, Injury, Failure, Loss of kidney function, and End-stage kidney disease (RIFLE), Kidney Disease Improving Global Outcomes (KDIGO), and Acute Kidney Injury Network (AKIN) classification systems, respectively. The rest adopted self-reported definition of AKI. Only two studies reported median Acute Physiology and Chronic Health Evaluation (APACHE) II scores</w:t>
      </w:r>
      <w:r>
        <w:rPr>
          <w:rFonts w:ascii="Book Antiqua" w:hAnsi="Book Antiqua" w:eastAsia="Book Antiqua" w:cs="Book Antiqua"/>
          <w:color w:val="000000"/>
          <w:vertAlign w:val="superscript"/>
        </w:rPr>
        <w:t>[44,100]</w:t>
      </w:r>
      <w:r>
        <w:rPr>
          <w:rFonts w:ascii="Book Antiqua" w:hAnsi="Book Antiqua" w:eastAsia="Book Antiqua" w:cs="Book Antiqua"/>
          <w:color w:val="000000"/>
        </w:rPr>
        <w:t>, whereas 53 studies reported mean APACHE II scores ranging from 11.8 (± 4.3)</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to 30.4 (± 9.5)</w:t>
      </w:r>
      <w:r>
        <w:rPr>
          <w:rFonts w:ascii="Book Antiqua" w:hAnsi="Book Antiqua" w:eastAsia="Book Antiqua" w:cs="Book Antiqua"/>
          <w:color w:val="000000"/>
          <w:vertAlign w:val="superscript"/>
        </w:rPr>
        <w:t>[91]</w:t>
      </w:r>
      <w:r>
        <w:rPr>
          <w:rFonts w:ascii="Book Antiqua" w:hAnsi="Book Antiqua" w:eastAsia="Book Antiqua" w:cs="Book Antiqua"/>
          <w:color w:val="000000"/>
        </w:rPr>
        <w:t>. Nineteen studies and 62 studies described age as the median and the mean, respectively, with ages ranging from 40 to 73.8 years. Among the observational studies, there were 51 studies with a moderate risk of bias, 18 with a high risk of bias and 11 with a low risk of bias (Supplementary Table 3). Among the 9 RCTs, 1 was determined to have a high risk of bias</w:t>
      </w:r>
      <w:r>
        <w:rPr>
          <w:rFonts w:ascii="Book Antiqua" w:hAnsi="Book Antiqua" w:eastAsia="Book Antiqua" w:cs="Book Antiqua"/>
          <w:color w:val="000000"/>
          <w:vertAlign w:val="superscript"/>
        </w:rPr>
        <w:t>[23]</w:t>
      </w:r>
      <w:r>
        <w:rPr>
          <w:rFonts w:ascii="Book Antiqua" w:hAnsi="Book Antiqua" w:eastAsia="Book Antiqua" w:cs="Book Antiqua"/>
          <w:color w:val="000000"/>
        </w:rPr>
        <w:t>, 7 had an unclear risk of bias</w:t>
      </w:r>
      <w:r>
        <w:rPr>
          <w:rFonts w:ascii="Book Antiqua" w:hAnsi="Book Antiqua" w:eastAsia="Book Antiqua" w:cs="Book Antiqua"/>
          <w:color w:val="000000"/>
          <w:vertAlign w:val="superscript"/>
        </w:rPr>
        <w:t>[16,18,35,54,57,81,87]</w:t>
      </w:r>
      <w:r>
        <w:rPr>
          <w:rFonts w:ascii="Book Antiqua" w:hAnsi="Book Antiqua" w:eastAsia="Book Antiqua" w:cs="Book Antiqua"/>
          <w:color w:val="000000"/>
        </w:rPr>
        <w:t>, and 1 had a low risk of bias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(Supplementary Table 3).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Incidence of polymyxin-induced nephrotoxicity</w:t>
      </w:r>
    </w:p>
    <w:p>
      <w:pPr>
        <w:spacing w:line="360" w:lineRule="auto"/>
        <w:jc w:val="both"/>
        <w:rPr>
          <w:rFonts w:ascii="Book Antiqua" w:hAnsi="Book Antiqua"/>
        </w:rPr>
      </w:pPr>
      <w:r>
        <w:rPr>
          <w:rFonts w:ascii="Book Antiqua" w:hAnsi="Book Antiqua" w:eastAsia="Book Antiqua" w:cs="Book Antiqua"/>
          <w:color w:val="000000"/>
        </w:rPr>
        <w:t xml:space="preserve">Across all studies, 4027 nephrotoxic events in 12234 critically ill adult patients receiving polymyxins were analysed. The pooled incidence of overall polymyxin-induced nephrotoxicity reached 34.8% (95%CI, 30.8%-38.9%,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95.90%) (Figure 2). In addition, we did not observe a significant influence of any study on the pooled estimates or heterogeneity (Supplementary Figure 1) in the sensitivity analyses. We classified nephrotoxicity into mild and severe (defined as a RIFLE grade of ‘failure’ or above, AKIN grade of 3 or KDIGO grade of 3 or required renal replacement therapy [RRT]) groups, and the incidence rates of mild and severe nephrotoxicity were 25.8% (95%CI, 21.6%-29.9%;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96.80%) and 12.7% (95%CI, 10.3%-15.0%;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89.60%), respectively (Table 1). In addition, ranking of the criteria used to obtain the AKI incidence indicated that the KDIGO criteria were the highest-ranked (46.5%; 95%CI, 35.9%-57.1%;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93.80%), followed by the RIFLE (39.6%; 95%CI, 33.9%-45.4%;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93.80%), AKIN (37.3%; 95%CI, 27.4%-47.3%;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87.40%) and finally other criteria (21.4%; 95%CI, 15.9%-26.9%;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94.20%). Since most studies used the standardized RIFLE criteria, we subsequently performed subgroup analyses, and the pooled incidence rates of polymyxin-induced nephrotoxicity classified as ‘risk’, ‘injury’ and ‘failure’ based on RIFLE criteria were 12.7% (95%CI, 9.6%-15.8%), 12.6% (95%CI, 10.0%-15.2%), and 14.9% (95%CI, 11.1%-18.6%), respectively (Supplementary Table 5).</w:t>
      </w:r>
    </w:p>
    <w:p>
      <w:pPr>
        <w:spacing w:line="360" w:lineRule="auto"/>
        <w:ind w:firstLine="480"/>
        <w:jc w:val="both"/>
        <w:rPr>
          <w:rFonts w:ascii="Book Antiqua" w:hAnsi="Book Antiqua"/>
        </w:rPr>
      </w:pPr>
      <w:r>
        <w:rPr>
          <w:rFonts w:ascii="Book Antiqua" w:hAnsi="Book Antiqua" w:eastAsia="Book Antiqua" w:cs="Book Antiqua"/>
          <w:color w:val="000000"/>
        </w:rPr>
        <w:t xml:space="preserve">Moreover, to explore potential sources of heterogeneity, we performed several subgroup analyses (Table 1). Regarding specific medications, the pooled incidence of PMB-induced nephrotoxicity was 26.8% lower than that of colistin-induced nephrotoxicity (35.5%; 95%CI, 31.1%-39.8%;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96.1%) without significant difference. Furthermore, pairwise meta-analysis showed that adult patients treated with colistin (42.7%) had a higher incidence of AKI than those treated with PMB (21.3%), but this difference was not statistically significant (OR = 2.37; 95%CI, 0.62-9.07; </w:t>
      </w:r>
      <w:r>
        <w:rPr>
          <w:rFonts w:ascii="Book Antiqua" w:hAnsi="Book Antiqua" w:eastAsia="Book Antiqua" w:cs="Book Antiqua"/>
          <w:i/>
          <w:iCs/>
          <w:color w:val="000000"/>
        </w:rPr>
        <w:t>P</w:t>
      </w:r>
      <w:r>
        <w:rPr>
          <w:rFonts w:ascii="Book Antiqua" w:hAnsi="Book Antiqua" w:eastAsia="Book Antiqua" w:cs="Book Antiqua"/>
          <w:color w:val="000000"/>
        </w:rPr>
        <w:t xml:space="preserve"> = 0.206) (Supplementary Figure 2). The nephrotoxicity incidence was higher, but not significantly, in critically ill adult patients who received a loading dose (39.1%; 95%CI, 32.1%-46.1%;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95.0%) than in those who did not (30.9%; 95%CI, 26.0%-35.7%;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95.2%). Subgroup analysis based on dose indicated that the high-dose group (39.5%; 95%CI, 30.2%-48.7%,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52.0%) had a higher incidence of nephrotoxicity than the low-dose group (32.4%, 95%CI, 27.8%-37.1%;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96.0%). However, no statistical significance was observed. In addition, the meta-analysis showed that the incidence of nephrotoxicity was higher in patients who received twice-daily polymyxin therapy (42.1%; 95%CI, 35.6%-48.5%;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93.4%) than in patients who received multiple daily polymyxin therapy (25.1%; 95%CI, 17.2%-33.0%;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93.9%) (Table 1).</w:t>
      </w:r>
    </w:p>
    <w:p>
      <w:pPr>
        <w:spacing w:line="360" w:lineRule="auto"/>
        <w:ind w:firstLine="480"/>
        <w:jc w:val="both"/>
        <w:rPr>
          <w:rFonts w:ascii="Book Antiqua" w:hAnsi="Book Antiqua"/>
        </w:rPr>
      </w:pPr>
      <w:r>
        <w:rPr>
          <w:rFonts w:ascii="Book Antiqua" w:hAnsi="Book Antiqua" w:eastAsia="Book Antiqua" w:cs="Book Antiqua"/>
          <w:color w:val="000000"/>
        </w:rPr>
        <w:t xml:space="preserve">Regarding geographical distribution, the highest pooled incidence of polymyxin-induced nephrotoxicity was 39.9% in South America, followed by 36.4% in Europe, 32.9% in North America, 34.0% in Asia and 21.5% in Africa (Figure 3 and Table 1). In the subgroup analysis of age, the overall pooled polymyxin-induced nephrotoxicity incidence was significantly lower in younger patients (aged &lt; 65 years) than in older patients (aged ≥ 65 years). In the univariable meta-regression, we found a significant age trend associated with the incidence of AKI in adults (regression coefficient (Q) = -0.1427, </w:t>
      </w:r>
      <w:r>
        <w:rPr>
          <w:rFonts w:ascii="Book Antiqua" w:hAnsi="Book Antiqua" w:eastAsia="Book Antiqua" w:cs="Book Antiqua"/>
          <w:i/>
          <w:iCs/>
          <w:color w:val="000000"/>
        </w:rPr>
        <w:t>P</w:t>
      </w:r>
      <w:r>
        <w:rPr>
          <w:rFonts w:ascii="Book Antiqua" w:hAnsi="Book Antiqua" w:eastAsia="Book Antiqua" w:cs="Book Antiqua"/>
          <w:color w:val="000000"/>
        </w:rPr>
        <w:t xml:space="preserve"> = 0.003) (Table 2 and Supplementary Figure 3). Furthermore, we did not observe a difference in the nephrotoxicity incidence between males &gt; 50% (34.4%; 95%CI, 29.7%-39.1%;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96.1%) and males ≤ 50% (40.6%; 95%CI, 24.3</w:t>
      </w:r>
      <w:r>
        <w:rPr>
          <w:rFonts w:hint="eastAsia" w:ascii="Book Antiqua" w:hAnsi="Book Antiqua" w:eastAsia="Book Antiqua" w:cs="Book Antiqua"/>
          <w:color w:val="000000"/>
        </w:rPr>
        <w:t>%</w:t>
      </w:r>
      <w:r>
        <w:rPr>
          <w:rFonts w:ascii="Book Antiqua" w:hAnsi="Book Antiqua" w:eastAsia="Book Antiqua" w:cs="Book Antiqua"/>
          <w:color w:val="000000"/>
        </w:rPr>
        <w:t xml:space="preserve">-56.9%;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94.5%) or between a mean or median APACHE II score ≥ 20 group (38.4%; 95%CI, 30.7%-46.1%;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95.0%) and a score &lt; 20 group (30.5%; 95%CI, 20.9%-40.1%;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95.8%) .</w:t>
      </w:r>
    </w:p>
    <w:p>
      <w:pPr>
        <w:spacing w:line="360" w:lineRule="auto"/>
        <w:ind w:firstLine="480"/>
        <w:jc w:val="both"/>
        <w:rPr>
          <w:rFonts w:ascii="Book Antiqua" w:hAnsi="Book Antiqua"/>
        </w:rPr>
      </w:pPr>
      <w:r>
        <w:rPr>
          <w:rFonts w:ascii="Book Antiqua" w:hAnsi="Book Antiqua" w:eastAsia="Book Antiqua" w:cs="Book Antiqua"/>
          <w:color w:val="000000"/>
        </w:rPr>
        <w:t xml:space="preserve">Subgroup analysis based on publication year showed that the incidence of nephrotoxicity caused by polymyxins was highest between 2015 and 2022 (42.1%; 95%CI, 36.5%-47.6%;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96.7%), followed by 2010 to 2015 (27.0%; 95%CI, 20.5%-33.4%;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93.1%) and before 2010 (13.8%; 95%CI, 8.5%-19.2%;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44.1%). A significant time trend of nephrotoxicity incidence with year of study publication was observed in the univariable meta-regression analysis (regression coefficient (Q) = 0.1337,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(Table 2 and Supplementary Figure 4). In addition, the nephrotoxicity incidence varied by sample sizes of the studies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for subgroup analysis). Smaller studies (&lt; 50 participants) showed the lowest incidence of nephrotoxicity compared to medium (50-100 participants) and large (≥ 100 participants) studies (Table 1). We excluded the study with the largest sample size</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and performed a univariable meta-regression analysis according to the sample size of the studies. The results showed an association between the sample size of the studies and the incidence of nephrotoxicity caused by polymyxins (regression coefficient (Q) = 0.0873,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(Table 2 and Supplementary Figure 5). In addition, we found that the type of study did not impact the incidence of polymyxin-associated nephrotoxicity (Table 1). However, the pooled incidence rates of nephrotoxicity differed significantly among quality subgroups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The highest pooled incidence of nephrotoxicity was 41.2% in high-quality studies, followed by 36.3% in moderate-quality studies and 21.5% in low-quality studies (Table 1). Univariable meta-regression indicated that studies with a higher risk of bias reported significantly lower rates of polymyxin-induced nephrotoxicity (regression coefficient (Q) = 0.0966, </w:t>
      </w:r>
      <w:r>
        <w:rPr>
          <w:rFonts w:ascii="Book Antiqua" w:hAnsi="Book Antiqua" w:eastAsia="Book Antiqua" w:cs="Book Antiqua"/>
          <w:i/>
          <w:iCs/>
          <w:color w:val="000000"/>
        </w:rPr>
        <w:t>P</w:t>
      </w:r>
      <w:r>
        <w:rPr>
          <w:rFonts w:ascii="Book Antiqua" w:hAnsi="Book Antiqua" w:eastAsia="Book Antiqua" w:cs="Book Antiqua"/>
          <w:color w:val="000000"/>
        </w:rPr>
        <w:t xml:space="preserve"> = 0.003) (Table 2 and Supplementary Figure 6). Although we performed subgroup analyse, the heterogeneity of each group remained high. The final multivariable meta-regression model, which included the sample sizes of studies, publication year, study quality and definitions of AKI, was able to explain a significant proportion of the heterogeneity reported (</w:t>
      </w:r>
      <w:r>
        <w:rPr>
          <w:rFonts w:ascii="Book Antiqua" w:hAnsi="Book Antiqua" w:eastAsia="Book Antiqua" w:cs="Book Antiqua"/>
          <w:i/>
          <w:color w:val="000000"/>
        </w:rPr>
        <w:t>R</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40.00%;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(Table 2).</w:t>
      </w:r>
    </w:p>
    <w:p>
      <w:pPr>
        <w:spacing w:line="360" w:lineRule="auto"/>
        <w:ind w:firstLine="480"/>
        <w:jc w:val="both"/>
        <w:rPr>
          <w:rFonts w:ascii="Book Antiqua" w:hAnsi="Book Antiqua"/>
        </w:rPr>
      </w:pPr>
      <w:r>
        <w:rPr>
          <w:rFonts w:ascii="Book Antiqua" w:hAnsi="Book Antiqua" w:eastAsia="Book Antiqua" w:cs="Book Antiqua"/>
          <w:color w:val="000000"/>
        </w:rPr>
        <w:t>Visual inspection of the funnel plots revealed potential asymmetry for the incidence of nephrotoxicity caused by polymyxins (Supplementary Figure 7A), with a significant Egger’s test result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The trim-and-fill method also showed significant publication bias for the incidence of polymyxin-induced nephrotoxicity (Supplementary Figure 7B).</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Polymyxin exposure and risk of nephrotoxicity</w:t>
      </w:r>
    </w:p>
    <w:p>
      <w:pPr>
        <w:spacing w:line="360" w:lineRule="auto"/>
        <w:jc w:val="both"/>
        <w:rPr>
          <w:rFonts w:ascii="Book Antiqua" w:hAnsi="Book Antiqua"/>
        </w:rPr>
      </w:pPr>
      <w:r>
        <w:rPr>
          <w:rFonts w:ascii="Book Antiqua" w:hAnsi="Book Antiqua" w:eastAsia="Book Antiqua" w:cs="Book Antiqua"/>
          <w:color w:val="000000"/>
        </w:rPr>
        <w:t xml:space="preserve">Twelve studies compared nephrotoxicity rates in critically ill adult patients with and without polymyxin use. Meta-analysis showed that polymyxin therapy was associated with a higher prevalence of nephrotoxicity than nonpolymyxin therapies (OR = 2.145; 95%CI, 0.997-4.614,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74.8%) (Figure 4), but the difference was not statistically significant. We performed sensitivity analysis and found that the exclusion of Rocco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Gounden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or Garnacho-Montero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changed the magnitude of the summary effect (Supplementary Figure 8). The funnel plots (Supplementary Figure 9) and Egger’s regression asymmetry tests (</w:t>
      </w:r>
      <w:r>
        <w:rPr>
          <w:rFonts w:ascii="Book Antiqua" w:hAnsi="Book Antiqua" w:eastAsia="Book Antiqua" w:cs="Book Antiqua"/>
          <w:i/>
          <w:iCs/>
          <w:color w:val="000000"/>
        </w:rPr>
        <w:t>P</w:t>
      </w:r>
      <w:r>
        <w:rPr>
          <w:rFonts w:ascii="Book Antiqua" w:hAnsi="Book Antiqua" w:eastAsia="Book Antiqua" w:cs="Book Antiqua"/>
          <w:color w:val="000000"/>
        </w:rPr>
        <w:t xml:space="preserve"> = 0.686) suggested that there was no significant publication bias in this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Risk factors for polymyxin-induced nephrotoxicity</w:t>
      </w:r>
    </w:p>
    <w:p>
      <w:pPr>
        <w:spacing w:line="360" w:lineRule="auto"/>
        <w:jc w:val="both"/>
        <w:rPr>
          <w:rFonts w:ascii="Book Antiqua" w:hAnsi="Book Antiqua"/>
        </w:rPr>
      </w:pPr>
      <w:r>
        <w:rPr>
          <w:rFonts w:ascii="Book Antiqua" w:hAnsi="Book Antiqua" w:eastAsia="Book Antiqua" w:cs="Book Antiqua"/>
          <w:color w:val="000000"/>
        </w:rPr>
        <w:t>Given the potential predictors of polymyxin-induced nephrotoxicity (Table 3 and Supplementary Table 4), older age, the presence of sepsis or septic shock, hypoalbuminemia, and concomitant use of vancomycin or vasopressors were independent risk factors for polymyxin-induced nephrotoxicity according to the pooled OR, RR and HR based on the univariate analyse. In contrast, patients with a high baseline glomerular filtration rate were 0.883 times less likely to experience nephrotoxicity associated with polymyxins than those with a low glomerular filtration rate (OR = 0.883; 95%CI, 0.820-0.952). However, sex, the APACHE II score, diabetes mellitus, concomitant diuretics, the daily dose of polymyxins and the duration of polymyxin therapy did not influence the risk of polymyxin-induced nephrotoxicity. Furthermore, older age (OR = 1.035; 95%CI, 1.021-1.050), APACHE II score (OR = 1.031; 95%CI, 1.017-1.045), the use of concomitant vasopressor (OR = 3.099; 95%CI, 1.169-8.219) and the use of concomitant diuretics (OR = 2.979; 95%CI, 1.290-6.882) were independent risk factors for polymyxin-induced nephrotoxicity according to the pooled OR, RR and HR based on the multivariate analysis (Table 3 and Supplementary Table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Nephrotoxicity due to polymyxin use is a major safety concern in clinical practice. In contrast to other meta-analyses</w:t>
      </w:r>
      <w:r>
        <w:rPr>
          <w:rFonts w:ascii="Book Antiqua" w:hAnsi="Book Antiqua" w:eastAsia="Book Antiqua" w:cs="Book Antiqua"/>
          <w:color w:val="000000"/>
          <w:vertAlign w:val="superscript"/>
        </w:rPr>
        <w:t>[10,13]</w:t>
      </w:r>
      <w:r>
        <w:rPr>
          <w:rFonts w:ascii="Book Antiqua" w:hAnsi="Book Antiqua" w:eastAsia="Book Antiqua" w:cs="Book Antiqua"/>
          <w:color w:val="000000"/>
        </w:rPr>
        <w:t>, our study did not find that polymyxin therapy was associated with a higher risk of nephrotoxicity than other therapies (OR = 2.145; 95%CI, 0.997-4.614) in adult critically ill patients (Figure 4). Antimicrobial drugs, which are used in at least 70% of critically ill patients</w:t>
      </w:r>
      <w:r>
        <w:rPr>
          <w:rFonts w:ascii="Book Antiqua" w:hAnsi="Book Antiqua" w:eastAsia="Book Antiqua" w:cs="Book Antiqua"/>
          <w:color w:val="000000"/>
          <w:vertAlign w:val="superscript"/>
        </w:rPr>
        <w:t>[105]</w:t>
      </w:r>
      <w:r>
        <w:rPr>
          <w:rFonts w:ascii="Book Antiqua" w:hAnsi="Book Antiqua" w:eastAsia="Book Antiqua" w:cs="Book Antiqua"/>
          <w:color w:val="000000"/>
        </w:rPr>
        <w:t xml:space="preserve">, include a wide range of medications that can cause nephrotoxicity, </w:t>
      </w:r>
      <w:r>
        <w:rPr>
          <w:rFonts w:ascii="Book Antiqua" w:hAnsi="Book Antiqua" w:eastAsia="Book Antiqua" w:cs="Book Antiqua"/>
          <w:i/>
          <w:iCs/>
          <w:color w:val="000000"/>
        </w:rPr>
        <w:t>e.g.</w:t>
      </w:r>
      <w:r>
        <w:rPr>
          <w:rFonts w:ascii="Book Antiqua" w:hAnsi="Book Antiqua" w:eastAsia="Book Antiqua" w:cs="Book Antiqua"/>
          <w:color w:val="000000"/>
        </w:rPr>
        <w:t xml:space="preserve">, vancomycin, aminoglycosides, polymyxins, </w:t>
      </w:r>
      <w:r>
        <w:rPr>
          <w:rFonts w:ascii="Book Antiqua" w:hAnsi="Book Antiqua" w:eastAsia="Book Antiqua" w:cs="Book Antiqua"/>
          <w:i/>
          <w:color w:val="000000"/>
        </w:rPr>
        <w:t>etc.</w:t>
      </w:r>
      <w:r>
        <w:rPr>
          <w:rFonts w:ascii="Book Antiqua" w:hAnsi="Book Antiqua" w:eastAsia="Book Antiqua" w:cs="Book Antiqua"/>
          <w:color w:val="000000"/>
          <w:vertAlign w:val="superscript"/>
        </w:rPr>
        <w:t>[106]</w:t>
      </w:r>
      <w:r>
        <w:rPr>
          <w:rFonts w:ascii="Book Antiqua" w:hAnsi="Book Antiqua" w:eastAsia="Book Antiqua" w:cs="Book Antiqua"/>
          <w:color w:val="000000"/>
        </w:rPr>
        <w:t>. I has been shown that earlier administration of appropriate antimicrobials for sepsis or septic shock can decrease mortality</w:t>
      </w:r>
      <w:r>
        <w:rPr>
          <w:rFonts w:ascii="Book Antiqua" w:hAnsi="Book Antiqua" w:eastAsia="Book Antiqua" w:cs="Book Antiqua"/>
          <w:color w:val="000000"/>
          <w:vertAlign w:val="superscript"/>
        </w:rPr>
        <w:t>[107]</w:t>
      </w:r>
      <w:r>
        <w:rPr>
          <w:rFonts w:ascii="Book Antiqua" w:hAnsi="Book Antiqua" w:eastAsia="Book Antiqua" w:cs="Book Antiqua"/>
          <w:color w:val="000000"/>
        </w:rPr>
        <w:t>, and early use of PMB-based combination therapy is associated with a significant decrease in mortality compared with delayed administration</w:t>
      </w:r>
      <w:r>
        <w:rPr>
          <w:rFonts w:ascii="Book Antiqua" w:hAnsi="Book Antiqua" w:eastAsia="Book Antiqua" w:cs="Book Antiqua"/>
          <w:color w:val="000000"/>
          <w:vertAlign w:val="superscript"/>
        </w:rPr>
        <w:t>[108]</w:t>
      </w:r>
      <w:r>
        <w:rPr>
          <w:rFonts w:ascii="Book Antiqua" w:hAnsi="Book Antiqua" w:eastAsia="Book Antiqua" w:cs="Book Antiqua"/>
          <w:color w:val="000000"/>
        </w:rPr>
        <w:t>. Therefore, polymyxin-based combination therapy regimens for carbapenem-resistant gram-negative bacterial infections should be administered early despite the concern about nephrotoxicity in adult critically ill patients</w:t>
      </w:r>
      <w:r>
        <w:rPr>
          <w:rFonts w:ascii="Book Antiqua" w:hAnsi="Book Antiqua" w:eastAsia="Book Antiqua" w:cs="Book Antiqua"/>
          <w:color w:val="000000"/>
          <w:vertAlign w:val="superscript"/>
        </w:rPr>
        <w:t>[109-111]</w:t>
      </w:r>
      <w:r>
        <w:rPr>
          <w:rFonts w:ascii="Book Antiqua" w:hAnsi="Book Antiqua" w:eastAsia="Book Antiqua" w:cs="Book Antiqua"/>
          <w:color w:val="000000"/>
        </w:rPr>
        <w:t xml:space="preserve">. </w:t>
      </w:r>
    </w:p>
    <w:p>
      <w:pPr>
        <w:spacing w:line="360" w:lineRule="auto"/>
        <w:ind w:firstLine="425"/>
        <w:jc w:val="both"/>
        <w:rPr>
          <w:rFonts w:ascii="Book Antiqua" w:hAnsi="Book Antiqua"/>
        </w:rPr>
      </w:pPr>
      <w:r>
        <w:rPr>
          <w:rFonts w:ascii="Book Antiqua" w:hAnsi="Book Antiqua" w:eastAsia="Book Antiqua" w:cs="Book Antiqua"/>
          <w:color w:val="000000"/>
        </w:rPr>
        <w:t xml:space="preserve">The overall prevalence of polymyxin-induced nephrotoxicity was 34.8% (95%CI, 30.8%-38.9%,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95.9%) in our study, which was slightly lower than that in other meta-analyses</w:t>
      </w:r>
      <w:r>
        <w:rPr>
          <w:rFonts w:ascii="Book Antiqua" w:hAnsi="Book Antiqua" w:eastAsia="Book Antiqua" w:cs="Book Antiqua"/>
          <w:color w:val="000000"/>
          <w:vertAlign w:val="superscript"/>
        </w:rPr>
        <w:t>[12,13]</w:t>
      </w:r>
      <w:r>
        <w:rPr>
          <w:rFonts w:ascii="Book Antiqua" w:hAnsi="Book Antiqua" w:eastAsia="Book Antiqua" w:cs="Book Antiqua"/>
          <w:color w:val="000000"/>
        </w:rPr>
        <w:t>. This result was consistent with other analyses showing that the nephrotoxicity rate was associated with the definition of nephrotoxicity</w:t>
      </w:r>
      <w:r>
        <w:rPr>
          <w:rFonts w:ascii="Book Antiqua" w:hAnsi="Book Antiqua" w:eastAsia="Book Antiqua" w:cs="Book Antiqua"/>
          <w:color w:val="000000"/>
          <w:vertAlign w:val="superscript"/>
        </w:rPr>
        <w:t>[11,13]</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The pooled prevalence of nephrotoxicity using standardized international criteria, such as the AKIN, KDIGO and RIFLE criteria, was similar, ranging from 37.3% to 46.5% (Table 1), which was similar to that in a previous meta-analysis</w:t>
      </w:r>
      <w:r>
        <w:rPr>
          <w:rFonts w:ascii="Book Antiqua" w:hAnsi="Book Antiqua" w:eastAsia="Book Antiqua" w:cs="Book Antiqua"/>
          <w:color w:val="000000"/>
          <w:vertAlign w:val="superscript"/>
        </w:rPr>
        <w:t>[10,13]</w:t>
      </w:r>
      <w:r>
        <w:rPr>
          <w:rFonts w:ascii="Book Antiqua" w:hAnsi="Book Antiqua" w:eastAsia="Book Antiqua" w:cs="Book Antiqua"/>
          <w:color w:val="000000"/>
        </w:rPr>
        <w:t xml:space="preserve"> and may be the true prevalence of polymyxin-induced nephrotoxicity. Furthermore, we also evaluated the degree of nephrotoxicity using the RIFLE criteria, which were used by most of the studies in this meta-analysis. The prevalence of polymyxin-associated nephrotoxicity classified as failure (F) was 14.9%, higher than the 10% reported in the previous literature</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(Supplementary Table 5).</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This finding indicated that 15 of 100 patients experienced acute renal failure during polymyxin treatment and developed AKI, resulting in 67% mortality and a higher risk of death than that in non-AKI patients</w:t>
      </w:r>
      <w:r>
        <w:rPr>
          <w:rFonts w:ascii="Book Antiqua" w:hAnsi="Book Antiqua" w:eastAsia="Book Antiqua" w:cs="Book Antiqua"/>
          <w:color w:val="000000"/>
          <w:vertAlign w:val="superscript"/>
        </w:rPr>
        <w:t>[112]</w:t>
      </w:r>
      <w:r>
        <w:rPr>
          <w:rFonts w:ascii="Book Antiqua" w:hAnsi="Book Antiqua" w:eastAsia="Book Antiqua" w:cs="Book Antiqua"/>
          <w:color w:val="000000"/>
        </w:rPr>
        <w:t>. Thus, nephrotoxicity caused by polymyxins and early identification of potential risk factors should be of great concern among ICU patients.</w:t>
      </w:r>
    </w:p>
    <w:p>
      <w:pPr>
        <w:spacing w:line="360" w:lineRule="auto"/>
        <w:ind w:firstLine="425"/>
        <w:jc w:val="both"/>
        <w:rPr>
          <w:rFonts w:ascii="Book Antiqua" w:hAnsi="Book Antiqua"/>
        </w:rPr>
      </w:pPr>
      <w:r>
        <w:rPr>
          <w:rFonts w:ascii="Book Antiqua" w:hAnsi="Book Antiqua" w:eastAsia="Book Antiqua" w:cs="Book Antiqua"/>
          <w:color w:val="000000"/>
        </w:rPr>
        <w:t>Among the potential predictors of polymyxin-induced nephrotoxicity, older age, the presence of sepsis or septic shock, hypoalbuminemia and concomitant vancomycin or vasopressor use were independent potential risk factors for polymyxin-associated AKI among ICU patients. Studies in sepsis patients showed a 2-fold higher risk of nephrotoxicity (OR = 2.114; 95%CI, 1.412-3.164), and patients with concomitant vasopressor use showed a 3-fold higher risk of nephrotoxicity than that in patients without sepsis (OR = 3.099; 95%CI, 1.169-8.219), which indicates that prompt treatment of sepsis and timely withdrawal of vasoactive drugs may be potential protective factors against polymyxin-induced nephrotoxicity. Sepsis is the most common aetiology of AKI in critically ill patients</w:t>
      </w:r>
      <w:r>
        <w:rPr>
          <w:rFonts w:ascii="Book Antiqua" w:hAnsi="Book Antiqua" w:eastAsia="Book Antiqua" w:cs="Book Antiqua"/>
          <w:color w:val="000000"/>
          <w:vertAlign w:val="superscript"/>
        </w:rPr>
        <w:t>[113,114]</w:t>
      </w:r>
      <w:r>
        <w:rPr>
          <w:rFonts w:ascii="Book Antiqua" w:hAnsi="Book Antiqua" w:eastAsia="Book Antiqua" w:cs="Book Antiqua"/>
          <w:color w:val="000000"/>
        </w:rPr>
        <w:t>. Multiple pathophysiological pathways of sepsis-associated AKI have been shown to be involved in the complex mechanism of polymyxin-induced damage in renal tubular cells</w:t>
      </w:r>
      <w:r>
        <w:rPr>
          <w:rFonts w:ascii="Book Antiqua" w:hAnsi="Book Antiqua" w:eastAsia="Book Antiqua" w:cs="Book Antiqua"/>
          <w:color w:val="000000"/>
          <w:vertAlign w:val="superscript"/>
        </w:rPr>
        <w:t>[113-115]</w:t>
      </w:r>
      <w:r>
        <w:rPr>
          <w:rFonts w:ascii="Book Antiqua" w:hAnsi="Book Antiqua" w:eastAsia="Book Antiqua" w:cs="Book Antiqua"/>
          <w:color w:val="000000"/>
        </w:rPr>
        <w:t xml:space="preserve">. </w:t>
      </w:r>
    </w:p>
    <w:p>
      <w:pPr>
        <w:spacing w:line="360" w:lineRule="auto"/>
        <w:ind w:firstLine="360"/>
        <w:jc w:val="both"/>
        <w:rPr>
          <w:rFonts w:ascii="Book Antiqua" w:hAnsi="Book Antiqua"/>
        </w:rPr>
      </w:pPr>
      <w:r>
        <w:rPr>
          <w:rFonts w:ascii="Book Antiqua" w:hAnsi="Book Antiqua" w:eastAsia="Book Antiqua" w:cs="Book Antiqua"/>
          <w:color w:val="000000"/>
        </w:rPr>
        <w:t>Moreover, interactions between polymyxins and the cell membrane are also responsible for nephrotoxicity due to the amphipathic nature and accumulation of polymyxins in renal proximal tubular cells</w:t>
      </w:r>
      <w:r>
        <w:rPr>
          <w:rFonts w:ascii="Book Antiqua" w:hAnsi="Book Antiqua" w:eastAsia="Book Antiqua" w:cs="Book Antiqua"/>
          <w:color w:val="000000"/>
          <w:vertAlign w:val="superscript"/>
        </w:rPr>
        <w:t>[116,117]</w:t>
      </w:r>
      <w:r>
        <w:rPr>
          <w:rFonts w:ascii="Book Antiqua" w:hAnsi="Book Antiqua" w:eastAsia="Book Antiqua" w:cs="Book Antiqua"/>
          <w:color w:val="000000"/>
        </w:rPr>
        <w:t>. Therefore, nephrotoxicity caused by polymyxins has been reported to vary with pharmacokinetics and renal disposal mechanisms. Colistin methane sulfonate is a prodrug with approximately 40%-70% of the dose excreted in urine and ongoing conversion to colistin in the kidneys and bladder</w:t>
      </w:r>
      <w:r>
        <w:rPr>
          <w:rFonts w:ascii="Book Antiqua" w:hAnsi="Book Antiqua" w:eastAsia="Book Antiqua" w:cs="Book Antiqua"/>
          <w:color w:val="000000"/>
          <w:vertAlign w:val="superscript"/>
        </w:rPr>
        <w:t>[118]</w:t>
      </w:r>
      <w:r>
        <w:rPr>
          <w:rFonts w:ascii="Book Antiqua" w:hAnsi="Book Antiqua" w:eastAsia="Book Antiqua" w:cs="Book Antiqua"/>
          <w:color w:val="000000"/>
        </w:rPr>
        <w:t>. PMB is eliminated mainly by the nonrenal pathway with very low urinary recovery (approximately 4%)</w:t>
      </w:r>
      <w:r>
        <w:rPr>
          <w:rFonts w:ascii="Book Antiqua" w:hAnsi="Book Antiqua" w:eastAsia="Book Antiqua" w:cs="Book Antiqua"/>
          <w:color w:val="000000"/>
          <w:vertAlign w:val="superscript"/>
        </w:rPr>
        <w:t>[7]</w:t>
      </w:r>
      <w:r>
        <w:rPr>
          <w:rFonts w:ascii="Book Antiqua" w:hAnsi="Book Antiqua" w:eastAsia="Book Antiqua" w:cs="Book Antiqua"/>
          <w:color w:val="000000"/>
        </w:rPr>
        <w:t>. In our study, the prevalence of colistin-induced nephrotoxicity (35.5%; 95%CI, 31.1%-39.8%) was slightly higher than that of PMB-induced nephrotoxicity (26.8%; 95%CI, 17.1%-36.4%) without statistical significance (</w:t>
      </w:r>
      <w:r>
        <w:rPr>
          <w:rFonts w:ascii="Book Antiqua" w:hAnsi="Book Antiqua" w:eastAsia="Book Antiqua" w:cs="Book Antiqua"/>
          <w:i/>
          <w:iCs/>
          <w:color w:val="000000"/>
        </w:rPr>
        <w:t xml:space="preserve">P </w:t>
      </w:r>
      <w:r>
        <w:rPr>
          <w:rFonts w:ascii="Book Antiqua" w:hAnsi="Book Antiqua" w:eastAsia="Book Antiqua" w:cs="Book Antiqua"/>
          <w:color w:val="000000"/>
        </w:rPr>
        <w:t>= 0.151), similar to previous results</w:t>
      </w:r>
      <w:r>
        <w:rPr>
          <w:rFonts w:ascii="Book Antiqua" w:hAnsi="Book Antiqua" w:eastAsia="Book Antiqua" w:cs="Book Antiqua"/>
          <w:color w:val="000000"/>
          <w:vertAlign w:val="superscript"/>
        </w:rPr>
        <w:t>[11-13]</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 xml:space="preserve">Conversely, we found that nephrotoxicity was significantly increased when the total daily dose was divided into 2 doses but not 3 or 4 doses. Manchandani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[119]</w:t>
      </w:r>
      <w:r>
        <w:rPr>
          <w:rFonts w:ascii="Book Antiqua" w:hAnsi="Book Antiqua" w:eastAsia="Book Antiqua" w:cs="Book Antiqua"/>
          <w:color w:val="000000"/>
        </w:rPr>
        <w:t xml:space="preserve"> emphasized that the steady-state trough concentration (C</w:t>
      </w:r>
      <w:r>
        <w:rPr>
          <w:rFonts w:ascii="Book Antiqua" w:hAnsi="Book Antiqua" w:eastAsia="Book Antiqua" w:cs="Book Antiqua"/>
          <w:color w:val="000000"/>
          <w:vertAlign w:val="subscript"/>
        </w:rPr>
        <w:t>ss trough</w:t>
      </w:r>
      <w:r>
        <w:rPr>
          <w:rFonts w:ascii="Book Antiqua" w:hAnsi="Book Antiqua" w:eastAsia="Book Antiqua" w:cs="Book Antiqua"/>
          <w:color w:val="000000"/>
        </w:rPr>
        <w:t>) and average plasma concentration (C</w:t>
      </w:r>
      <w:r>
        <w:rPr>
          <w:rFonts w:ascii="Book Antiqua" w:hAnsi="Book Antiqua" w:eastAsia="Book Antiqua" w:cs="Book Antiqua"/>
          <w:color w:val="000000"/>
          <w:vertAlign w:val="subscript"/>
        </w:rPr>
        <w:t>ss avg</w:t>
      </w:r>
      <w:r>
        <w:rPr>
          <w:rFonts w:ascii="Book Antiqua" w:hAnsi="Book Antiqua" w:eastAsia="Book Antiqua" w:cs="Book Antiqua"/>
          <w:color w:val="000000"/>
        </w:rPr>
        <w:t>) were higher in those receiving a dosing regimen of Q12H than in those receiving a dosing regimen of Q8H, which were confirmed as independent risk factors for nephrotoxicity</w:t>
      </w:r>
      <w:r>
        <w:rPr>
          <w:rFonts w:ascii="Book Antiqua" w:hAnsi="Book Antiqua" w:eastAsia="Book Antiqua" w:cs="Book Antiqua"/>
          <w:color w:val="000000"/>
          <w:vertAlign w:val="superscript"/>
        </w:rPr>
        <w:t>[120]</w:t>
      </w:r>
      <w:r>
        <w:rPr>
          <w:rFonts w:ascii="Book Antiqua" w:hAnsi="Book Antiqua" w:eastAsia="Book Antiqua" w:cs="Book Antiqua"/>
          <w:color w:val="000000"/>
        </w:rPr>
        <w:t>, and it was demonstrated that a higher baseline estimated glomerular filtration rate was associated with a reduced risk of AKI (Table 3). This partly explains why hypoalbuminemia was also a risk factor for polymyxin-induced nephrotoxicity in our and previous meta-analyses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Zavascki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[121]</w:t>
      </w:r>
      <w:r>
        <w:rPr>
          <w:rFonts w:ascii="Book Antiqua" w:hAnsi="Book Antiqua" w:eastAsia="Book Antiqua" w:cs="Book Antiqua"/>
          <w:color w:val="000000"/>
        </w:rPr>
        <w:t xml:space="preserve"> indicated that plasma protein binding of PMB was higher in critically ill patients (ranging from 78.5% to 92.4%) than in healthy participants (approximately 50%). Hence, unbound plasma concentrations of PMB increased, and extensive accumulation of PMB inside tubular epithelial cells may, at least in part, explain the potential nephrotoxicity in critically ill individuals. Accordingly, albumin infusion was described to play a potential nephroprotective role in critically ill patients</w:t>
      </w:r>
      <w:r>
        <w:rPr>
          <w:rFonts w:ascii="Book Antiqua" w:hAnsi="Book Antiqua" w:eastAsia="Book Antiqua" w:cs="Book Antiqua"/>
          <w:color w:val="000000"/>
          <w:vertAlign w:val="superscript"/>
        </w:rPr>
        <w:t>[122]</w:t>
      </w:r>
      <w:r>
        <w:rPr>
          <w:rFonts w:ascii="Book Antiqua" w:hAnsi="Book Antiqua" w:eastAsia="Book Antiqua" w:cs="Book Antiqua"/>
          <w:color w:val="000000"/>
        </w:rPr>
        <w:t>.</w:t>
      </w:r>
    </w:p>
    <w:p>
      <w:pPr>
        <w:spacing w:line="360" w:lineRule="auto"/>
        <w:ind w:firstLine="360"/>
        <w:jc w:val="both"/>
        <w:rPr>
          <w:rFonts w:ascii="Book Antiqua" w:hAnsi="Book Antiqua"/>
        </w:rPr>
      </w:pPr>
      <w:r>
        <w:rPr>
          <w:rFonts w:ascii="Book Antiqua" w:hAnsi="Book Antiqua" w:eastAsia="Book Antiqua" w:cs="Book Antiqua"/>
          <w:color w:val="000000"/>
        </w:rPr>
        <w:t>In addition, megalin, a crucial endocytic receptor highly expressed in the apical membranes of proximal renal epithelial cells, has been implicated in contributing to the nephrotoxicity of polymyxins</w:t>
      </w:r>
      <w:r>
        <w:rPr>
          <w:rFonts w:ascii="Book Antiqua" w:hAnsi="Book Antiqua" w:eastAsia="Book Antiqua" w:cs="Book Antiqua"/>
          <w:color w:val="000000"/>
          <w:vertAlign w:val="superscript"/>
        </w:rPr>
        <w:t>[123]</w:t>
      </w:r>
      <w:r>
        <w:rPr>
          <w:rFonts w:ascii="Book Antiqua" w:hAnsi="Book Antiqua" w:eastAsia="Book Antiqua" w:cs="Book Antiqua"/>
          <w:color w:val="000000"/>
        </w:rPr>
        <w:t>. Megalin plays a dual role in AKI, initially mediating nephrotoxins (</w:t>
      </w:r>
      <w:r>
        <w:rPr>
          <w:rFonts w:ascii="Book Antiqua" w:hAnsi="Book Antiqua" w:eastAsia="Book Antiqua" w:cs="Book Antiqua"/>
          <w:i/>
          <w:color w:val="000000"/>
        </w:rPr>
        <w:t>e.g.</w:t>
      </w:r>
      <w:r>
        <w:rPr>
          <w:rFonts w:ascii="Book Antiqua" w:hAnsi="Book Antiqua" w:eastAsia="Book Antiqua" w:cs="Book Antiqua"/>
          <w:color w:val="000000"/>
        </w:rPr>
        <w:t xml:space="preserve">, polymyxin, vancomycin, aminoglycosides, </w:t>
      </w:r>
      <w:r>
        <w:rPr>
          <w:rFonts w:ascii="Book Antiqua" w:hAnsi="Book Antiqua" w:eastAsia="Book Antiqua" w:cs="Book Antiqua"/>
          <w:i/>
          <w:iCs/>
          <w:color w:val="000000"/>
        </w:rPr>
        <w:t>etc.</w:t>
      </w:r>
      <w:r>
        <w:rPr>
          <w:rFonts w:ascii="Book Antiqua" w:hAnsi="Book Antiqua" w:eastAsia="Book Antiqua" w:cs="Book Antiqua"/>
          <w:color w:val="000000"/>
        </w:rPr>
        <w:t>) in proximal renal epithelial cells, which induce the development or progression of AKI and mediate a variety of endogenous substances (</w:t>
      </w:r>
      <w:r>
        <w:rPr>
          <w:rFonts w:ascii="Book Antiqua" w:hAnsi="Book Antiqua" w:eastAsia="Book Antiqua" w:cs="Book Antiqua"/>
          <w:i/>
          <w:color w:val="000000"/>
        </w:rPr>
        <w:t>e.g.</w:t>
      </w:r>
      <w:r>
        <w:rPr>
          <w:rFonts w:ascii="Book Antiqua" w:hAnsi="Book Antiqua" w:eastAsia="Book Antiqua" w:cs="Book Antiqua"/>
          <w:color w:val="000000"/>
        </w:rPr>
        <w:t xml:space="preserve">, vitamins and proteins, </w:t>
      </w:r>
      <w:r>
        <w:rPr>
          <w:rFonts w:ascii="Book Antiqua" w:hAnsi="Book Antiqua" w:eastAsia="Book Antiqua" w:cs="Book Antiqua"/>
          <w:i/>
          <w:iCs/>
          <w:color w:val="000000"/>
        </w:rPr>
        <w:t>etc.</w:t>
      </w:r>
      <w:r>
        <w:rPr>
          <w:rFonts w:ascii="Book Antiqua" w:hAnsi="Book Antiqua" w:eastAsia="Book Antiqua" w:cs="Book Antiqua"/>
          <w:color w:val="000000"/>
        </w:rPr>
        <w:t>) involved in AKI recovery</w:t>
      </w:r>
      <w:r>
        <w:rPr>
          <w:rFonts w:ascii="Book Antiqua" w:hAnsi="Book Antiqua" w:eastAsia="Book Antiqua" w:cs="Book Antiqua"/>
          <w:color w:val="000000"/>
          <w:vertAlign w:val="superscript"/>
        </w:rPr>
        <w:t>[124]</w:t>
      </w:r>
      <w:r>
        <w:rPr>
          <w:rFonts w:ascii="Book Antiqua" w:hAnsi="Book Antiqua" w:eastAsia="Book Antiqua" w:cs="Book Antiqua"/>
          <w:color w:val="000000"/>
        </w:rPr>
        <w:t>. Therefore, we speculated that megalin would be saturated by a variety of nephrotoxic drugs, such as aminoglycosides, vancomycin, and other nephrotoxins, leading to insufficient uptake of endogenous nephroprotective substances and increased nephrotoxicity. This is supported by a previous study in which polymyxin nephrotoxicity increased with the number of concomitant nephrotoxins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In the present meta-analysis, vancomycin exposure significantly increased the odds of nephrotoxicity (OR = 2.110; 95%CI, 1.190-3.730; </w:t>
      </w:r>
      <w:r>
        <w:rPr>
          <w:rFonts w:ascii="Book Antiqua" w:hAnsi="Book Antiqua" w:eastAsia="Book Antiqua" w:cs="Book Antiqua"/>
          <w:i/>
          <w:iCs/>
          <w:color w:val="000000"/>
        </w:rPr>
        <w:t>P</w:t>
      </w:r>
      <w:r>
        <w:rPr>
          <w:rFonts w:ascii="Book Antiqua" w:hAnsi="Book Antiqua" w:eastAsia="Book Antiqua" w:cs="Book Antiqua"/>
          <w:color w:val="000000"/>
        </w:rPr>
        <w:t xml:space="preserve"> = 0.011).</w:t>
      </w:r>
    </w:p>
    <w:p>
      <w:pPr>
        <w:spacing w:line="360" w:lineRule="auto"/>
        <w:ind w:firstLine="360"/>
        <w:jc w:val="both"/>
        <w:rPr>
          <w:rFonts w:ascii="Book Antiqua" w:hAnsi="Book Antiqua"/>
        </w:rPr>
      </w:pPr>
      <w:r>
        <w:rPr>
          <w:rFonts w:ascii="Book Antiqua" w:hAnsi="Book Antiqua" w:eastAsia="Book Antiqua" w:cs="Book Antiqua"/>
          <w:color w:val="000000"/>
        </w:rPr>
        <w:t>Some limitations should be considered in the interpretation of the findings of the current meta-analysis. First, although we established strict inclusion and exclusion criteria for the literature, our meta-analysis revealed high heterogeneity, which is a common concern in epidemiological meta-analyses</w:t>
      </w:r>
      <w:r>
        <w:rPr>
          <w:rFonts w:ascii="Book Antiqua" w:hAnsi="Book Antiqua" w:eastAsia="Book Antiqua" w:cs="Book Antiqua"/>
          <w:color w:val="000000"/>
          <w:vertAlign w:val="superscript"/>
        </w:rPr>
        <w:t>[125]</w:t>
      </w:r>
      <w:r>
        <w:rPr>
          <w:rFonts w:ascii="Book Antiqua" w:hAnsi="Book Antiqua" w:eastAsia="Book Antiqua" w:cs="Book Antiqua"/>
          <w:color w:val="000000"/>
        </w:rPr>
        <w:t xml:space="preserve"> and is consistent with a previous systematic review that estimated the prevalence of polymyxin-induced nephrotoxicity in the general population</w:t>
      </w:r>
      <w:r>
        <w:rPr>
          <w:rFonts w:ascii="Book Antiqua" w:hAnsi="Book Antiqua" w:eastAsia="Book Antiqua" w:cs="Book Antiqua"/>
          <w:color w:val="000000"/>
          <w:vertAlign w:val="superscript"/>
        </w:rPr>
        <w:t>[10-13]</w:t>
      </w:r>
      <w:r>
        <w:rPr>
          <w:rFonts w:ascii="Book Antiqua" w:hAnsi="Book Antiqua" w:eastAsia="Book Antiqua" w:cs="Book Antiqua"/>
          <w:color w:val="000000"/>
        </w:rPr>
        <w:t>. The high between-study variability was associated with a single cohort in most studies and influenced to a greater extent by other factors, such as the numbers of enrolled patients, study quality and heterogeneous nephrotoxicity criteria. Then, we performed subgroup analyses and a meta-regression analysis to identify potential heterogeneity factors, and the multivariable meta-regression analysis explained almost 40% of the observed heterogeneity (Table 3). Moreover, to weaken the effects of diagnostic criteria on outcomes, we explored the incidence and severity of polymyxin-induced nephrotoxicity using only the RIFLE criteria, but high heterogeneity remained, in accordance with a previous study</w:t>
      </w:r>
      <w:r>
        <w:rPr>
          <w:rFonts w:ascii="Book Antiqua" w:hAnsi="Book Antiqua" w:eastAsia="Book Antiqua" w:cs="Book Antiqua"/>
          <w:color w:val="000000"/>
          <w:vertAlign w:val="superscript"/>
        </w:rPr>
        <w:t>[12]</w:t>
      </w:r>
      <w:r>
        <w:rPr>
          <w:rFonts w:ascii="Book Antiqua" w:hAnsi="Book Antiqua" w:eastAsia="Book Antiqua" w:cs="Book Antiqua"/>
          <w:color w:val="000000"/>
        </w:rPr>
        <w:t>. AKI in critically ill patients is a complicated heterogeneous syndrome</w:t>
      </w:r>
      <w:r>
        <w:rPr>
          <w:rFonts w:ascii="Book Antiqua" w:hAnsi="Book Antiqua" w:eastAsia="Book Antiqua" w:cs="Book Antiqua"/>
          <w:color w:val="000000"/>
          <w:vertAlign w:val="superscript"/>
        </w:rPr>
        <w:t>[113]</w:t>
      </w:r>
      <w:r>
        <w:rPr>
          <w:rFonts w:ascii="Book Antiqua" w:hAnsi="Book Antiqua" w:eastAsia="Book Antiqua" w:cs="Book Antiqua"/>
          <w:color w:val="000000"/>
        </w:rPr>
        <w:t>; hence, inconsistency among patient populations was also a potential source of heterogeneity.</w:t>
      </w:r>
    </w:p>
    <w:p>
      <w:pPr>
        <w:spacing w:line="360" w:lineRule="auto"/>
        <w:ind w:firstLine="360"/>
        <w:jc w:val="both"/>
        <w:rPr>
          <w:rFonts w:ascii="Book Antiqua" w:hAnsi="Book Antiqua"/>
        </w:rPr>
      </w:pPr>
      <w:r>
        <w:rPr>
          <w:rFonts w:ascii="Book Antiqua" w:hAnsi="Book Antiqua" w:eastAsia="Book Antiqua" w:cs="Book Antiqua"/>
          <w:color w:val="000000"/>
        </w:rPr>
        <w:t>Second, to comprehensively evaluate the incidence of polymyxin-associated nephrotoxicity, we made an effort to include all relevant studies, including not only studies in ICU patients but also those including subgroups of ICU patients</w:t>
      </w:r>
      <w:r>
        <w:rPr>
          <w:rFonts w:ascii="Book Antiqua" w:hAnsi="Book Antiqua" w:eastAsia="Book Antiqua" w:cs="Book Antiqua"/>
          <w:color w:val="000000"/>
          <w:vertAlign w:val="superscript"/>
        </w:rPr>
        <w:t>[76,79,80,89,96,103]</w:t>
      </w:r>
      <w:r>
        <w:rPr>
          <w:rFonts w:ascii="Book Antiqua" w:hAnsi="Book Antiqua" w:eastAsia="Book Antiqua" w:cs="Book Antiqua"/>
          <w:color w:val="000000"/>
        </w:rPr>
        <w:t xml:space="preserve"> in this analysis. Nevertheless, it is possible that some potentially eligible studies were not captured by our search strategy. Third, during the pooled prevalence meta-analysis, zero-event studies were automatically excluded. Although this strategy is widely accepted, there is no consensus concerning whether it is the most reliable methodology, and the effect on pooled estimates is unclear. In addition, considering the limited data, other potential risk factors for polymyxin-induced nephrotoxicity that we could not capture may exist. For the above reasons, our findings should be interpreted with caution, and further studies are required to strengthen our results.</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the present meta-analysis showed that the prevalence of nephrotoxicity during polymyxin treatment in the ICU was 34.8%, similar to that in the non-ICU setting, but the incidence of severe renal injury was higher in ICU patients. Older age (particularly &gt; 65 years), the presence of sepsis or septic shock, hypoalbuminemia and concomitant vancomycin or vasopressor use were potential independent predictors of nephrotoxicity. Furthermore, a dosage regimen of 3 or 4 doses per day and dosage adjustment of colistin based on the renal baseline estimated glomerular filtration rate were associated with lower nephrotoxicity rates. Therefore, it is beneficial to adjust colistin doses in critically ill adult patients with renal impairment.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The prevalence of and risk factors for polymyxin-associated nephrotoxicity in intensive care unit (ICU) adult patients remain unclear.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incidence of nephrotoxicity among polymyxin-treated patients is common and is one of the reasons why the use of polymyxins has been restricted.  Nevertheless, the prevalence of and potential risk factors for polymyxin-induced nephrotoxicity in adult ICU patients are controversial. Therefore, a meta-analysis was carried out to assess the prevalence of and potential risk factors for polymyxin-induced nephrotoxicity.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This study aimed to meta-analyse reports evaluating the prevalence and potential predictors of polymyxin-induced nephrotoxicity in adult ICU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We performed a systematic literature search in PubMed, EMBASE, the Cochrane Library and RCA database from inception to May 30, 2022 and included eligible randomized clinical trials and observational studies in a meta-analysis evaluating the prevalence and potential predictors of polymyxin-induced nephrotoxicity in adult ICU patients.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The overall pooled incidence of polymyxin-induced nephrotoxicity was 34.8%. Older age (particularly &gt; 65 years), the presence of sepsis or septic shock, hypoalbuminemia and concomitant vancomycin or vasopressor use were risk factors for polymyxin-induced nephrotoxicity. In addition, our findings showed that a dosage regimen of 3 or 4 doses per day and dosage adjustment of colistin based on the renal baseline estimated glomerular filtration rate were associated with a lower nephrotoxicity rate.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The incidence of polymyxin-induced nephrotoxicity was high in ICU adult patients. Patients with older age, the presence of sepsis or septic shock, and a decreased baseline glomerular filtration rate had a potentially higher risk of polymyxin-induced nephrotoxicity. A polymyxin dosage regimen of 3 or 4 doses per day, dosage adjustment of colistin based on the renal baseline estimated glomerular filtration rate, and avoidance of other nephrotoxic drugs (vancomycin or vasopressors) were helpful in decreasing the risk of polymyxin-induced nephrotoxicity.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Exploring alternative treatments in patients with clinical or microbiologic carbapenem-resistant gram-negative bacterial infection treatment failures is required in the future to increase treatment efficacy and reduce adverse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Hoste EAJ</w:t>
      </w:r>
      <w:r>
        <w:rPr>
          <w:rFonts w:ascii="Book Antiqua" w:hAnsi="Book Antiqua" w:eastAsia="Book Antiqua" w:cs="Book Antiqua"/>
          <w:color w:val="000000"/>
        </w:rPr>
        <w:t xml:space="preserve">, Kellum JA, Selby NM, Zarbock A, Palevsky PM, Bagshaw SM, Goldstein SL, Cerdá J, Chawla LS. Global epidemiology and outcomes of acute kidney injury. </w:t>
      </w:r>
      <w:r>
        <w:rPr>
          <w:rFonts w:ascii="Book Antiqua" w:hAnsi="Book Antiqua" w:eastAsia="Book Antiqua" w:cs="Book Antiqua"/>
          <w:i/>
          <w:iCs/>
          <w:color w:val="000000"/>
        </w:rPr>
        <w:t>Nat Rev Nephrol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14</w:t>
      </w:r>
      <w:r>
        <w:rPr>
          <w:rFonts w:ascii="Book Antiqua" w:hAnsi="Book Antiqua" w:eastAsia="Book Antiqua" w:cs="Book Antiqua"/>
          <w:color w:val="000000"/>
        </w:rPr>
        <w:t>: 607-625 [PMID: 30135570 DOI: 10.1038/s41581-018-0052-0]</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Ortega-Loubon C</w:t>
      </w:r>
      <w:r>
        <w:rPr>
          <w:rFonts w:ascii="Book Antiqua" w:hAnsi="Book Antiqua" w:eastAsia="Book Antiqua" w:cs="Book Antiqua"/>
          <w:color w:val="000000"/>
        </w:rPr>
        <w:t xml:space="preserve">, Martínez-Paz P, García-Morán E, Tamayo-Velasco Á, López-Hernández FJ, Jorge-Monjas P, Tamayo E. Genetic Susceptibility to Acute Kidney Injury.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34300206 DOI: 10.3390/jcm10143039]</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Kane-Gill SL</w:t>
      </w:r>
      <w:r>
        <w:rPr>
          <w:rFonts w:ascii="Book Antiqua" w:hAnsi="Book Antiqua" w:eastAsia="Book Antiqua" w:cs="Book Antiqua"/>
          <w:color w:val="000000"/>
        </w:rPr>
        <w:t xml:space="preserve">. Nephrotoxin Stewardship. </w:t>
      </w:r>
      <w:r>
        <w:rPr>
          <w:rFonts w:ascii="Book Antiqua" w:hAnsi="Book Antiqua" w:eastAsia="Book Antiqua" w:cs="Book Antiqua"/>
          <w:i/>
          <w:iCs/>
          <w:color w:val="000000"/>
        </w:rPr>
        <w:t>Crit Care Clin</w:t>
      </w:r>
      <w:r>
        <w:rPr>
          <w:rFonts w:ascii="Book Antiqua" w:hAnsi="Book Antiqua" w:eastAsia="Book Antiqua" w:cs="Book Antiqua"/>
          <w:color w:val="000000"/>
        </w:rPr>
        <w:t xml:space="preserve"> 2021; </w:t>
      </w:r>
      <w:r>
        <w:rPr>
          <w:rFonts w:ascii="Book Antiqua" w:hAnsi="Book Antiqua" w:eastAsia="Book Antiqua" w:cs="Book Antiqua"/>
          <w:b/>
          <w:bCs/>
          <w:color w:val="000000"/>
        </w:rPr>
        <w:t>37</w:t>
      </w:r>
      <w:r>
        <w:rPr>
          <w:rFonts w:ascii="Book Antiqua" w:hAnsi="Book Antiqua" w:eastAsia="Book Antiqua" w:cs="Book Antiqua"/>
          <w:color w:val="000000"/>
        </w:rPr>
        <w:t>: 303-320 [PMID: 33752857 DOI: 10.1016/j.ccc.2020.11.002]</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Hoste EA</w:t>
      </w:r>
      <w:r>
        <w:rPr>
          <w:rFonts w:ascii="Book Antiqua" w:hAnsi="Book Antiqua" w:eastAsia="Book Antiqua" w:cs="Book Antiqua"/>
          <w:color w:val="000000"/>
        </w:rPr>
        <w:t xml:space="preserve">, Bagshaw SM, Bellomo R, Cely CM, Colman R, Cruz DN, Edipidis K, Forni LG, Gomersall CD, Govil D, Honoré PM, Joannes-Boyau O, Joannidis M, Korhonen AM, Lavrentieva A, Mehta RL, Palevsky P, Roessler E, Ronco C, Uchino S, Vazquez JA, Vidal Andrade E, Webb S, Kellum JA. Epidemiology of acute kidney injury in critically ill patients: the multinational AKI-EPI study.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41</w:t>
      </w:r>
      <w:r>
        <w:rPr>
          <w:rFonts w:ascii="Book Antiqua" w:hAnsi="Book Antiqua" w:eastAsia="Book Antiqua" w:cs="Book Antiqua"/>
          <w:color w:val="000000"/>
        </w:rPr>
        <w:t>: 1411-1423 [PMID: 26162677 DOI: 10.1007/s00134-015-3934-7]</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Kellum JA</w:t>
      </w:r>
      <w:r>
        <w:rPr>
          <w:rFonts w:ascii="Book Antiqua" w:hAnsi="Book Antiqua" w:eastAsia="Book Antiqua" w:cs="Book Antiqua"/>
          <w:color w:val="000000"/>
        </w:rPr>
        <w:t xml:space="preserve">, Romagnani P, Ashuntantang G, Ronco C, Zarbock A, Anders HJ. Acute kidney injury. </w:t>
      </w:r>
      <w:r>
        <w:rPr>
          <w:rFonts w:ascii="Book Antiqua" w:hAnsi="Book Antiqua" w:eastAsia="Book Antiqua" w:cs="Book Antiqua"/>
          <w:i/>
          <w:iCs/>
          <w:color w:val="000000"/>
        </w:rPr>
        <w:t>Nat Rev Dis Primers</w:t>
      </w:r>
      <w:r>
        <w:rPr>
          <w:rFonts w:ascii="Book Antiqua" w:hAnsi="Book Antiqua" w:eastAsia="Book Antiqua" w:cs="Book Antiqua"/>
          <w:color w:val="000000"/>
        </w:rPr>
        <w:t xml:space="preserve"> 2021; </w:t>
      </w:r>
      <w:r>
        <w:rPr>
          <w:rFonts w:ascii="Book Antiqua" w:hAnsi="Book Antiqua" w:eastAsia="Book Antiqua" w:cs="Book Antiqua"/>
          <w:b/>
          <w:bCs/>
          <w:color w:val="000000"/>
        </w:rPr>
        <w:t>7</w:t>
      </w:r>
      <w:r>
        <w:rPr>
          <w:rFonts w:ascii="Book Antiqua" w:hAnsi="Book Antiqua" w:eastAsia="Book Antiqua" w:cs="Book Antiqua"/>
          <w:color w:val="000000"/>
        </w:rPr>
        <w:t>: 52 [PMID: 34267223 DOI: 10.1038/s41572-021-00284-z]</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Tsuji BT</w:t>
      </w:r>
      <w:r>
        <w:rPr>
          <w:rFonts w:ascii="Book Antiqua" w:hAnsi="Book Antiqua" w:eastAsia="Book Antiqua" w:cs="Book Antiqua"/>
          <w:color w:val="000000"/>
        </w:rPr>
        <w:t xml:space="preserve">, Pogue JM, Zavascki AP, Paul M, Daikos GL, Forrest A, Giacobbe DR, Viscoli C, Giamarellou H, Karaiskos I, Kaye D, Mouton JW, Tam VH, Thamlikitkul V, Wunderink RG, Li J, Nation RL, Kaye KS. International Consensus Guidelines for the Optimal Use of the Polymyxins: Endorsed by the American College of Clinical Pharmacy (ACCP), European Society of Clinical Microbiology and Infectious Diseases (ESCMID), Infectious Diseases Society of America (IDSA), International Society for Anti-infective Pharmacology (ISAP), Society of Critical Care Medicine (SCCM), and Society of Infectious Diseases Pharmacists (SIDP). </w:t>
      </w:r>
      <w:r>
        <w:rPr>
          <w:rFonts w:ascii="Book Antiqua" w:hAnsi="Book Antiqua" w:eastAsia="Book Antiqua" w:cs="Book Antiqua"/>
          <w:i/>
          <w:iCs/>
          <w:color w:val="000000"/>
        </w:rPr>
        <w:t>Pharmacotherapy</w:t>
      </w:r>
      <w:r>
        <w:rPr>
          <w:rFonts w:ascii="Book Antiqua" w:hAnsi="Book Antiqua" w:eastAsia="Book Antiqua" w:cs="Book Antiqua"/>
          <w:color w:val="000000"/>
        </w:rPr>
        <w:t xml:space="preserve"> 2019; </w:t>
      </w:r>
      <w:r>
        <w:rPr>
          <w:rFonts w:ascii="Book Antiqua" w:hAnsi="Book Antiqua" w:eastAsia="Book Antiqua" w:cs="Book Antiqua"/>
          <w:b/>
          <w:bCs/>
          <w:color w:val="000000"/>
        </w:rPr>
        <w:t>39</w:t>
      </w:r>
      <w:r>
        <w:rPr>
          <w:rFonts w:ascii="Book Antiqua" w:hAnsi="Book Antiqua" w:eastAsia="Book Antiqua" w:cs="Book Antiqua"/>
          <w:color w:val="000000"/>
        </w:rPr>
        <w:t>: 10-39 [PMID: 30710469 DOI: 10.1002/phar.2209]</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Nang SC</w:t>
      </w:r>
      <w:r>
        <w:rPr>
          <w:rFonts w:ascii="Book Antiqua" w:hAnsi="Book Antiqua" w:eastAsia="Book Antiqua" w:cs="Book Antiqua"/>
          <w:color w:val="000000"/>
        </w:rPr>
        <w:t xml:space="preserve">, Azad MAK, Velkov T, Zhou QT, Li J. Rescuing the Last-Line Polymyxins: Achievements and Challenges. </w:t>
      </w:r>
      <w:r>
        <w:rPr>
          <w:rFonts w:ascii="Book Antiqua" w:hAnsi="Book Antiqua" w:eastAsia="Book Antiqua" w:cs="Book Antiqua"/>
          <w:i/>
          <w:iCs/>
          <w:color w:val="000000"/>
        </w:rPr>
        <w:t>Pharmacol Rev</w:t>
      </w:r>
      <w:r>
        <w:rPr>
          <w:rFonts w:ascii="Book Antiqua" w:hAnsi="Book Antiqua" w:eastAsia="Book Antiqua" w:cs="Book Antiqua"/>
          <w:color w:val="000000"/>
        </w:rPr>
        <w:t xml:space="preserve"> 2021; </w:t>
      </w:r>
      <w:r>
        <w:rPr>
          <w:rFonts w:ascii="Book Antiqua" w:hAnsi="Book Antiqua" w:eastAsia="Book Antiqua" w:cs="Book Antiqua"/>
          <w:b/>
          <w:bCs/>
          <w:color w:val="000000"/>
        </w:rPr>
        <w:t>73</w:t>
      </w:r>
      <w:r>
        <w:rPr>
          <w:rFonts w:ascii="Book Antiqua" w:hAnsi="Book Antiqua" w:eastAsia="Book Antiqua" w:cs="Book Antiqua"/>
          <w:color w:val="000000"/>
        </w:rPr>
        <w:t>: 679-728 [PMID: 33627412 DOI: 10.1124/pharmrev.120.000020]</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Wang J</w:t>
      </w:r>
      <w:r>
        <w:rPr>
          <w:rFonts w:ascii="Book Antiqua" w:hAnsi="Book Antiqua" w:eastAsia="Book Antiqua" w:cs="Book Antiqua"/>
          <w:color w:val="000000"/>
        </w:rPr>
        <w:t xml:space="preserve">, Niu H, Wang R, Cai Y. Safety and efficacy of colistin alone or in combination in adults with Acinetobacter baumannii infection: A systematic review and meta-analysis. </w:t>
      </w:r>
      <w:r>
        <w:rPr>
          <w:rFonts w:ascii="Book Antiqua" w:hAnsi="Book Antiqua" w:eastAsia="Book Antiqua" w:cs="Book Antiqua"/>
          <w:i/>
          <w:iCs/>
          <w:color w:val="000000"/>
        </w:rPr>
        <w:t>Int J Antimicrob Agents</w:t>
      </w:r>
      <w:r>
        <w:rPr>
          <w:rFonts w:ascii="Book Antiqua" w:hAnsi="Book Antiqua" w:eastAsia="Book Antiqua" w:cs="Book Antiqua"/>
          <w:color w:val="000000"/>
        </w:rPr>
        <w:t xml:space="preserve"> 2019; </w:t>
      </w:r>
      <w:r>
        <w:rPr>
          <w:rFonts w:ascii="Book Antiqua" w:hAnsi="Book Antiqua" w:eastAsia="Book Antiqua" w:cs="Book Antiqua"/>
          <w:b/>
          <w:bCs/>
          <w:color w:val="000000"/>
        </w:rPr>
        <w:t>53</w:t>
      </w:r>
      <w:r>
        <w:rPr>
          <w:rFonts w:ascii="Book Antiqua" w:hAnsi="Book Antiqua" w:eastAsia="Book Antiqua" w:cs="Book Antiqua"/>
          <w:color w:val="000000"/>
        </w:rPr>
        <w:t>: 383-400 [PMID: 30447379 DOI: 10.1016/j.ijantimicag.2018.10.020]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Patek TM</w:t>
      </w:r>
      <w:r>
        <w:rPr>
          <w:rFonts w:ascii="Book Antiqua" w:hAnsi="Book Antiqua" w:eastAsia="Book Antiqua" w:cs="Book Antiqua"/>
          <w:color w:val="000000"/>
        </w:rPr>
        <w:t xml:space="preserve">, Teng C, Kennedy KE, Alvarez CA, Frei CR. Comparing Acute Kidney Injury Reports Among Antibiotics: A Pharmacovigilance Study of the FDA Adverse Event Reporting System (FAERS). </w:t>
      </w:r>
      <w:r>
        <w:rPr>
          <w:rFonts w:ascii="Book Antiqua" w:hAnsi="Book Antiqua" w:eastAsia="Book Antiqua" w:cs="Book Antiqua"/>
          <w:i/>
          <w:iCs/>
          <w:color w:val="000000"/>
        </w:rPr>
        <w:t>Drug Saf</w:t>
      </w:r>
      <w:r>
        <w:rPr>
          <w:rFonts w:ascii="Book Antiqua" w:hAnsi="Book Antiqua" w:eastAsia="Book Antiqua" w:cs="Book Antiqua"/>
          <w:color w:val="000000"/>
        </w:rPr>
        <w:t xml:space="preserve"> 2020; </w:t>
      </w:r>
      <w:r>
        <w:rPr>
          <w:rFonts w:ascii="Book Antiqua" w:hAnsi="Book Antiqua" w:eastAsia="Book Antiqua" w:cs="Book Antiqua"/>
          <w:b/>
          <w:bCs/>
          <w:color w:val="000000"/>
        </w:rPr>
        <w:t>43</w:t>
      </w:r>
      <w:r>
        <w:rPr>
          <w:rFonts w:ascii="Book Antiqua" w:hAnsi="Book Antiqua" w:eastAsia="Book Antiqua" w:cs="Book Antiqua"/>
          <w:color w:val="000000"/>
        </w:rPr>
        <w:t>: 17-22 [PMID: 31691256 DOI: 10.1007/s40264-019-00873-8]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Chien HT</w:t>
      </w:r>
      <w:r>
        <w:rPr>
          <w:rFonts w:ascii="Book Antiqua" w:hAnsi="Book Antiqua" w:eastAsia="Book Antiqua" w:cs="Book Antiqua"/>
          <w:color w:val="000000"/>
        </w:rPr>
        <w:t xml:space="preserve">, Lin YC, Sheu CC, Hsieh KP, Chang JS. Is colistin-associated acute kidney injury clinically important in adults? A systematic review and meta-analysis. </w:t>
      </w:r>
      <w:r>
        <w:rPr>
          <w:rFonts w:ascii="Book Antiqua" w:hAnsi="Book Antiqua" w:eastAsia="Book Antiqua" w:cs="Book Antiqua"/>
          <w:i/>
          <w:iCs/>
          <w:color w:val="000000"/>
        </w:rPr>
        <w:t>Int J Antimicrob Agents</w:t>
      </w:r>
      <w:r>
        <w:rPr>
          <w:rFonts w:ascii="Book Antiqua" w:hAnsi="Book Antiqua" w:eastAsia="Book Antiqua" w:cs="Book Antiqua"/>
          <w:color w:val="000000"/>
        </w:rPr>
        <w:t xml:space="preserve"> 2020; </w:t>
      </w:r>
      <w:r>
        <w:rPr>
          <w:rFonts w:ascii="Book Antiqua" w:hAnsi="Book Antiqua" w:eastAsia="Book Antiqua" w:cs="Book Antiqua"/>
          <w:b/>
          <w:bCs/>
          <w:color w:val="000000"/>
        </w:rPr>
        <w:t>55</w:t>
      </w:r>
      <w:r>
        <w:rPr>
          <w:rFonts w:ascii="Book Antiqua" w:hAnsi="Book Antiqua" w:eastAsia="Book Antiqua" w:cs="Book Antiqua"/>
          <w:color w:val="000000"/>
        </w:rPr>
        <w:t>: 105889 [PMID: 31923573 DOI: 10.1016/j.ijantimicag.2020.105889]</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Oliota AF</w:t>
      </w:r>
      <w:r>
        <w:rPr>
          <w:rFonts w:ascii="Book Antiqua" w:hAnsi="Book Antiqua" w:eastAsia="Book Antiqua" w:cs="Book Antiqua"/>
          <w:color w:val="000000"/>
        </w:rPr>
        <w:t xml:space="preserve">, Penteado ST, Tonin FS, Fernandez-Llimos F, Sanches AC. Nephrotoxicity prevalence in patients treated with polymyxins: a systematic review with meta-analysis of observational studies. </w:t>
      </w:r>
      <w:r>
        <w:rPr>
          <w:rFonts w:ascii="Book Antiqua" w:hAnsi="Book Antiqua" w:eastAsia="Book Antiqua" w:cs="Book Antiqua"/>
          <w:i/>
          <w:iCs/>
          <w:color w:val="000000"/>
        </w:rPr>
        <w:t>Diagn Microbiol Infect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94</w:t>
      </w:r>
      <w:r>
        <w:rPr>
          <w:rFonts w:ascii="Book Antiqua" w:hAnsi="Book Antiqua" w:eastAsia="Book Antiqua" w:cs="Book Antiqua"/>
          <w:color w:val="000000"/>
        </w:rPr>
        <w:t>: 41-49 [PMID: 30635223 DOI: 10.1016/j.diagmicrobio.2018.11.008]</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Sisay M</w:t>
      </w:r>
      <w:r>
        <w:rPr>
          <w:rFonts w:ascii="Book Antiqua" w:hAnsi="Book Antiqua" w:eastAsia="Book Antiqua" w:cs="Book Antiqua"/>
          <w:color w:val="000000"/>
        </w:rPr>
        <w:t xml:space="preserve">, Hagos B, Edessa D, Tadiwos Y, Mekuria AN. Polymyxin-induced nephrotoxicity and its predictors: a systematic review and meta-analysis of studies conducted using RIFLE criteria of acute kidney injury. </w:t>
      </w:r>
      <w:r>
        <w:rPr>
          <w:rFonts w:ascii="Book Antiqua" w:hAnsi="Book Antiqua" w:eastAsia="Book Antiqua" w:cs="Book Antiqua"/>
          <w:i/>
          <w:iCs/>
          <w:color w:val="000000"/>
        </w:rPr>
        <w:t>Pharmacol Res</w:t>
      </w:r>
      <w:r>
        <w:rPr>
          <w:rFonts w:ascii="Book Antiqua" w:hAnsi="Book Antiqua" w:eastAsia="Book Antiqua" w:cs="Book Antiqua"/>
          <w:color w:val="000000"/>
        </w:rPr>
        <w:t xml:space="preserve"> 2021; </w:t>
      </w:r>
      <w:r>
        <w:rPr>
          <w:rFonts w:ascii="Book Antiqua" w:hAnsi="Book Antiqua" w:eastAsia="Book Antiqua" w:cs="Book Antiqua"/>
          <w:b/>
          <w:bCs/>
          <w:color w:val="000000"/>
        </w:rPr>
        <w:t>163</w:t>
      </w:r>
      <w:r>
        <w:rPr>
          <w:rFonts w:ascii="Book Antiqua" w:hAnsi="Book Antiqua" w:eastAsia="Book Antiqua" w:cs="Book Antiqua"/>
          <w:color w:val="000000"/>
        </w:rPr>
        <w:t>: 105328 [PMID: 33276108 DOI: 10.1016/j.phrs.2020.105328]</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Wagenlehner F</w:t>
      </w:r>
      <w:r>
        <w:rPr>
          <w:rFonts w:ascii="Book Antiqua" w:hAnsi="Book Antiqua" w:eastAsia="Book Antiqua" w:cs="Book Antiqua"/>
          <w:color w:val="000000"/>
        </w:rPr>
        <w:t xml:space="preserve">, Lucenteforte E, Pea F, Soriano A, Tavoschi L, Steele VR, Henriksen AS, Longshaw C, Manissero D, Pecini R, Pogue JM. Systematic review on estimated rates of nephrotoxicity and neurotoxicity in patients treated with polymyxins. </w:t>
      </w:r>
      <w:r>
        <w:rPr>
          <w:rFonts w:ascii="Book Antiqua" w:hAnsi="Book Antiqua" w:eastAsia="Book Antiqua" w:cs="Book Antiqua"/>
          <w:i/>
          <w:iCs/>
          <w:color w:val="000000"/>
        </w:rPr>
        <w:t>Clin Microbiol Infect</w:t>
      </w:r>
      <w:r>
        <w:rPr>
          <w:rFonts w:ascii="Book Antiqua" w:hAnsi="Book Antiqua" w:eastAsia="Book Antiqua" w:cs="Book Antiqua"/>
          <w:color w:val="000000"/>
        </w:rPr>
        <w:t xml:space="preserve"> 2021 [PMID: 33359542 DOI: 10.1016/j.cmi.2020.12.009]</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Ordooei Javan A</w:t>
      </w:r>
      <w:r>
        <w:rPr>
          <w:rFonts w:ascii="Book Antiqua" w:hAnsi="Book Antiqua" w:eastAsia="Book Antiqua" w:cs="Book Antiqua"/>
          <w:color w:val="000000"/>
        </w:rPr>
        <w:t xml:space="preserve">, Shokouhi S, Sahraei Z. A review on colistin nephrotoxicity. </w:t>
      </w:r>
      <w:r>
        <w:rPr>
          <w:rFonts w:ascii="Book Antiqua" w:hAnsi="Book Antiqua" w:eastAsia="Book Antiqua" w:cs="Book Antiqua"/>
          <w:i/>
          <w:iCs/>
          <w:color w:val="000000"/>
        </w:rPr>
        <w:t>Eur J Clin Pharmacol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71</w:t>
      </w:r>
      <w:r>
        <w:rPr>
          <w:rFonts w:ascii="Book Antiqua" w:hAnsi="Book Antiqua" w:eastAsia="Book Antiqua" w:cs="Book Antiqua"/>
          <w:color w:val="000000"/>
        </w:rPr>
        <w:t>: 801-810 [PMID: 26008213 DOI: 10.1007/s00228-015-1865-4]</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Alhazzani W</w:t>
      </w:r>
      <w:r>
        <w:rPr>
          <w:rFonts w:ascii="Book Antiqua" w:hAnsi="Book Antiqua" w:eastAsia="Book Antiqua" w:cs="Book Antiqua"/>
          <w:color w:val="000000"/>
        </w:rPr>
        <w:t xml:space="preserve">, Alshamsi F, Belley-Cote E, Heels-Ansdell D, Brignardello-Petersen R, Alquraini M, Perner A, Møller MH, Krag M, Almenawer S, Rochwerg B, Dionne J, Jaeschke R, Alshahrani M, Deane A, Perri D, Thebane L, Al-Omari A, Finfer S, Cook D, Guyatt G. Efficacy and safety of stress ulcer prophylaxis in critically ill patients: a network meta-analysis of randomized trials.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44</w:t>
      </w:r>
      <w:r>
        <w:rPr>
          <w:rFonts w:ascii="Book Antiqua" w:hAnsi="Book Antiqua" w:eastAsia="Book Antiqua" w:cs="Book Antiqua"/>
          <w:color w:val="000000"/>
        </w:rPr>
        <w:t>: 1-11 [PMID: 29199388 DOI: 10.1007/s00134-017-5005-8]</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Abdellatif S</w:t>
      </w:r>
      <w:r>
        <w:rPr>
          <w:rFonts w:ascii="Book Antiqua" w:hAnsi="Book Antiqua" w:eastAsia="Book Antiqua" w:cs="Book Antiqua"/>
          <w:color w:val="000000"/>
        </w:rPr>
        <w:t xml:space="preserve">, Trifi A, Daly F, Mahjoub K, Nasri R, Ben Lakhal S. Efficacy and toxicity of aerosolised colistin in ventilator-associated pneumonia: a prospective, randomised trial. </w:t>
      </w:r>
      <w:r>
        <w:rPr>
          <w:rFonts w:ascii="Book Antiqua" w:hAnsi="Book Antiqua" w:eastAsia="Book Antiqua" w:cs="Book Antiqua"/>
          <w:i/>
          <w:iCs/>
          <w:color w:val="000000"/>
        </w:rPr>
        <w:t>Ann Intensive Care</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26 [PMID: 27033711 DOI: 10.1186/s13613-016-0127-7]</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Aggarwal R</w:t>
      </w:r>
      <w:r>
        <w:rPr>
          <w:rFonts w:ascii="Book Antiqua" w:hAnsi="Book Antiqua" w:eastAsia="Book Antiqua" w:cs="Book Antiqua"/>
          <w:color w:val="000000"/>
        </w:rPr>
        <w:t xml:space="preserve">, Dewan A. Comparison of nephrotoxicity of Colistin with Polymyxin B administered in currently recommended doses: a prospective study. </w:t>
      </w:r>
      <w:r>
        <w:rPr>
          <w:rFonts w:ascii="Book Antiqua" w:hAnsi="Book Antiqua" w:eastAsia="Book Antiqua" w:cs="Book Antiqua"/>
          <w:i/>
          <w:iCs/>
          <w:color w:val="000000"/>
        </w:rPr>
        <w:t>Ann Clin Microbiol Antimicrob</w:t>
      </w:r>
      <w:r>
        <w:rPr>
          <w:rFonts w:ascii="Book Antiqua" w:hAnsi="Book Antiqua" w:eastAsia="Book Antiqua" w:cs="Book Antiqua"/>
          <w:color w:val="000000"/>
        </w:rPr>
        <w:t xml:space="preserve"> 2018; </w:t>
      </w:r>
      <w:r>
        <w:rPr>
          <w:rFonts w:ascii="Book Antiqua" w:hAnsi="Book Antiqua" w:eastAsia="Book Antiqua" w:cs="Book Antiqua"/>
          <w:b/>
          <w:bCs/>
          <w:color w:val="000000"/>
        </w:rPr>
        <w:t>17</w:t>
      </w:r>
      <w:r>
        <w:rPr>
          <w:rFonts w:ascii="Book Antiqua" w:hAnsi="Book Antiqua" w:eastAsia="Book Antiqua" w:cs="Book Antiqua"/>
          <w:color w:val="000000"/>
        </w:rPr>
        <w:t>: 15 [PMID: 29571295 DOI: 10.1186/s12941-018-0262-0]</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Abdelsalam MFA</w:t>
      </w:r>
      <w:r>
        <w:rPr>
          <w:rFonts w:ascii="Book Antiqua" w:hAnsi="Book Antiqua" w:eastAsia="Book Antiqua" w:cs="Book Antiqua"/>
          <w:color w:val="000000"/>
        </w:rPr>
        <w:t xml:space="preserve">, Abdalla MS, El-Abhar HSE. Prospective, comparative clinical study between high-dose colistin monotherapy and colistin-meropenem combination therapy for treatment of hospital-acquired pneumonia and ventilator-associated pneumonia caused by multidrug-resistant Klebsiella pneumoniae. </w:t>
      </w:r>
      <w:r>
        <w:rPr>
          <w:rFonts w:ascii="Book Antiqua" w:hAnsi="Book Antiqua" w:eastAsia="Book Antiqua" w:cs="Book Antiqua"/>
          <w:i/>
          <w:iCs/>
          <w:color w:val="000000"/>
        </w:rPr>
        <w:t>J Glob Antimicrob Resist</w:t>
      </w:r>
      <w:r>
        <w:rPr>
          <w:rFonts w:ascii="Book Antiqua" w:hAnsi="Book Antiqua" w:eastAsia="Book Antiqua" w:cs="Book Antiqua"/>
          <w:color w:val="000000"/>
        </w:rPr>
        <w:t xml:space="preserve"> 2018; </w:t>
      </w:r>
      <w:r>
        <w:rPr>
          <w:rFonts w:ascii="Book Antiqua" w:hAnsi="Book Antiqua" w:eastAsia="Book Antiqua" w:cs="Book Antiqua"/>
          <w:b/>
          <w:bCs/>
          <w:color w:val="000000"/>
        </w:rPr>
        <w:t>15</w:t>
      </w:r>
      <w:r>
        <w:rPr>
          <w:rFonts w:ascii="Book Antiqua" w:hAnsi="Book Antiqua" w:eastAsia="Book Antiqua" w:cs="Book Antiqua"/>
          <w:color w:val="000000"/>
        </w:rPr>
        <w:t>: 127-135 [PMID: 30010061 DOI: 10.1016/j.jgar.2018.07.003]</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Aitullina A</w:t>
      </w:r>
      <w:r>
        <w:rPr>
          <w:rFonts w:ascii="Book Antiqua" w:hAnsi="Book Antiqua" w:eastAsia="Book Antiqua" w:cs="Book Antiqua"/>
          <w:color w:val="000000"/>
        </w:rPr>
        <w:t xml:space="preserve">, Krūmiņa A, Svirskis Š, Purviņa S. Colistin Use in Patients with Extreme Renal Function: From Dialysis to Augmented Clearance. </w:t>
      </w:r>
      <w:r>
        <w:rPr>
          <w:rFonts w:ascii="Book Antiqua" w:hAnsi="Book Antiqua" w:eastAsia="Book Antiqua" w:cs="Book Antiqua"/>
          <w:i/>
          <w:iCs/>
          <w:color w:val="000000"/>
        </w:rPr>
        <w:t>Medicina (Kaunas)</w:t>
      </w:r>
      <w:r>
        <w:rPr>
          <w:rFonts w:ascii="Book Antiqua" w:hAnsi="Book Antiqua" w:eastAsia="Book Antiqua" w:cs="Book Antiqua"/>
          <w:color w:val="000000"/>
        </w:rPr>
        <w:t xml:space="preserve"> 2019; </w:t>
      </w:r>
      <w:r>
        <w:rPr>
          <w:rFonts w:ascii="Book Antiqua" w:hAnsi="Book Antiqua" w:eastAsia="Book Antiqua" w:cs="Book Antiqua"/>
          <w:b/>
          <w:bCs/>
          <w:color w:val="000000"/>
        </w:rPr>
        <w:t>55</w:t>
      </w:r>
      <w:r>
        <w:rPr>
          <w:rFonts w:ascii="Book Antiqua" w:hAnsi="Book Antiqua" w:eastAsia="Book Antiqua" w:cs="Book Antiqua"/>
          <w:color w:val="000000"/>
        </w:rPr>
        <w:t xml:space="preserve"> [PMID: 30709064 DOI: 10.3390/medicina55020033]</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Alp E</w:t>
      </w:r>
      <w:r>
        <w:rPr>
          <w:rFonts w:ascii="Book Antiqua" w:hAnsi="Book Antiqua" w:eastAsia="Book Antiqua" w:cs="Book Antiqua"/>
          <w:color w:val="000000"/>
        </w:rPr>
        <w:t xml:space="preserve">, Eren E, Elay G, Cevahir F, Esmaoğlu A, Rello J. Efficacy of loading dose of colistin in Acinetobacter baumannii ventilator-associated pneumonia. </w:t>
      </w:r>
      <w:r>
        <w:rPr>
          <w:rFonts w:ascii="Book Antiqua" w:hAnsi="Book Antiqua" w:eastAsia="Book Antiqua" w:cs="Book Antiqua"/>
          <w:i/>
          <w:iCs/>
          <w:color w:val="000000"/>
        </w:rPr>
        <w:t>Infez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25</w:t>
      </w:r>
      <w:r>
        <w:rPr>
          <w:rFonts w:ascii="Book Antiqua" w:hAnsi="Book Antiqua" w:eastAsia="Book Antiqua" w:cs="Book Antiqua"/>
          <w:color w:val="000000"/>
        </w:rPr>
        <w:t>: 311-319 [PMID: 29286009]</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Aydoğan BB</w:t>
      </w:r>
      <w:r>
        <w:rPr>
          <w:rFonts w:ascii="Book Antiqua" w:hAnsi="Book Antiqua" w:eastAsia="Book Antiqua" w:cs="Book Antiqua"/>
          <w:color w:val="000000"/>
        </w:rPr>
        <w:t xml:space="preserve">, Yıldırım F, Zerman A, Gönderen K, Türkoğlu M, Aygencel G. Colistin nephrotoxicity in the ICU: Is it different in the geriatric patients? </w:t>
      </w:r>
      <w:r>
        <w:rPr>
          <w:rFonts w:ascii="Book Antiqua" w:hAnsi="Book Antiqua" w:eastAsia="Book Antiqua" w:cs="Book Antiqua"/>
          <w:i/>
          <w:iCs/>
          <w:color w:val="000000"/>
        </w:rPr>
        <w:t>Aging Clin Exp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30</w:t>
      </w:r>
      <w:r>
        <w:rPr>
          <w:rFonts w:ascii="Book Antiqua" w:hAnsi="Book Antiqua" w:eastAsia="Book Antiqua" w:cs="Book Antiqua"/>
          <w:color w:val="000000"/>
        </w:rPr>
        <w:t>: 573-580 [PMID: 28866836 DOI: 10.1007/s40520-017-0827-3]</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Bassetti M</w:t>
      </w:r>
      <w:r>
        <w:rPr>
          <w:rFonts w:ascii="Book Antiqua" w:hAnsi="Book Antiqua" w:eastAsia="Book Antiqua" w:cs="Book Antiqua"/>
          <w:color w:val="000000"/>
        </w:rPr>
        <w:t xml:space="preserve">, Repetto E, Righi E, Boni S, Diverio M, Molinari MP, Mussap M, Artioli S, Ansaldi F, Durando P, Orengo G, Bobbio Pallavicini F, Viscoli C. Colistin and rifampicin in the treatment of multidrug-resistant Acinetobacter baumannii infections. </w:t>
      </w:r>
      <w:r>
        <w:rPr>
          <w:rFonts w:ascii="Book Antiqua" w:hAnsi="Book Antiqua" w:eastAsia="Book Antiqua" w:cs="Book Antiqua"/>
          <w:i/>
          <w:iCs/>
          <w:color w:val="000000"/>
        </w:rPr>
        <w:t>J Antimicrob Chemother</w:t>
      </w:r>
      <w:r>
        <w:rPr>
          <w:rFonts w:ascii="Book Antiqua" w:hAnsi="Book Antiqua" w:eastAsia="Book Antiqua" w:cs="Book Antiqua"/>
          <w:color w:val="000000"/>
        </w:rPr>
        <w:t xml:space="preserve"> 2008; </w:t>
      </w:r>
      <w:r>
        <w:rPr>
          <w:rFonts w:ascii="Book Antiqua" w:hAnsi="Book Antiqua" w:eastAsia="Book Antiqua" w:cs="Book Antiqua"/>
          <w:b/>
          <w:bCs/>
          <w:color w:val="000000"/>
        </w:rPr>
        <w:t>61</w:t>
      </w:r>
      <w:r>
        <w:rPr>
          <w:rFonts w:ascii="Book Antiqua" w:hAnsi="Book Antiqua" w:eastAsia="Book Antiqua" w:cs="Book Antiqua"/>
          <w:color w:val="000000"/>
        </w:rPr>
        <w:t>: 417-420 [PMID: 18174197 DOI: 10.1093/jac/dkm509]</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Betrosian AP</w:t>
      </w:r>
      <w:r>
        <w:rPr>
          <w:rFonts w:ascii="Book Antiqua" w:hAnsi="Book Antiqua" w:eastAsia="Book Antiqua" w:cs="Book Antiqua"/>
          <w:color w:val="000000"/>
        </w:rPr>
        <w:t xml:space="preserve">, Frantzeskaki F, Xanthaki A, Douzinas EE. Efficacy and safety of high-dose ampicillin/sulbactam vs. colistin as monotherapy for the treatment of multidrug resistant Acinetobacter baumannii ventilator-associated pneumonia. </w:t>
      </w:r>
      <w:r>
        <w:rPr>
          <w:rFonts w:ascii="Book Antiqua" w:hAnsi="Book Antiqua" w:eastAsia="Book Antiqua" w:cs="Book Antiqua"/>
          <w:i/>
          <w:iCs/>
          <w:color w:val="000000"/>
        </w:rPr>
        <w:t>J Infect</w:t>
      </w:r>
      <w:r>
        <w:rPr>
          <w:rFonts w:ascii="Book Antiqua" w:hAnsi="Book Antiqua" w:eastAsia="Book Antiqua" w:cs="Book Antiqua"/>
          <w:color w:val="000000"/>
        </w:rPr>
        <w:t xml:space="preserve"> 2008; </w:t>
      </w:r>
      <w:r>
        <w:rPr>
          <w:rFonts w:ascii="Book Antiqua" w:hAnsi="Book Antiqua" w:eastAsia="Book Antiqua" w:cs="Book Antiqua"/>
          <w:b/>
          <w:bCs/>
          <w:color w:val="000000"/>
        </w:rPr>
        <w:t>56</w:t>
      </w:r>
      <w:r>
        <w:rPr>
          <w:rFonts w:ascii="Book Antiqua" w:hAnsi="Book Antiqua" w:eastAsia="Book Antiqua" w:cs="Book Antiqua"/>
          <w:color w:val="000000"/>
        </w:rPr>
        <w:t>: 432-436 [PMID: 18501431 DOI: 10.1016/j.jinf.2008.04.002]</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Bilgili B,</w:t>
      </w:r>
      <w:r>
        <w:rPr>
          <w:rFonts w:ascii="Book Antiqua" w:hAnsi="Book Antiqua" w:eastAsia="Book Antiqua" w:cs="Book Antiqua"/>
          <w:color w:val="000000"/>
        </w:rPr>
        <w:t xml:space="preserve"> Halilolu M, Gül F, Cinel I. Septic shock is an independent risk factor for colistin-induced severe acute kidney injury: a retrospective cohort study. </w:t>
      </w:r>
      <w:r>
        <w:rPr>
          <w:rFonts w:ascii="Book Antiqua" w:hAnsi="Book Antiqua" w:eastAsia="Book Antiqua" w:cs="Book Antiqua"/>
          <w:i/>
          <w:color w:val="000000"/>
        </w:rPr>
        <w:t>Int J Clin Exp Med</w:t>
      </w:r>
      <w:r>
        <w:rPr>
          <w:rFonts w:ascii="Book Antiqua" w:hAnsi="Book Antiqua" w:eastAsia="Book Antiqua" w:cs="Book Antiqua"/>
          <w:color w:val="000000"/>
        </w:rPr>
        <w:t xml:space="preserve"> 2016; </w:t>
      </w:r>
      <w:r>
        <w:rPr>
          <w:rFonts w:ascii="Book Antiqua" w:hAnsi="Book Antiqua" w:eastAsia="Book Antiqua" w:cs="Book Antiqua"/>
          <w:b/>
          <w:color w:val="000000"/>
        </w:rPr>
        <w:t>9:</w:t>
      </w:r>
      <w:r>
        <w:rPr>
          <w:rFonts w:ascii="Book Antiqua" w:hAnsi="Book Antiqua" w:eastAsia="Book Antiqua" w:cs="Book Antiqua"/>
          <w:color w:val="000000"/>
        </w:rPr>
        <w:t xml:space="preserve"> 14649-14655 [DOI: 10.1097/01.ccm.0000509160.25633.d5]</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Binh NG</w:t>
      </w:r>
      <w:r>
        <w:rPr>
          <w:rFonts w:ascii="Book Antiqua" w:hAnsi="Book Antiqua" w:eastAsia="Book Antiqua" w:cs="Book Antiqua"/>
          <w:color w:val="000000"/>
        </w:rPr>
        <w:t xml:space="preserve">, Hayakawa K, Co DX, Tuan ND, Anh NH, Thuy NT, Phuong DM, Huong NT, Thuy PT, Chau NQ, Nhung PH, Gam do TH, Hai DT, Huong TT, Van Anh L, Takeshita N, Ohmagari N. The efficacy and nephrotoxicity associated with colistin use in an intensive care unit in Vietnam: Use of colistin in a population of lower body weight. </w:t>
      </w:r>
      <w:r>
        <w:rPr>
          <w:rFonts w:ascii="Book Antiqua" w:hAnsi="Book Antiqua" w:eastAsia="Book Antiqua" w:cs="Book Antiqua"/>
          <w:i/>
          <w:iCs/>
          <w:color w:val="000000"/>
        </w:rPr>
        <w:t>Int J Infect Dis</w:t>
      </w:r>
      <w:r>
        <w:rPr>
          <w:rFonts w:ascii="Book Antiqua" w:hAnsi="Book Antiqua" w:eastAsia="Book Antiqua" w:cs="Book Antiqua"/>
          <w:color w:val="000000"/>
        </w:rPr>
        <w:t xml:space="preserve"> 2015; </w:t>
      </w:r>
      <w:r>
        <w:rPr>
          <w:rFonts w:ascii="Book Antiqua" w:hAnsi="Book Antiqua" w:eastAsia="Book Antiqua" w:cs="Book Antiqua"/>
          <w:b/>
          <w:bCs/>
          <w:color w:val="000000"/>
        </w:rPr>
        <w:t>35</w:t>
      </w:r>
      <w:r>
        <w:rPr>
          <w:rFonts w:ascii="Book Antiqua" w:hAnsi="Book Antiqua" w:eastAsia="Book Antiqua" w:cs="Book Antiqua"/>
          <w:color w:val="000000"/>
        </w:rPr>
        <w:t>: 18-23 [PMID: 25835100 DOI: 10.1016/j.ijid.2015.03.020]</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Choe J</w:t>
      </w:r>
      <w:r>
        <w:rPr>
          <w:rFonts w:ascii="Book Antiqua" w:hAnsi="Book Antiqua" w:eastAsia="Book Antiqua" w:cs="Book Antiqua"/>
          <w:color w:val="000000"/>
        </w:rPr>
        <w:t xml:space="preserve">, Sohn YM, Jeong SH, Park HJ, Na SJ, Huh K, Suh GY, Jeon K. Inhalation with intravenous loading dose of colistin in critically ill patients with pneumonia caused by carbapenem-resistant gram-negative bacteria. </w:t>
      </w:r>
      <w:r>
        <w:rPr>
          <w:rFonts w:ascii="Book Antiqua" w:hAnsi="Book Antiqua" w:eastAsia="Book Antiqua" w:cs="Book Antiqua"/>
          <w:i/>
          <w:iCs/>
          <w:color w:val="000000"/>
        </w:rPr>
        <w:t>Ther Adv Respir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13</w:t>
      </w:r>
      <w:r>
        <w:rPr>
          <w:rFonts w:ascii="Book Antiqua" w:hAnsi="Book Antiqua" w:eastAsia="Book Antiqua" w:cs="Book Antiqua"/>
          <w:color w:val="000000"/>
        </w:rPr>
        <w:t>: 1753466619885529 [PMID: 31680646 DOI: 10.1177/1753466619885529]</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Chuang YC</w:t>
      </w:r>
      <w:r>
        <w:rPr>
          <w:rFonts w:ascii="Book Antiqua" w:hAnsi="Book Antiqua" w:eastAsia="Book Antiqua" w:cs="Book Antiqua"/>
          <w:color w:val="000000"/>
        </w:rPr>
        <w:t xml:space="preserve">, Cheng CY, Sheng WH, Sun HY, Wang JT, Chen YC, Chang SC. Effectiveness of tigecycline-based </w:t>
      </w:r>
      <w:r>
        <w:rPr>
          <w:rFonts w:ascii="Book Antiqua" w:hAnsi="Book Antiqua" w:eastAsia="Book Antiqua" w:cs="Book Antiqua"/>
          <w:i/>
          <w:iCs/>
          <w:color w:val="000000"/>
        </w:rPr>
        <w:t>vs</w:t>
      </w:r>
      <w:r>
        <w:rPr>
          <w:rFonts w:ascii="Book Antiqua" w:hAnsi="Book Antiqua" w:eastAsia="Book Antiqua" w:cs="Book Antiqua"/>
          <w:color w:val="000000"/>
        </w:rPr>
        <w:t xml:space="preserve"> colistin- based therapy for treatment of pneumonia caused by multidrug-resistant Acinetobacter baumannii in a critical setting: a matched cohort analysis.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102 [PMID: 24564226 DOI: 10.1186/1471-2334-14-102]</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Ciftci A</w:t>
      </w:r>
      <w:r>
        <w:rPr>
          <w:rFonts w:ascii="Book Antiqua" w:hAnsi="Book Antiqua" w:eastAsia="Book Antiqua" w:cs="Book Antiqua"/>
          <w:color w:val="000000"/>
        </w:rPr>
        <w:t xml:space="preserve">, Izdes S, Altintas ND. Factors Determining Nephrotoxicity and Mortality in Critical Care Patients Receiving Colistin. </w:t>
      </w:r>
      <w:r>
        <w:rPr>
          <w:rFonts w:ascii="Book Antiqua" w:hAnsi="Book Antiqua" w:eastAsia="Book Antiqua" w:cs="Book Antiqua"/>
          <w:i/>
          <w:iCs/>
          <w:color w:val="000000"/>
        </w:rPr>
        <w:t>J Infect Dev Ctries</w:t>
      </w:r>
      <w:r>
        <w:rPr>
          <w:rFonts w:ascii="Book Antiqua" w:hAnsi="Book Antiqua" w:eastAsia="Book Antiqua" w:cs="Book Antiqua"/>
          <w:color w:val="000000"/>
        </w:rPr>
        <w:t xml:space="preserve"> 2018; </w:t>
      </w:r>
      <w:r>
        <w:rPr>
          <w:rFonts w:ascii="Book Antiqua" w:hAnsi="Book Antiqua" w:eastAsia="Book Antiqua" w:cs="Book Antiqua"/>
          <w:b/>
          <w:bCs/>
          <w:color w:val="000000"/>
        </w:rPr>
        <w:t>11</w:t>
      </w:r>
      <w:r>
        <w:rPr>
          <w:rFonts w:ascii="Book Antiqua" w:hAnsi="Book Antiqua" w:eastAsia="Book Antiqua" w:cs="Book Antiqua"/>
          <w:color w:val="000000"/>
        </w:rPr>
        <w:t>: 912-918 [PMID: 31626596 DOI: 10.3855/jidc.9443]</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Dalfino L</w:t>
      </w:r>
      <w:r>
        <w:rPr>
          <w:rFonts w:ascii="Book Antiqua" w:hAnsi="Book Antiqua" w:eastAsia="Book Antiqua" w:cs="Book Antiqua"/>
          <w:color w:val="000000"/>
        </w:rPr>
        <w:t xml:space="preserve">, Puntillo F, Mosca A, Monno R, Spada ML, Coppolecchia S, Miragliotta G, Bruno F, Brienza N. High-dose, extended-interval colistin administration in critically ill patients: is this the right dosing strategy? A preliminary study.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2012; </w:t>
      </w:r>
      <w:r>
        <w:rPr>
          <w:rFonts w:ascii="Book Antiqua" w:hAnsi="Book Antiqua" w:eastAsia="Book Antiqua" w:cs="Book Antiqua"/>
          <w:b/>
          <w:bCs/>
          <w:color w:val="000000"/>
        </w:rPr>
        <w:t>54</w:t>
      </w:r>
      <w:r>
        <w:rPr>
          <w:rFonts w:ascii="Book Antiqua" w:hAnsi="Book Antiqua" w:eastAsia="Book Antiqua" w:cs="Book Antiqua"/>
          <w:color w:val="000000"/>
        </w:rPr>
        <w:t>: 1720-1726 [PMID: 22423120 DOI: 10.1093/cid/cis286]</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Dalfino L</w:t>
      </w:r>
      <w:r>
        <w:rPr>
          <w:rFonts w:ascii="Book Antiqua" w:hAnsi="Book Antiqua" w:eastAsia="Book Antiqua" w:cs="Book Antiqua"/>
          <w:color w:val="000000"/>
        </w:rPr>
        <w:t xml:space="preserve">, Puntillo F, Ondok MJ, Mosca A, Monno R, Coppolecchia S, Spada ML, Bruno F, Brienza N. Colistin-associated Acute Kidney Injury in Severely Ill Patients: A Step Toward a Better Renal Care? A Prospective Cohort Study.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2015; </w:t>
      </w:r>
      <w:r>
        <w:rPr>
          <w:rFonts w:ascii="Book Antiqua" w:hAnsi="Book Antiqua" w:eastAsia="Book Antiqua" w:cs="Book Antiqua"/>
          <w:b/>
          <w:bCs/>
          <w:color w:val="000000"/>
        </w:rPr>
        <w:t>61</w:t>
      </w:r>
      <w:r>
        <w:rPr>
          <w:rFonts w:ascii="Book Antiqua" w:hAnsi="Book Antiqua" w:eastAsia="Book Antiqua" w:cs="Book Antiqua"/>
          <w:color w:val="000000"/>
        </w:rPr>
        <w:t>: 1771-1777 [PMID: 26354965 DOI: 10.1093/cid/civ717]</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Demirdal T</w:t>
      </w:r>
      <w:r>
        <w:rPr>
          <w:rFonts w:ascii="Book Antiqua" w:hAnsi="Book Antiqua" w:eastAsia="Book Antiqua" w:cs="Book Antiqua"/>
          <w:color w:val="000000"/>
        </w:rPr>
        <w:t xml:space="preserve">, Sari US, Nemli SA. Is inhaled colistin beneficial in ventilator associated pneumonia or nosocomial pneumonia caused by Acinetobacter baumannii? </w:t>
      </w:r>
      <w:r>
        <w:rPr>
          <w:rFonts w:ascii="Book Antiqua" w:hAnsi="Book Antiqua" w:eastAsia="Book Antiqua" w:cs="Book Antiqua"/>
          <w:i/>
          <w:iCs/>
          <w:color w:val="000000"/>
        </w:rPr>
        <w:t>Ann Clin Microbiol Antimicrob</w:t>
      </w:r>
      <w:r>
        <w:rPr>
          <w:rFonts w:ascii="Book Antiqua" w:hAnsi="Book Antiqua" w:eastAsia="Book Antiqua" w:cs="Book Antiqua"/>
          <w:color w:val="000000"/>
        </w:rPr>
        <w:t xml:space="preserve"> 2016; </w:t>
      </w:r>
      <w:r>
        <w:rPr>
          <w:rFonts w:ascii="Book Antiqua" w:hAnsi="Book Antiqua" w:eastAsia="Book Antiqua" w:cs="Book Antiqua"/>
          <w:b/>
          <w:bCs/>
          <w:color w:val="000000"/>
        </w:rPr>
        <w:t>15</w:t>
      </w:r>
      <w:r>
        <w:rPr>
          <w:rFonts w:ascii="Book Antiqua" w:hAnsi="Book Antiqua" w:eastAsia="Book Antiqua" w:cs="Book Antiqua"/>
          <w:color w:val="000000"/>
        </w:rPr>
        <w:t>: 11 [PMID: 26911714 DOI: 10.1186/s12941-016-0123-7]</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Dewan A</w:t>
      </w:r>
      <w:r>
        <w:rPr>
          <w:rFonts w:ascii="Book Antiqua" w:hAnsi="Book Antiqua" w:eastAsia="Book Antiqua" w:cs="Book Antiqua"/>
          <w:color w:val="000000"/>
        </w:rPr>
        <w:t xml:space="preserve">, Shoukat M. Evaluation of risk of nephrotoxicity with high dose, extended-interval colistin administration. </w:t>
      </w:r>
      <w:r>
        <w:rPr>
          <w:rFonts w:ascii="Book Antiqua" w:hAnsi="Book Antiqua" w:eastAsia="Book Antiqua" w:cs="Book Antiqua"/>
          <w:i/>
          <w:iCs/>
          <w:color w:val="000000"/>
        </w:rPr>
        <w:t>Indian J Crit Care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18</w:t>
      </w:r>
      <w:r>
        <w:rPr>
          <w:rFonts w:ascii="Book Antiqua" w:hAnsi="Book Antiqua" w:eastAsia="Book Antiqua" w:cs="Book Antiqua"/>
          <w:color w:val="000000"/>
        </w:rPr>
        <w:t>: 427-430 [PMID: 25097354 DOI: 10.4103/0972-5229.136070]</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Doshi NM</w:t>
      </w:r>
      <w:r>
        <w:rPr>
          <w:rFonts w:ascii="Book Antiqua" w:hAnsi="Book Antiqua" w:eastAsia="Book Antiqua" w:cs="Book Antiqua"/>
          <w:color w:val="000000"/>
        </w:rPr>
        <w:t xml:space="preserve">, Mount KL, Murphy CV. Nephrotoxicity associated with intravenous colistin in critically ill patients. </w:t>
      </w:r>
      <w:r>
        <w:rPr>
          <w:rFonts w:ascii="Book Antiqua" w:hAnsi="Book Antiqua" w:eastAsia="Book Antiqua" w:cs="Book Antiqua"/>
          <w:i/>
          <w:iCs/>
          <w:color w:val="000000"/>
        </w:rPr>
        <w:t>Pharmacotherapy</w:t>
      </w:r>
      <w:r>
        <w:rPr>
          <w:rFonts w:ascii="Book Antiqua" w:hAnsi="Book Antiqua" w:eastAsia="Book Antiqua" w:cs="Book Antiqua"/>
          <w:color w:val="000000"/>
        </w:rPr>
        <w:t xml:space="preserve"> 2011; </w:t>
      </w:r>
      <w:r>
        <w:rPr>
          <w:rFonts w:ascii="Book Antiqua" w:hAnsi="Book Antiqua" w:eastAsia="Book Antiqua" w:cs="Book Antiqua"/>
          <w:b/>
          <w:bCs/>
          <w:color w:val="000000"/>
        </w:rPr>
        <w:t>31</w:t>
      </w:r>
      <w:r>
        <w:rPr>
          <w:rFonts w:ascii="Book Antiqua" w:hAnsi="Book Antiqua" w:eastAsia="Book Antiqua" w:cs="Book Antiqua"/>
          <w:color w:val="000000"/>
        </w:rPr>
        <w:t>: 1257-1264 [PMID: 22122186 DOI: 10.1592/phco.31.12.1257]</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Durante-Mangoni E</w:t>
      </w:r>
      <w:r>
        <w:rPr>
          <w:rFonts w:ascii="Book Antiqua" w:hAnsi="Book Antiqua" w:eastAsia="Book Antiqua" w:cs="Book Antiqua"/>
          <w:color w:val="000000"/>
        </w:rPr>
        <w:t xml:space="preserve">, Signoriello G, Andini R, Mattei A, De Cristoforo M, Murino P, Bassetti M, Malacarne P, Petrosillo N, Galdieri N, Mocavero P, Corcione A, Viscoli C, Zarrilli R, Gallo C, Utili R. Colistin and rifampicin compared with colistin alone for the treatment of serious infections due to extensively drug-resistant Acinetobacter baumannii: a multicenter, randomized clinical trial.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57</w:t>
      </w:r>
      <w:r>
        <w:rPr>
          <w:rFonts w:ascii="Book Antiqua" w:hAnsi="Book Antiqua" w:eastAsia="Book Antiqua" w:cs="Book Antiqua"/>
          <w:color w:val="000000"/>
        </w:rPr>
        <w:t>: 349-358 [PMID: 23616495 DOI: 10.1093/cid/cit253]</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Durante-Mangoni E</w:t>
      </w:r>
      <w:r>
        <w:rPr>
          <w:rFonts w:ascii="Book Antiqua" w:hAnsi="Book Antiqua" w:eastAsia="Book Antiqua" w:cs="Book Antiqua"/>
          <w:color w:val="000000"/>
        </w:rPr>
        <w:t xml:space="preserve">, Andini R, Signoriello S, Cavezza G, Murino P, Buono S, De Cristofaro M, Taglialatela C, Bassetti M, Malacarne P, Petrosillo N, Corcione A, Viscoli C, Utili R, Gallo C. Acute kidney injury during colistin therapy: a prospective study in patients with extensively-drug resistant Acinetobacter baumannii infections. </w:t>
      </w:r>
      <w:r>
        <w:rPr>
          <w:rFonts w:ascii="Book Antiqua" w:hAnsi="Book Antiqua" w:eastAsia="Book Antiqua" w:cs="Book Antiqua"/>
          <w:i/>
          <w:iCs/>
          <w:color w:val="000000"/>
        </w:rPr>
        <w:t>Clin Microbiol Infect</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984-989 [PMID: 27545697 DOI: 10.1016/j.cmi.2016.08.004]</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Elefritz JL</w:t>
      </w:r>
      <w:r>
        <w:rPr>
          <w:rFonts w:ascii="Book Antiqua" w:hAnsi="Book Antiqua" w:eastAsia="Book Antiqua" w:cs="Book Antiqua"/>
          <w:color w:val="000000"/>
        </w:rPr>
        <w:t xml:space="preserve">, Bauer KA, Jones C, Mangino JE, Porter K, Murphy CV. Efficacy and Safety of a Colistin Loading Dose, High-Dose Maintenance Regimen in Critically Ill Patients With Multidrug-Resistant Gram-Negative Pneumonia. </w:t>
      </w:r>
      <w:r>
        <w:rPr>
          <w:rFonts w:ascii="Book Antiqua" w:hAnsi="Book Antiqua" w:eastAsia="Book Antiqua" w:cs="Book Antiqua"/>
          <w:i/>
          <w:iCs/>
          <w:color w:val="000000"/>
        </w:rPr>
        <w:t>J Intensive Care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32</w:t>
      </w:r>
      <w:r>
        <w:rPr>
          <w:rFonts w:ascii="Book Antiqua" w:hAnsi="Book Antiqua" w:eastAsia="Book Antiqua" w:cs="Book Antiqua"/>
          <w:color w:val="000000"/>
        </w:rPr>
        <w:t>: 487-493 [PMID: 27139010 DOI: 10.1177/0885066616646551]</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Garnacho-Montero J</w:t>
      </w:r>
      <w:r>
        <w:rPr>
          <w:rFonts w:ascii="Book Antiqua" w:hAnsi="Book Antiqua" w:eastAsia="Book Antiqua" w:cs="Book Antiqua"/>
          <w:color w:val="000000"/>
        </w:rPr>
        <w:t xml:space="preserve">, Ortiz-Leyba C, Jiménez-Jiménez FJ, Barrero-Almodóvar AE, García-Garmendia JL, Bernabeu-WittelI M, Gallego-Lara SL, Madrazo-Osuna J. Treatment of multidrug-resistant Acinetobacter baumannii ventilator-associated pneumonia (VAP) with intravenous colistin: a comparison with imipenem-susceptible VAP.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2003; </w:t>
      </w:r>
      <w:r>
        <w:rPr>
          <w:rFonts w:ascii="Book Antiqua" w:hAnsi="Book Antiqua" w:eastAsia="Book Antiqua" w:cs="Book Antiqua"/>
          <w:b/>
          <w:bCs/>
          <w:color w:val="000000"/>
        </w:rPr>
        <w:t>36</w:t>
      </w:r>
      <w:r>
        <w:rPr>
          <w:rFonts w:ascii="Book Antiqua" w:hAnsi="Book Antiqua" w:eastAsia="Book Antiqua" w:cs="Book Antiqua"/>
          <w:color w:val="000000"/>
        </w:rPr>
        <w:t>: 1111-1118 [PMID: 12715304 DOI: 10.1086/374337]</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Garnacho-Montero J</w:t>
      </w:r>
      <w:r>
        <w:rPr>
          <w:rFonts w:ascii="Book Antiqua" w:hAnsi="Book Antiqua" w:eastAsia="Book Antiqua" w:cs="Book Antiqua"/>
          <w:color w:val="000000"/>
        </w:rPr>
        <w:t xml:space="preserve">, Amaya-Villar R, Gutiérrez-Pizarraya A, Espejo-Gutiérrez de Tena E, Artero-González ML, Corcia-Palomo Y, Bautista-Paloma J. Clinical efficacy and safety of the combination of colistin plus vancomycin for the treatment of severe infections caused by carbapenem-resistant Acinetobacter baumannii. </w:t>
      </w:r>
      <w:r>
        <w:rPr>
          <w:rFonts w:ascii="Book Antiqua" w:hAnsi="Book Antiqua" w:eastAsia="Book Antiqua" w:cs="Book Antiqua"/>
          <w:i/>
          <w:iCs/>
          <w:color w:val="000000"/>
        </w:rPr>
        <w:t>Chemotherapy</w:t>
      </w:r>
      <w:r>
        <w:rPr>
          <w:rFonts w:ascii="Book Antiqua" w:hAnsi="Book Antiqua" w:eastAsia="Book Antiqua" w:cs="Book Antiqua"/>
          <w:color w:val="000000"/>
        </w:rPr>
        <w:t xml:space="preserve"> 2013; </w:t>
      </w:r>
      <w:r>
        <w:rPr>
          <w:rFonts w:ascii="Book Antiqua" w:hAnsi="Book Antiqua" w:eastAsia="Book Antiqua" w:cs="Book Antiqua"/>
          <w:b/>
          <w:bCs/>
          <w:color w:val="000000"/>
        </w:rPr>
        <w:t>59</w:t>
      </w:r>
      <w:r>
        <w:rPr>
          <w:rFonts w:ascii="Book Antiqua" w:hAnsi="Book Antiqua" w:eastAsia="Book Antiqua" w:cs="Book Antiqua"/>
          <w:color w:val="000000"/>
        </w:rPr>
        <w:t>: 225-231 [PMID: 24356297 DOI: 10.1159/000356004]</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Gounden R</w:t>
      </w:r>
      <w:r>
        <w:rPr>
          <w:rFonts w:ascii="Book Antiqua" w:hAnsi="Book Antiqua" w:eastAsia="Book Antiqua" w:cs="Book Antiqua"/>
          <w:color w:val="000000"/>
        </w:rPr>
        <w:t xml:space="preserve">, Bamford C, van Zyl-Smit R, Cohen K, Maartens G. Safety and effectiveness of colistin compared with tobramycin for multi-drug resistant Acinetobacter baumannii infections.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2009; </w:t>
      </w:r>
      <w:r>
        <w:rPr>
          <w:rFonts w:ascii="Book Antiqua" w:hAnsi="Book Antiqua" w:eastAsia="Book Antiqua" w:cs="Book Antiqua"/>
          <w:b/>
          <w:bCs/>
          <w:color w:val="000000"/>
        </w:rPr>
        <w:t>9</w:t>
      </w:r>
      <w:r>
        <w:rPr>
          <w:rFonts w:ascii="Book Antiqua" w:hAnsi="Book Antiqua" w:eastAsia="Book Antiqua" w:cs="Book Antiqua"/>
          <w:color w:val="000000"/>
        </w:rPr>
        <w:t>: 26 [PMID: 19272139 DOI: 10.1186/1471-2334-9-26]</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Grégoire N</w:t>
      </w:r>
      <w:r>
        <w:rPr>
          <w:rFonts w:ascii="Book Antiqua" w:hAnsi="Book Antiqua" w:eastAsia="Book Antiqua" w:cs="Book Antiqua"/>
          <w:color w:val="000000"/>
        </w:rPr>
        <w:t xml:space="preserve">, Mimoz O, Mégarbane B, Comets E, Chatelier D, Lasocki S, Gauzit R, Balayn D, Gobin P, Marchand S, Couet W. New colistin population pharmacokinetic data in critically ill patients suggesting an alternative loading dose rationale.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2014; </w:t>
      </w:r>
      <w:r>
        <w:rPr>
          <w:rFonts w:ascii="Book Antiqua" w:hAnsi="Book Antiqua" w:eastAsia="Book Antiqua" w:cs="Book Antiqua"/>
          <w:b/>
          <w:bCs/>
          <w:color w:val="000000"/>
        </w:rPr>
        <w:t>58</w:t>
      </w:r>
      <w:r>
        <w:rPr>
          <w:rFonts w:ascii="Book Antiqua" w:hAnsi="Book Antiqua" w:eastAsia="Book Antiqua" w:cs="Book Antiqua"/>
          <w:color w:val="000000"/>
        </w:rPr>
        <w:t>: 7324-7330 [PMID: 25267662 DOI: 10.1128/AAC.03508-14]</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Holloway KP</w:t>
      </w:r>
      <w:r>
        <w:rPr>
          <w:rFonts w:ascii="Book Antiqua" w:hAnsi="Book Antiqua" w:eastAsia="Book Antiqua" w:cs="Book Antiqua"/>
          <w:color w:val="000000"/>
        </w:rPr>
        <w:t xml:space="preserve">, Rouphael NG, Wells JB, King MD, Blumberg HM. Polymyxin B and doxycycline use in patients with multidrug-resistant Acinetobacter baumannii infections in the intensive care unit. </w:t>
      </w:r>
      <w:r>
        <w:rPr>
          <w:rFonts w:ascii="Book Antiqua" w:hAnsi="Book Antiqua" w:eastAsia="Book Antiqua" w:cs="Book Antiqua"/>
          <w:i/>
          <w:iCs/>
          <w:color w:val="000000"/>
        </w:rPr>
        <w:t>Ann Pharmacother</w:t>
      </w:r>
      <w:r>
        <w:rPr>
          <w:rFonts w:ascii="Book Antiqua" w:hAnsi="Book Antiqua" w:eastAsia="Book Antiqua" w:cs="Book Antiqua"/>
          <w:color w:val="000000"/>
        </w:rPr>
        <w:t xml:space="preserve"> 2006; </w:t>
      </w:r>
      <w:r>
        <w:rPr>
          <w:rFonts w:ascii="Book Antiqua" w:hAnsi="Book Antiqua" w:eastAsia="Book Antiqua" w:cs="Book Antiqua"/>
          <w:b/>
          <w:bCs/>
          <w:color w:val="000000"/>
        </w:rPr>
        <w:t>40</w:t>
      </w:r>
      <w:r>
        <w:rPr>
          <w:rFonts w:ascii="Book Antiqua" w:hAnsi="Book Antiqua" w:eastAsia="Book Antiqua" w:cs="Book Antiqua"/>
          <w:color w:val="000000"/>
        </w:rPr>
        <w:t>: 1939-1945 [PMID: 17018688 DOI: 10.1345/aph.1H353]</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Inci A</w:t>
      </w:r>
      <w:r>
        <w:rPr>
          <w:rFonts w:ascii="Book Antiqua" w:hAnsi="Book Antiqua" w:eastAsia="Book Antiqua" w:cs="Book Antiqua"/>
          <w:color w:val="000000"/>
        </w:rPr>
        <w:t xml:space="preserve">, Toker MK, Bicer IG, Derbent A, Salihoglu Z. Determination of colistin-related nephrotoxicity and risk factors in intensive care unit. </w:t>
      </w:r>
      <w:r>
        <w:rPr>
          <w:rFonts w:ascii="Book Antiqua" w:hAnsi="Book Antiqua" w:eastAsia="Book Antiqua" w:cs="Book Antiqua"/>
          <w:i/>
          <w:iCs/>
          <w:color w:val="000000"/>
        </w:rPr>
        <w:t>North Clin Istanb</w:t>
      </w:r>
      <w:r>
        <w:rPr>
          <w:rFonts w:ascii="Book Antiqua" w:hAnsi="Book Antiqua" w:eastAsia="Book Antiqua" w:cs="Book Antiqua"/>
          <w:color w:val="000000"/>
        </w:rPr>
        <w:t xml:space="preserve"> 2018; </w:t>
      </w:r>
      <w:r>
        <w:rPr>
          <w:rFonts w:ascii="Book Antiqua" w:hAnsi="Book Antiqua" w:eastAsia="Book Antiqua" w:cs="Book Antiqua"/>
          <w:b/>
          <w:bCs/>
          <w:color w:val="000000"/>
        </w:rPr>
        <w:t>5</w:t>
      </w:r>
      <w:r>
        <w:rPr>
          <w:rFonts w:ascii="Book Antiqua" w:hAnsi="Book Antiqua" w:eastAsia="Book Antiqua" w:cs="Book Antiqua"/>
          <w:color w:val="000000"/>
        </w:rPr>
        <w:t>: 120-124 [PMID: 30374477 DOI: 10.14744/nci.2017.42243]</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Jang JY</w:t>
      </w:r>
      <w:r>
        <w:rPr>
          <w:rFonts w:ascii="Book Antiqua" w:hAnsi="Book Antiqua" w:eastAsia="Book Antiqua" w:cs="Book Antiqua"/>
          <w:color w:val="000000"/>
        </w:rPr>
        <w:t xml:space="preserve">, Kwon HY, Choi EH, Lee WY, Shim H, Bae KS. Efficacy and toxicity of high-dose nebulized colistin for critically ill surgical patients with ventilator-associated pneumonia caused by multidrug-resistant Acinetobacter baumannii. </w:t>
      </w:r>
      <w:r>
        <w:rPr>
          <w:rFonts w:ascii="Book Antiqua" w:hAnsi="Book Antiqua" w:eastAsia="Book Antiqua" w:cs="Book Antiqua"/>
          <w:i/>
          <w:iCs/>
          <w:color w:val="000000"/>
        </w:rPr>
        <w:t>J Crit Care</w:t>
      </w:r>
      <w:r>
        <w:rPr>
          <w:rFonts w:ascii="Book Antiqua" w:hAnsi="Book Antiqua" w:eastAsia="Book Antiqua" w:cs="Book Antiqua"/>
          <w:color w:val="000000"/>
        </w:rPr>
        <w:t xml:space="preserve"> 2017; </w:t>
      </w:r>
      <w:r>
        <w:rPr>
          <w:rFonts w:ascii="Book Antiqua" w:hAnsi="Book Antiqua" w:eastAsia="Book Antiqua" w:cs="Book Antiqua"/>
          <w:b/>
          <w:bCs/>
          <w:color w:val="000000"/>
        </w:rPr>
        <w:t>40</w:t>
      </w:r>
      <w:r>
        <w:rPr>
          <w:rFonts w:ascii="Book Antiqua" w:hAnsi="Book Antiqua" w:eastAsia="Book Antiqua" w:cs="Book Antiqua"/>
          <w:color w:val="000000"/>
        </w:rPr>
        <w:t>: 251-256 [PMID: 28458172 DOI: 10.1016/j.jcrc.2017.04.004]</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Kalin G</w:t>
      </w:r>
      <w:r>
        <w:rPr>
          <w:rFonts w:ascii="Book Antiqua" w:hAnsi="Book Antiqua" w:eastAsia="Book Antiqua" w:cs="Book Antiqua"/>
          <w:color w:val="000000"/>
        </w:rPr>
        <w:t xml:space="preserve">, Alp E, Akin A, Coskun R, Doganay M. Comparison of colistin and colistin/sulbactam for the treatment of multidrug resistant Acinetobacter baumannii ventilator-associated pneumonia. </w:t>
      </w:r>
      <w:r>
        <w:rPr>
          <w:rFonts w:ascii="Book Antiqua" w:hAnsi="Book Antiqua" w:eastAsia="Book Antiqua" w:cs="Book Antiqua"/>
          <w:i/>
          <w:iCs/>
          <w:color w:val="000000"/>
        </w:rPr>
        <w:t>Infection</w:t>
      </w:r>
      <w:r>
        <w:rPr>
          <w:rFonts w:ascii="Book Antiqua" w:hAnsi="Book Antiqua" w:eastAsia="Book Antiqua" w:cs="Book Antiqua"/>
          <w:color w:val="000000"/>
        </w:rPr>
        <w:t xml:space="preserve"> 2014; </w:t>
      </w:r>
      <w:r>
        <w:rPr>
          <w:rFonts w:ascii="Book Antiqua" w:hAnsi="Book Antiqua" w:eastAsia="Book Antiqua" w:cs="Book Antiqua"/>
          <w:b/>
          <w:bCs/>
          <w:color w:val="000000"/>
        </w:rPr>
        <w:t>42</w:t>
      </w:r>
      <w:r>
        <w:rPr>
          <w:rFonts w:ascii="Book Antiqua" w:hAnsi="Book Antiqua" w:eastAsia="Book Antiqua" w:cs="Book Antiqua"/>
          <w:color w:val="000000"/>
        </w:rPr>
        <w:t>: 37-42 [PMID: 23828559 DOI: 10.1007/s15010-013-0495-y]</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Kalin G</w:t>
      </w:r>
      <w:r>
        <w:rPr>
          <w:rFonts w:ascii="Book Antiqua" w:hAnsi="Book Antiqua" w:eastAsia="Book Antiqua" w:cs="Book Antiqua"/>
          <w:color w:val="000000"/>
        </w:rPr>
        <w:t xml:space="preserve">, Alp E, Coskun R, Demiraslan H, Gündogan K, Doganay M. Use of high-dose IV and aerosolized colistin for the treatment of multidrug-resistant Acinetobacter baumannii ventilator-associated pneumonia: do we really need this treatment? </w:t>
      </w:r>
      <w:r>
        <w:rPr>
          <w:rFonts w:ascii="Book Antiqua" w:hAnsi="Book Antiqua" w:eastAsia="Book Antiqua" w:cs="Book Antiqua"/>
          <w:i/>
          <w:iCs/>
          <w:color w:val="000000"/>
        </w:rPr>
        <w:t>J Infect Chemother</w:t>
      </w:r>
      <w:r>
        <w:rPr>
          <w:rFonts w:ascii="Book Antiqua" w:hAnsi="Book Antiqua" w:eastAsia="Book Antiqua" w:cs="Book Antiqua"/>
          <w:color w:val="000000"/>
        </w:rPr>
        <w:t xml:space="preserve"> 2012; </w:t>
      </w:r>
      <w:r>
        <w:rPr>
          <w:rFonts w:ascii="Book Antiqua" w:hAnsi="Book Antiqua" w:eastAsia="Book Antiqua" w:cs="Book Antiqua"/>
          <w:b/>
          <w:bCs/>
          <w:color w:val="000000"/>
        </w:rPr>
        <w:t>18</w:t>
      </w:r>
      <w:r>
        <w:rPr>
          <w:rFonts w:ascii="Book Antiqua" w:hAnsi="Book Antiqua" w:eastAsia="Book Antiqua" w:cs="Book Antiqua"/>
          <w:color w:val="000000"/>
        </w:rPr>
        <w:t>: 872-877 [PMID: 22644081 DOI: 10.1007/s10156-012-0430-7]</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Kallel H</w:t>
      </w:r>
      <w:r>
        <w:rPr>
          <w:rFonts w:ascii="Book Antiqua" w:hAnsi="Book Antiqua" w:eastAsia="Book Antiqua" w:cs="Book Antiqua"/>
          <w:color w:val="000000"/>
        </w:rPr>
        <w:t xml:space="preserve">, Bahloul M, Hergafi L, Akrout M, Ketata W, Chelly H, Hamida CB, Rekik N, Hammami A, Bouaziz M. Colistin as a salvage therapy for nosocomial infections caused by multidrug-resistant bacteria in the ICU. </w:t>
      </w:r>
      <w:r>
        <w:rPr>
          <w:rFonts w:ascii="Book Antiqua" w:hAnsi="Book Antiqua" w:eastAsia="Book Antiqua" w:cs="Book Antiqua"/>
          <w:i/>
          <w:iCs/>
          <w:color w:val="000000"/>
        </w:rPr>
        <w:t>Int J Antimicrob Agents</w:t>
      </w:r>
      <w:r>
        <w:rPr>
          <w:rFonts w:ascii="Book Antiqua" w:hAnsi="Book Antiqua" w:eastAsia="Book Antiqua" w:cs="Book Antiqua"/>
          <w:color w:val="000000"/>
        </w:rPr>
        <w:t xml:space="preserve"> 2006; </w:t>
      </w:r>
      <w:r>
        <w:rPr>
          <w:rFonts w:ascii="Book Antiqua" w:hAnsi="Book Antiqua" w:eastAsia="Book Antiqua" w:cs="Book Antiqua"/>
          <w:b/>
          <w:bCs/>
          <w:color w:val="000000"/>
        </w:rPr>
        <w:t>28</w:t>
      </w:r>
      <w:r>
        <w:rPr>
          <w:rFonts w:ascii="Book Antiqua" w:hAnsi="Book Antiqua" w:eastAsia="Book Antiqua" w:cs="Book Antiqua"/>
          <w:color w:val="000000"/>
        </w:rPr>
        <w:t>: 366-369 [PMID: 16971093 DOI: 10.1016/j.ijantimicag.2006.07.008]</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Kallel H</w:t>
      </w:r>
      <w:r>
        <w:rPr>
          <w:rFonts w:ascii="Book Antiqua" w:hAnsi="Book Antiqua" w:eastAsia="Book Antiqua" w:cs="Book Antiqua"/>
          <w:color w:val="000000"/>
        </w:rPr>
        <w:t xml:space="preserve">, Hergafi L, Bahloul M, Hakim A, Dammak H, Chelly H, Hamida CB, Chaari A, Rekik N, Bouaziz M. Safety and efficacy of colistin compared with imipenem in the treatment of ventilator-associated pneumonia: a matched case-control study.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2007; </w:t>
      </w:r>
      <w:r>
        <w:rPr>
          <w:rFonts w:ascii="Book Antiqua" w:hAnsi="Book Antiqua" w:eastAsia="Book Antiqua" w:cs="Book Antiqua"/>
          <w:b/>
          <w:bCs/>
          <w:color w:val="000000"/>
        </w:rPr>
        <w:t>33</w:t>
      </w:r>
      <w:r>
        <w:rPr>
          <w:rFonts w:ascii="Book Antiqua" w:hAnsi="Book Antiqua" w:eastAsia="Book Antiqua" w:cs="Book Antiqua"/>
          <w:color w:val="000000"/>
        </w:rPr>
        <w:t>: 1162-1167 [PMID: 17530220 DOI: 10.1007/s00134-007-0675-2]</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Kara I,</w:t>
      </w:r>
      <w:r>
        <w:rPr>
          <w:rFonts w:ascii="Book Antiqua" w:hAnsi="Book Antiqua" w:eastAsia="Book Antiqua" w:cs="Book Antiqua"/>
          <w:color w:val="000000"/>
        </w:rPr>
        <w:t xml:space="preserve"> Yildirim F, Bilaloglu B, Karamanlioglu D, Kayacan E, Dizbay M, Turkouglu M, Aygencel G. Comparison of the efficacy of colistin monotherapy and colistin combination therapies in the treatment of nosocomial pneumonia and ventilator-associated pneumonia caused by Acinetobacter baumannii. </w:t>
      </w:r>
      <w:r>
        <w:rPr>
          <w:rFonts w:ascii="Book Antiqua" w:hAnsi="Book Antiqua" w:eastAsia="Book Antiqua" w:cs="Book Antiqua"/>
          <w:i/>
          <w:color w:val="000000"/>
        </w:rPr>
        <w:t>S Afr J Crit Care</w:t>
      </w:r>
      <w:r>
        <w:rPr>
          <w:rFonts w:ascii="Book Antiqua" w:hAnsi="Book Antiqua" w:eastAsia="Book Antiqua" w:cs="Book Antiqua"/>
          <w:color w:val="000000"/>
        </w:rPr>
        <w:t xml:space="preserve"> 2015; </w:t>
      </w:r>
      <w:r>
        <w:rPr>
          <w:rFonts w:ascii="Book Antiqua" w:hAnsi="Book Antiqua" w:eastAsia="Book Antiqua" w:cs="Book Antiqua"/>
          <w:b/>
          <w:color w:val="000000"/>
        </w:rPr>
        <w:t>31:</w:t>
      </w:r>
      <w:r>
        <w:rPr>
          <w:rFonts w:ascii="Book Antiqua" w:hAnsi="Book Antiqua" w:eastAsia="Book Antiqua" w:cs="Book Antiqua"/>
          <w:color w:val="000000"/>
        </w:rPr>
        <w:t xml:space="preserve"> 51-58 [DOI: 10.7196/sajcc.2015.v31i2.246]</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Kim WY</w:t>
      </w:r>
      <w:r>
        <w:rPr>
          <w:rFonts w:ascii="Book Antiqua" w:hAnsi="Book Antiqua" w:eastAsia="Book Antiqua" w:cs="Book Antiqua"/>
          <w:color w:val="000000"/>
        </w:rPr>
        <w:t xml:space="preserve">, Moon JY, Huh JW, Choi SH, Lim CM, Koh Y, Chong YP, Hong SB. Comparable Efficacy of Tigecycline </w:t>
      </w:r>
      <w:r>
        <w:rPr>
          <w:rFonts w:ascii="Book Antiqua" w:hAnsi="Book Antiqua" w:eastAsia="Book Antiqua" w:cs="Book Antiqua"/>
          <w:i/>
          <w:iCs/>
          <w:color w:val="000000"/>
        </w:rPr>
        <w:t>vs</w:t>
      </w:r>
      <w:r>
        <w:rPr>
          <w:rFonts w:ascii="Book Antiqua" w:hAnsi="Book Antiqua" w:eastAsia="Book Antiqua" w:cs="Book Antiqua"/>
          <w:color w:val="000000"/>
        </w:rPr>
        <w:t xml:space="preserve"> Colistin Therapy for Multidrug-Resistant and Extensively Drug-Resistant Acinetobacter baumannii Pneumonia in Critically Ill Patients.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2016; </w:t>
      </w:r>
      <w:r>
        <w:rPr>
          <w:rFonts w:ascii="Book Antiqua" w:hAnsi="Book Antiqua" w:eastAsia="Book Antiqua" w:cs="Book Antiqua"/>
          <w:b/>
          <w:bCs/>
          <w:color w:val="000000"/>
        </w:rPr>
        <w:t>11</w:t>
      </w:r>
      <w:r>
        <w:rPr>
          <w:rFonts w:ascii="Book Antiqua" w:hAnsi="Book Antiqua" w:eastAsia="Book Antiqua" w:cs="Book Antiqua"/>
          <w:color w:val="000000"/>
        </w:rPr>
        <w:t>: e0150642 [PMID: 26934182 DOI: 10.1371/journal.pone.0150642]</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Kim YK</w:t>
      </w:r>
      <w:r>
        <w:rPr>
          <w:rFonts w:ascii="Book Antiqua" w:hAnsi="Book Antiqua" w:eastAsia="Book Antiqua" w:cs="Book Antiqua"/>
          <w:color w:val="000000"/>
        </w:rPr>
        <w:t xml:space="preserve">, Lee JH, Lee HK, Chung BC, Yu SJ, Lee HY, Park JH, Kim S, Kim HK, Kiem S, Jang HJ. Efficacy of nebulized colistin-based therapy without concurrent intravenous colistin for ventilator-associated pneumonia caused by carbapenem-resistant </w:t>
      </w:r>
      <w:r>
        <w:rPr>
          <w:rFonts w:ascii="Book Antiqua" w:hAnsi="Book Antiqua" w:eastAsia="Book Antiqua" w:cs="Book Antiqua"/>
          <w:i/>
          <w:iCs/>
          <w:color w:val="000000"/>
        </w:rPr>
        <w:t>Acinetobacter baumannii</w:t>
      </w:r>
      <w:r>
        <w:rPr>
          <w:rFonts w:ascii="Book Antiqua" w:hAnsi="Book Antiqua" w:eastAsia="Book Antiqua" w:cs="Book Antiqua"/>
          <w:color w:val="000000"/>
        </w:rPr>
        <w:t xml:space="preserve">. </w:t>
      </w:r>
      <w:r>
        <w:rPr>
          <w:rFonts w:ascii="Book Antiqua" w:hAnsi="Book Antiqua" w:eastAsia="Book Antiqua" w:cs="Book Antiqua"/>
          <w:i/>
          <w:iCs/>
          <w:color w:val="000000"/>
        </w:rPr>
        <w:t>J Thorac Dis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555-567 [PMID: 28449463 DOI: 10.21037/jtd.2017.02.61]</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Kofteridis DP</w:t>
      </w:r>
      <w:r>
        <w:rPr>
          <w:rFonts w:ascii="Book Antiqua" w:hAnsi="Book Antiqua" w:eastAsia="Book Antiqua" w:cs="Book Antiqua"/>
          <w:color w:val="000000"/>
        </w:rPr>
        <w:t xml:space="preserve">, Alexopoulou C, Valachis A, Maraki S, Dimopoulou D, Georgopoulos D, Samonis G. Aerosolized plus intravenous colistin </w:t>
      </w:r>
      <w:r>
        <w:rPr>
          <w:rFonts w:ascii="Book Antiqua" w:hAnsi="Book Antiqua" w:eastAsia="Book Antiqua" w:cs="Book Antiqua"/>
          <w:i/>
          <w:iCs/>
          <w:color w:val="000000"/>
        </w:rPr>
        <w:t>vs</w:t>
      </w:r>
      <w:r>
        <w:rPr>
          <w:rFonts w:ascii="Book Antiqua" w:hAnsi="Book Antiqua" w:eastAsia="Book Antiqua" w:cs="Book Antiqua"/>
          <w:color w:val="000000"/>
        </w:rPr>
        <w:t xml:space="preserve"> intravenous colistin alone for the treatment of ventilator-associated pneumonia: a matched case-control study.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2010; </w:t>
      </w:r>
      <w:r>
        <w:rPr>
          <w:rFonts w:ascii="Book Antiqua" w:hAnsi="Book Antiqua" w:eastAsia="Book Antiqua" w:cs="Book Antiqua"/>
          <w:b/>
          <w:bCs/>
          <w:color w:val="000000"/>
        </w:rPr>
        <w:t>51</w:t>
      </w:r>
      <w:r>
        <w:rPr>
          <w:rFonts w:ascii="Book Antiqua" w:hAnsi="Book Antiqua" w:eastAsia="Book Antiqua" w:cs="Book Antiqua"/>
          <w:color w:val="000000"/>
        </w:rPr>
        <w:t>: 1238-1244 [PMID: 20973727 DOI: 10.1086/657242]</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Lambiase A</w:t>
      </w:r>
      <w:r>
        <w:rPr>
          <w:rFonts w:ascii="Book Antiqua" w:hAnsi="Book Antiqua" w:eastAsia="Book Antiqua" w:cs="Book Antiqua"/>
          <w:color w:val="000000"/>
        </w:rPr>
        <w:t xml:space="preserve">, Piazza O, Rossano F, Del Pezzo M, Tufano R, Catania MR. Persistence of carbapenem-resistant Acinetobacter baumannii strains in an Italian intensive care unit during a forty-six month study period. </w:t>
      </w:r>
      <w:r>
        <w:rPr>
          <w:rFonts w:ascii="Book Antiqua" w:hAnsi="Book Antiqua" w:eastAsia="Book Antiqua" w:cs="Book Antiqua"/>
          <w:i/>
          <w:iCs/>
          <w:color w:val="000000"/>
        </w:rPr>
        <w:t>New Microbiol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35</w:t>
      </w:r>
      <w:r>
        <w:rPr>
          <w:rFonts w:ascii="Book Antiqua" w:hAnsi="Book Antiqua" w:eastAsia="Book Antiqua" w:cs="Book Antiqua"/>
          <w:color w:val="000000"/>
        </w:rPr>
        <w:t>: 199-206 [PMID: 22707133]</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Lodise TP</w:t>
      </w:r>
      <w:r>
        <w:rPr>
          <w:rFonts w:ascii="Book Antiqua" w:hAnsi="Book Antiqua" w:eastAsia="Book Antiqua" w:cs="Book Antiqua"/>
          <w:color w:val="000000"/>
        </w:rPr>
        <w:t xml:space="preserve">, Fan W, Griffith DC, Dudley MN, Sulham KA. A Retrospective Cohort Analysis Shows that Coadministration of Minocycline with Colistin in Critically Ill Patients Is Associated with Reduced Frequency of Acute Renal Failure.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2018; </w:t>
      </w:r>
      <w:r>
        <w:rPr>
          <w:rFonts w:ascii="Book Antiqua" w:hAnsi="Book Antiqua" w:eastAsia="Book Antiqua" w:cs="Book Antiqua"/>
          <w:b/>
          <w:bCs/>
          <w:color w:val="000000"/>
        </w:rPr>
        <w:t>62</w:t>
      </w:r>
      <w:r>
        <w:rPr>
          <w:rFonts w:ascii="Book Antiqua" w:hAnsi="Book Antiqua" w:eastAsia="Book Antiqua" w:cs="Book Antiqua"/>
          <w:color w:val="000000"/>
        </w:rPr>
        <w:t xml:space="preserve"> [PMID: 29038261 DOI: 10.1128/AAC.01165-17]</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Makris D</w:t>
      </w:r>
      <w:r>
        <w:rPr>
          <w:rFonts w:ascii="Book Antiqua" w:hAnsi="Book Antiqua" w:eastAsia="Book Antiqua" w:cs="Book Antiqua"/>
          <w:color w:val="000000"/>
        </w:rPr>
        <w:t xml:space="preserve">, Petinaki E, Tsolaki V, Manoulakas E, Mantzarlis K, Apostolopoulou O, Sfyras D, Zakynthinos E. Colistin </w:t>
      </w:r>
      <w:r>
        <w:rPr>
          <w:rFonts w:ascii="Book Antiqua" w:hAnsi="Book Antiqua" w:eastAsia="Book Antiqua" w:cs="Book Antiqua"/>
          <w:i/>
          <w:iCs/>
          <w:color w:val="000000"/>
        </w:rPr>
        <w:t>vs</w:t>
      </w:r>
      <w:r>
        <w:rPr>
          <w:rFonts w:ascii="Book Antiqua" w:hAnsi="Book Antiqua" w:eastAsia="Book Antiqua" w:cs="Book Antiqua"/>
          <w:color w:val="000000"/>
        </w:rPr>
        <w:t xml:space="preserve"> Colistin Combined with Ampicillin-Sulbactam for Multiresistant </w:t>
      </w:r>
      <w:r>
        <w:rPr>
          <w:rFonts w:ascii="Book Antiqua" w:hAnsi="Book Antiqua" w:eastAsia="Book Antiqua" w:cs="Book Antiqua"/>
          <w:i/>
          <w:iCs/>
          <w:color w:val="000000"/>
        </w:rPr>
        <w:t>Acinetobacter baumannii</w:t>
      </w:r>
      <w:r>
        <w:rPr>
          <w:rFonts w:ascii="Book Antiqua" w:hAnsi="Book Antiqua" w:eastAsia="Book Antiqua" w:cs="Book Antiqua"/>
          <w:color w:val="000000"/>
        </w:rPr>
        <w:t xml:space="preserve"> Ventilator-associated Pneumonia Treatment: An Open-label Prospective Study. </w:t>
      </w:r>
      <w:r>
        <w:rPr>
          <w:rFonts w:ascii="Book Antiqua" w:hAnsi="Book Antiqua" w:eastAsia="Book Antiqua" w:cs="Book Antiqua"/>
          <w:i/>
          <w:iCs/>
          <w:color w:val="000000"/>
        </w:rPr>
        <w:t>Indian J Crit Care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22</w:t>
      </w:r>
      <w:r>
        <w:rPr>
          <w:rFonts w:ascii="Book Antiqua" w:hAnsi="Book Antiqua" w:eastAsia="Book Antiqua" w:cs="Book Antiqua"/>
          <w:color w:val="000000"/>
        </w:rPr>
        <w:t>: 67-77 [PMID: 29531445 DOI: 10.4103/ijccm.IJCCM_302_17]</w:t>
      </w:r>
    </w:p>
    <w:p>
      <w:pPr>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Markou N</w:t>
      </w:r>
      <w:r>
        <w:rPr>
          <w:rFonts w:ascii="Book Antiqua" w:hAnsi="Book Antiqua" w:eastAsia="Book Antiqua" w:cs="Book Antiqua"/>
          <w:color w:val="000000"/>
        </w:rPr>
        <w:t xml:space="preserve">, Apostolakos H, Koumoudiou C, Athanasiou M, Koutsoukou A, Alamanos I, Gregorakos L. Intravenous colistin in the treatment of sepsis from multiresistant Gram-negative bacilli in critically ill patients. </w:t>
      </w:r>
      <w:r>
        <w:rPr>
          <w:rFonts w:ascii="Book Antiqua" w:hAnsi="Book Antiqua" w:eastAsia="Book Antiqua" w:cs="Book Antiqua"/>
          <w:i/>
          <w:iCs/>
          <w:color w:val="000000"/>
        </w:rPr>
        <w:t>Crit Care</w:t>
      </w:r>
      <w:r>
        <w:rPr>
          <w:rFonts w:ascii="Book Antiqua" w:hAnsi="Book Antiqua" w:eastAsia="Book Antiqua" w:cs="Book Antiqua"/>
          <w:color w:val="000000"/>
        </w:rPr>
        <w:t xml:space="preserve"> 2003; </w:t>
      </w:r>
      <w:r>
        <w:rPr>
          <w:rFonts w:ascii="Book Antiqua" w:hAnsi="Book Antiqua" w:eastAsia="Book Antiqua" w:cs="Book Antiqua"/>
          <w:b/>
          <w:bCs/>
          <w:color w:val="000000"/>
        </w:rPr>
        <w:t>7</w:t>
      </w:r>
      <w:r>
        <w:rPr>
          <w:rFonts w:ascii="Book Antiqua" w:hAnsi="Book Antiqua" w:eastAsia="Book Antiqua" w:cs="Book Antiqua"/>
          <w:color w:val="000000"/>
        </w:rPr>
        <w:t>: R78-R83 [PMID: 12974973 DOI: 10.1186/cc2358]</w:t>
      </w:r>
    </w:p>
    <w:p>
      <w:pPr>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Moghadam OM,</w:t>
      </w:r>
      <w:r>
        <w:rPr>
          <w:rFonts w:ascii="Book Antiqua" w:hAnsi="Book Antiqua" w:eastAsia="Book Antiqua" w:cs="Book Antiqua"/>
          <w:color w:val="000000"/>
        </w:rPr>
        <w:t xml:space="preserve"> Ghanbarpour R, Niakan M, Taher MT, Hassani V, Dadashi A, Shiri E. Assessment of renal damage in patients with multi-drug resistant strains of pneumonia treated with colistin. </w:t>
      </w:r>
      <w:r>
        <w:rPr>
          <w:rFonts w:ascii="Book Antiqua" w:hAnsi="Book Antiqua" w:eastAsia="Book Antiqua" w:cs="Book Antiqua"/>
          <w:i/>
          <w:color w:val="000000"/>
        </w:rPr>
        <w:t>T Trauma Mon</w:t>
      </w:r>
      <w:r>
        <w:rPr>
          <w:rFonts w:ascii="Book Antiqua" w:hAnsi="Book Antiqua" w:eastAsia="Book Antiqua" w:cs="Book Antiqua"/>
          <w:color w:val="000000"/>
        </w:rPr>
        <w:t xml:space="preserve"> 2018; </w:t>
      </w:r>
      <w:r>
        <w:rPr>
          <w:rFonts w:ascii="Book Antiqua" w:hAnsi="Book Antiqua" w:eastAsia="Book Antiqua" w:cs="Book Antiqua"/>
          <w:b/>
          <w:color w:val="000000"/>
        </w:rPr>
        <w:t>23:</w:t>
      </w:r>
      <w:r>
        <w:rPr>
          <w:rFonts w:ascii="Book Antiqua" w:hAnsi="Book Antiqua" w:eastAsia="Book Antiqua" w:cs="Book Antiqua"/>
          <w:color w:val="000000"/>
        </w:rPr>
        <w:t xml:space="preserve"> e60002 [DOI: 10.5812/traumamon.60002]</w:t>
      </w:r>
    </w:p>
    <w:p>
      <w:pPr>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Mosaed R</w:t>
      </w:r>
      <w:r>
        <w:rPr>
          <w:rFonts w:ascii="Book Antiqua" w:hAnsi="Book Antiqua" w:eastAsia="Book Antiqua" w:cs="Book Antiqua"/>
          <w:color w:val="000000"/>
        </w:rPr>
        <w:t xml:space="preserve">, Haghighi M, Kouchak M, Miri MM, Salarian S, Shojaei S, Javadi A, Taheri S, Nazirzadeh P, Foroumand M, Sistanizad M. Interim Study: Comparison Of Safety And Efficacy of Levofloxacin Plus Colistin Regimen With Levofloxacin Plus High Dose Ampicillin/Sulbactam Infusion In Treatment of Ventilator-Associated Pneumonia Due To Multi Drug Resistant Acinetobacter. </w:t>
      </w:r>
      <w:r>
        <w:rPr>
          <w:rFonts w:ascii="Book Antiqua" w:hAnsi="Book Antiqua" w:eastAsia="Book Antiqua" w:cs="Book Antiqua"/>
          <w:i/>
          <w:iCs/>
          <w:color w:val="000000"/>
        </w:rPr>
        <w:t>Iran J Pharm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17</w:t>
      </w:r>
      <w:r>
        <w:rPr>
          <w:rFonts w:ascii="Book Antiqua" w:hAnsi="Book Antiqua" w:eastAsia="Book Antiqua" w:cs="Book Antiqua"/>
          <w:color w:val="000000"/>
        </w:rPr>
        <w:t>: 206-213 [PMID: 31011353]</w:t>
      </w:r>
    </w:p>
    <w:p>
      <w:pPr>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Nandha R</w:t>
      </w:r>
      <w:r>
        <w:rPr>
          <w:rFonts w:ascii="Book Antiqua" w:hAnsi="Book Antiqua" w:eastAsia="Book Antiqua" w:cs="Book Antiqua"/>
          <w:color w:val="000000"/>
        </w:rPr>
        <w:t xml:space="preserve">, Sekhri K, Mandal AK. To study the clinical efficacy and nephrotoxicity along with the risk factors for acute kidney injury associated with parenteral polymyxin B. </w:t>
      </w:r>
      <w:r>
        <w:rPr>
          <w:rFonts w:ascii="Book Antiqua" w:hAnsi="Book Antiqua" w:eastAsia="Book Antiqua" w:cs="Book Antiqua"/>
          <w:i/>
          <w:iCs/>
          <w:color w:val="000000"/>
        </w:rPr>
        <w:t>Indian J Crit Care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17</w:t>
      </w:r>
      <w:r>
        <w:rPr>
          <w:rFonts w:ascii="Book Antiqua" w:hAnsi="Book Antiqua" w:eastAsia="Book Antiqua" w:cs="Book Antiqua"/>
          <w:color w:val="000000"/>
        </w:rPr>
        <w:t>: 283-287 [PMID: 24339639 DOI: 10.4103/0972-5229.120319]</w:t>
      </w:r>
    </w:p>
    <w:p>
      <w:pPr>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Nazer LH</w:t>
      </w:r>
      <w:r>
        <w:rPr>
          <w:rFonts w:ascii="Book Antiqua" w:hAnsi="Book Antiqua" w:eastAsia="Book Antiqua" w:cs="Book Antiqua"/>
          <w:color w:val="000000"/>
        </w:rPr>
        <w:t xml:space="preserve">, Rihani S, Hawari FI, Le J. High-dose colistin for microbiologically documented serious respiratory infections associated with carbapenem-resistant Acinetobacter baummannii in critically ill cancer patients: a retrospective cohort study. </w:t>
      </w:r>
      <w:r>
        <w:rPr>
          <w:rFonts w:ascii="Book Antiqua" w:hAnsi="Book Antiqua" w:eastAsia="Book Antiqua" w:cs="Book Antiqua"/>
          <w:i/>
          <w:iCs/>
          <w:color w:val="000000"/>
        </w:rPr>
        <w:t>Infect Dis (Lond)</w:t>
      </w:r>
      <w:r>
        <w:rPr>
          <w:rFonts w:ascii="Book Antiqua" w:hAnsi="Book Antiqua" w:eastAsia="Book Antiqua" w:cs="Book Antiqua"/>
          <w:color w:val="000000"/>
        </w:rPr>
        <w:t xml:space="preserve"> 2015; </w:t>
      </w:r>
      <w:r>
        <w:rPr>
          <w:rFonts w:ascii="Book Antiqua" w:hAnsi="Book Antiqua" w:eastAsia="Book Antiqua" w:cs="Book Antiqua"/>
          <w:b/>
          <w:bCs/>
          <w:color w:val="000000"/>
        </w:rPr>
        <w:t>47</w:t>
      </w:r>
      <w:r>
        <w:rPr>
          <w:rFonts w:ascii="Book Antiqua" w:hAnsi="Book Antiqua" w:eastAsia="Book Antiqua" w:cs="Book Antiqua"/>
          <w:color w:val="000000"/>
        </w:rPr>
        <w:t>: 755-760 [PMID: 26050703 DOI: 10.3109/23744235.2015.1055586]</w:t>
      </w:r>
    </w:p>
    <w:p>
      <w:pPr>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Özkarakaş H</w:t>
      </w:r>
      <w:r>
        <w:rPr>
          <w:rFonts w:ascii="Book Antiqua" w:hAnsi="Book Antiqua" w:eastAsia="Book Antiqua" w:cs="Book Antiqua"/>
          <w:color w:val="000000"/>
        </w:rPr>
        <w:t xml:space="preserve">, Köse I, Zincircioğlu Ç, Ersan S, Ersan G, Şenoğlu N, Köse Ş, Erbay RH. Risk factors for colistin-associated nephrotoxicity and mortality in critically ill patients. </w:t>
      </w:r>
      <w:r>
        <w:rPr>
          <w:rFonts w:ascii="Book Antiqua" w:hAnsi="Book Antiqua" w:eastAsia="Book Antiqua" w:cs="Book Antiqua"/>
          <w:i/>
          <w:iCs/>
          <w:color w:val="000000"/>
        </w:rPr>
        <w:t>Turk J Med Sci</w:t>
      </w:r>
      <w:r>
        <w:rPr>
          <w:rFonts w:ascii="Book Antiqua" w:hAnsi="Book Antiqua" w:eastAsia="Book Antiqua" w:cs="Book Antiqua"/>
          <w:color w:val="000000"/>
        </w:rPr>
        <w:t xml:space="preserve"> 2017; </w:t>
      </w:r>
      <w:r>
        <w:rPr>
          <w:rFonts w:ascii="Book Antiqua" w:hAnsi="Book Antiqua" w:eastAsia="Book Antiqua" w:cs="Book Antiqua"/>
          <w:b/>
          <w:bCs/>
          <w:color w:val="000000"/>
        </w:rPr>
        <w:t>47</w:t>
      </w:r>
      <w:r>
        <w:rPr>
          <w:rFonts w:ascii="Book Antiqua" w:hAnsi="Book Antiqua" w:eastAsia="Book Antiqua" w:cs="Book Antiqua"/>
          <w:color w:val="000000"/>
        </w:rPr>
        <w:t>: 1165-1172 [PMID: 29156858 DOI: 10.3906/sag-1604-60]</w:t>
      </w:r>
    </w:p>
    <w:p>
      <w:pPr>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Petrosillo N</w:t>
      </w:r>
      <w:r>
        <w:rPr>
          <w:rFonts w:ascii="Book Antiqua" w:hAnsi="Book Antiqua" w:eastAsia="Book Antiqua" w:cs="Book Antiqua"/>
          <w:color w:val="000000"/>
        </w:rPr>
        <w:t xml:space="preserve">, Giannella M, Antonelli M, Antonini M, Barsic B, Belancic L, Inkaya A C, De Pascale G, Grilli E, Tumbarello M, Akova M. Clinical experience of colistin-glycopeptide combination in critically ill patients infected with Gram-negative bacteria.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2014; </w:t>
      </w:r>
      <w:r>
        <w:rPr>
          <w:rFonts w:ascii="Book Antiqua" w:hAnsi="Book Antiqua" w:eastAsia="Book Antiqua" w:cs="Book Antiqua"/>
          <w:b/>
          <w:bCs/>
          <w:color w:val="000000"/>
        </w:rPr>
        <w:t>58</w:t>
      </w:r>
      <w:r>
        <w:rPr>
          <w:rFonts w:ascii="Book Antiqua" w:hAnsi="Book Antiqua" w:eastAsia="Book Antiqua" w:cs="Book Antiqua"/>
          <w:color w:val="000000"/>
        </w:rPr>
        <w:t>: 851-858 [PMID: 24277037 DOI: 10.1128/AAC.00871-13]</w:t>
      </w:r>
    </w:p>
    <w:p>
      <w:pPr>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Quintanilha JCF</w:t>
      </w:r>
      <w:r>
        <w:rPr>
          <w:rFonts w:ascii="Book Antiqua" w:hAnsi="Book Antiqua" w:eastAsia="Book Antiqua" w:cs="Book Antiqua"/>
          <w:color w:val="000000"/>
        </w:rPr>
        <w:t xml:space="preserve">, Duarte NDC, Lloret GR, Visacri MB, Mattos KPH, Dragosavac D, Falcão ALE, Moriel P. Colistin and polymyxin B for treatment of nosocomial infections in intensive care unit patients: pharmacoeconomic analysis. </w:t>
      </w:r>
      <w:r>
        <w:rPr>
          <w:rFonts w:ascii="Book Antiqua" w:hAnsi="Book Antiqua" w:eastAsia="Book Antiqua" w:cs="Book Antiqua"/>
          <w:i/>
          <w:iCs/>
          <w:color w:val="000000"/>
        </w:rPr>
        <w:t>Int J Clin Pharm</w:t>
      </w:r>
      <w:r>
        <w:rPr>
          <w:rFonts w:ascii="Book Antiqua" w:hAnsi="Book Antiqua" w:eastAsia="Book Antiqua" w:cs="Book Antiqua"/>
          <w:color w:val="000000"/>
        </w:rPr>
        <w:t xml:space="preserve"> 2019; </w:t>
      </w:r>
      <w:r>
        <w:rPr>
          <w:rFonts w:ascii="Book Antiqua" w:hAnsi="Book Antiqua" w:eastAsia="Book Antiqua" w:cs="Book Antiqua"/>
          <w:b/>
          <w:bCs/>
          <w:color w:val="000000"/>
        </w:rPr>
        <w:t>41</w:t>
      </w:r>
      <w:r>
        <w:rPr>
          <w:rFonts w:ascii="Book Antiqua" w:hAnsi="Book Antiqua" w:eastAsia="Book Antiqua" w:cs="Book Antiqua"/>
          <w:color w:val="000000"/>
        </w:rPr>
        <w:t>: 74-80 [PMID: 30552622 DOI: 10.1007/s11096-018-0766-x]</w:t>
      </w:r>
    </w:p>
    <w:p>
      <w:pPr>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Ramasubban S</w:t>
      </w:r>
      <w:r>
        <w:rPr>
          <w:rFonts w:ascii="Book Antiqua" w:hAnsi="Book Antiqua" w:eastAsia="Book Antiqua" w:cs="Book Antiqua"/>
          <w:color w:val="000000"/>
        </w:rPr>
        <w:t xml:space="preserve">, Majumdar A, Das PS. Safety and efficacy of polymyxin B in multidrug resistant Gram-negative severe sepsis and septic shock. </w:t>
      </w:r>
      <w:r>
        <w:rPr>
          <w:rFonts w:ascii="Book Antiqua" w:hAnsi="Book Antiqua" w:eastAsia="Book Antiqua" w:cs="Book Antiqua"/>
          <w:i/>
          <w:iCs/>
          <w:color w:val="000000"/>
        </w:rPr>
        <w:t>Indian J Crit Care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12</w:t>
      </w:r>
      <w:r>
        <w:rPr>
          <w:rFonts w:ascii="Book Antiqua" w:hAnsi="Book Antiqua" w:eastAsia="Book Antiqua" w:cs="Book Antiqua"/>
          <w:color w:val="000000"/>
        </w:rPr>
        <w:t>: 153-157 [PMID: 19742270 DOI: 10.4103/0972-5229.45074]</w:t>
      </w:r>
    </w:p>
    <w:p>
      <w:pPr>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Rashizal Sazli MR</w:t>
      </w:r>
      <w:r>
        <w:rPr>
          <w:rFonts w:ascii="Book Antiqua" w:hAnsi="Book Antiqua" w:eastAsia="Book Antiqua" w:cs="Book Antiqua"/>
          <w:color w:val="000000"/>
        </w:rPr>
        <w:t xml:space="preserve">, Syed Mohamed AF, Wan Mazuan WM, Ling SM, Mahmud A, Amin Nordin S. Colistin-associated nephrotoxicity among patients in intensive care units (ICU) of hospitals in Selangor. </w:t>
      </w:r>
      <w:r>
        <w:rPr>
          <w:rFonts w:ascii="Book Antiqua" w:hAnsi="Book Antiqua" w:eastAsia="Book Antiqua" w:cs="Book Antiqua"/>
          <w:i/>
          <w:iCs/>
          <w:color w:val="000000"/>
        </w:rPr>
        <w:t>Med J Malaysia</w:t>
      </w:r>
      <w:r>
        <w:rPr>
          <w:rFonts w:ascii="Book Antiqua" w:hAnsi="Book Antiqua" w:eastAsia="Book Antiqua" w:cs="Book Antiqua"/>
          <w:color w:val="000000"/>
        </w:rPr>
        <w:t xml:space="preserve"> 2017; </w:t>
      </w:r>
      <w:r>
        <w:rPr>
          <w:rFonts w:ascii="Book Antiqua" w:hAnsi="Book Antiqua" w:eastAsia="Book Antiqua" w:cs="Book Antiqua"/>
          <w:b/>
          <w:bCs/>
          <w:color w:val="000000"/>
        </w:rPr>
        <w:t>72</w:t>
      </w:r>
      <w:r>
        <w:rPr>
          <w:rFonts w:ascii="Book Antiqua" w:hAnsi="Book Antiqua" w:eastAsia="Book Antiqua" w:cs="Book Antiqua"/>
          <w:color w:val="000000"/>
        </w:rPr>
        <w:t>: 100-105 [PMID: 28473672]</w:t>
      </w:r>
    </w:p>
    <w:p>
      <w:pPr>
        <w:spacing w:line="360" w:lineRule="auto"/>
        <w:jc w:val="both"/>
        <w:rPr>
          <w:rFonts w:ascii="Book Antiqua" w:hAnsi="Book Antiqua"/>
        </w:rPr>
      </w:pPr>
      <w:r>
        <w:rPr>
          <w:rFonts w:ascii="Book Antiqua" w:hAnsi="Book Antiqua" w:eastAsia="Book Antiqua" w:cs="Book Antiqua"/>
          <w:color w:val="000000"/>
        </w:rPr>
        <w:t xml:space="preserve">65 </w:t>
      </w:r>
      <w:r>
        <w:rPr>
          <w:rFonts w:ascii="Book Antiqua" w:hAnsi="Book Antiqua" w:eastAsia="Book Antiqua" w:cs="Book Antiqua"/>
          <w:b/>
          <w:bCs/>
          <w:color w:val="000000"/>
        </w:rPr>
        <w:t>Reina R</w:t>
      </w:r>
      <w:r>
        <w:rPr>
          <w:rFonts w:ascii="Book Antiqua" w:hAnsi="Book Antiqua" w:eastAsia="Book Antiqua" w:cs="Book Antiqua"/>
          <w:color w:val="000000"/>
        </w:rPr>
        <w:t xml:space="preserve">, Estenssoro E, Sáenz G, Canales HS, Gonzalvo R, Vidal G, Martins G, Das Neves A, Santander O, Ramos C. Safety and efficacy of colistin in Acinetobacter and Pseudomonas infections: a prospective cohort study.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2005; </w:t>
      </w:r>
      <w:r>
        <w:rPr>
          <w:rFonts w:ascii="Book Antiqua" w:hAnsi="Book Antiqua" w:eastAsia="Book Antiqua" w:cs="Book Antiqua"/>
          <w:b/>
          <w:bCs/>
          <w:color w:val="000000"/>
        </w:rPr>
        <w:t>31</w:t>
      </w:r>
      <w:r>
        <w:rPr>
          <w:rFonts w:ascii="Book Antiqua" w:hAnsi="Book Antiqua" w:eastAsia="Book Antiqua" w:cs="Book Antiqua"/>
          <w:color w:val="000000"/>
        </w:rPr>
        <w:t>: 1058-1065 [PMID: 15983759 DOI: 10.1007/s00134-005-2691-4]</w:t>
      </w:r>
    </w:p>
    <w:p>
      <w:pPr>
        <w:spacing w:line="360" w:lineRule="auto"/>
        <w:jc w:val="both"/>
        <w:rPr>
          <w:rFonts w:ascii="Book Antiqua" w:hAnsi="Book Antiqua"/>
        </w:rPr>
      </w:pPr>
      <w:r>
        <w:rPr>
          <w:rFonts w:ascii="Book Antiqua" w:hAnsi="Book Antiqua" w:eastAsia="Book Antiqua" w:cs="Book Antiqua"/>
          <w:color w:val="000000"/>
        </w:rPr>
        <w:t xml:space="preserve">66 </w:t>
      </w:r>
      <w:r>
        <w:rPr>
          <w:rFonts w:ascii="Book Antiqua" w:hAnsi="Book Antiqua" w:eastAsia="Book Antiqua" w:cs="Book Antiqua"/>
          <w:b/>
          <w:bCs/>
          <w:color w:val="000000"/>
        </w:rPr>
        <w:t>Rocco M</w:t>
      </w:r>
      <w:r>
        <w:rPr>
          <w:rFonts w:ascii="Book Antiqua" w:hAnsi="Book Antiqua" w:eastAsia="Book Antiqua" w:cs="Book Antiqua"/>
          <w:color w:val="000000"/>
        </w:rPr>
        <w:t xml:space="preserve">, Montini L, Alessandri E, Venditti M, Laderchi A, De Pascale G, Raponi G, Vitale M, Pietropaoli P, Antonelli M. Risk factors for acute kidney injury in critically ill patients receiving high intravenous doses of colistin methanesulfonate and/or other nephrotoxic antibiotics: a retrospective cohort study. </w:t>
      </w:r>
      <w:r>
        <w:rPr>
          <w:rFonts w:ascii="Book Antiqua" w:hAnsi="Book Antiqua" w:eastAsia="Book Antiqua" w:cs="Book Antiqua"/>
          <w:i/>
          <w:iCs/>
          <w:color w:val="000000"/>
        </w:rPr>
        <w:t>Crit Care</w:t>
      </w:r>
      <w:r>
        <w:rPr>
          <w:rFonts w:ascii="Book Antiqua" w:hAnsi="Book Antiqua" w:eastAsia="Book Antiqua" w:cs="Book Antiqua"/>
          <w:color w:val="000000"/>
        </w:rPr>
        <w:t xml:space="preserve"> 2013; </w:t>
      </w:r>
      <w:r>
        <w:rPr>
          <w:rFonts w:ascii="Book Antiqua" w:hAnsi="Book Antiqua" w:eastAsia="Book Antiqua" w:cs="Book Antiqua"/>
          <w:b/>
          <w:bCs/>
          <w:color w:val="000000"/>
        </w:rPr>
        <w:t>17</w:t>
      </w:r>
      <w:r>
        <w:rPr>
          <w:rFonts w:ascii="Book Antiqua" w:hAnsi="Book Antiqua" w:eastAsia="Book Antiqua" w:cs="Book Antiqua"/>
          <w:color w:val="000000"/>
        </w:rPr>
        <w:t>: R174 [PMID: 23945197 DOI: 10.1186/cc12853]</w:t>
      </w:r>
    </w:p>
    <w:p>
      <w:pPr>
        <w:spacing w:line="360" w:lineRule="auto"/>
        <w:jc w:val="both"/>
        <w:rPr>
          <w:rFonts w:ascii="Book Antiqua" w:hAnsi="Book Antiqua"/>
        </w:rPr>
      </w:pPr>
      <w:r>
        <w:rPr>
          <w:rFonts w:ascii="Book Antiqua" w:hAnsi="Book Antiqua" w:eastAsia="Book Antiqua" w:cs="Book Antiqua"/>
          <w:color w:val="000000"/>
        </w:rPr>
        <w:t xml:space="preserve">67 </w:t>
      </w:r>
      <w:r>
        <w:rPr>
          <w:rFonts w:ascii="Book Antiqua" w:hAnsi="Book Antiqua" w:eastAsia="Book Antiqua" w:cs="Book Antiqua"/>
          <w:b/>
          <w:bCs/>
          <w:color w:val="000000"/>
        </w:rPr>
        <w:t>Salahuddin N</w:t>
      </w:r>
      <w:r>
        <w:rPr>
          <w:rFonts w:ascii="Book Antiqua" w:hAnsi="Book Antiqua" w:eastAsia="Book Antiqua" w:cs="Book Antiqua"/>
          <w:color w:val="000000"/>
        </w:rPr>
        <w:t xml:space="preserve">, Sammani M, Hamdan A, Joseph M, Al-Nemary Y, Alquaiz R, Dahli R, Maghrabi K. Fluid overload is an independent risk factor for acute kidney injury in critically Ill patients: results of a cohort study. </w:t>
      </w:r>
      <w:r>
        <w:rPr>
          <w:rFonts w:ascii="Book Antiqua" w:hAnsi="Book Antiqua" w:eastAsia="Book Antiqua" w:cs="Book Antiqua"/>
          <w:i/>
          <w:iCs/>
          <w:color w:val="000000"/>
        </w:rPr>
        <w:t>BMC Nephrol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18</w:t>
      </w:r>
      <w:r>
        <w:rPr>
          <w:rFonts w:ascii="Book Antiqua" w:hAnsi="Book Antiqua" w:eastAsia="Book Antiqua" w:cs="Book Antiqua"/>
          <w:color w:val="000000"/>
        </w:rPr>
        <w:t>: 45 [PMID: 28143505 DOI: 10.1186/s12882-017-0460-6]</w:t>
      </w:r>
    </w:p>
    <w:p>
      <w:pPr>
        <w:spacing w:line="360" w:lineRule="auto"/>
        <w:jc w:val="both"/>
        <w:rPr>
          <w:rFonts w:ascii="Book Antiqua" w:hAnsi="Book Antiqua"/>
        </w:rPr>
      </w:pPr>
      <w:r>
        <w:rPr>
          <w:rFonts w:ascii="Book Antiqua" w:hAnsi="Book Antiqua" w:eastAsia="Book Antiqua" w:cs="Book Antiqua"/>
          <w:color w:val="000000"/>
        </w:rPr>
        <w:t xml:space="preserve">68 </w:t>
      </w:r>
      <w:r>
        <w:rPr>
          <w:rFonts w:ascii="Book Antiqua" w:hAnsi="Book Antiqua" w:eastAsia="Book Antiqua" w:cs="Book Antiqua"/>
          <w:b/>
          <w:bCs/>
          <w:color w:val="000000"/>
        </w:rPr>
        <w:t>Sekhri K</w:t>
      </w:r>
      <w:r>
        <w:rPr>
          <w:rFonts w:ascii="Book Antiqua" w:hAnsi="Book Antiqua" w:eastAsia="Book Antiqua" w:cs="Book Antiqua"/>
          <w:color w:val="000000"/>
        </w:rPr>
        <w:t xml:space="preserve">, Nandha R, Mandal A, Bhasin D, Singh H. Parenteral polymyxins: assessing efficacy and safety in critically ill patients with renal dysfunction. </w:t>
      </w:r>
      <w:r>
        <w:rPr>
          <w:rFonts w:ascii="Book Antiqua" w:hAnsi="Book Antiqua" w:eastAsia="Book Antiqua" w:cs="Book Antiqua"/>
          <w:i/>
          <w:iCs/>
          <w:color w:val="000000"/>
        </w:rPr>
        <w:t>Indian J Pharmacol</w:t>
      </w:r>
      <w:r>
        <w:rPr>
          <w:rFonts w:ascii="Book Antiqua" w:hAnsi="Book Antiqua" w:eastAsia="Book Antiqua" w:cs="Book Antiqua"/>
          <w:color w:val="000000"/>
        </w:rPr>
        <w:t xml:space="preserve"> 2013; </w:t>
      </w:r>
      <w:r>
        <w:rPr>
          <w:rFonts w:ascii="Book Antiqua" w:hAnsi="Book Antiqua" w:eastAsia="Book Antiqua" w:cs="Book Antiqua"/>
          <w:b/>
          <w:bCs/>
          <w:color w:val="000000"/>
        </w:rPr>
        <w:t>45</w:t>
      </w:r>
      <w:r>
        <w:rPr>
          <w:rFonts w:ascii="Book Antiqua" w:hAnsi="Book Antiqua" w:eastAsia="Book Antiqua" w:cs="Book Antiqua"/>
          <w:color w:val="000000"/>
        </w:rPr>
        <w:t>: 608-611 [PMID: 24347770 DOI: 10.4103/0253-7613.121373]</w:t>
      </w:r>
    </w:p>
    <w:p>
      <w:pPr>
        <w:spacing w:line="360" w:lineRule="auto"/>
        <w:jc w:val="both"/>
        <w:rPr>
          <w:rFonts w:ascii="Book Antiqua" w:hAnsi="Book Antiqua"/>
        </w:rPr>
      </w:pPr>
      <w:r>
        <w:rPr>
          <w:rFonts w:ascii="Book Antiqua" w:hAnsi="Book Antiqua" w:eastAsia="Book Antiqua" w:cs="Book Antiqua"/>
          <w:color w:val="000000"/>
        </w:rPr>
        <w:t xml:space="preserve">69 </w:t>
      </w:r>
      <w:r>
        <w:rPr>
          <w:rFonts w:ascii="Book Antiqua" w:hAnsi="Book Antiqua" w:eastAsia="Book Antiqua" w:cs="Book Antiqua"/>
          <w:b/>
          <w:bCs/>
          <w:color w:val="000000"/>
        </w:rPr>
        <w:t>Soares DS</w:t>
      </w:r>
      <w:r>
        <w:rPr>
          <w:rFonts w:ascii="Book Antiqua" w:hAnsi="Book Antiqua" w:eastAsia="Book Antiqua" w:cs="Book Antiqua"/>
          <w:color w:val="000000"/>
        </w:rPr>
        <w:t xml:space="preserve">, Reis ADF, Silva Junior GBD, Leite TT, Parente Filho SLA, Rocha CVO, Daher EF. Polymyxin-B and vancomycin-associated acute kidney injury in critically ill patients. </w:t>
      </w:r>
      <w:r>
        <w:rPr>
          <w:rFonts w:ascii="Book Antiqua" w:hAnsi="Book Antiqua" w:eastAsia="Book Antiqua" w:cs="Book Antiqua"/>
          <w:i/>
          <w:iCs/>
          <w:color w:val="000000"/>
        </w:rPr>
        <w:t>Pathog Glob Health</w:t>
      </w:r>
      <w:r>
        <w:rPr>
          <w:rFonts w:ascii="Book Antiqua" w:hAnsi="Book Antiqua" w:eastAsia="Book Antiqua" w:cs="Book Antiqua"/>
          <w:color w:val="000000"/>
        </w:rPr>
        <w:t xml:space="preserve"> 2017; </w:t>
      </w:r>
      <w:r>
        <w:rPr>
          <w:rFonts w:ascii="Book Antiqua" w:hAnsi="Book Antiqua" w:eastAsia="Book Antiqua" w:cs="Book Antiqua"/>
          <w:b/>
          <w:bCs/>
          <w:color w:val="000000"/>
        </w:rPr>
        <w:t>111</w:t>
      </w:r>
      <w:r>
        <w:rPr>
          <w:rFonts w:ascii="Book Antiqua" w:hAnsi="Book Antiqua" w:eastAsia="Book Antiqua" w:cs="Book Antiqua"/>
          <w:color w:val="000000"/>
        </w:rPr>
        <w:t>: 137-142 [PMID: 28353411 DOI: 10.1080/20477724.2017.1309338]</w:t>
      </w:r>
    </w:p>
    <w:p>
      <w:pPr>
        <w:spacing w:line="360" w:lineRule="auto"/>
        <w:jc w:val="both"/>
        <w:rPr>
          <w:rFonts w:ascii="Book Antiqua" w:hAnsi="Book Antiqua"/>
        </w:rPr>
      </w:pPr>
      <w:r>
        <w:rPr>
          <w:rFonts w:ascii="Book Antiqua" w:hAnsi="Book Antiqua" w:eastAsia="Book Antiqua" w:cs="Book Antiqua"/>
          <w:color w:val="000000"/>
        </w:rPr>
        <w:t xml:space="preserve">70 </w:t>
      </w:r>
      <w:r>
        <w:rPr>
          <w:rFonts w:ascii="Book Antiqua" w:hAnsi="Book Antiqua" w:eastAsia="Book Antiqua" w:cs="Book Antiqua"/>
          <w:b/>
          <w:bCs/>
          <w:color w:val="000000"/>
        </w:rPr>
        <w:t>Tanita MT</w:t>
      </w:r>
      <w:r>
        <w:rPr>
          <w:rFonts w:ascii="Book Antiqua" w:hAnsi="Book Antiqua" w:eastAsia="Book Antiqua" w:cs="Book Antiqua"/>
          <w:color w:val="000000"/>
        </w:rPr>
        <w:t xml:space="preserve">, Carrilho CM, Garcia JP, Festti J, Cardoso LT, Grion CM. Parenteral colistin for the treatment of severe infections: a single center experience. </w:t>
      </w:r>
      <w:r>
        <w:rPr>
          <w:rFonts w:ascii="Book Antiqua" w:hAnsi="Book Antiqua" w:eastAsia="Book Antiqua" w:cs="Book Antiqua"/>
          <w:i/>
          <w:iCs/>
          <w:color w:val="000000"/>
        </w:rPr>
        <w:t>Rev Bras Ter Intensiva</w:t>
      </w:r>
      <w:r>
        <w:rPr>
          <w:rFonts w:ascii="Book Antiqua" w:hAnsi="Book Antiqua" w:eastAsia="Book Antiqua" w:cs="Book Antiqua"/>
          <w:color w:val="000000"/>
        </w:rPr>
        <w:t xml:space="preserve"> 2013; </w:t>
      </w:r>
      <w:r>
        <w:rPr>
          <w:rFonts w:ascii="Book Antiqua" w:hAnsi="Book Antiqua" w:eastAsia="Book Antiqua" w:cs="Book Antiqua"/>
          <w:b/>
          <w:bCs/>
          <w:color w:val="000000"/>
        </w:rPr>
        <w:t>25</w:t>
      </w:r>
      <w:r>
        <w:rPr>
          <w:rFonts w:ascii="Book Antiqua" w:hAnsi="Book Antiqua" w:eastAsia="Book Antiqua" w:cs="Book Antiqua"/>
          <w:color w:val="000000"/>
        </w:rPr>
        <w:t>: 297-305 [PMID: 24553511 DOI: 10.5935/0103-507X.20130051]</w:t>
      </w:r>
    </w:p>
    <w:p>
      <w:pPr>
        <w:spacing w:line="360" w:lineRule="auto"/>
        <w:jc w:val="both"/>
        <w:rPr>
          <w:rFonts w:ascii="Book Antiqua" w:hAnsi="Book Antiqua"/>
        </w:rPr>
      </w:pPr>
      <w:r>
        <w:rPr>
          <w:rFonts w:ascii="Book Antiqua" w:hAnsi="Book Antiqua" w:eastAsia="Book Antiqua" w:cs="Book Antiqua"/>
          <w:color w:val="000000"/>
        </w:rPr>
        <w:t xml:space="preserve">71 </w:t>
      </w:r>
      <w:r>
        <w:rPr>
          <w:rFonts w:ascii="Book Antiqua" w:hAnsi="Book Antiqua" w:eastAsia="Book Antiqua" w:cs="Book Antiqua"/>
          <w:b/>
          <w:bCs/>
          <w:color w:val="000000"/>
        </w:rPr>
        <w:t>Tigen ET</w:t>
      </w:r>
      <w:r>
        <w:rPr>
          <w:rFonts w:ascii="Book Antiqua" w:hAnsi="Book Antiqua" w:eastAsia="Book Antiqua" w:cs="Book Antiqua"/>
          <w:color w:val="000000"/>
        </w:rPr>
        <w:t xml:space="preserve">, Koltka EN, Dogru A, Gura M, Vahabaoglu H. The risk factors of colistin methanesulfonate associated nephrotoxicity. </w:t>
      </w:r>
      <w:r>
        <w:rPr>
          <w:rFonts w:ascii="Book Antiqua" w:hAnsi="Book Antiqua" w:eastAsia="Book Antiqua" w:cs="Book Antiqua"/>
          <w:i/>
          <w:iCs/>
          <w:color w:val="000000"/>
        </w:rPr>
        <w:t>Indian J Crit Care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20</w:t>
      </w:r>
      <w:r>
        <w:rPr>
          <w:rFonts w:ascii="Book Antiqua" w:hAnsi="Book Antiqua" w:eastAsia="Book Antiqua" w:cs="Book Antiqua"/>
          <w:color w:val="000000"/>
        </w:rPr>
        <w:t>: 353-356 [PMID: 27390460 DOI: 10.4103/0972-5229.183905]</w:t>
      </w:r>
    </w:p>
    <w:p>
      <w:pPr>
        <w:spacing w:line="360" w:lineRule="auto"/>
        <w:jc w:val="both"/>
        <w:rPr>
          <w:rFonts w:ascii="Book Antiqua" w:hAnsi="Book Antiqua"/>
        </w:rPr>
      </w:pPr>
      <w:r>
        <w:rPr>
          <w:rFonts w:ascii="Book Antiqua" w:hAnsi="Book Antiqua" w:eastAsia="Book Antiqua" w:cs="Book Antiqua"/>
          <w:color w:val="000000"/>
        </w:rPr>
        <w:t xml:space="preserve">72 </w:t>
      </w:r>
      <w:r>
        <w:rPr>
          <w:rFonts w:ascii="Book Antiqua" w:hAnsi="Book Antiqua" w:eastAsia="Book Antiqua" w:cs="Book Antiqua"/>
          <w:b/>
          <w:bCs/>
          <w:color w:val="000000"/>
        </w:rPr>
        <w:t>Tigen ET</w:t>
      </w:r>
      <w:r>
        <w:rPr>
          <w:rFonts w:ascii="Book Antiqua" w:hAnsi="Book Antiqua" w:eastAsia="Book Antiqua" w:cs="Book Antiqua"/>
          <w:color w:val="000000"/>
        </w:rPr>
        <w:t xml:space="preserve">, Koltka EN, Dogru A, Orhon ZN, Gura M, Vahaboglu H. Impact of the initiation time of colistin treatment for Acinetobacter infections. </w:t>
      </w:r>
      <w:r>
        <w:rPr>
          <w:rFonts w:ascii="Book Antiqua" w:hAnsi="Book Antiqua" w:eastAsia="Book Antiqua" w:cs="Book Antiqua"/>
          <w:i/>
          <w:iCs/>
          <w:color w:val="000000"/>
        </w:rPr>
        <w:t>J Infect Chemother</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703-708 [PMID: 23393014 DOI: 10.1007/s10156-013-0549-1]</w:t>
      </w:r>
    </w:p>
    <w:p>
      <w:pPr>
        <w:spacing w:line="360" w:lineRule="auto"/>
        <w:jc w:val="both"/>
        <w:rPr>
          <w:rFonts w:ascii="Book Antiqua" w:hAnsi="Book Antiqua"/>
        </w:rPr>
      </w:pPr>
      <w:r>
        <w:rPr>
          <w:rFonts w:ascii="Book Antiqua" w:hAnsi="Book Antiqua" w:eastAsia="Book Antiqua" w:cs="Book Antiqua"/>
          <w:color w:val="000000"/>
        </w:rPr>
        <w:t xml:space="preserve">73 </w:t>
      </w:r>
      <w:r>
        <w:rPr>
          <w:rFonts w:ascii="Book Antiqua" w:hAnsi="Book Antiqua" w:eastAsia="Book Antiqua" w:cs="Book Antiqua"/>
          <w:b/>
          <w:bCs/>
          <w:color w:val="000000"/>
        </w:rPr>
        <w:t>Tumbarello M</w:t>
      </w:r>
      <w:r>
        <w:rPr>
          <w:rFonts w:ascii="Book Antiqua" w:hAnsi="Book Antiqua" w:eastAsia="Book Antiqua" w:cs="Book Antiqua"/>
          <w:color w:val="000000"/>
        </w:rPr>
        <w:t xml:space="preserve">, De Pascale G, Trecarichi EM, De Martino S, Bello G, Maviglia R, Spanu T, Antonelli M. Effect of aerosolized colistin as adjunctive treatment on the outcomes of microbiologically documented ventilator-associated pneumonia caused by colistin-only susceptible gram-negative bacteria.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2013; </w:t>
      </w:r>
      <w:r>
        <w:rPr>
          <w:rFonts w:ascii="Book Antiqua" w:hAnsi="Book Antiqua" w:eastAsia="Book Antiqua" w:cs="Book Antiqua"/>
          <w:b/>
          <w:bCs/>
          <w:color w:val="000000"/>
        </w:rPr>
        <w:t>144</w:t>
      </w:r>
      <w:r>
        <w:rPr>
          <w:rFonts w:ascii="Book Antiqua" w:hAnsi="Book Antiqua" w:eastAsia="Book Antiqua" w:cs="Book Antiqua"/>
          <w:color w:val="000000"/>
        </w:rPr>
        <w:t>: 1768-1775 [PMID: 23989805 DOI: 10.1378/chest.13-1018]</w:t>
      </w:r>
    </w:p>
    <w:p>
      <w:pPr>
        <w:spacing w:line="360" w:lineRule="auto"/>
        <w:jc w:val="both"/>
        <w:rPr>
          <w:rFonts w:ascii="Book Antiqua" w:hAnsi="Book Antiqua"/>
        </w:rPr>
      </w:pPr>
      <w:r>
        <w:rPr>
          <w:rFonts w:ascii="Book Antiqua" w:hAnsi="Book Antiqua" w:eastAsia="Book Antiqua" w:cs="Book Antiqua"/>
          <w:color w:val="000000"/>
        </w:rPr>
        <w:t xml:space="preserve">74 </w:t>
      </w:r>
      <w:r>
        <w:rPr>
          <w:rFonts w:ascii="Book Antiqua" w:hAnsi="Book Antiqua" w:eastAsia="Book Antiqua" w:cs="Book Antiqua"/>
          <w:b/>
          <w:bCs/>
          <w:color w:val="000000"/>
        </w:rPr>
        <w:t>Turkoglu M</w:t>
      </w:r>
      <w:r>
        <w:rPr>
          <w:rFonts w:ascii="Book Antiqua" w:hAnsi="Book Antiqua" w:eastAsia="Book Antiqua" w:cs="Book Antiqua"/>
          <w:color w:val="000000"/>
        </w:rPr>
        <w:t xml:space="preserve">, Dizbay M, Ciftçi A, Aksakal FN, Aygencel G. Colistin therapy in critically ill patients with chronic renal failure and its effect on development of renal dysfunction. </w:t>
      </w:r>
      <w:r>
        <w:rPr>
          <w:rFonts w:ascii="Book Antiqua" w:hAnsi="Book Antiqua" w:eastAsia="Book Antiqua" w:cs="Book Antiqua"/>
          <w:i/>
          <w:iCs/>
          <w:color w:val="000000"/>
        </w:rPr>
        <w:t>Int J Antimicrob Agents</w:t>
      </w:r>
      <w:r>
        <w:rPr>
          <w:rFonts w:ascii="Book Antiqua" w:hAnsi="Book Antiqua" w:eastAsia="Book Antiqua" w:cs="Book Antiqua"/>
          <w:color w:val="000000"/>
        </w:rPr>
        <w:t xml:space="preserve"> 2012; </w:t>
      </w:r>
      <w:r>
        <w:rPr>
          <w:rFonts w:ascii="Book Antiqua" w:hAnsi="Book Antiqua" w:eastAsia="Book Antiqua" w:cs="Book Antiqua"/>
          <w:b/>
          <w:bCs/>
          <w:color w:val="000000"/>
        </w:rPr>
        <w:t>39</w:t>
      </w:r>
      <w:r>
        <w:rPr>
          <w:rFonts w:ascii="Book Antiqua" w:hAnsi="Book Antiqua" w:eastAsia="Book Antiqua" w:cs="Book Antiqua"/>
          <w:color w:val="000000"/>
        </w:rPr>
        <w:t>: 142-145 [PMID: 22115538 DOI: 10.1016/j.ijantimicag.2011.10.006]</w:t>
      </w:r>
    </w:p>
    <w:p>
      <w:pPr>
        <w:spacing w:line="360" w:lineRule="auto"/>
        <w:jc w:val="both"/>
        <w:rPr>
          <w:rFonts w:ascii="Book Antiqua" w:hAnsi="Book Antiqua"/>
        </w:rPr>
      </w:pPr>
      <w:r>
        <w:rPr>
          <w:rFonts w:ascii="Book Antiqua" w:hAnsi="Book Antiqua" w:eastAsia="Book Antiqua" w:cs="Book Antiqua"/>
          <w:color w:val="000000"/>
        </w:rPr>
        <w:t xml:space="preserve">75 </w:t>
      </w:r>
      <w:r>
        <w:rPr>
          <w:rFonts w:ascii="Book Antiqua" w:hAnsi="Book Antiqua" w:eastAsia="Book Antiqua" w:cs="Book Antiqua"/>
          <w:b/>
          <w:bCs/>
          <w:color w:val="000000"/>
        </w:rPr>
        <w:t>Zalts R</w:t>
      </w:r>
      <w:r>
        <w:rPr>
          <w:rFonts w:ascii="Book Antiqua" w:hAnsi="Book Antiqua" w:eastAsia="Book Antiqua" w:cs="Book Antiqua"/>
          <w:color w:val="000000"/>
        </w:rPr>
        <w:t xml:space="preserve">, Neuberger A, Hussein K, Raz-Pasteur A, Geffen Y, Mashiach T, Finkelstein R. Treatment of Carbapenem-Resistant Acinetobacter baumannii Ventilator-Associated Pneumonia: Retrospective Comparison Between Intravenous Colistin and Intravenous Ampicillin-Sulbactam. </w:t>
      </w:r>
      <w:r>
        <w:rPr>
          <w:rFonts w:ascii="Book Antiqua" w:hAnsi="Book Antiqua" w:eastAsia="Book Antiqua" w:cs="Book Antiqua"/>
          <w:i/>
          <w:iCs/>
          <w:color w:val="000000"/>
        </w:rPr>
        <w:t>Am J Ther</w:t>
      </w:r>
      <w:r>
        <w:rPr>
          <w:rFonts w:ascii="Book Antiqua" w:hAnsi="Book Antiqua" w:eastAsia="Book Antiqua" w:cs="Book Antiqua"/>
          <w:color w:val="000000"/>
        </w:rPr>
        <w:t xml:space="preserve"> 2016; </w:t>
      </w:r>
      <w:r>
        <w:rPr>
          <w:rFonts w:ascii="Book Antiqua" w:hAnsi="Book Antiqua" w:eastAsia="Book Antiqua" w:cs="Book Antiqua"/>
          <w:b/>
          <w:bCs/>
          <w:color w:val="000000"/>
        </w:rPr>
        <w:t>23</w:t>
      </w:r>
      <w:r>
        <w:rPr>
          <w:rFonts w:ascii="Book Antiqua" w:hAnsi="Book Antiqua" w:eastAsia="Book Antiqua" w:cs="Book Antiqua"/>
          <w:color w:val="000000"/>
        </w:rPr>
        <w:t>: e78-e85 [PMID: 24263165 DOI: 10.1097/MJT.0b013e3182a32df3]</w:t>
      </w:r>
    </w:p>
    <w:p>
      <w:pPr>
        <w:spacing w:line="360" w:lineRule="auto"/>
        <w:jc w:val="both"/>
        <w:rPr>
          <w:rFonts w:ascii="Book Antiqua" w:hAnsi="Book Antiqua"/>
        </w:rPr>
      </w:pPr>
      <w:r>
        <w:rPr>
          <w:rFonts w:ascii="Book Antiqua" w:hAnsi="Book Antiqua" w:eastAsia="Book Antiqua" w:cs="Book Antiqua"/>
          <w:color w:val="000000"/>
        </w:rPr>
        <w:t xml:space="preserve">76 </w:t>
      </w:r>
      <w:r>
        <w:rPr>
          <w:rFonts w:ascii="Book Antiqua" w:hAnsi="Book Antiqua" w:eastAsia="Book Antiqua" w:cs="Book Antiqua"/>
          <w:b/>
          <w:bCs/>
          <w:color w:val="000000"/>
        </w:rPr>
        <w:t>Akajagbor DS,</w:t>
      </w:r>
      <w:r>
        <w:rPr>
          <w:rFonts w:ascii="Book Antiqua" w:hAnsi="Book Antiqua" w:eastAsia="Book Antiqua" w:cs="Book Antiqua"/>
          <w:color w:val="000000"/>
        </w:rPr>
        <w:t xml:space="preserve"> Wilson SL, Shere-Wolfe KD, Dakum P, Charurat ME, Gilliam BL Higher incidence of acute kidney injury with intravenous colistimethate sodium compared with polymyxin B in critically ill patients at a tertiary care medical center. </w:t>
      </w:r>
      <w:r>
        <w:rPr>
          <w:rFonts w:ascii="Book Antiqua" w:hAnsi="Book Antiqua" w:eastAsia="Book Antiqua" w:cs="Book Antiqua"/>
          <w:i/>
          <w:color w:val="000000"/>
        </w:rPr>
        <w:t xml:space="preserve">Clin Infect Dis </w:t>
      </w:r>
      <w:r>
        <w:rPr>
          <w:rFonts w:ascii="Book Antiqua" w:hAnsi="Book Antiqua" w:eastAsia="Book Antiqua" w:cs="Book Antiqua"/>
          <w:color w:val="000000"/>
        </w:rPr>
        <w:t xml:space="preserve">2013; </w:t>
      </w:r>
      <w:r>
        <w:rPr>
          <w:rFonts w:ascii="Book Antiqua" w:hAnsi="Book Antiqua" w:eastAsia="Book Antiqua" w:cs="Book Antiqua"/>
          <w:b/>
          <w:color w:val="000000"/>
        </w:rPr>
        <w:t>57:</w:t>
      </w:r>
      <w:r>
        <w:rPr>
          <w:rFonts w:ascii="Book Antiqua" w:hAnsi="Book Antiqua" w:eastAsia="Book Antiqua" w:cs="Book Antiqua"/>
          <w:color w:val="000000"/>
        </w:rPr>
        <w:t xml:space="preserve"> 1300-1303 [DOI: 10.1093/cid/cit453]</w:t>
      </w:r>
    </w:p>
    <w:p>
      <w:pPr>
        <w:spacing w:line="360" w:lineRule="auto"/>
        <w:jc w:val="both"/>
        <w:rPr>
          <w:rFonts w:ascii="Book Antiqua" w:hAnsi="Book Antiqua"/>
        </w:rPr>
      </w:pPr>
      <w:r>
        <w:rPr>
          <w:rFonts w:ascii="Book Antiqua" w:hAnsi="Book Antiqua" w:eastAsia="Book Antiqua" w:cs="Book Antiqua"/>
          <w:color w:val="000000"/>
        </w:rPr>
        <w:t xml:space="preserve">77 </w:t>
      </w:r>
      <w:r>
        <w:rPr>
          <w:rFonts w:ascii="Book Antiqua" w:hAnsi="Book Antiqua" w:eastAsia="Book Antiqua" w:cs="Book Antiqua"/>
          <w:b/>
          <w:bCs/>
          <w:color w:val="000000"/>
        </w:rPr>
        <w:t>John JF</w:t>
      </w:r>
      <w:r>
        <w:rPr>
          <w:rFonts w:ascii="Book Antiqua" w:hAnsi="Book Antiqua" w:eastAsia="Book Antiqua" w:cs="Book Antiqua"/>
          <w:color w:val="000000"/>
        </w:rPr>
        <w:t xml:space="preserve">, Falci DR, Rigatto MH, Oliveira RD, Kremer TG, Zavascki AP. Severe Infusion-Related Adverse Events and Renal Failure in Patients Receiving High-Dose Intravenous Polymyxin B.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2018; </w:t>
      </w:r>
      <w:r>
        <w:rPr>
          <w:rFonts w:ascii="Book Antiqua" w:hAnsi="Book Antiqua" w:eastAsia="Book Antiqua" w:cs="Book Antiqua"/>
          <w:b/>
          <w:bCs/>
          <w:color w:val="000000"/>
        </w:rPr>
        <w:t>62</w:t>
      </w:r>
      <w:r>
        <w:rPr>
          <w:rFonts w:ascii="Book Antiqua" w:hAnsi="Book Antiqua" w:eastAsia="Book Antiqua" w:cs="Book Antiqua"/>
          <w:color w:val="000000"/>
        </w:rPr>
        <w:t xml:space="preserve"> [PMID: 29038262 DOI: 10.1128/AAC.01617-17]</w:t>
      </w:r>
    </w:p>
    <w:p>
      <w:pPr>
        <w:spacing w:line="360" w:lineRule="auto"/>
        <w:jc w:val="both"/>
        <w:rPr>
          <w:rFonts w:ascii="Book Antiqua" w:hAnsi="Book Antiqua"/>
        </w:rPr>
      </w:pPr>
      <w:r>
        <w:rPr>
          <w:rFonts w:ascii="Book Antiqua" w:hAnsi="Book Antiqua" w:eastAsia="Book Antiqua" w:cs="Book Antiqua"/>
          <w:color w:val="000000"/>
        </w:rPr>
        <w:t xml:space="preserve">78 </w:t>
      </w:r>
      <w:r>
        <w:rPr>
          <w:rFonts w:ascii="Book Antiqua" w:hAnsi="Book Antiqua" w:eastAsia="Book Antiqua" w:cs="Book Antiqua"/>
          <w:b/>
          <w:bCs/>
          <w:color w:val="000000"/>
        </w:rPr>
        <w:t>Kwon SH</w:t>
      </w:r>
      <w:r>
        <w:rPr>
          <w:rFonts w:ascii="Book Antiqua" w:hAnsi="Book Antiqua" w:eastAsia="Book Antiqua" w:cs="Book Antiqua"/>
          <w:color w:val="000000"/>
        </w:rPr>
        <w:t xml:space="preserve">, Ahn HL, Han OY, La HO. Efficacy and safety profile comparison of colistin and tigecycline on the extensively drug resistant Acinetobacter baumannii. </w:t>
      </w:r>
      <w:r>
        <w:rPr>
          <w:rFonts w:ascii="Book Antiqua" w:hAnsi="Book Antiqua" w:eastAsia="Book Antiqua" w:cs="Book Antiqua"/>
          <w:i/>
          <w:iCs/>
          <w:color w:val="000000"/>
        </w:rPr>
        <w:t>Biol Pharm Bull</w:t>
      </w:r>
      <w:r>
        <w:rPr>
          <w:rFonts w:ascii="Book Antiqua" w:hAnsi="Book Antiqua" w:eastAsia="Book Antiqua" w:cs="Book Antiqua"/>
          <w:color w:val="000000"/>
        </w:rPr>
        <w:t xml:space="preserve"> 2014; </w:t>
      </w:r>
      <w:r>
        <w:rPr>
          <w:rFonts w:ascii="Book Antiqua" w:hAnsi="Book Antiqua" w:eastAsia="Book Antiqua" w:cs="Book Antiqua"/>
          <w:b/>
          <w:bCs/>
          <w:color w:val="000000"/>
        </w:rPr>
        <w:t>37</w:t>
      </w:r>
      <w:r>
        <w:rPr>
          <w:rFonts w:ascii="Book Antiqua" w:hAnsi="Book Antiqua" w:eastAsia="Book Antiqua" w:cs="Book Antiqua"/>
          <w:color w:val="000000"/>
        </w:rPr>
        <w:t>: 340-346 [PMID: 24583855 DOI: 10.1248/bpb.b13-00109]</w:t>
      </w:r>
    </w:p>
    <w:p>
      <w:pPr>
        <w:spacing w:line="360" w:lineRule="auto"/>
        <w:jc w:val="both"/>
        <w:rPr>
          <w:rFonts w:ascii="Book Antiqua" w:hAnsi="Book Antiqua"/>
        </w:rPr>
      </w:pPr>
      <w:r>
        <w:rPr>
          <w:rFonts w:ascii="Book Antiqua" w:hAnsi="Book Antiqua" w:eastAsia="Book Antiqua" w:cs="Book Antiqua"/>
          <w:color w:val="000000"/>
        </w:rPr>
        <w:t xml:space="preserve">79 </w:t>
      </w:r>
      <w:r>
        <w:rPr>
          <w:rFonts w:ascii="Book Antiqua" w:hAnsi="Book Antiqua" w:eastAsia="Book Antiqua" w:cs="Book Antiqua"/>
          <w:b/>
          <w:bCs/>
          <w:color w:val="000000"/>
        </w:rPr>
        <w:t>Rigatto MH</w:t>
      </w:r>
      <w:r>
        <w:rPr>
          <w:rFonts w:ascii="Book Antiqua" w:hAnsi="Book Antiqua" w:eastAsia="Book Antiqua" w:cs="Book Antiqua"/>
          <w:color w:val="000000"/>
        </w:rPr>
        <w:t xml:space="preserve">, Behle TF, Falci DR, Freitas T, Lopes NT, Nunes M, Costa LW, Zavascki AP. Risk factors for acute kidney injury (AKI) in patients treated with polymyxin B and influence of AKI on mortality: a multicentre prospective cohort study. </w:t>
      </w:r>
      <w:r>
        <w:rPr>
          <w:rFonts w:ascii="Book Antiqua" w:hAnsi="Book Antiqua" w:eastAsia="Book Antiqua" w:cs="Book Antiqua"/>
          <w:i/>
          <w:iCs/>
          <w:color w:val="000000"/>
        </w:rPr>
        <w:t>J Antimicrob Chemother</w:t>
      </w:r>
      <w:r>
        <w:rPr>
          <w:rFonts w:ascii="Book Antiqua" w:hAnsi="Book Antiqua" w:eastAsia="Book Antiqua" w:cs="Book Antiqua"/>
          <w:color w:val="000000"/>
        </w:rPr>
        <w:t xml:space="preserve"> 2015; </w:t>
      </w:r>
      <w:r>
        <w:rPr>
          <w:rFonts w:ascii="Book Antiqua" w:hAnsi="Book Antiqua" w:eastAsia="Book Antiqua" w:cs="Book Antiqua"/>
          <w:b/>
          <w:bCs/>
          <w:color w:val="000000"/>
        </w:rPr>
        <w:t>70</w:t>
      </w:r>
      <w:r>
        <w:rPr>
          <w:rFonts w:ascii="Book Antiqua" w:hAnsi="Book Antiqua" w:eastAsia="Book Antiqua" w:cs="Book Antiqua"/>
          <w:color w:val="000000"/>
        </w:rPr>
        <w:t>: 1552-1557 [PMID: 25604744 DOI: 10.1093/jac/dku561]</w:t>
      </w:r>
    </w:p>
    <w:p>
      <w:pPr>
        <w:spacing w:line="360" w:lineRule="auto"/>
        <w:jc w:val="both"/>
        <w:rPr>
          <w:rFonts w:ascii="Book Antiqua" w:hAnsi="Book Antiqua"/>
        </w:rPr>
      </w:pPr>
      <w:r>
        <w:rPr>
          <w:rFonts w:ascii="Book Antiqua" w:hAnsi="Book Antiqua" w:eastAsia="Book Antiqua" w:cs="Book Antiqua"/>
          <w:color w:val="000000"/>
        </w:rPr>
        <w:t xml:space="preserve">80 </w:t>
      </w:r>
      <w:r>
        <w:rPr>
          <w:rFonts w:ascii="Book Antiqua" w:hAnsi="Book Antiqua" w:eastAsia="Book Antiqua" w:cs="Book Antiqua"/>
          <w:b/>
          <w:bCs/>
          <w:color w:val="000000"/>
        </w:rPr>
        <w:t>Rigatto MH</w:t>
      </w:r>
      <w:r>
        <w:rPr>
          <w:rFonts w:ascii="Book Antiqua" w:hAnsi="Book Antiqua" w:eastAsia="Book Antiqua" w:cs="Book Antiqua"/>
          <w:color w:val="000000"/>
        </w:rPr>
        <w:t xml:space="preserve">, Oliveira MS, Perdigão-Neto LV, Levin AS, Carrilho CM, Tanita MT, Tuon FF, Cardoso DE, Lopes NT, Falci DR, Zavascki AP. Multicenter Prospective Cohort Study of Renal Failure in Patients Treated with Colistin </w:t>
      </w:r>
      <w:r>
        <w:rPr>
          <w:rFonts w:ascii="Book Antiqua" w:hAnsi="Book Antiqua" w:eastAsia="Book Antiqua" w:cs="Book Antiqua"/>
          <w:i/>
          <w:iCs/>
          <w:color w:val="000000"/>
        </w:rPr>
        <w:t>vs</w:t>
      </w:r>
      <w:r>
        <w:rPr>
          <w:rFonts w:ascii="Book Antiqua" w:hAnsi="Book Antiqua" w:eastAsia="Book Antiqua" w:cs="Book Antiqua"/>
          <w:color w:val="000000"/>
        </w:rPr>
        <w:t xml:space="preserve"> Polymyxin B.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2016; </w:t>
      </w:r>
      <w:r>
        <w:rPr>
          <w:rFonts w:ascii="Book Antiqua" w:hAnsi="Book Antiqua" w:eastAsia="Book Antiqua" w:cs="Book Antiqua"/>
          <w:b/>
          <w:bCs/>
          <w:color w:val="000000"/>
        </w:rPr>
        <w:t>60</w:t>
      </w:r>
      <w:r>
        <w:rPr>
          <w:rFonts w:ascii="Book Antiqua" w:hAnsi="Book Antiqua" w:eastAsia="Book Antiqua" w:cs="Book Antiqua"/>
          <w:color w:val="000000"/>
        </w:rPr>
        <w:t>: 2443-2449 [PMID: 26856846 DOI: 10.1128/AAC.02634-15]</w:t>
      </w:r>
    </w:p>
    <w:p>
      <w:pPr>
        <w:spacing w:line="360" w:lineRule="auto"/>
        <w:jc w:val="both"/>
        <w:rPr>
          <w:rFonts w:ascii="Book Antiqua" w:hAnsi="Book Antiqua"/>
        </w:rPr>
      </w:pPr>
      <w:r>
        <w:rPr>
          <w:rFonts w:ascii="Book Antiqua" w:hAnsi="Book Antiqua" w:eastAsia="Book Antiqua" w:cs="Book Antiqua"/>
          <w:color w:val="000000"/>
        </w:rPr>
        <w:t xml:space="preserve">81 </w:t>
      </w:r>
      <w:r>
        <w:rPr>
          <w:rFonts w:ascii="Book Antiqua" w:hAnsi="Book Antiqua" w:eastAsia="Book Antiqua" w:cs="Book Antiqua"/>
          <w:b/>
          <w:bCs/>
          <w:color w:val="000000"/>
        </w:rPr>
        <w:t>Khalili H</w:t>
      </w:r>
      <w:r>
        <w:rPr>
          <w:rFonts w:ascii="Book Antiqua" w:hAnsi="Book Antiqua" w:eastAsia="Book Antiqua" w:cs="Book Antiqua"/>
          <w:color w:val="000000"/>
        </w:rPr>
        <w:t xml:space="preserve">, Shojaei L, Mohammadi M, Beigmohammadi MT, Abdollahi A, Doomanlou M. Meropenem/colistin </w:t>
      </w:r>
      <w:r>
        <w:rPr>
          <w:rFonts w:ascii="Book Antiqua" w:hAnsi="Book Antiqua" w:eastAsia="Book Antiqua" w:cs="Book Antiqua"/>
          <w:i/>
          <w:iCs/>
          <w:color w:val="000000"/>
        </w:rPr>
        <w:t>vs</w:t>
      </w:r>
      <w:r>
        <w:rPr>
          <w:rFonts w:ascii="Book Antiqua" w:hAnsi="Book Antiqua" w:eastAsia="Book Antiqua" w:cs="Book Antiqua"/>
          <w:color w:val="000000"/>
        </w:rPr>
        <w:t xml:space="preserve"> meropenem/ampicillin-sulbactam in the treatment of carbapenem-resistant pneumonia. </w:t>
      </w:r>
      <w:r>
        <w:rPr>
          <w:rFonts w:ascii="Book Antiqua" w:hAnsi="Book Antiqua" w:eastAsia="Book Antiqua" w:cs="Book Antiqua"/>
          <w:i/>
          <w:iCs/>
          <w:color w:val="000000"/>
        </w:rPr>
        <w:t>J Comp Eff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7</w:t>
      </w:r>
      <w:r>
        <w:rPr>
          <w:rFonts w:ascii="Book Antiqua" w:hAnsi="Book Antiqua" w:eastAsia="Book Antiqua" w:cs="Book Antiqua"/>
          <w:color w:val="000000"/>
        </w:rPr>
        <w:t>: 901-911 [PMID: 30192166 DOI: 10.2217/cer-2018-0037]</w:t>
      </w:r>
    </w:p>
    <w:p>
      <w:pPr>
        <w:spacing w:line="360" w:lineRule="auto"/>
        <w:jc w:val="both"/>
        <w:rPr>
          <w:rFonts w:ascii="Book Antiqua" w:hAnsi="Book Antiqua"/>
        </w:rPr>
      </w:pPr>
      <w:r>
        <w:rPr>
          <w:rFonts w:ascii="Book Antiqua" w:hAnsi="Book Antiqua" w:eastAsia="Book Antiqua" w:cs="Book Antiqua"/>
          <w:color w:val="000000"/>
        </w:rPr>
        <w:t xml:space="preserve">82 </w:t>
      </w:r>
      <w:r>
        <w:rPr>
          <w:rFonts w:ascii="Book Antiqua" w:hAnsi="Book Antiqua" w:eastAsia="Book Antiqua" w:cs="Book Antiqua"/>
          <w:b/>
          <w:bCs/>
          <w:color w:val="000000"/>
        </w:rPr>
        <w:t>De León-Borrás R</w:t>
      </w:r>
      <w:r>
        <w:rPr>
          <w:rFonts w:ascii="Book Antiqua" w:hAnsi="Book Antiqua" w:eastAsia="Book Antiqua" w:cs="Book Antiqua"/>
          <w:color w:val="000000"/>
        </w:rPr>
        <w:t xml:space="preserve">, Sánchez-Sergentón C, Mayor-Becerra A, Laureano-Cuadrado AF. Polymyxin B for Gram Negative Multidrug Resistant Bacteria in a Hispanic Population. </w:t>
      </w:r>
      <w:r>
        <w:rPr>
          <w:rFonts w:ascii="Book Antiqua" w:hAnsi="Book Antiqua" w:eastAsia="Book Antiqua" w:cs="Book Antiqua"/>
          <w:i/>
          <w:iCs/>
          <w:color w:val="000000"/>
        </w:rPr>
        <w:t>P R Health Sci J</w:t>
      </w:r>
      <w:r>
        <w:rPr>
          <w:rFonts w:ascii="Book Antiqua" w:hAnsi="Book Antiqua" w:eastAsia="Book Antiqua" w:cs="Book Antiqua"/>
          <w:color w:val="000000"/>
        </w:rPr>
        <w:t xml:space="preserve"> 2019; </w:t>
      </w:r>
      <w:r>
        <w:rPr>
          <w:rFonts w:ascii="Book Antiqua" w:hAnsi="Book Antiqua" w:eastAsia="Book Antiqua" w:cs="Book Antiqua"/>
          <w:b/>
          <w:bCs/>
          <w:color w:val="000000"/>
        </w:rPr>
        <w:t>38</w:t>
      </w:r>
      <w:r>
        <w:rPr>
          <w:rFonts w:ascii="Book Antiqua" w:hAnsi="Book Antiqua" w:eastAsia="Book Antiqua" w:cs="Book Antiqua"/>
          <w:color w:val="000000"/>
        </w:rPr>
        <w:t>: 15-21 [PMID: 30924910]</w:t>
      </w:r>
    </w:p>
    <w:p>
      <w:pPr>
        <w:spacing w:line="360" w:lineRule="auto"/>
        <w:jc w:val="both"/>
        <w:rPr>
          <w:rFonts w:ascii="Book Antiqua" w:hAnsi="Book Antiqua"/>
        </w:rPr>
      </w:pPr>
      <w:r>
        <w:rPr>
          <w:rFonts w:ascii="Book Antiqua" w:hAnsi="Book Antiqua" w:eastAsia="Book Antiqua" w:cs="Book Antiqua"/>
          <w:color w:val="000000"/>
        </w:rPr>
        <w:t xml:space="preserve">83 </w:t>
      </w:r>
      <w:r>
        <w:rPr>
          <w:rFonts w:ascii="Book Antiqua" w:hAnsi="Book Antiqua" w:eastAsia="Book Antiqua" w:cs="Book Antiqua"/>
          <w:b/>
          <w:bCs/>
          <w:color w:val="000000"/>
        </w:rPr>
        <w:t>Michalopoulos AS</w:t>
      </w:r>
      <w:r>
        <w:rPr>
          <w:rFonts w:ascii="Book Antiqua" w:hAnsi="Book Antiqua" w:eastAsia="Book Antiqua" w:cs="Book Antiqua"/>
          <w:color w:val="000000"/>
        </w:rPr>
        <w:t xml:space="preserve">, Tsiodras S, Rellos K, Mentzelopoulos S, Falagas ME. Colistin treatment in patients with ICU-acquired infections caused by multiresistant Gram-negative bacteria: the renaissance of an old antibiotic. </w:t>
      </w:r>
      <w:r>
        <w:rPr>
          <w:rFonts w:ascii="Book Antiqua" w:hAnsi="Book Antiqua" w:eastAsia="Book Antiqua" w:cs="Book Antiqua"/>
          <w:i/>
          <w:iCs/>
          <w:color w:val="000000"/>
        </w:rPr>
        <w:t>Clin Microbiol Infect</w:t>
      </w:r>
      <w:r>
        <w:rPr>
          <w:rFonts w:ascii="Book Antiqua" w:hAnsi="Book Antiqua" w:eastAsia="Book Antiqua" w:cs="Book Antiqua"/>
          <w:color w:val="000000"/>
        </w:rPr>
        <w:t xml:space="preserve"> 2005; </w:t>
      </w:r>
      <w:r>
        <w:rPr>
          <w:rFonts w:ascii="Book Antiqua" w:hAnsi="Book Antiqua" w:eastAsia="Book Antiqua" w:cs="Book Antiqua"/>
          <w:b/>
          <w:bCs/>
          <w:color w:val="000000"/>
        </w:rPr>
        <w:t>11</w:t>
      </w:r>
      <w:r>
        <w:rPr>
          <w:rFonts w:ascii="Book Antiqua" w:hAnsi="Book Antiqua" w:eastAsia="Book Antiqua" w:cs="Book Antiqua"/>
          <w:color w:val="000000"/>
        </w:rPr>
        <w:t>: 115-121 [PMID: 15679485 DOI: 10.1111/j.1469-0691.2004.01043.x]</w:t>
      </w:r>
    </w:p>
    <w:p>
      <w:pPr>
        <w:spacing w:line="360" w:lineRule="auto"/>
        <w:jc w:val="both"/>
        <w:rPr>
          <w:rFonts w:ascii="Book Antiqua" w:hAnsi="Book Antiqua"/>
        </w:rPr>
      </w:pPr>
      <w:r>
        <w:rPr>
          <w:rFonts w:ascii="Book Antiqua" w:hAnsi="Book Antiqua" w:eastAsia="Book Antiqua" w:cs="Book Antiqua"/>
          <w:color w:val="000000"/>
        </w:rPr>
        <w:t xml:space="preserve">84 </w:t>
      </w:r>
      <w:r>
        <w:rPr>
          <w:rFonts w:ascii="Book Antiqua" w:hAnsi="Book Antiqua" w:eastAsia="Book Antiqua" w:cs="Book Antiqua"/>
          <w:b/>
          <w:bCs/>
          <w:color w:val="000000"/>
        </w:rPr>
        <w:t>Papadimitriou-Olivgeris M</w:t>
      </w:r>
      <w:r>
        <w:rPr>
          <w:rFonts w:ascii="Book Antiqua" w:hAnsi="Book Antiqua" w:eastAsia="Book Antiqua" w:cs="Book Antiqua"/>
          <w:color w:val="000000"/>
        </w:rPr>
        <w:t xml:space="preserve">, Assimakopoulos SF, Kolonitsiou F, Solomou A, Vamvakopoulou S, Spyropoulou A, Karamouzos V, Anastassiou ED, Papachristou E, Spiliopoulou I, Christofidou M, Fligou F, Marangos M. Risk factors for acute kidney injury in critically ill patients with bacteraemia by carbapenem non-susceptible Gram negative bacteria. </w:t>
      </w:r>
      <w:r>
        <w:rPr>
          <w:rFonts w:ascii="Book Antiqua" w:hAnsi="Book Antiqua" w:eastAsia="Book Antiqua" w:cs="Book Antiqua"/>
          <w:i/>
          <w:iCs/>
          <w:color w:val="000000"/>
        </w:rPr>
        <w:t>Infez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27</w:t>
      </w:r>
      <w:r>
        <w:rPr>
          <w:rFonts w:ascii="Book Antiqua" w:hAnsi="Book Antiqua" w:eastAsia="Book Antiqua" w:cs="Book Antiqua"/>
          <w:color w:val="000000"/>
        </w:rPr>
        <w:t>: 380-392 [PMID: 31846987]</w:t>
      </w:r>
    </w:p>
    <w:p>
      <w:pPr>
        <w:spacing w:line="360" w:lineRule="auto"/>
        <w:jc w:val="both"/>
        <w:rPr>
          <w:rFonts w:ascii="Book Antiqua" w:hAnsi="Book Antiqua"/>
        </w:rPr>
      </w:pPr>
      <w:r>
        <w:rPr>
          <w:rFonts w:ascii="Book Antiqua" w:hAnsi="Book Antiqua" w:eastAsia="Book Antiqua" w:cs="Book Antiqua"/>
          <w:color w:val="000000"/>
        </w:rPr>
        <w:t xml:space="preserve">85 </w:t>
      </w:r>
      <w:r>
        <w:rPr>
          <w:rFonts w:ascii="Book Antiqua" w:hAnsi="Book Antiqua" w:eastAsia="Book Antiqua" w:cs="Book Antiqua"/>
          <w:b/>
          <w:bCs/>
          <w:color w:val="000000"/>
        </w:rPr>
        <w:t>Şahin AZ,</w:t>
      </w:r>
      <w:r>
        <w:rPr>
          <w:rFonts w:ascii="Book Antiqua" w:hAnsi="Book Antiqua" w:eastAsia="Book Antiqua" w:cs="Book Antiqua"/>
          <w:color w:val="000000"/>
        </w:rPr>
        <w:t xml:space="preserve"> Şimşek KB. Colistin-induced nephrotoxicity and risk factors in intensive care unit: estimating from the routine laboratory findings. </w:t>
      </w:r>
      <w:r>
        <w:rPr>
          <w:rFonts w:ascii="Book Antiqua" w:hAnsi="Book Antiqua" w:eastAsia="Book Antiqua" w:cs="Book Antiqua"/>
          <w:i/>
          <w:color w:val="000000"/>
        </w:rPr>
        <w:t>Medical Science and Discovery</w:t>
      </w:r>
      <w:r>
        <w:rPr>
          <w:rFonts w:ascii="Book Antiqua" w:hAnsi="Book Antiqua" w:eastAsia="Book Antiqua" w:cs="Book Antiqua"/>
          <w:color w:val="000000"/>
        </w:rPr>
        <w:t xml:space="preserve"> 2019; </w:t>
      </w:r>
      <w:r>
        <w:rPr>
          <w:rFonts w:ascii="Book Antiqua" w:hAnsi="Book Antiqua" w:eastAsia="Book Antiqua" w:cs="Book Antiqua"/>
          <w:b/>
          <w:color w:val="000000"/>
        </w:rPr>
        <w:t>6:</w:t>
      </w:r>
      <w:r>
        <w:rPr>
          <w:rFonts w:ascii="Book Antiqua" w:hAnsi="Book Antiqua" w:eastAsia="Book Antiqua" w:cs="Book Antiqua"/>
          <w:color w:val="000000"/>
        </w:rPr>
        <w:t xml:space="preserve"> 210-220 [DOI: 10.36472/msd.v6i9.301]</w:t>
      </w:r>
    </w:p>
    <w:p>
      <w:pPr>
        <w:spacing w:line="360" w:lineRule="auto"/>
        <w:jc w:val="both"/>
        <w:rPr>
          <w:rFonts w:ascii="Book Antiqua" w:hAnsi="Book Antiqua"/>
        </w:rPr>
      </w:pPr>
      <w:r>
        <w:rPr>
          <w:rFonts w:ascii="Book Antiqua" w:hAnsi="Book Antiqua" w:eastAsia="Book Antiqua" w:cs="Book Antiqua"/>
          <w:color w:val="000000"/>
        </w:rPr>
        <w:t xml:space="preserve">86 </w:t>
      </w:r>
      <w:r>
        <w:rPr>
          <w:rFonts w:ascii="Book Antiqua" w:hAnsi="Book Antiqua" w:eastAsia="Book Antiqua" w:cs="Book Antiqua"/>
          <w:b/>
          <w:bCs/>
          <w:color w:val="000000"/>
        </w:rPr>
        <w:t>Heybeli C</w:t>
      </w:r>
      <w:r>
        <w:rPr>
          <w:rFonts w:ascii="Book Antiqua" w:hAnsi="Book Antiqua" w:eastAsia="Book Antiqua" w:cs="Book Antiqua"/>
          <w:color w:val="000000"/>
        </w:rPr>
        <w:t xml:space="preserve">, Canaslan K, Oktan MA, Yıldız S, Arda HÜ, Çavdar C, Çelik A, Gökmen N, Cömert B. Acute kidney injury following colistin treatment in critically-ill patients: may glucocorticoids protect? </w:t>
      </w:r>
      <w:r>
        <w:rPr>
          <w:rFonts w:ascii="Book Antiqua" w:hAnsi="Book Antiqua" w:eastAsia="Book Antiqua" w:cs="Book Antiqua"/>
          <w:i/>
          <w:iCs/>
          <w:color w:val="000000"/>
        </w:rPr>
        <w:t>J Chemother</w:t>
      </w:r>
      <w:r>
        <w:rPr>
          <w:rFonts w:ascii="Book Antiqua" w:hAnsi="Book Antiqua" w:eastAsia="Book Antiqua" w:cs="Book Antiqua"/>
          <w:color w:val="000000"/>
        </w:rPr>
        <w:t xml:space="preserve"> 2021; </w:t>
      </w:r>
      <w:r>
        <w:rPr>
          <w:rFonts w:ascii="Book Antiqua" w:hAnsi="Book Antiqua" w:eastAsia="Book Antiqua" w:cs="Book Antiqua"/>
          <w:b/>
          <w:bCs/>
          <w:color w:val="000000"/>
        </w:rPr>
        <w:t>33</w:t>
      </w:r>
      <w:r>
        <w:rPr>
          <w:rFonts w:ascii="Book Antiqua" w:hAnsi="Book Antiqua" w:eastAsia="Book Antiqua" w:cs="Book Antiqua"/>
          <w:color w:val="000000"/>
        </w:rPr>
        <w:t>: 85-94 [PMID: 32500843 DOI: 10.1080/1120009X.2020.1770027]</w:t>
      </w:r>
    </w:p>
    <w:p>
      <w:pPr>
        <w:spacing w:line="360" w:lineRule="auto"/>
        <w:jc w:val="both"/>
        <w:rPr>
          <w:rFonts w:ascii="Book Antiqua" w:hAnsi="Book Antiqua"/>
        </w:rPr>
      </w:pPr>
      <w:r>
        <w:rPr>
          <w:rFonts w:ascii="Book Antiqua" w:hAnsi="Book Antiqua" w:eastAsia="Book Antiqua" w:cs="Book Antiqua"/>
          <w:color w:val="000000"/>
        </w:rPr>
        <w:t xml:space="preserve">87 </w:t>
      </w:r>
      <w:r>
        <w:rPr>
          <w:rFonts w:ascii="Book Antiqua" w:hAnsi="Book Antiqua" w:eastAsia="Book Antiqua" w:cs="Book Antiqua"/>
          <w:b/>
          <w:bCs/>
          <w:color w:val="000000"/>
        </w:rPr>
        <w:t>Pourheidar E</w:t>
      </w:r>
      <w:r>
        <w:rPr>
          <w:rFonts w:ascii="Book Antiqua" w:hAnsi="Book Antiqua" w:eastAsia="Book Antiqua" w:cs="Book Antiqua"/>
          <w:color w:val="000000"/>
        </w:rPr>
        <w:t xml:space="preserve">, Haghighi M, Kouchek M, Miri MM, Shojaei S, Salarian S, Hassanpour R, Sistanizad M. Comparison of Intravenous Ampicillin-sulbactam Plus Nebulized Colistin with Intravenous Colistin Plus Nebulized Colistin in Treatment of Ventilator Associated Pneumonia Caused by Multi Drug Resistant </w:t>
      </w:r>
      <w:r>
        <w:rPr>
          <w:rFonts w:ascii="Book Antiqua" w:hAnsi="Book Antiqua" w:eastAsia="Book Antiqua" w:cs="Book Antiqua"/>
          <w:i/>
          <w:iCs/>
          <w:color w:val="000000"/>
        </w:rPr>
        <w:t>Acinetobacter Baumannii:</w:t>
      </w:r>
      <w:r>
        <w:rPr>
          <w:rFonts w:ascii="Book Antiqua" w:hAnsi="Book Antiqua" w:eastAsia="Book Antiqua" w:cs="Book Antiqua"/>
          <w:color w:val="000000"/>
        </w:rPr>
        <w:t xml:space="preserve"> Randomized Open Label Trial. </w:t>
      </w:r>
      <w:r>
        <w:rPr>
          <w:rFonts w:ascii="Book Antiqua" w:hAnsi="Book Antiqua" w:eastAsia="Book Antiqua" w:cs="Book Antiqua"/>
          <w:i/>
          <w:iCs/>
          <w:color w:val="000000"/>
        </w:rPr>
        <w:t>Iran J Pharm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18</w:t>
      </w:r>
      <w:r>
        <w:rPr>
          <w:rFonts w:ascii="Book Antiqua" w:hAnsi="Book Antiqua" w:eastAsia="Book Antiqua" w:cs="Book Antiqua"/>
          <w:color w:val="000000"/>
        </w:rPr>
        <w:t>: 269-281 [PMID: 32802106 DOI: 10.22037/ijpr.2019.112466.13775]</w:t>
      </w:r>
    </w:p>
    <w:p>
      <w:pPr>
        <w:spacing w:line="360" w:lineRule="auto"/>
        <w:jc w:val="both"/>
        <w:rPr>
          <w:rFonts w:ascii="Book Antiqua" w:hAnsi="Book Antiqua"/>
        </w:rPr>
      </w:pPr>
      <w:r>
        <w:rPr>
          <w:rFonts w:ascii="Book Antiqua" w:hAnsi="Book Antiqua" w:eastAsia="Book Antiqua" w:cs="Book Antiqua"/>
          <w:color w:val="000000"/>
        </w:rPr>
        <w:t xml:space="preserve">88 </w:t>
      </w:r>
      <w:r>
        <w:rPr>
          <w:rFonts w:ascii="Book Antiqua" w:hAnsi="Book Antiqua" w:eastAsia="Book Antiqua" w:cs="Book Antiqua"/>
          <w:b/>
          <w:bCs/>
          <w:color w:val="000000"/>
        </w:rPr>
        <w:t>Aitullina A</w:t>
      </w:r>
      <w:r>
        <w:rPr>
          <w:rFonts w:ascii="Book Antiqua" w:hAnsi="Book Antiqua" w:eastAsia="Book Antiqua" w:cs="Book Antiqua"/>
          <w:color w:val="000000"/>
        </w:rPr>
        <w:t xml:space="preserve">, Purviņa S, Krūmiņa A. Colistin co-administration with other nephrotoxins: experience of teaching hospital of Latvia. </w:t>
      </w:r>
      <w:r>
        <w:rPr>
          <w:rFonts w:ascii="Book Antiqua" w:hAnsi="Book Antiqua" w:eastAsia="Book Antiqua" w:cs="Book Antiqua"/>
          <w:i/>
          <w:iCs/>
          <w:color w:val="000000"/>
        </w:rPr>
        <w:t>Int J Clin Pharm</w:t>
      </w:r>
      <w:r>
        <w:rPr>
          <w:rFonts w:ascii="Book Antiqua" w:hAnsi="Book Antiqua" w:eastAsia="Book Antiqua" w:cs="Book Antiqua"/>
          <w:color w:val="000000"/>
        </w:rPr>
        <w:t xml:space="preserve"> 2021; </w:t>
      </w:r>
      <w:r>
        <w:rPr>
          <w:rFonts w:ascii="Book Antiqua" w:hAnsi="Book Antiqua" w:eastAsia="Book Antiqua" w:cs="Book Antiqua"/>
          <w:b/>
          <w:bCs/>
          <w:color w:val="000000"/>
        </w:rPr>
        <w:t>43</w:t>
      </w:r>
      <w:r>
        <w:rPr>
          <w:rFonts w:ascii="Book Antiqua" w:hAnsi="Book Antiqua" w:eastAsia="Book Antiqua" w:cs="Book Antiqua"/>
          <w:color w:val="000000"/>
        </w:rPr>
        <w:t>: 509-517 [PMID: 32996073 DOI: 10.1007/s11096-020-01154-6]</w:t>
      </w:r>
    </w:p>
    <w:p>
      <w:pPr>
        <w:spacing w:line="360" w:lineRule="auto"/>
        <w:jc w:val="both"/>
        <w:rPr>
          <w:rFonts w:ascii="Book Antiqua" w:hAnsi="Book Antiqua"/>
        </w:rPr>
      </w:pPr>
      <w:r>
        <w:rPr>
          <w:rFonts w:ascii="Book Antiqua" w:hAnsi="Book Antiqua" w:eastAsia="Book Antiqua" w:cs="Book Antiqua"/>
          <w:color w:val="000000"/>
        </w:rPr>
        <w:t xml:space="preserve">89 </w:t>
      </w:r>
      <w:r>
        <w:rPr>
          <w:rFonts w:ascii="Book Antiqua" w:hAnsi="Book Antiqua" w:eastAsia="Book Antiqua" w:cs="Book Antiqua"/>
          <w:b/>
          <w:bCs/>
          <w:color w:val="000000"/>
        </w:rPr>
        <w:t>Almutairy R</w:t>
      </w:r>
      <w:r>
        <w:rPr>
          <w:rFonts w:ascii="Book Antiqua" w:hAnsi="Book Antiqua" w:eastAsia="Book Antiqua" w:cs="Book Antiqua"/>
          <w:color w:val="000000"/>
        </w:rPr>
        <w:t xml:space="preserve">, Aljrarri W, Noor A, Elsamadisi P, Shamas N, Qureshi M, Ismail S. Impact of Colistin Dosing on the Incidence of Nephrotoxicity in a Tertiary Care Hospital in Saudi Arabia. </w:t>
      </w:r>
      <w:r>
        <w:rPr>
          <w:rFonts w:ascii="Book Antiqua" w:hAnsi="Book Antiqua" w:eastAsia="Book Antiqua" w:cs="Book Antiqua"/>
          <w:i/>
          <w:iCs/>
          <w:color w:val="000000"/>
        </w:rPr>
        <w:t>Antibiotics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32781593 DOI: 10.3390/antibiotics9080485]</w:t>
      </w:r>
    </w:p>
    <w:p>
      <w:pPr>
        <w:spacing w:line="360" w:lineRule="auto"/>
        <w:jc w:val="both"/>
        <w:rPr>
          <w:rFonts w:ascii="Book Antiqua" w:hAnsi="Book Antiqua"/>
        </w:rPr>
      </w:pPr>
      <w:r>
        <w:rPr>
          <w:rFonts w:ascii="Book Antiqua" w:hAnsi="Book Antiqua" w:eastAsia="Book Antiqua" w:cs="Book Antiqua"/>
          <w:color w:val="000000"/>
        </w:rPr>
        <w:t xml:space="preserve">90 </w:t>
      </w:r>
      <w:r>
        <w:rPr>
          <w:rFonts w:ascii="Book Antiqua" w:hAnsi="Book Antiqua" w:eastAsia="Book Antiqua" w:cs="Book Antiqua"/>
          <w:b/>
          <w:bCs/>
          <w:color w:val="000000"/>
        </w:rPr>
        <w:t>Asan A,</w:t>
      </w:r>
      <w:r>
        <w:rPr>
          <w:rFonts w:ascii="Book Antiqua" w:hAnsi="Book Antiqua" w:eastAsia="Book Antiqua" w:cs="Book Antiqua"/>
          <w:color w:val="000000"/>
        </w:rPr>
        <w:t xml:space="preserve"> Karasu D, Gül C, Akinoglu G, Koca N, Akca MO, Yilmaz C, Karaduman I, Kose S. Nephrotoxicity rates related to colistin and evaluation of risk factors. </w:t>
      </w:r>
      <w:r>
        <w:rPr>
          <w:rFonts w:ascii="Book Antiqua" w:hAnsi="Book Antiqua" w:eastAsia="Book Antiqua" w:cs="Book Antiqua"/>
          <w:i/>
          <w:color w:val="000000"/>
        </w:rPr>
        <w:t>EuRJ</w:t>
      </w:r>
      <w:r>
        <w:rPr>
          <w:rFonts w:ascii="Book Antiqua" w:hAnsi="Book Antiqua" w:eastAsia="Book Antiqua" w:cs="Book Antiqua"/>
          <w:color w:val="000000"/>
        </w:rPr>
        <w:t xml:space="preserve"> 2020; </w:t>
      </w:r>
      <w:r>
        <w:rPr>
          <w:rFonts w:ascii="Book Antiqua" w:hAnsi="Book Antiqua" w:eastAsia="Book Antiqua" w:cs="Book Antiqua"/>
          <w:b/>
          <w:color w:val="000000"/>
        </w:rPr>
        <w:t>6:</w:t>
      </w:r>
      <w:r>
        <w:rPr>
          <w:rFonts w:ascii="Book Antiqua" w:hAnsi="Book Antiqua" w:eastAsia="Book Antiqua" w:cs="Book Antiqua"/>
          <w:color w:val="000000"/>
        </w:rPr>
        <w:t xml:space="preserve"> 62-66 [DOI: 10.18621/eurj.459250]</w:t>
      </w:r>
    </w:p>
    <w:p>
      <w:pPr>
        <w:spacing w:line="360" w:lineRule="auto"/>
        <w:jc w:val="both"/>
        <w:rPr>
          <w:rFonts w:ascii="Book Antiqua" w:hAnsi="Book Antiqua"/>
        </w:rPr>
      </w:pPr>
      <w:r>
        <w:rPr>
          <w:rFonts w:ascii="Book Antiqua" w:hAnsi="Book Antiqua" w:eastAsia="Book Antiqua" w:cs="Book Antiqua"/>
          <w:color w:val="000000"/>
        </w:rPr>
        <w:t xml:space="preserve">91 </w:t>
      </w:r>
      <w:r>
        <w:rPr>
          <w:rFonts w:ascii="Book Antiqua" w:hAnsi="Book Antiqua" w:eastAsia="Book Antiqua" w:cs="Book Antiqua"/>
          <w:b/>
          <w:bCs/>
          <w:color w:val="000000"/>
        </w:rPr>
        <w:t>Gunay E</w:t>
      </w:r>
      <w:r>
        <w:rPr>
          <w:rFonts w:ascii="Book Antiqua" w:hAnsi="Book Antiqua" w:eastAsia="Book Antiqua" w:cs="Book Antiqua"/>
          <w:color w:val="000000"/>
        </w:rPr>
        <w:t xml:space="preserve">, Kaya S, Baysal B, Yuksel E, Arac E. Evaluation of prognosis and nephrotoxicity in patients treated with colistin in intensive care unit. </w:t>
      </w:r>
      <w:r>
        <w:rPr>
          <w:rFonts w:ascii="Book Antiqua" w:hAnsi="Book Antiqua" w:eastAsia="Book Antiqua" w:cs="Book Antiqua"/>
          <w:i/>
          <w:iCs/>
          <w:color w:val="000000"/>
        </w:rPr>
        <w:t>Ren Fail</w:t>
      </w:r>
      <w:r>
        <w:rPr>
          <w:rFonts w:ascii="Book Antiqua" w:hAnsi="Book Antiqua" w:eastAsia="Book Antiqua" w:cs="Book Antiqua"/>
          <w:color w:val="000000"/>
        </w:rPr>
        <w:t xml:space="preserve"> 2020; </w:t>
      </w:r>
      <w:r>
        <w:rPr>
          <w:rFonts w:ascii="Book Antiqua" w:hAnsi="Book Antiqua" w:eastAsia="Book Antiqua" w:cs="Book Antiqua"/>
          <w:b/>
          <w:bCs/>
          <w:color w:val="000000"/>
        </w:rPr>
        <w:t>42</w:t>
      </w:r>
      <w:r>
        <w:rPr>
          <w:rFonts w:ascii="Book Antiqua" w:hAnsi="Book Antiqua" w:eastAsia="Book Antiqua" w:cs="Book Antiqua"/>
          <w:color w:val="000000"/>
        </w:rPr>
        <w:t>: 704-709 [PMID: 32703065 DOI: 10.1080/0886022X.2020.1795878]</w:t>
      </w:r>
    </w:p>
    <w:p>
      <w:pPr>
        <w:spacing w:line="360" w:lineRule="auto"/>
        <w:jc w:val="both"/>
        <w:rPr>
          <w:rFonts w:ascii="Book Antiqua" w:hAnsi="Book Antiqua"/>
        </w:rPr>
      </w:pPr>
      <w:r>
        <w:rPr>
          <w:rFonts w:ascii="Book Antiqua" w:hAnsi="Book Antiqua" w:eastAsia="Book Antiqua" w:cs="Book Antiqua"/>
          <w:color w:val="000000"/>
        </w:rPr>
        <w:t xml:space="preserve">92 </w:t>
      </w:r>
      <w:r>
        <w:rPr>
          <w:rFonts w:ascii="Book Antiqua" w:hAnsi="Book Antiqua" w:eastAsia="Book Antiqua" w:cs="Book Antiqua"/>
          <w:b/>
          <w:bCs/>
          <w:color w:val="000000"/>
        </w:rPr>
        <w:t>Ozel AS</w:t>
      </w:r>
      <w:r>
        <w:rPr>
          <w:rFonts w:ascii="Book Antiqua" w:hAnsi="Book Antiqua" w:eastAsia="Book Antiqua" w:cs="Book Antiqua"/>
          <w:color w:val="000000"/>
        </w:rPr>
        <w:t xml:space="preserve">, Ergönül Ö, Korten V. Colistin nephrotoxicity in critically ill patients after implementation of a new dosing strategy. </w:t>
      </w:r>
      <w:r>
        <w:rPr>
          <w:rFonts w:ascii="Book Antiqua" w:hAnsi="Book Antiqua" w:eastAsia="Book Antiqua" w:cs="Book Antiqua"/>
          <w:i/>
          <w:iCs/>
          <w:color w:val="000000"/>
        </w:rPr>
        <w:t>J Infect Dev Ctries</w:t>
      </w:r>
      <w:r>
        <w:rPr>
          <w:rFonts w:ascii="Book Antiqua" w:hAnsi="Book Antiqua" w:eastAsia="Book Antiqua" w:cs="Book Antiqua"/>
          <w:color w:val="000000"/>
        </w:rPr>
        <w:t xml:space="preserve"> 2019; </w:t>
      </w:r>
      <w:r>
        <w:rPr>
          <w:rFonts w:ascii="Book Antiqua" w:hAnsi="Book Antiqua" w:eastAsia="Book Antiqua" w:cs="Book Antiqua"/>
          <w:b/>
          <w:bCs/>
          <w:color w:val="000000"/>
        </w:rPr>
        <w:t>13</w:t>
      </w:r>
      <w:r>
        <w:rPr>
          <w:rFonts w:ascii="Book Antiqua" w:hAnsi="Book Antiqua" w:eastAsia="Book Antiqua" w:cs="Book Antiqua"/>
          <w:color w:val="000000"/>
        </w:rPr>
        <w:t>: 877-885 [PMID: 32084017 DOI: 10.3855/jidc.11413]</w:t>
      </w:r>
    </w:p>
    <w:p>
      <w:pPr>
        <w:spacing w:line="360" w:lineRule="auto"/>
        <w:jc w:val="both"/>
        <w:rPr>
          <w:rFonts w:ascii="Book Antiqua" w:hAnsi="Book Antiqua"/>
        </w:rPr>
      </w:pPr>
      <w:r>
        <w:rPr>
          <w:rFonts w:ascii="Book Antiqua" w:hAnsi="Book Antiqua" w:eastAsia="Book Antiqua" w:cs="Book Antiqua"/>
          <w:color w:val="000000"/>
        </w:rPr>
        <w:t xml:space="preserve">93 </w:t>
      </w:r>
      <w:r>
        <w:rPr>
          <w:rFonts w:ascii="Book Antiqua" w:hAnsi="Book Antiqua" w:eastAsia="Book Antiqua" w:cs="Book Antiqua"/>
          <w:b/>
          <w:bCs/>
          <w:color w:val="000000"/>
        </w:rPr>
        <w:t>Vazin A,</w:t>
      </w:r>
      <w:r>
        <w:rPr>
          <w:rFonts w:ascii="Book Antiqua" w:hAnsi="Book Antiqua" w:eastAsia="Book Antiqua" w:cs="Book Antiqua"/>
          <w:color w:val="000000"/>
        </w:rPr>
        <w:t xml:space="preserve"> Malek M, Karimzadeh I. Evaluation of colistin nephrotoxicity and urinary level of kidney injury molecule-1 in hospitalized adult ICU patients.</w:t>
      </w:r>
      <w:r>
        <w:rPr>
          <w:rFonts w:ascii="Book Antiqua" w:hAnsi="Book Antiqua" w:eastAsia="Book Antiqua" w:cs="Book Antiqua"/>
          <w:i/>
          <w:color w:val="000000"/>
        </w:rPr>
        <w:t xml:space="preserve"> J Renal Inj Prev</w:t>
      </w:r>
      <w:r>
        <w:rPr>
          <w:rFonts w:ascii="Book Antiqua" w:hAnsi="Book Antiqua" w:eastAsia="Book Antiqua" w:cs="Book Antiqua"/>
          <w:color w:val="000000"/>
        </w:rPr>
        <w:t xml:space="preserve"> 2020; </w:t>
      </w:r>
      <w:r>
        <w:rPr>
          <w:rFonts w:ascii="Book Antiqua" w:hAnsi="Book Antiqua" w:eastAsia="Book Antiqua" w:cs="Book Antiqua"/>
          <w:b/>
          <w:color w:val="000000"/>
        </w:rPr>
        <w:t xml:space="preserve">9: </w:t>
      </w:r>
      <w:r>
        <w:rPr>
          <w:rFonts w:ascii="Book Antiqua" w:hAnsi="Book Antiqua" w:eastAsia="Book Antiqua" w:cs="Book Antiqua"/>
          <w:color w:val="000000"/>
        </w:rPr>
        <w:t>e13 [DOI: 10.34172/jrip.2020.13]</w:t>
      </w:r>
    </w:p>
    <w:p>
      <w:pPr>
        <w:spacing w:line="360" w:lineRule="auto"/>
        <w:jc w:val="both"/>
        <w:rPr>
          <w:rFonts w:ascii="Book Antiqua" w:hAnsi="Book Antiqua"/>
        </w:rPr>
      </w:pPr>
      <w:r>
        <w:rPr>
          <w:rFonts w:ascii="Book Antiqua" w:hAnsi="Book Antiqua" w:eastAsia="Book Antiqua" w:cs="Book Antiqua"/>
          <w:color w:val="000000"/>
        </w:rPr>
        <w:t xml:space="preserve">94 </w:t>
      </w:r>
      <w:r>
        <w:rPr>
          <w:rFonts w:ascii="Book Antiqua" w:hAnsi="Book Antiqua" w:eastAsia="Book Antiqua" w:cs="Book Antiqua"/>
          <w:b/>
          <w:bCs/>
          <w:color w:val="000000"/>
        </w:rPr>
        <w:t>Jung S</w:t>
      </w:r>
      <w:r>
        <w:rPr>
          <w:rFonts w:ascii="Book Antiqua" w:hAnsi="Book Antiqua" w:eastAsia="Book Antiqua" w:cs="Book Antiqua"/>
          <w:color w:val="000000"/>
        </w:rPr>
        <w:t xml:space="preserve">, Chung EK, Jun MS, Son ES, Rhie SJ. Differences in Colistin Administration and Bacterial and Treatment Outcomes in Critically Ill Patients.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8781 [PMID: 31217523 DOI: 10.1038/s41598-019-44965-y]</w:t>
      </w:r>
    </w:p>
    <w:p>
      <w:pPr>
        <w:spacing w:line="360" w:lineRule="auto"/>
        <w:jc w:val="both"/>
        <w:rPr>
          <w:rFonts w:ascii="Book Antiqua" w:hAnsi="Book Antiqua"/>
        </w:rPr>
      </w:pPr>
      <w:r>
        <w:rPr>
          <w:rFonts w:ascii="Book Antiqua" w:hAnsi="Book Antiqua" w:eastAsia="Book Antiqua" w:cs="Book Antiqua"/>
          <w:color w:val="000000"/>
        </w:rPr>
        <w:t xml:space="preserve">95 </w:t>
      </w:r>
      <w:r>
        <w:rPr>
          <w:rFonts w:ascii="Book Antiqua" w:hAnsi="Book Antiqua" w:eastAsia="Book Antiqua" w:cs="Book Antiqua"/>
          <w:b/>
          <w:bCs/>
          <w:color w:val="000000"/>
        </w:rPr>
        <w:t>Katip W</w:t>
      </w:r>
      <w:r>
        <w:rPr>
          <w:rFonts w:ascii="Book Antiqua" w:hAnsi="Book Antiqua" w:eastAsia="Book Antiqua" w:cs="Book Antiqua"/>
          <w:color w:val="000000"/>
        </w:rPr>
        <w:t xml:space="preserve">, Oberdorfer P. Clinical Efficacy and Nephrotoxicity of Colistin Alone </w:t>
      </w:r>
      <w:r>
        <w:rPr>
          <w:rFonts w:ascii="Book Antiqua" w:hAnsi="Book Antiqua" w:eastAsia="Book Antiqua" w:cs="Book Antiqua"/>
          <w:i/>
          <w:iCs/>
          <w:color w:val="000000"/>
        </w:rPr>
        <w:t>vs</w:t>
      </w:r>
      <w:r>
        <w:rPr>
          <w:rFonts w:ascii="Book Antiqua" w:hAnsi="Book Antiqua" w:eastAsia="Book Antiqua" w:cs="Book Antiqua"/>
          <w:color w:val="000000"/>
        </w:rPr>
        <w:t xml:space="preserve"> Colistin Plus Vancomycin in Critically Ill Patients Infected with Carbapenem-Resistant </w:t>
      </w:r>
      <w:r>
        <w:rPr>
          <w:rFonts w:ascii="Book Antiqua" w:hAnsi="Book Antiqua" w:eastAsia="Book Antiqua" w:cs="Book Antiqua"/>
          <w:i/>
          <w:iCs/>
          <w:color w:val="000000"/>
        </w:rPr>
        <w:t>Acinetobacter baumannii</w:t>
      </w:r>
      <w:r>
        <w:rPr>
          <w:rFonts w:ascii="Book Antiqua" w:hAnsi="Book Antiqua" w:eastAsia="Book Antiqua" w:cs="Book Antiqua"/>
          <w:color w:val="000000"/>
        </w:rPr>
        <w:t xml:space="preserve">: A Propensity Score-Matched Analysis. </w:t>
      </w:r>
      <w:r>
        <w:rPr>
          <w:rFonts w:ascii="Book Antiqua" w:hAnsi="Book Antiqua" w:eastAsia="Book Antiqua" w:cs="Book Antiqua"/>
          <w:i/>
          <w:iCs/>
          <w:color w:val="000000"/>
        </w:rPr>
        <w:t>Pharmaceutics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xml:space="preserve"> [PMID: 33530483 DOI: 10.3390/pharmaceutics13020162]</w:t>
      </w:r>
    </w:p>
    <w:p>
      <w:pPr>
        <w:spacing w:line="360" w:lineRule="auto"/>
        <w:jc w:val="both"/>
        <w:rPr>
          <w:rFonts w:ascii="Book Antiqua" w:hAnsi="Book Antiqua"/>
        </w:rPr>
      </w:pPr>
      <w:r>
        <w:rPr>
          <w:rFonts w:ascii="Book Antiqua" w:hAnsi="Book Antiqua" w:eastAsia="Book Antiqua" w:cs="Book Antiqua"/>
          <w:color w:val="000000"/>
        </w:rPr>
        <w:t xml:space="preserve">96 </w:t>
      </w:r>
      <w:r>
        <w:rPr>
          <w:rFonts w:ascii="Book Antiqua" w:hAnsi="Book Antiqua" w:eastAsia="Book Antiqua" w:cs="Book Antiqua"/>
          <w:b/>
          <w:bCs/>
          <w:color w:val="000000"/>
        </w:rPr>
        <w:t>Li KL</w:t>
      </w:r>
      <w:r>
        <w:rPr>
          <w:rFonts w:ascii="Book Antiqua" w:hAnsi="Book Antiqua" w:eastAsia="Book Antiqua" w:cs="Book Antiqua"/>
          <w:color w:val="000000"/>
        </w:rPr>
        <w:t xml:space="preserve">, Abad CLR. The clinical profile and outcomes of adult patients given intravenous colistin for multidrug-resistant gram negative infections in a Philippine tertiary hospital. </w:t>
      </w:r>
      <w:r>
        <w:rPr>
          <w:rFonts w:ascii="Book Antiqua" w:hAnsi="Book Antiqua" w:eastAsia="Book Antiqua" w:cs="Book Antiqua"/>
          <w:i/>
          <w:iCs/>
          <w:color w:val="000000"/>
        </w:rPr>
        <w:t>Int J Infect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93</w:t>
      </w:r>
      <w:r>
        <w:rPr>
          <w:rFonts w:ascii="Book Antiqua" w:hAnsi="Book Antiqua" w:eastAsia="Book Antiqua" w:cs="Book Antiqua"/>
          <w:color w:val="000000"/>
        </w:rPr>
        <w:t>: 9-14 [PMID: 31978579 DOI: 10.1016/j.ijid.2020.01.022]</w:t>
      </w:r>
    </w:p>
    <w:p>
      <w:pPr>
        <w:spacing w:line="360" w:lineRule="auto"/>
        <w:jc w:val="both"/>
        <w:rPr>
          <w:rFonts w:ascii="Book Antiqua" w:hAnsi="Book Antiqua"/>
        </w:rPr>
      </w:pPr>
      <w:r>
        <w:rPr>
          <w:rFonts w:ascii="Book Antiqua" w:hAnsi="Book Antiqua" w:eastAsia="Book Antiqua" w:cs="Book Antiqua"/>
          <w:color w:val="000000"/>
        </w:rPr>
        <w:t xml:space="preserve">97 </w:t>
      </w:r>
      <w:r>
        <w:rPr>
          <w:rFonts w:ascii="Book Antiqua" w:hAnsi="Book Antiqua" w:eastAsia="Book Antiqua" w:cs="Book Antiqua"/>
          <w:b/>
          <w:bCs/>
          <w:color w:val="000000"/>
        </w:rPr>
        <w:t>Porwal R</w:t>
      </w:r>
      <w:r>
        <w:rPr>
          <w:rFonts w:ascii="Book Antiqua" w:hAnsi="Book Antiqua" w:eastAsia="Book Antiqua" w:cs="Book Antiqua"/>
          <w:color w:val="000000"/>
        </w:rPr>
        <w:t xml:space="preserve">, Gopalakrishnan R, Rajesh NJ, Ramasubramanian V. Carbapenem resistant Gram-negative bacteremia in an Indian intensive care unit: A review of the clinical profile and treatment outcome of 50 patients. </w:t>
      </w:r>
      <w:r>
        <w:rPr>
          <w:rFonts w:ascii="Book Antiqua" w:hAnsi="Book Antiqua" w:eastAsia="Book Antiqua" w:cs="Book Antiqua"/>
          <w:i/>
          <w:iCs/>
          <w:color w:val="000000"/>
        </w:rPr>
        <w:t>Indian J Crit Care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18</w:t>
      </w:r>
      <w:r>
        <w:rPr>
          <w:rFonts w:ascii="Book Antiqua" w:hAnsi="Book Antiqua" w:eastAsia="Book Antiqua" w:cs="Book Antiqua"/>
          <w:color w:val="000000"/>
        </w:rPr>
        <w:t>: 750-753 [PMID: 25425843 DOI: 10.4103/0972-5229.144021]</w:t>
      </w:r>
    </w:p>
    <w:p>
      <w:pPr>
        <w:spacing w:line="360" w:lineRule="auto"/>
        <w:jc w:val="both"/>
        <w:rPr>
          <w:rFonts w:ascii="Book Antiqua" w:hAnsi="Book Antiqua"/>
        </w:rPr>
      </w:pPr>
      <w:r>
        <w:rPr>
          <w:rFonts w:ascii="Book Antiqua" w:hAnsi="Book Antiqua" w:eastAsia="Book Antiqua" w:cs="Book Antiqua"/>
          <w:color w:val="000000"/>
        </w:rPr>
        <w:t xml:space="preserve">98 </w:t>
      </w:r>
      <w:r>
        <w:rPr>
          <w:rFonts w:ascii="Book Antiqua" w:hAnsi="Book Antiqua" w:eastAsia="Book Antiqua" w:cs="Book Antiqua"/>
          <w:b/>
          <w:bCs/>
          <w:color w:val="000000"/>
        </w:rPr>
        <w:t>Katip W</w:t>
      </w:r>
      <w:r>
        <w:rPr>
          <w:rFonts w:ascii="Book Antiqua" w:hAnsi="Book Antiqua" w:eastAsia="Book Antiqua" w:cs="Book Antiqua"/>
          <w:color w:val="000000"/>
        </w:rPr>
        <w:t xml:space="preserve">, Uitrakul S, Oberdorfer P. A Comparison of Colistin </w:t>
      </w:r>
      <w:r>
        <w:rPr>
          <w:rFonts w:ascii="Book Antiqua" w:hAnsi="Book Antiqua" w:eastAsia="Book Antiqua" w:cs="Book Antiqua"/>
          <w:i/>
          <w:iCs/>
          <w:color w:val="000000"/>
        </w:rPr>
        <w:t>vs</w:t>
      </w:r>
      <w:r>
        <w:rPr>
          <w:rFonts w:ascii="Book Antiqua" w:hAnsi="Book Antiqua" w:eastAsia="Book Antiqua" w:cs="Book Antiqua"/>
          <w:color w:val="000000"/>
        </w:rPr>
        <w:t xml:space="preserve"> Colistin Plus Meropenem for the Treatment of Carbapenem-Resistant </w:t>
      </w:r>
      <w:r>
        <w:rPr>
          <w:rFonts w:ascii="Book Antiqua" w:hAnsi="Book Antiqua" w:eastAsia="Book Antiqua" w:cs="Book Antiqua"/>
          <w:i/>
          <w:iCs/>
          <w:color w:val="000000"/>
        </w:rPr>
        <w:t>Acinetobacter baumannii</w:t>
      </w:r>
      <w:r>
        <w:rPr>
          <w:rFonts w:ascii="Book Antiqua" w:hAnsi="Book Antiqua" w:eastAsia="Book Antiqua" w:cs="Book Antiqua"/>
          <w:color w:val="000000"/>
        </w:rPr>
        <w:t xml:space="preserve"> in Critically Ill Patients: A Propensity Score-Matched Analysis. </w:t>
      </w:r>
      <w:r>
        <w:rPr>
          <w:rFonts w:ascii="Book Antiqua" w:hAnsi="Book Antiqua" w:eastAsia="Book Antiqua" w:cs="Book Antiqua"/>
          <w:i/>
          <w:iCs/>
          <w:color w:val="000000"/>
        </w:rPr>
        <w:t>Antibiotics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32998187 DOI: 10.3390/antibiotics9100647]</w:t>
      </w:r>
    </w:p>
    <w:p>
      <w:pPr>
        <w:spacing w:line="360" w:lineRule="auto"/>
        <w:jc w:val="both"/>
        <w:rPr>
          <w:rFonts w:ascii="Book Antiqua" w:hAnsi="Book Antiqua"/>
        </w:rPr>
      </w:pPr>
      <w:r>
        <w:rPr>
          <w:rFonts w:ascii="Book Antiqua" w:hAnsi="Book Antiqua" w:eastAsia="Book Antiqua" w:cs="Book Antiqua"/>
          <w:color w:val="000000"/>
        </w:rPr>
        <w:t xml:space="preserve">99 </w:t>
      </w:r>
      <w:r>
        <w:rPr>
          <w:rFonts w:ascii="Book Antiqua" w:hAnsi="Book Antiqua" w:eastAsia="Book Antiqua" w:cs="Book Antiqua"/>
          <w:b/>
          <w:bCs/>
          <w:color w:val="000000"/>
        </w:rPr>
        <w:t>Katip W</w:t>
      </w:r>
      <w:r>
        <w:rPr>
          <w:rFonts w:ascii="Book Antiqua" w:hAnsi="Book Antiqua" w:eastAsia="Book Antiqua" w:cs="Book Antiqua"/>
          <w:color w:val="000000"/>
        </w:rPr>
        <w:t xml:space="preserve">, Uitrakul S, Oberdorfer P. Clinical Efficacy and Nephrotoxicity of the Loading Dose Colistin for the Treatment of Carbapenem-Resistant </w:t>
      </w:r>
      <w:r>
        <w:rPr>
          <w:rFonts w:ascii="Book Antiqua" w:hAnsi="Book Antiqua" w:eastAsia="Book Antiqua" w:cs="Book Antiqua"/>
          <w:i/>
          <w:iCs/>
          <w:color w:val="000000"/>
        </w:rPr>
        <w:t>Acinetobacter baumannii</w:t>
      </w:r>
      <w:r>
        <w:rPr>
          <w:rFonts w:ascii="Book Antiqua" w:hAnsi="Book Antiqua" w:eastAsia="Book Antiqua" w:cs="Book Antiqua"/>
          <w:color w:val="000000"/>
        </w:rPr>
        <w:t xml:space="preserve"> in Critically Ill Patients. </w:t>
      </w:r>
      <w:r>
        <w:rPr>
          <w:rFonts w:ascii="Book Antiqua" w:hAnsi="Book Antiqua" w:eastAsia="Book Antiqua" w:cs="Book Antiqua"/>
          <w:i/>
          <w:iCs/>
          <w:color w:val="000000"/>
        </w:rPr>
        <w:t>Pharmaceutics</w:t>
      </w:r>
      <w:r>
        <w:rPr>
          <w:rFonts w:ascii="Book Antiqua" w:hAnsi="Book Antiqua" w:eastAsia="Book Antiqua" w:cs="Book Antiqua"/>
          <w:color w:val="000000"/>
        </w:rPr>
        <w:t xml:space="preserve"> 2021; </w:t>
      </w:r>
      <w:r>
        <w:rPr>
          <w:rFonts w:ascii="Book Antiqua" w:hAnsi="Book Antiqua" w:eastAsia="Book Antiqua" w:cs="Book Antiqua"/>
          <w:b/>
          <w:bCs/>
          <w:color w:val="000000"/>
        </w:rPr>
        <w:t>14</w:t>
      </w:r>
      <w:r>
        <w:rPr>
          <w:rFonts w:ascii="Book Antiqua" w:hAnsi="Book Antiqua" w:eastAsia="Book Antiqua" w:cs="Book Antiqua"/>
          <w:color w:val="000000"/>
        </w:rPr>
        <w:t xml:space="preserve"> [PMID: 35056926 DOI: 10.3390/pharmaceutics14010031]</w:t>
      </w:r>
    </w:p>
    <w:p>
      <w:pPr>
        <w:spacing w:line="360" w:lineRule="auto"/>
        <w:jc w:val="both"/>
        <w:rPr>
          <w:rFonts w:ascii="Book Antiqua" w:hAnsi="Book Antiqua"/>
        </w:rPr>
      </w:pPr>
      <w:r>
        <w:rPr>
          <w:rFonts w:ascii="Book Antiqua" w:hAnsi="Book Antiqua" w:eastAsia="Book Antiqua" w:cs="Book Antiqua"/>
          <w:color w:val="000000"/>
        </w:rPr>
        <w:t xml:space="preserve">100 </w:t>
      </w:r>
      <w:r>
        <w:rPr>
          <w:rFonts w:ascii="Book Antiqua" w:hAnsi="Book Antiqua" w:eastAsia="Book Antiqua" w:cs="Book Antiqua"/>
          <w:b/>
          <w:bCs/>
          <w:color w:val="000000"/>
        </w:rPr>
        <w:t>Feng JY</w:t>
      </w:r>
      <w:r>
        <w:rPr>
          <w:rFonts w:ascii="Book Antiqua" w:hAnsi="Book Antiqua" w:eastAsia="Book Antiqua" w:cs="Book Antiqua"/>
          <w:color w:val="000000"/>
        </w:rPr>
        <w:t xml:space="preserve">, Lee YT, Pan SW, Yang KY, Chen YM, Yen DH, Li SY, Wang FD. Comparison of colistin-induced nephrotoxicity between two different formulations of colistin in critically ill patients: a retrospective cohort study. </w:t>
      </w:r>
      <w:r>
        <w:rPr>
          <w:rFonts w:ascii="Book Antiqua" w:hAnsi="Book Antiqua" w:eastAsia="Book Antiqua" w:cs="Book Antiqua"/>
          <w:i/>
          <w:iCs/>
          <w:color w:val="000000"/>
        </w:rPr>
        <w:t>Antimicrob Resist Infect Control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111 [PMID: 34330333 DOI: 10.1186/s13756-021-00977-w]</w:t>
      </w:r>
    </w:p>
    <w:p>
      <w:pPr>
        <w:spacing w:line="360" w:lineRule="auto"/>
        <w:jc w:val="both"/>
        <w:rPr>
          <w:rFonts w:ascii="Book Antiqua" w:hAnsi="Book Antiqua"/>
        </w:rPr>
      </w:pPr>
      <w:r>
        <w:rPr>
          <w:rFonts w:ascii="Book Antiqua" w:hAnsi="Book Antiqua" w:eastAsia="Book Antiqua" w:cs="Book Antiqua"/>
          <w:color w:val="000000"/>
        </w:rPr>
        <w:t xml:space="preserve">101 </w:t>
      </w:r>
      <w:r>
        <w:rPr>
          <w:rFonts w:ascii="Book Antiqua" w:hAnsi="Book Antiqua" w:eastAsia="Book Antiqua" w:cs="Book Antiqua"/>
          <w:b/>
          <w:bCs/>
          <w:color w:val="000000"/>
        </w:rPr>
        <w:t>Ye Q</w:t>
      </w:r>
      <w:r>
        <w:rPr>
          <w:rFonts w:ascii="Book Antiqua" w:hAnsi="Book Antiqua" w:eastAsia="Book Antiqua" w:cs="Book Antiqua"/>
          <w:color w:val="000000"/>
        </w:rPr>
        <w:t xml:space="preserve">, Wang Q, Chen Z, Chen W, Zhan Q, Wang C. Effectiveness, nephrotoxicity, and therapeutic drug monitoring of polymyxin B in nosocomial pneumonia among critically ill patients. </w:t>
      </w:r>
      <w:r>
        <w:rPr>
          <w:rFonts w:ascii="Book Antiqua" w:hAnsi="Book Antiqua" w:eastAsia="Book Antiqua" w:cs="Book Antiqua"/>
          <w:i/>
          <w:iCs/>
          <w:color w:val="000000"/>
        </w:rPr>
        <w:t>Clin Respir J</w:t>
      </w:r>
      <w:r>
        <w:rPr>
          <w:rFonts w:ascii="Book Antiqua" w:hAnsi="Book Antiqua" w:eastAsia="Book Antiqua" w:cs="Book Antiqua"/>
          <w:color w:val="000000"/>
        </w:rPr>
        <w:t xml:space="preserve"> 2022; </w:t>
      </w:r>
      <w:r>
        <w:rPr>
          <w:rFonts w:ascii="Book Antiqua" w:hAnsi="Book Antiqua" w:eastAsia="Book Antiqua" w:cs="Book Antiqua"/>
          <w:b/>
          <w:bCs/>
          <w:color w:val="000000"/>
        </w:rPr>
        <w:t>16</w:t>
      </w:r>
      <w:r>
        <w:rPr>
          <w:rFonts w:ascii="Book Antiqua" w:hAnsi="Book Antiqua" w:eastAsia="Book Antiqua" w:cs="Book Antiqua"/>
          <w:color w:val="000000"/>
        </w:rPr>
        <w:t>: 402-412 [PMID: 35586931 DOI: 10.1111/crj.13493]</w:t>
      </w:r>
    </w:p>
    <w:p>
      <w:pPr>
        <w:spacing w:line="360" w:lineRule="auto"/>
        <w:jc w:val="both"/>
        <w:rPr>
          <w:rFonts w:ascii="Book Antiqua" w:hAnsi="Book Antiqua"/>
        </w:rPr>
      </w:pPr>
      <w:r>
        <w:rPr>
          <w:rFonts w:ascii="Book Antiqua" w:hAnsi="Book Antiqua" w:eastAsia="Book Antiqua" w:cs="Book Antiqua"/>
          <w:color w:val="000000"/>
        </w:rPr>
        <w:t xml:space="preserve">102 </w:t>
      </w:r>
      <w:r>
        <w:rPr>
          <w:rFonts w:ascii="Book Antiqua" w:hAnsi="Book Antiqua" w:eastAsia="Book Antiqua" w:cs="Book Antiqua"/>
          <w:b/>
          <w:bCs/>
          <w:color w:val="000000"/>
        </w:rPr>
        <w:t>Gulen TA,</w:t>
      </w:r>
      <w:r>
        <w:rPr>
          <w:rFonts w:ascii="Book Antiqua" w:hAnsi="Book Antiqua" w:eastAsia="Book Antiqua" w:cs="Book Antiqua"/>
          <w:color w:val="000000"/>
        </w:rPr>
        <w:t xml:space="preserve"> Imre A, Kayabas, U. Factors affecting the colistin nephrotoxicity: advanced age and/or other factors? </w:t>
      </w:r>
      <w:r>
        <w:rPr>
          <w:rFonts w:ascii="Book Antiqua" w:hAnsi="Book Antiqua" w:eastAsia="Book Antiqua" w:cs="Book Antiqua"/>
          <w:i/>
          <w:color w:val="000000"/>
        </w:rPr>
        <w:t>Mediterr J Infect Microb Antimicrob</w:t>
      </w:r>
      <w:r>
        <w:rPr>
          <w:rFonts w:ascii="Book Antiqua" w:hAnsi="Book Antiqua" w:eastAsia="Book Antiqua" w:cs="Book Antiqua"/>
          <w:color w:val="000000"/>
        </w:rPr>
        <w:t xml:space="preserve"> 2022; </w:t>
      </w:r>
      <w:r>
        <w:rPr>
          <w:rFonts w:ascii="Book Antiqua" w:hAnsi="Book Antiqua" w:eastAsia="Book Antiqua" w:cs="Book Antiqua"/>
          <w:b/>
          <w:color w:val="000000"/>
        </w:rPr>
        <w:t>11:</w:t>
      </w:r>
      <w:r>
        <w:rPr>
          <w:rFonts w:ascii="Book Antiqua" w:hAnsi="Book Antiqua" w:eastAsia="Book Antiqua" w:cs="Book Antiqua"/>
          <w:color w:val="000000"/>
        </w:rPr>
        <w:t xml:space="preserve"> 13 [DOI: 10.22541/au.161846965.57392699/v1]</w:t>
      </w:r>
    </w:p>
    <w:p>
      <w:pPr>
        <w:spacing w:line="360" w:lineRule="auto"/>
        <w:jc w:val="both"/>
        <w:rPr>
          <w:rFonts w:ascii="Book Antiqua" w:hAnsi="Book Antiqua"/>
        </w:rPr>
      </w:pPr>
      <w:r>
        <w:rPr>
          <w:rFonts w:ascii="Book Antiqua" w:hAnsi="Book Antiqua" w:eastAsia="Book Antiqua" w:cs="Book Antiqua"/>
          <w:color w:val="000000"/>
        </w:rPr>
        <w:t xml:space="preserve">103 </w:t>
      </w:r>
      <w:r>
        <w:rPr>
          <w:rFonts w:ascii="Book Antiqua" w:hAnsi="Book Antiqua" w:eastAsia="Book Antiqua" w:cs="Book Antiqua"/>
          <w:b/>
          <w:bCs/>
          <w:color w:val="000000"/>
        </w:rPr>
        <w:t>Chang K</w:t>
      </w:r>
      <w:r>
        <w:rPr>
          <w:rFonts w:ascii="Book Antiqua" w:hAnsi="Book Antiqua" w:eastAsia="Book Antiqua" w:cs="Book Antiqua"/>
          <w:color w:val="000000"/>
        </w:rPr>
        <w:t xml:space="preserve">, Wang H, Zhao J, Yang X, Wu B, Sun W, Huang M, Cheng Z, Chen H, Song Y, Chen P, Chen X, Gan X, Ma W, Xing L, Wang Y, Cao B. Risk factors for polymyxin B-associated acute kidney injury. </w:t>
      </w:r>
      <w:r>
        <w:rPr>
          <w:rFonts w:ascii="Book Antiqua" w:hAnsi="Book Antiqua" w:eastAsia="Book Antiqua" w:cs="Book Antiqua"/>
          <w:i/>
          <w:iCs/>
          <w:color w:val="000000"/>
        </w:rPr>
        <w:t>Int J Infect Dis</w:t>
      </w:r>
      <w:r>
        <w:rPr>
          <w:rFonts w:ascii="Book Antiqua" w:hAnsi="Book Antiqua" w:eastAsia="Book Antiqua" w:cs="Book Antiqua"/>
          <w:color w:val="000000"/>
        </w:rPr>
        <w:t xml:space="preserve"> 2022; </w:t>
      </w:r>
      <w:r>
        <w:rPr>
          <w:rFonts w:ascii="Book Antiqua" w:hAnsi="Book Antiqua" w:eastAsia="Book Antiqua" w:cs="Book Antiqua"/>
          <w:b/>
          <w:bCs/>
          <w:color w:val="000000"/>
        </w:rPr>
        <w:t>117</w:t>
      </w:r>
      <w:r>
        <w:rPr>
          <w:rFonts w:ascii="Book Antiqua" w:hAnsi="Book Antiqua" w:eastAsia="Book Antiqua" w:cs="Book Antiqua"/>
          <w:color w:val="000000"/>
        </w:rPr>
        <w:t>: 37-44 [PMID: 35108608 DOI: 10.1016/j.ijid.2022.01.055]</w:t>
      </w:r>
    </w:p>
    <w:p>
      <w:pPr>
        <w:spacing w:line="360" w:lineRule="auto"/>
        <w:jc w:val="both"/>
        <w:rPr>
          <w:rFonts w:ascii="Book Antiqua" w:hAnsi="Book Antiqua"/>
        </w:rPr>
      </w:pPr>
      <w:r>
        <w:rPr>
          <w:rFonts w:ascii="Book Antiqua" w:hAnsi="Book Antiqua" w:eastAsia="Book Antiqua" w:cs="Book Antiqua"/>
          <w:color w:val="000000"/>
        </w:rPr>
        <w:t xml:space="preserve">104 </w:t>
      </w:r>
      <w:r>
        <w:rPr>
          <w:rFonts w:ascii="Book Antiqua" w:hAnsi="Book Antiqua" w:eastAsia="Book Antiqua" w:cs="Book Antiqua"/>
          <w:b/>
          <w:bCs/>
          <w:color w:val="000000"/>
        </w:rPr>
        <w:t>Wang SH</w:t>
      </w:r>
      <w:r>
        <w:rPr>
          <w:rFonts w:ascii="Book Antiqua" w:hAnsi="Book Antiqua" w:eastAsia="Book Antiqua" w:cs="Book Antiqua"/>
          <w:color w:val="000000"/>
        </w:rPr>
        <w:t xml:space="preserve">, Yang KY, Sheu CC, Chen WC, Chan MC, Feng JY, Chen CM, Wu BR, Zheng ZR, Chou YC, Peng CK; T.-CARE (Taiwan Critical Care, Infection) Group. The necessity of a loading dose when prescribing intravenous colistin in critically ill patients with CRGNB-associated pneumonia: a multi-center observational study. </w:t>
      </w:r>
      <w:r>
        <w:rPr>
          <w:rFonts w:ascii="Book Antiqua" w:hAnsi="Book Antiqua" w:eastAsia="Book Antiqua" w:cs="Book Antiqua"/>
          <w:i/>
          <w:iCs/>
          <w:color w:val="000000"/>
        </w:rPr>
        <w:t>Crit Care</w:t>
      </w:r>
      <w:r>
        <w:rPr>
          <w:rFonts w:ascii="Book Antiqua" w:hAnsi="Book Antiqua" w:eastAsia="Book Antiqua" w:cs="Book Antiqua"/>
          <w:color w:val="000000"/>
        </w:rPr>
        <w:t xml:space="preserve"> 2022; </w:t>
      </w:r>
      <w:r>
        <w:rPr>
          <w:rFonts w:ascii="Book Antiqua" w:hAnsi="Book Antiqua" w:eastAsia="Book Antiqua" w:cs="Book Antiqua"/>
          <w:b/>
          <w:bCs/>
          <w:color w:val="000000"/>
        </w:rPr>
        <w:t>26</w:t>
      </w:r>
      <w:r>
        <w:rPr>
          <w:rFonts w:ascii="Book Antiqua" w:hAnsi="Book Antiqua" w:eastAsia="Book Antiqua" w:cs="Book Antiqua"/>
          <w:color w:val="000000"/>
        </w:rPr>
        <w:t>: 91 [PMID: 35379303 DOI: 10.1186/s13054-022-03947-9]</w:t>
      </w:r>
    </w:p>
    <w:p>
      <w:pPr>
        <w:spacing w:line="360" w:lineRule="auto"/>
        <w:jc w:val="both"/>
        <w:rPr>
          <w:rFonts w:ascii="Book Antiqua" w:hAnsi="Book Antiqua"/>
        </w:rPr>
      </w:pPr>
      <w:r>
        <w:rPr>
          <w:rFonts w:ascii="Book Antiqua" w:hAnsi="Book Antiqua" w:eastAsia="Book Antiqua" w:cs="Book Antiqua"/>
          <w:color w:val="000000"/>
        </w:rPr>
        <w:t xml:space="preserve">105 </w:t>
      </w:r>
      <w:r>
        <w:rPr>
          <w:rFonts w:ascii="Book Antiqua" w:hAnsi="Book Antiqua" w:eastAsia="Book Antiqua" w:cs="Book Antiqua"/>
          <w:b/>
          <w:bCs/>
          <w:color w:val="000000"/>
        </w:rPr>
        <w:t>Vincent JL</w:t>
      </w:r>
      <w:r>
        <w:rPr>
          <w:rFonts w:ascii="Book Antiqua" w:hAnsi="Book Antiqua" w:eastAsia="Book Antiqua" w:cs="Book Antiqua"/>
          <w:color w:val="000000"/>
        </w:rPr>
        <w:t xml:space="preserve">, Sakr Y, Singer M, Martin-Loeches I, Machado FR, Marshall JC, Finfer S, Pelosi P, Brazzi L, Aditianingsih D, Timsit JF, Du B, Wittebole X, Máca J, Kannan S, Gorordo-Delsol LA, De Waele JJ, Mehta Y, Bonten MJM, Khanna AK, Kollef M, Human M, Angus DC; EPIC III Investigators. Prevalence and Outcomes of Infection Among Patients in Intensive Care Units in 2017. </w:t>
      </w:r>
      <w:r>
        <w:rPr>
          <w:rFonts w:ascii="Book Antiqua" w:hAnsi="Book Antiqua" w:eastAsia="Book Antiqua" w:cs="Book Antiqua"/>
          <w:i/>
          <w:iCs/>
          <w:color w:val="000000"/>
        </w:rPr>
        <w:t>JAMA</w:t>
      </w:r>
      <w:r>
        <w:rPr>
          <w:rFonts w:ascii="Book Antiqua" w:hAnsi="Book Antiqua" w:eastAsia="Book Antiqua" w:cs="Book Antiqua"/>
          <w:color w:val="000000"/>
        </w:rPr>
        <w:t xml:space="preserve"> 2020; </w:t>
      </w:r>
      <w:r>
        <w:rPr>
          <w:rFonts w:ascii="Book Antiqua" w:hAnsi="Book Antiqua" w:eastAsia="Book Antiqua" w:cs="Book Antiqua"/>
          <w:b/>
          <w:bCs/>
          <w:color w:val="000000"/>
        </w:rPr>
        <w:t>323</w:t>
      </w:r>
      <w:r>
        <w:rPr>
          <w:rFonts w:ascii="Book Antiqua" w:hAnsi="Book Antiqua" w:eastAsia="Book Antiqua" w:cs="Book Antiqua"/>
          <w:color w:val="000000"/>
        </w:rPr>
        <w:t>: 1478-1487 [PMID: 32207816 DOI: 10.1001/jama.2020.2717]</w:t>
      </w:r>
    </w:p>
    <w:p>
      <w:pPr>
        <w:spacing w:line="360" w:lineRule="auto"/>
        <w:jc w:val="both"/>
        <w:rPr>
          <w:rFonts w:ascii="Book Antiqua" w:hAnsi="Book Antiqua"/>
        </w:rPr>
      </w:pPr>
      <w:r>
        <w:rPr>
          <w:rFonts w:ascii="Book Antiqua" w:hAnsi="Book Antiqua" w:eastAsia="Book Antiqua" w:cs="Book Antiqua"/>
          <w:color w:val="000000"/>
        </w:rPr>
        <w:t xml:space="preserve">106 </w:t>
      </w:r>
      <w:r>
        <w:rPr>
          <w:rFonts w:ascii="Book Antiqua" w:hAnsi="Book Antiqua" w:eastAsia="Book Antiqua" w:cs="Book Antiqua"/>
          <w:b/>
          <w:bCs/>
          <w:color w:val="000000"/>
        </w:rPr>
        <w:t>Mehta RL</w:t>
      </w:r>
      <w:r>
        <w:rPr>
          <w:rFonts w:ascii="Book Antiqua" w:hAnsi="Book Antiqua" w:eastAsia="Book Antiqua" w:cs="Book Antiqua"/>
          <w:color w:val="000000"/>
        </w:rPr>
        <w:t xml:space="preserve">, Awdishu L, Davenport A, Murray PT, Macedo E, Cerda J, Chakaravarthi R, Holden AL, Goldstein SL. Phenotype standardization for drug-induced kidney disease. </w:t>
      </w:r>
      <w:r>
        <w:rPr>
          <w:rFonts w:ascii="Book Antiqua" w:hAnsi="Book Antiqua" w:eastAsia="Book Antiqua" w:cs="Book Antiqua"/>
          <w:i/>
          <w:iCs/>
          <w:color w:val="000000"/>
        </w:rPr>
        <w:t>Kidney Int</w:t>
      </w:r>
      <w:r>
        <w:rPr>
          <w:rFonts w:ascii="Book Antiqua" w:hAnsi="Book Antiqua" w:eastAsia="Book Antiqua" w:cs="Book Antiqua"/>
          <w:color w:val="000000"/>
        </w:rPr>
        <w:t xml:space="preserve"> 2015; </w:t>
      </w:r>
      <w:r>
        <w:rPr>
          <w:rFonts w:ascii="Book Antiqua" w:hAnsi="Book Antiqua" w:eastAsia="Book Antiqua" w:cs="Book Antiqua"/>
          <w:b/>
          <w:bCs/>
          <w:color w:val="000000"/>
        </w:rPr>
        <w:t>88</w:t>
      </w:r>
      <w:r>
        <w:rPr>
          <w:rFonts w:ascii="Book Antiqua" w:hAnsi="Book Antiqua" w:eastAsia="Book Antiqua" w:cs="Book Antiqua"/>
          <w:color w:val="000000"/>
        </w:rPr>
        <w:t>: 226-234 [PMID: 25853333 DOI: 10.1038/ki.2015.115]</w:t>
      </w:r>
    </w:p>
    <w:p>
      <w:pPr>
        <w:spacing w:line="360" w:lineRule="auto"/>
        <w:jc w:val="both"/>
        <w:rPr>
          <w:rFonts w:ascii="Book Antiqua" w:hAnsi="Book Antiqua"/>
        </w:rPr>
      </w:pPr>
      <w:r>
        <w:rPr>
          <w:rFonts w:ascii="Book Antiqua" w:hAnsi="Book Antiqua" w:eastAsia="Book Antiqua" w:cs="Book Antiqua"/>
          <w:color w:val="000000"/>
        </w:rPr>
        <w:t xml:space="preserve">107 </w:t>
      </w:r>
      <w:r>
        <w:rPr>
          <w:rFonts w:ascii="Book Antiqua" w:hAnsi="Book Antiqua" w:eastAsia="Book Antiqua" w:cs="Book Antiqua"/>
          <w:b/>
          <w:bCs/>
          <w:color w:val="000000"/>
        </w:rPr>
        <w:t>Rhodes A</w:t>
      </w:r>
      <w:r>
        <w:rPr>
          <w:rFonts w:ascii="Book Antiqua" w:hAnsi="Book Antiqua" w:eastAsia="Book Antiqua" w:cs="Book Antiqua"/>
          <w:color w:val="000000"/>
        </w:rPr>
        <w:t xml:space="preserve">, Evans LE, Alhazzani W, Levy MM, Antonelli M, Ferrer R, Kumar A, Sevransky JE, Sprung CL, Nunnally ME, Rochwerg B, Rubenfeld GD, Angus DC, Annane D, Beale RJ, Bellinghan GJ, Bernard GR, Chiche JD, Coopersmith C, De Backer DP, French CJ, Fujishima S, Gerlach H, Hidalgo JL, Hollenberg SM, Jones AE, Karnad DR, Kleinpell RM, Koh Y, Lisboa TC, Machado FR, Marini JJ, Marshall JC, Mazuski JE, McIntyre LA, McLean AS, Mehta S, Moreno RP, Myburgh J, Navalesi P, Nishida O, Osborn TM, Perner A, Plunkett CM, Ranieri M, Schorr CA, Seckel MA, Seymour CW, Shieh L, Shukri KA, Simpson SQ, Singer M, Thompson BT, Townsend SR, Van der Poll T, Vincent JL, Wiersinga WJ, Zimmerman JL, Dellinger RP. Surviving Sepsis Campaign: International Guidelines for Management of Sepsis and Septic Shock: 2016.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43</w:t>
      </w:r>
      <w:r>
        <w:rPr>
          <w:rFonts w:ascii="Book Antiqua" w:hAnsi="Book Antiqua" w:eastAsia="Book Antiqua" w:cs="Book Antiqua"/>
          <w:color w:val="000000"/>
        </w:rPr>
        <w:t>: 304-377 [PMID: 28101605 DOI: 10.1007/s00134-017-4683-6]</w:t>
      </w:r>
    </w:p>
    <w:p>
      <w:pPr>
        <w:spacing w:line="360" w:lineRule="auto"/>
        <w:jc w:val="both"/>
        <w:rPr>
          <w:rFonts w:ascii="Book Antiqua" w:hAnsi="Book Antiqua"/>
        </w:rPr>
      </w:pPr>
      <w:r>
        <w:rPr>
          <w:rFonts w:ascii="Book Antiqua" w:hAnsi="Book Antiqua" w:eastAsia="Book Antiqua" w:cs="Book Antiqua"/>
          <w:color w:val="000000"/>
        </w:rPr>
        <w:t xml:space="preserve">108 </w:t>
      </w:r>
      <w:r>
        <w:rPr>
          <w:rFonts w:ascii="Book Antiqua" w:hAnsi="Book Antiqua" w:eastAsia="Book Antiqua" w:cs="Book Antiqua"/>
          <w:b/>
          <w:bCs/>
          <w:color w:val="000000"/>
        </w:rPr>
        <w:t>Liang Q</w:t>
      </w:r>
      <w:r>
        <w:rPr>
          <w:rFonts w:ascii="Book Antiqua" w:hAnsi="Book Antiqua" w:eastAsia="Book Antiqua" w:cs="Book Antiqua"/>
          <w:color w:val="000000"/>
        </w:rPr>
        <w:t xml:space="preserve">, Huang M, Xu Z. Early use of polymyxin B reduces the mortality of carbapenem-resistant Klebsiella pneumoniae bloodstream infection. </w:t>
      </w:r>
      <w:r>
        <w:rPr>
          <w:rFonts w:ascii="Book Antiqua" w:hAnsi="Book Antiqua" w:eastAsia="Book Antiqua" w:cs="Book Antiqua"/>
          <w:i/>
          <w:iCs/>
          <w:color w:val="000000"/>
        </w:rPr>
        <w:t>Braz J Infect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23</w:t>
      </w:r>
      <w:r>
        <w:rPr>
          <w:rFonts w:ascii="Book Antiqua" w:hAnsi="Book Antiqua" w:eastAsia="Book Antiqua" w:cs="Book Antiqua"/>
          <w:color w:val="000000"/>
        </w:rPr>
        <w:t>: 60-65 [PMID: 30796888 DOI: 10.1016/j.bjid.2018.12.004]</w:t>
      </w:r>
    </w:p>
    <w:p>
      <w:pPr>
        <w:spacing w:line="360" w:lineRule="auto"/>
        <w:jc w:val="both"/>
        <w:rPr>
          <w:rFonts w:ascii="Book Antiqua" w:hAnsi="Book Antiqua"/>
        </w:rPr>
      </w:pPr>
      <w:r>
        <w:rPr>
          <w:rFonts w:ascii="Book Antiqua" w:hAnsi="Book Antiqua" w:eastAsia="Book Antiqua" w:cs="Book Antiqua"/>
          <w:color w:val="000000"/>
        </w:rPr>
        <w:t xml:space="preserve">109 </w:t>
      </w:r>
      <w:r>
        <w:rPr>
          <w:rFonts w:ascii="Book Antiqua" w:hAnsi="Book Antiqua" w:eastAsia="Book Antiqua" w:cs="Book Antiqua"/>
          <w:b/>
          <w:bCs/>
          <w:color w:val="000000"/>
        </w:rPr>
        <w:t>Jacobs DM</w:t>
      </w:r>
      <w:r>
        <w:rPr>
          <w:rFonts w:ascii="Book Antiqua" w:hAnsi="Book Antiqua" w:eastAsia="Book Antiqua" w:cs="Book Antiqua"/>
          <w:color w:val="000000"/>
        </w:rPr>
        <w:t xml:space="preserve">, Safir MC, Huang D, Minhaj F, Parker A, Rao GG. Triple combination antibiotic therapy for carbapenemase-producing Klebsiella pneumoniae: a systematic review. </w:t>
      </w:r>
      <w:r>
        <w:rPr>
          <w:rFonts w:ascii="Book Antiqua" w:hAnsi="Book Antiqua" w:eastAsia="Book Antiqua" w:cs="Book Antiqua"/>
          <w:i/>
          <w:iCs/>
          <w:color w:val="000000"/>
        </w:rPr>
        <w:t>Ann Clin Microbiol Antimicrob</w:t>
      </w:r>
      <w:r>
        <w:rPr>
          <w:rFonts w:ascii="Book Antiqua" w:hAnsi="Book Antiqua" w:eastAsia="Book Antiqua" w:cs="Book Antiqua"/>
          <w:color w:val="000000"/>
        </w:rPr>
        <w:t xml:space="preserve"> 2017; </w:t>
      </w:r>
      <w:r>
        <w:rPr>
          <w:rFonts w:ascii="Book Antiqua" w:hAnsi="Book Antiqua" w:eastAsia="Book Antiqua" w:cs="Book Antiqua"/>
          <w:b/>
          <w:bCs/>
          <w:color w:val="000000"/>
        </w:rPr>
        <w:t>16</w:t>
      </w:r>
      <w:r>
        <w:rPr>
          <w:rFonts w:ascii="Book Antiqua" w:hAnsi="Book Antiqua" w:eastAsia="Book Antiqua" w:cs="Book Antiqua"/>
          <w:color w:val="000000"/>
        </w:rPr>
        <w:t>: 76 [PMID: 29178957 DOI: 10.1186/s12941-017-0249-2]</w:t>
      </w:r>
    </w:p>
    <w:p>
      <w:pPr>
        <w:spacing w:line="360" w:lineRule="auto"/>
        <w:jc w:val="both"/>
        <w:rPr>
          <w:rFonts w:ascii="Book Antiqua" w:hAnsi="Book Antiqua"/>
        </w:rPr>
      </w:pPr>
      <w:r>
        <w:rPr>
          <w:rFonts w:ascii="Book Antiqua" w:hAnsi="Book Antiqua" w:eastAsia="Book Antiqua" w:cs="Book Antiqua"/>
          <w:color w:val="000000"/>
        </w:rPr>
        <w:t xml:space="preserve">110 </w:t>
      </w:r>
      <w:r>
        <w:rPr>
          <w:rFonts w:ascii="Book Antiqua" w:hAnsi="Book Antiqua" w:eastAsia="Book Antiqua" w:cs="Book Antiqua"/>
          <w:b/>
          <w:bCs/>
          <w:color w:val="000000"/>
        </w:rPr>
        <w:t>Hou SY</w:t>
      </w:r>
      <w:r>
        <w:rPr>
          <w:rFonts w:ascii="Book Antiqua" w:hAnsi="Book Antiqua" w:eastAsia="Book Antiqua" w:cs="Book Antiqua"/>
          <w:color w:val="000000"/>
        </w:rPr>
        <w:t xml:space="preserve">, Wu D, Feng XH. Polymyxin monotherapy </w:t>
      </w:r>
      <w:r>
        <w:rPr>
          <w:rFonts w:ascii="Book Antiqua" w:hAnsi="Book Antiqua" w:eastAsia="Book Antiqua" w:cs="Book Antiqua"/>
          <w:i/>
          <w:iCs/>
          <w:color w:val="000000"/>
        </w:rPr>
        <w:t>vs</w:t>
      </w:r>
      <w:r>
        <w:rPr>
          <w:rFonts w:ascii="Book Antiqua" w:hAnsi="Book Antiqua" w:eastAsia="Book Antiqua" w:cs="Book Antiqua"/>
          <w:color w:val="000000"/>
        </w:rPr>
        <w:t xml:space="preserve"> polymyxin-based combination therapy against carbapenem-resistant Klebsiella pneumoniae: A systematic review and meta-analysis. </w:t>
      </w:r>
      <w:r>
        <w:rPr>
          <w:rFonts w:ascii="Book Antiqua" w:hAnsi="Book Antiqua" w:eastAsia="Book Antiqua" w:cs="Book Antiqua"/>
          <w:i/>
          <w:iCs/>
          <w:color w:val="000000"/>
        </w:rPr>
        <w:t>J Glob Antimicrob Resist</w:t>
      </w:r>
      <w:r>
        <w:rPr>
          <w:rFonts w:ascii="Book Antiqua" w:hAnsi="Book Antiqua" w:eastAsia="Book Antiqua" w:cs="Book Antiqua"/>
          <w:color w:val="000000"/>
        </w:rPr>
        <w:t xml:space="preserve"> 2020; </w:t>
      </w:r>
      <w:r>
        <w:rPr>
          <w:rFonts w:ascii="Book Antiqua" w:hAnsi="Book Antiqua" w:eastAsia="Book Antiqua" w:cs="Book Antiqua"/>
          <w:b/>
          <w:bCs/>
          <w:color w:val="000000"/>
        </w:rPr>
        <w:t>23</w:t>
      </w:r>
      <w:r>
        <w:rPr>
          <w:rFonts w:ascii="Book Antiqua" w:hAnsi="Book Antiqua" w:eastAsia="Book Antiqua" w:cs="Book Antiqua"/>
          <w:color w:val="000000"/>
        </w:rPr>
        <w:t>: 197-202 [PMID: 33091620 DOI: 10.1016/j.jgar.2020.08.024]</w:t>
      </w:r>
    </w:p>
    <w:p>
      <w:pPr>
        <w:spacing w:line="360" w:lineRule="auto"/>
        <w:jc w:val="both"/>
        <w:rPr>
          <w:rFonts w:ascii="Book Antiqua" w:hAnsi="Book Antiqua"/>
        </w:rPr>
      </w:pPr>
      <w:r>
        <w:rPr>
          <w:rFonts w:ascii="Book Antiqua" w:hAnsi="Book Antiqua" w:eastAsia="Book Antiqua" w:cs="Book Antiqua"/>
          <w:color w:val="000000"/>
        </w:rPr>
        <w:t xml:space="preserve">111 </w:t>
      </w:r>
      <w:r>
        <w:rPr>
          <w:rFonts w:ascii="Book Antiqua" w:hAnsi="Book Antiqua" w:eastAsia="Book Antiqua" w:cs="Book Antiqua"/>
          <w:b/>
          <w:bCs/>
          <w:color w:val="000000"/>
        </w:rPr>
        <w:t>Kengkla K</w:t>
      </w:r>
      <w:r>
        <w:rPr>
          <w:rFonts w:ascii="Book Antiqua" w:hAnsi="Book Antiqua" w:eastAsia="Book Antiqua" w:cs="Book Antiqua"/>
          <w:color w:val="000000"/>
        </w:rPr>
        <w:t xml:space="preserve">, Kongpakwattana K, Saokaew S, Apisarnthanarak A, Chaiyakunapruk N. Comparative efficacy and safety of treatment options for MDR and XDR Acinetobacter baumannii infections: a systematic review and network meta-analysis. </w:t>
      </w:r>
      <w:r>
        <w:rPr>
          <w:rFonts w:ascii="Book Antiqua" w:hAnsi="Book Antiqua" w:eastAsia="Book Antiqua" w:cs="Book Antiqua"/>
          <w:i/>
          <w:iCs/>
          <w:color w:val="000000"/>
        </w:rPr>
        <w:t>J Antimicrob Chemother</w:t>
      </w:r>
      <w:r>
        <w:rPr>
          <w:rFonts w:ascii="Book Antiqua" w:hAnsi="Book Antiqua" w:eastAsia="Book Antiqua" w:cs="Book Antiqua"/>
          <w:color w:val="000000"/>
        </w:rPr>
        <w:t xml:space="preserve"> 2018; </w:t>
      </w:r>
      <w:r>
        <w:rPr>
          <w:rFonts w:ascii="Book Antiqua" w:hAnsi="Book Antiqua" w:eastAsia="Book Antiqua" w:cs="Book Antiqua"/>
          <w:b/>
          <w:bCs/>
          <w:color w:val="000000"/>
        </w:rPr>
        <w:t>73</w:t>
      </w:r>
      <w:r>
        <w:rPr>
          <w:rFonts w:ascii="Book Antiqua" w:hAnsi="Book Antiqua" w:eastAsia="Book Antiqua" w:cs="Book Antiqua"/>
          <w:color w:val="000000"/>
        </w:rPr>
        <w:t>: 22-32 [PMID: 29069421 DOI: 10.1093/jac/dkx368]</w:t>
      </w:r>
    </w:p>
    <w:p>
      <w:pPr>
        <w:spacing w:line="360" w:lineRule="auto"/>
        <w:jc w:val="both"/>
        <w:rPr>
          <w:rFonts w:ascii="Book Antiqua" w:hAnsi="Book Antiqua"/>
        </w:rPr>
      </w:pPr>
      <w:r>
        <w:rPr>
          <w:rFonts w:ascii="Book Antiqua" w:hAnsi="Book Antiqua" w:eastAsia="Book Antiqua" w:cs="Book Antiqua"/>
          <w:color w:val="000000"/>
        </w:rPr>
        <w:t xml:space="preserve">112 </w:t>
      </w:r>
      <w:r>
        <w:rPr>
          <w:rFonts w:ascii="Book Antiqua" w:hAnsi="Book Antiqua" w:eastAsia="Book Antiqua" w:cs="Book Antiqua"/>
          <w:b/>
          <w:bCs/>
          <w:color w:val="000000"/>
        </w:rPr>
        <w:t>Folkestad T</w:t>
      </w:r>
      <w:r>
        <w:rPr>
          <w:rFonts w:ascii="Book Antiqua" w:hAnsi="Book Antiqua" w:eastAsia="Book Antiqua" w:cs="Book Antiqua"/>
          <w:color w:val="000000"/>
        </w:rPr>
        <w:t xml:space="preserve">, Brurberg KG, Nordhuus KM, Tveiten CK, Guttormsen AB, Os I, Beitland S. Acute kidney injury in burn patients admitted to the intensive care unit: a systematic review and meta-analysis. </w:t>
      </w:r>
      <w:r>
        <w:rPr>
          <w:rFonts w:ascii="Book Antiqua" w:hAnsi="Book Antiqua" w:eastAsia="Book Antiqua" w:cs="Book Antiqua"/>
          <w:i/>
          <w:iCs/>
          <w:color w:val="000000"/>
        </w:rPr>
        <w:t>Crit Care</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2 [PMID: 31898523 DOI: 10.1186/s13054-019-2710-4]</w:t>
      </w:r>
    </w:p>
    <w:p>
      <w:pPr>
        <w:spacing w:line="360" w:lineRule="auto"/>
        <w:jc w:val="both"/>
        <w:rPr>
          <w:rFonts w:ascii="Book Antiqua" w:hAnsi="Book Antiqua"/>
        </w:rPr>
      </w:pPr>
      <w:r>
        <w:rPr>
          <w:rFonts w:ascii="Book Antiqua" w:hAnsi="Book Antiqua" w:eastAsia="Book Antiqua" w:cs="Book Antiqua"/>
          <w:color w:val="000000"/>
        </w:rPr>
        <w:t xml:space="preserve">113 </w:t>
      </w:r>
      <w:r>
        <w:rPr>
          <w:rFonts w:ascii="Book Antiqua" w:hAnsi="Book Antiqua" w:eastAsia="Book Antiqua" w:cs="Book Antiqua"/>
          <w:b/>
          <w:bCs/>
          <w:color w:val="000000"/>
        </w:rPr>
        <w:t>Petejova N</w:t>
      </w:r>
      <w:r>
        <w:rPr>
          <w:rFonts w:ascii="Book Antiqua" w:hAnsi="Book Antiqua" w:eastAsia="Book Antiqua" w:cs="Book Antiqua"/>
          <w:color w:val="000000"/>
        </w:rPr>
        <w:t xml:space="preserve">, Martinek A, Zadrazil J, Kanova M, Klementa V, Sigutova R, Kacirova I, Hrabovsky V, Svagera Z, Stejskal D. Acute Kidney Injury in Septic Patients Treated by Selected Nephrotoxic Antibiotic Agents-Pathophysiology and Biomarkers-A Review.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xml:space="preserve"> [PMID: 32993185 DOI: 10.3390/ijms21197115]</w:t>
      </w:r>
    </w:p>
    <w:p>
      <w:pPr>
        <w:spacing w:line="360" w:lineRule="auto"/>
        <w:jc w:val="both"/>
        <w:rPr>
          <w:rFonts w:ascii="Book Antiqua" w:hAnsi="Book Antiqua"/>
        </w:rPr>
      </w:pPr>
      <w:r>
        <w:rPr>
          <w:rFonts w:ascii="Book Antiqua" w:hAnsi="Book Antiqua" w:eastAsia="Book Antiqua" w:cs="Book Antiqua"/>
          <w:color w:val="000000"/>
        </w:rPr>
        <w:t xml:space="preserve">114 </w:t>
      </w:r>
      <w:r>
        <w:rPr>
          <w:rFonts w:ascii="Book Antiqua" w:hAnsi="Book Antiqua" w:eastAsia="Book Antiqua" w:cs="Book Antiqua"/>
          <w:b/>
          <w:bCs/>
          <w:color w:val="000000"/>
        </w:rPr>
        <w:t>Pickkers P</w:t>
      </w:r>
      <w:r>
        <w:rPr>
          <w:rFonts w:ascii="Book Antiqua" w:hAnsi="Book Antiqua" w:eastAsia="Book Antiqua" w:cs="Book Antiqua"/>
          <w:color w:val="000000"/>
        </w:rPr>
        <w:t xml:space="preserve">, Darmon M, Hoste E, Joannidis M, Legrand M, Ostermann M, Prowle JR, Schneider A, Schetz M. Acute kidney injury in the critically ill: an updated review on pathophysiology and management.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47</w:t>
      </w:r>
      <w:r>
        <w:rPr>
          <w:rFonts w:ascii="Book Antiqua" w:hAnsi="Book Antiqua" w:eastAsia="Book Antiqua" w:cs="Book Antiqua"/>
          <w:color w:val="000000"/>
        </w:rPr>
        <w:t>: 835-850 [PMID: 34213593 DOI: 10.1007/s00134-021-06454-7]</w:t>
      </w:r>
    </w:p>
    <w:p>
      <w:pPr>
        <w:spacing w:line="360" w:lineRule="auto"/>
        <w:jc w:val="both"/>
        <w:rPr>
          <w:rFonts w:ascii="Book Antiqua" w:hAnsi="Book Antiqua"/>
        </w:rPr>
      </w:pPr>
      <w:r>
        <w:rPr>
          <w:rFonts w:ascii="Book Antiqua" w:hAnsi="Book Antiqua" w:eastAsia="Book Antiqua" w:cs="Book Antiqua"/>
          <w:color w:val="000000"/>
        </w:rPr>
        <w:t xml:space="preserve">115 </w:t>
      </w:r>
      <w:r>
        <w:rPr>
          <w:rFonts w:ascii="Book Antiqua" w:hAnsi="Book Antiqua" w:eastAsia="Book Antiqua" w:cs="Book Antiqua"/>
          <w:b/>
          <w:bCs/>
          <w:color w:val="000000"/>
        </w:rPr>
        <w:t>Azad MAK</w:t>
      </w:r>
      <w:r>
        <w:rPr>
          <w:rFonts w:ascii="Book Antiqua" w:hAnsi="Book Antiqua" w:eastAsia="Book Antiqua" w:cs="Book Antiqua"/>
          <w:color w:val="000000"/>
        </w:rPr>
        <w:t xml:space="preserve">, Nation RL, Velkov T, Li J. Mechanisms of Polymyxin-Induced Nephrotoxicity. </w:t>
      </w:r>
      <w:r>
        <w:rPr>
          <w:rFonts w:ascii="Book Antiqua" w:hAnsi="Book Antiqua" w:eastAsia="Book Antiqua" w:cs="Book Antiqua"/>
          <w:i/>
          <w:iCs/>
          <w:color w:val="000000"/>
        </w:rPr>
        <w:t>Adv Exp Med Biol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1145</w:t>
      </w:r>
      <w:r>
        <w:rPr>
          <w:rFonts w:ascii="Book Antiqua" w:hAnsi="Book Antiqua" w:eastAsia="Book Antiqua" w:cs="Book Antiqua"/>
          <w:color w:val="000000"/>
        </w:rPr>
        <w:t>: 305-319 [PMID: 31364084 DOI: 10.1007/978-3-030-16373-0_18]</w:t>
      </w:r>
    </w:p>
    <w:p>
      <w:pPr>
        <w:spacing w:line="360" w:lineRule="auto"/>
        <w:jc w:val="both"/>
        <w:rPr>
          <w:rFonts w:ascii="Book Antiqua" w:hAnsi="Book Antiqua"/>
        </w:rPr>
      </w:pPr>
      <w:r>
        <w:rPr>
          <w:rFonts w:ascii="Book Antiqua" w:hAnsi="Book Antiqua" w:eastAsia="Book Antiqua" w:cs="Book Antiqua"/>
          <w:color w:val="000000"/>
        </w:rPr>
        <w:t xml:space="preserve">116 </w:t>
      </w:r>
      <w:r>
        <w:rPr>
          <w:rFonts w:ascii="Book Antiqua" w:hAnsi="Book Antiqua" w:eastAsia="Book Antiqua" w:cs="Book Antiqua"/>
          <w:b/>
          <w:bCs/>
          <w:color w:val="000000"/>
        </w:rPr>
        <w:t>Jiang X</w:t>
      </w:r>
      <w:r>
        <w:rPr>
          <w:rFonts w:ascii="Book Antiqua" w:hAnsi="Book Antiqua" w:eastAsia="Book Antiqua" w:cs="Book Antiqua"/>
          <w:color w:val="000000"/>
        </w:rPr>
        <w:t xml:space="preserve">, Zhang S, Azad MAK, Roberts KD, Wan L, Gong B, Yang K, Yuan B, Uddin H, Li J, Thompson PE, Velkov T, Fu J, Wang L, Li J. Structure-Interaction Relationship of Polymyxins with the Membrane of Human Kidney Proximal Tubular Cells. </w:t>
      </w:r>
      <w:r>
        <w:rPr>
          <w:rFonts w:ascii="Book Antiqua" w:hAnsi="Book Antiqua" w:eastAsia="Book Antiqua" w:cs="Book Antiqua"/>
          <w:i/>
          <w:iCs/>
          <w:color w:val="000000"/>
        </w:rPr>
        <w:t>ACS Infect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6</w:t>
      </w:r>
      <w:r>
        <w:rPr>
          <w:rFonts w:ascii="Book Antiqua" w:hAnsi="Book Antiqua" w:eastAsia="Book Antiqua" w:cs="Book Antiqua"/>
          <w:color w:val="000000"/>
        </w:rPr>
        <w:t>: 2110-2119 [PMID: 32619094 DOI: 10.1021/acsinfecdis.0c00190]</w:t>
      </w:r>
    </w:p>
    <w:p>
      <w:pPr>
        <w:spacing w:line="360" w:lineRule="auto"/>
        <w:jc w:val="both"/>
        <w:rPr>
          <w:rFonts w:ascii="Book Antiqua" w:hAnsi="Book Antiqua"/>
        </w:rPr>
      </w:pPr>
      <w:r>
        <w:rPr>
          <w:rFonts w:ascii="Book Antiqua" w:hAnsi="Book Antiqua" w:eastAsia="Book Antiqua" w:cs="Book Antiqua"/>
          <w:color w:val="000000"/>
        </w:rPr>
        <w:t xml:space="preserve">117 </w:t>
      </w:r>
      <w:r>
        <w:rPr>
          <w:rFonts w:ascii="Book Antiqua" w:hAnsi="Book Antiqua" w:eastAsia="Book Antiqua" w:cs="Book Antiqua"/>
          <w:b/>
          <w:bCs/>
          <w:color w:val="000000"/>
        </w:rPr>
        <w:t>Azad MA</w:t>
      </w:r>
      <w:r>
        <w:rPr>
          <w:rFonts w:ascii="Book Antiqua" w:hAnsi="Book Antiqua" w:eastAsia="Book Antiqua" w:cs="Book Antiqua"/>
          <w:color w:val="000000"/>
        </w:rPr>
        <w:t xml:space="preserve">, Roberts KD, Yu HH, Liu B, Schofield AV, James SA, Howard DL, Nation RL, Rogers K, de Jonge MD, Thompson PE, Fu J, Velkov T, Li J. Significant accumulation of polymyxin in single renal tubular cells: a medicinal chemistry and triple correlative microscopy approach. </w:t>
      </w:r>
      <w:r>
        <w:rPr>
          <w:rFonts w:ascii="Book Antiqua" w:hAnsi="Book Antiqua" w:eastAsia="Book Antiqua" w:cs="Book Antiqua"/>
          <w:i/>
          <w:iCs/>
          <w:color w:val="000000"/>
        </w:rPr>
        <w:t>Anal Chem</w:t>
      </w:r>
      <w:r>
        <w:rPr>
          <w:rFonts w:ascii="Book Antiqua" w:hAnsi="Book Antiqua" w:eastAsia="Book Antiqua" w:cs="Book Antiqua"/>
          <w:color w:val="000000"/>
        </w:rPr>
        <w:t xml:space="preserve"> 2015; </w:t>
      </w:r>
      <w:r>
        <w:rPr>
          <w:rFonts w:ascii="Book Antiqua" w:hAnsi="Book Antiqua" w:eastAsia="Book Antiqua" w:cs="Book Antiqua"/>
          <w:b/>
          <w:bCs/>
          <w:color w:val="000000"/>
        </w:rPr>
        <w:t>87</w:t>
      </w:r>
      <w:r>
        <w:rPr>
          <w:rFonts w:ascii="Book Antiqua" w:hAnsi="Book Antiqua" w:eastAsia="Book Antiqua" w:cs="Book Antiqua"/>
          <w:color w:val="000000"/>
        </w:rPr>
        <w:t>: 1590-1595 [PMID: 25553489 DOI: 10.1021/ac504516k]</w:t>
      </w:r>
    </w:p>
    <w:p>
      <w:pPr>
        <w:spacing w:line="360" w:lineRule="auto"/>
        <w:jc w:val="both"/>
        <w:rPr>
          <w:rFonts w:ascii="Book Antiqua" w:hAnsi="Book Antiqua"/>
        </w:rPr>
      </w:pPr>
      <w:r>
        <w:rPr>
          <w:rFonts w:ascii="Book Antiqua" w:hAnsi="Book Antiqua" w:eastAsia="Book Antiqua" w:cs="Book Antiqua"/>
          <w:color w:val="000000"/>
        </w:rPr>
        <w:t xml:space="preserve">118 </w:t>
      </w:r>
      <w:r>
        <w:rPr>
          <w:rFonts w:ascii="Book Antiqua" w:hAnsi="Book Antiqua" w:eastAsia="Book Antiqua" w:cs="Book Antiqua"/>
          <w:b/>
          <w:bCs/>
          <w:color w:val="000000"/>
        </w:rPr>
        <w:t>Sandri AM</w:t>
      </w:r>
      <w:r>
        <w:rPr>
          <w:rFonts w:ascii="Book Antiqua" w:hAnsi="Book Antiqua" w:eastAsia="Book Antiqua" w:cs="Book Antiqua"/>
          <w:color w:val="000000"/>
        </w:rPr>
        <w:t xml:space="preserve">, Landersdorfer CB, Jacob J, Boniatti MM, Dalarosa MG, Falci DR, Behle TF, Bordinhão RC, Wang J, Forrest A, Nation RL, Li J, Zavascki AP. Population pharmacokinetics of intravenous polymyxin B in critically ill patients: implications for selection of dosage regimens.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57</w:t>
      </w:r>
      <w:r>
        <w:rPr>
          <w:rFonts w:ascii="Book Antiqua" w:hAnsi="Book Antiqua" w:eastAsia="Book Antiqua" w:cs="Book Antiqua"/>
          <w:color w:val="000000"/>
        </w:rPr>
        <w:t>: 524-531 [PMID: 23697744 DOI: 10.1093/cid/cit334]</w:t>
      </w:r>
    </w:p>
    <w:p>
      <w:pPr>
        <w:spacing w:line="360" w:lineRule="auto"/>
        <w:jc w:val="both"/>
        <w:rPr>
          <w:rFonts w:ascii="Book Antiqua" w:hAnsi="Book Antiqua"/>
        </w:rPr>
      </w:pPr>
      <w:r>
        <w:rPr>
          <w:rFonts w:ascii="Book Antiqua" w:hAnsi="Book Antiqua" w:eastAsia="Book Antiqua" w:cs="Book Antiqua"/>
          <w:color w:val="000000"/>
        </w:rPr>
        <w:t xml:space="preserve">119 </w:t>
      </w:r>
      <w:r>
        <w:rPr>
          <w:rFonts w:ascii="Book Antiqua" w:hAnsi="Book Antiqua" w:eastAsia="Book Antiqua" w:cs="Book Antiqua"/>
          <w:b/>
          <w:bCs/>
          <w:color w:val="000000"/>
        </w:rPr>
        <w:t>Manchandani P</w:t>
      </w:r>
      <w:r>
        <w:rPr>
          <w:rFonts w:ascii="Book Antiqua" w:hAnsi="Book Antiqua" w:eastAsia="Book Antiqua" w:cs="Book Antiqua"/>
          <w:color w:val="000000"/>
        </w:rPr>
        <w:t xml:space="preserve">, Thamlikitkul V, Dubrovskaya Y, Babic JT, Lye DC, Lee LS, Tam VH. Population Pharmacokinetics of Polymyxin B. </w:t>
      </w:r>
      <w:r>
        <w:rPr>
          <w:rFonts w:ascii="Book Antiqua" w:hAnsi="Book Antiqua" w:eastAsia="Book Antiqua" w:cs="Book Antiqua"/>
          <w:i/>
          <w:iCs/>
          <w:color w:val="000000"/>
        </w:rPr>
        <w:t>Clin Pharmacol Ther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104</w:t>
      </w:r>
      <w:r>
        <w:rPr>
          <w:rFonts w:ascii="Book Antiqua" w:hAnsi="Book Antiqua" w:eastAsia="Book Antiqua" w:cs="Book Antiqua"/>
          <w:color w:val="000000"/>
        </w:rPr>
        <w:t>: 534-538 [PMID: 29238962 DOI: 10.1002/cpt.981]</w:t>
      </w:r>
    </w:p>
    <w:p>
      <w:pPr>
        <w:spacing w:line="360" w:lineRule="auto"/>
        <w:jc w:val="both"/>
        <w:rPr>
          <w:rFonts w:ascii="Book Antiqua" w:hAnsi="Book Antiqua"/>
        </w:rPr>
      </w:pPr>
      <w:r>
        <w:rPr>
          <w:rFonts w:ascii="Book Antiqua" w:hAnsi="Book Antiqua" w:eastAsia="Book Antiqua" w:cs="Book Antiqua"/>
          <w:color w:val="000000"/>
        </w:rPr>
        <w:t xml:space="preserve">120 </w:t>
      </w:r>
      <w:r>
        <w:rPr>
          <w:rFonts w:ascii="Book Antiqua" w:hAnsi="Book Antiqua" w:eastAsia="Book Antiqua" w:cs="Book Antiqua"/>
          <w:b/>
          <w:bCs/>
          <w:color w:val="000000"/>
        </w:rPr>
        <w:t>Sorlí L</w:t>
      </w:r>
      <w:r>
        <w:rPr>
          <w:rFonts w:ascii="Book Antiqua" w:hAnsi="Book Antiqua" w:eastAsia="Book Antiqua" w:cs="Book Antiqua"/>
          <w:color w:val="000000"/>
        </w:rPr>
        <w:t xml:space="preserve">, Luque S, Grau S, Berenguer N, Segura C, Montero MM, Alvarez-Lerma F, Knobel H, Benito N, Horcajada JP. Trough colistin plasma level is an independent risk factor for nephrotoxicity: a prospective observational cohort study.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13</w:t>
      </w:r>
      <w:r>
        <w:rPr>
          <w:rFonts w:ascii="Book Antiqua" w:hAnsi="Book Antiqua" w:eastAsia="Book Antiqua" w:cs="Book Antiqua"/>
          <w:color w:val="000000"/>
        </w:rPr>
        <w:t>: 380 [PMID: 23957376 DOI: 10.1186/1471-2334-13-380]</w:t>
      </w:r>
    </w:p>
    <w:p>
      <w:pPr>
        <w:spacing w:line="360" w:lineRule="auto"/>
        <w:jc w:val="both"/>
        <w:rPr>
          <w:rFonts w:ascii="Book Antiqua" w:hAnsi="Book Antiqua"/>
        </w:rPr>
      </w:pPr>
      <w:r>
        <w:rPr>
          <w:rFonts w:ascii="Book Antiqua" w:hAnsi="Book Antiqua" w:eastAsia="Book Antiqua" w:cs="Book Antiqua"/>
          <w:color w:val="000000"/>
        </w:rPr>
        <w:t xml:space="preserve">121 </w:t>
      </w:r>
      <w:r>
        <w:rPr>
          <w:rFonts w:ascii="Book Antiqua" w:hAnsi="Book Antiqua" w:eastAsia="Book Antiqua" w:cs="Book Antiqua"/>
          <w:b/>
          <w:bCs/>
          <w:color w:val="000000"/>
        </w:rPr>
        <w:t>Zavascki AP</w:t>
      </w:r>
      <w:r>
        <w:rPr>
          <w:rFonts w:ascii="Book Antiqua" w:hAnsi="Book Antiqua" w:eastAsia="Book Antiqua" w:cs="Book Antiqua"/>
          <w:color w:val="000000"/>
        </w:rPr>
        <w:t xml:space="preserve">, Goldani LZ, Cao G, Superti SV, Lutz L, Barth AL, Ramos F, Boniatti MM, Nation RL, Li J. Pharmacokinetics of intravenous polymyxin B in critically ill patients.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2008; </w:t>
      </w:r>
      <w:r>
        <w:rPr>
          <w:rFonts w:ascii="Book Antiqua" w:hAnsi="Book Antiqua" w:eastAsia="Book Antiqua" w:cs="Book Antiqua"/>
          <w:b/>
          <w:bCs/>
          <w:color w:val="000000"/>
        </w:rPr>
        <w:t>47</w:t>
      </w:r>
      <w:r>
        <w:rPr>
          <w:rFonts w:ascii="Book Antiqua" w:hAnsi="Book Antiqua" w:eastAsia="Book Antiqua" w:cs="Book Antiqua"/>
          <w:color w:val="000000"/>
        </w:rPr>
        <w:t>: 1298-1304 [PMID: 18840079 DOI: 10.1086/592577]</w:t>
      </w:r>
    </w:p>
    <w:p>
      <w:pPr>
        <w:spacing w:line="360" w:lineRule="auto"/>
        <w:jc w:val="both"/>
        <w:rPr>
          <w:rFonts w:ascii="Book Antiqua" w:hAnsi="Book Antiqua"/>
        </w:rPr>
      </w:pPr>
      <w:r>
        <w:rPr>
          <w:rFonts w:ascii="Book Antiqua" w:hAnsi="Book Antiqua" w:eastAsia="Book Antiqua" w:cs="Book Antiqua"/>
          <w:color w:val="000000"/>
        </w:rPr>
        <w:t xml:space="preserve">122 </w:t>
      </w:r>
      <w:r>
        <w:rPr>
          <w:rFonts w:ascii="Book Antiqua" w:hAnsi="Book Antiqua" w:eastAsia="Book Antiqua" w:cs="Book Antiqua"/>
          <w:b/>
          <w:bCs/>
          <w:color w:val="000000"/>
        </w:rPr>
        <w:t>Wiedermann CJ</w:t>
      </w:r>
      <w:r>
        <w:rPr>
          <w:rFonts w:ascii="Book Antiqua" w:hAnsi="Book Antiqua" w:eastAsia="Book Antiqua" w:cs="Book Antiqua"/>
          <w:color w:val="000000"/>
        </w:rPr>
        <w:t xml:space="preserve">, Joannidis M. Nephroprotective Potential of Human Albumin Infusion: A Narrative Review.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2015; </w:t>
      </w:r>
      <w:r>
        <w:rPr>
          <w:rFonts w:ascii="Book Antiqua" w:hAnsi="Book Antiqua" w:eastAsia="Book Antiqua" w:cs="Book Antiqua"/>
          <w:b/>
          <w:bCs/>
          <w:color w:val="000000"/>
        </w:rPr>
        <w:t>2015</w:t>
      </w:r>
      <w:r>
        <w:rPr>
          <w:rFonts w:ascii="Book Antiqua" w:hAnsi="Book Antiqua" w:eastAsia="Book Antiqua" w:cs="Book Antiqua"/>
          <w:color w:val="000000"/>
        </w:rPr>
        <w:t>: 912839 [PMID: 26136776 DOI: 10.1155/2015/912839]</w:t>
      </w:r>
    </w:p>
    <w:p>
      <w:pPr>
        <w:spacing w:line="360" w:lineRule="auto"/>
        <w:jc w:val="both"/>
        <w:rPr>
          <w:rFonts w:ascii="Book Antiqua" w:hAnsi="Book Antiqua"/>
        </w:rPr>
      </w:pPr>
      <w:r>
        <w:rPr>
          <w:rFonts w:ascii="Book Antiqua" w:hAnsi="Book Antiqua" w:eastAsia="Book Antiqua" w:cs="Book Antiqua"/>
          <w:color w:val="000000"/>
        </w:rPr>
        <w:t xml:space="preserve">123 </w:t>
      </w:r>
      <w:r>
        <w:rPr>
          <w:rFonts w:ascii="Book Antiqua" w:hAnsi="Book Antiqua" w:eastAsia="Book Antiqua" w:cs="Book Antiqua"/>
          <w:b/>
          <w:bCs/>
          <w:color w:val="000000"/>
        </w:rPr>
        <w:t>Suzuki T</w:t>
      </w:r>
      <w:r>
        <w:rPr>
          <w:rFonts w:ascii="Book Antiqua" w:hAnsi="Book Antiqua" w:eastAsia="Book Antiqua" w:cs="Book Antiqua"/>
          <w:color w:val="000000"/>
        </w:rPr>
        <w:t xml:space="preserve">, Yamaguchi H, Ogura J, Kobayashi M, Yamada T, Iseki K. Megalin contributes to kidney accumulation and nephrotoxicity of colistin.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2013; </w:t>
      </w:r>
      <w:r>
        <w:rPr>
          <w:rFonts w:ascii="Book Antiqua" w:hAnsi="Book Antiqua" w:eastAsia="Book Antiqua" w:cs="Book Antiqua"/>
          <w:b/>
          <w:bCs/>
          <w:color w:val="000000"/>
        </w:rPr>
        <w:t>57</w:t>
      </w:r>
      <w:r>
        <w:rPr>
          <w:rFonts w:ascii="Book Antiqua" w:hAnsi="Book Antiqua" w:eastAsia="Book Antiqua" w:cs="Book Antiqua"/>
          <w:color w:val="000000"/>
        </w:rPr>
        <w:t>: 6319-6324 [PMID: 24100504 DOI: 10.1128/AAC.00254-13]</w:t>
      </w:r>
    </w:p>
    <w:p>
      <w:pPr>
        <w:spacing w:line="360" w:lineRule="auto"/>
        <w:jc w:val="both"/>
        <w:rPr>
          <w:rFonts w:ascii="Book Antiqua" w:hAnsi="Book Antiqua"/>
        </w:rPr>
      </w:pPr>
      <w:r>
        <w:rPr>
          <w:rFonts w:ascii="Book Antiqua" w:hAnsi="Book Antiqua" w:eastAsia="Book Antiqua" w:cs="Book Antiqua"/>
          <w:color w:val="000000"/>
        </w:rPr>
        <w:t xml:space="preserve">124 </w:t>
      </w:r>
      <w:r>
        <w:rPr>
          <w:rFonts w:ascii="Book Antiqua" w:hAnsi="Book Antiqua" w:eastAsia="Book Antiqua" w:cs="Book Antiqua"/>
          <w:b/>
          <w:bCs/>
          <w:color w:val="000000"/>
        </w:rPr>
        <w:t>Nielsen R</w:t>
      </w:r>
      <w:r>
        <w:rPr>
          <w:rFonts w:ascii="Book Antiqua" w:hAnsi="Book Antiqua" w:eastAsia="Book Antiqua" w:cs="Book Antiqua"/>
          <w:color w:val="000000"/>
        </w:rPr>
        <w:t xml:space="preserve">, Christensen EI, Birn H. Megalin and cubilin in proximal tubule protein reabsorption: from experimental models to human disease. </w:t>
      </w:r>
      <w:r>
        <w:rPr>
          <w:rFonts w:ascii="Book Antiqua" w:hAnsi="Book Antiqua" w:eastAsia="Book Antiqua" w:cs="Book Antiqua"/>
          <w:i/>
          <w:iCs/>
          <w:color w:val="000000"/>
        </w:rPr>
        <w:t>Kidney Int</w:t>
      </w:r>
      <w:r>
        <w:rPr>
          <w:rFonts w:ascii="Book Antiqua" w:hAnsi="Book Antiqua" w:eastAsia="Book Antiqua" w:cs="Book Antiqua"/>
          <w:color w:val="000000"/>
        </w:rPr>
        <w:t xml:space="preserve"> 2016; </w:t>
      </w:r>
      <w:r>
        <w:rPr>
          <w:rFonts w:ascii="Book Antiqua" w:hAnsi="Book Antiqua" w:eastAsia="Book Antiqua" w:cs="Book Antiqua"/>
          <w:b/>
          <w:bCs/>
          <w:color w:val="000000"/>
        </w:rPr>
        <w:t>89</w:t>
      </w:r>
      <w:r>
        <w:rPr>
          <w:rFonts w:ascii="Book Antiqua" w:hAnsi="Book Antiqua" w:eastAsia="Book Antiqua" w:cs="Book Antiqua"/>
          <w:color w:val="000000"/>
        </w:rPr>
        <w:t>: 58-67 [PMID: 26759048 DOI: 10.1016/j.kint.2015.11.007]</w:t>
      </w:r>
    </w:p>
    <w:p>
      <w:pPr>
        <w:spacing w:line="360" w:lineRule="auto"/>
        <w:jc w:val="both"/>
        <w:rPr>
          <w:rFonts w:ascii="Book Antiqua" w:hAnsi="Book Antiqua"/>
        </w:rPr>
      </w:pPr>
      <w:r>
        <w:rPr>
          <w:rFonts w:ascii="Book Antiqua" w:hAnsi="Book Antiqua" w:eastAsia="Book Antiqua" w:cs="Book Antiqua"/>
          <w:color w:val="000000"/>
        </w:rPr>
        <w:t xml:space="preserve">125 </w:t>
      </w:r>
      <w:r>
        <w:rPr>
          <w:rFonts w:ascii="Book Antiqua" w:hAnsi="Book Antiqua" w:eastAsia="Book Antiqua" w:cs="Book Antiqua"/>
          <w:b/>
          <w:bCs/>
          <w:color w:val="000000"/>
        </w:rPr>
        <w:t>Colditz GA</w:t>
      </w:r>
      <w:r>
        <w:rPr>
          <w:rFonts w:ascii="Book Antiqua" w:hAnsi="Book Antiqua" w:eastAsia="Book Antiqua" w:cs="Book Antiqua"/>
          <w:color w:val="000000"/>
        </w:rPr>
        <w:t xml:space="preserve">, Burdick E, Mosteller F. Heterogeneity in meta-analysis of data from epidemiologic studies: a commentary. </w:t>
      </w:r>
      <w:r>
        <w:rPr>
          <w:rFonts w:ascii="Book Antiqua" w:hAnsi="Book Antiqua" w:eastAsia="Book Antiqua" w:cs="Book Antiqua"/>
          <w:i/>
          <w:iCs/>
          <w:color w:val="000000"/>
        </w:rPr>
        <w:t>Am J Epidemiol</w:t>
      </w:r>
      <w:r>
        <w:rPr>
          <w:rFonts w:ascii="Book Antiqua" w:hAnsi="Book Antiqua" w:eastAsia="Book Antiqua" w:cs="Book Antiqua"/>
          <w:color w:val="000000"/>
        </w:rPr>
        <w:t xml:space="preserve"> 1995; </w:t>
      </w:r>
      <w:r>
        <w:rPr>
          <w:rFonts w:ascii="Book Antiqua" w:hAnsi="Book Antiqua" w:eastAsia="Book Antiqua" w:cs="Book Antiqua"/>
          <w:b/>
          <w:bCs/>
          <w:color w:val="000000"/>
        </w:rPr>
        <w:t>142</w:t>
      </w:r>
      <w:r>
        <w:rPr>
          <w:rFonts w:ascii="Book Antiqua" w:hAnsi="Book Antiqua" w:eastAsia="Book Antiqua" w:cs="Book Antiqua"/>
          <w:color w:val="000000"/>
        </w:rPr>
        <w:t>: 371-382 [PMID: 7625401 DOI: 10.1093/oxfordjournals.aje.a117644]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rPr>
        <w:t>the authors declare having no conflict of interest related to this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PRISMA 2009 Checklist statement: </w:t>
      </w:r>
      <w:r>
        <w:rPr>
          <w:rFonts w:ascii="Book Antiqua" w:hAnsi="Book Antiqua" w:eastAsia="Book Antiqua" w:cs="Book Antiqua"/>
          <w:color w:val="000000"/>
        </w:rPr>
        <w:t>The authors have read the PRISMA 2009 Checklist in detail,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5,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September 23,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Infectious diseases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Mohapatra S, India; Sultan AAEA, Egypt</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147945" cy="5469890"/>
            <wp:effectExtent l="0" t="0" r="3175" b="1270"/>
            <wp:docPr id="4" name="图片 4" descr="WJCC-10-1146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1466-g001"/>
                    <pic:cNvPicPr>
                      <a:picLocks noChangeAspect="1"/>
                    </pic:cNvPicPr>
                  </pic:nvPicPr>
                  <pic:blipFill>
                    <a:blip r:embed="rId5"/>
                    <a:stretch>
                      <a:fillRect/>
                    </a:stretch>
                  </pic:blipFill>
                  <pic:spPr>
                    <a:xfrm>
                      <a:off x="0" y="0"/>
                      <a:ext cx="5147945" cy="546989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PRISMA flow diagram of study selection.</w:t>
      </w:r>
      <w:r>
        <w:rPr>
          <w:rFonts w:ascii="Book Antiqua" w:hAnsi="Book Antiqua" w:eastAsia="Book Antiqua" w:cs="Book Antiqua"/>
          <w:bCs/>
          <w:color w:val="000000"/>
        </w:rPr>
        <w:t xml:space="preserve"> ICU</w:t>
      </w:r>
      <w:r>
        <w:rPr>
          <w:rFonts w:ascii="Book Antiqua" w:hAnsi="Book Antiqua" w:cs="Book Antiqua"/>
          <w:bCs/>
          <w:color w:val="000000"/>
          <w:lang w:eastAsia="zh-CN"/>
        </w:rPr>
        <w:t>: Intensive care unit.</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918585" cy="8228330"/>
            <wp:effectExtent l="0" t="0" r="13335" b="1270"/>
            <wp:docPr id="5" name="图片 5" descr="WJCC-10-1146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1466-g002"/>
                    <pic:cNvPicPr>
                      <a:picLocks noChangeAspect="1"/>
                    </pic:cNvPicPr>
                  </pic:nvPicPr>
                  <pic:blipFill>
                    <a:blip r:embed="rId6"/>
                    <a:stretch>
                      <a:fillRect/>
                    </a:stretch>
                  </pic:blipFill>
                  <pic:spPr>
                    <a:xfrm>
                      <a:off x="0" y="0"/>
                      <a:ext cx="3918585" cy="822833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Forest plot portraying pooled incidence of polymyxin-induced nephrotoxicity.</w:t>
      </w:r>
    </w:p>
    <w:p>
      <w:pPr>
        <w:spacing w:line="360" w:lineRule="auto"/>
        <w:jc w:val="both"/>
        <w:rPr>
          <w:rFonts w:hint="eastAsia" w:ascii="Book Antiqua" w:hAnsi="Book Antiqua" w:eastAsia="宋体"/>
          <w:lang w:eastAsia="zh-CN"/>
        </w:rPr>
      </w:pPr>
    </w:p>
    <w:p>
      <w:pPr>
        <w:spacing w:line="360" w:lineRule="auto"/>
        <w:jc w:val="both"/>
        <w:rPr>
          <w:rFonts w:hint="eastAsia" w:ascii="Book Antiqua" w:hAnsi="Book Antiqua" w:eastAsia="宋体"/>
          <w:lang w:eastAsia="zh-CN"/>
        </w:rPr>
      </w:pPr>
    </w:p>
    <w:p>
      <w:pPr>
        <w:spacing w:line="360" w:lineRule="auto"/>
        <w:jc w:val="both"/>
        <w:rPr>
          <w:rFonts w:hint="eastAsia" w:ascii="Book Antiqua" w:hAnsi="Book Antiqua" w:eastAsia="宋体"/>
          <w:lang w:eastAsia="zh-CN"/>
        </w:rPr>
      </w:pPr>
    </w:p>
    <w:p>
      <w:pPr>
        <w:spacing w:line="360" w:lineRule="auto"/>
        <w:jc w:val="both"/>
        <w:rPr>
          <w:rFonts w:hint="eastAsia" w:ascii="Book Antiqua" w:hAnsi="Book Antiqua" w:eastAsia="宋体"/>
          <w:lang w:eastAsia="zh-CN"/>
        </w:rPr>
      </w:pPr>
    </w:p>
    <w:p>
      <w:pPr>
        <w:spacing w:line="360" w:lineRule="auto"/>
        <w:jc w:val="both"/>
        <w:rPr>
          <w:rFonts w:hint="eastAsia" w:ascii="Book Antiqua" w:hAnsi="Book Antiqua" w:eastAsia="宋体"/>
          <w:lang w:eastAsia="zh-CN"/>
        </w:rPr>
      </w:pPr>
    </w:p>
    <w:p>
      <w:pPr>
        <w:spacing w:line="360" w:lineRule="auto"/>
        <w:jc w:val="both"/>
        <w:rPr>
          <w:rFonts w:hint="eastAsia" w:ascii="Book Antiqua" w:hAnsi="Book Antiqua" w:eastAsia="宋体"/>
          <w:lang w:eastAsia="zh-CN"/>
        </w:rPr>
      </w:pPr>
      <w:bookmarkStart w:id="1" w:name="_GoBack"/>
      <w:bookmarkEnd w:id="1"/>
    </w:p>
    <w:p>
      <w:pPr>
        <w:spacing w:line="360" w:lineRule="auto"/>
        <w:jc w:val="both"/>
        <w:rPr>
          <w:rFonts w:hint="eastAsia" w:ascii="Book Antiqua" w:hAnsi="Book Antiqua" w:eastAsia="宋体"/>
          <w:lang w:eastAsia="zh-CN"/>
        </w:rPr>
      </w:pPr>
      <w:r>
        <w:rPr>
          <w:rFonts w:hint="eastAsia" w:ascii="Book Antiqua" w:hAnsi="Book Antiqua" w:eastAsia="宋体"/>
          <w:lang w:eastAsia="zh-CN"/>
        </w:rPr>
        <w:drawing>
          <wp:inline distT="0" distB="0" distL="114300" distR="114300">
            <wp:extent cx="5942330" cy="3125470"/>
            <wp:effectExtent l="0" t="0" r="1270" b="13970"/>
            <wp:docPr id="6" name="图片 6" descr="WJCC-10-1146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11466-g003"/>
                    <pic:cNvPicPr>
                      <a:picLocks noChangeAspect="1"/>
                    </pic:cNvPicPr>
                  </pic:nvPicPr>
                  <pic:blipFill>
                    <a:blip r:embed="rId7"/>
                    <a:stretch>
                      <a:fillRect/>
                    </a:stretch>
                  </pic:blipFill>
                  <pic:spPr>
                    <a:xfrm>
                      <a:off x="0" y="0"/>
                      <a:ext cx="5942330" cy="312547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3 World map of nephrotoxicity prevalence.</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0425" cy="3313430"/>
            <wp:effectExtent l="0" t="0" r="3175" b="8890"/>
            <wp:docPr id="7" name="图片 7" descr="WJCC-10-1146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1466-g004"/>
                    <pic:cNvPicPr>
                      <a:picLocks noChangeAspect="1"/>
                    </pic:cNvPicPr>
                  </pic:nvPicPr>
                  <pic:blipFill>
                    <a:blip r:embed="rId8"/>
                    <a:stretch>
                      <a:fillRect/>
                    </a:stretch>
                  </pic:blipFill>
                  <pic:spPr>
                    <a:xfrm>
                      <a:off x="0" y="0"/>
                      <a:ext cx="5940425" cy="3313430"/>
                    </a:xfrm>
                    <a:prstGeom prst="rect">
                      <a:avLst/>
                    </a:prstGeom>
                  </pic:spPr>
                </pic:pic>
              </a:graphicData>
            </a:graphic>
          </wp:inline>
        </w:drawing>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bCs/>
          <w:color w:val="000000"/>
        </w:rPr>
        <w:t>Forest plot of nephrotoxicity rates in patients receiving polymyxins compared to patients receiving other regimens.</w:t>
      </w:r>
    </w:p>
    <w:p>
      <w:pPr>
        <w:spacing w:line="360" w:lineRule="auto"/>
        <w:jc w:val="both"/>
        <w:rPr>
          <w:rFonts w:ascii="Book Antiqua" w:hAnsi="Book Antiqua" w:eastAsia="宋体"/>
          <w:b/>
          <w:bCs/>
          <w:lang w:val="en-GB"/>
        </w:rPr>
      </w:pPr>
      <w:r>
        <w:rPr>
          <w:rFonts w:ascii="Book Antiqua" w:hAnsi="Book Antiqua" w:eastAsia="宋体"/>
          <w:b/>
          <w:bCs/>
          <w:lang w:val="en-GB"/>
        </w:rPr>
        <w:t>Table 1 Subgroup analysis of polymyxin-induced nephrotoxicity</w:t>
      </w:r>
    </w:p>
    <w:tbl>
      <w:tblPr>
        <w:tblStyle w:val="7"/>
        <w:tblW w:w="14557" w:type="dxa"/>
        <w:tblInd w:w="-289" w:type="dxa"/>
        <w:tblLayout w:type="fixed"/>
        <w:tblCellMar>
          <w:top w:w="0" w:type="dxa"/>
          <w:left w:w="108" w:type="dxa"/>
          <w:bottom w:w="0" w:type="dxa"/>
          <w:right w:w="108" w:type="dxa"/>
        </w:tblCellMar>
      </w:tblPr>
      <w:tblGrid>
        <w:gridCol w:w="2128"/>
        <w:gridCol w:w="2486"/>
        <w:gridCol w:w="1072"/>
        <w:gridCol w:w="1746"/>
        <w:gridCol w:w="963"/>
        <w:gridCol w:w="2309"/>
        <w:gridCol w:w="1110"/>
        <w:gridCol w:w="207"/>
        <w:gridCol w:w="1496"/>
        <w:gridCol w:w="1040"/>
      </w:tblGrid>
      <w:tr>
        <w:tblPrEx>
          <w:tblCellMar>
            <w:top w:w="0" w:type="dxa"/>
            <w:left w:w="108" w:type="dxa"/>
            <w:bottom w:w="0" w:type="dxa"/>
            <w:right w:w="108" w:type="dxa"/>
          </w:tblCellMar>
        </w:tblPrEx>
        <w:tc>
          <w:tcPr>
            <w:tcW w:w="2128"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Category</w:t>
            </w:r>
          </w:p>
        </w:tc>
        <w:tc>
          <w:tcPr>
            <w:tcW w:w="2486"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Subgroups</w:t>
            </w:r>
          </w:p>
        </w:tc>
        <w:tc>
          <w:tcPr>
            <w:tcW w:w="1072"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No. of studies</w:t>
            </w:r>
          </w:p>
        </w:tc>
        <w:tc>
          <w:tcPr>
            <w:tcW w:w="1746" w:type="dxa"/>
            <w:tcBorders>
              <w:top w:val="single" w:color="auto" w:sz="4" w:space="0"/>
              <w:bottom w:val="single" w:color="auto" w:sz="4" w:space="0"/>
            </w:tcBorders>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No. of nephrotoxicity patients</w:t>
            </w:r>
          </w:p>
        </w:tc>
        <w:tc>
          <w:tcPr>
            <w:tcW w:w="963"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No. of patients</w:t>
            </w:r>
          </w:p>
        </w:tc>
        <w:tc>
          <w:tcPr>
            <w:tcW w:w="2309"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Events rate (95%CI)</w:t>
            </w:r>
          </w:p>
        </w:tc>
        <w:tc>
          <w:tcPr>
            <w:tcW w:w="1110"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Model</w:t>
            </w:r>
          </w:p>
        </w:tc>
        <w:tc>
          <w:tcPr>
            <w:tcW w:w="1703" w:type="dxa"/>
            <w:gridSpan w:val="2"/>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b/>
                <w:bCs/>
                <w:color w:val="000000"/>
                <w:lang w:val="en-GB"/>
              </w:rPr>
            </w:pPr>
            <w:r>
              <w:rPr>
                <w:rFonts w:ascii="Book Antiqua" w:hAnsi="Book Antiqua" w:eastAsia="等线"/>
                <w:b/>
                <w:bCs/>
                <w:color w:val="000000"/>
                <w:lang w:val="en-GB"/>
              </w:rPr>
              <w:t>Heterogeneity (</w:t>
            </w:r>
            <w:r>
              <w:rPr>
                <w:rFonts w:ascii="Book Antiqua" w:hAnsi="Book Antiqua" w:eastAsia="等线"/>
                <w:b/>
                <w:bCs/>
                <w:i/>
                <w:color w:val="000000"/>
                <w:lang w:val="en-GB"/>
              </w:rPr>
              <w:t>I</w:t>
            </w:r>
            <w:r>
              <w:rPr>
                <w:rFonts w:ascii="Book Antiqua" w:hAnsi="Book Antiqua" w:eastAsia="等线"/>
                <w:b/>
                <w:bCs/>
                <w:color w:val="000000"/>
                <w:vertAlign w:val="superscript"/>
                <w:lang w:val="en-GB"/>
              </w:rPr>
              <w:t>2</w:t>
            </w:r>
            <w:r>
              <w:rPr>
                <w:rFonts w:ascii="Book Antiqua" w:hAnsi="Book Antiqua" w:eastAsia="等线"/>
                <w:b/>
                <w:bCs/>
                <w:color w:val="000000"/>
                <w:lang w:val="en-GB"/>
              </w:rPr>
              <w:t>)</w:t>
            </w:r>
          </w:p>
        </w:tc>
        <w:tc>
          <w:tcPr>
            <w:tcW w:w="1040"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b/>
                <w:bCs/>
                <w:color w:val="000000"/>
                <w:lang w:val="en-GB"/>
              </w:rPr>
            </w:pPr>
            <w:r>
              <w:rPr>
                <w:rFonts w:ascii="Book Antiqua" w:hAnsi="Book Antiqua" w:eastAsia="等线"/>
                <w:b/>
                <w:bCs/>
                <w:i/>
                <w:iCs/>
                <w:color w:val="000000"/>
                <w:lang w:val="en-GB"/>
              </w:rPr>
              <w:t xml:space="preserve">P </w:t>
            </w:r>
            <w:r>
              <w:rPr>
                <w:rFonts w:ascii="Book Antiqua" w:hAnsi="Book Antiqua" w:eastAsia="等线"/>
                <w:b/>
                <w:bCs/>
                <w:color w:val="000000"/>
                <w:lang w:val="en-GB"/>
              </w:rPr>
              <w:t>value</w:t>
            </w:r>
          </w:p>
        </w:tc>
      </w:tr>
      <w:tr>
        <w:tblPrEx>
          <w:tblCellMar>
            <w:top w:w="0" w:type="dxa"/>
            <w:left w:w="108" w:type="dxa"/>
            <w:bottom w:w="0" w:type="dxa"/>
            <w:right w:w="108" w:type="dxa"/>
          </w:tblCellMar>
        </w:tblPrEx>
        <w:tc>
          <w:tcPr>
            <w:tcW w:w="4614" w:type="dxa"/>
            <w:gridSpan w:val="2"/>
            <w:tcBorders>
              <w:top w:val="single" w:color="auto" w:sz="4" w:space="0"/>
            </w:tcBorders>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Overall</w:t>
            </w:r>
          </w:p>
        </w:tc>
        <w:tc>
          <w:tcPr>
            <w:tcW w:w="1072" w:type="dxa"/>
            <w:tcBorders>
              <w:top w:val="single" w:color="auto" w:sz="4" w:space="0"/>
            </w:tcBorders>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83</w:t>
            </w:r>
          </w:p>
        </w:tc>
        <w:tc>
          <w:tcPr>
            <w:tcW w:w="1746" w:type="dxa"/>
            <w:tcBorders>
              <w:top w:val="single" w:color="auto" w:sz="4" w:space="0"/>
            </w:tcBorders>
          </w:tcPr>
          <w:p>
            <w:pPr>
              <w:spacing w:line="360" w:lineRule="auto"/>
              <w:jc w:val="both"/>
              <w:rPr>
                <w:rFonts w:ascii="Book Antiqua" w:hAnsi="Book Antiqua" w:eastAsia="等线"/>
              </w:rPr>
            </w:pPr>
            <w:r>
              <w:rPr>
                <w:rFonts w:ascii="Book Antiqua" w:hAnsi="Book Antiqua" w:eastAsia="等线"/>
              </w:rPr>
              <w:t>4</w:t>
            </w:r>
            <w:r>
              <w:rPr>
                <w:rFonts w:ascii="Book Antiqua" w:hAnsi="Book Antiqua" w:eastAsia="等线"/>
                <w:lang w:val="en-GB"/>
              </w:rPr>
              <w:t xml:space="preserve">, </w:t>
            </w:r>
            <w:r>
              <w:rPr>
                <w:rFonts w:ascii="Book Antiqua" w:hAnsi="Book Antiqua" w:eastAsia="等线"/>
              </w:rPr>
              <w:t>027</w:t>
            </w:r>
          </w:p>
        </w:tc>
        <w:tc>
          <w:tcPr>
            <w:tcW w:w="963" w:type="dxa"/>
            <w:tcBorders>
              <w:top w:val="single" w:color="auto" w:sz="4" w:space="0"/>
            </w:tcBorders>
            <w:shd w:val="clear" w:color="auto" w:fill="auto"/>
            <w:noWrap/>
            <w:vAlign w:val="bottom"/>
          </w:tcPr>
          <w:p>
            <w:pPr>
              <w:spacing w:line="360" w:lineRule="auto"/>
              <w:jc w:val="both"/>
              <w:rPr>
                <w:rFonts w:ascii="Book Antiqua" w:hAnsi="Book Antiqua" w:eastAsia="等线"/>
              </w:rPr>
            </w:pPr>
            <w:r>
              <w:rPr>
                <w:rFonts w:ascii="Book Antiqua" w:hAnsi="Book Antiqua" w:eastAsia="等线"/>
                <w:lang w:val="en-GB"/>
              </w:rPr>
              <w:t>1</w:t>
            </w:r>
            <w:r>
              <w:rPr>
                <w:rFonts w:ascii="Book Antiqua" w:hAnsi="Book Antiqua" w:eastAsia="等线"/>
              </w:rPr>
              <w:t>2</w:t>
            </w:r>
            <w:r>
              <w:rPr>
                <w:rFonts w:ascii="Book Antiqua" w:hAnsi="Book Antiqua" w:eastAsia="等线"/>
                <w:lang w:val="en-GB"/>
              </w:rPr>
              <w:t xml:space="preserve">, </w:t>
            </w:r>
            <w:r>
              <w:rPr>
                <w:rFonts w:ascii="Book Antiqua" w:hAnsi="Book Antiqua" w:eastAsia="等线"/>
              </w:rPr>
              <w:t>234</w:t>
            </w:r>
          </w:p>
        </w:tc>
        <w:tc>
          <w:tcPr>
            <w:tcW w:w="2309" w:type="dxa"/>
            <w:tcBorders>
              <w:top w:val="single" w:color="auto" w:sz="4" w:space="0"/>
            </w:tcBorders>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48</w:t>
            </w:r>
            <w:r>
              <w:rPr>
                <w:rFonts w:ascii="Book Antiqua" w:hAnsi="Book Antiqua" w:eastAsia="等线"/>
                <w:color w:val="000000"/>
                <w:lang w:val="en-GB"/>
              </w:rPr>
              <w:t xml:space="preserve"> (0.</w:t>
            </w:r>
            <w:r>
              <w:rPr>
                <w:rFonts w:ascii="Book Antiqua" w:hAnsi="Book Antiqua" w:eastAsia="等线"/>
                <w:color w:val="000000"/>
              </w:rPr>
              <w:t>308</w:t>
            </w:r>
            <w:r>
              <w:rPr>
                <w:rFonts w:ascii="Book Antiqua" w:hAnsi="Book Antiqua" w:eastAsia="等线"/>
                <w:color w:val="000000"/>
                <w:lang w:val="en-GB"/>
              </w:rPr>
              <w:t>-0.3</w:t>
            </w:r>
            <w:r>
              <w:rPr>
                <w:rFonts w:ascii="Book Antiqua" w:hAnsi="Book Antiqua" w:eastAsia="等线"/>
                <w:color w:val="000000"/>
              </w:rPr>
              <w:t>89</w:t>
            </w:r>
            <w:r>
              <w:rPr>
                <w:rFonts w:ascii="Book Antiqua" w:hAnsi="Book Antiqua" w:eastAsia="等线"/>
                <w:color w:val="000000"/>
                <w:lang w:val="en-GB"/>
              </w:rPr>
              <w:t>)</w:t>
            </w:r>
          </w:p>
        </w:tc>
        <w:tc>
          <w:tcPr>
            <w:tcW w:w="1317" w:type="dxa"/>
            <w:gridSpan w:val="2"/>
            <w:tcBorders>
              <w:top w:val="single" w:color="auto" w:sz="4" w:space="0"/>
            </w:tcBorders>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tcBorders>
              <w:top w:val="single" w:color="auto" w:sz="4" w:space="0"/>
            </w:tcBorders>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95.</w:t>
            </w:r>
            <w:r>
              <w:rPr>
                <w:rFonts w:ascii="Book Antiqua" w:hAnsi="Book Antiqua" w:eastAsia="等线"/>
                <w:color w:val="000000"/>
              </w:rPr>
              <w:t>90</w:t>
            </w:r>
          </w:p>
        </w:tc>
        <w:tc>
          <w:tcPr>
            <w:tcW w:w="1040" w:type="dxa"/>
            <w:tcBorders>
              <w:top w:val="single" w:color="auto" w:sz="4" w:space="0"/>
            </w:tcBorders>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NA</w:t>
            </w: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Severity</w:t>
            </w: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Severe nephrotoxicity</w:t>
            </w:r>
            <w:r>
              <w:rPr>
                <w:rFonts w:ascii="Book Antiqua" w:hAnsi="Book Antiqua" w:eastAsia="等线"/>
                <w:iCs/>
                <w:color w:val="000000"/>
                <w:vertAlign w:val="superscript"/>
                <w:lang w:val="en-GB"/>
              </w:rPr>
              <w:t>a</w:t>
            </w:r>
          </w:p>
        </w:tc>
        <w:tc>
          <w:tcPr>
            <w:tcW w:w="1072" w:type="dxa"/>
            <w:shd w:val="clear" w:color="auto" w:fill="auto"/>
            <w:noWrap/>
            <w:vAlign w:val="center"/>
          </w:tcPr>
          <w:p>
            <w:pPr>
              <w:spacing w:line="360" w:lineRule="auto"/>
              <w:jc w:val="both"/>
              <w:rPr>
                <w:rFonts w:ascii="Book Antiqua" w:hAnsi="Book Antiqua" w:eastAsia="等线"/>
                <w:color w:val="000000"/>
              </w:rPr>
            </w:pPr>
            <w:r>
              <w:rPr>
                <w:rFonts w:ascii="Book Antiqua" w:hAnsi="Book Antiqua" w:eastAsia="等线"/>
                <w:color w:val="000000"/>
              </w:rPr>
              <w:t>47</w:t>
            </w:r>
          </w:p>
        </w:tc>
        <w:tc>
          <w:tcPr>
            <w:tcW w:w="1746" w:type="dxa"/>
            <w:vAlign w:val="center"/>
          </w:tcPr>
          <w:p>
            <w:pPr>
              <w:spacing w:line="360" w:lineRule="auto"/>
              <w:jc w:val="both"/>
              <w:rPr>
                <w:rFonts w:ascii="Book Antiqua" w:hAnsi="Book Antiqua" w:eastAsia="等线"/>
                <w:color w:val="000000"/>
              </w:rPr>
            </w:pPr>
            <w:r>
              <w:rPr>
                <w:rFonts w:ascii="Book Antiqua" w:hAnsi="Book Antiqua" w:eastAsia="等线"/>
                <w:color w:val="000000"/>
              </w:rPr>
              <w:t>648</w:t>
            </w:r>
          </w:p>
        </w:tc>
        <w:tc>
          <w:tcPr>
            <w:tcW w:w="963" w:type="dxa"/>
            <w:shd w:val="clear" w:color="auto" w:fill="auto"/>
            <w:noWrap/>
            <w:vAlign w:val="center"/>
          </w:tcPr>
          <w:p>
            <w:pPr>
              <w:spacing w:line="360" w:lineRule="auto"/>
              <w:jc w:val="both"/>
              <w:rPr>
                <w:rFonts w:ascii="Book Antiqua" w:hAnsi="Book Antiqua" w:eastAsia="等线"/>
                <w:color w:val="000000"/>
              </w:rPr>
            </w:pPr>
            <w:r>
              <w:rPr>
                <w:rFonts w:ascii="Book Antiqua" w:hAnsi="Book Antiqua" w:eastAsia="等线"/>
                <w:color w:val="000000"/>
              </w:rPr>
              <w:t>5,163</w:t>
            </w:r>
          </w:p>
        </w:tc>
        <w:tc>
          <w:tcPr>
            <w:tcW w:w="2309"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0.12</w:t>
            </w:r>
            <w:r>
              <w:rPr>
                <w:rFonts w:ascii="Book Antiqua" w:hAnsi="Book Antiqua" w:eastAsia="等线"/>
                <w:color w:val="000000"/>
              </w:rPr>
              <w:t>7</w:t>
            </w:r>
            <w:r>
              <w:rPr>
                <w:rFonts w:ascii="Book Antiqua" w:hAnsi="Book Antiqua" w:eastAsia="等线"/>
                <w:color w:val="000000"/>
                <w:lang w:val="en-GB"/>
              </w:rPr>
              <w:t xml:space="preserve"> (0.</w:t>
            </w:r>
            <w:r>
              <w:rPr>
                <w:rFonts w:ascii="Book Antiqua" w:hAnsi="Book Antiqua" w:eastAsia="等线"/>
                <w:color w:val="000000"/>
              </w:rPr>
              <w:t>1</w:t>
            </w:r>
            <w:r>
              <w:rPr>
                <w:rFonts w:ascii="Book Antiqua" w:hAnsi="Book Antiqua" w:eastAsia="等线"/>
                <w:color w:val="000000"/>
                <w:lang w:val="en-GB"/>
              </w:rPr>
              <w:t>0</w:t>
            </w:r>
            <w:r>
              <w:rPr>
                <w:rFonts w:ascii="Book Antiqua" w:hAnsi="Book Antiqua" w:eastAsia="等线"/>
                <w:color w:val="000000"/>
              </w:rPr>
              <w:t>3</w:t>
            </w:r>
            <w:r>
              <w:rPr>
                <w:rFonts w:ascii="Book Antiqua" w:hAnsi="Book Antiqua" w:eastAsia="等线"/>
                <w:color w:val="000000"/>
                <w:lang w:val="en-GB"/>
              </w:rPr>
              <w:t>-0.1</w:t>
            </w:r>
            <w:r>
              <w:rPr>
                <w:rFonts w:ascii="Book Antiqua" w:hAnsi="Book Antiqua" w:eastAsia="等线"/>
                <w:color w:val="000000"/>
              </w:rPr>
              <w:t>50</w:t>
            </w:r>
            <w:r>
              <w:rPr>
                <w:rFonts w:ascii="Book Antiqua" w:hAnsi="Book Antiqua" w:eastAsia="等线"/>
                <w:color w:val="000000"/>
                <w:lang w:val="en-GB"/>
              </w:rPr>
              <w:t>)</w:t>
            </w:r>
          </w:p>
        </w:tc>
        <w:tc>
          <w:tcPr>
            <w:tcW w:w="1317" w:type="dxa"/>
            <w:gridSpan w:val="2"/>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rPr>
              <w:t>89</w:t>
            </w:r>
            <w:r>
              <w:rPr>
                <w:rFonts w:ascii="Book Antiqua" w:hAnsi="Book Antiqua" w:eastAsia="等线"/>
                <w:color w:val="000000"/>
                <w:lang w:val="en-GB"/>
              </w:rPr>
              <w:t>.</w:t>
            </w:r>
            <w:r>
              <w:rPr>
                <w:rFonts w:ascii="Book Antiqua" w:hAnsi="Book Antiqua" w:eastAsia="等线"/>
                <w:color w:val="000000"/>
              </w:rPr>
              <w:t>6</w:t>
            </w:r>
            <w:r>
              <w:rPr>
                <w:rFonts w:ascii="Book Antiqua" w:hAnsi="Book Antiqua" w:eastAsia="等线"/>
                <w:color w:val="000000"/>
                <w:lang w:val="en-GB"/>
              </w:rPr>
              <w:t>0</w:t>
            </w:r>
          </w:p>
        </w:tc>
        <w:tc>
          <w:tcPr>
            <w:tcW w:w="1040"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NA</w:t>
            </w:r>
          </w:p>
        </w:tc>
      </w:tr>
      <w:tr>
        <w:tblPrEx>
          <w:tblCellMar>
            <w:top w:w="0" w:type="dxa"/>
            <w:left w:w="108" w:type="dxa"/>
            <w:bottom w:w="0" w:type="dxa"/>
            <w:right w:w="108" w:type="dxa"/>
          </w:tblCellMar>
        </w:tblPrEx>
        <w:tc>
          <w:tcPr>
            <w:tcW w:w="2128" w:type="dxa"/>
            <w:vMerge w:val="continue"/>
            <w:shd w:val="clear" w:color="auto" w:fill="auto"/>
            <w:noWrap/>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Mild nephrotoxicity</w:t>
            </w:r>
          </w:p>
        </w:tc>
        <w:tc>
          <w:tcPr>
            <w:tcW w:w="1072"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4</w:t>
            </w:r>
            <w:r>
              <w:rPr>
                <w:rFonts w:ascii="Book Antiqua" w:hAnsi="Book Antiqua" w:eastAsia="等线"/>
                <w:color w:val="000000"/>
              </w:rPr>
              <w:t>9</w:t>
            </w:r>
          </w:p>
        </w:tc>
        <w:tc>
          <w:tcPr>
            <w:tcW w:w="1746" w:type="dxa"/>
            <w:vAlign w:val="center"/>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1, </w:t>
            </w:r>
            <w:r>
              <w:rPr>
                <w:rFonts w:ascii="Book Antiqua" w:hAnsi="Book Antiqua" w:eastAsia="等线"/>
                <w:color w:val="000000"/>
              </w:rPr>
              <w:t>378</w:t>
            </w:r>
          </w:p>
        </w:tc>
        <w:tc>
          <w:tcPr>
            <w:tcW w:w="963"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rPr>
              <w:t>5</w:t>
            </w:r>
            <w:r>
              <w:rPr>
                <w:rFonts w:ascii="Book Antiqua" w:hAnsi="Book Antiqua" w:eastAsia="等线"/>
                <w:color w:val="000000"/>
                <w:lang w:val="en-GB"/>
              </w:rPr>
              <w:t>, 1</w:t>
            </w:r>
            <w:r>
              <w:rPr>
                <w:rFonts w:ascii="Book Antiqua" w:hAnsi="Book Antiqua" w:eastAsia="等线"/>
                <w:color w:val="000000"/>
              </w:rPr>
              <w:t>6</w:t>
            </w:r>
            <w:r>
              <w:rPr>
                <w:rFonts w:ascii="Book Antiqua" w:hAnsi="Book Antiqua" w:eastAsia="等线"/>
                <w:color w:val="000000"/>
                <w:lang w:val="en-GB"/>
              </w:rPr>
              <w:t>3</w:t>
            </w:r>
          </w:p>
        </w:tc>
        <w:tc>
          <w:tcPr>
            <w:tcW w:w="2309"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0.25</w:t>
            </w:r>
            <w:r>
              <w:rPr>
                <w:rFonts w:ascii="Book Antiqua" w:hAnsi="Book Antiqua" w:eastAsia="等线"/>
                <w:color w:val="000000"/>
              </w:rPr>
              <w:t>8</w:t>
            </w:r>
            <w:r>
              <w:rPr>
                <w:rFonts w:ascii="Book Antiqua" w:hAnsi="Book Antiqua" w:eastAsia="等线"/>
                <w:color w:val="000000"/>
                <w:lang w:val="en-GB"/>
              </w:rPr>
              <w:t xml:space="preserve"> (0.2</w:t>
            </w:r>
            <w:r>
              <w:rPr>
                <w:rFonts w:ascii="Book Antiqua" w:hAnsi="Book Antiqua" w:eastAsia="等线"/>
                <w:color w:val="000000"/>
              </w:rPr>
              <w:t>16</w:t>
            </w:r>
            <w:r>
              <w:rPr>
                <w:rFonts w:ascii="Book Antiqua" w:hAnsi="Book Antiqua" w:eastAsia="等线"/>
                <w:color w:val="000000"/>
                <w:lang w:val="en-GB"/>
              </w:rPr>
              <w:t>-0.29</w:t>
            </w:r>
            <w:r>
              <w:rPr>
                <w:rFonts w:ascii="Book Antiqua" w:hAnsi="Book Antiqua" w:eastAsia="等线"/>
                <w:color w:val="000000"/>
              </w:rPr>
              <w:t>9</w:t>
            </w:r>
            <w:r>
              <w:rPr>
                <w:rFonts w:ascii="Book Antiqua" w:hAnsi="Book Antiqua" w:eastAsia="等线"/>
                <w:color w:val="000000"/>
                <w:lang w:val="en-GB"/>
              </w:rPr>
              <w:t>)</w:t>
            </w:r>
          </w:p>
        </w:tc>
        <w:tc>
          <w:tcPr>
            <w:tcW w:w="1317" w:type="dxa"/>
            <w:gridSpan w:val="2"/>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rPr>
              <w:t>96</w:t>
            </w:r>
            <w:r>
              <w:rPr>
                <w:rFonts w:ascii="Book Antiqua" w:hAnsi="Book Antiqua" w:eastAsia="等线"/>
                <w:color w:val="000000"/>
                <w:lang w:val="en-GB"/>
              </w:rPr>
              <w:t>.</w:t>
            </w:r>
            <w:r>
              <w:rPr>
                <w:rFonts w:ascii="Book Antiqua" w:hAnsi="Book Antiqua" w:eastAsia="等线"/>
                <w:color w:val="000000"/>
              </w:rPr>
              <w:t>8</w:t>
            </w:r>
            <w:r>
              <w:rPr>
                <w:rFonts w:ascii="Book Antiqua" w:hAnsi="Book Antiqua" w:eastAsia="等线"/>
                <w:color w:val="000000"/>
                <w:lang w:val="en-GB"/>
              </w:rPr>
              <w:t>0</w:t>
            </w:r>
          </w:p>
        </w:tc>
        <w:tc>
          <w:tcPr>
            <w:tcW w:w="1040" w:type="dxa"/>
            <w:vMerge w:val="continue"/>
            <w:shd w:val="clear" w:color="auto" w:fill="auto"/>
            <w:noWrap/>
            <w:vAlign w:val="center"/>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Continent </w:t>
            </w: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Africa</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4</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53</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209</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0.215 (0.087-0.343)</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82.10 </w:t>
            </w:r>
          </w:p>
        </w:tc>
        <w:tc>
          <w:tcPr>
            <w:tcW w:w="1040" w:type="dxa"/>
            <w:vMerge w:val="restart"/>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lang w:val="en-GB"/>
              </w:rPr>
              <w:t>0.</w:t>
            </w:r>
            <w:r>
              <w:rPr>
                <w:rFonts w:ascii="Book Antiqua" w:hAnsi="Book Antiqua" w:eastAsia="等线"/>
                <w:color w:val="000000"/>
              </w:rPr>
              <w:t>394</w:t>
            </w:r>
          </w:p>
        </w:tc>
      </w:tr>
      <w:tr>
        <w:tblPrEx>
          <w:tblCellMar>
            <w:top w:w="0" w:type="dxa"/>
            <w:left w:w="108" w:type="dxa"/>
            <w:bottom w:w="0" w:type="dxa"/>
            <w:right w:w="108" w:type="dxa"/>
          </w:tblCellMar>
        </w:tblPrEx>
        <w:tc>
          <w:tcPr>
            <w:tcW w:w="2128" w:type="dxa"/>
            <w:vMerge w:val="continue"/>
            <w:vAlign w:val="center"/>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Asia</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31</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1, 230</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3, 099</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40</w:t>
            </w:r>
            <w:r>
              <w:rPr>
                <w:rFonts w:ascii="Book Antiqua" w:hAnsi="Book Antiqua" w:eastAsia="等线"/>
                <w:color w:val="000000"/>
                <w:lang w:val="en-GB"/>
              </w:rPr>
              <w:t xml:space="preserve"> (0.2</w:t>
            </w:r>
            <w:r>
              <w:rPr>
                <w:rFonts w:ascii="Book Antiqua" w:hAnsi="Book Antiqua" w:eastAsia="等线"/>
                <w:color w:val="000000"/>
              </w:rPr>
              <w:t>64</w:t>
            </w:r>
            <w:r>
              <w:rPr>
                <w:rFonts w:ascii="Book Antiqua" w:hAnsi="Book Antiqua" w:eastAsia="等线"/>
                <w:color w:val="000000"/>
                <w:lang w:val="en-GB"/>
              </w:rPr>
              <w:t>-0.</w:t>
            </w:r>
            <w:r>
              <w:rPr>
                <w:rFonts w:ascii="Book Antiqua" w:hAnsi="Book Antiqua" w:eastAsia="等线"/>
                <w:color w:val="000000"/>
              </w:rPr>
              <w:t>416</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96.</w:t>
            </w:r>
            <w:r>
              <w:rPr>
                <w:rFonts w:ascii="Book Antiqua" w:hAnsi="Book Antiqua" w:eastAsia="等线"/>
                <w:color w:val="000000"/>
              </w:rPr>
              <w:t>3</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vAlign w:val="center"/>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Europe</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35</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1, </w:t>
            </w:r>
            <w:r>
              <w:rPr>
                <w:rFonts w:ascii="Book Antiqua" w:hAnsi="Book Antiqua" w:eastAsia="等线"/>
                <w:color w:val="000000"/>
              </w:rPr>
              <w:t>192</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2, </w:t>
            </w:r>
            <w:r>
              <w:rPr>
                <w:rFonts w:ascii="Book Antiqua" w:hAnsi="Book Antiqua" w:eastAsia="等线"/>
                <w:color w:val="000000"/>
              </w:rPr>
              <w:t>90</w:t>
            </w:r>
            <w:r>
              <w:rPr>
                <w:rFonts w:ascii="Book Antiqua" w:hAnsi="Book Antiqua" w:eastAsia="等线"/>
                <w:color w:val="000000"/>
                <w:lang w:val="en-GB"/>
              </w:rPr>
              <w:t>4</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64</w:t>
            </w:r>
            <w:r>
              <w:rPr>
                <w:rFonts w:ascii="Book Antiqua" w:hAnsi="Book Antiqua" w:eastAsia="等线"/>
                <w:color w:val="000000"/>
                <w:lang w:val="en-GB"/>
              </w:rPr>
              <w:t xml:space="preserve"> (0.2</w:t>
            </w:r>
            <w:r>
              <w:rPr>
                <w:rFonts w:ascii="Book Antiqua" w:hAnsi="Book Antiqua" w:eastAsia="等线"/>
                <w:color w:val="000000"/>
              </w:rPr>
              <w:t>83</w:t>
            </w:r>
            <w:r>
              <w:rPr>
                <w:rFonts w:ascii="Book Antiqua" w:hAnsi="Book Antiqua" w:eastAsia="等线"/>
                <w:color w:val="000000"/>
                <w:lang w:val="en-GB"/>
              </w:rPr>
              <w:t>-0.4</w:t>
            </w:r>
            <w:r>
              <w:rPr>
                <w:rFonts w:ascii="Book Antiqua" w:hAnsi="Book Antiqua" w:eastAsia="等线"/>
                <w:color w:val="000000"/>
              </w:rPr>
              <w:t>46</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7</w:t>
            </w:r>
            <w:r>
              <w:rPr>
                <w:rFonts w:ascii="Book Antiqua" w:hAnsi="Book Antiqua" w:eastAsia="等线"/>
                <w:color w:val="000000"/>
                <w:lang w:val="en-GB"/>
              </w:rPr>
              <w:t>.</w:t>
            </w:r>
            <w:r>
              <w:rPr>
                <w:rFonts w:ascii="Book Antiqua" w:hAnsi="Book Antiqua" w:eastAsia="等线"/>
                <w:color w:val="000000"/>
              </w:rPr>
              <w:t>0</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vAlign w:val="center"/>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South America</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6</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249</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628</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0.399 (0.295-0.503)</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84.60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vAlign w:val="center"/>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North America</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6</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1, 283</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5, 213</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0.329 (0.200-0.459)</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92.40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Polymyxins</w:t>
            </w: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Colistin</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72</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3, </w:t>
            </w:r>
            <w:r>
              <w:rPr>
                <w:rFonts w:ascii="Book Antiqua" w:hAnsi="Book Antiqua" w:eastAsia="等线"/>
                <w:color w:val="000000"/>
              </w:rPr>
              <w:t>623</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1</w:t>
            </w:r>
            <w:r>
              <w:rPr>
                <w:rFonts w:ascii="Book Antiqua" w:hAnsi="Book Antiqua" w:eastAsia="等线"/>
                <w:color w:val="000000"/>
              </w:rPr>
              <w:t>1</w:t>
            </w:r>
            <w:r>
              <w:rPr>
                <w:rFonts w:ascii="Book Antiqua" w:hAnsi="Book Antiqua" w:eastAsia="等线"/>
                <w:color w:val="000000"/>
                <w:lang w:val="en-GB"/>
              </w:rPr>
              <w:t xml:space="preserve">, </w:t>
            </w:r>
            <w:r>
              <w:rPr>
                <w:rFonts w:ascii="Book Antiqua" w:hAnsi="Book Antiqua" w:eastAsia="等线"/>
                <w:color w:val="000000"/>
              </w:rPr>
              <w:t>211</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55</w:t>
            </w:r>
            <w:r>
              <w:rPr>
                <w:rFonts w:ascii="Book Antiqua" w:hAnsi="Book Antiqua" w:eastAsia="等线"/>
                <w:color w:val="000000"/>
                <w:lang w:val="en-GB"/>
              </w:rPr>
              <w:t xml:space="preserve"> (0.3</w:t>
            </w:r>
            <w:r>
              <w:rPr>
                <w:rFonts w:ascii="Book Antiqua" w:hAnsi="Book Antiqua" w:eastAsia="等线"/>
                <w:color w:val="000000"/>
              </w:rPr>
              <w:t>11</w:t>
            </w:r>
            <w:r>
              <w:rPr>
                <w:rFonts w:ascii="Book Antiqua" w:hAnsi="Book Antiqua" w:eastAsia="等线"/>
                <w:color w:val="000000"/>
                <w:lang w:val="en-GB"/>
              </w:rPr>
              <w:t>-0.3</w:t>
            </w:r>
            <w:r>
              <w:rPr>
                <w:rFonts w:ascii="Book Antiqua" w:hAnsi="Book Antiqua" w:eastAsia="等线"/>
                <w:color w:val="000000"/>
              </w:rPr>
              <w:t>98</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6.10</w:t>
            </w:r>
            <w:r>
              <w:rPr>
                <w:rFonts w:ascii="Book Antiqua" w:hAnsi="Book Antiqua" w:eastAsia="等线"/>
                <w:color w:val="000000"/>
                <w:lang w:val="en-GB"/>
              </w:rPr>
              <w:t xml:space="preserve"> </w:t>
            </w:r>
          </w:p>
        </w:tc>
        <w:tc>
          <w:tcPr>
            <w:tcW w:w="1040" w:type="dxa"/>
            <w:vMerge w:val="restart"/>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lang w:val="en-GB"/>
              </w:rPr>
              <w:t>0.1</w:t>
            </w:r>
            <w:r>
              <w:rPr>
                <w:rFonts w:ascii="Book Antiqua" w:hAnsi="Book Antiqua" w:eastAsia="等线"/>
                <w:color w:val="000000"/>
              </w:rPr>
              <w:t>51</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Polymyxin B</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11</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262</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903</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0.2</w:t>
            </w:r>
            <w:r>
              <w:rPr>
                <w:rFonts w:ascii="Book Antiqua" w:hAnsi="Book Antiqua" w:eastAsia="等线"/>
                <w:color w:val="000000"/>
              </w:rPr>
              <w:t>68</w:t>
            </w:r>
            <w:r>
              <w:rPr>
                <w:rFonts w:ascii="Book Antiqua" w:hAnsi="Book Antiqua" w:eastAsia="等线"/>
                <w:color w:val="000000"/>
                <w:lang w:val="en-GB"/>
              </w:rPr>
              <w:t xml:space="preserve"> (0.1</w:t>
            </w:r>
            <w:r>
              <w:rPr>
                <w:rFonts w:ascii="Book Antiqua" w:hAnsi="Book Antiqua" w:eastAsia="等线"/>
                <w:color w:val="000000"/>
              </w:rPr>
              <w:t>71</w:t>
            </w:r>
            <w:r>
              <w:rPr>
                <w:rFonts w:ascii="Book Antiqua" w:hAnsi="Book Antiqua" w:eastAsia="等线"/>
                <w:color w:val="000000"/>
                <w:lang w:val="en-GB"/>
              </w:rPr>
              <w:t>-0.3</w:t>
            </w:r>
            <w:r>
              <w:rPr>
                <w:rFonts w:ascii="Book Antiqua" w:hAnsi="Book Antiqua" w:eastAsia="等线"/>
                <w:color w:val="000000"/>
              </w:rPr>
              <w:t>64</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2</w:t>
            </w:r>
            <w:r>
              <w:rPr>
                <w:rFonts w:ascii="Book Antiqua" w:hAnsi="Book Antiqua" w:eastAsia="等线"/>
                <w:color w:val="000000"/>
                <w:lang w:val="en-GB"/>
              </w:rPr>
              <w:t>.</w:t>
            </w:r>
            <w:r>
              <w:rPr>
                <w:rFonts w:ascii="Book Antiqua" w:hAnsi="Book Antiqua" w:eastAsia="等线"/>
                <w:color w:val="000000"/>
              </w:rPr>
              <w:t>2</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Loading dose</w:t>
            </w: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Loading dose</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32</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1,305</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3</w:t>
            </w:r>
            <w:r>
              <w:rPr>
                <w:rFonts w:ascii="Book Antiqua" w:hAnsi="Book Antiqua" w:eastAsia="等线"/>
                <w:color w:val="000000"/>
                <w:lang w:val="en-GB"/>
              </w:rPr>
              <w:t xml:space="preserve">, </w:t>
            </w:r>
            <w:r>
              <w:rPr>
                <w:rFonts w:ascii="Book Antiqua" w:hAnsi="Book Antiqua" w:eastAsia="等线"/>
                <w:color w:val="000000"/>
              </w:rPr>
              <w:t>233</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91</w:t>
            </w:r>
            <w:r>
              <w:rPr>
                <w:rFonts w:ascii="Book Antiqua" w:hAnsi="Book Antiqua" w:eastAsia="等线"/>
                <w:color w:val="000000"/>
                <w:lang w:val="en-GB"/>
              </w:rPr>
              <w:t xml:space="preserve"> (0.</w:t>
            </w:r>
            <w:r>
              <w:rPr>
                <w:rFonts w:ascii="Book Antiqua" w:hAnsi="Book Antiqua" w:eastAsia="等线"/>
                <w:color w:val="000000"/>
              </w:rPr>
              <w:t>321</w:t>
            </w:r>
            <w:r>
              <w:rPr>
                <w:rFonts w:ascii="Book Antiqua" w:hAnsi="Book Antiqua" w:eastAsia="等线"/>
                <w:color w:val="000000"/>
                <w:lang w:val="en-GB"/>
              </w:rPr>
              <w:t>-0.4</w:t>
            </w:r>
            <w:r>
              <w:rPr>
                <w:rFonts w:ascii="Book Antiqua" w:hAnsi="Book Antiqua" w:eastAsia="等线"/>
                <w:color w:val="000000"/>
              </w:rPr>
              <w:t>61</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5</w:t>
            </w:r>
            <w:r>
              <w:rPr>
                <w:rFonts w:ascii="Book Antiqua" w:hAnsi="Book Antiqua" w:eastAsia="等线"/>
                <w:color w:val="000000"/>
                <w:lang w:val="en-GB"/>
              </w:rPr>
              <w:t>.</w:t>
            </w:r>
            <w:r>
              <w:rPr>
                <w:rFonts w:ascii="Book Antiqua" w:hAnsi="Book Antiqua" w:eastAsia="等线"/>
                <w:color w:val="000000"/>
              </w:rPr>
              <w:t>0</w:t>
            </w:r>
            <w:r>
              <w:rPr>
                <w:rFonts w:ascii="Book Antiqua" w:hAnsi="Book Antiqua" w:eastAsia="等线"/>
                <w:color w:val="000000"/>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lang w:val="en-GB"/>
              </w:rPr>
              <w:t>0.</w:t>
            </w:r>
            <w:r>
              <w:rPr>
                <w:rFonts w:ascii="Book Antiqua" w:hAnsi="Book Antiqua" w:eastAsia="等线"/>
                <w:color w:val="000000"/>
              </w:rPr>
              <w:t>051</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No loading dose</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4</w:t>
            </w:r>
            <w:r>
              <w:rPr>
                <w:rFonts w:ascii="Book Antiqua" w:hAnsi="Book Antiqua" w:eastAsia="等线"/>
                <w:color w:val="000000"/>
              </w:rPr>
              <w:t>8</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2, </w:t>
            </w:r>
            <w:r>
              <w:rPr>
                <w:rFonts w:ascii="Book Antiqua" w:hAnsi="Book Antiqua" w:eastAsia="等线"/>
                <w:color w:val="000000"/>
              </w:rPr>
              <w:t>333</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8, </w:t>
            </w:r>
            <w:r>
              <w:rPr>
                <w:rFonts w:ascii="Book Antiqua" w:hAnsi="Book Antiqua" w:eastAsia="等线"/>
                <w:color w:val="000000"/>
              </w:rPr>
              <w:t>340</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0.30</w:t>
            </w:r>
            <w:r>
              <w:rPr>
                <w:rFonts w:ascii="Book Antiqua" w:hAnsi="Book Antiqua" w:eastAsia="等线"/>
                <w:color w:val="000000"/>
              </w:rPr>
              <w:t>9</w:t>
            </w:r>
            <w:r>
              <w:rPr>
                <w:rFonts w:ascii="Book Antiqua" w:hAnsi="Book Antiqua" w:eastAsia="等线"/>
                <w:color w:val="000000"/>
                <w:lang w:val="en-GB"/>
              </w:rPr>
              <w:t xml:space="preserve"> (0.2</w:t>
            </w:r>
            <w:r>
              <w:rPr>
                <w:rFonts w:ascii="Book Antiqua" w:hAnsi="Book Antiqua" w:eastAsia="等线"/>
                <w:color w:val="000000"/>
              </w:rPr>
              <w:t>60</w:t>
            </w:r>
            <w:r>
              <w:rPr>
                <w:rFonts w:ascii="Book Antiqua" w:hAnsi="Book Antiqua" w:eastAsia="等线"/>
                <w:color w:val="000000"/>
                <w:lang w:val="en-GB"/>
              </w:rPr>
              <w:t>-0.35</w:t>
            </w:r>
            <w:r>
              <w:rPr>
                <w:rFonts w:ascii="Book Antiqua" w:hAnsi="Book Antiqua" w:eastAsia="等线"/>
                <w:color w:val="000000"/>
              </w:rPr>
              <w:t>7</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95.</w:t>
            </w:r>
            <w:r>
              <w:rPr>
                <w:rFonts w:ascii="Book Antiqua" w:hAnsi="Book Antiqua" w:eastAsia="等线"/>
                <w:color w:val="000000"/>
              </w:rPr>
              <w:t>2</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Maintenance dose</w:t>
            </w:r>
            <w:r>
              <w:rPr>
                <w:rFonts w:ascii="Book Antiqua" w:hAnsi="Book Antiqua" w:eastAsia="等线"/>
                <w:iCs/>
                <w:color w:val="000000"/>
                <w:vertAlign w:val="superscript"/>
                <w:lang w:val="en-GB"/>
              </w:rPr>
              <w:t>b</w:t>
            </w: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Higher dose</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5</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109</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281</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0.395 (0.302-0.487)</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52.00 </w:t>
            </w:r>
          </w:p>
        </w:tc>
        <w:tc>
          <w:tcPr>
            <w:tcW w:w="1040"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0.363</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Normal dose</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62</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2, 867</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9, 588</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0.324 (0.278-0.371)</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96.00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Dosing interval</w:t>
            </w: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Q12H or BID</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32</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1, </w:t>
            </w:r>
            <w:r>
              <w:rPr>
                <w:rFonts w:ascii="Book Antiqua" w:hAnsi="Book Antiqua" w:eastAsia="等线"/>
                <w:color w:val="000000"/>
              </w:rPr>
              <w:t>494</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3</w:t>
            </w:r>
            <w:r>
              <w:rPr>
                <w:rFonts w:ascii="Book Antiqua" w:hAnsi="Book Antiqua" w:eastAsia="等线"/>
                <w:color w:val="000000"/>
                <w:lang w:val="en-GB"/>
              </w:rPr>
              <w:t xml:space="preserve">, </w:t>
            </w:r>
            <w:r>
              <w:rPr>
                <w:rFonts w:ascii="Book Antiqua" w:hAnsi="Book Antiqua" w:eastAsia="等线"/>
                <w:color w:val="000000"/>
              </w:rPr>
              <w:t>200</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0.4</w:t>
            </w:r>
            <w:r>
              <w:rPr>
                <w:rFonts w:ascii="Book Antiqua" w:hAnsi="Book Antiqua" w:eastAsia="等线"/>
                <w:color w:val="000000"/>
              </w:rPr>
              <w:t>21</w:t>
            </w:r>
            <w:r>
              <w:rPr>
                <w:rFonts w:ascii="Book Antiqua" w:hAnsi="Book Antiqua" w:eastAsia="等线"/>
                <w:color w:val="000000"/>
                <w:lang w:val="en-GB"/>
              </w:rPr>
              <w:t xml:space="preserve"> (0.3</w:t>
            </w:r>
            <w:r>
              <w:rPr>
                <w:rFonts w:ascii="Book Antiqua" w:hAnsi="Book Antiqua" w:eastAsia="等线"/>
                <w:color w:val="000000"/>
              </w:rPr>
              <w:t>56</w:t>
            </w:r>
            <w:r>
              <w:rPr>
                <w:rFonts w:ascii="Book Antiqua" w:hAnsi="Book Antiqua" w:eastAsia="等线"/>
                <w:color w:val="000000"/>
                <w:lang w:val="en-GB"/>
              </w:rPr>
              <w:t>-0.48</w:t>
            </w:r>
            <w:r>
              <w:rPr>
                <w:rFonts w:ascii="Book Antiqua" w:hAnsi="Book Antiqua" w:eastAsia="等线"/>
                <w:color w:val="000000"/>
              </w:rPr>
              <w:t>5</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93.</w:t>
            </w:r>
            <w:r>
              <w:rPr>
                <w:rFonts w:ascii="Book Antiqua" w:hAnsi="Book Antiqua" w:eastAsia="等线"/>
                <w:color w:val="000000"/>
              </w:rPr>
              <w:t>4</w:t>
            </w:r>
            <w:r>
              <w:rPr>
                <w:rFonts w:ascii="Book Antiqua" w:hAnsi="Book Antiqua" w:eastAsia="等线"/>
                <w:color w:val="000000"/>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0.00</w:t>
            </w:r>
            <w:r>
              <w:rPr>
                <w:rFonts w:ascii="Book Antiqua" w:hAnsi="Book Antiqua" w:eastAsia="等线"/>
                <w:color w:val="000000"/>
              </w:rPr>
              <w:t>1</w:t>
            </w:r>
            <w:r>
              <w:rPr>
                <w:rFonts w:ascii="Book Antiqua" w:hAnsi="Book Antiqua" w:eastAsia="宋体"/>
                <w:bCs/>
                <w:vertAlign w:val="superscript"/>
                <w:lang w:val="en-GB"/>
              </w:rPr>
              <w:t>1</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Q8-6H or TID</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21</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380</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1, 322</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0.251 (0.172-0.330)</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93.90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tcPr>
          <w:p>
            <w:pPr>
              <w:spacing w:line="360" w:lineRule="auto"/>
              <w:jc w:val="both"/>
              <w:rPr>
                <w:rFonts w:ascii="Book Antiqua" w:hAnsi="Book Antiqua" w:eastAsia="等线"/>
                <w:color w:val="000000"/>
                <w:highlight w:val="yellow"/>
                <w:lang w:val="en-GB"/>
              </w:rPr>
            </w:pPr>
            <w:r>
              <w:rPr>
                <w:rFonts w:ascii="Book Antiqua" w:hAnsi="Book Antiqua" w:eastAsia="等线"/>
                <w:color w:val="000000"/>
                <w:lang w:val="en-GB"/>
              </w:rPr>
              <w:t xml:space="preserve">Nephrotoxicity Criteria </w:t>
            </w: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RIFLE</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3</w:t>
            </w:r>
            <w:r>
              <w:rPr>
                <w:rFonts w:ascii="Book Antiqua" w:hAnsi="Book Antiqua" w:eastAsia="等线"/>
                <w:color w:val="000000"/>
              </w:rPr>
              <w:t>8</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1, </w:t>
            </w:r>
            <w:r>
              <w:rPr>
                <w:rFonts w:ascii="Book Antiqua" w:hAnsi="Book Antiqua" w:eastAsia="等线"/>
                <w:color w:val="000000"/>
              </w:rPr>
              <w:t>667</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3, </w:t>
            </w:r>
            <w:r>
              <w:rPr>
                <w:rFonts w:ascii="Book Antiqua" w:hAnsi="Book Antiqua" w:eastAsia="等线"/>
                <w:color w:val="000000"/>
              </w:rPr>
              <w:t>985</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96</w:t>
            </w:r>
            <w:r>
              <w:rPr>
                <w:rFonts w:ascii="Book Antiqua" w:hAnsi="Book Antiqua" w:eastAsia="等线"/>
                <w:color w:val="000000"/>
                <w:lang w:val="en-GB"/>
              </w:rPr>
              <w:t xml:space="preserve"> (0.3</w:t>
            </w:r>
            <w:r>
              <w:rPr>
                <w:rFonts w:ascii="Book Antiqua" w:hAnsi="Book Antiqua" w:eastAsia="等线"/>
                <w:color w:val="000000"/>
              </w:rPr>
              <w:t>39</w:t>
            </w:r>
            <w:r>
              <w:rPr>
                <w:rFonts w:ascii="Book Antiqua" w:hAnsi="Book Antiqua" w:eastAsia="等线"/>
                <w:color w:val="000000"/>
                <w:lang w:val="en-GB"/>
              </w:rPr>
              <w:t>-0.4</w:t>
            </w:r>
            <w:r>
              <w:rPr>
                <w:rFonts w:ascii="Book Antiqua" w:hAnsi="Book Antiqua" w:eastAsia="等线"/>
                <w:color w:val="000000"/>
              </w:rPr>
              <w:t>54</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93.</w:t>
            </w:r>
            <w:r>
              <w:rPr>
                <w:rFonts w:ascii="Book Antiqua" w:hAnsi="Book Antiqua" w:eastAsia="等线"/>
                <w:color w:val="000000"/>
              </w:rPr>
              <w:t>8</w:t>
            </w:r>
            <w:r>
              <w:rPr>
                <w:rFonts w:ascii="Book Antiqua" w:hAnsi="Book Antiqua" w:eastAsia="等线"/>
                <w:color w:val="000000"/>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0.000</w:t>
            </w:r>
            <w:r>
              <w:rPr>
                <w:rFonts w:ascii="Book Antiqua" w:hAnsi="Book Antiqua" w:eastAsia="宋体"/>
                <w:bCs/>
                <w:vertAlign w:val="superscript"/>
                <w:lang w:val="en-GB"/>
              </w:rPr>
              <w:t>1</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KDIGO</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10</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627</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1,369</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0.4</w:t>
            </w:r>
            <w:r>
              <w:rPr>
                <w:rFonts w:ascii="Book Antiqua" w:hAnsi="Book Antiqua" w:eastAsia="等线"/>
                <w:color w:val="000000"/>
              </w:rPr>
              <w:t>65</w:t>
            </w:r>
            <w:r>
              <w:rPr>
                <w:rFonts w:ascii="Book Antiqua" w:hAnsi="Book Antiqua" w:eastAsia="等线"/>
                <w:color w:val="000000"/>
                <w:lang w:val="en-GB"/>
              </w:rPr>
              <w:t xml:space="preserve"> (0.3</w:t>
            </w:r>
            <w:r>
              <w:rPr>
                <w:rFonts w:ascii="Book Antiqua" w:hAnsi="Book Antiqua" w:eastAsia="等线"/>
                <w:color w:val="000000"/>
              </w:rPr>
              <w:t>59</w:t>
            </w:r>
            <w:r>
              <w:rPr>
                <w:rFonts w:ascii="Book Antiqua" w:hAnsi="Book Antiqua" w:eastAsia="等线"/>
                <w:color w:val="000000"/>
                <w:lang w:val="en-GB"/>
              </w:rPr>
              <w:t>-0.</w:t>
            </w:r>
            <w:r>
              <w:rPr>
                <w:rFonts w:ascii="Book Antiqua" w:hAnsi="Book Antiqua" w:eastAsia="等线"/>
                <w:color w:val="000000"/>
              </w:rPr>
              <w:t>571</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3</w:t>
            </w:r>
            <w:r>
              <w:rPr>
                <w:rFonts w:ascii="Book Antiqua" w:hAnsi="Book Antiqua" w:eastAsia="等线"/>
                <w:color w:val="000000"/>
                <w:lang w:val="en-GB"/>
              </w:rPr>
              <w:t>.</w:t>
            </w:r>
            <w:r>
              <w:rPr>
                <w:rFonts w:ascii="Book Antiqua" w:hAnsi="Book Antiqua" w:eastAsia="等线"/>
                <w:color w:val="000000"/>
              </w:rPr>
              <w:t>8</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AKIN</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8</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284</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761</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0.373 (0.274-0.473)</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87.40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center"/>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Others</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26</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1, 473</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6, 298</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0.214 (0.159-0.269)</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94.20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Age (yr)</w:t>
            </w:r>
            <w:r>
              <w:rPr>
                <w:rFonts w:ascii="Book Antiqua" w:hAnsi="Book Antiqua" w:eastAsia="等线"/>
                <w:iCs/>
                <w:color w:val="000000"/>
                <w:vertAlign w:val="superscript"/>
                <w:lang w:val="en-GB"/>
              </w:rPr>
              <w:t>c</w:t>
            </w:r>
            <w:r>
              <w:rPr>
                <w:rFonts w:ascii="Book Antiqua" w:hAnsi="Book Antiqua" w:eastAsia="等线"/>
                <w:color w:val="000000"/>
                <w:lang w:val="en-GB"/>
              </w:rPr>
              <w:t xml:space="preserve"> </w:t>
            </w:r>
          </w:p>
        </w:tc>
        <w:tc>
          <w:tcPr>
            <w:tcW w:w="2486" w:type="dxa"/>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&lt; 65 yr</w:t>
            </w:r>
          </w:p>
        </w:tc>
        <w:tc>
          <w:tcPr>
            <w:tcW w:w="1072" w:type="dxa"/>
            <w:shd w:val="clear" w:color="auto" w:fill="auto"/>
            <w:noWrap/>
          </w:tcPr>
          <w:p>
            <w:pPr>
              <w:spacing w:line="360" w:lineRule="auto"/>
              <w:jc w:val="both"/>
              <w:rPr>
                <w:rFonts w:ascii="Book Antiqua" w:hAnsi="Book Antiqua" w:eastAsia="宋体"/>
                <w:color w:val="000000"/>
              </w:rPr>
            </w:pPr>
            <w:r>
              <w:rPr>
                <w:rFonts w:ascii="Book Antiqua" w:hAnsi="Book Antiqua" w:eastAsia="宋体"/>
              </w:rPr>
              <w:t>59</w:t>
            </w:r>
          </w:p>
        </w:tc>
        <w:tc>
          <w:tcPr>
            <w:tcW w:w="1746" w:type="dxa"/>
          </w:tcPr>
          <w:p>
            <w:pPr>
              <w:spacing w:line="360" w:lineRule="auto"/>
              <w:jc w:val="both"/>
              <w:rPr>
                <w:rFonts w:ascii="Book Antiqua" w:hAnsi="Book Antiqua" w:eastAsia="等线"/>
                <w:color w:val="000000"/>
                <w:lang w:val="en-GB"/>
              </w:rPr>
            </w:pPr>
            <w:r>
              <w:rPr>
                <w:rFonts w:ascii="Book Antiqua" w:hAnsi="Book Antiqua" w:eastAsia="宋体"/>
                <w:lang w:val="en-GB"/>
              </w:rPr>
              <w:t xml:space="preserve">2, </w:t>
            </w:r>
            <w:r>
              <w:rPr>
                <w:rFonts w:ascii="Book Antiqua" w:hAnsi="Book Antiqua" w:eastAsia="宋体"/>
              </w:rPr>
              <w:t>45</w:t>
            </w:r>
            <w:r>
              <w:rPr>
                <w:rFonts w:ascii="Book Antiqua" w:hAnsi="Book Antiqua" w:eastAsia="宋体"/>
                <w:lang w:val="en-GB"/>
              </w:rPr>
              <w:t>0</w:t>
            </w:r>
          </w:p>
        </w:tc>
        <w:tc>
          <w:tcPr>
            <w:tcW w:w="963" w:type="dxa"/>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rPr>
              <w:t>8</w:t>
            </w:r>
            <w:r>
              <w:rPr>
                <w:rFonts w:ascii="Book Antiqua" w:hAnsi="Book Antiqua" w:eastAsia="宋体"/>
                <w:lang w:val="en-GB"/>
              </w:rPr>
              <w:t xml:space="preserve">, </w:t>
            </w:r>
            <w:r>
              <w:rPr>
                <w:rFonts w:ascii="Book Antiqua" w:hAnsi="Book Antiqua" w:eastAsia="宋体"/>
              </w:rPr>
              <w:t>98</w:t>
            </w:r>
            <w:r>
              <w:rPr>
                <w:rFonts w:ascii="Book Antiqua" w:hAnsi="Book Antiqua" w:eastAsia="宋体"/>
                <w:lang w:val="en-GB"/>
              </w:rPr>
              <w:t>0</w:t>
            </w:r>
          </w:p>
        </w:tc>
        <w:tc>
          <w:tcPr>
            <w:tcW w:w="2309" w:type="dxa"/>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0.3</w:t>
            </w:r>
            <w:r>
              <w:rPr>
                <w:rFonts w:ascii="Book Antiqua" w:hAnsi="Book Antiqua" w:eastAsia="宋体"/>
              </w:rPr>
              <w:t>07</w:t>
            </w:r>
            <w:r>
              <w:rPr>
                <w:rFonts w:ascii="Book Antiqua" w:hAnsi="Book Antiqua" w:eastAsia="宋体"/>
                <w:lang w:val="en-GB"/>
              </w:rPr>
              <w:t xml:space="preserve"> (0.26</w:t>
            </w:r>
            <w:r>
              <w:rPr>
                <w:rFonts w:ascii="Book Antiqua" w:hAnsi="Book Antiqua" w:eastAsia="宋体"/>
              </w:rPr>
              <w:t>3</w:t>
            </w:r>
            <w:r>
              <w:rPr>
                <w:rFonts w:ascii="Book Antiqua" w:hAnsi="Book Antiqua" w:eastAsia="宋体"/>
                <w:lang w:val="en-GB"/>
              </w:rPr>
              <w:t>-0.351)</w:t>
            </w:r>
          </w:p>
        </w:tc>
        <w:tc>
          <w:tcPr>
            <w:tcW w:w="1317" w:type="dxa"/>
            <w:gridSpan w:val="2"/>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Random</w:t>
            </w:r>
          </w:p>
        </w:tc>
        <w:tc>
          <w:tcPr>
            <w:tcW w:w="1496" w:type="dxa"/>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95.</w:t>
            </w:r>
            <w:r>
              <w:rPr>
                <w:rFonts w:ascii="Book Antiqua" w:hAnsi="Book Antiqua" w:eastAsia="宋体"/>
              </w:rPr>
              <w:t>1</w:t>
            </w:r>
            <w:r>
              <w:rPr>
                <w:rFonts w:ascii="Book Antiqua" w:hAnsi="Book Antiqua" w:eastAsia="宋体"/>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0.0</w:t>
            </w:r>
            <w:r>
              <w:rPr>
                <w:rFonts w:ascii="Book Antiqua" w:hAnsi="Book Antiqua" w:eastAsia="等线"/>
                <w:color w:val="000000"/>
              </w:rPr>
              <w:t>03</w:t>
            </w:r>
            <w:r>
              <w:rPr>
                <w:rFonts w:ascii="Book Antiqua" w:hAnsi="Book Antiqua" w:eastAsia="宋体"/>
                <w:bCs/>
                <w:vertAlign w:val="superscript"/>
                <w:lang w:val="en-GB"/>
              </w:rPr>
              <w:t>1</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 65 yr</w:t>
            </w:r>
          </w:p>
        </w:tc>
        <w:tc>
          <w:tcPr>
            <w:tcW w:w="1072" w:type="dxa"/>
            <w:shd w:val="clear" w:color="auto" w:fill="auto"/>
            <w:noWrap/>
          </w:tcPr>
          <w:p>
            <w:pPr>
              <w:spacing w:line="360" w:lineRule="auto"/>
              <w:jc w:val="both"/>
              <w:rPr>
                <w:rFonts w:ascii="Book Antiqua" w:hAnsi="Book Antiqua" w:eastAsia="宋体"/>
                <w:color w:val="000000"/>
                <w:lang w:val="en-GB"/>
              </w:rPr>
            </w:pPr>
            <w:r>
              <w:rPr>
                <w:rFonts w:ascii="Book Antiqua" w:hAnsi="Book Antiqua" w:eastAsia="宋体"/>
                <w:lang w:val="en-GB"/>
              </w:rPr>
              <w:t>1</w:t>
            </w:r>
            <w:r>
              <w:rPr>
                <w:rFonts w:ascii="Book Antiqua" w:hAnsi="Book Antiqua" w:eastAsia="宋体"/>
              </w:rPr>
              <w:t>9</w:t>
            </w:r>
          </w:p>
        </w:tc>
        <w:tc>
          <w:tcPr>
            <w:tcW w:w="1746" w:type="dxa"/>
          </w:tcPr>
          <w:p>
            <w:pPr>
              <w:spacing w:line="360" w:lineRule="auto"/>
              <w:jc w:val="both"/>
              <w:rPr>
                <w:rFonts w:ascii="Book Antiqua" w:hAnsi="Book Antiqua" w:eastAsia="宋体"/>
                <w:color w:val="000000"/>
              </w:rPr>
            </w:pPr>
            <w:r>
              <w:rPr>
                <w:rFonts w:ascii="Book Antiqua" w:hAnsi="Book Antiqua" w:eastAsia="宋体"/>
              </w:rPr>
              <w:t>1,123</w:t>
            </w:r>
          </w:p>
        </w:tc>
        <w:tc>
          <w:tcPr>
            <w:tcW w:w="963" w:type="dxa"/>
            <w:shd w:val="clear" w:color="auto" w:fill="auto"/>
            <w:noWrap/>
          </w:tcPr>
          <w:p>
            <w:pPr>
              <w:spacing w:line="360" w:lineRule="auto"/>
              <w:jc w:val="both"/>
              <w:rPr>
                <w:rFonts w:ascii="Book Antiqua" w:hAnsi="Book Antiqua" w:eastAsia="宋体"/>
                <w:color w:val="000000"/>
              </w:rPr>
            </w:pPr>
            <w:r>
              <w:rPr>
                <w:rFonts w:ascii="Book Antiqua" w:hAnsi="Book Antiqua" w:eastAsia="宋体"/>
              </w:rPr>
              <w:t>2</w:t>
            </w:r>
            <w:r>
              <w:rPr>
                <w:rFonts w:ascii="Book Antiqua" w:hAnsi="Book Antiqua" w:eastAsia="宋体"/>
                <w:lang w:val="en-GB"/>
              </w:rPr>
              <w:t xml:space="preserve">, </w:t>
            </w:r>
            <w:r>
              <w:rPr>
                <w:rFonts w:ascii="Book Antiqua" w:hAnsi="Book Antiqua" w:eastAsia="宋体"/>
              </w:rPr>
              <w:t>328</w:t>
            </w:r>
          </w:p>
        </w:tc>
        <w:tc>
          <w:tcPr>
            <w:tcW w:w="2309" w:type="dxa"/>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0.4</w:t>
            </w:r>
            <w:r>
              <w:rPr>
                <w:rFonts w:ascii="Book Antiqua" w:hAnsi="Book Antiqua" w:eastAsia="宋体"/>
              </w:rPr>
              <w:t>51</w:t>
            </w:r>
            <w:r>
              <w:rPr>
                <w:rFonts w:ascii="Book Antiqua" w:hAnsi="Book Antiqua" w:eastAsia="宋体"/>
                <w:lang w:val="en-GB"/>
              </w:rPr>
              <w:t xml:space="preserve"> (0.3</w:t>
            </w:r>
            <w:r>
              <w:rPr>
                <w:rFonts w:ascii="Book Antiqua" w:hAnsi="Book Antiqua" w:eastAsia="宋体"/>
              </w:rPr>
              <w:t>82</w:t>
            </w:r>
            <w:r>
              <w:rPr>
                <w:rFonts w:ascii="Book Antiqua" w:hAnsi="Book Antiqua" w:eastAsia="宋体"/>
                <w:lang w:val="en-GB"/>
              </w:rPr>
              <w:t>-0.5</w:t>
            </w:r>
            <w:r>
              <w:rPr>
                <w:rFonts w:ascii="Book Antiqua" w:hAnsi="Book Antiqua" w:eastAsia="宋体"/>
              </w:rPr>
              <w:t>20</w:t>
            </w:r>
            <w:r>
              <w:rPr>
                <w:rFonts w:ascii="Book Antiqua" w:hAnsi="Book Antiqua" w:eastAsia="宋体"/>
                <w:lang w:val="en-GB"/>
              </w:rPr>
              <w:t>)</w:t>
            </w:r>
          </w:p>
        </w:tc>
        <w:tc>
          <w:tcPr>
            <w:tcW w:w="1317" w:type="dxa"/>
            <w:gridSpan w:val="2"/>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Random</w:t>
            </w:r>
          </w:p>
        </w:tc>
        <w:tc>
          <w:tcPr>
            <w:tcW w:w="1496" w:type="dxa"/>
            <w:shd w:val="clear" w:color="auto" w:fill="auto"/>
            <w:noWrap/>
          </w:tcPr>
          <w:p>
            <w:pPr>
              <w:spacing w:line="360" w:lineRule="auto"/>
              <w:jc w:val="both"/>
              <w:rPr>
                <w:rFonts w:ascii="Book Antiqua" w:hAnsi="Book Antiqua" w:eastAsia="等线"/>
                <w:color w:val="000000"/>
                <w:lang w:val="en-GB"/>
              </w:rPr>
            </w:pPr>
            <w:r>
              <w:rPr>
                <w:rFonts w:ascii="Book Antiqua" w:hAnsi="Book Antiqua" w:eastAsia="宋体"/>
                <w:lang w:val="en-GB"/>
              </w:rPr>
              <w:t>9</w:t>
            </w:r>
            <w:r>
              <w:rPr>
                <w:rFonts w:ascii="Book Antiqua" w:hAnsi="Book Antiqua" w:eastAsia="宋体"/>
              </w:rPr>
              <w:t>1</w:t>
            </w:r>
            <w:r>
              <w:rPr>
                <w:rFonts w:ascii="Book Antiqua" w:hAnsi="Book Antiqua" w:eastAsia="宋体"/>
                <w:lang w:val="en-GB"/>
              </w:rPr>
              <w:t>.</w:t>
            </w:r>
            <w:r>
              <w:rPr>
                <w:rFonts w:ascii="Book Antiqua" w:hAnsi="Book Antiqua" w:eastAsia="宋体"/>
              </w:rPr>
              <w:t>4</w:t>
            </w:r>
            <w:r>
              <w:rPr>
                <w:rFonts w:ascii="Book Antiqua" w:hAnsi="Book Antiqua" w:eastAsia="宋体"/>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Sex proportion</w:t>
            </w: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Males &gt; 50% </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rPr>
              <w:t>60</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3</w:t>
            </w:r>
            <w:r>
              <w:rPr>
                <w:rFonts w:ascii="Book Antiqua" w:hAnsi="Book Antiqua" w:eastAsia="等线"/>
                <w:color w:val="000000"/>
                <w:lang w:val="en-GB"/>
              </w:rPr>
              <w:t xml:space="preserve">, </w:t>
            </w:r>
            <w:r>
              <w:rPr>
                <w:rFonts w:ascii="Book Antiqua" w:hAnsi="Book Antiqua" w:eastAsia="等线"/>
                <w:color w:val="000000"/>
              </w:rPr>
              <w:t>064</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99, </w:t>
            </w:r>
            <w:r>
              <w:rPr>
                <w:rFonts w:ascii="Book Antiqua" w:hAnsi="Book Antiqua" w:eastAsia="等线"/>
                <w:color w:val="000000"/>
              </w:rPr>
              <w:t>908</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44</w:t>
            </w:r>
            <w:r>
              <w:rPr>
                <w:rFonts w:ascii="Book Antiqua" w:hAnsi="Book Antiqua" w:eastAsia="等线"/>
                <w:color w:val="000000"/>
                <w:lang w:val="en-GB"/>
              </w:rPr>
              <w:t xml:space="preserve"> (0.2</w:t>
            </w:r>
            <w:r>
              <w:rPr>
                <w:rFonts w:ascii="Book Antiqua" w:hAnsi="Book Antiqua" w:eastAsia="等线"/>
                <w:color w:val="000000"/>
              </w:rPr>
              <w:t>97</w:t>
            </w:r>
            <w:r>
              <w:rPr>
                <w:rFonts w:ascii="Book Antiqua" w:hAnsi="Book Antiqua" w:eastAsia="等线"/>
                <w:color w:val="000000"/>
                <w:lang w:val="en-GB"/>
              </w:rPr>
              <w:t>-0.3</w:t>
            </w:r>
            <w:r>
              <w:rPr>
                <w:rFonts w:ascii="Book Antiqua" w:hAnsi="Book Antiqua" w:eastAsia="等线"/>
                <w:color w:val="000000"/>
              </w:rPr>
              <w:t>91</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6</w:t>
            </w:r>
            <w:r>
              <w:rPr>
                <w:rFonts w:ascii="Book Antiqua" w:hAnsi="Book Antiqua" w:eastAsia="等线"/>
                <w:color w:val="000000"/>
                <w:lang w:val="en-GB"/>
              </w:rPr>
              <w:t>.</w:t>
            </w:r>
            <w:r>
              <w:rPr>
                <w:rFonts w:ascii="Book Antiqua" w:hAnsi="Book Antiqua" w:eastAsia="等线"/>
                <w:color w:val="000000"/>
              </w:rPr>
              <w:t>1</w:t>
            </w:r>
            <w:r>
              <w:rPr>
                <w:rFonts w:ascii="Book Antiqua" w:hAnsi="Book Antiqua" w:eastAsia="等线"/>
                <w:color w:val="000000"/>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lang w:val="en-GB"/>
              </w:rPr>
              <w:t>0.4</w:t>
            </w:r>
            <w:r>
              <w:rPr>
                <w:rFonts w:ascii="Book Antiqua" w:hAnsi="Book Antiqua" w:eastAsia="等线"/>
                <w:color w:val="000000"/>
              </w:rPr>
              <w:t>17</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Males ≤ 50%</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rPr>
              <w:t>8</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332</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757</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w:t>
            </w:r>
            <w:r>
              <w:rPr>
                <w:rFonts w:ascii="Book Antiqua" w:hAnsi="Book Antiqua" w:eastAsia="等线"/>
                <w:color w:val="000000"/>
              </w:rPr>
              <w:t>406</w:t>
            </w:r>
            <w:r>
              <w:rPr>
                <w:rFonts w:ascii="Book Antiqua" w:hAnsi="Book Antiqua" w:eastAsia="等线"/>
                <w:color w:val="000000"/>
                <w:lang w:val="en-GB"/>
              </w:rPr>
              <w:t xml:space="preserve"> (0.</w:t>
            </w:r>
            <w:r>
              <w:rPr>
                <w:rFonts w:ascii="Book Antiqua" w:hAnsi="Book Antiqua" w:eastAsia="等线"/>
                <w:color w:val="000000"/>
              </w:rPr>
              <w:t>243</w:t>
            </w:r>
            <w:r>
              <w:rPr>
                <w:rFonts w:ascii="Book Antiqua" w:hAnsi="Book Antiqua" w:eastAsia="等线"/>
                <w:color w:val="000000"/>
                <w:lang w:val="en-GB"/>
              </w:rPr>
              <w:t>-0.</w:t>
            </w:r>
            <w:r>
              <w:rPr>
                <w:rFonts w:ascii="Book Antiqua" w:hAnsi="Book Antiqua" w:eastAsia="等线"/>
                <w:color w:val="000000"/>
              </w:rPr>
              <w:t>569</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4</w:t>
            </w:r>
            <w:r>
              <w:rPr>
                <w:rFonts w:ascii="Book Antiqua" w:hAnsi="Book Antiqua" w:eastAsia="等线"/>
                <w:color w:val="000000"/>
                <w:lang w:val="en-GB"/>
              </w:rPr>
              <w:t>.</w:t>
            </w:r>
            <w:r>
              <w:rPr>
                <w:rFonts w:ascii="Book Antiqua" w:hAnsi="Book Antiqua" w:eastAsia="等线"/>
                <w:color w:val="000000"/>
              </w:rPr>
              <w:t>5</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APACH II score </w:t>
            </w: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hint="eastAsia" w:ascii="Book Antiqua" w:hAnsi="Book Antiqua" w:eastAsia="等线"/>
                <w:color w:val="000000"/>
                <w:lang w:val="en-GB" w:eastAsia="zh-CN"/>
              </w:rPr>
              <w:t>&lt;</w:t>
            </w:r>
            <w:r>
              <w:rPr>
                <w:rFonts w:ascii="Book Antiqua" w:hAnsi="Book Antiqua" w:eastAsia="等线"/>
                <w:color w:val="000000"/>
                <w:lang w:val="en-GB" w:eastAsia="zh-CN"/>
              </w:rPr>
              <w:t xml:space="preserve"> </w:t>
            </w:r>
            <w:r>
              <w:rPr>
                <w:rFonts w:ascii="Book Antiqua" w:hAnsi="Book Antiqua" w:eastAsia="等线"/>
                <w:color w:val="000000"/>
                <w:lang w:val="en-GB"/>
              </w:rPr>
              <w:t>20</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w:t>
            </w:r>
            <w:r>
              <w:rPr>
                <w:rFonts w:ascii="Book Antiqua" w:hAnsi="Book Antiqua" w:eastAsia="等线"/>
                <w:color w:val="000000"/>
              </w:rPr>
              <w:t>3</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653</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1, </w:t>
            </w:r>
            <w:r>
              <w:rPr>
                <w:rFonts w:ascii="Book Antiqua" w:hAnsi="Book Antiqua" w:eastAsia="等线"/>
                <w:color w:val="000000"/>
              </w:rPr>
              <w:t>690</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w:t>
            </w:r>
            <w:r>
              <w:rPr>
                <w:rFonts w:ascii="Book Antiqua" w:hAnsi="Book Antiqua" w:eastAsia="等线"/>
                <w:color w:val="000000"/>
              </w:rPr>
              <w:t>305</w:t>
            </w:r>
            <w:r>
              <w:rPr>
                <w:rFonts w:ascii="Book Antiqua" w:hAnsi="Book Antiqua" w:eastAsia="等线"/>
                <w:color w:val="000000"/>
                <w:lang w:val="en-GB"/>
              </w:rPr>
              <w:t xml:space="preserve"> (0.20</w:t>
            </w:r>
            <w:r>
              <w:rPr>
                <w:rFonts w:ascii="Book Antiqua" w:hAnsi="Book Antiqua" w:eastAsia="等线"/>
                <w:color w:val="000000"/>
              </w:rPr>
              <w:t>9</w:t>
            </w:r>
            <w:r>
              <w:rPr>
                <w:rFonts w:ascii="Book Antiqua" w:hAnsi="Book Antiqua" w:eastAsia="等线"/>
                <w:color w:val="000000"/>
                <w:lang w:val="en-GB"/>
              </w:rPr>
              <w:t>-0.</w:t>
            </w:r>
            <w:r>
              <w:rPr>
                <w:rFonts w:ascii="Book Antiqua" w:hAnsi="Book Antiqua" w:eastAsia="等线"/>
                <w:color w:val="000000"/>
              </w:rPr>
              <w:t>401</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95.</w:t>
            </w:r>
            <w:r>
              <w:rPr>
                <w:rFonts w:ascii="Book Antiqua" w:hAnsi="Book Antiqua" w:eastAsia="等线"/>
                <w:color w:val="000000"/>
              </w:rPr>
              <w:t>8</w:t>
            </w:r>
            <w:r>
              <w:rPr>
                <w:rFonts w:ascii="Book Antiqua" w:hAnsi="Book Antiqua" w:eastAsia="等线"/>
                <w:color w:val="000000"/>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lang w:val="en-GB"/>
              </w:rPr>
              <w:t>0.</w:t>
            </w:r>
            <w:r>
              <w:rPr>
                <w:rFonts w:ascii="Book Antiqua" w:hAnsi="Book Antiqua" w:eastAsia="等线"/>
                <w:color w:val="000000"/>
              </w:rPr>
              <w:t>115</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20</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w:t>
            </w:r>
            <w:r>
              <w:rPr>
                <w:rFonts w:ascii="Book Antiqua" w:hAnsi="Book Antiqua" w:eastAsia="等线"/>
                <w:color w:val="000000"/>
              </w:rPr>
              <w:t>9</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1,053</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2, </w:t>
            </w:r>
            <w:r>
              <w:rPr>
                <w:rFonts w:ascii="Book Antiqua" w:hAnsi="Book Antiqua" w:eastAsia="等线"/>
                <w:color w:val="000000"/>
              </w:rPr>
              <w:t>601</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84</w:t>
            </w:r>
            <w:r>
              <w:rPr>
                <w:rFonts w:ascii="Book Antiqua" w:hAnsi="Book Antiqua" w:eastAsia="等线"/>
                <w:color w:val="000000"/>
                <w:lang w:val="en-GB"/>
              </w:rPr>
              <w:t xml:space="preserve"> (0.</w:t>
            </w:r>
            <w:r>
              <w:rPr>
                <w:rFonts w:ascii="Book Antiqua" w:hAnsi="Book Antiqua" w:eastAsia="等线"/>
                <w:color w:val="000000"/>
              </w:rPr>
              <w:t>307</w:t>
            </w:r>
            <w:r>
              <w:rPr>
                <w:rFonts w:ascii="Book Antiqua" w:hAnsi="Book Antiqua" w:eastAsia="等线"/>
                <w:color w:val="000000"/>
                <w:lang w:val="en-GB"/>
              </w:rPr>
              <w:t>-0.4</w:t>
            </w:r>
            <w:r>
              <w:rPr>
                <w:rFonts w:ascii="Book Antiqua" w:hAnsi="Book Antiqua" w:eastAsia="等线"/>
                <w:color w:val="000000"/>
              </w:rPr>
              <w:t>61</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5</w:t>
            </w:r>
            <w:r>
              <w:rPr>
                <w:rFonts w:ascii="Book Antiqua" w:hAnsi="Book Antiqua" w:eastAsia="等线"/>
                <w:color w:val="000000"/>
                <w:lang w:val="en-GB"/>
              </w:rPr>
              <w:t>.</w:t>
            </w:r>
            <w:r>
              <w:rPr>
                <w:rFonts w:ascii="Book Antiqua" w:hAnsi="Book Antiqua" w:eastAsia="等线"/>
                <w:color w:val="000000"/>
              </w:rPr>
              <w:t>0</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Publication yr</w:t>
            </w: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宋体"/>
                <w:color w:val="000000"/>
                <w:lang w:val="en-GB"/>
              </w:rPr>
              <w:t xml:space="preserve">&lt; </w:t>
            </w:r>
            <w:r>
              <w:rPr>
                <w:rFonts w:ascii="Book Antiqua" w:hAnsi="Book Antiqua" w:eastAsia="等线"/>
                <w:color w:val="000000"/>
                <w:lang w:val="en-GB"/>
              </w:rPr>
              <w:t>2010</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10</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42</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333</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0.138 (0.085-0.192)</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44.10 </w:t>
            </w:r>
          </w:p>
        </w:tc>
        <w:tc>
          <w:tcPr>
            <w:tcW w:w="1040"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0.000</w:t>
            </w:r>
            <w:r>
              <w:rPr>
                <w:rFonts w:ascii="Book Antiqua" w:hAnsi="Book Antiqua" w:eastAsia="宋体"/>
                <w:bCs/>
                <w:vertAlign w:val="superscript"/>
                <w:lang w:val="en-GB"/>
              </w:rPr>
              <w:t>1</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2010-2015</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25</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612</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2, 099</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0.270 (0.205-0.334)</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93.10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2015-202</w:t>
            </w:r>
            <w:r>
              <w:rPr>
                <w:rFonts w:ascii="Book Antiqua" w:hAnsi="Book Antiqua" w:eastAsia="等线"/>
                <w:color w:val="000000"/>
              </w:rPr>
              <w:t>2</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48</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rPr>
              <w:t>3</w:t>
            </w:r>
            <w:r>
              <w:rPr>
                <w:rFonts w:ascii="Book Antiqua" w:hAnsi="Book Antiqua" w:eastAsia="等线"/>
                <w:color w:val="000000"/>
                <w:lang w:val="en-GB"/>
              </w:rPr>
              <w:t xml:space="preserve">, </w:t>
            </w:r>
            <w:r>
              <w:rPr>
                <w:rFonts w:ascii="Book Antiqua" w:hAnsi="Book Antiqua" w:eastAsia="等线"/>
                <w:color w:val="000000"/>
              </w:rPr>
              <w:t>386</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9</w:t>
            </w:r>
            <w:r>
              <w:rPr>
                <w:rFonts w:ascii="Book Antiqua" w:hAnsi="Book Antiqua" w:eastAsia="等线"/>
                <w:color w:val="000000"/>
                <w:lang w:val="en-GB"/>
              </w:rPr>
              <w:t xml:space="preserve">, </w:t>
            </w:r>
            <w:r>
              <w:rPr>
                <w:rFonts w:ascii="Book Antiqua" w:hAnsi="Book Antiqua" w:eastAsia="等线"/>
                <w:color w:val="000000"/>
              </w:rPr>
              <w:t>875</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0.4</w:t>
            </w:r>
            <w:r>
              <w:rPr>
                <w:rFonts w:ascii="Book Antiqua" w:hAnsi="Book Antiqua" w:eastAsia="等线"/>
                <w:color w:val="000000"/>
              </w:rPr>
              <w:t>21</w:t>
            </w:r>
            <w:r>
              <w:rPr>
                <w:rFonts w:ascii="Book Antiqua" w:hAnsi="Book Antiqua" w:eastAsia="等线"/>
                <w:color w:val="000000"/>
                <w:lang w:val="en-GB"/>
              </w:rPr>
              <w:t xml:space="preserve"> (0.3</w:t>
            </w:r>
            <w:r>
              <w:rPr>
                <w:rFonts w:ascii="Book Antiqua" w:hAnsi="Book Antiqua" w:eastAsia="等线"/>
                <w:color w:val="000000"/>
              </w:rPr>
              <w:t>65</w:t>
            </w:r>
            <w:r>
              <w:rPr>
                <w:rFonts w:ascii="Book Antiqua" w:hAnsi="Book Antiqua" w:eastAsia="等线"/>
                <w:color w:val="000000"/>
                <w:lang w:val="en-GB"/>
              </w:rPr>
              <w:t>-0.</w:t>
            </w:r>
            <w:r>
              <w:rPr>
                <w:rFonts w:ascii="Book Antiqua" w:hAnsi="Book Antiqua" w:eastAsia="等线"/>
                <w:color w:val="000000"/>
              </w:rPr>
              <w:t>476</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96.70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Study design </w:t>
            </w: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Cohort study</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72</w:t>
            </w:r>
          </w:p>
        </w:tc>
        <w:tc>
          <w:tcPr>
            <w:tcW w:w="1746" w:type="dxa"/>
          </w:tcPr>
          <w:p>
            <w:pPr>
              <w:spacing w:line="360" w:lineRule="auto"/>
              <w:jc w:val="both"/>
              <w:rPr>
                <w:rFonts w:ascii="Book Antiqua" w:hAnsi="Book Antiqua" w:eastAsia="等线"/>
                <w:color w:val="000000"/>
                <w:highlight w:val="yellow"/>
                <w:lang w:val="en-GB"/>
              </w:rPr>
            </w:pPr>
            <w:r>
              <w:rPr>
                <w:rFonts w:ascii="Book Antiqua" w:hAnsi="Book Antiqua" w:eastAsia="等线"/>
                <w:color w:val="000000"/>
                <w:lang w:val="en-GB"/>
              </w:rPr>
              <w:t xml:space="preserve">3, </w:t>
            </w:r>
            <w:r>
              <w:rPr>
                <w:rFonts w:ascii="Book Antiqua" w:hAnsi="Book Antiqua" w:eastAsia="等线"/>
                <w:color w:val="000000"/>
              </w:rPr>
              <w:t>685</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1</w:t>
            </w:r>
            <w:r>
              <w:rPr>
                <w:rFonts w:ascii="Book Antiqua" w:hAnsi="Book Antiqua" w:eastAsia="等线"/>
                <w:color w:val="000000"/>
              </w:rPr>
              <w:t>1</w:t>
            </w:r>
            <w:r>
              <w:rPr>
                <w:rFonts w:ascii="Book Antiqua" w:hAnsi="Book Antiqua" w:eastAsia="等线"/>
                <w:color w:val="000000"/>
                <w:lang w:val="en-GB"/>
              </w:rPr>
              <w:t xml:space="preserve">, </w:t>
            </w:r>
            <w:r>
              <w:rPr>
                <w:rFonts w:ascii="Book Antiqua" w:hAnsi="Book Antiqua" w:eastAsia="等线"/>
                <w:color w:val="000000"/>
              </w:rPr>
              <w:t>491</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40</w:t>
            </w:r>
            <w:r>
              <w:rPr>
                <w:rFonts w:ascii="Book Antiqua" w:hAnsi="Book Antiqua" w:eastAsia="等线"/>
                <w:color w:val="000000"/>
                <w:lang w:val="en-GB"/>
              </w:rPr>
              <w:t xml:space="preserve"> (0.2</w:t>
            </w:r>
            <w:r>
              <w:rPr>
                <w:rFonts w:ascii="Book Antiqua" w:hAnsi="Book Antiqua" w:eastAsia="等线"/>
                <w:color w:val="000000"/>
              </w:rPr>
              <w:t>96</w:t>
            </w:r>
            <w:r>
              <w:rPr>
                <w:rFonts w:ascii="Book Antiqua" w:hAnsi="Book Antiqua" w:eastAsia="等线"/>
                <w:color w:val="000000"/>
                <w:lang w:val="en-GB"/>
              </w:rPr>
              <w:t>-0.3</w:t>
            </w:r>
            <w:r>
              <w:rPr>
                <w:rFonts w:ascii="Book Antiqua" w:hAnsi="Book Antiqua" w:eastAsia="等线"/>
                <w:color w:val="000000"/>
              </w:rPr>
              <w:t>84</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96.</w:t>
            </w:r>
            <w:r>
              <w:rPr>
                <w:rFonts w:ascii="Book Antiqua" w:hAnsi="Book Antiqua" w:eastAsia="等线"/>
                <w:color w:val="000000"/>
              </w:rPr>
              <w:t>5</w:t>
            </w:r>
            <w:r>
              <w:rPr>
                <w:rFonts w:ascii="Book Antiqua" w:hAnsi="Book Antiqua" w:eastAsia="等线"/>
                <w:color w:val="000000"/>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lang w:val="en-GB"/>
              </w:rPr>
              <w:t>0.</w:t>
            </w:r>
            <w:r>
              <w:rPr>
                <w:rFonts w:ascii="Book Antiqua" w:hAnsi="Book Antiqua" w:eastAsia="等线"/>
                <w:color w:val="000000"/>
              </w:rPr>
              <w:t>785</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Case-control study</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5</w:t>
            </w:r>
          </w:p>
        </w:tc>
        <w:tc>
          <w:tcPr>
            <w:tcW w:w="1746" w:type="dxa"/>
            <w:vAlign w:val="bottom"/>
          </w:tcPr>
          <w:p>
            <w:pPr>
              <w:spacing w:line="360" w:lineRule="auto"/>
              <w:jc w:val="both"/>
              <w:rPr>
                <w:rFonts w:ascii="Book Antiqua" w:hAnsi="Book Antiqua" w:eastAsia="等线"/>
                <w:color w:val="000000"/>
                <w:highlight w:val="yellow"/>
                <w:lang w:val="en-GB"/>
              </w:rPr>
            </w:pPr>
            <w:r>
              <w:rPr>
                <w:rFonts w:ascii="Book Antiqua" w:hAnsi="Book Antiqua" w:eastAsia="等线"/>
                <w:color w:val="000000"/>
                <w:lang w:val="en-GB"/>
              </w:rPr>
              <w:t>185</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457</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0.410 (0.164-0.656)</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96.70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RCT</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8</w:t>
            </w:r>
          </w:p>
        </w:tc>
        <w:tc>
          <w:tcPr>
            <w:tcW w:w="1746" w:type="dxa"/>
          </w:tcPr>
          <w:p>
            <w:pPr>
              <w:spacing w:line="360" w:lineRule="auto"/>
              <w:jc w:val="both"/>
              <w:rPr>
                <w:rFonts w:ascii="Book Antiqua" w:hAnsi="Book Antiqua" w:eastAsia="等线"/>
                <w:color w:val="000000"/>
                <w:highlight w:val="yellow"/>
                <w:lang w:val="en-GB"/>
              </w:rPr>
            </w:pPr>
            <w:r>
              <w:rPr>
                <w:rFonts w:ascii="Book Antiqua" w:hAnsi="Book Antiqua" w:eastAsia="等线"/>
                <w:color w:val="000000"/>
                <w:lang w:val="en-GB"/>
              </w:rPr>
              <w:t>158</w:t>
            </w:r>
          </w:p>
        </w:tc>
        <w:tc>
          <w:tcPr>
            <w:tcW w:w="963" w:type="dxa"/>
            <w:shd w:val="clear" w:color="auto" w:fill="auto"/>
            <w:noWrap/>
            <w:vAlign w:val="bottom"/>
          </w:tcPr>
          <w:p>
            <w:pPr>
              <w:spacing w:line="360" w:lineRule="auto"/>
              <w:jc w:val="both"/>
              <w:rPr>
                <w:rFonts w:ascii="Book Antiqua" w:hAnsi="Book Antiqua" w:eastAsia="等线"/>
                <w:color w:val="000000"/>
                <w:highlight w:val="yellow"/>
                <w:lang w:val="en-GB"/>
              </w:rPr>
            </w:pPr>
            <w:r>
              <w:rPr>
                <w:rFonts w:ascii="Book Antiqua" w:hAnsi="Book Antiqua" w:eastAsia="等线"/>
                <w:color w:val="000000"/>
                <w:lang w:val="en-GB"/>
              </w:rPr>
              <w:t>407</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0.341 (0.224 - 0.459)</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82.70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shd w:val="clear" w:color="auto" w:fill="auto"/>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Study quality</w:t>
            </w:r>
            <w:r>
              <w:rPr>
                <w:rFonts w:ascii="Book Antiqua" w:hAnsi="Book Antiqua" w:eastAsia="等线"/>
                <w:iCs/>
                <w:color w:val="000000"/>
                <w:vertAlign w:val="superscript"/>
                <w:lang w:val="en-GB"/>
              </w:rPr>
              <w:t>d</w:t>
            </w: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Low</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w:t>
            </w:r>
            <w:r>
              <w:rPr>
                <w:rFonts w:ascii="Book Antiqua" w:hAnsi="Book Antiqua" w:eastAsia="等线"/>
                <w:color w:val="000000"/>
              </w:rPr>
              <w:t>1</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1, </w:t>
            </w:r>
            <w:r>
              <w:rPr>
                <w:rFonts w:ascii="Book Antiqua" w:hAnsi="Book Antiqua" w:eastAsia="等线"/>
                <w:color w:val="000000"/>
              </w:rPr>
              <w:t>402</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5, </w:t>
            </w:r>
            <w:r>
              <w:rPr>
                <w:rFonts w:ascii="Book Antiqua" w:hAnsi="Book Antiqua" w:eastAsia="等线"/>
                <w:color w:val="000000"/>
              </w:rPr>
              <w:t>715</w:t>
            </w:r>
          </w:p>
        </w:tc>
        <w:tc>
          <w:tcPr>
            <w:tcW w:w="2309"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0.</w:t>
            </w:r>
            <w:r>
              <w:rPr>
                <w:rFonts w:ascii="Book Antiqua" w:hAnsi="Book Antiqua" w:eastAsia="等线"/>
              </w:rPr>
              <w:t>215</w:t>
            </w:r>
            <w:r>
              <w:rPr>
                <w:rFonts w:ascii="Book Antiqua" w:hAnsi="Book Antiqua" w:eastAsia="等线"/>
                <w:lang w:val="en-GB"/>
              </w:rPr>
              <w:t xml:space="preserve"> (0.</w:t>
            </w:r>
            <w:r>
              <w:rPr>
                <w:rFonts w:ascii="Book Antiqua" w:hAnsi="Book Antiqua" w:eastAsia="等线"/>
              </w:rPr>
              <w:t>130</w:t>
            </w:r>
            <w:r>
              <w:rPr>
                <w:rFonts w:ascii="Book Antiqua" w:hAnsi="Book Antiqua" w:eastAsia="等线"/>
                <w:lang w:val="en-GB"/>
              </w:rPr>
              <w:t>-0.2</w:t>
            </w:r>
            <w:r>
              <w:rPr>
                <w:rFonts w:ascii="Book Antiqua" w:hAnsi="Book Antiqua" w:eastAsia="等线"/>
              </w:rPr>
              <w:t>99</w:t>
            </w:r>
            <w:r>
              <w:rPr>
                <w:rFonts w:ascii="Book Antiqua" w:hAnsi="Book Antiqua" w:eastAsia="等线"/>
                <w:lang w:val="en-GB"/>
              </w:rPr>
              <w:t>)</w:t>
            </w:r>
          </w:p>
        </w:tc>
        <w:tc>
          <w:tcPr>
            <w:tcW w:w="1317" w:type="dxa"/>
            <w:gridSpan w:val="2"/>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7</w:t>
            </w:r>
            <w:r>
              <w:rPr>
                <w:rFonts w:ascii="Book Antiqua" w:hAnsi="Book Antiqua" w:eastAsia="等线"/>
                <w:color w:val="000000"/>
                <w:lang w:val="en-GB"/>
              </w:rPr>
              <w:t>.</w:t>
            </w:r>
            <w:r>
              <w:rPr>
                <w:rFonts w:ascii="Book Antiqua" w:hAnsi="Book Antiqua" w:eastAsia="等线"/>
                <w:color w:val="000000"/>
              </w:rPr>
              <w:t>3</w:t>
            </w:r>
            <w:r>
              <w:rPr>
                <w:rFonts w:ascii="Book Antiqua" w:hAnsi="Book Antiqua" w:eastAsia="等线"/>
                <w:color w:val="000000"/>
                <w:lang w:val="en-GB"/>
              </w:rPr>
              <w:t xml:space="preserve">0 </w:t>
            </w:r>
          </w:p>
        </w:tc>
        <w:tc>
          <w:tcPr>
            <w:tcW w:w="1040" w:type="dxa"/>
            <w:vMerge w:val="restart"/>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0.00</w:t>
            </w:r>
            <w:r>
              <w:rPr>
                <w:rFonts w:ascii="Book Antiqua" w:hAnsi="Book Antiqua" w:eastAsia="等线"/>
                <w:color w:val="000000"/>
              </w:rPr>
              <w:t>3</w:t>
            </w:r>
            <w:r>
              <w:rPr>
                <w:rFonts w:ascii="Book Antiqua" w:hAnsi="Book Antiqua" w:eastAsia="宋体"/>
                <w:bCs/>
                <w:vertAlign w:val="superscript"/>
                <w:lang w:val="en-GB"/>
              </w:rPr>
              <w:t>1</w:t>
            </w: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Fair</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50</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1, </w:t>
            </w:r>
            <w:r>
              <w:rPr>
                <w:rFonts w:ascii="Book Antiqua" w:hAnsi="Book Antiqua" w:eastAsia="等线"/>
                <w:color w:val="000000"/>
              </w:rPr>
              <w:t>912</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4, </w:t>
            </w:r>
            <w:r>
              <w:rPr>
                <w:rFonts w:ascii="Book Antiqua" w:hAnsi="Book Antiqua" w:eastAsia="等线"/>
                <w:color w:val="000000"/>
              </w:rPr>
              <w:t>925</w:t>
            </w:r>
          </w:p>
        </w:tc>
        <w:tc>
          <w:tcPr>
            <w:tcW w:w="2309"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0.3</w:t>
            </w:r>
            <w:r>
              <w:rPr>
                <w:rFonts w:ascii="Book Antiqua" w:hAnsi="Book Antiqua" w:eastAsia="等线"/>
              </w:rPr>
              <w:t>63</w:t>
            </w:r>
            <w:r>
              <w:rPr>
                <w:rFonts w:ascii="Book Antiqua" w:hAnsi="Book Antiqua" w:eastAsia="等线"/>
                <w:lang w:val="en-GB"/>
              </w:rPr>
              <w:t xml:space="preserve"> (0.3</w:t>
            </w:r>
            <w:r>
              <w:rPr>
                <w:rFonts w:ascii="Book Antiqua" w:hAnsi="Book Antiqua" w:eastAsia="等线"/>
              </w:rPr>
              <w:t>14</w:t>
            </w:r>
            <w:r>
              <w:rPr>
                <w:rFonts w:ascii="Book Antiqua" w:hAnsi="Book Antiqua" w:eastAsia="等线"/>
                <w:lang w:val="en-GB"/>
              </w:rPr>
              <w:t>-0.4</w:t>
            </w:r>
            <w:r>
              <w:rPr>
                <w:rFonts w:ascii="Book Antiqua" w:hAnsi="Book Antiqua" w:eastAsia="等线"/>
              </w:rPr>
              <w:t>11</w:t>
            </w:r>
            <w:r>
              <w:rPr>
                <w:rFonts w:ascii="Book Antiqua" w:hAnsi="Book Antiqua" w:eastAsia="等线"/>
                <w:lang w:val="en-GB"/>
              </w:rPr>
              <w:t>)</w:t>
            </w:r>
          </w:p>
        </w:tc>
        <w:tc>
          <w:tcPr>
            <w:tcW w:w="1317" w:type="dxa"/>
            <w:gridSpan w:val="2"/>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w:t>
            </w:r>
            <w:r>
              <w:rPr>
                <w:rFonts w:ascii="Book Antiqua" w:hAnsi="Book Antiqua" w:eastAsia="等线"/>
                <w:color w:val="000000"/>
              </w:rPr>
              <w:t>3</w:t>
            </w:r>
            <w:r>
              <w:rPr>
                <w:rFonts w:ascii="Book Antiqua" w:hAnsi="Book Antiqua" w:eastAsia="等线"/>
                <w:color w:val="000000"/>
                <w:lang w:val="en-GB"/>
              </w:rPr>
              <w:t>.</w:t>
            </w:r>
            <w:r>
              <w:rPr>
                <w:rFonts w:ascii="Book Antiqua" w:hAnsi="Book Antiqua" w:eastAsia="等线"/>
                <w:color w:val="000000"/>
              </w:rPr>
              <w:t>7</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High</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w:t>
            </w:r>
            <w:r>
              <w:rPr>
                <w:rFonts w:ascii="Book Antiqua" w:hAnsi="Book Antiqua" w:eastAsia="等线"/>
                <w:color w:val="000000"/>
              </w:rPr>
              <w:t>7</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lang w:val="en-GB"/>
              </w:rPr>
              <w:t>5</w:t>
            </w:r>
            <w:r>
              <w:rPr>
                <w:rFonts w:ascii="Book Antiqua" w:hAnsi="Book Antiqua" w:eastAsia="等线"/>
                <w:color w:val="000000"/>
              </w:rPr>
              <w:t>99</w:t>
            </w:r>
          </w:p>
        </w:tc>
        <w:tc>
          <w:tcPr>
            <w:tcW w:w="963"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lang w:val="en-GB"/>
              </w:rPr>
              <w:t xml:space="preserve">1, </w:t>
            </w:r>
            <w:r>
              <w:rPr>
                <w:rFonts w:ascii="Book Antiqua" w:hAnsi="Book Antiqua" w:eastAsia="等线"/>
                <w:color w:val="000000"/>
              </w:rPr>
              <w:t>324</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0.4</w:t>
            </w:r>
            <w:r>
              <w:rPr>
                <w:rFonts w:ascii="Book Antiqua" w:hAnsi="Book Antiqua" w:eastAsia="等线"/>
                <w:color w:val="000000"/>
              </w:rPr>
              <w:t>12</w:t>
            </w:r>
            <w:r>
              <w:rPr>
                <w:rFonts w:ascii="Book Antiqua" w:hAnsi="Book Antiqua" w:eastAsia="等线"/>
                <w:color w:val="000000"/>
                <w:lang w:val="en-GB"/>
              </w:rPr>
              <w:t xml:space="preserve"> (0.3</w:t>
            </w:r>
            <w:r>
              <w:rPr>
                <w:rFonts w:ascii="Book Antiqua" w:hAnsi="Book Antiqua" w:eastAsia="等线"/>
                <w:color w:val="000000"/>
              </w:rPr>
              <w:t>29</w:t>
            </w:r>
            <w:r>
              <w:rPr>
                <w:rFonts w:ascii="Book Antiqua" w:hAnsi="Book Antiqua" w:eastAsia="等线"/>
                <w:color w:val="000000"/>
                <w:lang w:val="en-GB"/>
              </w:rPr>
              <w:t>-0.49</w:t>
            </w:r>
            <w:r>
              <w:rPr>
                <w:rFonts w:ascii="Book Antiqua" w:hAnsi="Book Antiqua" w:eastAsia="等线"/>
                <w:color w:val="000000"/>
              </w:rPr>
              <w:t>4</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90.</w:t>
            </w:r>
            <w:r>
              <w:rPr>
                <w:rFonts w:ascii="Book Antiqua" w:hAnsi="Book Antiqua" w:eastAsia="等线"/>
                <w:color w:val="000000"/>
              </w:rPr>
              <w:t>1</w:t>
            </w:r>
            <w:r>
              <w:rPr>
                <w:rFonts w:ascii="Book Antiqua" w:hAnsi="Book Antiqua" w:eastAsia="等线"/>
                <w:color w:val="000000"/>
                <w:lang w:val="en-GB"/>
              </w:rPr>
              <w:t xml:space="preserve">0 </w:t>
            </w:r>
          </w:p>
        </w:tc>
        <w:tc>
          <w:tcPr>
            <w:tcW w:w="1040" w:type="dxa"/>
            <w:vMerge w:val="continue"/>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restart"/>
            <w:tcBorders>
              <w:bottom w:val="single" w:color="auto" w:sz="4" w:space="0"/>
            </w:tcBorders>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Sample size </w:t>
            </w: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50</w:t>
            </w:r>
          </w:p>
        </w:tc>
        <w:tc>
          <w:tcPr>
            <w:tcW w:w="1072"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30</w:t>
            </w:r>
          </w:p>
        </w:tc>
        <w:tc>
          <w:tcPr>
            <w:tcW w:w="1746" w:type="dxa"/>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284</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1, 026</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0.261 (0.199-0.323)</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87.00 </w:t>
            </w:r>
          </w:p>
        </w:tc>
        <w:tc>
          <w:tcPr>
            <w:tcW w:w="1040" w:type="dxa"/>
            <w:vMerge w:val="restart"/>
            <w:tcBorders>
              <w:bottom w:val="single" w:color="auto" w:sz="4" w:space="0"/>
            </w:tcBorders>
            <w:shd w:val="clear" w:color="auto" w:fill="auto"/>
            <w:noWrap/>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0.00</w:t>
            </w:r>
            <w:r>
              <w:rPr>
                <w:rFonts w:ascii="Book Antiqua" w:hAnsi="Book Antiqua" w:eastAsia="等线"/>
                <w:color w:val="000000"/>
              </w:rPr>
              <w:t>0</w:t>
            </w:r>
            <w:r>
              <w:rPr>
                <w:rFonts w:ascii="Book Antiqua" w:hAnsi="Book Antiqua" w:eastAsia="宋体"/>
                <w:bCs/>
                <w:vertAlign w:val="superscript"/>
                <w:lang w:val="en-GB"/>
              </w:rPr>
              <w:t>1</w:t>
            </w:r>
          </w:p>
        </w:tc>
      </w:tr>
      <w:tr>
        <w:tblPrEx>
          <w:tblCellMar>
            <w:top w:w="0" w:type="dxa"/>
            <w:left w:w="108" w:type="dxa"/>
            <w:bottom w:w="0" w:type="dxa"/>
            <w:right w:w="108" w:type="dxa"/>
          </w:tblCellMar>
        </w:tblPrEx>
        <w:tc>
          <w:tcPr>
            <w:tcW w:w="2128" w:type="dxa"/>
            <w:vMerge w:val="continue"/>
            <w:tcBorders>
              <w:bottom w:val="single" w:color="auto" w:sz="4" w:space="0"/>
            </w:tcBorders>
            <w:vAlign w:val="center"/>
          </w:tcPr>
          <w:p>
            <w:pPr>
              <w:spacing w:line="360" w:lineRule="auto"/>
              <w:jc w:val="both"/>
              <w:rPr>
                <w:rFonts w:ascii="Book Antiqua" w:hAnsi="Book Antiqua" w:eastAsia="等线"/>
                <w:color w:val="000000"/>
                <w:lang w:val="en-GB"/>
              </w:rPr>
            </w:pPr>
          </w:p>
        </w:tc>
        <w:tc>
          <w:tcPr>
            <w:tcW w:w="248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50-100</w:t>
            </w:r>
          </w:p>
        </w:tc>
        <w:tc>
          <w:tcPr>
            <w:tcW w:w="1072" w:type="dxa"/>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27</w:t>
            </w:r>
          </w:p>
        </w:tc>
        <w:tc>
          <w:tcPr>
            <w:tcW w:w="1746" w:type="dxa"/>
          </w:tcPr>
          <w:p>
            <w:pPr>
              <w:spacing w:line="360" w:lineRule="auto"/>
              <w:jc w:val="both"/>
              <w:rPr>
                <w:rFonts w:ascii="Book Antiqua" w:hAnsi="Book Antiqua" w:eastAsia="等线"/>
                <w:color w:val="000000"/>
              </w:rPr>
            </w:pPr>
            <w:r>
              <w:rPr>
                <w:rFonts w:ascii="Book Antiqua" w:hAnsi="Book Antiqua" w:eastAsia="等线"/>
                <w:color w:val="000000"/>
                <w:lang w:val="en-GB"/>
              </w:rPr>
              <w:t>6</w:t>
            </w:r>
            <w:r>
              <w:rPr>
                <w:rFonts w:ascii="Book Antiqua" w:hAnsi="Book Antiqua" w:eastAsia="等线"/>
                <w:color w:val="000000"/>
              </w:rPr>
              <w:t>57</w:t>
            </w:r>
          </w:p>
        </w:tc>
        <w:tc>
          <w:tcPr>
            <w:tcW w:w="963"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1, 9</w:t>
            </w:r>
            <w:r>
              <w:rPr>
                <w:rFonts w:ascii="Book Antiqua" w:hAnsi="Book Antiqua" w:eastAsia="等线"/>
                <w:color w:val="000000"/>
              </w:rPr>
              <w:t>65</w:t>
            </w:r>
          </w:p>
        </w:tc>
        <w:tc>
          <w:tcPr>
            <w:tcW w:w="2309"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0.3</w:t>
            </w:r>
            <w:r>
              <w:rPr>
                <w:rFonts w:ascii="Book Antiqua" w:hAnsi="Book Antiqua" w:eastAsia="等线"/>
                <w:color w:val="000000"/>
              </w:rPr>
              <w:t>41</w:t>
            </w:r>
            <w:r>
              <w:rPr>
                <w:rFonts w:ascii="Book Antiqua" w:hAnsi="Book Antiqua" w:eastAsia="等线"/>
                <w:color w:val="000000"/>
                <w:lang w:val="en-GB"/>
              </w:rPr>
              <w:t xml:space="preserve"> (0.2</w:t>
            </w:r>
            <w:r>
              <w:rPr>
                <w:rFonts w:ascii="Book Antiqua" w:hAnsi="Book Antiqua" w:eastAsia="等线"/>
                <w:color w:val="000000"/>
              </w:rPr>
              <w:t>60</w:t>
            </w:r>
            <w:r>
              <w:rPr>
                <w:rFonts w:ascii="Book Antiqua" w:hAnsi="Book Antiqua" w:eastAsia="等线"/>
                <w:color w:val="000000"/>
                <w:lang w:val="en-GB"/>
              </w:rPr>
              <w:t>-0.42</w:t>
            </w:r>
            <w:r>
              <w:rPr>
                <w:rFonts w:ascii="Book Antiqua" w:hAnsi="Book Antiqua" w:eastAsia="等线"/>
                <w:color w:val="000000"/>
              </w:rPr>
              <w:t>3</w:t>
            </w:r>
            <w:r>
              <w:rPr>
                <w:rFonts w:ascii="Book Antiqua" w:hAnsi="Book Antiqua" w:eastAsia="等线"/>
                <w:color w:val="000000"/>
                <w:lang w:val="en-GB"/>
              </w:rPr>
              <w:t>)</w:t>
            </w:r>
          </w:p>
        </w:tc>
        <w:tc>
          <w:tcPr>
            <w:tcW w:w="1317" w:type="dxa"/>
            <w:gridSpan w:val="2"/>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95.</w:t>
            </w:r>
            <w:r>
              <w:rPr>
                <w:rFonts w:ascii="Book Antiqua" w:hAnsi="Book Antiqua" w:eastAsia="等线"/>
                <w:color w:val="000000"/>
              </w:rPr>
              <w:t>4</w:t>
            </w:r>
            <w:r>
              <w:rPr>
                <w:rFonts w:ascii="Book Antiqua" w:hAnsi="Book Antiqua" w:eastAsia="等线"/>
                <w:color w:val="000000"/>
                <w:lang w:val="en-GB"/>
              </w:rPr>
              <w:t xml:space="preserve">0 </w:t>
            </w:r>
          </w:p>
        </w:tc>
        <w:tc>
          <w:tcPr>
            <w:tcW w:w="1040" w:type="dxa"/>
            <w:vMerge w:val="continue"/>
            <w:tcBorders>
              <w:bottom w:val="single" w:color="auto" w:sz="4" w:space="0"/>
            </w:tcBorders>
            <w:vAlign w:val="center"/>
          </w:tcPr>
          <w:p>
            <w:pPr>
              <w:spacing w:line="360" w:lineRule="auto"/>
              <w:jc w:val="both"/>
              <w:rPr>
                <w:rFonts w:ascii="Book Antiqua" w:hAnsi="Book Antiqua" w:eastAsia="等线"/>
                <w:color w:val="000000"/>
                <w:lang w:val="en-GB"/>
              </w:rPr>
            </w:pPr>
          </w:p>
        </w:tc>
      </w:tr>
      <w:tr>
        <w:tblPrEx>
          <w:tblCellMar>
            <w:top w:w="0" w:type="dxa"/>
            <w:left w:w="108" w:type="dxa"/>
            <w:bottom w:w="0" w:type="dxa"/>
            <w:right w:w="108" w:type="dxa"/>
          </w:tblCellMar>
        </w:tblPrEx>
        <w:tc>
          <w:tcPr>
            <w:tcW w:w="2128" w:type="dxa"/>
            <w:vMerge w:val="continue"/>
            <w:tcBorders>
              <w:bottom w:val="single" w:color="auto" w:sz="4" w:space="0"/>
            </w:tcBorders>
            <w:vAlign w:val="center"/>
          </w:tcPr>
          <w:p>
            <w:pPr>
              <w:spacing w:line="360" w:lineRule="auto"/>
              <w:jc w:val="both"/>
              <w:rPr>
                <w:rFonts w:ascii="Book Antiqua" w:hAnsi="Book Antiqua" w:eastAsia="等线"/>
                <w:color w:val="000000"/>
                <w:lang w:val="en-GB"/>
              </w:rPr>
            </w:pPr>
          </w:p>
        </w:tc>
        <w:tc>
          <w:tcPr>
            <w:tcW w:w="2486" w:type="dxa"/>
            <w:tcBorders>
              <w:bottom w:val="single" w:color="auto" w:sz="4" w:space="0"/>
            </w:tcBorders>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&gt; 100</w:t>
            </w:r>
          </w:p>
        </w:tc>
        <w:tc>
          <w:tcPr>
            <w:tcW w:w="1072" w:type="dxa"/>
            <w:tcBorders>
              <w:bottom w:val="single" w:color="auto" w:sz="4" w:space="0"/>
            </w:tcBorders>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2</w:t>
            </w:r>
            <w:r>
              <w:rPr>
                <w:rFonts w:ascii="Book Antiqua" w:hAnsi="Book Antiqua" w:eastAsia="等线"/>
                <w:color w:val="000000"/>
              </w:rPr>
              <w:t>8</w:t>
            </w:r>
          </w:p>
        </w:tc>
        <w:tc>
          <w:tcPr>
            <w:tcW w:w="1746" w:type="dxa"/>
            <w:tcBorders>
              <w:bottom w:val="single" w:color="auto" w:sz="4" w:space="0"/>
            </w:tcBorders>
          </w:tcPr>
          <w:p>
            <w:pPr>
              <w:spacing w:line="360" w:lineRule="auto"/>
              <w:jc w:val="both"/>
              <w:rPr>
                <w:rFonts w:ascii="Book Antiqua" w:hAnsi="Book Antiqua" w:eastAsia="等线"/>
                <w:color w:val="000000"/>
                <w:lang w:val="en-GB"/>
              </w:rPr>
            </w:pPr>
            <w:r>
              <w:rPr>
                <w:rFonts w:ascii="Book Antiqua" w:hAnsi="Book Antiqua" w:eastAsia="等线"/>
                <w:color w:val="000000"/>
              </w:rPr>
              <w:t>3</w:t>
            </w:r>
            <w:r>
              <w:rPr>
                <w:rFonts w:ascii="Book Antiqua" w:hAnsi="Book Antiqua" w:eastAsia="等线"/>
                <w:color w:val="000000"/>
                <w:lang w:val="en-GB"/>
              </w:rPr>
              <w:t xml:space="preserve">, </w:t>
            </w:r>
            <w:r>
              <w:rPr>
                <w:rFonts w:ascii="Book Antiqua" w:hAnsi="Book Antiqua" w:eastAsia="等线"/>
                <w:color w:val="000000"/>
              </w:rPr>
              <w:t>130</w:t>
            </w:r>
          </w:p>
        </w:tc>
        <w:tc>
          <w:tcPr>
            <w:tcW w:w="963" w:type="dxa"/>
            <w:tcBorders>
              <w:bottom w:val="single" w:color="auto" w:sz="4" w:space="0"/>
            </w:tcBorders>
            <w:shd w:val="clear" w:color="auto" w:fill="auto"/>
            <w:noWrap/>
            <w:vAlign w:val="bottom"/>
          </w:tcPr>
          <w:p>
            <w:pPr>
              <w:spacing w:line="360" w:lineRule="auto"/>
              <w:jc w:val="both"/>
              <w:rPr>
                <w:rFonts w:ascii="Book Antiqua" w:hAnsi="Book Antiqua" w:eastAsia="等线"/>
                <w:color w:val="000000"/>
              </w:rPr>
            </w:pPr>
            <w:r>
              <w:rPr>
                <w:rFonts w:ascii="Book Antiqua" w:hAnsi="Book Antiqua" w:eastAsia="等线"/>
                <w:color w:val="000000"/>
              </w:rPr>
              <w:t>9</w:t>
            </w:r>
            <w:r>
              <w:rPr>
                <w:rFonts w:ascii="Book Antiqua" w:hAnsi="Book Antiqua" w:eastAsia="等线"/>
                <w:color w:val="000000"/>
                <w:lang w:val="en-GB"/>
              </w:rPr>
              <w:t xml:space="preserve">, </w:t>
            </w:r>
            <w:r>
              <w:rPr>
                <w:rFonts w:ascii="Book Antiqua" w:hAnsi="Book Antiqua" w:eastAsia="等线"/>
                <w:color w:val="000000"/>
              </w:rPr>
              <w:t>480</w:t>
            </w:r>
          </w:p>
        </w:tc>
        <w:tc>
          <w:tcPr>
            <w:tcW w:w="2309" w:type="dxa"/>
            <w:tcBorders>
              <w:bottom w:val="single" w:color="auto" w:sz="4" w:space="0"/>
            </w:tcBorders>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0.4</w:t>
            </w:r>
            <w:r>
              <w:rPr>
                <w:rFonts w:ascii="Book Antiqua" w:hAnsi="Book Antiqua" w:eastAsia="等线"/>
                <w:color w:val="000000"/>
              </w:rPr>
              <w:t>36</w:t>
            </w:r>
            <w:r>
              <w:rPr>
                <w:rFonts w:ascii="Book Antiqua" w:hAnsi="Book Antiqua" w:eastAsia="等线"/>
                <w:color w:val="000000"/>
                <w:lang w:val="en-GB"/>
              </w:rPr>
              <w:t xml:space="preserve"> (0.3</w:t>
            </w:r>
            <w:r>
              <w:rPr>
                <w:rFonts w:ascii="Book Antiqua" w:hAnsi="Book Antiqua" w:eastAsia="等线"/>
                <w:color w:val="000000"/>
              </w:rPr>
              <w:t>70</w:t>
            </w:r>
            <w:r>
              <w:rPr>
                <w:rFonts w:ascii="Book Antiqua" w:hAnsi="Book Antiqua" w:eastAsia="等线"/>
                <w:color w:val="000000"/>
                <w:lang w:val="en-GB"/>
              </w:rPr>
              <w:t>-0.</w:t>
            </w:r>
            <w:r>
              <w:rPr>
                <w:rFonts w:ascii="Book Antiqua" w:hAnsi="Book Antiqua" w:eastAsia="等线"/>
                <w:color w:val="000000"/>
              </w:rPr>
              <w:t>501</w:t>
            </w:r>
            <w:r>
              <w:rPr>
                <w:rFonts w:ascii="Book Antiqua" w:hAnsi="Book Antiqua" w:eastAsia="等线"/>
                <w:color w:val="000000"/>
                <w:lang w:val="en-GB"/>
              </w:rPr>
              <w:t>)</w:t>
            </w:r>
          </w:p>
        </w:tc>
        <w:tc>
          <w:tcPr>
            <w:tcW w:w="1317" w:type="dxa"/>
            <w:gridSpan w:val="2"/>
            <w:tcBorders>
              <w:bottom w:val="single" w:color="auto" w:sz="4" w:space="0"/>
            </w:tcBorders>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Random</w:t>
            </w:r>
          </w:p>
        </w:tc>
        <w:tc>
          <w:tcPr>
            <w:tcW w:w="1496" w:type="dxa"/>
            <w:tcBorders>
              <w:bottom w:val="single" w:color="auto" w:sz="4" w:space="0"/>
            </w:tcBorders>
            <w:shd w:val="clear" w:color="auto" w:fill="auto"/>
            <w:noWrap/>
            <w:vAlign w:val="bottom"/>
          </w:tcPr>
          <w:p>
            <w:pPr>
              <w:spacing w:line="360" w:lineRule="auto"/>
              <w:jc w:val="both"/>
              <w:rPr>
                <w:rFonts w:ascii="Book Antiqua" w:hAnsi="Book Antiqua" w:eastAsia="等线"/>
                <w:color w:val="000000"/>
                <w:lang w:val="en-GB"/>
              </w:rPr>
            </w:pPr>
            <w:r>
              <w:rPr>
                <w:rFonts w:ascii="Book Antiqua" w:hAnsi="Book Antiqua" w:eastAsia="等线"/>
                <w:color w:val="000000"/>
                <w:lang w:val="en-GB"/>
              </w:rPr>
              <w:t xml:space="preserve">97.30 </w:t>
            </w:r>
          </w:p>
        </w:tc>
        <w:tc>
          <w:tcPr>
            <w:tcW w:w="1040" w:type="dxa"/>
            <w:vMerge w:val="continue"/>
            <w:tcBorders>
              <w:bottom w:val="single" w:color="auto" w:sz="4" w:space="0"/>
            </w:tcBorders>
            <w:vAlign w:val="center"/>
          </w:tcPr>
          <w:p>
            <w:pPr>
              <w:spacing w:line="360" w:lineRule="auto"/>
              <w:jc w:val="both"/>
              <w:rPr>
                <w:rFonts w:ascii="Book Antiqua" w:hAnsi="Book Antiqua" w:eastAsia="等线"/>
                <w:color w:val="000000"/>
                <w:lang w:val="en-GB"/>
              </w:rPr>
            </w:pPr>
          </w:p>
        </w:tc>
      </w:tr>
    </w:tbl>
    <w:p>
      <w:pPr>
        <w:spacing w:line="360" w:lineRule="auto"/>
        <w:jc w:val="both"/>
        <w:rPr>
          <w:rFonts w:ascii="Book Antiqua" w:hAnsi="Book Antiqua" w:eastAsia="宋体"/>
          <w:lang w:val="en-GB"/>
        </w:rPr>
      </w:pPr>
      <w:r>
        <w:rPr>
          <w:rFonts w:ascii="Book Antiqua" w:hAnsi="Book Antiqua" w:eastAsia="宋体"/>
          <w:bCs/>
          <w:vertAlign w:val="superscript"/>
          <w:lang w:val="en-GB"/>
        </w:rPr>
        <w:t>1</w:t>
      </w:r>
      <w:r>
        <w:rPr>
          <w:rFonts w:ascii="Book Antiqua" w:hAnsi="Book Antiqua" w:eastAsia="宋体"/>
          <w:lang w:val="en-GB"/>
        </w:rPr>
        <w:t xml:space="preserve">Significant at </w:t>
      </w:r>
      <w:r>
        <w:rPr>
          <w:rFonts w:ascii="Book Antiqua" w:hAnsi="Book Antiqua" w:eastAsia="宋体"/>
          <w:i/>
          <w:iCs/>
          <w:lang w:val="en-GB"/>
        </w:rPr>
        <w:t>P</w:t>
      </w:r>
      <w:r>
        <w:rPr>
          <w:rFonts w:ascii="Book Antiqua" w:hAnsi="Book Antiqua" w:eastAsia="宋体"/>
          <w:lang w:val="en-GB"/>
        </w:rPr>
        <w:t xml:space="preserve"> value &lt; 0.05. </w:t>
      </w:r>
    </w:p>
    <w:p>
      <w:pPr>
        <w:spacing w:line="360" w:lineRule="auto"/>
        <w:jc w:val="both"/>
        <w:rPr>
          <w:rFonts w:ascii="Book Antiqua" w:hAnsi="Book Antiqua" w:eastAsia="宋体"/>
          <w:lang w:val="en-GB"/>
        </w:rPr>
      </w:pPr>
      <w:r>
        <w:rPr>
          <w:rFonts w:ascii="Book Antiqua" w:hAnsi="Book Antiqua" w:eastAsia="宋体"/>
          <w:iCs/>
          <w:vertAlign w:val="superscript"/>
          <w:lang w:val="en-GB"/>
        </w:rPr>
        <w:t>a</w:t>
      </w:r>
      <w:r>
        <w:rPr>
          <w:rFonts w:ascii="Book Antiqua" w:hAnsi="Book Antiqua" w:eastAsia="宋体"/>
          <w:lang w:val="en-GB"/>
        </w:rPr>
        <w:t xml:space="preserve">Severe nephrotoxicity defined as RIFLE grade of </w:t>
      </w:r>
      <w:r>
        <w:rPr>
          <w:rFonts w:ascii="Book Antiqua" w:hAnsi="Book Antiqua" w:eastAsia="宋体"/>
          <w:color w:val="000000"/>
          <w:lang w:val="en-GB"/>
        </w:rPr>
        <w:t>‘failure’</w:t>
      </w:r>
      <w:r>
        <w:rPr>
          <w:rFonts w:ascii="Book Antiqua" w:hAnsi="Book Antiqua" w:eastAsia="宋体"/>
          <w:lang w:val="en-GB"/>
        </w:rPr>
        <w:t xml:space="preserve"> or above, AKIN grade of 3 or KDIGO grade of 3 or required renal replacement therapy.</w:t>
      </w:r>
    </w:p>
    <w:p>
      <w:pPr>
        <w:spacing w:line="360" w:lineRule="auto"/>
        <w:jc w:val="both"/>
        <w:rPr>
          <w:rFonts w:ascii="Book Antiqua" w:hAnsi="Book Antiqua" w:eastAsia="宋体"/>
          <w:lang w:val="en-GB"/>
        </w:rPr>
      </w:pPr>
      <w:r>
        <w:rPr>
          <w:rFonts w:ascii="Book Antiqua" w:hAnsi="Book Antiqua" w:eastAsia="宋体"/>
          <w:iCs/>
          <w:vertAlign w:val="superscript"/>
          <w:lang w:val="en-GB"/>
        </w:rPr>
        <w:t>b</w:t>
      </w:r>
      <w:r>
        <w:rPr>
          <w:rFonts w:ascii="Book Antiqua" w:hAnsi="Book Antiqua" w:eastAsia="宋体"/>
          <w:lang w:val="en-GB"/>
        </w:rPr>
        <w:t>Maintenance dose varied among studies, higher dose as identified as &gt; 9 MIU/d or &gt; 2.5-5.0 mg CBA/kg/d for colistin, or &gt; 2.5-3 mg/kg/d for polymyxin B in this study.</w:t>
      </w:r>
    </w:p>
    <w:p>
      <w:pPr>
        <w:spacing w:line="360" w:lineRule="auto"/>
        <w:jc w:val="both"/>
        <w:rPr>
          <w:rFonts w:ascii="Book Antiqua" w:hAnsi="Book Antiqua" w:eastAsia="宋体"/>
          <w:lang w:val="en-GB"/>
        </w:rPr>
      </w:pPr>
      <w:r>
        <w:rPr>
          <w:rFonts w:ascii="Book Antiqua" w:hAnsi="Book Antiqua" w:eastAsia="宋体"/>
          <w:iCs/>
          <w:vertAlign w:val="superscript"/>
          <w:lang w:val="en-GB"/>
        </w:rPr>
        <w:t>c</w:t>
      </w:r>
      <w:r>
        <w:rPr>
          <w:rFonts w:ascii="Book Antiqua" w:hAnsi="Book Antiqua" w:eastAsia="宋体"/>
          <w:lang w:val="en-GB"/>
        </w:rPr>
        <w:t xml:space="preserve">Age cut-off value based on the mean or median age of patients included. </w:t>
      </w:r>
    </w:p>
    <w:p>
      <w:pPr>
        <w:spacing w:line="360" w:lineRule="auto"/>
        <w:jc w:val="both"/>
        <w:rPr>
          <w:rFonts w:ascii="Book Antiqua" w:hAnsi="Book Antiqua" w:eastAsia="宋体"/>
          <w:lang w:val="en-GB"/>
        </w:rPr>
      </w:pPr>
      <w:r>
        <w:rPr>
          <w:rFonts w:ascii="Book Antiqua" w:hAnsi="Book Antiqua" w:eastAsia="宋体"/>
          <w:iCs/>
          <w:vertAlign w:val="superscript"/>
          <w:lang w:val="en-GB"/>
        </w:rPr>
        <w:t>d</w:t>
      </w:r>
      <w:r>
        <w:rPr>
          <w:rFonts w:ascii="Book Antiqua" w:hAnsi="Book Antiqua" w:eastAsia="宋体"/>
          <w:lang w:val="en-GB"/>
        </w:rPr>
        <w:t>Quality assessment was applied using Newcastle Ottawa Scale assessment for cohort studies and case control studies. Articles that scored less than 4 were classified as low methodological quality, articles with score between 5 and 7 were classified as fair quality, and those with score more than 8 were classified as high quality.</w:t>
      </w:r>
    </w:p>
    <w:p>
      <w:pPr>
        <w:spacing w:line="360" w:lineRule="auto"/>
        <w:jc w:val="both"/>
        <w:rPr>
          <w:rFonts w:ascii="Book Antiqua" w:hAnsi="Book Antiqua" w:eastAsia="宋体"/>
          <w:lang w:val="en-GB"/>
        </w:rPr>
      </w:pPr>
      <w:r>
        <w:rPr>
          <w:rFonts w:ascii="Book Antiqua" w:hAnsi="Book Antiqua" w:eastAsia="宋体"/>
          <w:lang w:val="en-GB"/>
        </w:rPr>
        <w:t xml:space="preserve">AKIN: Acute Kidney Injury Network; APACHE II: Acute Physiology and Chronic Health Evaluation II; BID: twice daily; CI: Confidence Interval; KIDGO: Kidney Disease Improving Global Outcomes; RCT: Randomized Controlled Trials; RIFLE: Risk, Injury, Failure, Loss of kidney function, and End-stage kidney disease; TID: Three times daily; </w:t>
      </w:r>
      <w:r>
        <w:rPr>
          <w:rFonts w:ascii="Book Antiqua" w:hAnsi="Book Antiqua" w:eastAsia="等线"/>
          <w:color w:val="000000"/>
          <w:lang w:val="en-GB"/>
        </w:rPr>
        <w:t>NA: Not available</w:t>
      </w:r>
      <w:r>
        <w:rPr>
          <w:rFonts w:ascii="Book Antiqua" w:hAnsi="Book Antiqua" w:eastAsia="宋体"/>
          <w:lang w:val="en-GB"/>
        </w:rPr>
        <w:t>.</w:t>
      </w:r>
    </w:p>
    <w:p>
      <w:pPr>
        <w:spacing w:line="360" w:lineRule="auto"/>
        <w:jc w:val="both"/>
        <w:rPr>
          <w:rFonts w:ascii="Book Antiqua" w:hAnsi="Book Antiqua" w:eastAsia="宋体"/>
          <w:lang w:val="en-GB"/>
        </w:rPr>
      </w:pPr>
    </w:p>
    <w:p>
      <w:pPr>
        <w:spacing w:line="360" w:lineRule="auto"/>
        <w:jc w:val="both"/>
        <w:rPr>
          <w:rFonts w:ascii="Book Antiqua" w:hAnsi="Book Antiqua" w:eastAsia="等线"/>
          <w:lang w:val="en-GB"/>
        </w:rPr>
      </w:pPr>
      <w:r>
        <w:rPr>
          <w:rFonts w:ascii="Book Antiqua" w:hAnsi="Book Antiqua" w:eastAsia="等线"/>
          <w:b/>
          <w:bCs/>
          <w:lang w:val="en-GB"/>
        </w:rPr>
        <w:t>Table 2</w:t>
      </w:r>
      <w:r>
        <w:rPr>
          <w:rFonts w:ascii="Book Antiqua" w:hAnsi="Book Antiqua" w:eastAsia="等线"/>
          <w:color w:val="000000"/>
          <w:lang w:val="en-GB"/>
        </w:rPr>
        <w:t xml:space="preserve"> </w:t>
      </w:r>
      <w:r>
        <w:rPr>
          <w:rFonts w:ascii="Book Antiqua" w:hAnsi="Book Antiqua" w:eastAsia="等线"/>
          <w:b/>
          <w:bCs/>
          <w:color w:val="000000"/>
          <w:lang w:val="en-GB"/>
        </w:rPr>
        <w:t>M</w:t>
      </w:r>
      <w:r>
        <w:rPr>
          <w:rFonts w:ascii="Book Antiqua" w:hAnsi="Book Antiqua" w:eastAsia="等线"/>
          <w:b/>
          <w:bCs/>
          <w:lang w:val="en-GB"/>
        </w:rPr>
        <w:t>eta-regression analysis for polymyxin-induced nephrotoxicity incidence</w:t>
      </w:r>
    </w:p>
    <w:tbl>
      <w:tblPr>
        <w:tblStyle w:val="8"/>
        <w:tblW w:w="14034"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
        <w:gridCol w:w="2976"/>
        <w:gridCol w:w="1701"/>
        <w:gridCol w:w="2127"/>
        <w:gridCol w:w="1984"/>
        <w:gridCol w:w="1985"/>
        <w:gridCol w:w="1417"/>
        <w:gridCol w:w="1418"/>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426"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p>
        </w:tc>
        <w:tc>
          <w:tcPr>
            <w:tcW w:w="2976"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r>
              <w:rPr>
                <w:rFonts w:ascii="Book Antiqua" w:hAnsi="Book Antiqua" w:eastAsia="等线"/>
                <w:b/>
                <w:bCs/>
                <w:color w:val="000000"/>
                <w:lang w:val="en-GB" w:eastAsia="zh-CN"/>
              </w:rPr>
              <w:t>Variable</w:t>
            </w:r>
          </w:p>
        </w:tc>
        <w:tc>
          <w:tcPr>
            <w:tcW w:w="1701"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r>
              <w:rPr>
                <w:rFonts w:ascii="Book Antiqua" w:hAnsi="Book Antiqua" w:eastAsia="等线"/>
                <w:b/>
                <w:bCs/>
                <w:color w:val="000000"/>
                <w:lang w:val="en-GB" w:eastAsia="zh-CN"/>
              </w:rPr>
              <w:t>Coefficient</w:t>
            </w:r>
          </w:p>
        </w:tc>
        <w:tc>
          <w:tcPr>
            <w:tcW w:w="2127"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r>
              <w:rPr>
                <w:rFonts w:ascii="Book Antiqua" w:hAnsi="Book Antiqua" w:eastAsia="等线"/>
                <w:b/>
                <w:bCs/>
                <w:color w:val="000000"/>
                <w:lang w:val="en-GB" w:eastAsia="zh-CN"/>
              </w:rPr>
              <w:t>Standard error</w:t>
            </w:r>
          </w:p>
        </w:tc>
        <w:tc>
          <w:tcPr>
            <w:tcW w:w="1984"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r>
              <w:rPr>
                <w:rFonts w:ascii="Book Antiqua" w:hAnsi="Book Antiqua" w:eastAsia="等线"/>
                <w:b/>
                <w:bCs/>
                <w:color w:val="000000"/>
                <w:lang w:val="en-GB" w:eastAsia="zh-CN"/>
              </w:rPr>
              <w:t>Lower 95%CI</w:t>
            </w:r>
          </w:p>
        </w:tc>
        <w:tc>
          <w:tcPr>
            <w:tcW w:w="1985"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r>
              <w:rPr>
                <w:rFonts w:ascii="Book Antiqua" w:hAnsi="Book Antiqua" w:eastAsia="等线"/>
                <w:b/>
                <w:bCs/>
                <w:color w:val="000000"/>
                <w:lang w:val="en-GB" w:eastAsia="zh-CN"/>
              </w:rPr>
              <w:t>Upper 95%CI</w:t>
            </w:r>
          </w:p>
        </w:tc>
        <w:tc>
          <w:tcPr>
            <w:tcW w:w="1417"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r>
              <w:rPr>
                <w:rFonts w:ascii="Book Antiqua" w:hAnsi="Book Antiqua" w:eastAsia="等线"/>
                <w:b/>
                <w:bCs/>
                <w:i/>
                <w:iCs/>
                <w:color w:val="000000"/>
                <w:lang w:val="en-GB" w:eastAsia="zh-CN"/>
              </w:rPr>
              <w:t xml:space="preserve">P </w:t>
            </w:r>
            <w:r>
              <w:rPr>
                <w:rFonts w:ascii="Book Antiqua" w:hAnsi="Book Antiqua" w:eastAsia="等线"/>
                <w:b/>
                <w:bCs/>
                <w:color w:val="000000"/>
                <w:lang w:val="en-GB" w:eastAsia="zh-CN"/>
              </w:rPr>
              <w:t>value</w:t>
            </w:r>
          </w:p>
        </w:tc>
        <w:tc>
          <w:tcPr>
            <w:tcW w:w="1418" w:type="dxa"/>
            <w:tcBorders>
              <w:top w:val="single" w:color="auto" w:sz="4" w:space="0"/>
              <w:bottom w:val="single" w:color="auto" w:sz="4" w:space="0"/>
            </w:tcBorders>
            <w:vAlign w:val="center"/>
          </w:tcPr>
          <w:p>
            <w:pPr>
              <w:spacing w:line="360" w:lineRule="auto"/>
              <w:jc w:val="both"/>
              <w:rPr>
                <w:rFonts w:ascii="Book Antiqua" w:hAnsi="Book Antiqua" w:eastAsia="等线"/>
                <w:b/>
                <w:bCs/>
                <w:color w:val="000000"/>
                <w:lang w:val="en-GB" w:eastAsia="zh-CN"/>
              </w:rPr>
            </w:pPr>
            <w:r>
              <w:rPr>
                <w:rFonts w:ascii="Book Antiqua" w:hAnsi="Book Antiqua" w:eastAsia="等线"/>
                <w:b/>
                <w:bCs/>
                <w:i/>
                <w:color w:val="000000"/>
                <w:lang w:val="en-GB" w:eastAsia="zh-CN"/>
              </w:rPr>
              <w:t>R</w:t>
            </w:r>
            <w:r>
              <w:rPr>
                <w:rFonts w:ascii="Book Antiqua" w:hAnsi="Book Antiqua" w:eastAsia="等线"/>
                <w:b/>
                <w:bCs/>
                <w:color w:val="000000"/>
                <w:vertAlign w:val="superscript"/>
                <w:lang w:val="en-GB" w:eastAsia="zh-CN"/>
              </w:rPr>
              <w:t>2</w:t>
            </w:r>
            <w:r>
              <w:rPr>
                <w:rFonts w:ascii="Book Antiqua" w:hAnsi="Book Antiqua" w:eastAsia="等线"/>
                <w:b/>
                <w:bCs/>
                <w:color w:val="000000"/>
                <w:lang w:val="en-GB" w:eastAsia="zh-CN"/>
              </w:rPr>
              <w:t>, %</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3402" w:type="dxa"/>
            <w:gridSpan w:val="2"/>
            <w:tcBorders>
              <w:top w:val="single" w:color="auto" w:sz="4" w:space="0"/>
              <w:bottom w:val="nil"/>
            </w:tcBorders>
          </w:tcPr>
          <w:p>
            <w:pPr>
              <w:spacing w:line="360" w:lineRule="auto"/>
              <w:jc w:val="both"/>
              <w:rPr>
                <w:rFonts w:ascii="Book Antiqua" w:hAnsi="Book Antiqua" w:eastAsia="等线"/>
                <w:b/>
                <w:bCs/>
                <w:color w:val="000000"/>
                <w:lang w:val="en-GB" w:eastAsia="zh-CN"/>
              </w:rPr>
            </w:pPr>
            <w:r>
              <w:rPr>
                <w:rFonts w:ascii="Book Antiqua" w:hAnsi="Book Antiqua" w:eastAsia="等线"/>
                <w:b/>
                <w:bCs/>
                <w:color w:val="000000"/>
                <w:lang w:val="en-GB" w:eastAsia="zh-CN"/>
              </w:rPr>
              <w:t>Univariable analysis</w:t>
            </w:r>
          </w:p>
        </w:tc>
        <w:tc>
          <w:tcPr>
            <w:tcW w:w="1701" w:type="dxa"/>
            <w:tcBorders>
              <w:top w:val="single" w:color="auto" w:sz="4" w:space="0"/>
              <w:bottom w:val="nil"/>
            </w:tcBorders>
          </w:tcPr>
          <w:p>
            <w:pPr>
              <w:spacing w:line="360" w:lineRule="auto"/>
              <w:jc w:val="both"/>
              <w:rPr>
                <w:rFonts w:ascii="Book Antiqua" w:hAnsi="Book Antiqua" w:eastAsia="等线"/>
                <w:color w:val="000000"/>
                <w:lang w:val="en-GB" w:eastAsia="zh-CN"/>
              </w:rPr>
            </w:pPr>
          </w:p>
        </w:tc>
        <w:tc>
          <w:tcPr>
            <w:tcW w:w="2127" w:type="dxa"/>
            <w:tcBorders>
              <w:top w:val="single" w:color="auto" w:sz="4" w:space="0"/>
              <w:bottom w:val="nil"/>
            </w:tcBorders>
          </w:tcPr>
          <w:p>
            <w:pPr>
              <w:spacing w:line="360" w:lineRule="auto"/>
              <w:jc w:val="both"/>
              <w:rPr>
                <w:rFonts w:ascii="Book Antiqua" w:hAnsi="Book Antiqua" w:eastAsia="等线"/>
                <w:color w:val="000000"/>
                <w:lang w:val="en-GB" w:eastAsia="zh-CN"/>
              </w:rPr>
            </w:pPr>
          </w:p>
        </w:tc>
        <w:tc>
          <w:tcPr>
            <w:tcW w:w="1984" w:type="dxa"/>
            <w:tcBorders>
              <w:top w:val="single" w:color="auto" w:sz="4" w:space="0"/>
              <w:bottom w:val="nil"/>
            </w:tcBorders>
          </w:tcPr>
          <w:p>
            <w:pPr>
              <w:spacing w:line="360" w:lineRule="auto"/>
              <w:jc w:val="both"/>
              <w:rPr>
                <w:rFonts w:ascii="Book Antiqua" w:hAnsi="Book Antiqua" w:eastAsia="等线"/>
                <w:color w:val="000000"/>
                <w:lang w:val="en-GB" w:eastAsia="zh-CN"/>
              </w:rPr>
            </w:pPr>
          </w:p>
        </w:tc>
        <w:tc>
          <w:tcPr>
            <w:tcW w:w="1985" w:type="dxa"/>
            <w:tcBorders>
              <w:top w:val="single" w:color="auto" w:sz="4" w:space="0"/>
              <w:bottom w:val="nil"/>
            </w:tcBorders>
          </w:tcPr>
          <w:p>
            <w:pPr>
              <w:spacing w:line="360" w:lineRule="auto"/>
              <w:jc w:val="both"/>
              <w:rPr>
                <w:rFonts w:ascii="Book Antiqua" w:hAnsi="Book Antiqua" w:eastAsia="等线"/>
                <w:color w:val="000000"/>
                <w:lang w:val="en-GB" w:eastAsia="zh-CN"/>
              </w:rPr>
            </w:pPr>
          </w:p>
        </w:tc>
        <w:tc>
          <w:tcPr>
            <w:tcW w:w="1417" w:type="dxa"/>
            <w:tcBorders>
              <w:top w:val="single" w:color="auto" w:sz="4" w:space="0"/>
              <w:bottom w:val="nil"/>
            </w:tcBorders>
          </w:tcPr>
          <w:p>
            <w:pPr>
              <w:spacing w:line="360" w:lineRule="auto"/>
              <w:jc w:val="both"/>
              <w:rPr>
                <w:rFonts w:ascii="Book Antiqua" w:hAnsi="Book Antiqua" w:eastAsia="等线"/>
                <w:color w:val="000000"/>
                <w:lang w:val="en-GB" w:eastAsia="zh-CN"/>
              </w:rPr>
            </w:pPr>
          </w:p>
        </w:tc>
        <w:tc>
          <w:tcPr>
            <w:tcW w:w="1418" w:type="dxa"/>
            <w:tcBorders>
              <w:top w:val="single" w:color="auto" w:sz="4" w:space="0"/>
              <w:bottom w:val="nil"/>
            </w:tcBorders>
          </w:tcPr>
          <w:p>
            <w:pPr>
              <w:spacing w:line="360" w:lineRule="auto"/>
              <w:jc w:val="both"/>
              <w:rPr>
                <w:rFonts w:ascii="Book Antiqua" w:hAnsi="Book Antiqua" w:eastAsia="等线"/>
                <w:color w:val="000000"/>
                <w:lang w:val="en-GB" w:eastAsia="zh-CN"/>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Borders>
              <w:top w:val="nil"/>
              <w:bottom w:val="nil"/>
            </w:tcBorders>
          </w:tcPr>
          <w:p>
            <w:pPr>
              <w:spacing w:line="360" w:lineRule="auto"/>
              <w:jc w:val="both"/>
              <w:rPr>
                <w:rFonts w:ascii="Book Antiqua" w:hAnsi="Book Antiqua" w:eastAsia="等线"/>
                <w:color w:val="000000"/>
                <w:lang w:val="en-GB" w:eastAsia="zh-CN"/>
              </w:rPr>
            </w:pPr>
          </w:p>
        </w:tc>
        <w:tc>
          <w:tcPr>
            <w:tcW w:w="2976"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Continent</w:t>
            </w:r>
          </w:p>
        </w:tc>
        <w:tc>
          <w:tcPr>
            <w:tcW w:w="1701"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0.01</w:t>
            </w:r>
            <w:r>
              <w:rPr>
                <w:rFonts w:ascii="Book Antiqua" w:hAnsi="Book Antiqua" w:eastAsia="等线"/>
                <w:color w:val="000000"/>
                <w:lang w:eastAsia="zh-CN"/>
              </w:rPr>
              <w:t>4</w:t>
            </w:r>
            <w:r>
              <w:rPr>
                <w:rFonts w:ascii="Book Antiqua" w:hAnsi="Book Antiqua" w:eastAsia="等线"/>
                <w:color w:val="000000"/>
                <w:lang w:val="en-GB" w:eastAsia="zh-CN"/>
              </w:rPr>
              <w:t>8</w:t>
            </w:r>
          </w:p>
        </w:tc>
        <w:tc>
          <w:tcPr>
            <w:tcW w:w="2127"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0.022</w:t>
            </w:r>
            <w:r>
              <w:rPr>
                <w:rFonts w:ascii="Book Antiqua" w:hAnsi="Book Antiqua" w:eastAsia="等线"/>
                <w:color w:val="000000"/>
                <w:lang w:eastAsia="zh-CN"/>
              </w:rPr>
              <w:t>2</w:t>
            </w:r>
          </w:p>
        </w:tc>
        <w:tc>
          <w:tcPr>
            <w:tcW w:w="1984" w:type="dxa"/>
            <w:tcBorders>
              <w:top w:val="nil"/>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-0.02</w:t>
            </w:r>
            <w:r>
              <w:rPr>
                <w:rFonts w:ascii="Book Antiqua" w:hAnsi="Book Antiqua" w:eastAsia="等线"/>
                <w:color w:val="000000"/>
                <w:lang w:eastAsia="zh-CN"/>
              </w:rPr>
              <w:t>94</w:t>
            </w:r>
          </w:p>
        </w:tc>
        <w:tc>
          <w:tcPr>
            <w:tcW w:w="1985"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0.059</w:t>
            </w:r>
            <w:r>
              <w:rPr>
                <w:rFonts w:ascii="Book Antiqua" w:hAnsi="Book Antiqua" w:eastAsia="等线"/>
                <w:color w:val="000000"/>
                <w:lang w:eastAsia="zh-CN"/>
              </w:rPr>
              <w:t>0</w:t>
            </w:r>
          </w:p>
        </w:tc>
        <w:tc>
          <w:tcPr>
            <w:tcW w:w="1417"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w:t>
            </w:r>
            <w:r>
              <w:rPr>
                <w:rFonts w:ascii="Book Antiqua" w:hAnsi="Book Antiqua" w:eastAsia="等线"/>
                <w:color w:val="000000"/>
                <w:lang w:eastAsia="zh-CN"/>
              </w:rPr>
              <w:t>50</w:t>
            </w:r>
            <w:r>
              <w:rPr>
                <w:rFonts w:ascii="Book Antiqua" w:hAnsi="Book Antiqua" w:eastAsia="等线"/>
                <w:color w:val="000000"/>
                <w:lang w:val="en-GB" w:eastAsia="zh-CN"/>
              </w:rPr>
              <w:t>8</w:t>
            </w:r>
          </w:p>
        </w:tc>
        <w:tc>
          <w:tcPr>
            <w:tcW w:w="1418"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w:t>
            </w:r>
            <w:r>
              <w:rPr>
                <w:rFonts w:ascii="Book Antiqua" w:hAnsi="Book Antiqua" w:eastAsia="等线"/>
                <w:color w:val="000000"/>
                <w:lang w:eastAsia="zh-CN"/>
              </w:rPr>
              <w:t>6</w:t>
            </w:r>
            <w:r>
              <w:rPr>
                <w:rFonts w:ascii="Book Antiqua" w:hAnsi="Book Antiqua" w:eastAsia="等线"/>
                <w:color w:val="000000"/>
                <w:lang w:val="en-GB" w:eastAsia="zh-CN"/>
              </w:rPr>
              <w:t>4</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Borders>
              <w:top w:val="nil"/>
            </w:tcBorders>
          </w:tcPr>
          <w:p>
            <w:pPr>
              <w:spacing w:line="360" w:lineRule="auto"/>
              <w:jc w:val="both"/>
              <w:rPr>
                <w:rFonts w:ascii="Book Antiqua" w:hAnsi="Book Antiqua" w:eastAsia="等线"/>
                <w:color w:val="000000"/>
                <w:lang w:val="en-GB" w:eastAsia="zh-CN"/>
              </w:rPr>
            </w:pPr>
          </w:p>
        </w:tc>
        <w:tc>
          <w:tcPr>
            <w:tcW w:w="2976" w:type="dxa"/>
            <w:tcBorders>
              <w:top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Polymyxins</w:t>
            </w:r>
          </w:p>
        </w:tc>
        <w:tc>
          <w:tcPr>
            <w:tcW w:w="1701" w:type="dxa"/>
            <w:tcBorders>
              <w:top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-0.08</w:t>
            </w:r>
            <w:r>
              <w:rPr>
                <w:rFonts w:ascii="Book Antiqua" w:hAnsi="Book Antiqua" w:eastAsia="等线"/>
                <w:color w:val="000000"/>
                <w:lang w:eastAsia="zh-CN"/>
              </w:rPr>
              <w:t>65</w:t>
            </w:r>
          </w:p>
        </w:tc>
        <w:tc>
          <w:tcPr>
            <w:tcW w:w="2127" w:type="dxa"/>
            <w:tcBorders>
              <w:top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0.059</w:t>
            </w:r>
            <w:r>
              <w:rPr>
                <w:rFonts w:ascii="Book Antiqua" w:hAnsi="Book Antiqua" w:eastAsia="等线"/>
                <w:color w:val="000000"/>
                <w:lang w:eastAsia="zh-CN"/>
              </w:rPr>
              <w:t>7</w:t>
            </w:r>
          </w:p>
        </w:tc>
        <w:tc>
          <w:tcPr>
            <w:tcW w:w="1984" w:type="dxa"/>
            <w:tcBorders>
              <w:top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-0.20</w:t>
            </w:r>
            <w:r>
              <w:rPr>
                <w:rFonts w:ascii="Book Antiqua" w:hAnsi="Book Antiqua" w:eastAsia="等线"/>
                <w:color w:val="000000"/>
                <w:lang w:eastAsia="zh-CN"/>
              </w:rPr>
              <w:t>52</w:t>
            </w:r>
          </w:p>
        </w:tc>
        <w:tc>
          <w:tcPr>
            <w:tcW w:w="1985" w:type="dxa"/>
            <w:tcBorders>
              <w:top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0.03</w:t>
            </w:r>
            <w:r>
              <w:rPr>
                <w:rFonts w:ascii="Book Antiqua" w:hAnsi="Book Antiqua" w:eastAsia="等线"/>
                <w:color w:val="000000"/>
                <w:lang w:eastAsia="zh-CN"/>
              </w:rPr>
              <w:t>22</w:t>
            </w:r>
          </w:p>
        </w:tc>
        <w:tc>
          <w:tcPr>
            <w:tcW w:w="1417" w:type="dxa"/>
            <w:tcBorders>
              <w:top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0.15</w:t>
            </w:r>
            <w:r>
              <w:rPr>
                <w:rFonts w:ascii="Book Antiqua" w:hAnsi="Book Antiqua" w:eastAsia="等线"/>
                <w:color w:val="000000"/>
                <w:lang w:eastAsia="zh-CN"/>
              </w:rPr>
              <w:t>1</w:t>
            </w:r>
          </w:p>
        </w:tc>
        <w:tc>
          <w:tcPr>
            <w:tcW w:w="1418" w:type="dxa"/>
            <w:tcBorders>
              <w:top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1.</w:t>
            </w:r>
            <w:r>
              <w:rPr>
                <w:rFonts w:ascii="Book Antiqua" w:hAnsi="Book Antiqua" w:eastAsia="等线"/>
                <w:color w:val="000000"/>
                <w:lang w:eastAsia="zh-CN"/>
              </w:rPr>
              <w:t>41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Loading dose</w:t>
            </w:r>
          </w:p>
        </w:tc>
        <w:tc>
          <w:tcPr>
            <w:tcW w:w="1701"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-0.08</w:t>
            </w:r>
            <w:r>
              <w:rPr>
                <w:rFonts w:ascii="Book Antiqua" w:hAnsi="Book Antiqua" w:eastAsia="等线"/>
                <w:color w:val="000000"/>
                <w:lang w:eastAsia="zh-CN"/>
              </w:rPr>
              <w:t>14</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0.04</w:t>
            </w:r>
            <w:r>
              <w:rPr>
                <w:rFonts w:ascii="Book Antiqua" w:hAnsi="Book Antiqua" w:eastAsia="等线"/>
                <w:color w:val="000000"/>
                <w:lang w:eastAsia="zh-CN"/>
              </w:rPr>
              <w:t>12</w:t>
            </w:r>
          </w:p>
        </w:tc>
        <w:tc>
          <w:tcPr>
            <w:tcW w:w="1984"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-0.16</w:t>
            </w:r>
            <w:r>
              <w:rPr>
                <w:rFonts w:ascii="Book Antiqua" w:hAnsi="Book Antiqua" w:eastAsia="等线"/>
                <w:color w:val="000000"/>
                <w:lang w:eastAsia="zh-CN"/>
              </w:rPr>
              <w:t>34</w:t>
            </w:r>
          </w:p>
        </w:tc>
        <w:tc>
          <w:tcPr>
            <w:tcW w:w="1985"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0.0005</w:t>
            </w:r>
          </w:p>
        </w:tc>
        <w:tc>
          <w:tcPr>
            <w:tcW w:w="141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0.05</w:t>
            </w:r>
            <w:r>
              <w:rPr>
                <w:rFonts w:ascii="Book Antiqua" w:hAnsi="Book Antiqua" w:eastAsia="等线"/>
                <w:color w:val="000000"/>
                <w:lang w:eastAsia="zh-CN"/>
              </w:rPr>
              <w:t>1</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3.62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Maintenance dose</w:t>
            </w:r>
            <w:r>
              <w:rPr>
                <w:rFonts w:ascii="Book Antiqua" w:hAnsi="Book Antiqua" w:eastAsia="等线"/>
                <w:iCs/>
                <w:color w:val="000000"/>
                <w:vertAlign w:val="superscript"/>
                <w:lang w:val="en-GB" w:eastAsia="zh-CN"/>
              </w:rPr>
              <w:t>a</w:t>
            </w:r>
          </w:p>
        </w:tc>
        <w:tc>
          <w:tcPr>
            <w:tcW w:w="1701"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-0.0845</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0.0928</w:t>
            </w:r>
          </w:p>
        </w:tc>
        <w:tc>
          <w:tcPr>
            <w:tcW w:w="1984"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-0.2703</w:t>
            </w:r>
          </w:p>
        </w:tc>
        <w:tc>
          <w:tcPr>
            <w:tcW w:w="1985"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0.1004</w:t>
            </w:r>
          </w:p>
        </w:tc>
        <w:tc>
          <w:tcPr>
            <w:tcW w:w="141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0.363</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-0.41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Dosing interval</w:t>
            </w:r>
          </w:p>
        </w:tc>
        <w:tc>
          <w:tcPr>
            <w:tcW w:w="1701"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-0.1704</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0.0476</w:t>
            </w:r>
          </w:p>
        </w:tc>
        <w:tc>
          <w:tcPr>
            <w:tcW w:w="1984"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-0.2659</w:t>
            </w:r>
          </w:p>
        </w:tc>
        <w:tc>
          <w:tcPr>
            <w:tcW w:w="1985"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-0.0749</w:t>
            </w:r>
          </w:p>
        </w:tc>
        <w:tc>
          <w:tcPr>
            <w:tcW w:w="141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0.001</w:t>
            </w:r>
            <w:r>
              <w:rPr>
                <w:rFonts w:ascii="Book Antiqua" w:hAnsi="Book Antiqua" w:eastAsia="宋体"/>
                <w:vertAlign w:val="superscript"/>
                <w:lang w:val="en-GB" w:eastAsia="zh-CN"/>
              </w:rPr>
              <w:t>1</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20.58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Nephrotoxicity criteria</w:t>
            </w:r>
          </w:p>
        </w:tc>
        <w:tc>
          <w:tcPr>
            <w:tcW w:w="1701"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-0.057</w:t>
            </w:r>
            <w:r>
              <w:rPr>
                <w:rFonts w:ascii="Book Antiqua" w:hAnsi="Book Antiqua" w:eastAsia="等线"/>
                <w:color w:val="000000"/>
                <w:lang w:eastAsia="zh-CN"/>
              </w:rPr>
              <w:t>7</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0.014</w:t>
            </w:r>
            <w:r>
              <w:rPr>
                <w:rFonts w:ascii="Book Antiqua" w:hAnsi="Book Antiqua" w:eastAsia="等线"/>
                <w:color w:val="000000"/>
                <w:lang w:eastAsia="zh-CN"/>
              </w:rPr>
              <w:t>1</w:t>
            </w:r>
          </w:p>
        </w:tc>
        <w:tc>
          <w:tcPr>
            <w:tcW w:w="1984"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-0.085</w:t>
            </w:r>
            <w:r>
              <w:rPr>
                <w:rFonts w:ascii="Book Antiqua" w:hAnsi="Book Antiqua" w:eastAsia="等线"/>
                <w:color w:val="000000"/>
                <w:lang w:eastAsia="zh-CN"/>
              </w:rPr>
              <w:t>8</w:t>
            </w:r>
          </w:p>
        </w:tc>
        <w:tc>
          <w:tcPr>
            <w:tcW w:w="1985"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-0.029</w:t>
            </w:r>
            <w:r>
              <w:rPr>
                <w:rFonts w:ascii="Book Antiqua" w:hAnsi="Book Antiqua" w:eastAsia="等线"/>
                <w:color w:val="000000"/>
                <w:lang w:eastAsia="zh-CN"/>
              </w:rPr>
              <w:t>5</w:t>
            </w:r>
          </w:p>
        </w:tc>
        <w:tc>
          <w:tcPr>
            <w:tcW w:w="141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0.000</w:t>
            </w:r>
            <w:r>
              <w:rPr>
                <w:rFonts w:ascii="Book Antiqua" w:hAnsi="Book Antiqua" w:eastAsia="宋体"/>
                <w:vertAlign w:val="superscript"/>
                <w:lang w:val="en-GB" w:eastAsia="zh-CN"/>
              </w:rPr>
              <w:t>1</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18.</w:t>
            </w:r>
            <w:r>
              <w:rPr>
                <w:rFonts w:ascii="Book Antiqua" w:hAnsi="Book Antiqua" w:eastAsia="等线"/>
                <w:color w:val="000000"/>
                <w:lang w:eastAsia="zh-CN"/>
              </w:rPr>
              <w:t>55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Age</w:t>
            </w:r>
            <w:r>
              <w:rPr>
                <w:rFonts w:ascii="Book Antiqua" w:hAnsi="Book Antiqua" w:eastAsia="等线"/>
                <w:iCs/>
                <w:color w:val="000000"/>
                <w:vertAlign w:val="superscript"/>
                <w:lang w:val="en-GB" w:eastAsia="zh-CN"/>
              </w:rPr>
              <w:t>b</w:t>
            </w:r>
          </w:p>
        </w:tc>
        <w:tc>
          <w:tcPr>
            <w:tcW w:w="1701"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-0.1</w:t>
            </w:r>
            <w:r>
              <w:rPr>
                <w:rFonts w:ascii="Book Antiqua" w:hAnsi="Book Antiqua" w:eastAsia="等线"/>
                <w:color w:val="000000"/>
                <w:lang w:eastAsia="zh-CN"/>
              </w:rPr>
              <w:t>427</w:t>
            </w:r>
            <w:r>
              <w:rPr>
                <w:rFonts w:ascii="Book Antiqua" w:hAnsi="Book Antiqua" w:eastAsia="等线"/>
                <w:color w:val="000000"/>
                <w:lang w:val="en-GB" w:eastAsia="zh-CN"/>
              </w:rPr>
              <w:t xml:space="preserve"> </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0.04</w:t>
            </w:r>
            <w:r>
              <w:rPr>
                <w:rFonts w:ascii="Book Antiqua" w:hAnsi="Book Antiqua" w:eastAsia="等线"/>
                <w:color w:val="000000"/>
                <w:lang w:eastAsia="zh-CN"/>
              </w:rPr>
              <w:t>70</w:t>
            </w:r>
          </w:p>
        </w:tc>
        <w:tc>
          <w:tcPr>
            <w:tcW w:w="1984"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-0.23</w:t>
            </w:r>
            <w:r>
              <w:rPr>
                <w:rFonts w:ascii="Book Antiqua" w:hAnsi="Book Antiqua" w:eastAsia="等线"/>
                <w:color w:val="000000"/>
                <w:lang w:eastAsia="zh-CN"/>
              </w:rPr>
              <w:t>62</w:t>
            </w:r>
          </w:p>
        </w:tc>
        <w:tc>
          <w:tcPr>
            <w:tcW w:w="1985"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-0.04</w:t>
            </w:r>
            <w:r>
              <w:rPr>
                <w:rFonts w:ascii="Book Antiqua" w:hAnsi="Book Antiqua" w:eastAsia="等线"/>
                <w:color w:val="000000"/>
                <w:lang w:eastAsia="zh-CN"/>
              </w:rPr>
              <w:t>92</w:t>
            </w:r>
          </w:p>
        </w:tc>
        <w:tc>
          <w:tcPr>
            <w:tcW w:w="141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0.00</w:t>
            </w:r>
            <w:r>
              <w:rPr>
                <w:rFonts w:ascii="Book Antiqua" w:hAnsi="Book Antiqua" w:eastAsia="等线"/>
                <w:color w:val="000000"/>
                <w:lang w:eastAsia="zh-CN"/>
              </w:rPr>
              <w:t>3</w:t>
            </w:r>
            <w:r>
              <w:rPr>
                <w:rFonts w:ascii="Book Antiqua" w:hAnsi="Book Antiqua" w:eastAsia="宋体"/>
                <w:vertAlign w:val="superscript"/>
                <w:lang w:val="en-GB" w:eastAsia="zh-CN"/>
              </w:rPr>
              <w:t>1</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1</w:t>
            </w:r>
            <w:r>
              <w:rPr>
                <w:rFonts w:ascii="Book Antiqua" w:hAnsi="Book Antiqua" w:eastAsia="等线"/>
                <w:color w:val="000000"/>
                <w:lang w:eastAsia="zh-CN"/>
              </w:rPr>
              <w:t>1</w:t>
            </w:r>
            <w:r>
              <w:rPr>
                <w:rFonts w:ascii="Book Antiqua" w:hAnsi="Book Antiqua" w:eastAsia="等线"/>
                <w:color w:val="000000"/>
                <w:lang w:val="en-GB" w:eastAsia="zh-CN"/>
              </w:rPr>
              <w:t>.</w:t>
            </w:r>
            <w:r>
              <w:rPr>
                <w:rFonts w:ascii="Book Antiqua" w:hAnsi="Book Antiqua" w:eastAsia="等线"/>
                <w:color w:val="000000"/>
                <w:lang w:eastAsia="zh-CN"/>
              </w:rPr>
              <w:t>08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Gender</w:t>
            </w:r>
          </w:p>
        </w:tc>
        <w:tc>
          <w:tcPr>
            <w:tcW w:w="1701"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0.06</w:t>
            </w:r>
            <w:r>
              <w:rPr>
                <w:rFonts w:ascii="Book Antiqua" w:hAnsi="Book Antiqua" w:eastAsia="等线"/>
                <w:color w:val="000000"/>
                <w:lang w:eastAsia="zh-CN"/>
              </w:rPr>
              <w:t>27</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0.076</w:t>
            </w:r>
            <w:r>
              <w:rPr>
                <w:rFonts w:ascii="Book Antiqua" w:hAnsi="Book Antiqua" w:eastAsia="等线"/>
                <w:color w:val="000000"/>
                <w:lang w:eastAsia="zh-CN"/>
              </w:rPr>
              <w:t>8</w:t>
            </w:r>
          </w:p>
        </w:tc>
        <w:tc>
          <w:tcPr>
            <w:tcW w:w="1984"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907</w:t>
            </w:r>
          </w:p>
        </w:tc>
        <w:tc>
          <w:tcPr>
            <w:tcW w:w="1985"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0.21</w:t>
            </w:r>
            <w:r>
              <w:rPr>
                <w:rFonts w:ascii="Book Antiqua" w:hAnsi="Book Antiqua" w:eastAsia="等线"/>
                <w:color w:val="000000"/>
                <w:lang w:eastAsia="zh-CN"/>
              </w:rPr>
              <w:t>62</w:t>
            </w:r>
          </w:p>
        </w:tc>
        <w:tc>
          <w:tcPr>
            <w:tcW w:w="141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0.4</w:t>
            </w:r>
            <w:r>
              <w:rPr>
                <w:rFonts w:ascii="Book Antiqua" w:hAnsi="Book Antiqua" w:eastAsia="等线"/>
                <w:color w:val="000000"/>
                <w:lang w:eastAsia="zh-CN"/>
              </w:rPr>
              <w:t>17</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-0.20</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APACH II score</w:t>
            </w:r>
          </w:p>
        </w:tc>
        <w:tc>
          <w:tcPr>
            <w:tcW w:w="1701"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812</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0.050</w:t>
            </w:r>
            <w:r>
              <w:rPr>
                <w:rFonts w:ascii="Book Antiqua" w:hAnsi="Book Antiqua" w:eastAsia="等线"/>
                <w:color w:val="000000"/>
                <w:lang w:eastAsia="zh-CN"/>
              </w:rPr>
              <w:t>5</w:t>
            </w:r>
          </w:p>
        </w:tc>
        <w:tc>
          <w:tcPr>
            <w:tcW w:w="1984"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-0.02</w:t>
            </w:r>
            <w:r>
              <w:rPr>
                <w:rFonts w:ascii="Book Antiqua" w:hAnsi="Book Antiqua" w:eastAsia="等线"/>
                <w:color w:val="000000"/>
                <w:lang w:eastAsia="zh-CN"/>
              </w:rPr>
              <w:t>04</w:t>
            </w:r>
          </w:p>
        </w:tc>
        <w:tc>
          <w:tcPr>
            <w:tcW w:w="1985"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0.1</w:t>
            </w:r>
            <w:r>
              <w:rPr>
                <w:rFonts w:ascii="Book Antiqua" w:hAnsi="Book Antiqua" w:eastAsia="等线"/>
                <w:color w:val="000000"/>
                <w:lang w:eastAsia="zh-CN"/>
              </w:rPr>
              <w:t>827</w:t>
            </w:r>
          </w:p>
        </w:tc>
        <w:tc>
          <w:tcPr>
            <w:tcW w:w="141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0.1</w:t>
            </w:r>
            <w:r>
              <w:rPr>
                <w:rFonts w:ascii="Book Antiqua" w:hAnsi="Book Antiqua" w:eastAsia="等线"/>
                <w:color w:val="000000"/>
                <w:lang w:eastAsia="zh-CN"/>
              </w:rPr>
              <w:t>15</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3.52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Publication yr</w:t>
            </w:r>
          </w:p>
        </w:tc>
        <w:tc>
          <w:tcPr>
            <w:tcW w:w="1701"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0.13</w:t>
            </w:r>
            <w:r>
              <w:rPr>
                <w:rFonts w:ascii="Book Antiqua" w:hAnsi="Book Antiqua" w:eastAsia="等线"/>
                <w:color w:val="000000"/>
                <w:lang w:eastAsia="zh-CN"/>
              </w:rPr>
              <w:t>77</w:t>
            </w:r>
          </w:p>
        </w:tc>
        <w:tc>
          <w:tcPr>
            <w:tcW w:w="212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0.026</w:t>
            </w:r>
            <w:r>
              <w:rPr>
                <w:rFonts w:ascii="Book Antiqua" w:hAnsi="Book Antiqua" w:eastAsia="等线"/>
                <w:color w:val="000000"/>
                <w:lang w:eastAsia="zh-CN"/>
              </w:rPr>
              <w:t>1</w:t>
            </w:r>
          </w:p>
        </w:tc>
        <w:tc>
          <w:tcPr>
            <w:tcW w:w="1984"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0.08</w:t>
            </w:r>
            <w:r>
              <w:rPr>
                <w:rFonts w:ascii="Book Antiqua" w:hAnsi="Book Antiqua" w:eastAsia="等线"/>
                <w:color w:val="000000"/>
                <w:lang w:eastAsia="zh-CN"/>
              </w:rPr>
              <w:t>57</w:t>
            </w:r>
          </w:p>
        </w:tc>
        <w:tc>
          <w:tcPr>
            <w:tcW w:w="1985"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0.18</w:t>
            </w:r>
            <w:r>
              <w:rPr>
                <w:rFonts w:ascii="Book Antiqua" w:hAnsi="Book Antiqua" w:eastAsia="等线"/>
                <w:color w:val="000000"/>
                <w:lang w:eastAsia="zh-CN"/>
              </w:rPr>
              <w:t>96</w:t>
            </w:r>
          </w:p>
        </w:tc>
        <w:tc>
          <w:tcPr>
            <w:tcW w:w="1417"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0.000</w:t>
            </w:r>
            <w:r>
              <w:rPr>
                <w:rFonts w:ascii="Book Antiqua" w:hAnsi="Book Antiqua" w:eastAsia="宋体"/>
                <w:vertAlign w:val="superscript"/>
                <w:lang w:val="en-GB" w:eastAsia="zh-CN"/>
              </w:rPr>
              <w:t>1</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26.</w:t>
            </w:r>
            <w:r>
              <w:rPr>
                <w:rFonts w:ascii="Book Antiqua" w:hAnsi="Book Antiqua" w:eastAsia="等线"/>
                <w:color w:val="000000"/>
                <w:lang w:eastAsia="zh-CN"/>
              </w:rPr>
              <w:t>95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color w:val="000000"/>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Study design</w:t>
            </w:r>
          </w:p>
        </w:tc>
        <w:tc>
          <w:tcPr>
            <w:tcW w:w="1701"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096</w:t>
            </w:r>
          </w:p>
        </w:tc>
        <w:tc>
          <w:tcPr>
            <w:tcW w:w="212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0.03</w:t>
            </w:r>
            <w:r>
              <w:rPr>
                <w:rFonts w:ascii="Book Antiqua" w:hAnsi="Book Antiqua" w:eastAsia="等线"/>
                <w:color w:val="000000"/>
                <w:lang w:eastAsia="zh-CN"/>
              </w:rPr>
              <w:t>51</w:t>
            </w:r>
          </w:p>
        </w:tc>
        <w:tc>
          <w:tcPr>
            <w:tcW w:w="1984"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601</w:t>
            </w:r>
          </w:p>
        </w:tc>
        <w:tc>
          <w:tcPr>
            <w:tcW w:w="1985"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0.079</w:t>
            </w:r>
            <w:r>
              <w:rPr>
                <w:rFonts w:ascii="Book Antiqua" w:hAnsi="Book Antiqua" w:eastAsia="等线"/>
                <w:color w:val="000000"/>
                <w:lang w:eastAsia="zh-CN"/>
              </w:rPr>
              <w:t>4</w:t>
            </w:r>
          </w:p>
        </w:tc>
        <w:tc>
          <w:tcPr>
            <w:tcW w:w="141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0.7</w:t>
            </w:r>
            <w:r>
              <w:rPr>
                <w:rFonts w:ascii="Book Antiqua" w:hAnsi="Book Antiqua" w:eastAsia="等线"/>
                <w:color w:val="000000"/>
                <w:lang w:eastAsia="zh-CN"/>
              </w:rPr>
              <w:t>85</w:t>
            </w:r>
          </w:p>
        </w:tc>
        <w:tc>
          <w:tcPr>
            <w:tcW w:w="1418"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-1.15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Borders>
              <w:bottom w:val="nil"/>
            </w:tcBorders>
          </w:tcPr>
          <w:p>
            <w:pPr>
              <w:spacing w:line="360" w:lineRule="auto"/>
              <w:jc w:val="both"/>
              <w:rPr>
                <w:rFonts w:ascii="Book Antiqua" w:hAnsi="Book Antiqua" w:eastAsia="等线"/>
                <w:color w:val="000000"/>
                <w:lang w:val="en-GB" w:eastAsia="zh-CN"/>
              </w:rPr>
            </w:pPr>
          </w:p>
        </w:tc>
        <w:tc>
          <w:tcPr>
            <w:tcW w:w="2976" w:type="dxa"/>
            <w:tcBorders>
              <w:bottom w:val="nil"/>
            </w:tcBorders>
          </w:tcPr>
          <w:p>
            <w:pPr>
              <w:spacing w:line="360" w:lineRule="auto"/>
              <w:jc w:val="both"/>
              <w:rPr>
                <w:rFonts w:ascii="Book Antiqua" w:hAnsi="Book Antiqua" w:eastAsia="宋体"/>
                <w:color w:val="000000"/>
                <w:lang w:val="en-GB" w:eastAsia="zh-CN"/>
              </w:rPr>
            </w:pPr>
            <w:r>
              <w:rPr>
                <w:rFonts w:ascii="Book Antiqua" w:hAnsi="Book Antiqua" w:eastAsia="等线"/>
                <w:color w:val="000000"/>
                <w:lang w:val="en-GB" w:eastAsia="zh-CN"/>
              </w:rPr>
              <w:t>Study quality</w:t>
            </w:r>
            <w:r>
              <w:rPr>
                <w:rFonts w:ascii="Book Antiqua" w:hAnsi="Book Antiqua" w:eastAsia="等线"/>
                <w:iCs/>
                <w:color w:val="000000"/>
                <w:vertAlign w:val="superscript"/>
                <w:lang w:val="en-GB" w:eastAsia="zh-CN"/>
              </w:rPr>
              <w:t>c</w:t>
            </w:r>
          </w:p>
        </w:tc>
        <w:tc>
          <w:tcPr>
            <w:tcW w:w="1701"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966</w:t>
            </w:r>
          </w:p>
        </w:tc>
        <w:tc>
          <w:tcPr>
            <w:tcW w:w="2127"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313</w:t>
            </w:r>
          </w:p>
        </w:tc>
        <w:tc>
          <w:tcPr>
            <w:tcW w:w="1984"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343</w:t>
            </w:r>
          </w:p>
        </w:tc>
        <w:tc>
          <w:tcPr>
            <w:tcW w:w="1985"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w:t>
            </w:r>
            <w:r>
              <w:rPr>
                <w:rFonts w:ascii="Book Antiqua" w:hAnsi="Book Antiqua" w:eastAsia="等线"/>
                <w:color w:val="000000"/>
                <w:lang w:eastAsia="zh-CN"/>
              </w:rPr>
              <w:t>1590</w:t>
            </w:r>
          </w:p>
        </w:tc>
        <w:tc>
          <w:tcPr>
            <w:tcW w:w="1417" w:type="dxa"/>
            <w:tcBorders>
              <w:bottom w:val="nil"/>
            </w:tcBorders>
          </w:tcPr>
          <w:p>
            <w:pPr>
              <w:spacing w:line="360" w:lineRule="auto"/>
              <w:jc w:val="both"/>
              <w:rPr>
                <w:rFonts w:ascii="Book Antiqua" w:hAnsi="Book Antiqua" w:eastAsia="宋体"/>
                <w:color w:val="000000"/>
                <w:lang w:val="en-GB" w:eastAsia="zh-CN"/>
              </w:rPr>
            </w:pPr>
            <w:r>
              <w:rPr>
                <w:rFonts w:ascii="Book Antiqua" w:hAnsi="Book Antiqua" w:eastAsia="等线"/>
                <w:color w:val="000000"/>
                <w:lang w:val="en-GB" w:eastAsia="zh-CN"/>
              </w:rPr>
              <w:t>0.00</w:t>
            </w:r>
            <w:r>
              <w:rPr>
                <w:rFonts w:ascii="Book Antiqua" w:hAnsi="Book Antiqua" w:eastAsia="等线"/>
                <w:color w:val="000000"/>
                <w:lang w:eastAsia="zh-CN"/>
              </w:rPr>
              <w:t>3</w:t>
            </w:r>
            <w:r>
              <w:rPr>
                <w:rFonts w:ascii="Book Antiqua" w:hAnsi="Book Antiqua" w:eastAsia="宋体"/>
                <w:vertAlign w:val="superscript"/>
                <w:lang w:val="en-GB" w:eastAsia="zh-CN"/>
              </w:rPr>
              <w:t>1</w:t>
            </w:r>
          </w:p>
        </w:tc>
        <w:tc>
          <w:tcPr>
            <w:tcW w:w="1418" w:type="dxa"/>
            <w:tcBorders>
              <w:bottom w:val="nil"/>
            </w:tcBorders>
          </w:tcPr>
          <w:p>
            <w:pPr>
              <w:spacing w:line="360" w:lineRule="auto"/>
              <w:jc w:val="both"/>
              <w:rPr>
                <w:rFonts w:ascii="Book Antiqua" w:hAnsi="Book Antiqua" w:eastAsia="宋体"/>
                <w:color w:val="000000"/>
                <w:lang w:val="en-GB" w:eastAsia="zh-CN"/>
              </w:rPr>
            </w:pPr>
            <w:r>
              <w:rPr>
                <w:rFonts w:ascii="Book Antiqua" w:hAnsi="Book Antiqua" w:eastAsia="等线"/>
                <w:color w:val="000000"/>
                <w:lang w:val="en-GB" w:eastAsia="zh-CN"/>
              </w:rPr>
              <w:t>1</w:t>
            </w:r>
            <w:r>
              <w:rPr>
                <w:rFonts w:ascii="Book Antiqua" w:hAnsi="Book Antiqua" w:eastAsia="等线"/>
                <w:color w:val="000000"/>
                <w:lang w:eastAsia="zh-CN"/>
              </w:rPr>
              <w:t>0</w:t>
            </w:r>
            <w:r>
              <w:rPr>
                <w:rFonts w:ascii="Book Antiqua" w:hAnsi="Book Antiqua" w:eastAsia="等线"/>
                <w:color w:val="000000"/>
                <w:lang w:val="en-GB" w:eastAsia="zh-CN"/>
              </w:rPr>
              <w:t>.</w:t>
            </w:r>
            <w:r>
              <w:rPr>
                <w:rFonts w:ascii="Book Antiqua" w:hAnsi="Book Antiqua" w:eastAsia="等线"/>
                <w:color w:val="000000"/>
                <w:lang w:eastAsia="zh-CN"/>
              </w:rPr>
              <w:t>66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Borders>
              <w:bottom w:val="nil"/>
            </w:tcBorders>
          </w:tcPr>
          <w:p>
            <w:pPr>
              <w:spacing w:line="360" w:lineRule="auto"/>
              <w:jc w:val="both"/>
              <w:rPr>
                <w:rFonts w:ascii="Book Antiqua" w:hAnsi="Book Antiqua" w:eastAsia="等线"/>
                <w:color w:val="000000"/>
                <w:lang w:val="en-GB" w:eastAsia="zh-CN"/>
              </w:rPr>
            </w:pPr>
          </w:p>
        </w:tc>
        <w:tc>
          <w:tcPr>
            <w:tcW w:w="2976" w:type="dxa"/>
            <w:tcBorders>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Sample size</w:t>
            </w:r>
          </w:p>
        </w:tc>
        <w:tc>
          <w:tcPr>
            <w:tcW w:w="1701"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873</w:t>
            </w:r>
          </w:p>
        </w:tc>
        <w:tc>
          <w:tcPr>
            <w:tcW w:w="2127"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220</w:t>
            </w:r>
          </w:p>
        </w:tc>
        <w:tc>
          <w:tcPr>
            <w:tcW w:w="1984"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435</w:t>
            </w:r>
          </w:p>
        </w:tc>
        <w:tc>
          <w:tcPr>
            <w:tcW w:w="1985" w:type="dxa"/>
            <w:tcBorders>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w:t>
            </w:r>
            <w:r>
              <w:rPr>
                <w:rFonts w:ascii="Book Antiqua" w:hAnsi="Book Antiqua" w:eastAsia="等线"/>
                <w:color w:val="000000"/>
                <w:lang w:eastAsia="zh-CN"/>
              </w:rPr>
              <w:t>1311</w:t>
            </w:r>
          </w:p>
        </w:tc>
        <w:tc>
          <w:tcPr>
            <w:tcW w:w="1417" w:type="dxa"/>
            <w:tcBorders>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0.000</w:t>
            </w:r>
            <w:r>
              <w:rPr>
                <w:rFonts w:ascii="Book Antiqua" w:hAnsi="Book Antiqua" w:eastAsia="宋体"/>
                <w:vertAlign w:val="superscript"/>
                <w:lang w:val="en-GB" w:eastAsia="zh-CN"/>
              </w:rPr>
              <w:t>1</w:t>
            </w:r>
          </w:p>
        </w:tc>
        <w:tc>
          <w:tcPr>
            <w:tcW w:w="1418" w:type="dxa"/>
            <w:tcBorders>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1</w:t>
            </w:r>
            <w:r>
              <w:rPr>
                <w:rFonts w:ascii="Book Antiqua" w:hAnsi="Book Antiqua" w:eastAsia="等线"/>
                <w:color w:val="000000"/>
                <w:lang w:eastAsia="zh-CN"/>
              </w:rPr>
              <w:t>7.08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3402" w:type="dxa"/>
            <w:gridSpan w:val="2"/>
            <w:tcBorders>
              <w:top w:val="nil"/>
              <w:bottom w:val="nil"/>
            </w:tcBorders>
          </w:tcPr>
          <w:p>
            <w:pPr>
              <w:spacing w:line="360" w:lineRule="auto"/>
              <w:jc w:val="both"/>
              <w:rPr>
                <w:rFonts w:ascii="Book Antiqua" w:hAnsi="Book Antiqua" w:eastAsia="等线"/>
                <w:b/>
                <w:bCs/>
                <w:color w:val="000000"/>
                <w:lang w:val="en-GB" w:eastAsia="zh-CN"/>
              </w:rPr>
            </w:pPr>
            <w:r>
              <w:rPr>
                <w:rFonts w:ascii="Book Antiqua" w:hAnsi="Book Antiqua" w:eastAsia="等线"/>
                <w:b/>
                <w:bCs/>
                <w:color w:val="000000"/>
                <w:lang w:val="en-GB" w:eastAsia="zh-CN"/>
              </w:rPr>
              <w:t>Multivariable analysis</w:t>
            </w:r>
          </w:p>
        </w:tc>
        <w:tc>
          <w:tcPr>
            <w:tcW w:w="1701" w:type="dxa"/>
            <w:tcBorders>
              <w:top w:val="nil"/>
              <w:bottom w:val="nil"/>
            </w:tcBorders>
          </w:tcPr>
          <w:p>
            <w:pPr>
              <w:spacing w:line="360" w:lineRule="auto"/>
              <w:jc w:val="both"/>
              <w:rPr>
                <w:rFonts w:ascii="Book Antiqua" w:hAnsi="Book Antiqua" w:eastAsia="等线"/>
                <w:b/>
                <w:bCs/>
                <w:color w:val="000000"/>
                <w:lang w:val="en-GB" w:eastAsia="zh-CN"/>
              </w:rPr>
            </w:pPr>
          </w:p>
        </w:tc>
        <w:tc>
          <w:tcPr>
            <w:tcW w:w="2127" w:type="dxa"/>
            <w:tcBorders>
              <w:top w:val="nil"/>
              <w:bottom w:val="nil"/>
            </w:tcBorders>
          </w:tcPr>
          <w:p>
            <w:pPr>
              <w:spacing w:line="360" w:lineRule="auto"/>
              <w:jc w:val="both"/>
              <w:rPr>
                <w:rFonts w:ascii="Book Antiqua" w:hAnsi="Book Antiqua" w:eastAsia="等线"/>
                <w:b/>
                <w:bCs/>
                <w:color w:val="000000"/>
                <w:lang w:val="en-GB" w:eastAsia="zh-CN"/>
              </w:rPr>
            </w:pPr>
          </w:p>
        </w:tc>
        <w:tc>
          <w:tcPr>
            <w:tcW w:w="1984" w:type="dxa"/>
            <w:tcBorders>
              <w:top w:val="nil"/>
              <w:bottom w:val="nil"/>
            </w:tcBorders>
          </w:tcPr>
          <w:p>
            <w:pPr>
              <w:spacing w:line="360" w:lineRule="auto"/>
              <w:jc w:val="both"/>
              <w:rPr>
                <w:rFonts w:ascii="Book Antiqua" w:hAnsi="Book Antiqua" w:eastAsia="等线"/>
                <w:b/>
                <w:bCs/>
                <w:color w:val="000000"/>
                <w:lang w:val="en-GB" w:eastAsia="zh-CN"/>
              </w:rPr>
            </w:pPr>
          </w:p>
        </w:tc>
        <w:tc>
          <w:tcPr>
            <w:tcW w:w="1985" w:type="dxa"/>
            <w:tcBorders>
              <w:top w:val="nil"/>
              <w:bottom w:val="nil"/>
            </w:tcBorders>
          </w:tcPr>
          <w:p>
            <w:pPr>
              <w:spacing w:line="360" w:lineRule="auto"/>
              <w:jc w:val="both"/>
              <w:rPr>
                <w:rFonts w:ascii="Book Antiqua" w:hAnsi="Book Antiqua" w:eastAsia="等线"/>
                <w:b/>
                <w:bCs/>
                <w:color w:val="000000"/>
                <w:lang w:val="en-GB" w:eastAsia="zh-CN"/>
              </w:rPr>
            </w:pPr>
          </w:p>
        </w:tc>
        <w:tc>
          <w:tcPr>
            <w:tcW w:w="1417" w:type="dxa"/>
            <w:tcBorders>
              <w:top w:val="nil"/>
              <w:bottom w:val="nil"/>
            </w:tcBorders>
          </w:tcPr>
          <w:p>
            <w:pPr>
              <w:spacing w:line="360" w:lineRule="auto"/>
              <w:jc w:val="both"/>
              <w:rPr>
                <w:rFonts w:ascii="Book Antiqua" w:hAnsi="Book Antiqua" w:eastAsia="等线"/>
                <w:b/>
                <w:bCs/>
                <w:color w:val="000000"/>
                <w:lang w:val="en-GB" w:eastAsia="zh-CN"/>
              </w:rPr>
            </w:pPr>
          </w:p>
        </w:tc>
        <w:tc>
          <w:tcPr>
            <w:tcW w:w="1418" w:type="dxa"/>
            <w:tcBorders>
              <w:top w:val="nil"/>
              <w:bottom w:val="nil"/>
            </w:tcBorders>
          </w:tcPr>
          <w:p>
            <w:pPr>
              <w:spacing w:line="360" w:lineRule="auto"/>
              <w:jc w:val="both"/>
              <w:rPr>
                <w:rFonts w:ascii="Book Antiqua" w:hAnsi="Book Antiqua" w:eastAsia="等线"/>
                <w:b/>
                <w:bCs/>
                <w:color w:val="000000"/>
                <w:lang w:val="en-GB" w:eastAsia="zh-CN"/>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Borders>
              <w:top w:val="nil"/>
              <w:bottom w:val="nil"/>
            </w:tcBorders>
          </w:tcPr>
          <w:p>
            <w:pPr>
              <w:spacing w:line="360" w:lineRule="auto"/>
              <w:jc w:val="both"/>
              <w:rPr>
                <w:rFonts w:ascii="Book Antiqua" w:hAnsi="Book Antiqua" w:eastAsia="等线"/>
                <w:color w:val="000000"/>
                <w:lang w:val="en-GB" w:eastAsia="zh-CN"/>
              </w:rPr>
            </w:pPr>
          </w:p>
        </w:tc>
        <w:tc>
          <w:tcPr>
            <w:tcW w:w="2976"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Nephrotoxicity criteria</w:t>
            </w:r>
          </w:p>
        </w:tc>
        <w:tc>
          <w:tcPr>
            <w:tcW w:w="1701" w:type="dxa"/>
            <w:tcBorders>
              <w:top w:val="nil"/>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-0.03</w:t>
            </w:r>
            <w:r>
              <w:rPr>
                <w:rFonts w:ascii="Book Antiqua" w:hAnsi="Book Antiqua" w:eastAsia="等线"/>
                <w:color w:val="000000"/>
                <w:lang w:eastAsia="zh-CN"/>
              </w:rPr>
              <w:t>44</w:t>
            </w:r>
          </w:p>
        </w:tc>
        <w:tc>
          <w:tcPr>
            <w:tcW w:w="2127"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0.014</w:t>
            </w:r>
            <w:r>
              <w:rPr>
                <w:rFonts w:ascii="Book Antiqua" w:hAnsi="Book Antiqua" w:eastAsia="等线"/>
                <w:color w:val="000000"/>
                <w:lang w:eastAsia="zh-CN"/>
              </w:rPr>
              <w:t>1</w:t>
            </w:r>
          </w:p>
        </w:tc>
        <w:tc>
          <w:tcPr>
            <w:tcW w:w="1984" w:type="dxa"/>
            <w:tcBorders>
              <w:top w:val="nil"/>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-0.06</w:t>
            </w:r>
            <w:r>
              <w:rPr>
                <w:rFonts w:ascii="Book Antiqua" w:hAnsi="Book Antiqua" w:eastAsia="等线"/>
                <w:color w:val="000000"/>
                <w:lang w:eastAsia="zh-CN"/>
              </w:rPr>
              <w:t>25</w:t>
            </w:r>
          </w:p>
        </w:tc>
        <w:tc>
          <w:tcPr>
            <w:tcW w:w="1985" w:type="dxa"/>
            <w:tcBorders>
              <w:top w:val="nil"/>
              <w:bottom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-0.00</w:t>
            </w:r>
            <w:r>
              <w:rPr>
                <w:rFonts w:ascii="Book Antiqua" w:hAnsi="Book Antiqua" w:eastAsia="等线"/>
                <w:color w:val="000000"/>
                <w:lang w:eastAsia="zh-CN"/>
              </w:rPr>
              <w:t>64</w:t>
            </w:r>
          </w:p>
        </w:tc>
        <w:tc>
          <w:tcPr>
            <w:tcW w:w="1417" w:type="dxa"/>
            <w:tcBorders>
              <w:top w:val="nil"/>
              <w:bottom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0.01</w:t>
            </w:r>
            <w:r>
              <w:rPr>
                <w:rFonts w:ascii="Book Antiqua" w:hAnsi="Book Antiqua" w:eastAsia="等线"/>
                <w:color w:val="000000"/>
                <w:lang w:eastAsia="zh-CN"/>
              </w:rPr>
              <w:t>7</w:t>
            </w:r>
          </w:p>
        </w:tc>
        <w:tc>
          <w:tcPr>
            <w:tcW w:w="1418" w:type="dxa"/>
            <w:vMerge w:val="restart"/>
            <w:tcBorders>
              <w:top w:val="nil"/>
              <w:bottom w:val="nil"/>
            </w:tcBorders>
            <w:vAlign w:val="center"/>
          </w:tcPr>
          <w:p>
            <w:pPr>
              <w:spacing w:line="360" w:lineRule="auto"/>
              <w:jc w:val="both"/>
              <w:rPr>
                <w:rFonts w:ascii="Book Antiqua" w:hAnsi="Book Antiqua" w:eastAsia="等线"/>
                <w:color w:val="000000"/>
                <w:lang w:val="en-GB" w:eastAsia="zh-CN"/>
              </w:rPr>
            </w:pPr>
            <w:r>
              <w:rPr>
                <w:rFonts w:ascii="Book Antiqua" w:hAnsi="Book Antiqua" w:eastAsia="等线"/>
                <w:color w:val="000000"/>
                <w:lang w:eastAsia="zh-CN"/>
              </w:rPr>
              <w:t>40.00</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Borders>
              <w:top w:val="nil"/>
            </w:tcBorders>
          </w:tcPr>
          <w:p>
            <w:pPr>
              <w:spacing w:line="360" w:lineRule="auto"/>
              <w:jc w:val="both"/>
              <w:rPr>
                <w:rFonts w:ascii="Book Antiqua" w:hAnsi="Book Antiqua" w:eastAsia="等线"/>
                <w:lang w:val="en-GB" w:eastAsia="zh-CN"/>
              </w:rPr>
            </w:pPr>
          </w:p>
        </w:tc>
        <w:tc>
          <w:tcPr>
            <w:tcW w:w="2976" w:type="dxa"/>
            <w:tcBorders>
              <w:top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Publication yr</w:t>
            </w:r>
          </w:p>
        </w:tc>
        <w:tc>
          <w:tcPr>
            <w:tcW w:w="1701" w:type="dxa"/>
            <w:tcBorders>
              <w:top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0.0940</w:t>
            </w:r>
          </w:p>
        </w:tc>
        <w:tc>
          <w:tcPr>
            <w:tcW w:w="2127" w:type="dxa"/>
            <w:tcBorders>
              <w:top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w:t>
            </w:r>
            <w:r>
              <w:rPr>
                <w:rFonts w:ascii="Book Antiqua" w:hAnsi="Book Antiqua" w:eastAsia="等线"/>
                <w:color w:val="000000"/>
                <w:lang w:eastAsia="zh-CN"/>
              </w:rPr>
              <w:t>0278</w:t>
            </w:r>
          </w:p>
        </w:tc>
        <w:tc>
          <w:tcPr>
            <w:tcW w:w="1984" w:type="dxa"/>
            <w:tcBorders>
              <w:top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386</w:t>
            </w:r>
          </w:p>
        </w:tc>
        <w:tc>
          <w:tcPr>
            <w:tcW w:w="1985" w:type="dxa"/>
            <w:tcBorders>
              <w:top w:val="nil"/>
            </w:tcBorders>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w:t>
            </w:r>
            <w:r>
              <w:rPr>
                <w:rFonts w:ascii="Book Antiqua" w:hAnsi="Book Antiqua" w:eastAsia="等线"/>
                <w:color w:val="000000"/>
                <w:lang w:eastAsia="zh-CN"/>
              </w:rPr>
              <w:t>1495</w:t>
            </w:r>
          </w:p>
        </w:tc>
        <w:tc>
          <w:tcPr>
            <w:tcW w:w="1417" w:type="dxa"/>
            <w:tcBorders>
              <w:top w:val="nil"/>
            </w:tcBorders>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0.001</w:t>
            </w:r>
          </w:p>
        </w:tc>
        <w:tc>
          <w:tcPr>
            <w:tcW w:w="1418" w:type="dxa"/>
            <w:vMerge w:val="continue"/>
            <w:tcBorders>
              <w:top w:val="nil"/>
            </w:tcBorders>
          </w:tcPr>
          <w:p>
            <w:pPr>
              <w:spacing w:line="360" w:lineRule="auto"/>
              <w:jc w:val="both"/>
              <w:rPr>
                <w:rFonts w:ascii="Book Antiqua" w:hAnsi="Book Antiqua" w:eastAsia="等线"/>
                <w:lang w:val="en-GB" w:eastAsia="zh-CN"/>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Sample size</w:t>
            </w:r>
          </w:p>
        </w:tc>
        <w:tc>
          <w:tcPr>
            <w:tcW w:w="1701" w:type="dxa"/>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0.0357</w:t>
            </w:r>
          </w:p>
        </w:tc>
        <w:tc>
          <w:tcPr>
            <w:tcW w:w="212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0.0203</w:t>
            </w:r>
          </w:p>
        </w:tc>
        <w:tc>
          <w:tcPr>
            <w:tcW w:w="1984"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w:t>
            </w:r>
            <w:r>
              <w:rPr>
                <w:rFonts w:ascii="Book Antiqua" w:hAnsi="Book Antiqua" w:eastAsia="等线"/>
                <w:color w:val="000000"/>
                <w:lang w:eastAsia="zh-CN"/>
              </w:rPr>
              <w:t>0.047</w:t>
            </w:r>
          </w:p>
        </w:tc>
        <w:tc>
          <w:tcPr>
            <w:tcW w:w="1985"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0.0</w:t>
            </w:r>
            <w:r>
              <w:rPr>
                <w:rFonts w:ascii="Book Antiqua" w:hAnsi="Book Antiqua" w:eastAsia="等线"/>
                <w:color w:val="000000"/>
                <w:lang w:eastAsia="zh-CN"/>
              </w:rPr>
              <w:t>760</w:t>
            </w:r>
          </w:p>
        </w:tc>
        <w:tc>
          <w:tcPr>
            <w:tcW w:w="141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val="en-GB" w:eastAsia="zh-CN"/>
              </w:rPr>
              <w:t>0.</w:t>
            </w:r>
            <w:r>
              <w:rPr>
                <w:rFonts w:ascii="Book Antiqua" w:hAnsi="Book Antiqua" w:eastAsia="等线"/>
                <w:color w:val="000000"/>
                <w:lang w:eastAsia="zh-CN"/>
              </w:rPr>
              <w:t>082</w:t>
            </w:r>
          </w:p>
        </w:tc>
        <w:tc>
          <w:tcPr>
            <w:tcW w:w="1418" w:type="dxa"/>
            <w:vMerge w:val="continue"/>
          </w:tcPr>
          <w:p>
            <w:pPr>
              <w:spacing w:line="360" w:lineRule="auto"/>
              <w:jc w:val="both"/>
              <w:rPr>
                <w:rFonts w:ascii="Book Antiqua" w:hAnsi="Book Antiqua" w:eastAsia="等线"/>
                <w:lang w:val="en-GB" w:eastAsia="zh-CN"/>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26" w:type="dxa"/>
          </w:tcPr>
          <w:p>
            <w:pPr>
              <w:spacing w:line="360" w:lineRule="auto"/>
              <w:jc w:val="both"/>
              <w:rPr>
                <w:rFonts w:ascii="Book Antiqua" w:hAnsi="Book Antiqua" w:eastAsia="等线"/>
                <w:lang w:val="en-GB" w:eastAsia="zh-CN"/>
              </w:rPr>
            </w:pPr>
          </w:p>
        </w:tc>
        <w:tc>
          <w:tcPr>
            <w:tcW w:w="2976" w:type="dxa"/>
          </w:tcPr>
          <w:p>
            <w:pPr>
              <w:spacing w:line="360" w:lineRule="auto"/>
              <w:jc w:val="both"/>
              <w:rPr>
                <w:rFonts w:ascii="Book Antiqua" w:hAnsi="Book Antiqua" w:eastAsia="等线"/>
                <w:color w:val="000000"/>
                <w:lang w:val="en-GB" w:eastAsia="zh-CN"/>
              </w:rPr>
            </w:pPr>
            <w:r>
              <w:rPr>
                <w:rFonts w:ascii="Book Antiqua" w:hAnsi="Book Antiqua" w:eastAsia="等线"/>
                <w:color w:val="000000"/>
                <w:lang w:val="en-GB" w:eastAsia="zh-CN"/>
              </w:rPr>
              <w:t>Study quality</w:t>
            </w:r>
            <w:r>
              <w:rPr>
                <w:rFonts w:ascii="Book Antiqua" w:hAnsi="Book Antiqua" w:eastAsia="等线"/>
                <w:color w:val="000000"/>
                <w:vertAlign w:val="superscript"/>
                <w:lang w:val="en-GB" w:eastAsia="zh-CN"/>
              </w:rPr>
              <w:t>c</w:t>
            </w:r>
          </w:p>
        </w:tc>
        <w:tc>
          <w:tcPr>
            <w:tcW w:w="1701" w:type="dxa"/>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0.0387</w:t>
            </w:r>
          </w:p>
        </w:tc>
        <w:tc>
          <w:tcPr>
            <w:tcW w:w="212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0.0267</w:t>
            </w:r>
          </w:p>
        </w:tc>
        <w:tc>
          <w:tcPr>
            <w:tcW w:w="1984" w:type="dxa"/>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-0.0144</w:t>
            </w:r>
          </w:p>
        </w:tc>
        <w:tc>
          <w:tcPr>
            <w:tcW w:w="1985" w:type="dxa"/>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0.0919</w:t>
            </w:r>
          </w:p>
        </w:tc>
        <w:tc>
          <w:tcPr>
            <w:tcW w:w="1417" w:type="dxa"/>
          </w:tcPr>
          <w:p>
            <w:pPr>
              <w:spacing w:line="360" w:lineRule="auto"/>
              <w:jc w:val="both"/>
              <w:rPr>
                <w:rFonts w:ascii="Book Antiqua" w:hAnsi="Book Antiqua" w:eastAsia="等线"/>
                <w:color w:val="000000"/>
                <w:lang w:eastAsia="zh-CN"/>
              </w:rPr>
            </w:pPr>
            <w:r>
              <w:rPr>
                <w:rFonts w:ascii="Book Antiqua" w:hAnsi="Book Antiqua" w:eastAsia="等线"/>
                <w:color w:val="000000"/>
                <w:lang w:eastAsia="zh-CN"/>
              </w:rPr>
              <w:t>0.151</w:t>
            </w:r>
          </w:p>
        </w:tc>
        <w:tc>
          <w:tcPr>
            <w:tcW w:w="1418" w:type="dxa"/>
          </w:tcPr>
          <w:p>
            <w:pPr>
              <w:spacing w:line="360" w:lineRule="auto"/>
              <w:jc w:val="both"/>
              <w:rPr>
                <w:rFonts w:ascii="Book Antiqua" w:hAnsi="Book Antiqua" w:eastAsia="等线"/>
                <w:lang w:val="en-GB" w:eastAsia="zh-CN"/>
              </w:rPr>
            </w:pPr>
          </w:p>
        </w:tc>
      </w:tr>
    </w:tbl>
    <w:p>
      <w:pPr>
        <w:spacing w:line="360" w:lineRule="auto"/>
        <w:jc w:val="both"/>
        <w:rPr>
          <w:rFonts w:ascii="Book Antiqua" w:hAnsi="Book Antiqua" w:eastAsia="宋体"/>
          <w:lang w:val="en-GB"/>
        </w:rPr>
      </w:pPr>
      <w:r>
        <w:rPr>
          <w:rFonts w:ascii="Book Antiqua" w:hAnsi="Book Antiqua" w:eastAsia="宋体"/>
          <w:vertAlign w:val="superscript"/>
          <w:lang w:val="en-GB"/>
        </w:rPr>
        <w:t>1</w:t>
      </w:r>
      <w:r>
        <w:rPr>
          <w:rFonts w:ascii="Book Antiqua" w:hAnsi="Book Antiqua" w:eastAsia="宋体"/>
          <w:lang w:val="en-GB"/>
        </w:rPr>
        <w:t xml:space="preserve">Significant at </w:t>
      </w:r>
      <w:r>
        <w:rPr>
          <w:rFonts w:ascii="Book Antiqua" w:hAnsi="Book Antiqua" w:eastAsia="宋体"/>
          <w:i/>
          <w:iCs/>
          <w:lang w:val="en-GB"/>
        </w:rPr>
        <w:t>P</w:t>
      </w:r>
      <w:r>
        <w:rPr>
          <w:rFonts w:ascii="Book Antiqua" w:hAnsi="Book Antiqua" w:eastAsia="宋体"/>
          <w:lang w:val="en-GB"/>
        </w:rPr>
        <w:t xml:space="preserve"> value &lt; 0.05. </w:t>
      </w:r>
    </w:p>
    <w:p>
      <w:pPr>
        <w:spacing w:line="360" w:lineRule="auto"/>
        <w:jc w:val="both"/>
        <w:rPr>
          <w:rFonts w:ascii="Book Antiqua" w:hAnsi="Book Antiqua" w:eastAsia="宋体"/>
          <w:lang w:val="en-GB"/>
        </w:rPr>
      </w:pPr>
      <w:r>
        <w:rPr>
          <w:rFonts w:ascii="Book Antiqua" w:hAnsi="Book Antiqua" w:eastAsia="宋体"/>
          <w:iCs/>
          <w:vertAlign w:val="superscript"/>
          <w:lang w:val="en-GB"/>
        </w:rPr>
        <w:t>a</w:t>
      </w:r>
      <w:r>
        <w:rPr>
          <w:rFonts w:ascii="Book Antiqua" w:hAnsi="Book Antiqua" w:eastAsia="宋体"/>
          <w:lang w:val="en-GB"/>
        </w:rPr>
        <w:t>Maintenance dose varied among studies, higher dose as identified as &gt; 9 MIU/d or &gt; 2.5-5.0 mg CBA/kg/d for colistin, or &gt; 2.5-3 mg/kg/d for polymyxin B in this study.</w:t>
      </w:r>
    </w:p>
    <w:p>
      <w:pPr>
        <w:spacing w:line="360" w:lineRule="auto"/>
        <w:ind w:left="142" w:hanging="141" w:hangingChars="59"/>
        <w:jc w:val="both"/>
        <w:rPr>
          <w:rFonts w:ascii="Book Antiqua" w:hAnsi="Book Antiqua" w:eastAsia="宋体"/>
          <w:lang w:val="en-GB"/>
        </w:rPr>
      </w:pPr>
      <w:r>
        <w:rPr>
          <w:rFonts w:ascii="Book Antiqua" w:hAnsi="Book Antiqua" w:eastAsia="宋体"/>
          <w:iCs/>
          <w:vertAlign w:val="superscript"/>
          <w:lang w:val="en-GB"/>
        </w:rPr>
        <w:t>b</w:t>
      </w:r>
      <w:r>
        <w:rPr>
          <w:rFonts w:ascii="Book Antiqua" w:hAnsi="Book Antiqua" w:eastAsia="宋体"/>
          <w:lang w:val="en-GB"/>
        </w:rPr>
        <w:t xml:space="preserve">Age was mean or median age of patients included. </w:t>
      </w:r>
    </w:p>
    <w:p>
      <w:pPr>
        <w:spacing w:line="360" w:lineRule="auto"/>
        <w:jc w:val="both"/>
        <w:rPr>
          <w:rFonts w:ascii="Book Antiqua" w:hAnsi="Book Antiqua" w:eastAsia="宋体"/>
          <w:lang w:val="en-GB"/>
        </w:rPr>
      </w:pPr>
      <w:r>
        <w:rPr>
          <w:rFonts w:ascii="Book Antiqua" w:hAnsi="Book Antiqua" w:eastAsia="宋体"/>
          <w:iCs/>
          <w:vertAlign w:val="superscript"/>
          <w:lang w:val="en-GB"/>
        </w:rPr>
        <w:t>c</w:t>
      </w:r>
      <w:r>
        <w:rPr>
          <w:rFonts w:ascii="Book Antiqua" w:hAnsi="Book Antiqua" w:eastAsia="宋体"/>
          <w:lang w:val="en-GB"/>
        </w:rPr>
        <w:t xml:space="preserve">Quality assessment was applied using Newcastle-Ottawa Scale assessment for cohort studies and case-control studies. Articles that scored less than 4 were classified as low methodological quality, articles with score between 5 and 7 were classified as fair quality, and those with score </w:t>
      </w:r>
      <w:r>
        <w:rPr>
          <w:rFonts w:ascii="Book Antiqua" w:hAnsi="Book Antiqua" w:eastAsia="宋体"/>
          <w:color w:val="000000"/>
          <w:lang w:val="en-GB"/>
        </w:rPr>
        <w:t>more than</w:t>
      </w:r>
      <w:r>
        <w:rPr>
          <w:rFonts w:ascii="Book Antiqua" w:hAnsi="Book Antiqua" w:eastAsia="宋体"/>
          <w:lang w:val="en-GB"/>
        </w:rPr>
        <w:t xml:space="preserve"> 8 were classified as high quality.</w:t>
      </w:r>
    </w:p>
    <w:p>
      <w:pPr>
        <w:spacing w:line="360" w:lineRule="auto"/>
        <w:ind w:firstLine="424" w:firstLineChars="177"/>
        <w:jc w:val="both"/>
        <w:rPr>
          <w:rFonts w:ascii="Book Antiqua" w:hAnsi="Book Antiqua" w:eastAsia="宋体"/>
          <w:lang w:val="en-GB"/>
        </w:rPr>
        <w:sectPr>
          <w:pgSz w:w="16838" w:h="11906" w:orient="landscape"/>
          <w:pgMar w:top="1797" w:right="1440" w:bottom="1797" w:left="1440" w:header="851" w:footer="992" w:gutter="0"/>
          <w:cols w:space="425" w:num="1"/>
          <w:docGrid w:type="lines" w:linePitch="326" w:charSpace="0"/>
        </w:sectPr>
      </w:pPr>
    </w:p>
    <w:p>
      <w:pPr>
        <w:spacing w:line="360" w:lineRule="auto"/>
        <w:jc w:val="both"/>
        <w:rPr>
          <w:rFonts w:ascii="Book Antiqua" w:hAnsi="Book Antiqua" w:eastAsia="等线"/>
          <w:b/>
          <w:bCs/>
          <w:lang w:val="en-GB"/>
        </w:rPr>
      </w:pPr>
      <w:r>
        <w:rPr>
          <w:rFonts w:ascii="Book Antiqua" w:hAnsi="Book Antiqua" w:eastAsia="等线"/>
          <w:b/>
          <w:bCs/>
          <w:lang w:val="en-GB"/>
        </w:rPr>
        <w:t>Table 3</w:t>
      </w:r>
      <w:r>
        <w:rPr>
          <w:rFonts w:ascii="Book Antiqua" w:hAnsi="Book Antiqua" w:eastAsia="等线"/>
          <w:b/>
          <w:bCs/>
        </w:rPr>
        <w:t xml:space="preserve"> </w:t>
      </w:r>
      <w:r>
        <w:rPr>
          <w:rFonts w:ascii="Book Antiqua" w:hAnsi="Book Antiqua" w:eastAsia="等线"/>
          <w:b/>
          <w:bCs/>
          <w:lang w:val="en-GB"/>
        </w:rPr>
        <w:t>Pooled odds ratio estimates for potential predictors of polymyxin-induced nephrotoxicity</w:t>
      </w:r>
    </w:p>
    <w:tbl>
      <w:tblPr>
        <w:tblStyle w:val="7"/>
        <w:tblW w:w="13901" w:type="dxa"/>
        <w:tblInd w:w="-431" w:type="dxa"/>
        <w:tblLayout w:type="fixed"/>
        <w:tblCellMar>
          <w:top w:w="0" w:type="dxa"/>
          <w:left w:w="108" w:type="dxa"/>
          <w:bottom w:w="0" w:type="dxa"/>
          <w:right w:w="108" w:type="dxa"/>
        </w:tblCellMar>
      </w:tblPr>
      <w:tblGrid>
        <w:gridCol w:w="3408"/>
        <w:gridCol w:w="3118"/>
        <w:gridCol w:w="1559"/>
        <w:gridCol w:w="1134"/>
        <w:gridCol w:w="1560"/>
        <w:gridCol w:w="1559"/>
        <w:gridCol w:w="1563"/>
      </w:tblGrid>
      <w:tr>
        <w:tblPrEx>
          <w:tblCellMar>
            <w:top w:w="0" w:type="dxa"/>
            <w:left w:w="108" w:type="dxa"/>
            <w:bottom w:w="0" w:type="dxa"/>
            <w:right w:w="108" w:type="dxa"/>
          </w:tblCellMar>
        </w:tblPrEx>
        <w:trPr>
          <w:trHeight w:val="170" w:hRule="atLeast"/>
        </w:trPr>
        <w:tc>
          <w:tcPr>
            <w:tcW w:w="3408" w:type="dxa"/>
            <w:vMerge w:val="restar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lang w:val="en-GB"/>
              </w:rPr>
            </w:pPr>
            <w:r>
              <w:rPr>
                <w:rFonts w:ascii="Book Antiqua" w:hAnsi="Book Antiqua" w:eastAsia="等线"/>
                <w:b/>
                <w:bCs/>
                <w:lang w:val="en-GB"/>
              </w:rPr>
              <w:t>Variables</w:t>
            </w:r>
          </w:p>
        </w:tc>
        <w:tc>
          <w:tcPr>
            <w:tcW w:w="7371" w:type="dxa"/>
            <w:gridSpan w:val="4"/>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i/>
                <w:iCs/>
                <w:lang w:val="en-GB"/>
              </w:rPr>
            </w:pPr>
            <w:r>
              <w:rPr>
                <w:rFonts w:ascii="Book Antiqua" w:hAnsi="Book Antiqua" w:eastAsia="等线"/>
                <w:b/>
                <w:bCs/>
                <w:lang w:val="en-GB"/>
              </w:rPr>
              <w:t>Effect size</w:t>
            </w:r>
          </w:p>
        </w:tc>
        <w:tc>
          <w:tcPr>
            <w:tcW w:w="3119" w:type="dxa"/>
            <w:gridSpan w:val="2"/>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b/>
                <w:bCs/>
                <w:i/>
                <w:iCs/>
                <w:lang w:val="en-GB"/>
              </w:rPr>
            </w:pPr>
            <w:r>
              <w:rPr>
                <w:rFonts w:ascii="Book Antiqua" w:hAnsi="Book Antiqua" w:eastAsia="等线"/>
                <w:b/>
                <w:bCs/>
                <w:lang w:val="en-GB"/>
              </w:rPr>
              <w:t>Heterogeneity</w:t>
            </w:r>
          </w:p>
        </w:tc>
      </w:tr>
      <w:tr>
        <w:tblPrEx>
          <w:tblCellMar>
            <w:top w:w="0" w:type="dxa"/>
            <w:left w:w="108" w:type="dxa"/>
            <w:bottom w:w="0" w:type="dxa"/>
            <w:right w:w="108" w:type="dxa"/>
          </w:tblCellMar>
        </w:tblPrEx>
        <w:trPr>
          <w:trHeight w:val="170" w:hRule="atLeast"/>
        </w:trPr>
        <w:tc>
          <w:tcPr>
            <w:tcW w:w="3408" w:type="dxa"/>
            <w:vMerge w:val="continue"/>
            <w:tcBorders>
              <w:bottom w:val="single" w:color="auto" w:sz="4" w:space="0"/>
            </w:tcBorders>
            <w:shd w:val="clear" w:color="auto" w:fill="auto"/>
            <w:noWrap/>
            <w:vAlign w:val="center"/>
          </w:tcPr>
          <w:p>
            <w:pPr>
              <w:spacing w:line="360" w:lineRule="auto"/>
              <w:jc w:val="both"/>
              <w:rPr>
                <w:rFonts w:ascii="Book Antiqua" w:hAnsi="Book Antiqua" w:eastAsia="等线"/>
                <w:b/>
                <w:bCs/>
                <w:lang w:val="en-GB"/>
              </w:rPr>
            </w:pPr>
          </w:p>
        </w:tc>
        <w:tc>
          <w:tcPr>
            <w:tcW w:w="3118"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lang w:val="en-GB"/>
              </w:rPr>
            </w:pPr>
            <w:r>
              <w:rPr>
                <w:rFonts w:ascii="Book Antiqua" w:hAnsi="Book Antiqua" w:eastAsia="等线"/>
                <w:b/>
                <w:bCs/>
                <w:lang w:val="en-GB"/>
              </w:rPr>
              <w:t>OR (95%CI)</w:t>
            </w:r>
          </w:p>
        </w:tc>
        <w:tc>
          <w:tcPr>
            <w:tcW w:w="1559"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lang w:val="en-GB"/>
              </w:rPr>
            </w:pPr>
            <w:r>
              <w:rPr>
                <w:rFonts w:ascii="Book Antiqua" w:hAnsi="Book Antiqua" w:eastAsia="等线"/>
                <w:b/>
                <w:bCs/>
                <w:lang w:val="en-GB"/>
              </w:rPr>
              <w:t>Model</w:t>
            </w:r>
          </w:p>
        </w:tc>
        <w:tc>
          <w:tcPr>
            <w:tcW w:w="1134"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lang w:val="en-GB"/>
              </w:rPr>
            </w:pPr>
            <w:r>
              <w:rPr>
                <w:rFonts w:ascii="Book Antiqua" w:hAnsi="Book Antiqua" w:eastAsia="等线"/>
                <w:b/>
                <w:bCs/>
                <w:lang w:val="en-GB"/>
              </w:rPr>
              <w:t>Z</w:t>
            </w:r>
          </w:p>
        </w:tc>
        <w:tc>
          <w:tcPr>
            <w:tcW w:w="1560"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b/>
                <w:bCs/>
                <w:i/>
                <w:iCs/>
                <w:lang w:val="en-GB"/>
              </w:rPr>
            </w:pPr>
            <w:r>
              <w:rPr>
                <w:rFonts w:ascii="Book Antiqua" w:hAnsi="Book Antiqua" w:eastAsia="等线"/>
                <w:b/>
                <w:bCs/>
                <w:i/>
                <w:iCs/>
                <w:lang w:val="en-GB"/>
              </w:rPr>
              <w:t xml:space="preserve">P </w:t>
            </w:r>
            <w:r>
              <w:rPr>
                <w:rFonts w:ascii="Book Antiqua" w:hAnsi="Book Antiqua" w:eastAsia="等线"/>
                <w:b/>
                <w:bCs/>
                <w:lang w:val="en-GB"/>
              </w:rPr>
              <w:t>value</w:t>
            </w:r>
          </w:p>
        </w:tc>
        <w:tc>
          <w:tcPr>
            <w:tcW w:w="1559"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b/>
                <w:bCs/>
                <w:i/>
                <w:iCs/>
                <w:lang w:val="en-GB"/>
              </w:rPr>
            </w:pPr>
            <w:r>
              <w:rPr>
                <w:rFonts w:ascii="Book Antiqua" w:hAnsi="Book Antiqua" w:eastAsia="等线"/>
                <w:b/>
                <w:bCs/>
                <w:i/>
                <w:lang w:val="en-GB"/>
              </w:rPr>
              <w:t>I</w:t>
            </w:r>
            <w:r>
              <w:rPr>
                <w:rFonts w:ascii="Book Antiqua" w:hAnsi="Book Antiqua" w:eastAsia="等线"/>
                <w:b/>
                <w:bCs/>
                <w:vertAlign w:val="superscript"/>
                <w:lang w:val="en-GB"/>
              </w:rPr>
              <w:t>2</w:t>
            </w:r>
            <w:r>
              <w:rPr>
                <w:rFonts w:ascii="Book Antiqua" w:hAnsi="Book Antiqua" w:eastAsia="等线"/>
                <w:b/>
                <w:bCs/>
                <w:lang w:val="en-GB"/>
              </w:rPr>
              <w:t xml:space="preserve"> (%)</w:t>
            </w:r>
          </w:p>
        </w:tc>
        <w:tc>
          <w:tcPr>
            <w:tcW w:w="1560"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b/>
                <w:bCs/>
                <w:i/>
                <w:iCs/>
                <w:lang w:val="en-GB"/>
              </w:rPr>
            </w:pPr>
            <w:r>
              <w:rPr>
                <w:rFonts w:ascii="Book Antiqua" w:hAnsi="Book Antiqua" w:eastAsia="等线"/>
                <w:b/>
                <w:bCs/>
                <w:i/>
                <w:iCs/>
                <w:lang w:val="en-GB"/>
              </w:rPr>
              <w:t xml:space="preserve">P </w:t>
            </w:r>
            <w:r>
              <w:rPr>
                <w:rFonts w:ascii="Book Antiqua" w:hAnsi="Book Antiqua" w:eastAsia="等线"/>
                <w:b/>
                <w:bCs/>
                <w:lang w:val="en-GB"/>
              </w:rPr>
              <w:t>value</w:t>
            </w:r>
          </w:p>
        </w:tc>
      </w:tr>
      <w:tr>
        <w:tblPrEx>
          <w:tblCellMar>
            <w:top w:w="0" w:type="dxa"/>
            <w:left w:w="108" w:type="dxa"/>
            <w:bottom w:w="0" w:type="dxa"/>
            <w:right w:w="108" w:type="dxa"/>
          </w:tblCellMar>
        </w:tblPrEx>
        <w:trPr>
          <w:trHeight w:val="170" w:hRule="atLeast"/>
        </w:trPr>
        <w:tc>
          <w:tcPr>
            <w:tcW w:w="13901" w:type="dxa"/>
            <w:gridSpan w:val="7"/>
          </w:tcPr>
          <w:p>
            <w:pPr>
              <w:spacing w:line="360" w:lineRule="auto"/>
              <w:jc w:val="both"/>
              <w:rPr>
                <w:rFonts w:ascii="Book Antiqua" w:hAnsi="Book Antiqua" w:eastAsia="等线"/>
                <w:b/>
                <w:bCs/>
                <w:lang w:val="en-GB"/>
              </w:rPr>
            </w:pPr>
            <w:r>
              <w:rPr>
                <w:rFonts w:ascii="Book Antiqua" w:hAnsi="Book Antiqua" w:eastAsia="等线"/>
                <w:b/>
                <w:bCs/>
                <w:lang w:val="en-GB"/>
              </w:rPr>
              <w:t xml:space="preserve">Pooled OR, RR, HR based on univariate analysis </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Male gender</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1.570 (0.930-2.660)</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1.67</w:t>
            </w:r>
          </w:p>
        </w:tc>
        <w:tc>
          <w:tcPr>
            <w:tcW w:w="1560"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0.095</w:t>
            </w:r>
          </w:p>
        </w:tc>
        <w:tc>
          <w:tcPr>
            <w:tcW w:w="1559" w:type="dxa"/>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0.964</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 xml:space="preserve">Female gender </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0.773 (0.418-1.427)</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Random</w:t>
            </w:r>
          </w:p>
        </w:tc>
        <w:tc>
          <w:tcPr>
            <w:tcW w:w="1134"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0.82</w:t>
            </w:r>
          </w:p>
        </w:tc>
        <w:tc>
          <w:tcPr>
            <w:tcW w:w="1560"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0.410</w:t>
            </w:r>
          </w:p>
        </w:tc>
        <w:tc>
          <w:tcPr>
            <w:tcW w:w="1559" w:type="dxa"/>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65.6</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0.033</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Age (yr)</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1.025 (1.012-1.039)</w:t>
            </w:r>
          </w:p>
        </w:tc>
        <w:tc>
          <w:tcPr>
            <w:tcW w:w="1559"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Random</w:t>
            </w:r>
          </w:p>
        </w:tc>
        <w:tc>
          <w:tcPr>
            <w:tcW w:w="1134"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3.65</w:t>
            </w:r>
          </w:p>
        </w:tc>
        <w:tc>
          <w:tcPr>
            <w:tcW w:w="1560"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0.000</w:t>
            </w:r>
            <w:r>
              <w:rPr>
                <w:rFonts w:ascii="Book Antiqua" w:hAnsi="Book Antiqua" w:eastAsia="宋体"/>
                <w:vertAlign w:val="superscript"/>
                <w:lang w:val="en-GB"/>
              </w:rPr>
              <w:t>1</w:t>
            </w:r>
          </w:p>
        </w:tc>
        <w:tc>
          <w:tcPr>
            <w:tcW w:w="1559" w:type="dxa"/>
            <w:shd w:val="clear" w:color="auto" w:fill="auto"/>
            <w:vAlign w:val="bottom"/>
          </w:tcPr>
          <w:p>
            <w:pPr>
              <w:spacing w:line="360" w:lineRule="auto"/>
              <w:jc w:val="both"/>
              <w:rPr>
                <w:rFonts w:ascii="Book Antiqua" w:hAnsi="Book Antiqua" w:eastAsia="等线"/>
                <w:lang w:val="en-GB"/>
              </w:rPr>
            </w:pPr>
            <w:r>
              <w:rPr>
                <w:rFonts w:ascii="Book Antiqua" w:hAnsi="Book Antiqua" w:eastAsia="等线"/>
                <w:lang w:val="en-GB"/>
              </w:rPr>
              <w:t>51.9</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0.052</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Age (&gt; 61 yr)</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2.072 (1.092-3.933)</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2.23</w:t>
            </w:r>
          </w:p>
        </w:tc>
        <w:tc>
          <w:tcPr>
            <w:tcW w:w="1560"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0.026</w:t>
            </w:r>
            <w:r>
              <w:rPr>
                <w:rFonts w:ascii="Book Antiqua" w:hAnsi="Book Antiqua" w:eastAsia="宋体"/>
                <w:vertAlign w:val="superscript"/>
                <w:lang w:val="en-GB"/>
              </w:rPr>
              <w:t>1</w:t>
            </w:r>
          </w:p>
        </w:tc>
        <w:tc>
          <w:tcPr>
            <w:tcW w:w="1559" w:type="dxa"/>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0.576</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APACH</w:t>
            </w:r>
            <w:r>
              <w:rPr>
                <w:rFonts w:ascii="Book Antiqua" w:hAnsi="Book Antiqua" w:eastAsia="等线"/>
              </w:rPr>
              <w:t>E</w:t>
            </w:r>
            <w:r>
              <w:rPr>
                <w:rFonts w:ascii="Book Antiqua" w:hAnsi="Book Antiqua" w:eastAsia="等线"/>
                <w:lang w:val="en-GB"/>
              </w:rPr>
              <w:t xml:space="preserve"> II score</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1.036 (1.002-1.071)</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2.06</w:t>
            </w:r>
          </w:p>
        </w:tc>
        <w:tc>
          <w:tcPr>
            <w:tcW w:w="1560"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0.039</w:t>
            </w:r>
            <w:r>
              <w:rPr>
                <w:rFonts w:ascii="Book Antiqua" w:hAnsi="Book Antiqua" w:eastAsia="宋体"/>
                <w:vertAlign w:val="superscript"/>
                <w:lang w:val="en-GB"/>
              </w:rPr>
              <w:t>1</w:t>
            </w:r>
          </w:p>
        </w:tc>
        <w:tc>
          <w:tcPr>
            <w:tcW w:w="1559" w:type="dxa"/>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14.7</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0.319</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Sepsis</w:t>
            </w:r>
            <w:r>
              <w:rPr>
                <w:rFonts w:ascii="Book Antiqua" w:hAnsi="Book Antiqua" w:eastAsia="等线"/>
                <w:iCs/>
                <w:vertAlign w:val="superscript"/>
                <w:lang w:val="en-GB"/>
              </w:rPr>
              <w:t>a</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2.114 (1.412-3.164)</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3.64</w:t>
            </w:r>
          </w:p>
        </w:tc>
        <w:tc>
          <w:tcPr>
            <w:tcW w:w="1560" w:type="dxa"/>
            <w:shd w:val="clear" w:color="auto" w:fill="auto"/>
            <w:noWrap/>
            <w:vAlign w:val="bottom"/>
          </w:tcPr>
          <w:p>
            <w:pPr>
              <w:spacing w:line="360" w:lineRule="auto"/>
              <w:jc w:val="both"/>
              <w:rPr>
                <w:rFonts w:ascii="Book Antiqua" w:hAnsi="Book Antiqua" w:eastAsia="等线"/>
                <w:lang w:val="en-GB"/>
              </w:rPr>
            </w:pPr>
            <w:r>
              <w:rPr>
                <w:rFonts w:ascii="Book Antiqua" w:hAnsi="Book Antiqua" w:eastAsia="等线"/>
                <w:lang w:val="en-GB"/>
              </w:rPr>
              <w:t>&lt; 0.001</w:t>
            </w:r>
            <w:r>
              <w:rPr>
                <w:rFonts w:ascii="Book Antiqua" w:hAnsi="Book Antiqua" w:eastAsia="宋体"/>
                <w:vertAlign w:val="superscript"/>
                <w:lang w:val="en-GB"/>
              </w:rPr>
              <w:t>1</w:t>
            </w:r>
          </w:p>
        </w:tc>
        <w:tc>
          <w:tcPr>
            <w:tcW w:w="1559" w:type="dxa"/>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45.3</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0.139</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Baseline eGFR (mL/min/1.73 m</w:t>
            </w:r>
            <w:r>
              <w:rPr>
                <w:rFonts w:ascii="Book Antiqua" w:hAnsi="Book Antiqua" w:eastAsia="等线"/>
                <w:vertAlign w:val="superscript"/>
                <w:lang w:val="en-GB"/>
              </w:rPr>
              <w:t>2</w:t>
            </w:r>
            <w:r>
              <w:rPr>
                <w:rFonts w:ascii="Book Antiqua" w:hAnsi="Book Antiqua" w:eastAsia="等线"/>
                <w:lang w:val="en-GB"/>
              </w:rPr>
              <w:t>)</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0.883 (0.820-0.952)</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3.26</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0.001</w:t>
            </w:r>
            <w:r>
              <w:rPr>
                <w:rFonts w:ascii="Book Antiqua" w:hAnsi="Book Antiqua" w:eastAsia="宋体"/>
                <w:vertAlign w:val="superscript"/>
                <w:lang w:val="en-GB"/>
              </w:rPr>
              <w:t>1</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0.696</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Albumin (hypoalbuminemia)</w:t>
            </w:r>
            <w:r>
              <w:rPr>
                <w:rFonts w:ascii="Book Antiqua" w:hAnsi="Book Antiqua" w:eastAsia="等线"/>
                <w:iCs/>
                <w:vertAlign w:val="superscript"/>
                <w:lang w:val="en-GB"/>
              </w:rPr>
              <w:t>b</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2.795 (1.620-4.825)</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3.69</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&lt; 0.001</w:t>
            </w:r>
            <w:r>
              <w:rPr>
                <w:rFonts w:ascii="Book Antiqua" w:hAnsi="Book Antiqua" w:eastAsia="宋体"/>
                <w:vertAlign w:val="superscript"/>
                <w:lang w:val="en-GB"/>
              </w:rPr>
              <w:t>1</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0.565</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Diabetes mellitus</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1.229 (0.624-2.421)</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0.60</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0.550</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0.542</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Concomitant diuretics</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0.853 (0.252-2.890)</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Random</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0.26</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0.799</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77.2</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0.004</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Concomitant vancomycin</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2.110 (1.190-3.730)</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2.55</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0.011</w:t>
            </w:r>
            <w:r>
              <w:rPr>
                <w:rFonts w:ascii="Book Antiqua" w:hAnsi="Book Antiqua" w:eastAsia="宋体"/>
                <w:vertAlign w:val="superscript"/>
                <w:lang w:val="en-GB"/>
              </w:rPr>
              <w:t>1</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0.667</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Concomitant vasopressor</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1.496 (1.007-2.222)</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Random</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2.00</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0.046</w:t>
            </w:r>
            <w:r>
              <w:rPr>
                <w:rFonts w:ascii="Book Antiqua" w:hAnsi="Book Antiqua" w:eastAsia="宋体"/>
                <w:vertAlign w:val="superscript"/>
                <w:lang w:val="en-GB"/>
              </w:rPr>
              <w:t>1</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72.0</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0.013</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Daily dose (mg/kg/d)</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0.996 (0.991-1.000)</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1.77</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0.077</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0.523</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Duration of therapy (d)</w:t>
            </w:r>
          </w:p>
        </w:tc>
        <w:tc>
          <w:tcPr>
            <w:tcW w:w="3118"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1.019 (0.979-1.061)</w:t>
            </w:r>
          </w:p>
        </w:tc>
        <w:tc>
          <w:tcPr>
            <w:tcW w:w="1559"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center"/>
          </w:tcPr>
          <w:p>
            <w:pPr>
              <w:spacing w:line="360" w:lineRule="auto"/>
              <w:jc w:val="both"/>
              <w:rPr>
                <w:rFonts w:ascii="Book Antiqua" w:hAnsi="Book Antiqua" w:eastAsia="等线"/>
                <w:lang w:val="en-GB"/>
              </w:rPr>
            </w:pPr>
            <w:r>
              <w:rPr>
                <w:rFonts w:ascii="Book Antiqua" w:hAnsi="Book Antiqua" w:eastAsia="等线"/>
                <w:lang w:val="en-GB"/>
              </w:rPr>
              <w:t>0.92</w:t>
            </w:r>
          </w:p>
        </w:tc>
        <w:tc>
          <w:tcPr>
            <w:tcW w:w="1560" w:type="dxa"/>
            <w:shd w:val="clear" w:color="auto" w:fill="auto"/>
            <w:noWrap/>
            <w:vAlign w:val="center"/>
          </w:tcPr>
          <w:p>
            <w:pPr>
              <w:spacing w:line="360" w:lineRule="auto"/>
              <w:jc w:val="both"/>
              <w:rPr>
                <w:rFonts w:ascii="Book Antiqua" w:hAnsi="Book Antiqua" w:eastAsia="等线"/>
                <w:lang w:val="en-GB"/>
              </w:rPr>
            </w:pPr>
            <w:r>
              <w:rPr>
                <w:rFonts w:ascii="Book Antiqua" w:hAnsi="Book Antiqua" w:eastAsia="等线"/>
                <w:lang w:val="en-GB"/>
              </w:rPr>
              <w:t>0.359</w:t>
            </w:r>
          </w:p>
        </w:tc>
        <w:tc>
          <w:tcPr>
            <w:tcW w:w="1559" w:type="dxa"/>
            <w:shd w:val="clear" w:color="000000" w:fill="FFFFFF"/>
            <w:vAlign w:val="center"/>
          </w:tcPr>
          <w:p>
            <w:pPr>
              <w:spacing w:line="360" w:lineRule="auto"/>
              <w:jc w:val="both"/>
              <w:rPr>
                <w:rFonts w:ascii="Book Antiqua" w:hAnsi="Book Antiqua" w:eastAsia="等线"/>
                <w:lang w:val="en-GB"/>
              </w:rPr>
            </w:pPr>
            <w:r>
              <w:rPr>
                <w:rFonts w:ascii="Book Antiqua" w:hAnsi="Book Antiqua" w:eastAsia="等线"/>
                <w:lang w:val="en-GB"/>
              </w:rPr>
              <w:t>34.5</w:t>
            </w:r>
          </w:p>
        </w:tc>
        <w:tc>
          <w:tcPr>
            <w:tcW w:w="1560" w:type="dxa"/>
            <w:vAlign w:val="center"/>
          </w:tcPr>
          <w:p>
            <w:pPr>
              <w:spacing w:line="360" w:lineRule="auto"/>
              <w:jc w:val="both"/>
              <w:rPr>
                <w:rFonts w:ascii="Book Antiqua" w:hAnsi="Book Antiqua" w:eastAsia="等线"/>
                <w:lang w:val="en-GB"/>
              </w:rPr>
            </w:pPr>
            <w:r>
              <w:rPr>
                <w:rFonts w:ascii="Book Antiqua" w:hAnsi="Book Antiqua" w:eastAsia="等线"/>
                <w:lang w:val="en-GB"/>
              </w:rPr>
              <w:t>0.191</w:t>
            </w:r>
          </w:p>
        </w:tc>
      </w:tr>
      <w:tr>
        <w:tblPrEx>
          <w:tblCellMar>
            <w:top w:w="0" w:type="dxa"/>
            <w:left w:w="108" w:type="dxa"/>
            <w:bottom w:w="0" w:type="dxa"/>
            <w:right w:w="108" w:type="dxa"/>
          </w:tblCellMar>
        </w:tblPrEx>
        <w:trPr>
          <w:trHeight w:val="170" w:hRule="atLeast"/>
        </w:trPr>
        <w:tc>
          <w:tcPr>
            <w:tcW w:w="13901" w:type="dxa"/>
            <w:gridSpan w:val="7"/>
          </w:tcPr>
          <w:p>
            <w:pPr>
              <w:spacing w:line="360" w:lineRule="auto"/>
              <w:jc w:val="both"/>
              <w:rPr>
                <w:rFonts w:ascii="Book Antiqua" w:hAnsi="Book Antiqua" w:eastAsia="等线"/>
                <w:b/>
                <w:bCs/>
                <w:lang w:val="en-GB"/>
              </w:rPr>
            </w:pPr>
            <w:r>
              <w:rPr>
                <w:rFonts w:ascii="Book Antiqua" w:hAnsi="Book Antiqua" w:eastAsia="等线"/>
                <w:b/>
                <w:bCs/>
                <w:lang w:val="en-GB"/>
              </w:rPr>
              <w:t xml:space="preserve">Pooled OR, RR, HR based on multivariate analysis </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Age (yr)</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1.03</w:t>
            </w:r>
            <w:r>
              <w:rPr>
                <w:rFonts w:ascii="Book Antiqua" w:hAnsi="Book Antiqua" w:eastAsia="等线"/>
              </w:rPr>
              <w:t>5</w:t>
            </w:r>
            <w:r>
              <w:rPr>
                <w:rFonts w:ascii="Book Antiqua" w:hAnsi="Book Antiqua" w:eastAsia="等线"/>
                <w:lang w:val="en-GB"/>
              </w:rPr>
              <w:t xml:space="preserve"> (1.0</w:t>
            </w:r>
            <w:r>
              <w:rPr>
                <w:rFonts w:ascii="Book Antiqua" w:hAnsi="Book Antiqua" w:eastAsia="等线"/>
              </w:rPr>
              <w:t>21</w:t>
            </w:r>
            <w:r>
              <w:rPr>
                <w:rFonts w:ascii="Book Antiqua" w:hAnsi="Book Antiqua" w:eastAsia="等线"/>
                <w:lang w:val="en-GB"/>
              </w:rPr>
              <w:t>-1.0</w:t>
            </w:r>
            <w:r>
              <w:rPr>
                <w:rFonts w:ascii="Book Antiqua" w:hAnsi="Book Antiqua" w:eastAsia="等线"/>
              </w:rPr>
              <w:t>50</w:t>
            </w:r>
            <w:r>
              <w:rPr>
                <w:rFonts w:ascii="Book Antiqua" w:hAnsi="Book Antiqua" w:eastAsia="等线"/>
                <w:lang w:val="en-GB"/>
              </w:rPr>
              <w:t>)</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bottom"/>
          </w:tcPr>
          <w:p>
            <w:pPr>
              <w:spacing w:line="360" w:lineRule="auto"/>
              <w:jc w:val="both"/>
              <w:rPr>
                <w:rFonts w:ascii="Book Antiqua" w:hAnsi="Book Antiqua" w:eastAsia="等线"/>
              </w:rPr>
            </w:pPr>
            <w:r>
              <w:rPr>
                <w:rFonts w:ascii="Book Antiqua" w:hAnsi="Book Antiqua" w:eastAsia="等线"/>
              </w:rPr>
              <w:t>4.95</w:t>
            </w:r>
          </w:p>
        </w:tc>
        <w:tc>
          <w:tcPr>
            <w:tcW w:w="1560" w:type="dxa"/>
            <w:shd w:val="clear" w:color="auto" w:fill="auto"/>
            <w:noWrap/>
            <w:vAlign w:val="bottom"/>
          </w:tcPr>
          <w:p>
            <w:pPr>
              <w:spacing w:line="360" w:lineRule="auto"/>
              <w:ind w:firstLine="360" w:firstLineChars="150"/>
              <w:jc w:val="both"/>
              <w:rPr>
                <w:rFonts w:ascii="Book Antiqua" w:hAnsi="Book Antiqua" w:eastAsia="等线"/>
                <w:lang w:val="en-GB"/>
              </w:rPr>
            </w:pPr>
            <w:r>
              <w:rPr>
                <w:rFonts w:ascii="Book Antiqua" w:hAnsi="Book Antiqua" w:eastAsia="等线"/>
                <w:lang w:val="en-GB"/>
              </w:rPr>
              <w:t>&lt; 0.001</w:t>
            </w:r>
            <w:r>
              <w:rPr>
                <w:rFonts w:ascii="Book Antiqua" w:hAnsi="Book Antiqua" w:eastAsia="宋体"/>
                <w:vertAlign w:val="superscript"/>
                <w:lang w:val="en-GB"/>
              </w:rPr>
              <w:t>1</w:t>
            </w:r>
          </w:p>
        </w:tc>
        <w:tc>
          <w:tcPr>
            <w:tcW w:w="1559" w:type="dxa"/>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0</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0.863</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APACH</w:t>
            </w:r>
            <w:r>
              <w:rPr>
                <w:rFonts w:ascii="Book Antiqua" w:hAnsi="Book Antiqua" w:eastAsia="等线"/>
              </w:rPr>
              <w:t>E</w:t>
            </w:r>
            <w:r>
              <w:rPr>
                <w:rFonts w:ascii="Book Antiqua" w:hAnsi="Book Antiqua" w:eastAsia="等线"/>
                <w:lang w:val="en-GB"/>
              </w:rPr>
              <w:t xml:space="preserve"> II score</w:t>
            </w:r>
          </w:p>
        </w:tc>
        <w:tc>
          <w:tcPr>
            <w:tcW w:w="3118" w:type="dxa"/>
            <w:shd w:val="clear" w:color="000000" w:fill="FFFFFF"/>
            <w:noWrap/>
            <w:vAlign w:val="bottom"/>
          </w:tcPr>
          <w:p>
            <w:pPr>
              <w:spacing w:line="360" w:lineRule="auto"/>
              <w:jc w:val="both"/>
              <w:rPr>
                <w:rFonts w:ascii="Book Antiqua" w:hAnsi="Book Antiqua" w:eastAsia="等线"/>
              </w:rPr>
            </w:pPr>
            <w:r>
              <w:rPr>
                <w:rFonts w:ascii="Book Antiqua" w:hAnsi="Book Antiqua" w:eastAsia="等线"/>
              </w:rPr>
              <w:t>1.031 (1.017-1.045)</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shd w:val="clear" w:color="000000" w:fill="FFFFFF"/>
            <w:noWrap/>
            <w:vAlign w:val="bottom"/>
          </w:tcPr>
          <w:p>
            <w:pPr>
              <w:spacing w:line="360" w:lineRule="auto"/>
              <w:jc w:val="both"/>
              <w:rPr>
                <w:rFonts w:ascii="Book Antiqua" w:hAnsi="Book Antiqua" w:eastAsia="等线"/>
              </w:rPr>
            </w:pPr>
            <w:r>
              <w:rPr>
                <w:rFonts w:ascii="Book Antiqua" w:hAnsi="Book Antiqua" w:eastAsia="等线"/>
              </w:rPr>
              <w:t>4.36</w:t>
            </w:r>
          </w:p>
        </w:tc>
        <w:tc>
          <w:tcPr>
            <w:tcW w:w="1560" w:type="dxa"/>
            <w:shd w:val="clear" w:color="auto" w:fill="auto"/>
            <w:noWrap/>
            <w:vAlign w:val="bottom"/>
          </w:tcPr>
          <w:p>
            <w:pPr>
              <w:spacing w:line="360" w:lineRule="auto"/>
              <w:ind w:firstLine="480" w:firstLineChars="200"/>
              <w:jc w:val="both"/>
              <w:rPr>
                <w:rFonts w:ascii="Book Antiqua" w:hAnsi="Book Antiqua" w:eastAsia="等线"/>
              </w:rPr>
            </w:pPr>
            <w:r>
              <w:rPr>
                <w:rFonts w:ascii="Book Antiqua" w:hAnsi="Book Antiqua" w:eastAsia="等线"/>
              </w:rPr>
              <w:t>0.000</w:t>
            </w:r>
          </w:p>
        </w:tc>
        <w:tc>
          <w:tcPr>
            <w:tcW w:w="1559" w:type="dxa"/>
            <w:shd w:val="clear" w:color="000000" w:fill="FFFFFF"/>
            <w:vAlign w:val="bottom"/>
          </w:tcPr>
          <w:p>
            <w:pPr>
              <w:spacing w:line="360" w:lineRule="auto"/>
              <w:jc w:val="both"/>
              <w:rPr>
                <w:rFonts w:ascii="Book Antiqua" w:hAnsi="Book Antiqua" w:eastAsia="等线"/>
              </w:rPr>
            </w:pPr>
            <w:r>
              <w:rPr>
                <w:rFonts w:ascii="Book Antiqua" w:hAnsi="Book Antiqua" w:eastAsia="等线"/>
              </w:rPr>
              <w:t>26.1</w:t>
            </w:r>
          </w:p>
        </w:tc>
        <w:tc>
          <w:tcPr>
            <w:tcW w:w="1560" w:type="dxa"/>
          </w:tcPr>
          <w:p>
            <w:pPr>
              <w:spacing w:line="360" w:lineRule="auto"/>
              <w:jc w:val="both"/>
              <w:rPr>
                <w:rFonts w:ascii="Book Antiqua" w:hAnsi="Book Antiqua" w:eastAsia="等线"/>
              </w:rPr>
            </w:pPr>
            <w:r>
              <w:rPr>
                <w:rFonts w:ascii="Book Antiqua" w:hAnsi="Book Antiqua" w:eastAsia="等线"/>
              </w:rPr>
              <w:t>0.255</w:t>
            </w:r>
          </w:p>
        </w:tc>
      </w:tr>
      <w:tr>
        <w:tblPrEx>
          <w:tblCellMar>
            <w:top w:w="0" w:type="dxa"/>
            <w:left w:w="108" w:type="dxa"/>
            <w:bottom w:w="0" w:type="dxa"/>
            <w:right w:w="108" w:type="dxa"/>
          </w:tblCellMar>
        </w:tblPrEx>
        <w:trPr>
          <w:trHeight w:val="170" w:hRule="atLeast"/>
        </w:trPr>
        <w:tc>
          <w:tcPr>
            <w:tcW w:w="340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 xml:space="preserve">Concomitant vasopressor </w:t>
            </w:r>
          </w:p>
        </w:tc>
        <w:tc>
          <w:tcPr>
            <w:tcW w:w="3118"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3.099 (1.169-8.219)</w:t>
            </w:r>
          </w:p>
        </w:tc>
        <w:tc>
          <w:tcPr>
            <w:tcW w:w="1559"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Random</w:t>
            </w:r>
          </w:p>
        </w:tc>
        <w:tc>
          <w:tcPr>
            <w:tcW w:w="1134" w:type="dxa"/>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2.27</w:t>
            </w:r>
          </w:p>
        </w:tc>
        <w:tc>
          <w:tcPr>
            <w:tcW w:w="1560" w:type="dxa"/>
            <w:shd w:val="clear" w:color="auto" w:fill="auto"/>
            <w:noWrap/>
            <w:vAlign w:val="bottom"/>
          </w:tcPr>
          <w:p>
            <w:pPr>
              <w:spacing w:line="360" w:lineRule="auto"/>
              <w:ind w:firstLine="480" w:firstLineChars="200"/>
              <w:jc w:val="both"/>
              <w:rPr>
                <w:rFonts w:ascii="Book Antiqua" w:hAnsi="Book Antiqua" w:eastAsia="等线"/>
                <w:lang w:val="en-GB"/>
              </w:rPr>
            </w:pPr>
            <w:r>
              <w:rPr>
                <w:rFonts w:ascii="Book Antiqua" w:hAnsi="Book Antiqua" w:eastAsia="等线"/>
                <w:lang w:val="en-GB"/>
              </w:rPr>
              <w:t>0.023</w:t>
            </w:r>
            <w:r>
              <w:rPr>
                <w:rFonts w:ascii="Book Antiqua" w:hAnsi="Book Antiqua" w:eastAsia="宋体"/>
                <w:vertAlign w:val="superscript"/>
                <w:lang w:val="en-GB"/>
              </w:rPr>
              <w:t>1</w:t>
            </w:r>
          </w:p>
        </w:tc>
        <w:tc>
          <w:tcPr>
            <w:tcW w:w="1559" w:type="dxa"/>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80.4</w:t>
            </w:r>
          </w:p>
        </w:tc>
        <w:tc>
          <w:tcPr>
            <w:tcW w:w="1560" w:type="dxa"/>
          </w:tcPr>
          <w:p>
            <w:pPr>
              <w:spacing w:line="360" w:lineRule="auto"/>
              <w:jc w:val="both"/>
              <w:rPr>
                <w:rFonts w:ascii="Book Antiqua" w:hAnsi="Book Antiqua" w:eastAsia="等线"/>
                <w:lang w:val="en-GB"/>
              </w:rPr>
            </w:pPr>
            <w:r>
              <w:rPr>
                <w:rFonts w:ascii="Book Antiqua" w:hAnsi="Book Antiqua" w:eastAsia="等线"/>
                <w:lang w:val="en-GB"/>
              </w:rPr>
              <w:t>0.002</w:t>
            </w:r>
          </w:p>
        </w:tc>
      </w:tr>
      <w:tr>
        <w:tblPrEx>
          <w:tblCellMar>
            <w:top w:w="0" w:type="dxa"/>
            <w:left w:w="108" w:type="dxa"/>
            <w:bottom w:w="0" w:type="dxa"/>
            <w:right w:w="108" w:type="dxa"/>
          </w:tblCellMar>
        </w:tblPrEx>
        <w:trPr>
          <w:trHeight w:val="170" w:hRule="atLeast"/>
        </w:trPr>
        <w:tc>
          <w:tcPr>
            <w:tcW w:w="3408" w:type="dxa"/>
            <w:tcBorders>
              <w:bottom w:val="single" w:color="auto" w:sz="4" w:space="0"/>
            </w:tcBorders>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Concomitant diuretics</w:t>
            </w:r>
          </w:p>
        </w:tc>
        <w:tc>
          <w:tcPr>
            <w:tcW w:w="3118" w:type="dxa"/>
            <w:tcBorders>
              <w:bottom w:val="single" w:color="auto" w:sz="4" w:space="0"/>
            </w:tcBorders>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 xml:space="preserve">2.979 (1.290-6.882)  </w:t>
            </w:r>
          </w:p>
        </w:tc>
        <w:tc>
          <w:tcPr>
            <w:tcW w:w="1559" w:type="dxa"/>
            <w:tcBorders>
              <w:bottom w:val="single" w:color="auto" w:sz="4" w:space="0"/>
            </w:tcBorders>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Fixed</w:t>
            </w:r>
          </w:p>
        </w:tc>
        <w:tc>
          <w:tcPr>
            <w:tcW w:w="1134" w:type="dxa"/>
            <w:tcBorders>
              <w:bottom w:val="single" w:color="auto" w:sz="4" w:space="0"/>
            </w:tcBorders>
            <w:shd w:val="clear" w:color="000000" w:fill="FFFFFF"/>
            <w:noWrap/>
            <w:vAlign w:val="bottom"/>
          </w:tcPr>
          <w:p>
            <w:pPr>
              <w:spacing w:line="360" w:lineRule="auto"/>
              <w:jc w:val="both"/>
              <w:rPr>
                <w:rFonts w:ascii="Book Antiqua" w:hAnsi="Book Antiqua" w:eastAsia="等线"/>
                <w:lang w:val="en-GB"/>
              </w:rPr>
            </w:pPr>
            <w:r>
              <w:rPr>
                <w:rFonts w:ascii="Book Antiqua" w:hAnsi="Book Antiqua" w:eastAsia="等线"/>
                <w:lang w:val="en-GB"/>
              </w:rPr>
              <w:t>2.56</w:t>
            </w:r>
          </w:p>
        </w:tc>
        <w:tc>
          <w:tcPr>
            <w:tcW w:w="1560" w:type="dxa"/>
            <w:tcBorders>
              <w:bottom w:val="single" w:color="auto" w:sz="4" w:space="0"/>
            </w:tcBorders>
            <w:shd w:val="clear" w:color="auto" w:fill="auto"/>
            <w:noWrap/>
            <w:vAlign w:val="bottom"/>
          </w:tcPr>
          <w:p>
            <w:pPr>
              <w:spacing w:line="360" w:lineRule="auto"/>
              <w:ind w:firstLine="480" w:firstLineChars="200"/>
              <w:jc w:val="both"/>
              <w:rPr>
                <w:rFonts w:ascii="Book Antiqua" w:hAnsi="Book Antiqua" w:eastAsia="等线"/>
                <w:lang w:val="en-GB"/>
              </w:rPr>
            </w:pPr>
            <w:r>
              <w:rPr>
                <w:rFonts w:ascii="Book Antiqua" w:hAnsi="Book Antiqua" w:eastAsia="等线"/>
                <w:lang w:val="en-GB"/>
              </w:rPr>
              <w:t>0.011</w:t>
            </w:r>
            <w:r>
              <w:rPr>
                <w:rFonts w:ascii="Book Antiqua" w:hAnsi="Book Antiqua" w:eastAsia="宋体"/>
                <w:vertAlign w:val="superscript"/>
                <w:lang w:val="en-GB"/>
              </w:rPr>
              <w:t>1</w:t>
            </w:r>
          </w:p>
        </w:tc>
        <w:tc>
          <w:tcPr>
            <w:tcW w:w="1559" w:type="dxa"/>
            <w:tcBorders>
              <w:bottom w:val="single" w:color="auto" w:sz="4" w:space="0"/>
            </w:tcBorders>
            <w:shd w:val="clear" w:color="000000" w:fill="FFFFFF"/>
            <w:vAlign w:val="bottom"/>
          </w:tcPr>
          <w:p>
            <w:pPr>
              <w:spacing w:line="360" w:lineRule="auto"/>
              <w:jc w:val="both"/>
              <w:rPr>
                <w:rFonts w:ascii="Book Antiqua" w:hAnsi="Book Antiqua" w:eastAsia="等线"/>
                <w:lang w:val="en-GB"/>
              </w:rPr>
            </w:pPr>
            <w:r>
              <w:rPr>
                <w:rFonts w:ascii="Book Antiqua" w:hAnsi="Book Antiqua" w:eastAsia="等线"/>
                <w:lang w:val="en-GB"/>
              </w:rPr>
              <w:t>2.6</w:t>
            </w:r>
          </w:p>
        </w:tc>
        <w:tc>
          <w:tcPr>
            <w:tcW w:w="1560" w:type="dxa"/>
            <w:tcBorders>
              <w:bottom w:val="single" w:color="auto" w:sz="4" w:space="0"/>
            </w:tcBorders>
          </w:tcPr>
          <w:p>
            <w:pPr>
              <w:spacing w:line="360" w:lineRule="auto"/>
              <w:jc w:val="both"/>
              <w:rPr>
                <w:rFonts w:ascii="Book Antiqua" w:hAnsi="Book Antiqua" w:eastAsia="等线"/>
                <w:lang w:val="en-GB"/>
              </w:rPr>
            </w:pPr>
            <w:r>
              <w:rPr>
                <w:rFonts w:ascii="Book Antiqua" w:hAnsi="Book Antiqua" w:eastAsia="等线"/>
                <w:lang w:val="en-GB"/>
              </w:rPr>
              <w:t>0.358</w:t>
            </w:r>
          </w:p>
        </w:tc>
      </w:tr>
    </w:tbl>
    <w:p>
      <w:pPr>
        <w:spacing w:line="360" w:lineRule="auto"/>
        <w:jc w:val="both"/>
        <w:rPr>
          <w:rFonts w:ascii="Book Antiqua" w:hAnsi="Book Antiqua" w:eastAsia="宋体"/>
          <w:lang w:val="en-GB"/>
        </w:rPr>
      </w:pPr>
      <w:r>
        <w:rPr>
          <w:rFonts w:ascii="Book Antiqua" w:hAnsi="Book Antiqua" w:eastAsia="宋体"/>
          <w:vertAlign w:val="superscript"/>
          <w:lang w:val="en-GB"/>
        </w:rPr>
        <w:t>1</w:t>
      </w:r>
      <w:r>
        <w:rPr>
          <w:rFonts w:ascii="Book Antiqua" w:hAnsi="Book Antiqua" w:eastAsia="宋体"/>
          <w:lang w:val="en-GB"/>
        </w:rPr>
        <w:t xml:space="preserve">Significant at </w:t>
      </w:r>
      <w:r>
        <w:rPr>
          <w:rFonts w:ascii="Book Antiqua" w:hAnsi="Book Antiqua" w:eastAsia="宋体"/>
          <w:i/>
          <w:iCs/>
          <w:lang w:val="en-GB"/>
        </w:rPr>
        <w:t>P</w:t>
      </w:r>
      <w:r>
        <w:rPr>
          <w:rFonts w:ascii="Book Antiqua" w:hAnsi="Book Antiqua" w:eastAsia="宋体"/>
          <w:lang w:val="en-GB"/>
        </w:rPr>
        <w:t xml:space="preserve"> value &lt; 0.05. </w:t>
      </w:r>
    </w:p>
    <w:p>
      <w:pPr>
        <w:spacing w:line="360" w:lineRule="auto"/>
        <w:jc w:val="both"/>
        <w:rPr>
          <w:rFonts w:ascii="Book Antiqua" w:hAnsi="Book Antiqua" w:eastAsia="宋体"/>
          <w:lang w:val="en-GB"/>
        </w:rPr>
      </w:pPr>
      <w:r>
        <w:rPr>
          <w:rFonts w:ascii="Book Antiqua" w:hAnsi="Book Antiqua" w:eastAsia="宋体"/>
          <w:iCs/>
          <w:vertAlign w:val="superscript"/>
          <w:lang w:val="en-GB"/>
        </w:rPr>
        <w:t>a</w:t>
      </w:r>
      <w:r>
        <w:rPr>
          <w:rFonts w:ascii="Book Antiqua" w:hAnsi="Book Antiqua" w:eastAsia="宋体"/>
          <w:lang w:val="en-GB"/>
        </w:rPr>
        <w:t>Sepsis or septic shock were pooled.</w:t>
      </w:r>
    </w:p>
    <w:p>
      <w:pPr>
        <w:spacing w:line="360" w:lineRule="auto"/>
        <w:jc w:val="both"/>
        <w:rPr>
          <w:rFonts w:ascii="Book Antiqua" w:hAnsi="Book Antiqua" w:eastAsia="宋体"/>
          <w:lang w:val="en-GB"/>
        </w:rPr>
      </w:pPr>
      <w:r>
        <w:rPr>
          <w:rFonts w:ascii="Book Antiqua" w:hAnsi="Book Antiqua" w:eastAsia="宋体"/>
          <w:iCs/>
          <w:vertAlign w:val="superscript"/>
          <w:lang w:val="en-GB"/>
        </w:rPr>
        <w:t>b</w:t>
      </w:r>
      <w:r>
        <w:rPr>
          <w:rFonts w:ascii="Book Antiqua" w:hAnsi="Book Antiqua" w:eastAsia="宋体"/>
          <w:lang w:val="en-GB"/>
        </w:rPr>
        <w:t>Hypoalbuminemia and serum albumin levels &lt; 2g/dL were pooled</w:t>
      </w:r>
      <w:r>
        <w:rPr>
          <w:rFonts w:ascii="Book Antiqua" w:hAnsi="Book Antiqua" w:eastAsia="宋体"/>
        </w:rPr>
        <w:t>.</w:t>
      </w:r>
      <w:r>
        <w:rPr>
          <w:rFonts w:ascii="Book Antiqua" w:hAnsi="Book Antiqua" w:eastAsia="宋体"/>
          <w:lang w:val="en-GB"/>
        </w:rPr>
        <w:t xml:space="preserve"> </w:t>
      </w:r>
    </w:p>
    <w:p>
      <w:pPr>
        <w:spacing w:line="360" w:lineRule="auto"/>
        <w:jc w:val="both"/>
        <w:rPr>
          <w:rFonts w:ascii="Book Antiqua" w:hAnsi="Book Antiqua" w:eastAsia="宋体"/>
          <w:lang w:val="en-GB"/>
        </w:rPr>
      </w:pPr>
      <w:r>
        <w:rPr>
          <w:rFonts w:ascii="Book Antiqua" w:hAnsi="Book Antiqua" w:eastAsia="宋体"/>
          <w:lang w:val="en-GB"/>
        </w:rPr>
        <w:t xml:space="preserve">APACHE II: Acute Physiology and Chronic Health Evaluation II; CI: Confidence interval; eGFR: Estimated glomerular filtration rate; HR: </w:t>
      </w:r>
      <w:r>
        <w:rPr>
          <w:rFonts w:ascii="Book Antiqua" w:hAnsi="Book Antiqua" w:eastAsia="Book Antiqua" w:cs="Book Antiqua"/>
          <w:color w:val="000000"/>
        </w:rPr>
        <w:t>Hazard ratio;</w:t>
      </w:r>
      <w:r>
        <w:rPr>
          <w:rFonts w:ascii="Book Antiqua" w:hAnsi="Book Antiqua" w:eastAsia="宋体"/>
          <w:lang w:val="en-GB"/>
        </w:rPr>
        <w:t xml:space="preserve"> OR: Odds ratio; RR: </w:t>
      </w:r>
      <w:r>
        <w:rPr>
          <w:rFonts w:ascii="Book Antiqua" w:hAnsi="Book Antiqua" w:eastAsia="Book Antiqua" w:cs="Book Antiqua"/>
          <w:color w:val="000000"/>
        </w:rPr>
        <w:t>Relative risk</w:t>
      </w:r>
      <w:r>
        <w:rPr>
          <w:rFonts w:ascii="Book Antiqua" w:hAnsi="Book Antiqua" w:eastAsia="宋体"/>
          <w:lang w:val="en-GB"/>
        </w:rPr>
        <w:t>.</w:t>
      </w:r>
    </w:p>
    <w:p>
      <w:pPr>
        <w:spacing w:line="360" w:lineRule="auto"/>
        <w:jc w:val="both"/>
        <w:rPr>
          <w:rFonts w:ascii="Book Antiqua" w:hAnsi="Book Antiqua" w:eastAsia="宋体"/>
          <w:lang w:val="en-GB"/>
        </w:rPr>
      </w:pPr>
    </w:p>
    <w:p>
      <w:pPr>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2</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63229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38</w:t>
            </w:r>
            <w:r>
              <w:rPr>
                <w:rFonts w:ascii="Book Antiqua" w:hAnsi="Book Antiqua"/>
                <w:b/>
                <w:bCs/>
                <w:sz w:val="24"/>
                <w:szCs w:val="24"/>
              </w:rPr>
              <w:fldChar w:fldCharType="end"/>
            </w:r>
            <w:r>
              <w:rPr>
                <w:rFonts w:ascii="Book Antiqua" w:hAnsi="Book Antiqua"/>
                <w:sz w:val="24"/>
                <w:szCs w:val="24"/>
                <w:lang w:val="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49</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zQxMjQ0YTQ0ZmU3OTI5ZWNhNzI4MzQxYjA4YWJlOTIifQ=="/>
  </w:docVars>
  <w:rsids>
    <w:rsidRoot w:val="00A77B3E"/>
    <w:rsid w:val="0000026C"/>
    <w:rsid w:val="00022ABF"/>
    <w:rsid w:val="0002478F"/>
    <w:rsid w:val="00043920"/>
    <w:rsid w:val="000609AB"/>
    <w:rsid w:val="00076903"/>
    <w:rsid w:val="000A5429"/>
    <w:rsid w:val="000B2B1D"/>
    <w:rsid w:val="000B3FDB"/>
    <w:rsid w:val="000B41E2"/>
    <w:rsid w:val="000B5777"/>
    <w:rsid w:val="000B7F87"/>
    <w:rsid w:val="000C05B8"/>
    <w:rsid w:val="000D4EF6"/>
    <w:rsid w:val="000D691D"/>
    <w:rsid w:val="000E1CDD"/>
    <w:rsid w:val="000F09ED"/>
    <w:rsid w:val="001029F9"/>
    <w:rsid w:val="00112C49"/>
    <w:rsid w:val="001161A1"/>
    <w:rsid w:val="0012037A"/>
    <w:rsid w:val="001267C8"/>
    <w:rsid w:val="0012755A"/>
    <w:rsid w:val="0015146E"/>
    <w:rsid w:val="00152376"/>
    <w:rsid w:val="00153DA0"/>
    <w:rsid w:val="0016161F"/>
    <w:rsid w:val="0016288C"/>
    <w:rsid w:val="0017181C"/>
    <w:rsid w:val="00182916"/>
    <w:rsid w:val="00182DB0"/>
    <w:rsid w:val="001947C7"/>
    <w:rsid w:val="00194972"/>
    <w:rsid w:val="001A1E42"/>
    <w:rsid w:val="001A3423"/>
    <w:rsid w:val="001B0AA8"/>
    <w:rsid w:val="001C547B"/>
    <w:rsid w:val="001C56BE"/>
    <w:rsid w:val="001D7842"/>
    <w:rsid w:val="001E11DE"/>
    <w:rsid w:val="001F15BF"/>
    <w:rsid w:val="001F3618"/>
    <w:rsid w:val="00201EE8"/>
    <w:rsid w:val="002028D4"/>
    <w:rsid w:val="002114AE"/>
    <w:rsid w:val="00212985"/>
    <w:rsid w:val="002223CF"/>
    <w:rsid w:val="0024009D"/>
    <w:rsid w:val="00254E2C"/>
    <w:rsid w:val="00256381"/>
    <w:rsid w:val="002869A3"/>
    <w:rsid w:val="00294370"/>
    <w:rsid w:val="0029688D"/>
    <w:rsid w:val="002A4EBB"/>
    <w:rsid w:val="002A61B7"/>
    <w:rsid w:val="002A7728"/>
    <w:rsid w:val="002B032A"/>
    <w:rsid w:val="002B3D55"/>
    <w:rsid w:val="002E4B6B"/>
    <w:rsid w:val="002F18E7"/>
    <w:rsid w:val="0031572F"/>
    <w:rsid w:val="003333F0"/>
    <w:rsid w:val="003341DA"/>
    <w:rsid w:val="00334723"/>
    <w:rsid w:val="00340DEF"/>
    <w:rsid w:val="00351D82"/>
    <w:rsid w:val="00353B70"/>
    <w:rsid w:val="00361997"/>
    <w:rsid w:val="003821D5"/>
    <w:rsid w:val="003C689D"/>
    <w:rsid w:val="003D4BA9"/>
    <w:rsid w:val="003E1284"/>
    <w:rsid w:val="003F5DF2"/>
    <w:rsid w:val="00400701"/>
    <w:rsid w:val="004009EF"/>
    <w:rsid w:val="0040454B"/>
    <w:rsid w:val="00404E8A"/>
    <w:rsid w:val="00432523"/>
    <w:rsid w:val="00435E7F"/>
    <w:rsid w:val="00437743"/>
    <w:rsid w:val="00445809"/>
    <w:rsid w:val="004462C2"/>
    <w:rsid w:val="00455ED0"/>
    <w:rsid w:val="00457420"/>
    <w:rsid w:val="00464585"/>
    <w:rsid w:val="004664B2"/>
    <w:rsid w:val="004853D9"/>
    <w:rsid w:val="00497538"/>
    <w:rsid w:val="004B4942"/>
    <w:rsid w:val="004B7158"/>
    <w:rsid w:val="004C3303"/>
    <w:rsid w:val="004C4E6A"/>
    <w:rsid w:val="004C608A"/>
    <w:rsid w:val="004D439B"/>
    <w:rsid w:val="004F1357"/>
    <w:rsid w:val="004F429E"/>
    <w:rsid w:val="00510BD4"/>
    <w:rsid w:val="0051682A"/>
    <w:rsid w:val="00527CD0"/>
    <w:rsid w:val="00532C03"/>
    <w:rsid w:val="0053651C"/>
    <w:rsid w:val="00542AD5"/>
    <w:rsid w:val="00546715"/>
    <w:rsid w:val="00556AD8"/>
    <w:rsid w:val="005623C4"/>
    <w:rsid w:val="0056611D"/>
    <w:rsid w:val="0056765A"/>
    <w:rsid w:val="00570E2A"/>
    <w:rsid w:val="005855AF"/>
    <w:rsid w:val="005A0486"/>
    <w:rsid w:val="005B16D1"/>
    <w:rsid w:val="005B38D8"/>
    <w:rsid w:val="005C3F34"/>
    <w:rsid w:val="005D6488"/>
    <w:rsid w:val="005E225D"/>
    <w:rsid w:val="005E25B3"/>
    <w:rsid w:val="00602525"/>
    <w:rsid w:val="00602902"/>
    <w:rsid w:val="006062F6"/>
    <w:rsid w:val="00610055"/>
    <w:rsid w:val="00611532"/>
    <w:rsid w:val="0061650D"/>
    <w:rsid w:val="00630ECB"/>
    <w:rsid w:val="006333D9"/>
    <w:rsid w:val="006405A0"/>
    <w:rsid w:val="00640E58"/>
    <w:rsid w:val="00642C94"/>
    <w:rsid w:val="0064345D"/>
    <w:rsid w:val="0065311D"/>
    <w:rsid w:val="0065712C"/>
    <w:rsid w:val="00657AE0"/>
    <w:rsid w:val="006630A2"/>
    <w:rsid w:val="00681631"/>
    <w:rsid w:val="006857E3"/>
    <w:rsid w:val="00695BD8"/>
    <w:rsid w:val="006B16FB"/>
    <w:rsid w:val="006B178E"/>
    <w:rsid w:val="006B44B3"/>
    <w:rsid w:val="006C271F"/>
    <w:rsid w:val="006C7328"/>
    <w:rsid w:val="006C7360"/>
    <w:rsid w:val="006D301A"/>
    <w:rsid w:val="006E06DE"/>
    <w:rsid w:val="006F1862"/>
    <w:rsid w:val="006F452B"/>
    <w:rsid w:val="006F53B4"/>
    <w:rsid w:val="006F67BF"/>
    <w:rsid w:val="006F74BE"/>
    <w:rsid w:val="00700CA0"/>
    <w:rsid w:val="00710A72"/>
    <w:rsid w:val="00714AE6"/>
    <w:rsid w:val="00722D86"/>
    <w:rsid w:val="007400D2"/>
    <w:rsid w:val="00753B88"/>
    <w:rsid w:val="007550A7"/>
    <w:rsid w:val="00763F8F"/>
    <w:rsid w:val="007701AC"/>
    <w:rsid w:val="007711CF"/>
    <w:rsid w:val="0077179F"/>
    <w:rsid w:val="00777A71"/>
    <w:rsid w:val="00780F08"/>
    <w:rsid w:val="007866D2"/>
    <w:rsid w:val="007934CB"/>
    <w:rsid w:val="007B091E"/>
    <w:rsid w:val="007E1154"/>
    <w:rsid w:val="007E3259"/>
    <w:rsid w:val="007F07C4"/>
    <w:rsid w:val="007F263C"/>
    <w:rsid w:val="00801911"/>
    <w:rsid w:val="00811788"/>
    <w:rsid w:val="00817761"/>
    <w:rsid w:val="00822D21"/>
    <w:rsid w:val="00835E67"/>
    <w:rsid w:val="0083777D"/>
    <w:rsid w:val="008417A7"/>
    <w:rsid w:val="0087128F"/>
    <w:rsid w:val="00872E18"/>
    <w:rsid w:val="008772A9"/>
    <w:rsid w:val="00880F44"/>
    <w:rsid w:val="008847D5"/>
    <w:rsid w:val="00893041"/>
    <w:rsid w:val="008A0582"/>
    <w:rsid w:val="008A1B73"/>
    <w:rsid w:val="008A6B9C"/>
    <w:rsid w:val="008B3130"/>
    <w:rsid w:val="008B348A"/>
    <w:rsid w:val="008C53F9"/>
    <w:rsid w:val="008C563F"/>
    <w:rsid w:val="008D3367"/>
    <w:rsid w:val="008E66D3"/>
    <w:rsid w:val="008F3756"/>
    <w:rsid w:val="008F7265"/>
    <w:rsid w:val="009051E0"/>
    <w:rsid w:val="009067BD"/>
    <w:rsid w:val="00925673"/>
    <w:rsid w:val="00930A42"/>
    <w:rsid w:val="00931A89"/>
    <w:rsid w:val="00932F36"/>
    <w:rsid w:val="009408A2"/>
    <w:rsid w:val="00941A68"/>
    <w:rsid w:val="0095227E"/>
    <w:rsid w:val="009560FB"/>
    <w:rsid w:val="00957870"/>
    <w:rsid w:val="009715EF"/>
    <w:rsid w:val="0098433A"/>
    <w:rsid w:val="00990B7A"/>
    <w:rsid w:val="009A1006"/>
    <w:rsid w:val="009B0FAC"/>
    <w:rsid w:val="009C1A2F"/>
    <w:rsid w:val="009C30B8"/>
    <w:rsid w:val="009C31C9"/>
    <w:rsid w:val="009C3802"/>
    <w:rsid w:val="009C4F56"/>
    <w:rsid w:val="009C778E"/>
    <w:rsid w:val="009E4964"/>
    <w:rsid w:val="00A03260"/>
    <w:rsid w:val="00A07EBB"/>
    <w:rsid w:val="00A15D0D"/>
    <w:rsid w:val="00A165D0"/>
    <w:rsid w:val="00A2482A"/>
    <w:rsid w:val="00A446DD"/>
    <w:rsid w:val="00A57485"/>
    <w:rsid w:val="00A61264"/>
    <w:rsid w:val="00A630B6"/>
    <w:rsid w:val="00A77B3E"/>
    <w:rsid w:val="00A92268"/>
    <w:rsid w:val="00AA1D0B"/>
    <w:rsid w:val="00AA5272"/>
    <w:rsid w:val="00AB08F9"/>
    <w:rsid w:val="00AB26D2"/>
    <w:rsid w:val="00AB63A7"/>
    <w:rsid w:val="00AB77B4"/>
    <w:rsid w:val="00AC236B"/>
    <w:rsid w:val="00AC4F9D"/>
    <w:rsid w:val="00AD3D6A"/>
    <w:rsid w:val="00AE3500"/>
    <w:rsid w:val="00AF2AA8"/>
    <w:rsid w:val="00AF65DC"/>
    <w:rsid w:val="00B03927"/>
    <w:rsid w:val="00B06975"/>
    <w:rsid w:val="00B21111"/>
    <w:rsid w:val="00B22952"/>
    <w:rsid w:val="00B3024A"/>
    <w:rsid w:val="00B40EEB"/>
    <w:rsid w:val="00B4501A"/>
    <w:rsid w:val="00B75E13"/>
    <w:rsid w:val="00B9134D"/>
    <w:rsid w:val="00BA0E93"/>
    <w:rsid w:val="00BB0415"/>
    <w:rsid w:val="00BB1EF9"/>
    <w:rsid w:val="00BB23B6"/>
    <w:rsid w:val="00BD3261"/>
    <w:rsid w:val="00BE2B65"/>
    <w:rsid w:val="00BE3BFD"/>
    <w:rsid w:val="00BE77E7"/>
    <w:rsid w:val="00BF20C7"/>
    <w:rsid w:val="00BF79D1"/>
    <w:rsid w:val="00C07039"/>
    <w:rsid w:val="00C156E1"/>
    <w:rsid w:val="00C15C4C"/>
    <w:rsid w:val="00C20529"/>
    <w:rsid w:val="00C31259"/>
    <w:rsid w:val="00C35DA9"/>
    <w:rsid w:val="00C40D97"/>
    <w:rsid w:val="00C505C8"/>
    <w:rsid w:val="00C70E88"/>
    <w:rsid w:val="00C75076"/>
    <w:rsid w:val="00C84CD0"/>
    <w:rsid w:val="00C964B1"/>
    <w:rsid w:val="00CA2A55"/>
    <w:rsid w:val="00CB3895"/>
    <w:rsid w:val="00CB6681"/>
    <w:rsid w:val="00CC0DD4"/>
    <w:rsid w:val="00CD2FE4"/>
    <w:rsid w:val="00CD743E"/>
    <w:rsid w:val="00CE04C0"/>
    <w:rsid w:val="00CE15E0"/>
    <w:rsid w:val="00CE447C"/>
    <w:rsid w:val="00CF674F"/>
    <w:rsid w:val="00D06B22"/>
    <w:rsid w:val="00D11AE2"/>
    <w:rsid w:val="00D15BE4"/>
    <w:rsid w:val="00D1660F"/>
    <w:rsid w:val="00D16B4E"/>
    <w:rsid w:val="00D25895"/>
    <w:rsid w:val="00D437E5"/>
    <w:rsid w:val="00D54943"/>
    <w:rsid w:val="00D5574B"/>
    <w:rsid w:val="00D604FF"/>
    <w:rsid w:val="00D701FE"/>
    <w:rsid w:val="00D721B1"/>
    <w:rsid w:val="00D7339A"/>
    <w:rsid w:val="00D81159"/>
    <w:rsid w:val="00D8138F"/>
    <w:rsid w:val="00D872D4"/>
    <w:rsid w:val="00DA16B1"/>
    <w:rsid w:val="00DA3F7C"/>
    <w:rsid w:val="00DB0677"/>
    <w:rsid w:val="00DB2275"/>
    <w:rsid w:val="00DC35EE"/>
    <w:rsid w:val="00DD036B"/>
    <w:rsid w:val="00DD49EB"/>
    <w:rsid w:val="00DE0C9F"/>
    <w:rsid w:val="00DE170A"/>
    <w:rsid w:val="00E04D79"/>
    <w:rsid w:val="00E1010F"/>
    <w:rsid w:val="00E16269"/>
    <w:rsid w:val="00E22AA2"/>
    <w:rsid w:val="00E22DE7"/>
    <w:rsid w:val="00E302F5"/>
    <w:rsid w:val="00E37098"/>
    <w:rsid w:val="00E449CE"/>
    <w:rsid w:val="00E46724"/>
    <w:rsid w:val="00E66007"/>
    <w:rsid w:val="00E73539"/>
    <w:rsid w:val="00E92329"/>
    <w:rsid w:val="00EA09DE"/>
    <w:rsid w:val="00EA6F0C"/>
    <w:rsid w:val="00EC4330"/>
    <w:rsid w:val="00EE3EC1"/>
    <w:rsid w:val="00F15B7D"/>
    <w:rsid w:val="00F16A73"/>
    <w:rsid w:val="00F200F8"/>
    <w:rsid w:val="00F23F54"/>
    <w:rsid w:val="00F25386"/>
    <w:rsid w:val="00F31A7F"/>
    <w:rsid w:val="00F34082"/>
    <w:rsid w:val="00F4120D"/>
    <w:rsid w:val="00F4356D"/>
    <w:rsid w:val="00F47794"/>
    <w:rsid w:val="00F5052B"/>
    <w:rsid w:val="00F51832"/>
    <w:rsid w:val="00F52779"/>
    <w:rsid w:val="00F5400E"/>
    <w:rsid w:val="00F62EBC"/>
    <w:rsid w:val="00F7658D"/>
    <w:rsid w:val="00F770C0"/>
    <w:rsid w:val="00FA57C6"/>
    <w:rsid w:val="00FB0605"/>
    <w:rsid w:val="00FC5A5A"/>
    <w:rsid w:val="00FD2169"/>
    <w:rsid w:val="00FE7110"/>
    <w:rsid w:val="00FE7D7A"/>
    <w:rsid w:val="01A028E7"/>
    <w:rsid w:val="14AE7A40"/>
    <w:rsid w:val="325C5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pPr>
      <w:widowControl w:val="0"/>
    </w:pPr>
    <w:rPr>
      <w:rFonts w:ascii="Tahoma" w:hAnsi="Tahoma" w:cs="Tahoma"/>
      <w:kern w:val="2"/>
      <w:sz w:val="16"/>
      <w:lang w:eastAsia="zh-CN"/>
    </w:rPr>
  </w:style>
  <w:style w:type="paragraph" w:styleId="3">
    <w:name w:val="Balloon Text"/>
    <w:basedOn w:val="1"/>
    <w:link w:val="16"/>
    <w:qFormat/>
    <w:uiPriority w:val="0"/>
    <w:pPr>
      <w:widowControl w:val="0"/>
      <w:jc w:val="both"/>
    </w:pPr>
    <w:rPr>
      <w:rFonts w:ascii="Segoe UI" w:hAnsi="Segoe UI" w:cs="Segoe UI"/>
      <w:kern w:val="2"/>
      <w:sz w:val="18"/>
      <w:szCs w:val="18"/>
      <w:lang w:eastAsia="zh-CN"/>
    </w:rPr>
  </w:style>
  <w:style w:type="paragraph" w:styleId="4">
    <w:name w:val="footer"/>
    <w:basedOn w:val="1"/>
    <w:link w:val="14"/>
    <w:unhideWhenUsed/>
    <w:qFormat/>
    <w:uiPriority w:val="99"/>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5">
    <w:name w:val="header"/>
    <w:basedOn w:val="1"/>
    <w:link w:val="13"/>
    <w:unhideWhenUsed/>
    <w:qFormat/>
    <w:uiPriority w:val="0"/>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lang w:eastAsia="zh-CN"/>
    </w:rPr>
  </w:style>
  <w:style w:type="paragraph" w:styleId="6">
    <w:name w:val="annotation subject"/>
    <w:basedOn w:val="2"/>
    <w:next w:val="2"/>
    <w:link w:val="17"/>
    <w:qFormat/>
    <w:uiPriority w:val="0"/>
    <w:rPr>
      <w:b/>
      <w:bCs/>
    </w:rPr>
  </w:style>
  <w:style w:type="table" w:styleId="8">
    <w:name w:val="Table Grid"/>
    <w:qFormat/>
    <w:uiPriority w:val="39"/>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0">
    <w:name w:val="line number"/>
    <w:basedOn w:val="9"/>
    <w:qFormat/>
    <w:uiPriority w:val="0"/>
  </w:style>
  <w:style w:type="character" w:styleId="11">
    <w:name w:val="Hyperlink"/>
    <w:basedOn w:val="9"/>
    <w:semiHidden/>
    <w:unhideWhenUsed/>
    <w:qFormat/>
    <w:uiPriority w:val="99"/>
    <w:rPr>
      <w:color w:val="0000FF" w:themeColor="hyperlink"/>
      <w:u w:val="single"/>
    </w:rPr>
  </w:style>
  <w:style w:type="character" w:styleId="12">
    <w:name w:val="annotation reference"/>
    <w:basedOn w:val="9"/>
    <w:qFormat/>
    <w:uiPriority w:val="0"/>
    <w:rPr>
      <w:rFonts w:ascii="Tahoma" w:hAnsi="Tahoma" w:cs="Tahoma"/>
      <w:sz w:val="16"/>
      <w:szCs w:val="21"/>
      <w:u w:val="none"/>
    </w:rPr>
  </w:style>
  <w:style w:type="character" w:customStyle="1" w:styleId="13">
    <w:name w:val="页眉 字符"/>
    <w:basedOn w:val="9"/>
    <w:link w:val="5"/>
    <w:qFormat/>
    <w:uiPriority w:val="0"/>
    <w:rPr>
      <w:rFonts w:asciiTheme="minorHAnsi" w:hAnsiTheme="minorHAnsi" w:cstheme="minorBidi"/>
      <w:kern w:val="2"/>
      <w:sz w:val="18"/>
      <w:szCs w:val="18"/>
      <w:lang w:eastAsia="zh-CN"/>
    </w:rPr>
  </w:style>
  <w:style w:type="character" w:customStyle="1" w:styleId="14">
    <w:name w:val="页脚 字符"/>
    <w:basedOn w:val="9"/>
    <w:link w:val="4"/>
    <w:qFormat/>
    <w:uiPriority w:val="99"/>
    <w:rPr>
      <w:rFonts w:asciiTheme="minorHAnsi" w:hAnsiTheme="minorHAnsi" w:cstheme="minorBidi"/>
      <w:kern w:val="2"/>
      <w:sz w:val="18"/>
      <w:szCs w:val="18"/>
      <w:lang w:eastAsia="zh-CN"/>
    </w:rPr>
  </w:style>
  <w:style w:type="character" w:customStyle="1" w:styleId="15">
    <w:name w:val="批注文字 字符"/>
    <w:basedOn w:val="9"/>
    <w:link w:val="2"/>
    <w:qFormat/>
    <w:uiPriority w:val="0"/>
    <w:rPr>
      <w:rFonts w:ascii="Tahoma" w:hAnsi="Tahoma" w:cs="Tahoma"/>
      <w:kern w:val="2"/>
      <w:sz w:val="16"/>
      <w:szCs w:val="24"/>
      <w:lang w:eastAsia="zh-CN"/>
    </w:rPr>
  </w:style>
  <w:style w:type="character" w:customStyle="1" w:styleId="16">
    <w:name w:val="批注框文本 字符"/>
    <w:basedOn w:val="9"/>
    <w:link w:val="3"/>
    <w:qFormat/>
    <w:uiPriority w:val="0"/>
    <w:rPr>
      <w:rFonts w:ascii="Segoe UI" w:hAnsi="Segoe UI" w:cs="Segoe UI"/>
      <w:kern w:val="2"/>
      <w:sz w:val="18"/>
      <w:szCs w:val="18"/>
      <w:lang w:eastAsia="zh-CN"/>
    </w:rPr>
  </w:style>
  <w:style w:type="character" w:customStyle="1" w:styleId="17">
    <w:name w:val="批注主题 字符"/>
    <w:basedOn w:val="15"/>
    <w:link w:val="6"/>
    <w:qFormat/>
    <w:uiPriority w:val="0"/>
    <w:rPr>
      <w:rFonts w:ascii="Tahoma" w:hAnsi="Tahoma" w:cs="Tahoma"/>
      <w:b/>
      <w:bCs/>
      <w:kern w:val="2"/>
      <w:sz w:val="16"/>
      <w:szCs w:val="24"/>
      <w:lang w:eastAsia="zh-CN"/>
    </w:rPr>
  </w:style>
  <w:style w:type="character" w:customStyle="1" w:styleId="18">
    <w:name w:val="超链接1"/>
    <w:basedOn w:val="9"/>
    <w:qFormat/>
    <w:uiPriority w:val="0"/>
    <w:rPr>
      <w:color w:val="0563C1"/>
      <w:u w:val="single"/>
    </w:rPr>
  </w:style>
  <w:style w:type="paragraph" w:customStyle="1" w:styleId="19">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0">
    <w:name w:val="未处理的提及1"/>
    <w:basedOn w:val="9"/>
    <w:semiHidden/>
    <w:unhideWhenUsed/>
    <w:qFormat/>
    <w:uiPriority w:val="99"/>
    <w:rPr>
      <w:color w:val="605E5C"/>
      <w:shd w:val="clear" w:color="auto" w:fill="E1DFDD"/>
    </w:rPr>
  </w:style>
  <w:style w:type="paragraph" w:styleId="21">
    <w:name w:val="List Paragraph"/>
    <w:basedOn w:val="1"/>
    <w:qFormat/>
    <w:uiPriority w:val="34"/>
    <w:pPr>
      <w:widowControl w:val="0"/>
      <w:ind w:firstLine="420" w:firstLineChars="200"/>
      <w:jc w:val="both"/>
    </w:pPr>
    <w:rPr>
      <w:rFonts w:asciiTheme="minorHAnsi" w:hAnsiTheme="minorHAnsi" w:cstheme="minorBidi"/>
      <w:kern w:val="2"/>
      <w:sz w:val="21"/>
      <w:lang w:val="en-GB" w:eastAsia="zh-CN"/>
    </w:rPr>
  </w:style>
  <w:style w:type="paragraph" w:customStyle="1" w:styleId="22">
    <w:name w:val="修订2"/>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23">
    <w:name w:val="修订3"/>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24">
    <w:name w:val="修订4"/>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25">
    <w:name w:val="修订5"/>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26">
    <w:name w:val="修订6"/>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27">
    <w:name w:val="修订7"/>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28">
    <w:name w:val="修订8"/>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29">
    <w:name w:val="修订9"/>
    <w:next w:val="30"/>
    <w:hidden/>
    <w:semiHidden/>
    <w:qFormat/>
    <w:uiPriority w:val="99"/>
    <w:rPr>
      <w:rFonts w:asciiTheme="minorHAnsi" w:hAnsiTheme="minorHAnsi" w:eastAsiaTheme="minorEastAsia" w:cstheme="minorBidi"/>
      <w:kern w:val="2"/>
      <w:sz w:val="21"/>
      <w:szCs w:val="24"/>
      <w:lang w:val="en-GB" w:eastAsia="zh-CN" w:bidi="ar-SA"/>
    </w:rPr>
  </w:style>
  <w:style w:type="paragraph" w:customStyle="1" w:styleId="3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1">
    <w:name w:val="正文1"/>
    <w:qFormat/>
    <w:uiPriority w:val="99"/>
    <w:pPr>
      <w:spacing w:line="276" w:lineRule="auto"/>
    </w:pPr>
    <w:rPr>
      <w:rFonts w:ascii="Arial" w:hAnsi="Arial" w:eastAsia="宋体" w:cs="Arial"/>
      <w:color w:val="000000"/>
      <w:sz w:val="22"/>
      <w:lang w:val="pl-PL" w:eastAsia="pl-PL"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48</Pages>
  <Words>11758</Words>
  <Characters>70756</Characters>
  <Lines>588</Lines>
  <Paragraphs>165</Paragraphs>
  <TotalTime>1</TotalTime>
  <ScaleCrop>false</ScaleCrop>
  <LinksUpToDate>false</LinksUpToDate>
  <CharactersWithSpaces>81754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2022-09-19T10:20:00Z</dcterms:created>
  <dc:creator>梅长苏</dc:creator>
  <cp:lastModifiedBy>晓晨</cp:lastModifiedBy>
  <dcterms:modified xsi:type="dcterms:W3CDTF">2022-10-25T12:13:44Z</dcterms:modified>
  <cp:revision>316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8C7BC510D96745B29EECBE0677753792</vt:lpwstr>
  </property>
</Properties>
</file>