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7F031" w14:textId="77777777" w:rsidR="00A77B3E" w:rsidRDefault="00AF59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17067799" w14:textId="77777777" w:rsidR="00A77B3E" w:rsidRDefault="00AF59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79287</w:t>
      </w:r>
    </w:p>
    <w:p w14:paraId="6E26DC5B" w14:textId="77777777" w:rsidR="00A77B3E" w:rsidRDefault="00AF595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3E07C9A" w14:textId="77777777" w:rsidR="00A77B3E" w:rsidRDefault="00A77B3E">
      <w:pPr>
        <w:spacing w:line="360" w:lineRule="auto"/>
        <w:jc w:val="both"/>
      </w:pPr>
    </w:p>
    <w:p w14:paraId="36190F5D" w14:textId="77777777" w:rsidR="00A77B3E" w:rsidRDefault="00AF595A">
      <w:pPr>
        <w:spacing w:line="360" w:lineRule="auto"/>
        <w:jc w:val="both"/>
      </w:pPr>
      <w:r>
        <w:rPr>
          <w:rFonts w:ascii="Book Antiqua" w:eastAsia="Book Antiqua" w:hAnsi="Book Antiqua" w:cs="Book Antiqua"/>
          <w:b/>
          <w:i/>
          <w:color w:val="000000"/>
        </w:rPr>
        <w:t>Case Control Study</w:t>
      </w:r>
    </w:p>
    <w:p w14:paraId="7A6F4071" w14:textId="4B8BE2E8" w:rsidR="00A77B3E" w:rsidRDefault="00AF595A">
      <w:pPr>
        <w:spacing w:line="360" w:lineRule="auto"/>
        <w:jc w:val="both"/>
      </w:pPr>
      <w:r>
        <w:rPr>
          <w:rFonts w:ascii="Book Antiqua" w:eastAsia="Book Antiqua" w:hAnsi="Book Antiqua" w:cs="Book Antiqua"/>
          <w:b/>
          <w:color w:val="000000"/>
        </w:rPr>
        <w:t xml:space="preserve">Rural </w:t>
      </w:r>
      <w:r w:rsidR="000B760A">
        <w:rPr>
          <w:rFonts w:ascii="Book Antiqua" w:eastAsia="Book Antiqua" w:hAnsi="Book Antiqua" w:cs="Book Antiqua"/>
          <w:b/>
          <w:color w:val="000000"/>
        </w:rPr>
        <w:t>implementation of the perioperative surgical ho</w:t>
      </w:r>
      <w:r>
        <w:rPr>
          <w:rFonts w:ascii="Book Antiqua" w:eastAsia="Book Antiqua" w:hAnsi="Book Antiqua" w:cs="Book Antiqua"/>
          <w:b/>
          <w:color w:val="000000"/>
        </w:rPr>
        <w:t xml:space="preserve">me: A </w:t>
      </w:r>
      <w:r w:rsidR="000B760A">
        <w:rPr>
          <w:rFonts w:ascii="Book Antiqua" w:eastAsia="Book Antiqua" w:hAnsi="Book Antiqua" w:cs="Book Antiqua"/>
          <w:b/>
          <w:color w:val="000000"/>
        </w:rPr>
        <w:t>case-control st</w:t>
      </w:r>
      <w:r>
        <w:rPr>
          <w:rFonts w:ascii="Book Antiqua" w:eastAsia="Book Antiqua" w:hAnsi="Book Antiqua" w:cs="Book Antiqua"/>
          <w:b/>
          <w:color w:val="000000"/>
        </w:rPr>
        <w:t>udy</w:t>
      </w:r>
    </w:p>
    <w:p w14:paraId="19083134" w14:textId="77777777" w:rsidR="00A77B3E" w:rsidRDefault="00A77B3E">
      <w:pPr>
        <w:spacing w:line="360" w:lineRule="auto"/>
        <w:jc w:val="both"/>
      </w:pPr>
    </w:p>
    <w:p w14:paraId="6A545EFF" w14:textId="5CF28682" w:rsidR="00A77B3E" w:rsidRDefault="000B760A">
      <w:pPr>
        <w:spacing w:line="360" w:lineRule="auto"/>
        <w:jc w:val="both"/>
      </w:pPr>
      <w:r>
        <w:rPr>
          <w:rFonts w:ascii="Book Antiqua" w:eastAsia="Book Antiqua" w:hAnsi="Book Antiqua" w:cs="Book Antiqua"/>
          <w:color w:val="000000"/>
        </w:rPr>
        <w:t xml:space="preserve">Sridhar S </w:t>
      </w:r>
      <w:r w:rsidRPr="000B760A">
        <w:rPr>
          <w:rFonts w:ascii="Book Antiqua" w:eastAsia="Book Antiqua" w:hAnsi="Book Antiqua" w:cs="Book Antiqua"/>
          <w:i/>
          <w:iCs/>
          <w:color w:val="000000"/>
        </w:rPr>
        <w:t>et al</w:t>
      </w:r>
      <w:r>
        <w:rPr>
          <w:rFonts w:ascii="Book Antiqua" w:eastAsia="Book Antiqua" w:hAnsi="Book Antiqua" w:cs="Book Antiqua"/>
          <w:color w:val="000000"/>
        </w:rPr>
        <w:t>. Rural PSH: case-control study</w:t>
      </w:r>
    </w:p>
    <w:p w14:paraId="41CD44F0" w14:textId="77777777" w:rsidR="00A77B3E" w:rsidRDefault="00A77B3E">
      <w:pPr>
        <w:spacing w:line="360" w:lineRule="auto"/>
        <w:jc w:val="both"/>
      </w:pPr>
    </w:p>
    <w:p w14:paraId="7ADA7F07" w14:textId="77777777" w:rsidR="00A77B3E" w:rsidRDefault="00AF595A">
      <w:pPr>
        <w:spacing w:line="360" w:lineRule="auto"/>
        <w:jc w:val="both"/>
      </w:pPr>
      <w:r>
        <w:rPr>
          <w:rFonts w:ascii="Book Antiqua" w:eastAsia="Book Antiqua" w:hAnsi="Book Antiqua" w:cs="Book Antiqua"/>
          <w:color w:val="000000"/>
        </w:rPr>
        <w:t xml:space="preserve">Srinivasan Sridhar, Amy </w:t>
      </w:r>
      <w:proofErr w:type="spellStart"/>
      <w:r>
        <w:rPr>
          <w:rFonts w:ascii="Book Antiqua" w:eastAsia="Book Antiqua" w:hAnsi="Book Antiqua" w:cs="Book Antiqua"/>
          <w:color w:val="000000"/>
        </w:rPr>
        <w:t>Mouat</w:t>
      </w:r>
      <w:proofErr w:type="spellEnd"/>
      <w:r>
        <w:rPr>
          <w:rFonts w:ascii="Book Antiqua" w:eastAsia="Book Antiqua" w:hAnsi="Book Antiqua" w:cs="Book Antiqua"/>
          <w:color w:val="000000"/>
        </w:rPr>
        <w:t>-Hunter, Bernadette McCrory</w:t>
      </w:r>
    </w:p>
    <w:p w14:paraId="2B483990" w14:textId="77777777" w:rsidR="00A77B3E" w:rsidRDefault="00A77B3E">
      <w:pPr>
        <w:spacing w:line="360" w:lineRule="auto"/>
        <w:jc w:val="both"/>
      </w:pPr>
    </w:p>
    <w:p w14:paraId="545E4389" w14:textId="3CEA08F9" w:rsidR="00A31232"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Srinivasan Sridhar,</w:t>
      </w:r>
      <w:r w:rsidR="003F6B12">
        <w:rPr>
          <w:rFonts w:ascii="Book Antiqua" w:eastAsia="Book Antiqua" w:hAnsi="Book Antiqua" w:cs="Book Antiqua"/>
          <w:b/>
          <w:bCs/>
          <w:color w:val="000000"/>
        </w:rPr>
        <w:t xml:space="preserve"> </w:t>
      </w:r>
      <w:r w:rsidR="00E57440">
        <w:rPr>
          <w:rFonts w:ascii="Book Antiqua" w:eastAsia="Book Antiqua" w:hAnsi="Book Antiqua" w:cs="Book Antiqua"/>
          <w:color w:val="000000"/>
        </w:rPr>
        <w:t xml:space="preserve">Center for Health Outcomes and Policy Evaluation, College of Public Health, The Ohio State University, </w:t>
      </w:r>
      <w:r w:rsidR="0083608A">
        <w:rPr>
          <w:rFonts w:ascii="Book Antiqua" w:eastAsia="Book Antiqua" w:hAnsi="Book Antiqua" w:cs="Book Antiqua"/>
          <w:color w:val="000000"/>
        </w:rPr>
        <w:t xml:space="preserve">Columbus, </w:t>
      </w:r>
      <w:r w:rsidR="00E57440">
        <w:rPr>
          <w:rFonts w:ascii="Book Antiqua" w:eastAsia="Book Antiqua" w:hAnsi="Book Antiqua" w:cs="Book Antiqua"/>
          <w:color w:val="000000"/>
        </w:rPr>
        <w:t>OH 43210, United States</w:t>
      </w:r>
    </w:p>
    <w:p w14:paraId="6550FC41" w14:textId="77777777" w:rsidR="00A77B3E" w:rsidRDefault="00A77B3E">
      <w:pPr>
        <w:spacing w:line="360" w:lineRule="auto"/>
        <w:jc w:val="both"/>
      </w:pPr>
    </w:p>
    <w:p w14:paraId="6EEA40AC" w14:textId="3E8A070D" w:rsidR="00A77B3E" w:rsidRDefault="00AF595A">
      <w:pPr>
        <w:spacing w:line="360" w:lineRule="auto"/>
        <w:jc w:val="both"/>
      </w:pPr>
      <w:r>
        <w:rPr>
          <w:rFonts w:ascii="Book Antiqua" w:eastAsia="Book Antiqua" w:hAnsi="Book Antiqua" w:cs="Book Antiqua"/>
          <w:b/>
          <w:bCs/>
          <w:color w:val="000000"/>
        </w:rPr>
        <w:t xml:space="preserve">Amy </w:t>
      </w:r>
      <w:proofErr w:type="spellStart"/>
      <w:r>
        <w:rPr>
          <w:rFonts w:ascii="Book Antiqua" w:eastAsia="Book Antiqua" w:hAnsi="Book Antiqua" w:cs="Book Antiqua"/>
          <w:b/>
          <w:bCs/>
          <w:color w:val="000000"/>
        </w:rPr>
        <w:t>Mouat</w:t>
      </w:r>
      <w:proofErr w:type="spellEnd"/>
      <w:r>
        <w:rPr>
          <w:rFonts w:ascii="Book Antiqua" w:eastAsia="Book Antiqua" w:hAnsi="Book Antiqua" w:cs="Book Antiqua"/>
          <w:b/>
          <w:bCs/>
          <w:color w:val="000000"/>
        </w:rPr>
        <w:t xml:space="preserve">-Hunter, </w:t>
      </w:r>
      <w:proofErr w:type="spellStart"/>
      <w:r>
        <w:rPr>
          <w:rFonts w:ascii="Book Antiqua" w:eastAsia="Book Antiqua" w:hAnsi="Book Antiqua" w:cs="Book Antiqua"/>
          <w:color w:val="000000"/>
        </w:rPr>
        <w:t>Preanesthesia</w:t>
      </w:r>
      <w:proofErr w:type="spellEnd"/>
      <w:r>
        <w:rPr>
          <w:rFonts w:ascii="Book Antiqua" w:eastAsia="Book Antiqua" w:hAnsi="Book Antiqua" w:cs="Book Antiqua"/>
          <w:color w:val="000000"/>
        </w:rPr>
        <w:t xml:space="preserve"> Clinic, Bozeman Health, Bozeman, </w:t>
      </w:r>
      <w:r w:rsidR="00243CF6">
        <w:rPr>
          <w:rFonts w:ascii="Book Antiqua" w:eastAsia="Book Antiqua" w:hAnsi="Book Antiqua" w:cs="Book Antiqua"/>
          <w:color w:val="000000"/>
        </w:rPr>
        <w:t>MT</w:t>
      </w:r>
      <w:r w:rsidR="00EA3487">
        <w:rPr>
          <w:rFonts w:ascii="Book Antiqua" w:eastAsia="Book Antiqua" w:hAnsi="Book Antiqua" w:cs="Book Antiqua"/>
          <w:color w:val="000000"/>
        </w:rPr>
        <w:t xml:space="preserve"> </w:t>
      </w:r>
      <w:r>
        <w:rPr>
          <w:rFonts w:ascii="Book Antiqua" w:eastAsia="Book Antiqua" w:hAnsi="Book Antiqua" w:cs="Book Antiqua"/>
          <w:color w:val="000000"/>
        </w:rPr>
        <w:t>59715, United States</w:t>
      </w:r>
    </w:p>
    <w:p w14:paraId="1B50BBF2" w14:textId="77777777" w:rsidR="00A77B3E" w:rsidRDefault="00A77B3E">
      <w:pPr>
        <w:spacing w:line="360" w:lineRule="auto"/>
        <w:jc w:val="both"/>
      </w:pPr>
    </w:p>
    <w:p w14:paraId="3887A9C9" w14:textId="77777777" w:rsidR="00E91DCD" w:rsidRDefault="00E91DCD" w:rsidP="00E91DCD">
      <w:pPr>
        <w:spacing w:line="360" w:lineRule="auto"/>
        <w:jc w:val="both"/>
      </w:pPr>
      <w:r>
        <w:rPr>
          <w:rFonts w:ascii="Book Antiqua" w:eastAsia="Book Antiqua" w:hAnsi="Book Antiqua" w:cs="Book Antiqua"/>
          <w:b/>
          <w:bCs/>
          <w:color w:val="000000"/>
        </w:rPr>
        <w:t xml:space="preserve">Bernadette McCrory, </w:t>
      </w:r>
      <w:r>
        <w:rPr>
          <w:rFonts w:ascii="Book Antiqua" w:eastAsia="Book Antiqua" w:hAnsi="Book Antiqua" w:cs="Book Antiqua"/>
          <w:color w:val="000000"/>
        </w:rPr>
        <w:t>Mechanical and Industrial Engineering, Montana State University, Bozeman, MT 59715, United States</w:t>
      </w:r>
    </w:p>
    <w:p w14:paraId="368F74FC" w14:textId="77777777" w:rsidR="00E91DCD" w:rsidRDefault="00E91DCD">
      <w:pPr>
        <w:spacing w:line="360" w:lineRule="auto"/>
        <w:jc w:val="both"/>
      </w:pPr>
    </w:p>
    <w:p w14:paraId="03470677" w14:textId="78C7C4AB" w:rsidR="00A77B3E" w:rsidRDefault="00AF595A">
      <w:pPr>
        <w:spacing w:line="360" w:lineRule="auto"/>
        <w:jc w:val="both"/>
      </w:pPr>
      <w:r>
        <w:rPr>
          <w:rFonts w:ascii="Book Antiqua" w:eastAsia="Book Antiqua" w:hAnsi="Book Antiqua" w:cs="Book Antiqua"/>
          <w:b/>
          <w:bCs/>
          <w:color w:val="000000"/>
        </w:rPr>
        <w:t>Author contributions:</w:t>
      </w:r>
      <w:r w:rsidR="000B760A">
        <w:rPr>
          <w:rFonts w:ascii="Book Antiqua" w:eastAsia="Book Antiqua" w:hAnsi="Book Antiqua" w:cs="Book Antiqua"/>
          <w:color w:val="000000"/>
        </w:rPr>
        <w:t xml:space="preserve"> </w:t>
      </w:r>
      <w:r>
        <w:rPr>
          <w:rFonts w:ascii="Book Antiqua" w:eastAsia="Book Antiqua" w:hAnsi="Book Antiqua" w:cs="Book Antiqua"/>
          <w:color w:val="000000"/>
        </w:rPr>
        <w:t>Sridhar</w:t>
      </w:r>
      <w:r w:rsidR="000B760A">
        <w:rPr>
          <w:rFonts w:ascii="Book Antiqua" w:eastAsia="Book Antiqua" w:hAnsi="Book Antiqua" w:cs="Book Antiqua"/>
          <w:color w:val="000000"/>
        </w:rPr>
        <w:t xml:space="preserve"> S</w:t>
      </w:r>
      <w:r>
        <w:rPr>
          <w:rFonts w:ascii="Book Antiqua" w:eastAsia="Book Antiqua" w:hAnsi="Book Antiqua" w:cs="Book Antiqua"/>
          <w:color w:val="000000"/>
        </w:rPr>
        <w:t xml:space="preserve"> performed the experiment, data curation, methodology, and writing the original draft;</w:t>
      </w:r>
      <w:r w:rsidR="000B760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Mouat</w:t>
      </w:r>
      <w:proofErr w:type="spellEnd"/>
      <w:r>
        <w:rPr>
          <w:rFonts w:ascii="Book Antiqua" w:eastAsia="Book Antiqua" w:hAnsi="Book Antiqua" w:cs="Book Antiqua"/>
          <w:color w:val="000000"/>
        </w:rPr>
        <w:t>-Hunter</w:t>
      </w:r>
      <w:r w:rsidR="000B760A">
        <w:rPr>
          <w:rFonts w:ascii="Book Antiqua" w:eastAsia="Book Antiqua" w:hAnsi="Book Antiqua" w:cs="Book Antiqua"/>
          <w:color w:val="000000"/>
        </w:rPr>
        <w:t xml:space="preserve"> A</w:t>
      </w:r>
      <w:r>
        <w:rPr>
          <w:rFonts w:ascii="Book Antiqua" w:eastAsia="Book Antiqua" w:hAnsi="Book Antiqua" w:cs="Book Antiqua"/>
          <w:color w:val="000000"/>
        </w:rPr>
        <w:t xml:space="preserve"> was responsible for project administration, validation, review and editing;</w:t>
      </w:r>
      <w:r w:rsidR="000B760A">
        <w:rPr>
          <w:rFonts w:ascii="Book Antiqua" w:eastAsia="Book Antiqua" w:hAnsi="Book Antiqua" w:cs="Book Antiqua"/>
          <w:color w:val="000000"/>
        </w:rPr>
        <w:t xml:space="preserve"> </w:t>
      </w:r>
      <w:r>
        <w:rPr>
          <w:rFonts w:ascii="Book Antiqua" w:eastAsia="Book Antiqua" w:hAnsi="Book Antiqua" w:cs="Book Antiqua"/>
          <w:color w:val="000000"/>
        </w:rPr>
        <w:t>McCrory</w:t>
      </w:r>
      <w:r w:rsidR="000B760A">
        <w:rPr>
          <w:rFonts w:ascii="Book Antiqua" w:eastAsia="Book Antiqua" w:hAnsi="Book Antiqua" w:cs="Book Antiqua"/>
          <w:color w:val="000000"/>
        </w:rPr>
        <w:t xml:space="preserve"> B</w:t>
      </w:r>
      <w:r>
        <w:rPr>
          <w:rFonts w:ascii="Book Antiqua" w:eastAsia="Book Antiqua" w:hAnsi="Book Antiqua" w:cs="Book Antiqua"/>
          <w:color w:val="000000"/>
        </w:rPr>
        <w:t xml:space="preserve"> assisted in funding acquisition, project administration, supervision, review and editing. </w:t>
      </w:r>
    </w:p>
    <w:p w14:paraId="56CFA4A6" w14:textId="77777777" w:rsidR="00A77B3E" w:rsidRDefault="00A77B3E">
      <w:pPr>
        <w:spacing w:line="360" w:lineRule="auto"/>
        <w:jc w:val="both"/>
      </w:pPr>
    </w:p>
    <w:p w14:paraId="76EC4E98" w14:textId="196DA7A8" w:rsidR="00A77B3E" w:rsidRDefault="00AF595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Montana Healthcare Foundation</w:t>
      </w:r>
      <w:r w:rsidR="000B760A">
        <w:rPr>
          <w:rFonts w:ascii="Book Antiqua" w:eastAsia="Book Antiqua" w:hAnsi="Book Antiqua" w:cs="Book Antiqua"/>
          <w:color w:val="000000"/>
        </w:rPr>
        <w:t xml:space="preserve">, No. </w:t>
      </w:r>
      <w:r>
        <w:rPr>
          <w:rFonts w:ascii="Book Antiqua" w:eastAsia="Book Antiqua" w:hAnsi="Book Antiqua" w:cs="Book Antiqua"/>
          <w:color w:val="000000"/>
        </w:rPr>
        <w:t>21467213</w:t>
      </w:r>
      <w:r w:rsidR="000B760A">
        <w:rPr>
          <w:rFonts w:ascii="Book Antiqua" w:eastAsia="Book Antiqua" w:hAnsi="Book Antiqua" w:cs="Book Antiqua"/>
          <w:color w:val="000000"/>
        </w:rPr>
        <w:t>.</w:t>
      </w:r>
    </w:p>
    <w:p w14:paraId="62900957" w14:textId="77777777" w:rsidR="00A77B3E" w:rsidRDefault="00A77B3E">
      <w:pPr>
        <w:spacing w:line="360" w:lineRule="auto"/>
        <w:jc w:val="both"/>
      </w:pPr>
    </w:p>
    <w:p w14:paraId="4AC32CA4" w14:textId="62CB250B" w:rsidR="00A77B3E" w:rsidRDefault="00AF595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Srinivasan Sridhar, </w:t>
      </w:r>
      <w:r w:rsidR="00CF75E3">
        <w:rPr>
          <w:rFonts w:ascii="Book Antiqua" w:eastAsia="Book Antiqua" w:hAnsi="Book Antiqua" w:cs="Book Antiqua"/>
          <w:b/>
          <w:bCs/>
          <w:color w:val="000000"/>
        </w:rPr>
        <w:t>Ph</w:t>
      </w:r>
      <w:r w:rsidR="004001DF">
        <w:rPr>
          <w:rFonts w:ascii="Book Antiqua" w:eastAsia="Book Antiqua" w:hAnsi="Book Antiqua" w:cs="Book Antiqua"/>
          <w:b/>
          <w:bCs/>
          <w:color w:val="000000"/>
        </w:rPr>
        <w:t>D</w:t>
      </w:r>
      <w:r>
        <w:rPr>
          <w:rFonts w:ascii="Book Antiqua" w:eastAsia="Book Antiqua" w:hAnsi="Book Antiqua" w:cs="Book Antiqua"/>
          <w:b/>
          <w:bCs/>
          <w:color w:val="000000"/>
        </w:rPr>
        <w:t>,</w:t>
      </w:r>
      <w:r w:rsidR="006A7340">
        <w:rPr>
          <w:rFonts w:ascii="Book Antiqua" w:eastAsia="Book Antiqua" w:hAnsi="Book Antiqua" w:cs="Book Antiqua"/>
          <w:b/>
          <w:bCs/>
          <w:color w:val="000000"/>
        </w:rPr>
        <w:t xml:space="preserve"> </w:t>
      </w:r>
      <w:r w:rsidR="00F97D8B">
        <w:rPr>
          <w:rFonts w:ascii="Book Antiqua" w:eastAsia="Book Antiqua" w:hAnsi="Book Antiqua" w:cs="Book Antiqua"/>
          <w:color w:val="000000"/>
        </w:rPr>
        <w:t>Center for Health Outcomes and Policy Evaluation, College of Public Health</w:t>
      </w:r>
      <w:r>
        <w:rPr>
          <w:rFonts w:ascii="Book Antiqua" w:eastAsia="Book Antiqua" w:hAnsi="Book Antiqua" w:cs="Book Antiqua"/>
          <w:color w:val="000000"/>
        </w:rPr>
        <w:t xml:space="preserve">, </w:t>
      </w:r>
      <w:r w:rsidR="00DC2782">
        <w:rPr>
          <w:rFonts w:ascii="Book Antiqua" w:eastAsia="Book Antiqua" w:hAnsi="Book Antiqua" w:cs="Book Antiqua"/>
          <w:color w:val="000000"/>
        </w:rPr>
        <w:t>The Ohio</w:t>
      </w:r>
      <w:r>
        <w:rPr>
          <w:rFonts w:ascii="Book Antiqua" w:eastAsia="Book Antiqua" w:hAnsi="Book Antiqua" w:cs="Book Antiqua"/>
          <w:color w:val="000000"/>
        </w:rPr>
        <w:t xml:space="preserve"> State University, </w:t>
      </w:r>
      <w:r w:rsidR="00DC2782">
        <w:rPr>
          <w:rFonts w:ascii="Book Antiqua" w:eastAsia="Book Antiqua" w:hAnsi="Book Antiqua" w:cs="Book Antiqua"/>
          <w:color w:val="000000"/>
        </w:rPr>
        <w:t xml:space="preserve">1841 Neil Avenue, </w:t>
      </w:r>
      <w:proofErr w:type="spellStart"/>
      <w:r w:rsidR="009F43A2">
        <w:rPr>
          <w:rFonts w:ascii="Book Antiqua" w:eastAsia="Book Antiqua" w:hAnsi="Book Antiqua" w:cs="Book Antiqua"/>
          <w:color w:val="000000"/>
        </w:rPr>
        <w:t>Cunz</w:t>
      </w:r>
      <w:proofErr w:type="spellEnd"/>
      <w:r w:rsidR="009F43A2">
        <w:rPr>
          <w:rFonts w:ascii="Book Antiqua" w:eastAsia="Book Antiqua" w:hAnsi="Book Antiqua" w:cs="Book Antiqua"/>
          <w:color w:val="000000"/>
        </w:rPr>
        <w:t xml:space="preserve"> Hall, </w:t>
      </w:r>
      <w:r w:rsidR="00C67A3F">
        <w:rPr>
          <w:rFonts w:ascii="Book Antiqua" w:eastAsia="Book Antiqua" w:hAnsi="Book Antiqua" w:cs="Book Antiqua"/>
          <w:color w:val="000000"/>
        </w:rPr>
        <w:t>Columbus</w:t>
      </w:r>
      <w:r w:rsidR="00BA0F33">
        <w:rPr>
          <w:rFonts w:ascii="Book Antiqua" w:eastAsia="Book Antiqua" w:hAnsi="Book Antiqua" w:cs="Book Antiqua"/>
          <w:color w:val="000000"/>
        </w:rPr>
        <w:t xml:space="preserve">, </w:t>
      </w:r>
      <w:r w:rsidR="00C67A3F">
        <w:rPr>
          <w:rFonts w:ascii="Book Antiqua" w:eastAsia="Book Antiqua" w:hAnsi="Book Antiqua" w:cs="Book Antiqua"/>
          <w:color w:val="000000"/>
        </w:rPr>
        <w:t>OH 43210</w:t>
      </w:r>
      <w:r>
        <w:rPr>
          <w:rFonts w:ascii="Book Antiqua" w:eastAsia="Book Antiqua" w:hAnsi="Book Antiqua" w:cs="Book Antiqua"/>
          <w:color w:val="000000"/>
        </w:rPr>
        <w:t xml:space="preserve">, United States. </w:t>
      </w:r>
      <w:hyperlink r:id="rId6" w:history="1">
        <w:r w:rsidR="005E0DF9" w:rsidRPr="00AA4551">
          <w:rPr>
            <w:rStyle w:val="a7"/>
            <w:rFonts w:ascii="Book Antiqua" w:eastAsia="Book Antiqua" w:hAnsi="Book Antiqua" w:cs="Book Antiqua"/>
            <w:color w:val="auto"/>
            <w:u w:val="none"/>
          </w:rPr>
          <w:t>sridhar.96@osu.edu</w:t>
        </w:r>
      </w:hyperlink>
    </w:p>
    <w:p w14:paraId="2460A243" w14:textId="77777777" w:rsidR="00A77B3E" w:rsidRDefault="00AF595A">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25, 2022</w:t>
      </w:r>
    </w:p>
    <w:p w14:paraId="2A3DA12F" w14:textId="77777777" w:rsidR="00A77B3E" w:rsidRDefault="00AF595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 2023</w:t>
      </w:r>
    </w:p>
    <w:p w14:paraId="2C3E38AF" w14:textId="3D88E368" w:rsidR="007F42BB" w:rsidRPr="007F42BB"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ins w:id="0" w:author="BPG Wang,Jin-Lei" w:date="2023-02-15T15:53:00Z">
        <w:r w:rsidR="005D6D6B" w:rsidRPr="005D6D6B">
          <w:rPr>
            <w:rFonts w:ascii="Book Antiqua" w:eastAsia="Book Antiqua" w:hAnsi="Book Antiqua" w:cs="Book Antiqua"/>
            <w:color w:val="000000"/>
          </w:rPr>
          <w:t>February 15, 2023</w:t>
        </w:r>
      </w:ins>
    </w:p>
    <w:p w14:paraId="2B96C14E" w14:textId="66C9E6F5" w:rsidR="00A77B3E" w:rsidRDefault="00AF595A">
      <w:pPr>
        <w:spacing w:line="360" w:lineRule="auto"/>
        <w:jc w:val="both"/>
      </w:pPr>
      <w:r>
        <w:rPr>
          <w:rFonts w:ascii="Book Antiqua" w:eastAsia="Book Antiqua" w:hAnsi="Book Antiqua" w:cs="Book Antiqua"/>
          <w:b/>
          <w:bCs/>
          <w:color w:val="000000"/>
        </w:rPr>
        <w:t xml:space="preserve">Published online: </w:t>
      </w:r>
    </w:p>
    <w:p w14:paraId="1B51347C" w14:textId="77777777" w:rsidR="00EA3487" w:rsidRDefault="00EA3487">
      <w:pPr>
        <w:spacing w:line="360" w:lineRule="auto"/>
        <w:jc w:val="both"/>
      </w:pPr>
    </w:p>
    <w:p w14:paraId="1BDB8074" w14:textId="77777777" w:rsidR="00A77B3E" w:rsidRDefault="00AF595A">
      <w:pPr>
        <w:spacing w:line="360" w:lineRule="auto"/>
        <w:jc w:val="both"/>
      </w:pPr>
      <w:r>
        <w:rPr>
          <w:rFonts w:ascii="Book Antiqua" w:eastAsia="Book Antiqua" w:hAnsi="Book Antiqua" w:cs="Book Antiqua"/>
          <w:b/>
          <w:color w:val="000000"/>
        </w:rPr>
        <w:t>Abstract</w:t>
      </w:r>
    </w:p>
    <w:p w14:paraId="4EDBA8CC" w14:textId="77777777" w:rsidR="00A77B3E" w:rsidRDefault="00AF595A">
      <w:pPr>
        <w:spacing w:line="360" w:lineRule="auto"/>
        <w:jc w:val="both"/>
      </w:pPr>
      <w:r>
        <w:rPr>
          <w:rFonts w:ascii="Book Antiqua" w:eastAsia="Book Antiqua" w:hAnsi="Book Antiqua" w:cs="Book Antiqua"/>
          <w:color w:val="000000"/>
        </w:rPr>
        <w:t>BACKGROUND</w:t>
      </w:r>
    </w:p>
    <w:p w14:paraId="5BE77EF6" w14:textId="2B341D8B" w:rsidR="00A77B3E" w:rsidRDefault="00AF595A">
      <w:pPr>
        <w:spacing w:line="360" w:lineRule="auto"/>
        <w:jc w:val="both"/>
      </w:pPr>
      <w:bookmarkStart w:id="1" w:name="_Hlk124672908"/>
      <w:r>
        <w:rPr>
          <w:rFonts w:ascii="Book Antiqua" w:eastAsia="Book Antiqua" w:hAnsi="Book Antiqua" w:cs="Book Antiqua"/>
          <w:color w:val="000000"/>
          <w:szCs w:val="22"/>
        </w:rPr>
        <w:t xml:space="preserve">Perioperative </w:t>
      </w:r>
      <w:r w:rsidR="00130E99">
        <w:rPr>
          <w:rFonts w:ascii="Book Antiqua" w:eastAsia="Book Antiqua" w:hAnsi="Book Antiqua" w:cs="Book Antiqua"/>
          <w:color w:val="000000"/>
          <w:szCs w:val="22"/>
        </w:rPr>
        <w:t>surgical ho</w:t>
      </w:r>
      <w:r>
        <w:rPr>
          <w:rFonts w:ascii="Book Antiqua" w:eastAsia="Book Antiqua" w:hAnsi="Book Antiqua" w:cs="Book Antiqua"/>
          <w:color w:val="000000"/>
          <w:szCs w:val="22"/>
        </w:rPr>
        <w:t>me</w:t>
      </w:r>
      <w:bookmarkEnd w:id="1"/>
      <w:r>
        <w:rPr>
          <w:rFonts w:ascii="Book Antiqua" w:eastAsia="Book Antiqua" w:hAnsi="Book Antiqua" w:cs="Book Antiqua"/>
          <w:color w:val="000000"/>
          <w:szCs w:val="22"/>
        </w:rPr>
        <w:t xml:space="preserve"> (PSH) is a novel patient-centric surgical system developed by American Society of Anesthesiologist</w:t>
      </w:r>
      <w:r w:rsidR="00EC6C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to improve outcomes and patient satisfaction. PSH has proven success in large urban health centers by reducing surgery cancellation, operating room time, </w:t>
      </w:r>
      <w:bookmarkStart w:id="2" w:name="_Hlk124672718"/>
      <w:r>
        <w:rPr>
          <w:rFonts w:ascii="Book Antiqua" w:eastAsia="Book Antiqua" w:hAnsi="Book Antiqua" w:cs="Book Antiqua"/>
          <w:color w:val="000000"/>
          <w:szCs w:val="22"/>
        </w:rPr>
        <w:t>length of stay</w:t>
      </w:r>
      <w:bookmarkEnd w:id="2"/>
      <w:r>
        <w:rPr>
          <w:rFonts w:ascii="Book Antiqua" w:eastAsia="Book Antiqua" w:hAnsi="Book Antiqua" w:cs="Book Antiqua"/>
          <w:color w:val="000000"/>
          <w:szCs w:val="22"/>
        </w:rPr>
        <w:t xml:space="preserve"> (LOS), and readmission rates. Yet, only limited studies have assessed the impact of PSH on surgical outcomes in rural areas.</w:t>
      </w:r>
    </w:p>
    <w:p w14:paraId="5AFE8FF0" w14:textId="77777777" w:rsidR="00A77B3E" w:rsidRDefault="00A77B3E">
      <w:pPr>
        <w:spacing w:line="360" w:lineRule="auto"/>
        <w:jc w:val="both"/>
      </w:pPr>
    </w:p>
    <w:p w14:paraId="72E4CB97" w14:textId="77777777" w:rsidR="00A77B3E" w:rsidRDefault="00AF595A">
      <w:pPr>
        <w:spacing w:line="360" w:lineRule="auto"/>
        <w:jc w:val="both"/>
      </w:pPr>
      <w:r>
        <w:rPr>
          <w:rFonts w:ascii="Book Antiqua" w:eastAsia="Book Antiqua" w:hAnsi="Book Antiqua" w:cs="Book Antiqua"/>
          <w:color w:val="000000"/>
        </w:rPr>
        <w:t>AIM</w:t>
      </w:r>
    </w:p>
    <w:p w14:paraId="4E636527" w14:textId="589571BC" w:rsidR="00A77B3E" w:rsidRDefault="00EA3487">
      <w:pPr>
        <w:spacing w:line="360" w:lineRule="auto"/>
        <w:jc w:val="both"/>
      </w:pPr>
      <w:r>
        <w:rPr>
          <w:rFonts w:ascii="Book Antiqua" w:eastAsia="Book Antiqua" w:hAnsi="Book Antiqua" w:cs="Book Antiqua"/>
          <w:color w:val="000000"/>
          <w:szCs w:val="22"/>
        </w:rPr>
        <w:t>To e</w:t>
      </w:r>
      <w:r w:rsidR="00AF595A">
        <w:rPr>
          <w:rFonts w:ascii="Book Antiqua" w:eastAsia="Book Antiqua" w:hAnsi="Book Antiqua" w:cs="Book Antiqua"/>
          <w:color w:val="000000"/>
          <w:szCs w:val="22"/>
        </w:rPr>
        <w:t>valuate the newly implemented PSH system at a community hospital by comparing the surgical outcomes using a longitudinal case-control study.</w:t>
      </w:r>
    </w:p>
    <w:p w14:paraId="562C6867" w14:textId="77777777" w:rsidR="00A77B3E" w:rsidRDefault="00A77B3E">
      <w:pPr>
        <w:spacing w:line="360" w:lineRule="auto"/>
        <w:jc w:val="both"/>
      </w:pPr>
    </w:p>
    <w:p w14:paraId="00AE0C17" w14:textId="77777777" w:rsidR="00A77B3E" w:rsidRDefault="00AF595A">
      <w:pPr>
        <w:spacing w:line="360" w:lineRule="auto"/>
        <w:jc w:val="both"/>
      </w:pPr>
      <w:r>
        <w:rPr>
          <w:rFonts w:ascii="Book Antiqua" w:eastAsia="Book Antiqua" w:hAnsi="Book Antiqua" w:cs="Book Antiqua"/>
          <w:color w:val="000000"/>
        </w:rPr>
        <w:t>METHODS</w:t>
      </w:r>
    </w:p>
    <w:p w14:paraId="30128B93" w14:textId="0429BF7B" w:rsidR="00A77B3E" w:rsidRDefault="00AF595A">
      <w:pPr>
        <w:spacing w:line="360" w:lineRule="auto"/>
        <w:jc w:val="both"/>
      </w:pPr>
      <w:r>
        <w:rPr>
          <w:rFonts w:ascii="Book Antiqua" w:eastAsia="Book Antiqua" w:hAnsi="Book Antiqua" w:cs="Book Antiqua"/>
          <w:color w:val="000000"/>
          <w:szCs w:val="22"/>
        </w:rPr>
        <w:t>The research study was conducted at an 83-bed, licensed level-III trauma rural community hospital. A total of 3096 TJR procedures were collected retrospectively between January 2016 and December 2021 and were categorized as PSH and non-PSH cohorts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2305). To evaluate the importance of PSH in the rural surgical system, a case-control study was performed to compare TJR surgical outcomes (LOS, discharge disposition, and 90-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of the PSH cohort against two control cohorts </w:t>
      </w:r>
      <w:r w:rsidR="00EC6CDF">
        <w:rPr>
          <w:rFonts w:ascii="Book Antiqua" w:eastAsia="Book Antiqua" w:hAnsi="Book Antiqua" w:cs="Book Antiqua"/>
          <w:color w:val="000000"/>
          <w:szCs w:val="22"/>
        </w:rPr>
        <w:t>[</w:t>
      </w:r>
      <w:r w:rsidR="008212C6" w:rsidRPr="006F0E2D">
        <w:rPr>
          <w:rFonts w:ascii="Book Antiqua" w:eastAsia="Book Antiqua" w:hAnsi="Book Antiqua" w:cs="Book Antiqua"/>
          <w:color w:val="000000"/>
        </w:rPr>
        <w:t xml:space="preserve">Control-1 PSH </w:t>
      </w:r>
      <w:r w:rsidR="008212C6">
        <w:rPr>
          <w:rFonts w:ascii="Book Antiqua" w:eastAsia="Book Antiqua" w:hAnsi="Book Antiqua" w:cs="Book Antiqua"/>
          <w:color w:val="000000"/>
        </w:rPr>
        <w:t>(C1-PSH)</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1413) and </w:t>
      </w:r>
      <w:r w:rsidR="007067E8" w:rsidRPr="006F0E2D">
        <w:rPr>
          <w:rFonts w:ascii="Book Antiqua" w:eastAsia="Book Antiqua" w:hAnsi="Book Antiqua" w:cs="Book Antiqua"/>
          <w:color w:val="000000"/>
        </w:rPr>
        <w:t xml:space="preserve">Control-2 PSH </w:t>
      </w:r>
      <w:r w:rsidR="007067E8">
        <w:rPr>
          <w:rFonts w:ascii="Book Antiqua" w:eastAsia="Book Antiqua" w:hAnsi="Book Antiqua" w:cs="Book Antiqua"/>
          <w:color w:val="000000"/>
        </w:rPr>
        <w:t>(C2-PSH)</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892)</w:t>
      </w:r>
      <w:r w:rsidR="00EC6CD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Statistical tests including Chi-square test or Fischer’s exact test were performed for categorical variables and Mann-Whitney test or Student’s </w:t>
      </w:r>
      <w:r w:rsidRPr="008212C6">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-test were performed for continuous variables. The general linear models (Poisson regression and binomial logistic regression) were performed to fit adjusted models. </w:t>
      </w:r>
    </w:p>
    <w:p w14:paraId="5281493D" w14:textId="77777777" w:rsidR="00A77B3E" w:rsidRDefault="00A77B3E">
      <w:pPr>
        <w:spacing w:line="360" w:lineRule="auto"/>
        <w:jc w:val="both"/>
      </w:pPr>
    </w:p>
    <w:p w14:paraId="44E38F66" w14:textId="77777777" w:rsidR="00A77B3E" w:rsidRDefault="00AF595A">
      <w:pPr>
        <w:spacing w:line="360" w:lineRule="auto"/>
        <w:jc w:val="both"/>
      </w:pPr>
      <w:r>
        <w:rPr>
          <w:rFonts w:ascii="Book Antiqua" w:eastAsia="Book Antiqua" w:hAnsi="Book Antiqua" w:cs="Book Antiqua"/>
          <w:color w:val="000000"/>
        </w:rPr>
        <w:t>RESULTS</w:t>
      </w:r>
    </w:p>
    <w:p w14:paraId="6901234E" w14:textId="2FB35B34" w:rsidR="00A77B3E" w:rsidRDefault="00AF595A">
      <w:pPr>
        <w:spacing w:line="360" w:lineRule="auto"/>
        <w:jc w:val="both"/>
      </w:pPr>
      <w:r>
        <w:rPr>
          <w:rFonts w:ascii="Book Antiqua" w:eastAsia="Book Antiqua" w:hAnsi="Book Antiqua" w:cs="Book Antiqua"/>
          <w:color w:val="000000"/>
          <w:szCs w:val="22"/>
        </w:rPr>
        <w:t>The LOS was significantly shorter in PSH cohort compared to two control cohorts (median PSH = 34 h, C1-PSH = 53 h, C2-PSH = 35 h) (</w:t>
      </w:r>
      <w:r w:rsidRPr="00EC6CDF">
        <w:rPr>
          <w:rFonts w:ascii="Book Antiqua" w:eastAsia="Book Antiqua" w:hAnsi="Book Antiqua" w:cs="Book Antiqua"/>
          <w:i/>
          <w:iCs/>
          <w:color w:val="000000"/>
          <w:szCs w:val="22"/>
        </w:rPr>
        <w:t>P</w:t>
      </w:r>
      <w:r>
        <w:rPr>
          <w:rFonts w:ascii="Book Antiqua" w:eastAsia="Book Antiqua" w:hAnsi="Book Antiqua" w:cs="Book Antiqua"/>
          <w:color w:val="000000"/>
          <w:szCs w:val="22"/>
        </w:rPr>
        <w:t>-value &lt;</w:t>
      </w:r>
      <w:r w:rsidR="00EC6C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Similarly, the PSH cohort had lower percentages of discharges to other facilities (PSH = 3.5%, C1-PSH = 15.5%, C2-PSH = 6.7%) (</w:t>
      </w:r>
      <w:r w:rsidRPr="00EC6CDF">
        <w:rPr>
          <w:rFonts w:ascii="Book Antiqua" w:eastAsia="Book Antiqua" w:hAnsi="Book Antiqua" w:cs="Book Antiqua"/>
          <w:i/>
          <w:iCs/>
          <w:color w:val="000000"/>
          <w:szCs w:val="22"/>
        </w:rPr>
        <w:t>P</w:t>
      </w:r>
      <w:r>
        <w:rPr>
          <w:rFonts w:ascii="Book Antiqua" w:eastAsia="Book Antiqua" w:hAnsi="Book Antiqua" w:cs="Book Antiqua"/>
          <w:color w:val="000000"/>
          <w:szCs w:val="22"/>
        </w:rPr>
        <w:t>-value &lt;</w:t>
      </w:r>
      <w:r w:rsidR="00EC6C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There was no statistical difference observed in 90-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between control and PSH cohorts. However, the PSH implementation reduced the 90-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percentage (PSH = 4.7%, C1-PSH =</w:t>
      </w:r>
      <w:r w:rsidR="00EC6C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6.1%, C2-PSH = 3.6%) lower than the national average 30-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percentage which is 5.5%. The PSH system was effectively established at the rural community hospital with the help of team-based coordinated multi-disciplinary clinicians or physician co-management. The elements of PSH including preoperative assessment, patient education and optimization, and longitudinal digital engagement were vital for improving the TJR surgical outcomes at the community hospital. </w:t>
      </w:r>
    </w:p>
    <w:p w14:paraId="6BB44CB6" w14:textId="77777777" w:rsidR="00A77B3E" w:rsidRDefault="00A77B3E">
      <w:pPr>
        <w:spacing w:line="360" w:lineRule="auto"/>
        <w:jc w:val="both"/>
      </w:pPr>
    </w:p>
    <w:p w14:paraId="7EEFD91A" w14:textId="77777777" w:rsidR="00A77B3E" w:rsidRDefault="00AF595A">
      <w:pPr>
        <w:spacing w:line="360" w:lineRule="auto"/>
        <w:jc w:val="both"/>
      </w:pPr>
      <w:r>
        <w:rPr>
          <w:rFonts w:ascii="Book Antiqua" w:eastAsia="Book Antiqua" w:hAnsi="Book Antiqua" w:cs="Book Antiqua"/>
          <w:color w:val="000000"/>
        </w:rPr>
        <w:t>CONCLUSION</w:t>
      </w:r>
    </w:p>
    <w:p w14:paraId="5268A55E" w14:textId="43E665BA" w:rsidR="00A77B3E" w:rsidRDefault="00AF595A">
      <w:pPr>
        <w:spacing w:line="360" w:lineRule="auto"/>
        <w:jc w:val="both"/>
      </w:pPr>
      <w:r>
        <w:rPr>
          <w:rFonts w:ascii="Book Antiqua" w:eastAsia="Book Antiqua" w:hAnsi="Book Antiqua" w:cs="Book Antiqua"/>
          <w:color w:val="000000"/>
          <w:szCs w:val="22"/>
        </w:rPr>
        <w:t>Implementation of the PSH system in a rural community hospital reduced LOS, increased direct-to-home discharge, and reduced 90-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percentages.</w:t>
      </w:r>
    </w:p>
    <w:p w14:paraId="139CE8C8" w14:textId="77777777" w:rsidR="00A77B3E" w:rsidRDefault="00A77B3E">
      <w:pPr>
        <w:spacing w:line="360" w:lineRule="auto"/>
        <w:jc w:val="both"/>
      </w:pPr>
    </w:p>
    <w:p w14:paraId="059B0E23" w14:textId="6AA45FA0" w:rsidR="00A77B3E" w:rsidRDefault="00AF595A">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 xml:space="preserve">Perioperative </w:t>
      </w:r>
      <w:r w:rsidR="00130E99">
        <w:rPr>
          <w:rFonts w:ascii="Book Antiqua" w:eastAsia="Book Antiqua" w:hAnsi="Book Antiqua" w:cs="Book Antiqua"/>
          <w:color w:val="000000"/>
        </w:rPr>
        <w:t>surgical ho</w:t>
      </w:r>
      <w:r>
        <w:rPr>
          <w:rFonts w:ascii="Book Antiqua" w:eastAsia="Book Antiqua" w:hAnsi="Book Antiqua" w:cs="Book Antiqua"/>
          <w:color w:val="000000"/>
        </w:rPr>
        <w:t xml:space="preserve">me; Rural </w:t>
      </w:r>
      <w:r w:rsidR="00130E99">
        <w:rPr>
          <w:rFonts w:ascii="Book Antiqua" w:eastAsia="Book Antiqua" w:hAnsi="Book Antiqua" w:cs="Book Antiqua"/>
          <w:color w:val="000000"/>
        </w:rPr>
        <w:t>m</w:t>
      </w:r>
      <w:r>
        <w:rPr>
          <w:rFonts w:ascii="Book Antiqua" w:eastAsia="Book Antiqua" w:hAnsi="Book Antiqua" w:cs="Book Antiqua"/>
          <w:color w:val="000000"/>
        </w:rPr>
        <w:t>edicine; Case-</w:t>
      </w:r>
      <w:r w:rsidR="00130E99">
        <w:rPr>
          <w:rFonts w:ascii="Book Antiqua" w:eastAsia="Book Antiqua" w:hAnsi="Book Antiqua" w:cs="Book Antiqua"/>
          <w:color w:val="000000"/>
        </w:rPr>
        <w:t>control s</w:t>
      </w:r>
      <w:r>
        <w:rPr>
          <w:rFonts w:ascii="Book Antiqua" w:eastAsia="Book Antiqua" w:hAnsi="Book Antiqua" w:cs="Book Antiqua"/>
          <w:color w:val="000000"/>
        </w:rPr>
        <w:t xml:space="preserve">tudy; Total </w:t>
      </w:r>
      <w:r w:rsidR="00130E99">
        <w:rPr>
          <w:rFonts w:ascii="Book Antiqua" w:eastAsia="Book Antiqua" w:hAnsi="Book Antiqua" w:cs="Book Antiqua"/>
          <w:color w:val="000000"/>
        </w:rPr>
        <w:t>joint r</w:t>
      </w:r>
      <w:r>
        <w:rPr>
          <w:rFonts w:ascii="Book Antiqua" w:eastAsia="Book Antiqua" w:hAnsi="Book Antiqua" w:cs="Book Antiqua"/>
          <w:color w:val="000000"/>
        </w:rPr>
        <w:t xml:space="preserve">eplacements; Health </w:t>
      </w:r>
      <w:r w:rsidR="00130E99">
        <w:rPr>
          <w:rFonts w:ascii="Book Antiqua" w:eastAsia="Book Antiqua" w:hAnsi="Book Antiqua" w:cs="Book Antiqua"/>
          <w:color w:val="000000"/>
        </w:rPr>
        <w:t>e</w:t>
      </w:r>
      <w:r>
        <w:rPr>
          <w:rFonts w:ascii="Book Antiqua" w:eastAsia="Book Antiqua" w:hAnsi="Book Antiqua" w:cs="Book Antiqua"/>
          <w:color w:val="000000"/>
        </w:rPr>
        <w:t>quity</w:t>
      </w:r>
    </w:p>
    <w:p w14:paraId="287A0126" w14:textId="77777777" w:rsidR="00A77B3E" w:rsidRDefault="00A77B3E">
      <w:pPr>
        <w:spacing w:line="360" w:lineRule="auto"/>
        <w:jc w:val="both"/>
      </w:pPr>
    </w:p>
    <w:p w14:paraId="6B8ADDA0" w14:textId="5D8BB2E9" w:rsidR="00A77B3E" w:rsidRDefault="00AF595A">
      <w:pPr>
        <w:spacing w:line="360" w:lineRule="auto"/>
        <w:jc w:val="both"/>
      </w:pPr>
      <w:r>
        <w:rPr>
          <w:rFonts w:ascii="Book Antiqua" w:eastAsia="Book Antiqua" w:hAnsi="Book Antiqua" w:cs="Book Antiqua"/>
          <w:color w:val="000000"/>
        </w:rPr>
        <w:t xml:space="preserve">Sridhar S, </w:t>
      </w:r>
      <w:proofErr w:type="spellStart"/>
      <w:r>
        <w:rPr>
          <w:rFonts w:ascii="Book Antiqua" w:eastAsia="Book Antiqua" w:hAnsi="Book Antiqua" w:cs="Book Antiqua"/>
          <w:color w:val="000000"/>
        </w:rPr>
        <w:t>Mouat</w:t>
      </w:r>
      <w:proofErr w:type="spellEnd"/>
      <w:r>
        <w:rPr>
          <w:rFonts w:ascii="Book Antiqua" w:eastAsia="Book Antiqua" w:hAnsi="Book Antiqua" w:cs="Book Antiqua"/>
          <w:color w:val="000000"/>
        </w:rPr>
        <w:t>-Hunter A, McCrory B. Rural</w:t>
      </w:r>
      <w:r w:rsidR="00130E99">
        <w:rPr>
          <w:rFonts w:ascii="Book Antiqua" w:eastAsia="Book Antiqua" w:hAnsi="Book Antiqua" w:cs="Book Antiqua"/>
          <w:color w:val="000000"/>
        </w:rPr>
        <w:t xml:space="preserve"> implementation of the perioperative surgical hom</w:t>
      </w:r>
      <w:r>
        <w:rPr>
          <w:rFonts w:ascii="Book Antiqua" w:eastAsia="Book Antiqua" w:hAnsi="Book Antiqua" w:cs="Book Antiqua"/>
          <w:color w:val="000000"/>
        </w:rPr>
        <w:t xml:space="preserve">e: A </w:t>
      </w:r>
      <w:r w:rsidR="00130E99">
        <w:rPr>
          <w:rFonts w:ascii="Book Antiqua" w:eastAsia="Book Antiqua" w:hAnsi="Book Antiqua" w:cs="Book Antiqua"/>
          <w:color w:val="000000"/>
        </w:rPr>
        <w:t>case-control s</w:t>
      </w:r>
      <w:r>
        <w:rPr>
          <w:rFonts w:ascii="Book Antiqua" w:eastAsia="Book Antiqua" w:hAnsi="Book Antiqua" w:cs="Book Antiqua"/>
          <w:color w:val="000000"/>
        </w:rPr>
        <w:t xml:space="preserve">tudy.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2023; In press</w:t>
      </w:r>
    </w:p>
    <w:p w14:paraId="496546A0" w14:textId="77777777" w:rsidR="00A77B3E" w:rsidRDefault="00A77B3E">
      <w:pPr>
        <w:spacing w:line="360" w:lineRule="auto"/>
        <w:jc w:val="both"/>
      </w:pPr>
    </w:p>
    <w:p w14:paraId="4D533992" w14:textId="030A0963" w:rsidR="00A77B3E" w:rsidRDefault="00AF595A">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study evaluated the newly implemented </w:t>
      </w:r>
      <w:r w:rsidR="00130E99">
        <w:rPr>
          <w:rFonts w:ascii="Book Antiqua" w:eastAsia="Book Antiqua" w:hAnsi="Book Antiqua" w:cs="Book Antiqua"/>
          <w:color w:val="000000"/>
        </w:rPr>
        <w:t>perioperative surgical h</w:t>
      </w:r>
      <w:r>
        <w:rPr>
          <w:rFonts w:ascii="Book Antiqua" w:eastAsia="Book Antiqua" w:hAnsi="Book Antiqua" w:cs="Book Antiqua"/>
          <w:color w:val="000000"/>
        </w:rPr>
        <w:t xml:space="preserve">ome (PSH) at a rural community hospital using a case-control design. With limited supporting microsystems, team-based physician co-management was vital to establish the PSH system and following protocols including preoperative assessment, patient </w:t>
      </w:r>
      <w:r>
        <w:rPr>
          <w:rFonts w:ascii="Book Antiqua" w:eastAsia="Book Antiqua" w:hAnsi="Book Antiqua" w:cs="Book Antiqua"/>
          <w:color w:val="000000"/>
        </w:rPr>
        <w:lastRenderedPageBreak/>
        <w:t xml:space="preserve">education, and longitudinal digital engagement. The surgical outcomes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w:t>
      </w:r>
      <w:r w:rsidR="00130E99">
        <w:rPr>
          <w:rFonts w:ascii="Book Antiqua" w:eastAsia="Book Antiqua" w:hAnsi="Book Antiqua" w:cs="Book Antiqua"/>
          <w:color w:val="000000"/>
        </w:rPr>
        <w:t>length of s</w:t>
      </w:r>
      <w:r>
        <w:rPr>
          <w:rFonts w:ascii="Book Antiqua" w:eastAsia="Book Antiqua" w:hAnsi="Book Antiqua" w:cs="Book Antiqua"/>
          <w:color w:val="000000"/>
        </w:rPr>
        <w:t>tay, discharge disposition, and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were compared between the PSH cohort and the control cohorts. The results from this study highlighted the effectiveness of PSH in improving total joint replacement surgical outcomes, especially for high-risk patients who are older and have one or more medical complications. </w:t>
      </w:r>
    </w:p>
    <w:p w14:paraId="0CD480E4" w14:textId="77777777" w:rsidR="00A77B3E" w:rsidRDefault="00A77B3E">
      <w:pPr>
        <w:spacing w:line="360" w:lineRule="auto"/>
        <w:jc w:val="both"/>
      </w:pPr>
    </w:p>
    <w:p w14:paraId="4F615F0D" w14:textId="77777777" w:rsidR="00A77B3E" w:rsidRDefault="00AF595A">
      <w:pPr>
        <w:spacing w:line="360" w:lineRule="auto"/>
        <w:jc w:val="both"/>
      </w:pPr>
      <w:r>
        <w:rPr>
          <w:rFonts w:ascii="Book Antiqua" w:eastAsia="Book Antiqua" w:hAnsi="Book Antiqua" w:cs="Book Antiqua"/>
          <w:b/>
          <w:caps/>
          <w:color w:val="000000"/>
          <w:u w:val="single"/>
        </w:rPr>
        <w:t>INTRODUCTION</w:t>
      </w:r>
    </w:p>
    <w:p w14:paraId="658866B6" w14:textId="6A8BAD0C" w:rsidR="00A77B3E" w:rsidRDefault="00AF595A">
      <w:pPr>
        <w:spacing w:line="360" w:lineRule="auto"/>
        <w:jc w:val="both"/>
      </w:pPr>
      <w:r>
        <w:rPr>
          <w:rFonts w:ascii="Book Antiqua" w:eastAsia="Book Antiqua" w:hAnsi="Book Antiqua" w:cs="Book Antiqua"/>
          <w:color w:val="000000"/>
        </w:rPr>
        <w:t>The demand for orthopedic surgeries including</w:t>
      </w:r>
      <w:r w:rsidR="00130E99">
        <w:rPr>
          <w:rFonts w:ascii="Book Antiqua" w:eastAsia="Book Antiqua" w:hAnsi="Book Antiqua" w:cs="Book Antiqua"/>
          <w:color w:val="000000"/>
        </w:rPr>
        <w:t xml:space="preserve"> total joint repla</w:t>
      </w:r>
      <w:r>
        <w:rPr>
          <w:rFonts w:ascii="Book Antiqua" w:eastAsia="Book Antiqua" w:hAnsi="Book Antiqua" w:cs="Book Antiqua"/>
          <w:color w:val="000000"/>
        </w:rPr>
        <w:t xml:space="preserve">cement (TJR), which are primarily performed on hips, knees, and shoulders, are drastically increasing each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Yet, delivering quality surgical care to large volumes of TJR patients is a challenge to many hospitals, specifically those hospitals located in rural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Rural and frontier health systems have siloed perioperative care that is spread across many disciplines and institutions, which contributes to inadequate communication, high cost, poor care continuity, and preventable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On average, TJR patients are 65 years or older, and have one or more health conditions (</w:t>
      </w:r>
      <w:r w:rsidRPr="00130E99">
        <w:rPr>
          <w:rFonts w:ascii="Book Antiqua" w:eastAsia="Book Antiqua" w:hAnsi="Book Antiqua" w:cs="Book Antiqua"/>
          <w:i/>
          <w:iCs/>
          <w:color w:val="000000"/>
        </w:rPr>
        <w:t>e.g.</w:t>
      </w:r>
      <w:r>
        <w:rPr>
          <w:rFonts w:ascii="Book Antiqua" w:eastAsia="Book Antiqua" w:hAnsi="Book Antiqua" w:cs="Book Antiqua"/>
          <w:color w:val="000000"/>
        </w:rPr>
        <w:t>, comorbidities). Due to generally higher risk of surgery in these populations, there is a 1% to 50% chance of adverse events in TJR surgeries including major cardiac incidents, healthcare-acquired conditions, extended</w:t>
      </w:r>
      <w:r w:rsidR="00130E99">
        <w:rPr>
          <w:rFonts w:ascii="Book Antiqua" w:eastAsia="Book Antiqua" w:hAnsi="Book Antiqua" w:cs="Book Antiqua"/>
          <w:color w:val="000000"/>
        </w:rPr>
        <w:t xml:space="preserve"> length of st</w:t>
      </w:r>
      <w:r>
        <w:rPr>
          <w:rFonts w:ascii="Book Antiqua" w:eastAsia="Book Antiqua" w:hAnsi="Book Antiqua" w:cs="Book Antiqua"/>
          <w:color w:val="000000"/>
        </w:rPr>
        <w:t xml:space="preserve">ay (LOS), readmission to inpatient facilities, improper pain management, and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w:t>
      </w:r>
    </w:p>
    <w:p w14:paraId="3CD95106" w14:textId="3A10AFD4"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To improve surgical outcomes and patient experience, the </w:t>
      </w:r>
      <w:r w:rsidR="00130E99">
        <w:rPr>
          <w:rFonts w:ascii="Book Antiqua" w:eastAsia="Book Antiqua" w:hAnsi="Book Antiqua" w:cs="Book Antiqua"/>
          <w:color w:val="000000"/>
        </w:rPr>
        <w:t>perioperative surgical h</w:t>
      </w:r>
      <w:r>
        <w:rPr>
          <w:rFonts w:ascii="Book Antiqua" w:eastAsia="Book Antiqua" w:hAnsi="Book Antiqua" w:cs="Book Antiqua"/>
          <w:color w:val="000000"/>
        </w:rPr>
        <w:t>ome (PSH) model of care was created by the leaders within American Society of Anesthesiologists (ASA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Compared to a traditional surgical system, the PSH is a coordinated interdisciplinary team providing all surgical care to </w:t>
      </w:r>
      <w:r w:rsidRPr="00130E99">
        <w:rPr>
          <w:rFonts w:ascii="Book Antiqua" w:eastAsia="Book Antiqua" w:hAnsi="Book Antiqua" w:cs="Book Antiqua"/>
          <w:color w:val="000000"/>
        </w:rPr>
        <w:t xml:space="preserve">patients from the preoperative phase (30 </w:t>
      </w:r>
      <w:r w:rsidR="00EC6CDF" w:rsidRPr="00130E99">
        <w:rPr>
          <w:rFonts w:ascii="Book Antiqua" w:eastAsia="Book Antiqua" w:hAnsi="Book Antiqua" w:cs="Book Antiqua"/>
          <w:color w:val="000000"/>
        </w:rPr>
        <w:t>d</w:t>
      </w:r>
      <w:r w:rsidRPr="00130E99">
        <w:rPr>
          <w:rFonts w:ascii="Book Antiqua" w:eastAsia="Book Antiqua" w:hAnsi="Book Antiqua" w:cs="Book Antiqua"/>
          <w:color w:val="000000"/>
        </w:rPr>
        <w:t xml:space="preserve"> before surgery) to recovery phase (90 </w:t>
      </w:r>
      <w:r w:rsidR="00EC6CDF" w:rsidRPr="00130E99">
        <w:rPr>
          <w:rFonts w:ascii="Book Antiqua" w:eastAsia="Book Antiqua" w:hAnsi="Book Antiqua" w:cs="Book Antiqua"/>
          <w:color w:val="000000"/>
        </w:rPr>
        <w:t>d</w:t>
      </w:r>
      <w:r w:rsidRPr="00130E99">
        <w:rPr>
          <w:rFonts w:ascii="Book Antiqua" w:eastAsia="Book Antiqua" w:hAnsi="Book Antiqua" w:cs="Book Antiqua"/>
          <w:color w:val="000000"/>
        </w:rPr>
        <w:t xml:space="preserve"> after su</w:t>
      </w:r>
      <w:r>
        <w:rPr>
          <w:rFonts w:ascii="Book Antiqua" w:eastAsia="Book Antiqua" w:hAnsi="Book Antiqua" w:cs="Book Antiqua"/>
          <w:color w:val="000000"/>
        </w:rPr>
        <w:t xml:space="preserve">rgery)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w:t>
      </w:r>
    </w:p>
    <w:p w14:paraId="78062526" w14:textId="2012D247"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The components of PSH also included patient-centered coordination programs and enhanced recovery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The implementation of PSH in larger healthcare systems and academic medical institutions has shown promising results in surgical outcomes, especially in orthopedic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For example,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Alvis </w:t>
      </w:r>
      <w:r>
        <w:rPr>
          <w:rFonts w:ascii="Book Antiqua" w:eastAsia="Book Antiqua" w:hAnsi="Book Antiqua" w:cs="Book Antiqua"/>
          <w:i/>
          <w:iCs/>
          <w:color w:val="000000"/>
        </w:rPr>
        <w:t xml:space="preserve">et </w:t>
      </w:r>
      <w:r>
        <w:rPr>
          <w:rFonts w:ascii="Book Antiqua" w:eastAsia="Book Antiqua" w:hAnsi="Book Antiqua" w:cs="Book Antiqua"/>
          <w:i/>
          <w:iCs/>
          <w:color w:val="000000"/>
        </w:rPr>
        <w:lastRenderedPageBreak/>
        <w:t>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observed that the PSH cohort had a day shorter LOS than the control cohort when examining hip and knee procedures.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analyzed 1194 TJR procedures and found that the PSH cohort had higher discharges to home by 8.1% compared to the non-PSH cohort. The authors also noticed the surgical cost in the non-PSH cohort was 14.9% greater cost than the PSH cohort. </w:t>
      </w:r>
      <w:proofErr w:type="spellStart"/>
      <w:r>
        <w:rPr>
          <w:rFonts w:ascii="Book Antiqua" w:eastAsia="Book Antiqua" w:hAnsi="Book Antiqua" w:cs="Book Antiqua"/>
          <w:color w:val="000000"/>
        </w:rPr>
        <w:t>Yajnik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retrospectively analyzed 40 knee procedures and demonstrated that the PSH cohort experienced optimized post-surgical pain management with less consumption of opioids than the non-PSH cohort. Likewise, past researchers found that PSH contributed to improved surgical outcomes including, lower readmission rates, faster postoperative recovery, improved operational efficiency, and higher patient </w:t>
      </w:r>
      <w:proofErr w:type="gramStart"/>
      <w:r>
        <w:rPr>
          <w:rFonts w:ascii="Book Antiqua" w:eastAsia="Book Antiqua" w:hAnsi="Book Antiqua" w:cs="Book Antiqua"/>
          <w:color w:val="000000"/>
        </w:rPr>
        <w:t>satisfaction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15,18-21]</w:t>
      </w:r>
      <w:r>
        <w:rPr>
          <w:rFonts w:ascii="Book Antiqua" w:eastAsia="Book Antiqua" w:hAnsi="Book Antiqua" w:cs="Book Antiqua"/>
          <w:color w:val="000000"/>
        </w:rPr>
        <w:t xml:space="preserve">. </w:t>
      </w:r>
    </w:p>
    <w:p w14:paraId="16C4285C" w14:textId="4D6E407F"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Despite these successes, some researchers found no change in surgical outcomes with PSH in similar size urban health centers. For example, Vetter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and Powell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found no significant difference in LOS after implementing PSH for orthopedic surgeries. Qui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Vetter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found no difference in readmission rates using the PSH system. In terms of surgery cost, Leahy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found there was no significant reduction for pediatric patients. These examples exhibit that there is no standard PSH program to achieve a standardized surgical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These PSH studies were performed in urban healthcare systems and academic-affiliated medical centers. To authors’ knowledge only our pilot study has explored PSH systems in rural or frontier healthcare service </w:t>
      </w:r>
      <w:proofErr w:type="gramStart"/>
      <w:r>
        <w:rPr>
          <w:rFonts w:ascii="Book Antiqua" w:eastAsia="Book Antiqua" w:hAnsi="Book Antiqua" w:cs="Book Antiqua"/>
          <w:color w:val="000000"/>
        </w:rPr>
        <w:t>area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This current study addresses this gap by assessing TJR outcomes at a rural hospital with a newly implemented PSH system using a case-control study design.</w:t>
      </w:r>
    </w:p>
    <w:p w14:paraId="6AEA26EC" w14:textId="4254D8CA"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Surgical care inequality is greater within rural community hospitals due to limited resources, socioeconomic differences, and poor access to </w:t>
      </w:r>
      <w:proofErr w:type="gramStart"/>
      <w:r>
        <w:rPr>
          <w:rFonts w:ascii="Book Antiqua" w:eastAsia="Book Antiqua" w:hAnsi="Book Antiqua" w:cs="Book Antiqua"/>
          <w:color w:val="000000"/>
        </w:rPr>
        <w:t>healthcare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25-27]</w:t>
      </w:r>
      <w:r>
        <w:rPr>
          <w:rFonts w:ascii="Book Antiqua" w:eastAsia="Book Antiqua" w:hAnsi="Book Antiqua" w:cs="Book Antiqua"/>
          <w:color w:val="000000"/>
        </w:rPr>
        <w:t xml:space="preserve">. Compared to urban hospitals, rural surgical outcomes have higher odds of in-hospital mortality and higher hospitalization </w:t>
      </w:r>
      <w:proofErr w:type="gramStart"/>
      <w:r>
        <w:rPr>
          <w:rFonts w:ascii="Book Antiqua" w:eastAsia="Book Antiqua" w:hAnsi="Book Antiqua" w:cs="Book Antiqua"/>
          <w:color w:val="000000"/>
        </w:rPr>
        <w:t>cost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One of the reasons for this is many rural patients are uninsured, older, and have one or more medical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Rural hospitals in the United States can often be overwhelmed by the growing demand for TJR surgeries and factors such as poor coordination among clinicians, lack of patient education, poor patient care transitions, limited patient engagement (pre-operative and post-operative), </w:t>
      </w:r>
      <w:r>
        <w:rPr>
          <w:rFonts w:ascii="Book Antiqua" w:eastAsia="Book Antiqua" w:hAnsi="Book Antiqua" w:cs="Book Antiqua"/>
          <w:color w:val="000000"/>
        </w:rPr>
        <w:lastRenderedPageBreak/>
        <w:t xml:space="preserve">and inconsistent/non-standardized care delivery affect rural orthopedic surgical care </w:t>
      </w:r>
      <w:proofErr w:type="gramStart"/>
      <w:r>
        <w:rPr>
          <w:rFonts w:ascii="Book Antiqua" w:eastAsia="Book Antiqua" w:hAnsi="Book Antiqua" w:cs="Book Antiqua"/>
          <w:color w:val="000000"/>
        </w:rPr>
        <w:t>negatively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53BB64D4" w14:textId="323FCA12"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A newly implemented PSH at a community hospital in rural Montana was created to address the factors mentioned above, which have plagued the rural orthopedic surgery system. With limited resources and supporting microsystems, the PSH was successfully initiated with the help of strong team-based coordination amongst clinicians. The PSH multi-disciplinary team consisted of the patient’s selected surgeon, anesthesiologist, hospitalist, physician assistant, registered nurse, and the patient’s primary care manager. This collaboration focused on improving surgical care and enhancing patient engagement perioperatively. Effective communication between clinicians was established for communal decision-making for patient-centric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“physician co-</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5033860B" w14:textId="097F71AF"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This research study’s primary objective was to evaluate the newly implemented PSH system at a local rural, community hospital by comparing TJR surgical outcomes using a longitudinal case-control study design. Based on our preliminary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it was hypothesized that the implementation of the PSH in the rural community hospital would positively impact patients’ TJR outcomes (</w:t>
      </w:r>
      <w:r w:rsidRPr="00130E99">
        <w:rPr>
          <w:rFonts w:ascii="Book Antiqua" w:eastAsia="Book Antiqua" w:hAnsi="Book Antiqua" w:cs="Book Antiqua"/>
          <w:i/>
          <w:iCs/>
          <w:color w:val="000000"/>
        </w:rPr>
        <w:t>i.e.</w:t>
      </w:r>
      <w:r>
        <w:rPr>
          <w:rFonts w:ascii="Book Antiqua" w:eastAsia="Book Antiqua" w:hAnsi="Book Antiqua" w:cs="Book Antiqua"/>
          <w:color w:val="000000"/>
        </w:rPr>
        <w:t xml:space="preserve">, shorter LOS, reduced readmissions, and increased rate of home discharge) across three distinct cohorts for the case-control design. </w:t>
      </w:r>
    </w:p>
    <w:p w14:paraId="63AA3EB1" w14:textId="77777777" w:rsidR="00A77B3E" w:rsidRDefault="00A77B3E">
      <w:pPr>
        <w:spacing w:line="360" w:lineRule="auto"/>
        <w:jc w:val="both"/>
      </w:pPr>
    </w:p>
    <w:p w14:paraId="1533FF52" w14:textId="77777777" w:rsidR="00A77B3E" w:rsidRDefault="00AF595A">
      <w:pPr>
        <w:spacing w:line="360" w:lineRule="auto"/>
        <w:jc w:val="both"/>
      </w:pPr>
      <w:r>
        <w:rPr>
          <w:rFonts w:ascii="Book Antiqua" w:eastAsia="Book Antiqua" w:hAnsi="Book Antiqua" w:cs="Book Antiqua"/>
          <w:b/>
          <w:caps/>
          <w:color w:val="000000"/>
          <w:u w:val="single"/>
        </w:rPr>
        <w:t>MATERIALS AND METHODS</w:t>
      </w:r>
    </w:p>
    <w:p w14:paraId="06D6994D" w14:textId="17739234" w:rsidR="00A77B3E" w:rsidRDefault="00AF595A">
      <w:pPr>
        <w:spacing w:line="360" w:lineRule="auto"/>
        <w:jc w:val="both"/>
      </w:pPr>
      <w:r>
        <w:rPr>
          <w:rFonts w:ascii="Book Antiqua" w:eastAsia="Book Antiqua" w:hAnsi="Book Antiqua" w:cs="Book Antiqua"/>
          <w:color w:val="000000"/>
        </w:rPr>
        <w:t xml:space="preserve">The PSH clinic affiliated with the local community hospital began seeing TJR patients in November 2018. The hospital was an 83-bed, licensed level-III trauma center primarily serving three counties. However, based on initial analyses, the hospital was serving patients from more than 10 surrounding counties covering 9000 square miles and approximately 136000 residents. The research team (health systems engineers and clinicians) retrospectively collected and analyzed all TJR data from January 2016 to December 2021. The observational timeframes were reviewed, and three distinct cohorts were determined for the case-control study design. </w:t>
      </w:r>
    </w:p>
    <w:p w14:paraId="71C3CE66" w14:textId="77777777" w:rsidR="00A77B3E" w:rsidRDefault="00A77B3E">
      <w:pPr>
        <w:spacing w:line="360" w:lineRule="auto"/>
        <w:jc w:val="both"/>
      </w:pPr>
    </w:p>
    <w:p w14:paraId="7FD21E6E" w14:textId="77777777" w:rsidR="00A77B3E" w:rsidRDefault="00AF595A">
      <w:pPr>
        <w:spacing w:line="360" w:lineRule="auto"/>
        <w:jc w:val="both"/>
      </w:pPr>
      <w:r>
        <w:rPr>
          <w:rFonts w:ascii="Book Antiqua" w:eastAsia="Book Antiqua" w:hAnsi="Book Antiqua" w:cs="Book Antiqua"/>
          <w:b/>
          <w:bCs/>
          <w:i/>
          <w:iCs/>
          <w:color w:val="000000"/>
        </w:rPr>
        <w:t xml:space="preserve">Data collection and pre-processing </w:t>
      </w:r>
    </w:p>
    <w:p w14:paraId="3AE65A12" w14:textId="338BB7BE" w:rsidR="00A77B3E" w:rsidRDefault="00AF595A">
      <w:pPr>
        <w:spacing w:line="360" w:lineRule="auto"/>
        <w:jc w:val="both"/>
      </w:pPr>
      <w:r>
        <w:rPr>
          <w:rFonts w:ascii="Book Antiqua" w:eastAsia="Book Antiqua" w:hAnsi="Book Antiqua" w:cs="Book Antiqua"/>
          <w:color w:val="000000"/>
        </w:rPr>
        <w:t>Data were extracted from the</w:t>
      </w:r>
      <w:r w:rsidR="006F0E2D">
        <w:rPr>
          <w:rFonts w:ascii="Book Antiqua" w:eastAsia="Book Antiqua" w:hAnsi="Book Antiqua" w:cs="Book Antiqua"/>
          <w:color w:val="000000"/>
        </w:rPr>
        <w:t xml:space="preserve"> electronic medical r</w:t>
      </w:r>
      <w:r>
        <w:rPr>
          <w:rFonts w:ascii="Book Antiqua" w:eastAsia="Book Antiqua" w:hAnsi="Book Antiqua" w:cs="Book Antiqua"/>
          <w:color w:val="000000"/>
        </w:rPr>
        <w:t>ecord</w:t>
      </w:r>
      <w:r w:rsidR="006F0E2D">
        <w:rPr>
          <w:rFonts w:ascii="Book Antiqua" w:eastAsia="Book Antiqua" w:hAnsi="Book Antiqua" w:cs="Book Antiqua"/>
          <w:color w:val="000000"/>
        </w:rPr>
        <w:t xml:space="preserve"> </w:t>
      </w:r>
      <w:r>
        <w:rPr>
          <w:rFonts w:ascii="Book Antiqua" w:eastAsia="Book Antiqua" w:hAnsi="Book Antiqua" w:cs="Book Antiqua"/>
          <w:color w:val="000000"/>
        </w:rPr>
        <w:t>for a total of 6685 orthopedic procedures that were performed on knees, hips, and shoulders between January 2016 and December 2021 (Figure 2). Six hundred and forty-eight (</w:t>
      </w:r>
      <w:r>
        <w:rPr>
          <w:rFonts w:ascii="Book Antiqua" w:eastAsia="Book Antiqua" w:hAnsi="Book Antiqua" w:cs="Book Antiqua"/>
          <w:i/>
          <w:iCs/>
          <w:color w:val="000000"/>
        </w:rPr>
        <w:t>n</w:t>
      </w:r>
      <w:r>
        <w:rPr>
          <w:rFonts w:ascii="Book Antiqua" w:eastAsia="Book Antiqua" w:hAnsi="Book Antiqua" w:cs="Book Antiqua"/>
          <w:color w:val="000000"/>
        </w:rPr>
        <w:t xml:space="preserve"> = 648) procedures were included that had CPT codes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27447 (total knee), 27130 (total hip), and 23472 (total shoulder). The remaining 6037 did not have CPT codes and were filtered for TJR procedures by searching for keywords ‘arthroplasty’, ‘total’, ‘THA’ (</w:t>
      </w:r>
      <w:r w:rsidRPr="006F0E2D">
        <w:rPr>
          <w:rFonts w:ascii="Book Antiqua" w:eastAsia="Book Antiqua" w:hAnsi="Book Antiqua" w:cs="Book Antiqua"/>
          <w:i/>
          <w:iCs/>
          <w:color w:val="000000"/>
        </w:rPr>
        <w:t>i.e.</w:t>
      </w:r>
      <w:r>
        <w:rPr>
          <w:rFonts w:ascii="Book Antiqua" w:eastAsia="Book Antiqua" w:hAnsi="Book Antiqua" w:cs="Book Antiqua"/>
          <w:color w:val="000000"/>
        </w:rPr>
        <w:t>, Total Hip Arthroplasty), ‘TKA’ (</w:t>
      </w:r>
      <w:r w:rsidRPr="006F0E2D">
        <w:rPr>
          <w:rFonts w:ascii="Book Antiqua" w:eastAsia="Book Antiqua" w:hAnsi="Book Antiqua" w:cs="Book Antiqua"/>
          <w:i/>
          <w:iCs/>
          <w:color w:val="000000"/>
        </w:rPr>
        <w:t>i.e.</w:t>
      </w:r>
      <w:r>
        <w:rPr>
          <w:rFonts w:ascii="Book Antiqua" w:eastAsia="Book Antiqua" w:hAnsi="Book Antiqua" w:cs="Book Antiqua"/>
          <w:color w:val="000000"/>
        </w:rPr>
        <w:t>, Total Knee Arthroplasty), and ‘TSA’ (</w:t>
      </w:r>
      <w:r w:rsidRPr="006F0E2D">
        <w:rPr>
          <w:rFonts w:ascii="Book Antiqua" w:eastAsia="Book Antiqua" w:hAnsi="Book Antiqua" w:cs="Book Antiqua"/>
          <w:i/>
          <w:iCs/>
          <w:color w:val="000000"/>
        </w:rPr>
        <w:t>i.e.</w:t>
      </w:r>
      <w:r>
        <w:rPr>
          <w:rFonts w:ascii="Book Antiqua" w:eastAsia="Book Antiqua" w:hAnsi="Book Antiqua" w:cs="Book Antiqua"/>
          <w:color w:val="000000"/>
        </w:rPr>
        <w:t>, Total Shoulder Arthroplasty). During this filtering process, a total of 3420 procedures were excluded because they were identified as non-TJR procedures, (</w:t>
      </w:r>
      <w:r w:rsidRPr="006F0E2D">
        <w:rPr>
          <w:rFonts w:ascii="Book Antiqua" w:eastAsia="Book Antiqua" w:hAnsi="Book Antiqua" w:cs="Book Antiqua"/>
          <w:i/>
          <w:iCs/>
          <w:color w:val="000000"/>
        </w:rPr>
        <w:t>e.g.</w:t>
      </w:r>
      <w:r>
        <w:rPr>
          <w:rFonts w:ascii="Book Antiqua" w:eastAsia="Book Antiqua" w:hAnsi="Book Antiqua" w:cs="Book Antiqua"/>
          <w:color w:val="000000"/>
        </w:rPr>
        <w:t>, arthroscopic procedures, reductions, nailing hip). A total of 82 TJR procedures were also excluded from the analysis because they were either duplicate records (</w:t>
      </w:r>
      <w:r>
        <w:rPr>
          <w:rFonts w:ascii="Book Antiqua" w:eastAsia="Book Antiqua" w:hAnsi="Book Antiqua" w:cs="Book Antiqua"/>
          <w:i/>
          <w:iCs/>
          <w:color w:val="000000"/>
        </w:rPr>
        <w:t>n</w:t>
      </w:r>
      <w:r>
        <w:rPr>
          <w:rFonts w:ascii="Book Antiqua" w:eastAsia="Book Antiqua" w:hAnsi="Book Antiqua" w:cs="Book Antiqua"/>
          <w:color w:val="000000"/>
        </w:rPr>
        <w:t xml:space="preserve"> = 1) or missing key outcomes and demographic values (</w:t>
      </w:r>
      <w:r>
        <w:rPr>
          <w:rFonts w:ascii="Book Antiqua" w:eastAsia="Book Antiqua" w:hAnsi="Book Antiqua" w:cs="Book Antiqua"/>
          <w:i/>
          <w:iCs/>
          <w:color w:val="000000"/>
        </w:rPr>
        <w:t>n</w:t>
      </w:r>
      <w:r>
        <w:rPr>
          <w:rFonts w:ascii="Book Antiqua" w:eastAsia="Book Antiqua" w:hAnsi="Book Antiqua" w:cs="Book Antiqua"/>
          <w:color w:val="000000"/>
        </w:rPr>
        <w:t xml:space="preserve"> = 81) of the patients. </w:t>
      </w:r>
    </w:p>
    <w:p w14:paraId="34D4D588" w14:textId="0299FBA4" w:rsidR="00A77B3E" w:rsidRDefault="00AF595A" w:rsidP="006F0E2D">
      <w:pPr>
        <w:spacing w:line="360" w:lineRule="auto"/>
        <w:ind w:firstLineChars="100" w:firstLine="240"/>
        <w:jc w:val="both"/>
      </w:pPr>
      <w:r>
        <w:rPr>
          <w:rFonts w:ascii="Book Antiqua" w:eastAsia="Book Antiqua" w:hAnsi="Book Antiqua" w:cs="Book Antiqua"/>
          <w:color w:val="000000"/>
        </w:rPr>
        <w:t xml:space="preserve">A total of 3183 TJR procedures were considered for the analysis and were categorized into: the PSH cohort (case) and non-PSH cohort (control). The PSH pathway begins with visiting PSH clinic for preoperative assessment. Most patients visited the PSH clinic between 30 to 60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before surgery for their preoperative assessment. Very few medically complicated patients needed more time for optimization and postponed their surgery 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(not more than a year) after their preoperative assessment. Therefore, the inclusion criteria for the PSH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791) included if the patient visited the PSH clinic for optimization between 1 and 364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before surgery. Those patients who visited the PSH clinic but failed to meet the inclusion criteria (</w:t>
      </w:r>
      <w:r w:rsidRPr="006F0E2D">
        <w:rPr>
          <w:rFonts w:ascii="Book Antiqua" w:eastAsia="Book Antiqua" w:hAnsi="Book Antiqua" w:cs="Book Antiqua"/>
          <w:i/>
          <w:iCs/>
          <w:color w:val="000000"/>
        </w:rPr>
        <w:t>i.e.</w:t>
      </w:r>
      <w:r>
        <w:rPr>
          <w:rFonts w:ascii="Book Antiqua" w:eastAsia="Book Antiqua" w:hAnsi="Book Antiqua" w:cs="Book Antiqua"/>
          <w:color w:val="000000"/>
        </w:rPr>
        <w:t>, visited the PSH clinic a year before their surgery or after their surgery), were excluded from the analysis (</w:t>
      </w:r>
      <w:r>
        <w:rPr>
          <w:rFonts w:ascii="Book Antiqua" w:eastAsia="Book Antiqua" w:hAnsi="Book Antiqua" w:cs="Book Antiqua"/>
          <w:i/>
          <w:iCs/>
          <w:color w:val="000000"/>
        </w:rPr>
        <w:t>n</w:t>
      </w:r>
      <w:r>
        <w:rPr>
          <w:rFonts w:ascii="Book Antiqua" w:eastAsia="Book Antiqua" w:hAnsi="Book Antiqua" w:cs="Book Antiqua"/>
          <w:color w:val="000000"/>
        </w:rPr>
        <w:t xml:space="preserve"> = 87). The inclusion criteria for the non-PSH cohort included the patients who did not visit the PSH clinic during their surgical process at all. The non-PSH cohort was further subcategorized based on the timeframes: </w:t>
      </w:r>
      <w:r w:rsidRPr="006F0E2D">
        <w:rPr>
          <w:rFonts w:ascii="Book Antiqua" w:eastAsia="Book Antiqua" w:hAnsi="Book Antiqua" w:cs="Book Antiqua"/>
          <w:color w:val="000000"/>
        </w:rPr>
        <w:t xml:space="preserve">Control-1 PSH </w:t>
      </w:r>
      <w:r w:rsidR="006F0E2D">
        <w:rPr>
          <w:rFonts w:ascii="Book Antiqua" w:eastAsia="Book Antiqua" w:hAnsi="Book Antiqua" w:cs="Book Antiqua"/>
          <w:color w:val="000000"/>
        </w:rPr>
        <w:t xml:space="preserve">(C1-PSH) </w:t>
      </w:r>
      <w:r w:rsidRPr="006F0E2D">
        <w:rPr>
          <w:rFonts w:ascii="Book Antiqua" w:eastAsia="Book Antiqua" w:hAnsi="Book Antiqua" w:cs="Book Antiqua"/>
          <w:color w:val="000000"/>
        </w:rPr>
        <w:t xml:space="preserve">cohort (before PSH implementation between January 2016 and October 2018, </w:t>
      </w:r>
      <w:r w:rsidRPr="006F0E2D">
        <w:rPr>
          <w:rFonts w:ascii="Book Antiqua" w:eastAsia="Book Antiqua" w:hAnsi="Book Antiqua" w:cs="Book Antiqua"/>
          <w:i/>
          <w:iCs/>
          <w:color w:val="000000"/>
        </w:rPr>
        <w:t>n</w:t>
      </w:r>
      <w:r w:rsidRPr="006F0E2D">
        <w:rPr>
          <w:rFonts w:ascii="Book Antiqua" w:eastAsia="Book Antiqua" w:hAnsi="Book Antiqua" w:cs="Book Antiqua"/>
          <w:color w:val="000000"/>
        </w:rPr>
        <w:t xml:space="preserve"> = 1413) and Control-2 PSH</w:t>
      </w:r>
      <w:r w:rsidR="006F0E2D" w:rsidRPr="006F0E2D">
        <w:rPr>
          <w:rFonts w:ascii="Book Antiqua" w:eastAsia="Book Antiqua" w:hAnsi="Book Antiqua" w:cs="Book Antiqua"/>
          <w:color w:val="000000"/>
        </w:rPr>
        <w:t xml:space="preserve"> </w:t>
      </w:r>
      <w:r w:rsidR="006F0E2D">
        <w:rPr>
          <w:rFonts w:ascii="Book Antiqua" w:eastAsia="Book Antiqua" w:hAnsi="Book Antiqua" w:cs="Book Antiqua"/>
          <w:color w:val="000000"/>
        </w:rPr>
        <w:lastRenderedPageBreak/>
        <w:t>(C2-PSH)</w:t>
      </w:r>
      <w:r w:rsidRPr="006F0E2D">
        <w:rPr>
          <w:rFonts w:ascii="Book Antiqua" w:eastAsia="Book Antiqua" w:hAnsi="Book Antiqua" w:cs="Book Antiqua"/>
          <w:color w:val="000000"/>
        </w:rPr>
        <w:t xml:space="preserve"> cohort</w:t>
      </w:r>
      <w:r w:rsidR="006F0E2D" w:rsidRPr="006F0E2D">
        <w:rPr>
          <w:rFonts w:ascii="Book Antiqua" w:eastAsia="Book Antiqua" w:hAnsi="Book Antiqua" w:cs="Book Antiqua"/>
          <w:color w:val="000000"/>
        </w:rPr>
        <w:t xml:space="preserve"> </w:t>
      </w:r>
      <w:r w:rsidRPr="006F0E2D">
        <w:rPr>
          <w:rFonts w:ascii="Book Antiqua" w:eastAsia="Book Antiqua" w:hAnsi="Book Antiqua" w:cs="Book Antiqua"/>
          <w:color w:val="000000"/>
        </w:rPr>
        <w:t>(after PSH implementation between Novembe</w:t>
      </w:r>
      <w:r>
        <w:rPr>
          <w:rFonts w:ascii="Book Antiqua" w:eastAsia="Book Antiqua" w:hAnsi="Book Antiqua" w:cs="Book Antiqua"/>
          <w:color w:val="000000"/>
        </w:rPr>
        <w:t xml:space="preserve">r 2018 and December 2021, </w:t>
      </w:r>
      <w:r>
        <w:rPr>
          <w:rFonts w:ascii="Book Antiqua" w:eastAsia="Book Antiqua" w:hAnsi="Book Antiqua" w:cs="Book Antiqua"/>
          <w:i/>
          <w:iCs/>
          <w:color w:val="000000"/>
        </w:rPr>
        <w:t>n</w:t>
      </w:r>
      <w:r>
        <w:rPr>
          <w:rFonts w:ascii="Book Antiqua" w:eastAsia="Book Antiqua" w:hAnsi="Book Antiqua" w:cs="Book Antiqua"/>
          <w:color w:val="000000"/>
        </w:rPr>
        <w:t xml:space="preserve"> = 892). </w:t>
      </w:r>
    </w:p>
    <w:p w14:paraId="699ACD56" w14:textId="362286A1" w:rsidR="00A77B3E" w:rsidRDefault="00AF595A" w:rsidP="006F0E2D">
      <w:pPr>
        <w:spacing w:line="360" w:lineRule="auto"/>
        <w:ind w:firstLineChars="100" w:firstLine="240"/>
        <w:jc w:val="both"/>
      </w:pPr>
      <w:r>
        <w:rPr>
          <w:rFonts w:ascii="Book Antiqua" w:eastAsia="Book Antiqua" w:hAnsi="Book Antiqua" w:cs="Book Antiqua"/>
          <w:color w:val="000000"/>
        </w:rPr>
        <w:t xml:space="preserve">The study utilized two control cohorts to evaluate the importance of the PSH system in two timeframes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before and after PSH implementation. In the first evaluation, the PSH cohort was comp</w:t>
      </w:r>
      <w:r w:rsidRPr="006F0E2D">
        <w:rPr>
          <w:rFonts w:ascii="Book Antiqua" w:eastAsia="Book Antiqua" w:hAnsi="Book Antiqua" w:cs="Book Antiqua"/>
          <w:color w:val="000000"/>
        </w:rPr>
        <w:t xml:space="preserve">ared with </w:t>
      </w:r>
      <w:r w:rsidR="006F0E2D" w:rsidRPr="006F0E2D">
        <w:rPr>
          <w:rFonts w:ascii="Book Antiqua" w:eastAsia="Book Antiqua" w:hAnsi="Book Antiqua" w:cs="Book Antiqua"/>
          <w:color w:val="000000"/>
        </w:rPr>
        <w:t>C1-PSH</w:t>
      </w:r>
      <w:r w:rsidRPr="006F0E2D">
        <w:rPr>
          <w:rFonts w:ascii="Book Antiqua" w:eastAsia="Book Antiqua" w:hAnsi="Book Antiqua" w:cs="Book Antiqua"/>
          <w:color w:val="000000"/>
        </w:rPr>
        <w:t xml:space="preserve"> cohort. In the second evaluation, the PSH cohort was compared with </w:t>
      </w:r>
      <w:r w:rsidR="006F0E2D" w:rsidRPr="006F0E2D">
        <w:rPr>
          <w:rFonts w:ascii="Book Antiqua" w:eastAsia="Book Antiqua" w:hAnsi="Book Antiqua" w:cs="Book Antiqua"/>
          <w:color w:val="000000"/>
        </w:rPr>
        <w:t>C2-PSH</w:t>
      </w:r>
      <w:r w:rsidRPr="006F0E2D">
        <w:rPr>
          <w:rFonts w:ascii="Book Antiqua" w:eastAsia="Book Antiqua" w:hAnsi="Book Antiqua" w:cs="Book Antiqua"/>
          <w:color w:val="000000"/>
        </w:rPr>
        <w:t xml:space="preserve"> cohort. The b</w:t>
      </w:r>
      <w:r>
        <w:rPr>
          <w:rFonts w:ascii="Book Antiqua" w:eastAsia="Book Antiqua" w:hAnsi="Book Antiqua" w:cs="Book Antiqua"/>
          <w:color w:val="000000"/>
        </w:rPr>
        <w:t xml:space="preserve">aseline characteristics were compared with variables including patient age, gender, </w:t>
      </w:r>
      <w:r w:rsidR="006F0E2D">
        <w:rPr>
          <w:rFonts w:ascii="Book Antiqua" w:eastAsia="Book Antiqua" w:hAnsi="Book Antiqua" w:cs="Book Antiqua"/>
          <w:color w:val="000000"/>
        </w:rPr>
        <w:t>body mass i</w:t>
      </w:r>
      <w:r>
        <w:rPr>
          <w:rFonts w:ascii="Book Antiqua" w:eastAsia="Book Antiqua" w:hAnsi="Book Antiqua" w:cs="Book Antiqua"/>
          <w:color w:val="000000"/>
        </w:rPr>
        <w:t>ndex (BMI),</w:t>
      </w:r>
      <w:r w:rsidR="006F0E2D">
        <w:rPr>
          <w:rFonts w:ascii="Book Antiqua" w:eastAsia="Book Antiqua" w:hAnsi="Book Antiqua" w:cs="Book Antiqua"/>
          <w:color w:val="000000"/>
        </w:rPr>
        <w:t xml:space="preserve"> </w:t>
      </w:r>
      <w:r>
        <w:rPr>
          <w:rFonts w:ascii="Book Antiqua" w:eastAsia="Book Antiqua" w:hAnsi="Book Antiqua" w:cs="Book Antiqua"/>
          <w:color w:val="000000"/>
        </w:rPr>
        <w:t>ASA score (Class 1, 2, 3, or 4), procedure type (THA, TKA, and TSA) and insurance type (private or public payer). These variables were included in the baseline characteristics and in the analysis, as they were found to be potential confounders at PSH implemented hospitals with the surgical outcomes LOS, discharge disposition, and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readmission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14,16,24,33,34]</w:t>
      </w:r>
      <w:r>
        <w:rPr>
          <w:rFonts w:ascii="Book Antiqua" w:eastAsia="Book Antiqua" w:hAnsi="Book Antiqua" w:cs="Book Antiqua"/>
          <w:color w:val="000000"/>
        </w:rPr>
        <w:t xml:space="preserve">. </w:t>
      </w:r>
    </w:p>
    <w:p w14:paraId="72C44B5C" w14:textId="77777777" w:rsidR="00A77B3E" w:rsidRDefault="00A77B3E">
      <w:pPr>
        <w:spacing w:line="360" w:lineRule="auto"/>
        <w:jc w:val="both"/>
      </w:pPr>
    </w:p>
    <w:p w14:paraId="6F8BF092" w14:textId="5D262FD0" w:rsidR="00A77B3E" w:rsidRDefault="00AF595A">
      <w:pPr>
        <w:spacing w:line="360" w:lineRule="auto"/>
        <w:jc w:val="both"/>
      </w:pPr>
      <w:r>
        <w:rPr>
          <w:rFonts w:ascii="Book Antiqua" w:eastAsia="Book Antiqua" w:hAnsi="Book Antiqua" w:cs="Book Antiqua"/>
          <w:b/>
          <w:bCs/>
          <w:i/>
          <w:iCs/>
          <w:color w:val="000000"/>
        </w:rPr>
        <w:t xml:space="preserve">Statistical </w:t>
      </w:r>
      <w:r w:rsidR="006F0E2D">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6698FD75" w14:textId="68CACA79" w:rsidR="00A77B3E" w:rsidRDefault="00AF595A">
      <w:pPr>
        <w:spacing w:line="360" w:lineRule="auto"/>
        <w:jc w:val="both"/>
      </w:pPr>
      <w:r>
        <w:rPr>
          <w:rFonts w:ascii="Book Antiqua" w:eastAsia="Book Antiqua" w:hAnsi="Book Antiqua" w:cs="Book Antiqua"/>
          <w:color w:val="000000"/>
        </w:rPr>
        <w:t xml:space="preserve">Either the Fischer’s exact test or Chi-square test for association were used to compare the categorical variables between non-PSH and PSH cohorts. The continuous variables between two cohorts were analyzed using the Mann-Whitney test or Student’s </w:t>
      </w:r>
      <w:r w:rsidRPr="008212C6">
        <w:rPr>
          <w:rFonts w:ascii="Book Antiqua" w:eastAsia="Book Antiqua" w:hAnsi="Book Antiqua" w:cs="Book Antiqua"/>
          <w:i/>
          <w:iCs/>
          <w:color w:val="000000"/>
        </w:rPr>
        <w:t>t</w:t>
      </w:r>
      <w:r>
        <w:rPr>
          <w:rFonts w:ascii="Book Antiqua" w:eastAsia="Book Antiqua" w:hAnsi="Book Antiqua" w:cs="Book Antiqua"/>
          <w:color w:val="000000"/>
        </w:rPr>
        <w:t xml:space="preserve"> test, as appropriate. The LOS was found to be right skewed and was not normally distributed using the Shapiro-Wilk test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0.01). Therefore, a Poisson regression was performed to fit an adjusted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14,35]</w:t>
      </w:r>
      <w:r>
        <w:rPr>
          <w:rFonts w:ascii="Book Antiqua" w:eastAsia="Book Antiqua" w:hAnsi="Book Antiqua" w:cs="Book Antiqua"/>
          <w:color w:val="000000"/>
        </w:rPr>
        <w:t xml:space="preserve">. For dichotomous variables, </w:t>
      </w:r>
      <w:r w:rsidRPr="006F0E2D">
        <w:rPr>
          <w:rFonts w:ascii="Book Antiqua" w:eastAsia="Book Antiqua" w:hAnsi="Book Antiqua" w:cs="Book Antiqua"/>
          <w:i/>
          <w:iCs/>
          <w:color w:val="000000"/>
        </w:rPr>
        <w:t>i.e.</w:t>
      </w:r>
      <w:r>
        <w:rPr>
          <w:rFonts w:ascii="Book Antiqua" w:eastAsia="Book Antiqua" w:hAnsi="Book Antiqua" w:cs="Book Antiqua"/>
          <w:color w:val="000000"/>
        </w:rPr>
        <w:t>, discharge disposition and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the binomial logistic regression was used to fit an adjusted model. All data handling, visualization, and statistical analyses were performed using R (V4.0.3, Vienna, Austria). The statistical analyses were performed with an alpha (α) value of 0.05. All data were encrypted and were accessed only by the authors and clinicians working at the hospital.</w:t>
      </w:r>
    </w:p>
    <w:p w14:paraId="16406B6A" w14:textId="77777777" w:rsidR="00A77B3E" w:rsidRDefault="00A77B3E">
      <w:pPr>
        <w:spacing w:line="360" w:lineRule="auto"/>
        <w:jc w:val="both"/>
      </w:pPr>
    </w:p>
    <w:p w14:paraId="4065894A" w14:textId="77777777" w:rsidR="00A77B3E" w:rsidRDefault="00AF595A">
      <w:pPr>
        <w:spacing w:line="360" w:lineRule="auto"/>
        <w:jc w:val="both"/>
      </w:pPr>
      <w:r>
        <w:rPr>
          <w:rFonts w:ascii="Book Antiqua" w:eastAsia="Book Antiqua" w:hAnsi="Book Antiqua" w:cs="Book Antiqua"/>
          <w:b/>
          <w:caps/>
          <w:color w:val="000000"/>
          <w:u w:val="single"/>
        </w:rPr>
        <w:t>RESULTS</w:t>
      </w:r>
    </w:p>
    <w:p w14:paraId="1250B62D" w14:textId="77777777" w:rsidR="00A77B3E" w:rsidRDefault="00AF595A">
      <w:pPr>
        <w:spacing w:line="360" w:lineRule="auto"/>
        <w:jc w:val="both"/>
      </w:pPr>
      <w:r>
        <w:rPr>
          <w:rFonts w:ascii="Book Antiqua" w:eastAsia="Book Antiqua" w:hAnsi="Book Antiqua" w:cs="Book Antiqua"/>
          <w:b/>
          <w:bCs/>
          <w:i/>
          <w:iCs/>
          <w:color w:val="000000"/>
        </w:rPr>
        <w:t xml:space="preserve">Evaluation 1: Comparison of C1-PSH cohort and PSH cohort </w:t>
      </w:r>
    </w:p>
    <w:p w14:paraId="3D698B1A" w14:textId="77777777" w:rsidR="00A77B3E" w:rsidRDefault="00AF595A">
      <w:pPr>
        <w:spacing w:line="360" w:lineRule="auto"/>
        <w:jc w:val="both"/>
      </w:pPr>
      <w:r>
        <w:rPr>
          <w:rFonts w:ascii="Book Antiqua" w:eastAsia="Book Antiqua" w:hAnsi="Book Antiqua" w:cs="Book Antiqua"/>
          <w:color w:val="000000"/>
        </w:rPr>
        <w:t>There were no significant differences observed in the baseline characteristics for the variables gender, BMI, and procedure type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&gt; 0.05) (Table 1). However, a </w:t>
      </w:r>
      <w:r>
        <w:rPr>
          <w:rFonts w:ascii="Book Antiqua" w:eastAsia="Book Antiqua" w:hAnsi="Book Antiqua" w:cs="Book Antiqua"/>
          <w:color w:val="000000"/>
        </w:rPr>
        <w:lastRenderedPageBreak/>
        <w:t>difference was observed between cohorts for the variables age, ASA class, and insurance type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0.05). On average, patients in the PSH cohort were two years older than in the C1-PSH cohort. The PSH cohort also included more medically complex patients with a higher proportion of ASA class 3 (42%) compared to the C1-PSH cohort (36%). For insurance, there were more public insurance payers in the PSH cohort (82%) compared to the C1-PSH cohort (71%). </w:t>
      </w:r>
    </w:p>
    <w:p w14:paraId="150A4B7A" w14:textId="748FF529" w:rsidR="00A77B3E" w:rsidRDefault="00AF595A" w:rsidP="006F0E2D">
      <w:pPr>
        <w:spacing w:line="360" w:lineRule="auto"/>
        <w:ind w:firstLineChars="100" w:firstLine="240"/>
        <w:jc w:val="both"/>
      </w:pPr>
      <w:r>
        <w:rPr>
          <w:rFonts w:ascii="Book Antiqua" w:eastAsia="Book Antiqua" w:hAnsi="Book Antiqua" w:cs="Book Antiqua"/>
          <w:color w:val="000000"/>
        </w:rPr>
        <w:t xml:space="preserve">The LOS was lower in the PSH cohort compared to the C1-PSH cohort (median 34 </w:t>
      </w:r>
      <w:r>
        <w:rPr>
          <w:rFonts w:ascii="Book Antiqua" w:eastAsia="Book Antiqua" w:hAnsi="Book Antiqua" w:cs="Book Antiqua"/>
          <w:i/>
          <w:iCs/>
          <w:color w:val="000000"/>
        </w:rPr>
        <w:t>vs</w:t>
      </w:r>
      <w:r>
        <w:rPr>
          <w:rFonts w:ascii="Book Antiqua" w:eastAsia="Book Antiqua" w:hAnsi="Book Antiqua" w:cs="Book Antiqua"/>
          <w:color w:val="000000"/>
        </w:rPr>
        <w:t xml:space="preserve"> 53 h,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0.01) (Figure 3). Based on the Poisson regression results, the PSH clinic had a positive effect on LOS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0.01). On average, the LOS was 10% shorter in the PSH cohort compared to the C1-PSH cohort (Table 1). Other variables that also had a significant effect on patients’ LOS were age, gender, BMI, procedure type, and insurance type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0.05) (</w:t>
      </w:r>
      <w:r w:rsidR="006F0E2D" w:rsidRPr="006F0E2D">
        <w:rPr>
          <w:rFonts w:ascii="Book Antiqua" w:eastAsia="Book Antiqua" w:hAnsi="Book Antiqua" w:cs="Book Antiqua"/>
          <w:color w:val="000000"/>
        </w:rPr>
        <w:t>Supplementary</w:t>
      </w:r>
      <w:r>
        <w:rPr>
          <w:rFonts w:ascii="Book Antiqua" w:eastAsia="Book Antiqua" w:hAnsi="Book Antiqua" w:cs="Book Antiqua"/>
          <w:color w:val="000000"/>
        </w:rPr>
        <w:t xml:space="preserve"> Table 1).</w:t>
      </w:r>
    </w:p>
    <w:p w14:paraId="46FE316E" w14:textId="3F978349" w:rsidR="00A77B3E" w:rsidRDefault="00AF595A" w:rsidP="006F0E2D">
      <w:pPr>
        <w:spacing w:line="360" w:lineRule="auto"/>
        <w:ind w:firstLineChars="100" w:firstLine="240"/>
        <w:jc w:val="both"/>
      </w:pPr>
      <w:r>
        <w:rPr>
          <w:rFonts w:ascii="Book Antiqua" w:eastAsia="Book Antiqua" w:hAnsi="Book Antiqua" w:cs="Book Antiqua"/>
          <w:color w:val="000000"/>
        </w:rPr>
        <w:t>Discharge disposition was classified into two types: patient discharged to home or discharged to other facilities such as skilled nurse facilities, inpatient rehabilitation facilities, or other hospitals’ swing beds. Discharge disposition was significantly different between the PSH and C1-PSH cohort (</w:t>
      </w:r>
      <w:r w:rsidRPr="00DA073B">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72,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(Figure 4). The unadjusted odds for the PSH cohort discharged to other facilities was 80% lower than the C1-PSH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(Table 2). Using logistic regression, the adjusted odds for the PSH cohort discharged to other facilities were 91% lower than the C1-PSH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(Table 2). Age, gender, procedure type, insurance type, and LOS were also associated with the patient’s discharge type (</w:t>
      </w:r>
      <w:r w:rsidRPr="00DA073B">
        <w:rPr>
          <w:rFonts w:ascii="Book Antiqua" w:eastAsia="Book Antiqua" w:hAnsi="Book Antiqua" w:cs="Book Antiqua"/>
          <w:i/>
          <w:iCs/>
          <w:color w:val="000000"/>
        </w:rPr>
        <w:t>P</w:t>
      </w:r>
      <w:r w:rsidR="00EA3487">
        <w:rPr>
          <w:rFonts w:ascii="Book Antiqua" w:eastAsia="Book Antiqua" w:hAnsi="Book Antiqua" w:cs="Book Antiqua"/>
          <w:color w:val="000000"/>
        </w:rPr>
        <w:t xml:space="preserve"> </w:t>
      </w:r>
      <w:r>
        <w:rPr>
          <w:rFonts w:ascii="Book Antiqua" w:eastAsia="Book Antiqua" w:hAnsi="Book Antiqua" w:cs="Book Antiqua"/>
          <w:color w:val="000000"/>
        </w:rPr>
        <w:t>&lt; 0.05)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1).</w:t>
      </w:r>
    </w:p>
    <w:p w14:paraId="20BB25F3" w14:textId="4A410A51"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Readmission was categorized by if a patient was readmitted to any inpatient within 90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post-surgery or not. The Chi-square test had no strong evidence for a difference in the readmission rates between the PSH and C1-PSH cohort (</w:t>
      </w:r>
      <w:r w:rsidRPr="00DA073B">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1.65, </w:t>
      </w:r>
      <w:r>
        <w:rPr>
          <w:rFonts w:ascii="Book Antiqua" w:eastAsia="Book Antiqua" w:hAnsi="Book Antiqua" w:cs="Book Antiqua"/>
          <w:i/>
          <w:iCs/>
          <w:color w:val="000000"/>
        </w:rPr>
        <w:t>P</w:t>
      </w:r>
      <w:r>
        <w:rPr>
          <w:rFonts w:ascii="Book Antiqua" w:eastAsia="Book Antiqua" w:hAnsi="Book Antiqua" w:cs="Book Antiqua"/>
          <w:color w:val="000000"/>
        </w:rPr>
        <w:t xml:space="preserve"> = 0.2) (Figure 4). The unadjusted odds for the PSH cohort readmitted after surgery was 24% lower than the C1-PSH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0.17) (Table 2). The adjusted odds for the PSH cohort readmitted after surgery was 28% lower than the C1-PSH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0.17) (Table 2). In this </w:t>
      </w:r>
      <w:r>
        <w:rPr>
          <w:rFonts w:ascii="Book Antiqua" w:eastAsia="Book Antiqua" w:hAnsi="Book Antiqua" w:cs="Book Antiqua"/>
          <w:color w:val="000000"/>
        </w:rPr>
        <w:lastRenderedPageBreak/>
        <w:t>adjusted analysis, no variable had a significant effect on patient readmission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1).</w:t>
      </w:r>
    </w:p>
    <w:p w14:paraId="46AB9EB6" w14:textId="77777777" w:rsidR="00A77B3E" w:rsidRDefault="00A77B3E">
      <w:pPr>
        <w:spacing w:line="360" w:lineRule="auto"/>
        <w:jc w:val="both"/>
      </w:pPr>
    </w:p>
    <w:p w14:paraId="40F4983D" w14:textId="77777777" w:rsidR="00A77B3E" w:rsidRDefault="00AF595A">
      <w:pPr>
        <w:spacing w:line="360" w:lineRule="auto"/>
        <w:jc w:val="both"/>
      </w:pPr>
      <w:r>
        <w:rPr>
          <w:rFonts w:ascii="Book Antiqua" w:eastAsia="Book Antiqua" w:hAnsi="Book Antiqua" w:cs="Book Antiqua"/>
          <w:b/>
          <w:bCs/>
          <w:i/>
          <w:iCs/>
          <w:color w:val="000000"/>
        </w:rPr>
        <w:t xml:space="preserve">Evaluation 2: Comparison of PSH and C2-PSH cohort </w:t>
      </w:r>
    </w:p>
    <w:p w14:paraId="02813A20" w14:textId="3C35B3DF" w:rsidR="00A77B3E" w:rsidRDefault="00AF595A">
      <w:pPr>
        <w:spacing w:line="360" w:lineRule="auto"/>
        <w:jc w:val="both"/>
      </w:pPr>
      <w:r>
        <w:rPr>
          <w:rFonts w:ascii="Book Antiqua" w:eastAsia="Book Antiqua" w:hAnsi="Book Antiqua" w:cs="Book Antiqua"/>
          <w:color w:val="000000"/>
        </w:rPr>
        <w:t>Except for variables ASA and procedure type, there was no significant difference observed between cohorts in the baseline characteristics (</w:t>
      </w:r>
      <w:r>
        <w:rPr>
          <w:rFonts w:ascii="Book Antiqua" w:eastAsia="Book Antiqua" w:hAnsi="Book Antiqua" w:cs="Book Antiqua"/>
          <w:i/>
          <w:iCs/>
          <w:color w:val="000000"/>
        </w:rPr>
        <w:t>P</w:t>
      </w:r>
      <w:r>
        <w:rPr>
          <w:rFonts w:ascii="Book Antiqua" w:eastAsia="Book Antiqua" w:hAnsi="Book Antiqua" w:cs="Book Antiqua"/>
          <w:color w:val="000000"/>
        </w:rPr>
        <w:t xml:space="preserve"> = 0.046) (Table 3).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evaluation 1, the PSH cohort had more medically complex patients with a higher proportion of ASA class 3 (42%) compared to the C2-PSH cohort (36%). For procedure types, there were more knee procedures in the PSH cohort and there were </w:t>
      </w:r>
      <w:proofErr w:type="gramStart"/>
      <w:r>
        <w:rPr>
          <w:rFonts w:ascii="Book Antiqua" w:eastAsia="Book Antiqua" w:hAnsi="Book Antiqua" w:cs="Book Antiqua"/>
          <w:color w:val="000000"/>
        </w:rPr>
        <w:t>more hip</w:t>
      </w:r>
      <w:proofErr w:type="gramEnd"/>
      <w:r>
        <w:rPr>
          <w:rFonts w:ascii="Book Antiqua" w:eastAsia="Book Antiqua" w:hAnsi="Book Antiqua" w:cs="Book Antiqua"/>
          <w:color w:val="000000"/>
        </w:rPr>
        <w:t xml:space="preserve"> and shoulder procedures in the C2-PSH cohort. </w:t>
      </w:r>
    </w:p>
    <w:p w14:paraId="329F888F" w14:textId="0FDEE195"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There was no significant difference between LOS in the PSH cohort and C2-PSH cohort in the unadjusted analysis (median 34 </w:t>
      </w:r>
      <w:r>
        <w:rPr>
          <w:rFonts w:ascii="Book Antiqua" w:eastAsia="Book Antiqua" w:hAnsi="Book Antiqua" w:cs="Book Antiqua"/>
          <w:i/>
          <w:iCs/>
          <w:color w:val="000000"/>
        </w:rPr>
        <w:t>vs</w:t>
      </w:r>
      <w:r>
        <w:rPr>
          <w:rFonts w:ascii="Book Antiqua" w:eastAsia="Book Antiqua" w:hAnsi="Book Antiqua" w:cs="Book Antiqua"/>
          <w:color w:val="000000"/>
        </w:rPr>
        <w:t xml:space="preserve"> 35 h, </w:t>
      </w:r>
      <w:r>
        <w:rPr>
          <w:rFonts w:ascii="Book Antiqua" w:eastAsia="Book Antiqua" w:hAnsi="Book Antiqua" w:cs="Book Antiqua"/>
          <w:i/>
          <w:iCs/>
          <w:color w:val="000000"/>
        </w:rPr>
        <w:t>P</w:t>
      </w:r>
      <w:r>
        <w:rPr>
          <w:rFonts w:ascii="Book Antiqua" w:eastAsia="Book Antiqua" w:hAnsi="Book Antiqua" w:cs="Book Antiqua"/>
          <w:color w:val="000000"/>
        </w:rPr>
        <w:t xml:space="preserve"> = 0.5) (Figure 5). However, in the adjusted analysis using Poisson regression, the LOS was found to be lower in the PSH cohort compared to the C2-PSH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On average, the LOS was 10% shorter in the PSH cohort compared to the C2-PSH cohort (Table 4). Other variables that also had significant effect on patients’ LOS were age, gender, BMI, procedure type, and insurance type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0.05)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2).</w:t>
      </w:r>
    </w:p>
    <w:p w14:paraId="0C489BC2" w14:textId="39EA521C" w:rsidR="00A77B3E" w:rsidRDefault="00AF595A" w:rsidP="00DA073B">
      <w:pPr>
        <w:spacing w:line="360" w:lineRule="auto"/>
        <w:ind w:firstLineChars="100" w:firstLine="240"/>
        <w:jc w:val="both"/>
      </w:pP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evaluation 1, the discharge disposition was found to be significantly different between the PSH and C2-PSH cohorts (</w:t>
      </w:r>
      <w:r w:rsidRPr="00DA073B">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8,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(Figure 6). The unadjusted odds for the PSH cohort discharged to other facilities was 49% lower than the C2-PSH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(Table 4). Using logistic regression, the adjusted odds for the PSH cohort discharged to other facilities was 62% lower than the C2-PSH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(Table 4). Age, gender, procedure type, insurance type, and LOS were also associated with patient discharge type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0.05)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2).</w:t>
      </w:r>
    </w:p>
    <w:p w14:paraId="130C4F4C" w14:textId="057BBE37" w:rsidR="00A77B3E" w:rsidRDefault="00AF595A" w:rsidP="00DA073B">
      <w:pPr>
        <w:spacing w:line="360" w:lineRule="auto"/>
        <w:ind w:firstLineChars="100" w:firstLine="240"/>
        <w:jc w:val="both"/>
      </w:pP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evaluation 1, the Chi-square test had no strong evidence for a difference in the readmission rates between the PSH and C2-PSH cohort (</w:t>
      </w:r>
      <w:r w:rsidRPr="00DA073B">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1, </w:t>
      </w:r>
      <w:r>
        <w:rPr>
          <w:rFonts w:ascii="Book Antiqua" w:eastAsia="Book Antiqua" w:hAnsi="Book Antiqua" w:cs="Book Antiqua"/>
          <w:i/>
          <w:iCs/>
          <w:color w:val="000000"/>
        </w:rPr>
        <w:t>P</w:t>
      </w:r>
      <w:r>
        <w:rPr>
          <w:rFonts w:ascii="Book Antiqua" w:eastAsia="Book Antiqua" w:hAnsi="Book Antiqua" w:cs="Book Antiqua"/>
          <w:color w:val="000000"/>
        </w:rPr>
        <w:t xml:space="preserve"> = 0.31) (Figure 6). However, atypical results were observed in the unadjusted analysis, where the odds of the PSH cohort readmitted after surgery was 31% higher than the C2-PSH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r>
        <w:rPr>
          <w:rFonts w:ascii="Book Antiqua" w:eastAsia="Book Antiqua" w:hAnsi="Book Antiqua" w:cs="Book Antiqua"/>
          <w:color w:val="000000"/>
        </w:rPr>
        <w:lastRenderedPageBreak/>
        <w:t>0.26) (Table 4). Atypical results were also observed in the adjusted analysis, where the odds for the PSH cohort readmitted after surgery was 29% higher than the C2-PSH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0.26) (Table 4). In the adjusted analysis, no variable had a significant effect on patient readmission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&gt; 0.05)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2).</w:t>
      </w:r>
    </w:p>
    <w:p w14:paraId="5A4AC4FD" w14:textId="77777777" w:rsidR="00A77B3E" w:rsidRDefault="00A77B3E">
      <w:pPr>
        <w:spacing w:line="360" w:lineRule="auto"/>
        <w:jc w:val="both"/>
      </w:pPr>
    </w:p>
    <w:p w14:paraId="01740876" w14:textId="77777777" w:rsidR="00A77B3E" w:rsidRDefault="00AF595A">
      <w:pPr>
        <w:spacing w:line="360" w:lineRule="auto"/>
        <w:jc w:val="both"/>
      </w:pPr>
      <w:r>
        <w:rPr>
          <w:rFonts w:ascii="Book Antiqua" w:eastAsia="Book Antiqua" w:hAnsi="Book Antiqua" w:cs="Book Antiqua"/>
          <w:b/>
          <w:caps/>
          <w:color w:val="000000"/>
          <w:u w:val="single"/>
        </w:rPr>
        <w:t>DISCUSSION</w:t>
      </w:r>
    </w:p>
    <w:p w14:paraId="5B755595" w14:textId="77777777" w:rsidR="00A77B3E" w:rsidRDefault="00AF595A">
      <w:pPr>
        <w:spacing w:line="360" w:lineRule="auto"/>
        <w:jc w:val="both"/>
      </w:pPr>
      <w:r>
        <w:rPr>
          <w:rFonts w:ascii="Book Antiqua" w:eastAsia="Book Antiqua" w:hAnsi="Book Antiqua" w:cs="Book Antiqua"/>
          <w:color w:val="000000"/>
        </w:rPr>
        <w:t xml:space="preserve">This study evaluated the importance of PSH at a rural community hospital by comparing the PSH cohort with two control cohorts. In the first evaluation, the PSH cohort was compared with the C1-PSH cohort and for the second evaluation, the PSH cohort was compared with the C2-PSH cohort. The C1-PSH cohort included patients who had TJR surgeries before the PSH was implemented. The C2-PSH cohort consists of patients, who had TJR surgeries after PSH was implemented but did not visit the PSH clinic or followed the PSH-pathway. </w:t>
      </w:r>
    </w:p>
    <w:p w14:paraId="3F61103E" w14:textId="257E1F45"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In both evaluations, the LOS was shorter in the PSH cohort compared to the control cohorts (median PSH = 34 h, C1-PSH = 53 h, C2-PSH = 35 </w:t>
      </w:r>
      <w:proofErr w:type="gramStart"/>
      <w:r>
        <w:rPr>
          <w:rFonts w:ascii="Book Antiqua" w:eastAsia="Book Antiqua" w:hAnsi="Book Antiqua" w:cs="Book Antiqua"/>
          <w:color w:val="000000"/>
        </w:rPr>
        <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14,33,34]</w:t>
      </w:r>
      <w:r>
        <w:rPr>
          <w:rFonts w:ascii="Book Antiqua" w:eastAsia="Book Antiqua" w:hAnsi="Book Antiqua" w:cs="Book Antiqua"/>
          <w:color w:val="000000"/>
        </w:rPr>
        <w:t xml:space="preserve">. Although there was no statistical difference in LOS between the PSH and the C2-PSH cohort in the unadjusted analysis, the LOS was significantly shorter in the PSH cohort (10% shorter) in the adjusted analysis. This is because the PSH cohort had older and more medically complicated patients than the control cohorts. Therefore, when adjusted for the variables age, BMI, ASA,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PSH had a significant effect in reducing LOS. Correspondingly, the PSH cohort had lower percentage of discharges to other facilities compared to the control cohorts (PSH = 3.5%, C1-PSH = 15.5%, C2-PSH = 6.7%). </w:t>
      </w:r>
    </w:p>
    <w:p w14:paraId="09B8FB09" w14:textId="167CC0BC" w:rsidR="00A77B3E" w:rsidRDefault="00AF595A" w:rsidP="00DA073B">
      <w:pPr>
        <w:spacing w:line="360" w:lineRule="auto"/>
        <w:ind w:firstLineChars="100" w:firstLine="240"/>
        <w:jc w:val="both"/>
      </w:pPr>
      <w:r>
        <w:rPr>
          <w:rFonts w:ascii="Book Antiqua" w:eastAsia="Book Antiqua" w:hAnsi="Book Antiqua" w:cs="Book Antiqua"/>
          <w:color w:val="000000"/>
        </w:rPr>
        <w:t>There was no statistical significance in adjusted and unadjusted analysis for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The readmission percentage was lower in the PSH cohort (4.7%) than the C1-PSH cohort (6.1%). Conversely, the PSH cohort (4.7%) had slightly higher percentage of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than the C2-PSH cohort (3.6%). Despite a marginal increase in the PSH cohort, the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percentage was still lower than the national average 30-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which is 5.5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36-38]</w:t>
      </w:r>
      <w:r>
        <w:rPr>
          <w:rFonts w:ascii="Book Antiqua" w:eastAsia="Book Antiqua" w:hAnsi="Book Antiqua" w:cs="Book Antiqua"/>
          <w:color w:val="000000"/>
        </w:rPr>
        <w:t xml:space="preserve">. Past studies also demonstrated </w:t>
      </w:r>
      <w:r>
        <w:rPr>
          <w:rFonts w:ascii="Book Antiqua" w:eastAsia="Book Antiqua" w:hAnsi="Book Antiqua" w:cs="Book Antiqua"/>
          <w:color w:val="000000"/>
        </w:rPr>
        <w:lastRenderedPageBreak/>
        <w:t xml:space="preserve">similar results where despite no statistical significance, the implementation of PSH helped to lower the readmission rates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33,38,39]</w:t>
      </w:r>
      <w:r>
        <w:rPr>
          <w:rFonts w:ascii="Book Antiqua" w:eastAsia="Book Antiqua" w:hAnsi="Book Antiqua" w:cs="Book Antiqua"/>
          <w:color w:val="000000"/>
        </w:rPr>
        <w:t>.</w:t>
      </w:r>
    </w:p>
    <w:p w14:paraId="188339F3" w14:textId="1F0AD1D6"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Akin to other studies of urban health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implementing PSH at a community hospital helped to improve the TJR surgical outcomes. With only limited resources and siloed supporting microsystems, physician co-management was vital to effectively establish the PSH system at the rural community hospital. The PSH preoperative process utilized patient assessment and patient education approximately 30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before surgery. The assessment helped clinicians identify patients with high-risk factors such as diabetes, high or low blood pressure, sleep apnea, obesity, and heart or respiratory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7,40]</w:t>
      </w:r>
      <w:r>
        <w:rPr>
          <w:rFonts w:ascii="Book Antiqua" w:eastAsia="Book Antiqua" w:hAnsi="Book Antiqua" w:cs="Book Antiqua"/>
          <w:color w:val="000000"/>
        </w:rPr>
        <w:t xml:space="preserve">. Based on these risks, the patients were ‘optimized’ and received treatment to improve the overall care by minimizing existing conditions or controlling undiagnosed conditions. In addition, the total joint education class hosted by the PSH clinicians educated patients on how to prepare for surgery, manage pain, plan for postoperative discharge, and reach clinicians for postoperative </w:t>
      </w:r>
      <w:proofErr w:type="gramStart"/>
      <w:r>
        <w:rPr>
          <w:rFonts w:ascii="Book Antiqua" w:eastAsia="Book Antiqua" w:hAnsi="Book Antiqua" w:cs="Book Antiqua"/>
          <w:color w:val="000000"/>
        </w:rPr>
        <w:t>assistance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6,41]</w:t>
      </w:r>
      <w:r>
        <w:rPr>
          <w:rFonts w:ascii="Book Antiqua" w:eastAsia="Book Antiqua" w:hAnsi="Book Antiqua" w:cs="Book Antiqua"/>
          <w:color w:val="000000"/>
        </w:rPr>
        <w:t xml:space="preserve">. Finally, a digital platform was initiated in the recovery phase to improve patient-clinician coordination and communication after surgery. The digital platform was used to engage and assess longitudinal patient-reported outcomes (post and pre-surgical pain, satisfaction, sleep, </w:t>
      </w:r>
      <w:r>
        <w:rPr>
          <w:rFonts w:ascii="Book Antiqua" w:eastAsia="Book Antiqua" w:hAnsi="Book Antiqua" w:cs="Book Antiqua"/>
          <w:i/>
          <w:iCs/>
          <w:color w:val="000000"/>
        </w:rPr>
        <w:t>etc.</w:t>
      </w:r>
      <w:r>
        <w:rPr>
          <w:rFonts w:ascii="Book Antiqua" w:eastAsia="Book Antiqua" w:hAnsi="Book Antiqua" w:cs="Book Antiqua"/>
          <w:color w:val="000000"/>
        </w:rPr>
        <w:t xml:space="preserve">) from 30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preoperative to 90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postoperative. These factors were conducive to improving patient satisfaction, shortening the LOS, increasing discharge to home, and reducing readmission after the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6,24,42]</w:t>
      </w:r>
      <w:r>
        <w:rPr>
          <w:rFonts w:ascii="Book Antiqua" w:eastAsia="Book Antiqua" w:hAnsi="Book Antiqua" w:cs="Book Antiqua"/>
          <w:color w:val="000000"/>
        </w:rPr>
        <w:t xml:space="preserve">.  </w:t>
      </w:r>
    </w:p>
    <w:p w14:paraId="7D52E329" w14:textId="77777777"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The PSH clinic majorly saw patients who were high risk (older, high ASA score, high BMI, one or more medical complications such as diabetes, hypertension), which left the C2-PSH cohort with low to medium-risk patients. This explained why the C2-PSH had improved surgical outcomes for LOS, discharge disposition, and 90-readmission compared to the C1-PSH cohort. The PSH system was effective in optimizing medically complicated patients, delivering similar or improved surgical outcomes compared to the C2-PSH cohort. The results from this study support that more patients (especially high and medium risk) should follow the PSH pathway for an effective and improved surgical experience. </w:t>
      </w:r>
    </w:p>
    <w:p w14:paraId="6FE18B76" w14:textId="5B8E53E3" w:rsidR="00A77B3E" w:rsidRDefault="00AF595A" w:rsidP="00DA073B">
      <w:pPr>
        <w:spacing w:line="360" w:lineRule="auto"/>
        <w:ind w:firstLineChars="100" w:firstLine="240"/>
        <w:jc w:val="both"/>
      </w:pPr>
      <w:r>
        <w:rPr>
          <w:rFonts w:ascii="Book Antiqua" w:eastAsia="Book Antiqua" w:hAnsi="Book Antiqua" w:cs="Book Antiqua"/>
          <w:color w:val="000000"/>
        </w:rPr>
        <w:lastRenderedPageBreak/>
        <w:t xml:space="preserve">Unlike the majority of the PSH studies that were performed at hospitals or health institutions located in metropolitical areas, this research examined the dissemination of PSH system and its effectiveness at a community hospital located in a micro-statistical area (population between 10000 to 50000). According to the United States Census Bureau, 27.2 million people (8.4% of the </w:t>
      </w:r>
      <w:r w:rsidR="00DA073B">
        <w:rPr>
          <w:rFonts w:ascii="Book Antiqua" w:eastAsia="Book Antiqua" w:hAnsi="Book Antiqua" w:cs="Book Antiqua"/>
          <w:color w:val="000000"/>
        </w:rPr>
        <w:t>United States</w:t>
      </w:r>
      <w:r>
        <w:rPr>
          <w:rFonts w:ascii="Book Antiqua" w:eastAsia="Book Antiqua" w:hAnsi="Book Antiqua" w:cs="Book Antiqua"/>
          <w:color w:val="000000"/>
        </w:rPr>
        <w:t xml:space="preserve"> population) live in micro-statistical areas encompassing 660 </w:t>
      </w:r>
      <w:proofErr w:type="gramStart"/>
      <w:r>
        <w:rPr>
          <w:rFonts w:ascii="Book Antiqua" w:eastAsia="Book Antiqua" w:hAnsi="Book Antiqua" w:cs="Book Antiqua"/>
          <w:color w:val="000000"/>
        </w:rPr>
        <w:t>counties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Compared to metropolitical areas, patients living in micro-statistical areas are often prone to experiencing health equity issues and access to health services, including surgical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This study contributes to improving surgical outcomes using PSH system for community hospitals that are specifically located in micro-statistical areas. The authors envision that these study results will immensely help researchers and clinicians who are working to enhance surgical care in states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Montana demographics and social factors, including Alaska, Idaho, Wyoming, North Dakota, and South Dakota. </w:t>
      </w:r>
    </w:p>
    <w:p w14:paraId="3AB0198A" w14:textId="739AA271"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The limitations of this study include being a retrospective which may contain data collection biases that could alter the results and key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Instead, a prospective clinical trial study can minimize these biases and provide better evidence-based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Second, this study was performed at a community hospital located in a rural micro-statistical area (with a population greater than 10000). The results from this study may not be generalizable to more rural places (</w:t>
      </w:r>
      <w:r w:rsidRPr="00DA073B">
        <w:rPr>
          <w:rFonts w:ascii="Book Antiqua" w:eastAsia="Book Antiqua" w:hAnsi="Book Antiqua" w:cs="Book Antiqua"/>
          <w:i/>
          <w:iCs/>
          <w:color w:val="000000"/>
        </w:rPr>
        <w:t>e.g.</w:t>
      </w:r>
      <w:r>
        <w:rPr>
          <w:rFonts w:ascii="Book Antiqua" w:eastAsia="Book Antiqua" w:hAnsi="Book Antiqua" w:cs="Book Antiqua"/>
          <w:color w:val="000000"/>
        </w:rPr>
        <w:t xml:space="preserve">, with a population of less than 5000). </w:t>
      </w:r>
    </w:p>
    <w:p w14:paraId="10D09DB9" w14:textId="77777777" w:rsidR="00A77B3E" w:rsidRDefault="00A77B3E">
      <w:pPr>
        <w:spacing w:line="360" w:lineRule="auto"/>
        <w:jc w:val="both"/>
      </w:pPr>
    </w:p>
    <w:p w14:paraId="2E3F8CD6" w14:textId="77777777" w:rsidR="00A77B3E" w:rsidRDefault="00AF595A">
      <w:pPr>
        <w:spacing w:line="360" w:lineRule="auto"/>
        <w:jc w:val="both"/>
      </w:pPr>
      <w:r>
        <w:rPr>
          <w:rFonts w:ascii="Book Antiqua" w:eastAsia="Book Antiqua" w:hAnsi="Book Antiqua" w:cs="Book Antiqua"/>
          <w:b/>
          <w:caps/>
          <w:color w:val="000000"/>
          <w:u w:val="single"/>
        </w:rPr>
        <w:t>CONCLUSION</w:t>
      </w:r>
    </w:p>
    <w:p w14:paraId="570AC449" w14:textId="68783A21" w:rsidR="00A77B3E" w:rsidRDefault="00AF595A">
      <w:pPr>
        <w:spacing w:line="360" w:lineRule="auto"/>
        <w:jc w:val="both"/>
      </w:pPr>
      <w:r>
        <w:rPr>
          <w:rFonts w:ascii="Book Antiqua" w:eastAsia="Book Antiqua" w:hAnsi="Book Antiqua" w:cs="Book Antiqua"/>
          <w:color w:val="000000"/>
        </w:rPr>
        <w:t xml:space="preserve">To the author’s knowledge, this study is first of its kind to evaluate the effectiveness of a PSH in a rural surgical system using a case-control study design. Implementing PSH at a community hospital was primarily successful because of patient-centric physician co-management to ensure continuity of care across all perioperative surgical phases. The PSH elements including preoperative assessment, patient education, and longitudinal digital engagement were imperative for improving the TJR surgical outcomes at the community hospital. Future research should include analysis of outcomes including same-day surgery cancellation, surgical cost, postoperative recovery measures, and </w:t>
      </w:r>
      <w:r>
        <w:rPr>
          <w:rFonts w:ascii="Book Antiqua" w:eastAsia="Book Antiqua" w:hAnsi="Book Antiqua" w:cs="Book Antiqua"/>
          <w:color w:val="000000"/>
        </w:rPr>
        <w:lastRenderedPageBreak/>
        <w:t xml:space="preserve">postoperative opioid consumption. Other future research should also include advanced analytics and predictive modeling such as machine learning and deep learning to predict patient risk and improve the performance of surgical systems at rural and frontier </w:t>
      </w:r>
      <w:proofErr w:type="gramStart"/>
      <w:r>
        <w:rPr>
          <w:rFonts w:ascii="Book Antiqua" w:eastAsia="Book Antiqua" w:hAnsi="Book Antiqua" w:cs="Book Antiqua"/>
          <w:color w:val="000000"/>
        </w:rPr>
        <w:t>hospitals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w:t>
      </w:r>
    </w:p>
    <w:p w14:paraId="5318F67E" w14:textId="77777777" w:rsidR="00A77B3E" w:rsidRDefault="00A77B3E">
      <w:pPr>
        <w:spacing w:line="360" w:lineRule="auto"/>
        <w:jc w:val="both"/>
      </w:pPr>
    </w:p>
    <w:p w14:paraId="7FB50EAB" w14:textId="77777777" w:rsidR="00A77B3E" w:rsidRDefault="00AF595A">
      <w:pPr>
        <w:spacing w:line="360" w:lineRule="auto"/>
        <w:jc w:val="both"/>
      </w:pPr>
      <w:r>
        <w:rPr>
          <w:rFonts w:ascii="Book Antiqua" w:eastAsia="Book Antiqua" w:hAnsi="Book Antiqua" w:cs="Book Antiqua"/>
          <w:b/>
          <w:caps/>
          <w:color w:val="000000"/>
          <w:u w:val="single"/>
        </w:rPr>
        <w:t>ARTICLE HIGHLIGHTS</w:t>
      </w:r>
    </w:p>
    <w:p w14:paraId="158C9DB4" w14:textId="77777777" w:rsidR="00A77B3E" w:rsidRDefault="00AF595A">
      <w:pPr>
        <w:spacing w:line="360" w:lineRule="auto"/>
        <w:jc w:val="both"/>
      </w:pPr>
      <w:r>
        <w:rPr>
          <w:rFonts w:ascii="Book Antiqua" w:eastAsia="Book Antiqua" w:hAnsi="Book Antiqua" w:cs="Book Antiqua"/>
          <w:b/>
          <w:i/>
          <w:color w:val="000000"/>
        </w:rPr>
        <w:t>Research background</w:t>
      </w:r>
    </w:p>
    <w:p w14:paraId="4E8ABCC2" w14:textId="5F0A3714" w:rsidR="00A77B3E" w:rsidRDefault="00AF595A">
      <w:pPr>
        <w:spacing w:line="360" w:lineRule="auto"/>
        <w:jc w:val="both"/>
      </w:pPr>
      <w:r>
        <w:rPr>
          <w:rFonts w:ascii="Book Antiqua" w:eastAsia="Book Antiqua" w:hAnsi="Book Antiqua" w:cs="Book Antiqua"/>
          <w:color w:val="000000"/>
          <w:szCs w:val="22"/>
        </w:rPr>
        <w:t>With increasing demand for total joint replacement (TJR) procedures, delivering quality surgical care is a challenge to many hospitals, specifically those hospitals located in rural areas. The perioperative surgical home (PSH) developed by Amer</w:t>
      </w:r>
      <w:r w:rsidR="00914309">
        <w:rPr>
          <w:rFonts w:ascii="Book Antiqua" w:eastAsia="Book Antiqua" w:hAnsi="Book Antiqua" w:cs="Book Antiqua"/>
          <w:color w:val="000000"/>
          <w:szCs w:val="22"/>
        </w:rPr>
        <w:t>ic</w:t>
      </w:r>
      <w:r>
        <w:rPr>
          <w:rFonts w:ascii="Book Antiqua" w:eastAsia="Book Antiqua" w:hAnsi="Book Antiqua" w:cs="Book Antiqua"/>
          <w:color w:val="000000"/>
          <w:szCs w:val="22"/>
        </w:rPr>
        <w:t>an Society of Anesthesiologists</w:t>
      </w:r>
      <w:r w:rsidR="008212C6">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has proven successful in large urban health centers by reducing surgery cancellation, operating room time, length of stay (LOS), and readmission rates. Yet, only limited studies have assessed the impact of PSH on surgical outcomes in rural areas. </w:t>
      </w:r>
    </w:p>
    <w:p w14:paraId="3ECBEE99" w14:textId="77777777" w:rsidR="008212C6" w:rsidRDefault="008212C6" w:rsidP="008212C6">
      <w:pPr>
        <w:spacing w:line="360" w:lineRule="auto"/>
        <w:jc w:val="both"/>
      </w:pPr>
    </w:p>
    <w:p w14:paraId="308D3601" w14:textId="77777777" w:rsidR="008212C6" w:rsidRDefault="008212C6" w:rsidP="008212C6">
      <w:pPr>
        <w:spacing w:line="360" w:lineRule="auto"/>
        <w:jc w:val="both"/>
      </w:pPr>
      <w:r>
        <w:rPr>
          <w:rFonts w:ascii="Book Antiqua" w:eastAsia="Book Antiqua" w:hAnsi="Book Antiqua" w:cs="Book Antiqua"/>
          <w:b/>
          <w:i/>
          <w:color w:val="000000"/>
        </w:rPr>
        <w:t>Research motivation</w:t>
      </w:r>
    </w:p>
    <w:p w14:paraId="345D96B6" w14:textId="77777777" w:rsidR="008212C6" w:rsidRDefault="008212C6" w:rsidP="008212C6">
      <w:pPr>
        <w:spacing w:line="360" w:lineRule="auto"/>
        <w:jc w:val="both"/>
      </w:pPr>
      <w:r>
        <w:rPr>
          <w:rFonts w:ascii="Book Antiqua" w:eastAsia="Book Antiqua" w:hAnsi="Book Antiqua" w:cs="Book Antiqua"/>
          <w:color w:val="000000"/>
          <w:szCs w:val="22"/>
        </w:rPr>
        <w:t xml:space="preserve">Compared to urban hospitals, rural hospitals in the United States can often be overwhelmed by the growing demand for TJR surgeries and factors such as poor coordination among clinicians, lack of patient education, poor patient care transition, and inconsistent care delivery that affect rural orthopedic surgical care negatively. A new PSH system was implemented at a community hospital located in rural Montana to address these issues, which have plagued the rural orthopedic surgery system. </w:t>
      </w:r>
    </w:p>
    <w:p w14:paraId="35154241" w14:textId="77777777" w:rsidR="008212C6" w:rsidRDefault="008212C6" w:rsidP="008212C6">
      <w:pPr>
        <w:spacing w:line="360" w:lineRule="auto"/>
        <w:jc w:val="both"/>
      </w:pPr>
    </w:p>
    <w:p w14:paraId="0B9B7881" w14:textId="77777777" w:rsidR="008212C6" w:rsidRDefault="008212C6" w:rsidP="008212C6">
      <w:pPr>
        <w:spacing w:line="360" w:lineRule="auto"/>
        <w:jc w:val="both"/>
      </w:pPr>
      <w:r>
        <w:rPr>
          <w:rFonts w:ascii="Book Antiqua" w:eastAsia="Book Antiqua" w:hAnsi="Book Antiqua" w:cs="Book Antiqua"/>
          <w:b/>
          <w:i/>
          <w:color w:val="000000"/>
        </w:rPr>
        <w:t>Research objectives</w:t>
      </w:r>
    </w:p>
    <w:p w14:paraId="666AABE0" w14:textId="32945C90" w:rsidR="008212C6" w:rsidRDefault="008212C6" w:rsidP="008212C6">
      <w:pPr>
        <w:spacing w:line="360" w:lineRule="auto"/>
        <w:jc w:val="both"/>
      </w:pPr>
      <w:r>
        <w:rPr>
          <w:rFonts w:ascii="Book Antiqua" w:eastAsia="Book Antiqua" w:hAnsi="Book Antiqua" w:cs="Book Antiqua"/>
          <w:color w:val="000000"/>
        </w:rPr>
        <w:t xml:space="preserve">The objective of </w:t>
      </w:r>
      <w:r w:rsidR="00EA3487">
        <w:rPr>
          <w:rFonts w:ascii="Book Antiqua" w:eastAsia="Book Antiqua" w:hAnsi="Book Antiqua" w:cs="Book Antiqua"/>
          <w:color w:val="000000"/>
        </w:rPr>
        <w:t>t</w:t>
      </w:r>
      <w:r>
        <w:rPr>
          <w:rFonts w:ascii="Book Antiqua" w:eastAsia="Book Antiqua" w:hAnsi="Book Antiqua" w:cs="Book Antiqua"/>
          <w:color w:val="000000"/>
        </w:rPr>
        <w:t>his research was to evaluate the newly implemented PSH system at a local rural, community hospital by comparing TJR surgical outcomes using a longitudinal case-control study. </w:t>
      </w:r>
    </w:p>
    <w:p w14:paraId="7F05C58C" w14:textId="77777777" w:rsidR="008212C6" w:rsidRDefault="008212C6" w:rsidP="008212C6">
      <w:pPr>
        <w:spacing w:line="360" w:lineRule="auto"/>
        <w:jc w:val="both"/>
      </w:pPr>
    </w:p>
    <w:p w14:paraId="1B788924" w14:textId="77777777" w:rsidR="008212C6" w:rsidRDefault="008212C6" w:rsidP="008212C6">
      <w:pPr>
        <w:spacing w:line="360" w:lineRule="auto"/>
        <w:jc w:val="both"/>
      </w:pPr>
      <w:r>
        <w:rPr>
          <w:rFonts w:ascii="Book Antiqua" w:eastAsia="Book Antiqua" w:hAnsi="Book Antiqua" w:cs="Book Antiqua"/>
          <w:b/>
          <w:i/>
          <w:color w:val="000000"/>
        </w:rPr>
        <w:t>Research methods</w:t>
      </w:r>
    </w:p>
    <w:p w14:paraId="7A31F886" w14:textId="43701BA6" w:rsidR="008212C6" w:rsidRDefault="008212C6" w:rsidP="008212C6">
      <w:pPr>
        <w:spacing w:line="360" w:lineRule="auto"/>
        <w:jc w:val="both"/>
      </w:pPr>
      <w:r>
        <w:rPr>
          <w:rFonts w:ascii="Book Antiqua" w:eastAsia="Book Antiqua" w:hAnsi="Book Antiqua" w:cs="Book Antiqua"/>
          <w:color w:val="000000"/>
        </w:rPr>
        <w:lastRenderedPageBreak/>
        <w:t xml:space="preserve">A case-control study was performed to compare the PSH and non-PSH cohorts of TJR surgical outcomes performed at a rural community hospital. Statistical tests including the Chi-square test or Fischer's exact test were performed to compare the categorical variables between non-PSH and PSH cohorts. Similarly, for continuous variables, student's </w:t>
      </w:r>
      <w:r w:rsidRPr="008212C6">
        <w:rPr>
          <w:rFonts w:ascii="Book Antiqua" w:eastAsia="Book Antiqua" w:hAnsi="Book Antiqua" w:cs="Book Antiqua"/>
          <w:i/>
          <w:iCs/>
          <w:color w:val="000000"/>
        </w:rPr>
        <w:t>t</w:t>
      </w:r>
      <w:r>
        <w:rPr>
          <w:rFonts w:ascii="Book Antiqua" w:eastAsia="Book Antiqua" w:hAnsi="Book Antiqua" w:cs="Book Antiqua"/>
          <w:color w:val="000000"/>
        </w:rPr>
        <w:t xml:space="preserve"> test or Mann-Whitney test was performed, as appropriate. The adjusted analysis was performed using general linear models; Poisson regression for the LOS, and binomial logistic regression for discharge disposition and 90-d readmission.</w:t>
      </w:r>
    </w:p>
    <w:p w14:paraId="6AAA023F" w14:textId="77777777" w:rsidR="008212C6" w:rsidRDefault="008212C6" w:rsidP="008212C6">
      <w:pPr>
        <w:spacing w:line="360" w:lineRule="auto"/>
        <w:jc w:val="both"/>
      </w:pPr>
    </w:p>
    <w:p w14:paraId="17251031" w14:textId="77777777" w:rsidR="008212C6" w:rsidRDefault="008212C6" w:rsidP="008212C6">
      <w:pPr>
        <w:spacing w:line="360" w:lineRule="auto"/>
        <w:jc w:val="both"/>
      </w:pPr>
      <w:r>
        <w:rPr>
          <w:rFonts w:ascii="Book Antiqua" w:eastAsia="Book Antiqua" w:hAnsi="Book Antiqua" w:cs="Book Antiqua"/>
          <w:b/>
          <w:i/>
          <w:color w:val="000000"/>
        </w:rPr>
        <w:t>Research results</w:t>
      </w:r>
    </w:p>
    <w:p w14:paraId="03EAF176" w14:textId="42A19404" w:rsidR="008212C6" w:rsidRDefault="008212C6" w:rsidP="008212C6">
      <w:pPr>
        <w:spacing w:line="360" w:lineRule="auto"/>
        <w:jc w:val="both"/>
      </w:pPr>
      <w:r>
        <w:rPr>
          <w:rFonts w:ascii="Book Antiqua" w:eastAsia="Book Antiqua" w:hAnsi="Book Antiqua" w:cs="Book Antiqua"/>
          <w:color w:val="000000"/>
        </w:rPr>
        <w:t xml:space="preserve">The LOS was shorter in PSH cohort compared to the control cohorts </w:t>
      </w:r>
      <w:r w:rsidR="007067E8">
        <w:rPr>
          <w:rFonts w:ascii="Book Antiqua" w:eastAsia="Book Antiqua" w:hAnsi="Book Antiqua" w:cs="Book Antiqua"/>
          <w:color w:val="000000"/>
        </w:rPr>
        <w:t>[</w:t>
      </w:r>
      <w:r>
        <w:rPr>
          <w:rFonts w:ascii="Book Antiqua" w:eastAsia="Book Antiqua" w:hAnsi="Book Antiqua" w:cs="Book Antiqua"/>
          <w:color w:val="000000"/>
        </w:rPr>
        <w:t xml:space="preserve">median PSH = 34 h, </w:t>
      </w:r>
      <w:r w:rsidR="007067E8" w:rsidRPr="006F0E2D">
        <w:rPr>
          <w:rFonts w:ascii="Book Antiqua" w:eastAsia="Book Antiqua" w:hAnsi="Book Antiqua" w:cs="Book Antiqua"/>
          <w:color w:val="000000"/>
        </w:rPr>
        <w:t xml:space="preserve">Control-1 PSH </w:t>
      </w:r>
      <w:r w:rsidR="007067E8">
        <w:rPr>
          <w:rFonts w:ascii="Book Antiqua" w:eastAsia="Book Antiqua" w:hAnsi="Book Antiqua" w:cs="Book Antiqua"/>
          <w:color w:val="000000"/>
        </w:rPr>
        <w:t>(C1-PSH)</w:t>
      </w:r>
      <w:r>
        <w:rPr>
          <w:rFonts w:ascii="Book Antiqua" w:eastAsia="Book Antiqua" w:hAnsi="Book Antiqua" w:cs="Book Antiqua"/>
          <w:color w:val="000000"/>
        </w:rPr>
        <w:t xml:space="preserve"> = 53 h, </w:t>
      </w:r>
      <w:r w:rsidR="007067E8" w:rsidRPr="006F0E2D">
        <w:rPr>
          <w:rFonts w:ascii="Book Antiqua" w:eastAsia="Book Antiqua" w:hAnsi="Book Antiqua" w:cs="Book Antiqua"/>
          <w:color w:val="000000"/>
        </w:rPr>
        <w:t xml:space="preserve">Control-2 PSH </w:t>
      </w:r>
      <w:r w:rsidR="007067E8">
        <w:rPr>
          <w:rFonts w:ascii="Book Antiqua" w:eastAsia="Book Antiqua" w:hAnsi="Book Antiqua" w:cs="Book Antiqua"/>
          <w:color w:val="000000"/>
        </w:rPr>
        <w:t>(C2-PSH)</w:t>
      </w:r>
      <w:r>
        <w:rPr>
          <w:rFonts w:ascii="Book Antiqua" w:eastAsia="Book Antiqua" w:hAnsi="Book Antiqua" w:cs="Book Antiqua"/>
          <w:color w:val="000000"/>
        </w:rPr>
        <w:t xml:space="preserve"> = 35 h</w:t>
      </w:r>
      <w:r w:rsidR="007067E8">
        <w:rPr>
          <w:rFonts w:ascii="Book Antiqua" w:eastAsia="Book Antiqua" w:hAnsi="Book Antiqua" w:cs="Book Antiqua"/>
          <w:color w:val="000000"/>
        </w:rPr>
        <w:t>]</w:t>
      </w:r>
      <w:r>
        <w:rPr>
          <w:rFonts w:ascii="Book Antiqua" w:eastAsia="Book Antiqua" w:hAnsi="Book Antiqua" w:cs="Book Antiqua"/>
          <w:color w:val="000000"/>
        </w:rPr>
        <w:t>. Correspondingly, the PSH cohort had a lower percentage of discharges to other facilities than the control cohorts (PSH = 3.5%, C1-PSH = 15.5%, C2-PSH = 6.7%). No statistically significant difference was observed in 90-d readmission between PSH and control cohorts. However, the implementation of PSH helped to lower the readmission rates after surgery.</w:t>
      </w:r>
    </w:p>
    <w:p w14:paraId="2FA3E9E3" w14:textId="77777777" w:rsidR="008212C6" w:rsidRDefault="008212C6" w:rsidP="008212C6">
      <w:pPr>
        <w:spacing w:line="360" w:lineRule="auto"/>
        <w:jc w:val="both"/>
      </w:pPr>
    </w:p>
    <w:p w14:paraId="3E50760B" w14:textId="77777777" w:rsidR="008212C6" w:rsidRDefault="008212C6" w:rsidP="008212C6">
      <w:pPr>
        <w:spacing w:line="360" w:lineRule="auto"/>
        <w:jc w:val="both"/>
      </w:pPr>
      <w:r>
        <w:rPr>
          <w:rFonts w:ascii="Book Antiqua" w:eastAsia="Book Antiqua" w:hAnsi="Book Antiqua" w:cs="Book Antiqua"/>
          <w:b/>
          <w:i/>
          <w:color w:val="000000"/>
        </w:rPr>
        <w:t>Research conclusions</w:t>
      </w:r>
    </w:p>
    <w:p w14:paraId="2FCD4FE6" w14:textId="77777777" w:rsidR="008212C6" w:rsidRDefault="008212C6" w:rsidP="008212C6">
      <w:pPr>
        <w:spacing w:line="360" w:lineRule="auto"/>
        <w:jc w:val="both"/>
      </w:pPr>
      <w:r>
        <w:rPr>
          <w:rFonts w:ascii="Book Antiqua" w:eastAsia="Book Antiqua" w:hAnsi="Book Antiqua" w:cs="Book Antiqua"/>
          <w:color w:val="000000"/>
        </w:rPr>
        <w:t xml:space="preserve">Implementing PSH at a community hospital helped to improve the TJR surgical outcomes. The patient-centric physician co-management to ensure continuity of care across all perioperative surgical phases was vital for establishing PSH system at a rural community hospital. The PSH elements including preoperative assessment, patient education, and longitudinal digital engagement were imperative for improving patient satisfaction, shortening the LOS, increasing discharge to home, and reducing readmission after the surgery. </w:t>
      </w:r>
    </w:p>
    <w:p w14:paraId="63ACA485" w14:textId="77777777" w:rsidR="008212C6" w:rsidRDefault="008212C6" w:rsidP="008212C6">
      <w:pPr>
        <w:spacing w:line="360" w:lineRule="auto"/>
        <w:jc w:val="both"/>
        <w:rPr>
          <w:rFonts w:ascii="Book Antiqua" w:eastAsia="Book Antiqua" w:hAnsi="Book Antiqua" w:cs="Book Antiqua"/>
          <w:b/>
          <w:i/>
          <w:color w:val="000000"/>
        </w:rPr>
      </w:pPr>
    </w:p>
    <w:p w14:paraId="2CA569A6" w14:textId="53FB1DA2" w:rsidR="008212C6" w:rsidRDefault="008212C6" w:rsidP="008212C6">
      <w:pPr>
        <w:spacing w:line="360" w:lineRule="auto"/>
        <w:jc w:val="both"/>
      </w:pPr>
      <w:r>
        <w:rPr>
          <w:rFonts w:ascii="Book Antiqua" w:eastAsia="Book Antiqua" w:hAnsi="Book Antiqua" w:cs="Book Antiqua"/>
          <w:b/>
          <w:i/>
          <w:color w:val="000000"/>
        </w:rPr>
        <w:t>Research perspectives</w:t>
      </w:r>
    </w:p>
    <w:p w14:paraId="60D2C96A" w14:textId="40689662" w:rsidR="008212C6" w:rsidRDefault="008212C6" w:rsidP="008212C6">
      <w:pPr>
        <w:spacing w:line="360" w:lineRule="auto"/>
        <w:jc w:val="both"/>
      </w:pPr>
      <w:r>
        <w:rPr>
          <w:rFonts w:ascii="Book Antiqua" w:eastAsia="Book Antiqua" w:hAnsi="Book Antiqua" w:cs="Book Antiqua"/>
          <w:color w:val="000000"/>
        </w:rPr>
        <w:t xml:space="preserve">This study contributes to improving surgical outcomes using PSH system for community hospitals that are specifically located in micro-statistical areas. The authors </w:t>
      </w:r>
      <w:r>
        <w:rPr>
          <w:rFonts w:ascii="Book Antiqua" w:eastAsia="Book Antiqua" w:hAnsi="Book Antiqua" w:cs="Book Antiqua"/>
          <w:color w:val="000000"/>
        </w:rPr>
        <w:lastRenderedPageBreak/>
        <w:t xml:space="preserve">envision that these study results will immensely help researchers and clinicians who are working to enhance surgical care in states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Montana demographics and social factors, including Alaska, Idaho, Wyoming, North Dakota, and South Dakota. In the long term, this research will contribute to reducing socio-economic and socio-demographic differences in delivering high-quality surgical care to patients in the </w:t>
      </w:r>
      <w:r w:rsidR="007067E8">
        <w:rPr>
          <w:rFonts w:ascii="Book Antiqua" w:eastAsia="Book Antiqua" w:hAnsi="Book Antiqua" w:cs="Book Antiqua"/>
          <w:color w:val="000000"/>
          <w:szCs w:val="22"/>
        </w:rPr>
        <w:t>United States</w:t>
      </w:r>
      <w:r>
        <w:rPr>
          <w:rFonts w:ascii="Book Antiqua" w:eastAsia="Book Antiqua" w:hAnsi="Book Antiqua" w:cs="Book Antiqua"/>
          <w:color w:val="000000"/>
        </w:rPr>
        <w:t>.</w:t>
      </w:r>
    </w:p>
    <w:p w14:paraId="3B784B6C" w14:textId="77777777" w:rsidR="00A77B3E" w:rsidRDefault="00A77B3E">
      <w:pPr>
        <w:spacing w:line="360" w:lineRule="auto"/>
        <w:jc w:val="both"/>
      </w:pPr>
    </w:p>
    <w:p w14:paraId="10F24C1F" w14:textId="77777777" w:rsidR="00A77B3E" w:rsidRDefault="00AF595A">
      <w:pPr>
        <w:spacing w:line="360" w:lineRule="auto"/>
        <w:jc w:val="both"/>
      </w:pPr>
      <w:r>
        <w:rPr>
          <w:rFonts w:ascii="Book Antiqua" w:eastAsia="Book Antiqua" w:hAnsi="Book Antiqua" w:cs="Book Antiqua"/>
          <w:b/>
          <w:caps/>
          <w:color w:val="000000"/>
          <w:u w:val="single"/>
        </w:rPr>
        <w:t>ACKNOWLEDGEMENTS</w:t>
      </w:r>
    </w:p>
    <w:p w14:paraId="3A5F0B97" w14:textId="77777777" w:rsidR="00A77B3E" w:rsidRDefault="00AF595A">
      <w:pPr>
        <w:spacing w:line="360" w:lineRule="auto"/>
        <w:jc w:val="both"/>
      </w:pPr>
      <w:r>
        <w:rPr>
          <w:rFonts w:ascii="Book Antiqua" w:eastAsia="Book Antiqua" w:hAnsi="Book Antiqua" w:cs="Book Antiqua"/>
          <w:color w:val="000000"/>
        </w:rPr>
        <w:t xml:space="preserve">We would like thank Dr. Nicole Carnegie and Dr. Andrew </w:t>
      </w:r>
      <w:proofErr w:type="spellStart"/>
      <w:r>
        <w:rPr>
          <w:rFonts w:ascii="Book Antiqua" w:eastAsia="Book Antiqua" w:hAnsi="Book Antiqua" w:cs="Book Antiqua"/>
          <w:color w:val="000000"/>
        </w:rPr>
        <w:t>Hoegh</w:t>
      </w:r>
      <w:proofErr w:type="spellEnd"/>
      <w:r>
        <w:rPr>
          <w:rFonts w:ascii="Book Antiqua" w:eastAsia="Book Antiqua" w:hAnsi="Book Antiqua" w:cs="Book Antiqua"/>
          <w:color w:val="000000"/>
        </w:rPr>
        <w:t xml:space="preserve"> from statistics department at Montana State University for their expertise and guidance in statistical analyses. Also, this research would not have been possible without the support from the local communities, clinic, hospital patients, and their families. </w:t>
      </w:r>
    </w:p>
    <w:p w14:paraId="6B4C80E3" w14:textId="77777777" w:rsidR="00A77B3E" w:rsidRDefault="00A77B3E">
      <w:pPr>
        <w:spacing w:line="360" w:lineRule="auto"/>
        <w:jc w:val="both"/>
      </w:pPr>
    </w:p>
    <w:p w14:paraId="70F966EB" w14:textId="77777777" w:rsidR="00A77B3E" w:rsidRDefault="00AF595A">
      <w:pPr>
        <w:spacing w:line="360" w:lineRule="auto"/>
        <w:jc w:val="both"/>
      </w:pPr>
      <w:r>
        <w:rPr>
          <w:rFonts w:ascii="Book Antiqua" w:eastAsia="Book Antiqua" w:hAnsi="Book Antiqua" w:cs="Book Antiqua"/>
          <w:b/>
          <w:color w:val="000000"/>
        </w:rPr>
        <w:t>REFERENCES</w:t>
      </w:r>
    </w:p>
    <w:p w14:paraId="3AB45046"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Singh JA</w:t>
      </w:r>
      <w:r>
        <w:rPr>
          <w:rFonts w:ascii="Book Antiqua" w:hAnsi="Book Antiqua"/>
        </w:rPr>
        <w:t xml:space="preserve">, Yu S, Chen L, Cleveland JD. Rates of Total Joint Replacement in the United States: Future Projections to 2020-2040 Using the National Inpatient Sample. </w:t>
      </w:r>
      <w:r>
        <w:rPr>
          <w:rFonts w:ascii="Book Antiqua" w:hAnsi="Book Antiqua"/>
          <w:i/>
          <w:iCs/>
        </w:rPr>
        <w:t xml:space="preserve">J </w:t>
      </w:r>
      <w:proofErr w:type="spellStart"/>
      <w:r>
        <w:rPr>
          <w:rFonts w:ascii="Book Antiqua" w:hAnsi="Book Antiqua"/>
          <w:i/>
          <w:iCs/>
        </w:rPr>
        <w:t>Rheumatol</w:t>
      </w:r>
      <w:proofErr w:type="spellEnd"/>
      <w:r>
        <w:rPr>
          <w:rFonts w:ascii="Book Antiqua" w:hAnsi="Book Antiqua"/>
        </w:rPr>
        <w:t xml:space="preserve"> 2019; </w:t>
      </w:r>
      <w:r>
        <w:rPr>
          <w:rFonts w:ascii="Book Antiqua" w:hAnsi="Book Antiqua"/>
          <w:b/>
          <w:bCs/>
        </w:rPr>
        <w:t>46</w:t>
      </w:r>
      <w:r>
        <w:rPr>
          <w:rFonts w:ascii="Book Antiqua" w:hAnsi="Book Antiqua"/>
        </w:rPr>
        <w:t>: 1134-1140 [PMID: 30988126 DOI: 10.3899/jrheum.170990]</w:t>
      </w:r>
    </w:p>
    <w:p w14:paraId="3278687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Dowsey</w:t>
      </w:r>
      <w:proofErr w:type="spellEnd"/>
      <w:r>
        <w:rPr>
          <w:rFonts w:ascii="Book Antiqua" w:hAnsi="Book Antiqua"/>
          <w:b/>
          <w:bCs/>
        </w:rPr>
        <w:t xml:space="preserve"> MM</w:t>
      </w:r>
      <w:r>
        <w:rPr>
          <w:rFonts w:ascii="Book Antiqua" w:hAnsi="Book Antiqua"/>
        </w:rPr>
        <w:t xml:space="preserve">, </w:t>
      </w:r>
      <w:proofErr w:type="spellStart"/>
      <w:r>
        <w:rPr>
          <w:rFonts w:ascii="Book Antiqua" w:hAnsi="Book Antiqua"/>
        </w:rPr>
        <w:t>Petterwood</w:t>
      </w:r>
      <w:proofErr w:type="spellEnd"/>
      <w:r>
        <w:rPr>
          <w:rFonts w:ascii="Book Antiqua" w:hAnsi="Book Antiqua"/>
        </w:rPr>
        <w:t xml:space="preserve"> J, </w:t>
      </w:r>
      <w:proofErr w:type="spellStart"/>
      <w:r>
        <w:rPr>
          <w:rFonts w:ascii="Book Antiqua" w:hAnsi="Book Antiqua"/>
        </w:rPr>
        <w:t>Lisik</w:t>
      </w:r>
      <w:proofErr w:type="spellEnd"/>
      <w:r>
        <w:rPr>
          <w:rFonts w:ascii="Book Antiqua" w:hAnsi="Book Antiqua"/>
        </w:rPr>
        <w:t xml:space="preserve"> JP, Gunn J, Choong PF. Prospective analysis of rural-urban differences in demographic patterns and outcomes following total joint replacement. </w:t>
      </w:r>
      <w:r>
        <w:rPr>
          <w:rFonts w:ascii="Book Antiqua" w:hAnsi="Book Antiqua"/>
          <w:i/>
          <w:iCs/>
        </w:rPr>
        <w:t>Aust J Rural Health</w:t>
      </w:r>
      <w:r>
        <w:rPr>
          <w:rFonts w:ascii="Book Antiqua" w:hAnsi="Book Antiqua"/>
        </w:rPr>
        <w:t xml:space="preserve"> 2014; </w:t>
      </w:r>
      <w:r>
        <w:rPr>
          <w:rFonts w:ascii="Book Antiqua" w:hAnsi="Book Antiqua"/>
          <w:b/>
          <w:bCs/>
        </w:rPr>
        <w:t>22</w:t>
      </w:r>
      <w:r>
        <w:rPr>
          <w:rFonts w:ascii="Book Antiqua" w:hAnsi="Book Antiqua"/>
        </w:rPr>
        <w:t>: 241-248 [PMID: 25303416 DOI: 10.1111/ajr.12100]</w:t>
      </w:r>
    </w:p>
    <w:p w14:paraId="504C91AB"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Jeschke</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Citak</w:t>
      </w:r>
      <w:proofErr w:type="spellEnd"/>
      <w:r>
        <w:rPr>
          <w:rFonts w:ascii="Book Antiqua" w:hAnsi="Book Antiqua"/>
        </w:rPr>
        <w:t xml:space="preserve"> M, </w:t>
      </w:r>
      <w:proofErr w:type="spellStart"/>
      <w:r>
        <w:rPr>
          <w:rFonts w:ascii="Book Antiqua" w:hAnsi="Book Antiqua"/>
        </w:rPr>
        <w:t>Günster</w:t>
      </w:r>
      <w:proofErr w:type="spellEnd"/>
      <w:r>
        <w:rPr>
          <w:rFonts w:ascii="Book Antiqua" w:hAnsi="Book Antiqua"/>
        </w:rPr>
        <w:t xml:space="preserve"> C, Matthias Halder A, Heller KD, Malzahn J, </w:t>
      </w:r>
      <w:proofErr w:type="spellStart"/>
      <w:r>
        <w:rPr>
          <w:rFonts w:ascii="Book Antiqua" w:hAnsi="Book Antiqua"/>
        </w:rPr>
        <w:t>Niethard</w:t>
      </w:r>
      <w:proofErr w:type="spellEnd"/>
      <w:r>
        <w:rPr>
          <w:rFonts w:ascii="Book Antiqua" w:hAnsi="Book Antiqua"/>
        </w:rPr>
        <w:t xml:space="preserve"> FU, </w:t>
      </w:r>
      <w:proofErr w:type="spellStart"/>
      <w:r>
        <w:rPr>
          <w:rFonts w:ascii="Book Antiqua" w:hAnsi="Book Antiqua"/>
        </w:rPr>
        <w:t>Schräder</w:t>
      </w:r>
      <w:proofErr w:type="spellEnd"/>
      <w:r>
        <w:rPr>
          <w:rFonts w:ascii="Book Antiqua" w:hAnsi="Book Antiqua"/>
        </w:rPr>
        <w:t xml:space="preserve"> P, </w:t>
      </w:r>
      <w:proofErr w:type="spellStart"/>
      <w:r>
        <w:rPr>
          <w:rFonts w:ascii="Book Antiqua" w:hAnsi="Book Antiqua"/>
        </w:rPr>
        <w:t>Zacher</w:t>
      </w:r>
      <w:proofErr w:type="spellEnd"/>
      <w:r>
        <w:rPr>
          <w:rFonts w:ascii="Book Antiqua" w:hAnsi="Book Antiqua"/>
        </w:rPr>
        <w:t xml:space="preserve"> J, </w:t>
      </w:r>
      <w:proofErr w:type="spellStart"/>
      <w:r>
        <w:rPr>
          <w:rFonts w:ascii="Book Antiqua" w:hAnsi="Book Antiqua"/>
        </w:rPr>
        <w:t>Gehrke</w:t>
      </w:r>
      <w:proofErr w:type="spellEnd"/>
      <w:r>
        <w:rPr>
          <w:rFonts w:ascii="Book Antiqua" w:hAnsi="Book Antiqua"/>
        </w:rPr>
        <w:t xml:space="preserve"> T. Are TKAs Performed in High-volume Hospitals Less Likely to Undergo Revision Than TKAs Performed in Low-volume Hospitals?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2017; </w:t>
      </w:r>
      <w:r>
        <w:rPr>
          <w:rFonts w:ascii="Book Antiqua" w:hAnsi="Book Antiqua"/>
          <w:b/>
          <w:bCs/>
        </w:rPr>
        <w:t>475</w:t>
      </w:r>
      <w:r>
        <w:rPr>
          <w:rFonts w:ascii="Book Antiqua" w:hAnsi="Book Antiqua"/>
        </w:rPr>
        <w:t>: 2669-2674 [PMID: 28801816 DOI: 10.1007/s11999-017-5463-x]</w:t>
      </w:r>
    </w:p>
    <w:p w14:paraId="247D314D" w14:textId="3AA21656"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McCrory B</w:t>
      </w:r>
      <w:r w:rsidRPr="007E17F2">
        <w:rPr>
          <w:rFonts w:ascii="Book Antiqua" w:hAnsi="Book Antiqua"/>
        </w:rPr>
        <w:t>,</w:t>
      </w:r>
      <w:r>
        <w:rPr>
          <w:rFonts w:ascii="Book Antiqua" w:hAnsi="Book Antiqua"/>
        </w:rPr>
        <w:t xml:space="preserve"> Hoge JA, </w:t>
      </w:r>
      <w:proofErr w:type="spellStart"/>
      <w:r>
        <w:rPr>
          <w:rFonts w:ascii="Book Antiqua" w:hAnsi="Book Antiqua"/>
        </w:rPr>
        <w:t>Whiteley</w:t>
      </w:r>
      <w:proofErr w:type="spellEnd"/>
      <w:r>
        <w:rPr>
          <w:rFonts w:ascii="Book Antiqua" w:hAnsi="Book Antiqua"/>
        </w:rPr>
        <w:t xml:space="preserve"> R, Wiley JB, Sridhar S, Ma J. Outcomes Following Initial Perioperative Surgical Home Integration at a Rural Community Hospital. Proceedings of the Proceedings of the Human Factors and Ergonomics Society Annual </w:t>
      </w:r>
      <w:r>
        <w:rPr>
          <w:rFonts w:ascii="Book Antiqua" w:hAnsi="Book Antiqua"/>
        </w:rPr>
        <w:lastRenderedPageBreak/>
        <w:t>Meeting; 2019. SAGE Publications Sage CA: Los Angeles, CA: 683-687 [DOI: 10.1177/1071181319631177]</w:t>
      </w:r>
    </w:p>
    <w:p w14:paraId="71D92B30"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Lese A</w:t>
      </w:r>
      <w:r>
        <w:rPr>
          <w:rFonts w:ascii="Book Antiqua" w:hAnsi="Book Antiqua"/>
        </w:rPr>
        <w:t xml:space="preserve">, </w:t>
      </w:r>
      <w:proofErr w:type="spellStart"/>
      <w:r>
        <w:rPr>
          <w:rFonts w:ascii="Book Antiqua" w:hAnsi="Book Antiqua"/>
        </w:rPr>
        <w:t>Sraj</w:t>
      </w:r>
      <w:proofErr w:type="spellEnd"/>
      <w:r>
        <w:rPr>
          <w:rFonts w:ascii="Book Antiqua" w:hAnsi="Book Antiqua"/>
        </w:rPr>
        <w:t xml:space="preserve"> S. Rural Orthopedics: Providing Orthopedic Care in Rural Communities. </w:t>
      </w:r>
      <w:r>
        <w:rPr>
          <w:rFonts w:ascii="Book Antiqua" w:hAnsi="Book Antiqua"/>
          <w:i/>
          <w:iCs/>
        </w:rPr>
        <w:t>Orthopedics</w:t>
      </w:r>
      <w:r>
        <w:rPr>
          <w:rFonts w:ascii="Book Antiqua" w:hAnsi="Book Antiqua"/>
        </w:rPr>
        <w:t xml:space="preserve"> 2019; </w:t>
      </w:r>
      <w:r>
        <w:rPr>
          <w:rFonts w:ascii="Book Antiqua" w:hAnsi="Book Antiqua"/>
          <w:b/>
          <w:bCs/>
        </w:rPr>
        <w:t>42</w:t>
      </w:r>
      <w:r>
        <w:rPr>
          <w:rFonts w:ascii="Book Antiqua" w:hAnsi="Book Antiqua"/>
        </w:rPr>
        <w:t>: e350-e355 [PMID: 31323106 DOI: 10.3928/01477447-20190624-01]</w:t>
      </w:r>
    </w:p>
    <w:p w14:paraId="335AD6EF" w14:textId="773FB994" w:rsidR="007E17F2" w:rsidRDefault="007E17F2" w:rsidP="007E17F2">
      <w:pPr>
        <w:autoSpaceDE w:val="0"/>
        <w:snapToGrid w:val="0"/>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Kash</w:t>
      </w:r>
      <w:proofErr w:type="spellEnd"/>
      <w:r>
        <w:rPr>
          <w:rFonts w:ascii="Book Antiqua" w:hAnsi="Book Antiqua"/>
          <w:b/>
          <w:bCs/>
        </w:rPr>
        <w:t xml:space="preserve"> B</w:t>
      </w:r>
      <w:r w:rsidRPr="007E17F2">
        <w:rPr>
          <w:rFonts w:ascii="Book Antiqua" w:hAnsi="Book Antiqua"/>
        </w:rPr>
        <w:t>,</w:t>
      </w:r>
      <w:r>
        <w:rPr>
          <w:rFonts w:ascii="Book Antiqua" w:hAnsi="Book Antiqua"/>
        </w:rPr>
        <w:t xml:space="preserve"> Cline K, </w:t>
      </w:r>
      <w:proofErr w:type="spellStart"/>
      <w:r>
        <w:rPr>
          <w:rFonts w:ascii="Book Antiqua" w:hAnsi="Book Antiqua"/>
        </w:rPr>
        <w:t>Menser</w:t>
      </w:r>
      <w:proofErr w:type="spellEnd"/>
      <w:r>
        <w:rPr>
          <w:rFonts w:ascii="Book Antiqua" w:hAnsi="Book Antiqua"/>
        </w:rPr>
        <w:t xml:space="preserve"> T, Zhang Y. The perioperative surgical home (PSH): a comprehensive literature review for the American Society of Anesthesiologists. Schaumburg (IL): The Society 2014 [DOI: 10.1111/1468-0009.12093]</w:t>
      </w:r>
    </w:p>
    <w:p w14:paraId="3EF46A76"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Vetter TR</w:t>
      </w:r>
      <w:r>
        <w:rPr>
          <w:rFonts w:ascii="Book Antiqua" w:hAnsi="Book Antiqua"/>
        </w:rPr>
        <w:t xml:space="preserve">, Goeddel LA, Boudreaux AM, Hunt TR, Jones KA, </w:t>
      </w:r>
      <w:proofErr w:type="spellStart"/>
      <w:r>
        <w:rPr>
          <w:rFonts w:ascii="Book Antiqua" w:hAnsi="Book Antiqua"/>
        </w:rPr>
        <w:t>Pittet</w:t>
      </w:r>
      <w:proofErr w:type="spellEnd"/>
      <w:r>
        <w:rPr>
          <w:rFonts w:ascii="Book Antiqua" w:hAnsi="Book Antiqua"/>
        </w:rPr>
        <w:t xml:space="preserve"> JF. The Perioperative Surgical Home: how can it make the case so everyone wins? </w:t>
      </w:r>
      <w:r>
        <w:rPr>
          <w:rFonts w:ascii="Book Antiqua" w:hAnsi="Book Antiqua"/>
          <w:i/>
          <w:iCs/>
        </w:rPr>
        <w:t xml:space="preserve">BMC </w:t>
      </w:r>
      <w:proofErr w:type="spellStart"/>
      <w:r>
        <w:rPr>
          <w:rFonts w:ascii="Book Antiqua" w:hAnsi="Book Antiqua"/>
          <w:i/>
          <w:iCs/>
        </w:rPr>
        <w:t>Anesthesiol</w:t>
      </w:r>
      <w:proofErr w:type="spellEnd"/>
      <w:r>
        <w:rPr>
          <w:rFonts w:ascii="Book Antiqua" w:hAnsi="Book Antiqua"/>
        </w:rPr>
        <w:t xml:space="preserve"> 2013; </w:t>
      </w:r>
      <w:r>
        <w:rPr>
          <w:rFonts w:ascii="Book Antiqua" w:hAnsi="Book Antiqua"/>
          <w:b/>
          <w:bCs/>
        </w:rPr>
        <w:t>13</w:t>
      </w:r>
      <w:r>
        <w:rPr>
          <w:rFonts w:ascii="Book Antiqua" w:hAnsi="Book Antiqua"/>
        </w:rPr>
        <w:t>: 6 [PMID: 23497277 DOI: 10.1186/1471-2253-13-6]</w:t>
      </w:r>
    </w:p>
    <w:p w14:paraId="41A51053"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Al-</w:t>
      </w:r>
      <w:proofErr w:type="spellStart"/>
      <w:r>
        <w:rPr>
          <w:rFonts w:ascii="Book Antiqua" w:hAnsi="Book Antiqua"/>
          <w:b/>
          <w:bCs/>
        </w:rPr>
        <w:t>Shammari</w:t>
      </w:r>
      <w:proofErr w:type="spellEnd"/>
      <w:r>
        <w:rPr>
          <w:rFonts w:ascii="Book Antiqua" w:hAnsi="Book Antiqua"/>
          <w:b/>
          <w:bCs/>
        </w:rPr>
        <w:t xml:space="preserve"> L</w:t>
      </w:r>
      <w:r>
        <w:rPr>
          <w:rFonts w:ascii="Book Antiqua" w:hAnsi="Book Antiqua"/>
        </w:rPr>
        <w:t xml:space="preserve">, Douglas D, </w:t>
      </w:r>
      <w:proofErr w:type="spellStart"/>
      <w:r>
        <w:rPr>
          <w:rFonts w:ascii="Book Antiqua" w:hAnsi="Book Antiqua"/>
        </w:rPr>
        <w:t>Gunaratnam</w:t>
      </w:r>
      <w:proofErr w:type="spellEnd"/>
      <w:r>
        <w:rPr>
          <w:rFonts w:ascii="Book Antiqua" w:hAnsi="Book Antiqua"/>
        </w:rPr>
        <w:t xml:space="preserve"> G, Jones C. Perioperative medicine: a new model of care? </w:t>
      </w:r>
      <w:r>
        <w:rPr>
          <w:rFonts w:ascii="Book Antiqua" w:hAnsi="Book Antiqua"/>
          <w:i/>
          <w:iCs/>
        </w:rPr>
        <w:t>Br J Hosp Med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2017; </w:t>
      </w:r>
      <w:r>
        <w:rPr>
          <w:rFonts w:ascii="Book Antiqua" w:hAnsi="Book Antiqua"/>
          <w:b/>
          <w:bCs/>
        </w:rPr>
        <w:t>78</w:t>
      </w:r>
      <w:r>
        <w:rPr>
          <w:rFonts w:ascii="Book Antiqua" w:hAnsi="Book Antiqua"/>
        </w:rPr>
        <w:t>: 628-632 [PMID: 29111798 DOI: 10.12968/hmed.2017.78.11.628]</w:t>
      </w:r>
    </w:p>
    <w:p w14:paraId="747029B9"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Cline KM</w:t>
      </w:r>
      <w:r>
        <w:rPr>
          <w:rFonts w:ascii="Book Antiqua" w:hAnsi="Book Antiqua"/>
        </w:rPr>
        <w:t xml:space="preserve">, Clement V, Rock-Klotz J, </w:t>
      </w:r>
      <w:proofErr w:type="spellStart"/>
      <w:r>
        <w:rPr>
          <w:rFonts w:ascii="Book Antiqua" w:hAnsi="Book Antiqua"/>
        </w:rPr>
        <w:t>Kash</w:t>
      </w:r>
      <w:proofErr w:type="spellEnd"/>
      <w:r>
        <w:rPr>
          <w:rFonts w:ascii="Book Antiqua" w:hAnsi="Book Antiqua"/>
        </w:rPr>
        <w:t xml:space="preserve"> BA, Steel C, Miller TR. Improving the cost, quality, and safety of perioperative care: A systematic review of the literature on implementation of the perioperative surgical home. </w:t>
      </w:r>
      <w:r>
        <w:rPr>
          <w:rFonts w:ascii="Book Antiqua" w:hAnsi="Book Antiqua"/>
          <w:i/>
          <w:iCs/>
        </w:rPr>
        <w:t xml:space="preserve">J Clin </w:t>
      </w:r>
      <w:proofErr w:type="spellStart"/>
      <w:r>
        <w:rPr>
          <w:rFonts w:ascii="Book Antiqua" w:hAnsi="Book Antiqua"/>
          <w:i/>
          <w:iCs/>
        </w:rPr>
        <w:t>Anesth</w:t>
      </w:r>
      <w:proofErr w:type="spellEnd"/>
      <w:r>
        <w:rPr>
          <w:rFonts w:ascii="Book Antiqua" w:hAnsi="Book Antiqua"/>
        </w:rPr>
        <w:t xml:space="preserve"> 2020; </w:t>
      </w:r>
      <w:r>
        <w:rPr>
          <w:rFonts w:ascii="Book Antiqua" w:hAnsi="Book Antiqua"/>
          <w:b/>
          <w:bCs/>
        </w:rPr>
        <w:t>63</w:t>
      </w:r>
      <w:r>
        <w:rPr>
          <w:rFonts w:ascii="Book Antiqua" w:hAnsi="Book Antiqua"/>
        </w:rPr>
        <w:t>: 109760 [PMID: 32289554 DOI: 10.1016/j.jclinane.2020.109760]</w:t>
      </w:r>
    </w:p>
    <w:p w14:paraId="0DFD9BCA"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Desebbe</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Lanz</w:t>
      </w:r>
      <w:proofErr w:type="spellEnd"/>
      <w:r>
        <w:rPr>
          <w:rFonts w:ascii="Book Antiqua" w:hAnsi="Book Antiqua"/>
        </w:rPr>
        <w:t xml:space="preserve"> T, Kain Z, </w:t>
      </w:r>
      <w:proofErr w:type="spellStart"/>
      <w:r>
        <w:rPr>
          <w:rFonts w:ascii="Book Antiqua" w:hAnsi="Book Antiqua"/>
        </w:rPr>
        <w:t>Cannesson</w:t>
      </w:r>
      <w:proofErr w:type="spellEnd"/>
      <w:r>
        <w:rPr>
          <w:rFonts w:ascii="Book Antiqua" w:hAnsi="Book Antiqua"/>
        </w:rPr>
        <w:t xml:space="preserve"> M. The perioperative surgical home: An innovative, patient-</w:t>
      </w:r>
      <w:proofErr w:type="spellStart"/>
      <w:proofErr w:type="gramStart"/>
      <w:r>
        <w:rPr>
          <w:rFonts w:ascii="Book Antiqua" w:hAnsi="Book Antiqua"/>
        </w:rPr>
        <w:t>centred</w:t>
      </w:r>
      <w:proofErr w:type="spellEnd"/>
      <w:proofErr w:type="gramEnd"/>
      <w:r>
        <w:rPr>
          <w:rFonts w:ascii="Book Antiqua" w:hAnsi="Book Antiqua"/>
        </w:rPr>
        <w:t xml:space="preserve"> and cost-effective perioperative care model. </w:t>
      </w:r>
      <w:proofErr w:type="spellStart"/>
      <w:r>
        <w:rPr>
          <w:rFonts w:ascii="Book Antiqua" w:hAnsi="Book Antiqua"/>
          <w:i/>
          <w:iCs/>
        </w:rPr>
        <w:t>Anaesth</w:t>
      </w:r>
      <w:proofErr w:type="spellEnd"/>
      <w:r>
        <w:rPr>
          <w:rFonts w:ascii="Book Antiqua" w:hAnsi="Book Antiqua"/>
          <w:i/>
          <w:iCs/>
        </w:rPr>
        <w:t xml:space="preserve"> Crit Care Pain Med</w:t>
      </w:r>
      <w:r>
        <w:rPr>
          <w:rFonts w:ascii="Book Antiqua" w:hAnsi="Book Antiqua"/>
        </w:rPr>
        <w:t xml:space="preserve"> 2016; </w:t>
      </w:r>
      <w:r>
        <w:rPr>
          <w:rFonts w:ascii="Book Antiqua" w:hAnsi="Book Antiqua"/>
          <w:b/>
          <w:bCs/>
        </w:rPr>
        <w:t>35</w:t>
      </w:r>
      <w:r>
        <w:rPr>
          <w:rFonts w:ascii="Book Antiqua" w:hAnsi="Book Antiqua"/>
        </w:rPr>
        <w:t>: 59-66 [PMID: 26613678 DOI: 10.1016/j.accpm.2015.08.001]</w:t>
      </w:r>
    </w:p>
    <w:p w14:paraId="554E585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Kain ZN</w:t>
      </w:r>
      <w:r>
        <w:rPr>
          <w:rFonts w:ascii="Book Antiqua" w:hAnsi="Book Antiqua"/>
        </w:rPr>
        <w:t xml:space="preserve">, </w:t>
      </w:r>
      <w:proofErr w:type="spellStart"/>
      <w:r>
        <w:rPr>
          <w:rFonts w:ascii="Book Antiqua" w:hAnsi="Book Antiqua"/>
        </w:rPr>
        <w:t>Vakharia</w:t>
      </w:r>
      <w:proofErr w:type="spellEnd"/>
      <w:r>
        <w:rPr>
          <w:rFonts w:ascii="Book Antiqua" w:hAnsi="Book Antiqua"/>
        </w:rPr>
        <w:t xml:space="preserve"> S, Garson L, </w:t>
      </w:r>
      <w:proofErr w:type="spellStart"/>
      <w:r>
        <w:rPr>
          <w:rFonts w:ascii="Book Antiqua" w:hAnsi="Book Antiqua"/>
        </w:rPr>
        <w:t>Engwall</w:t>
      </w:r>
      <w:proofErr w:type="spellEnd"/>
      <w:r>
        <w:rPr>
          <w:rFonts w:ascii="Book Antiqua" w:hAnsi="Book Antiqua"/>
        </w:rPr>
        <w:t xml:space="preserve"> S, Schwarzkopf R, Gupta R, </w:t>
      </w:r>
      <w:proofErr w:type="spellStart"/>
      <w:r>
        <w:rPr>
          <w:rFonts w:ascii="Book Antiqua" w:hAnsi="Book Antiqua"/>
        </w:rPr>
        <w:t>Cannesson</w:t>
      </w:r>
      <w:proofErr w:type="spellEnd"/>
      <w:r>
        <w:rPr>
          <w:rFonts w:ascii="Book Antiqua" w:hAnsi="Book Antiqua"/>
        </w:rPr>
        <w:t xml:space="preserve"> M. The perioperative surgical home as a future perioperative practice model.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2014; </w:t>
      </w:r>
      <w:r>
        <w:rPr>
          <w:rFonts w:ascii="Book Antiqua" w:hAnsi="Book Antiqua"/>
          <w:b/>
          <w:bCs/>
        </w:rPr>
        <w:t>118</w:t>
      </w:r>
      <w:r>
        <w:rPr>
          <w:rFonts w:ascii="Book Antiqua" w:hAnsi="Book Antiqua"/>
        </w:rPr>
        <w:t>: 1126-1130 [PMID: 24781578 DOI: 10.1213/ANE.0000000000000190]</w:t>
      </w:r>
    </w:p>
    <w:p w14:paraId="399FF825"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Cannesson</w:t>
      </w:r>
      <w:proofErr w:type="spellEnd"/>
      <w:r>
        <w:rPr>
          <w:rFonts w:ascii="Book Antiqua" w:hAnsi="Book Antiqua"/>
          <w:b/>
          <w:bCs/>
        </w:rPr>
        <w:t xml:space="preserve"> M</w:t>
      </w:r>
      <w:r>
        <w:rPr>
          <w:rFonts w:ascii="Book Antiqua" w:hAnsi="Book Antiqua"/>
        </w:rPr>
        <w:t xml:space="preserve">, Kain Z. Enhanced recovery after surgery versus perioperative surgical home: is it all in the name?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2014; </w:t>
      </w:r>
      <w:r>
        <w:rPr>
          <w:rFonts w:ascii="Book Antiqua" w:hAnsi="Book Antiqua"/>
          <w:b/>
          <w:bCs/>
        </w:rPr>
        <w:t>118</w:t>
      </w:r>
      <w:r>
        <w:rPr>
          <w:rFonts w:ascii="Book Antiqua" w:hAnsi="Book Antiqua"/>
        </w:rPr>
        <w:t>: 901-902 [PMID: 24781558 DOI: 10.1213/ANE.0000000000000177]</w:t>
      </w:r>
    </w:p>
    <w:p w14:paraId="48FF648E"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Nicolescu</w:t>
      </w:r>
      <w:proofErr w:type="spellEnd"/>
      <w:r>
        <w:rPr>
          <w:rFonts w:ascii="Book Antiqua" w:hAnsi="Book Antiqua"/>
          <w:b/>
          <w:bCs/>
        </w:rPr>
        <w:t xml:space="preserve"> TO</w:t>
      </w:r>
      <w:r>
        <w:rPr>
          <w:rFonts w:ascii="Book Antiqua" w:hAnsi="Book Antiqua"/>
        </w:rPr>
        <w:t xml:space="preserve">. Perioperative Surgical Home. Meeting tomorrow's challenges. </w:t>
      </w:r>
      <w:r>
        <w:rPr>
          <w:rFonts w:ascii="Book Antiqua" w:hAnsi="Book Antiqua"/>
          <w:i/>
          <w:iCs/>
        </w:rPr>
        <w:t xml:space="preserve">Rom J </w:t>
      </w:r>
      <w:proofErr w:type="spellStart"/>
      <w:r>
        <w:rPr>
          <w:rFonts w:ascii="Book Antiqua" w:hAnsi="Book Antiqua"/>
          <w:i/>
          <w:iCs/>
        </w:rPr>
        <w:t>Anaesth</w:t>
      </w:r>
      <w:proofErr w:type="spellEnd"/>
      <w:r>
        <w:rPr>
          <w:rFonts w:ascii="Book Antiqua" w:hAnsi="Book Antiqua"/>
          <w:i/>
          <w:iCs/>
        </w:rPr>
        <w:t xml:space="preserve"> Intensive Care</w:t>
      </w:r>
      <w:r>
        <w:rPr>
          <w:rFonts w:ascii="Book Antiqua" w:hAnsi="Book Antiqua"/>
        </w:rPr>
        <w:t xml:space="preserve"> 2016; </w:t>
      </w:r>
      <w:r>
        <w:rPr>
          <w:rFonts w:ascii="Book Antiqua" w:hAnsi="Book Antiqua"/>
          <w:b/>
          <w:bCs/>
        </w:rPr>
        <w:t>23</w:t>
      </w:r>
      <w:r>
        <w:rPr>
          <w:rFonts w:ascii="Book Antiqua" w:hAnsi="Book Antiqua"/>
        </w:rPr>
        <w:t>: 141-147 [PMID: 28913487 DOI: 10.21454/rjaic.7518/232.sho]</w:t>
      </w:r>
    </w:p>
    <w:p w14:paraId="08C16F82" w14:textId="77777777" w:rsidR="007E17F2" w:rsidRDefault="007E17F2" w:rsidP="007E17F2">
      <w:pPr>
        <w:autoSpaceDE w:val="0"/>
        <w:snapToGrid w:val="0"/>
        <w:spacing w:line="360" w:lineRule="auto"/>
        <w:jc w:val="both"/>
        <w:rPr>
          <w:rFonts w:ascii="Book Antiqua" w:hAnsi="Book Antiqua"/>
        </w:rPr>
      </w:pPr>
      <w:r>
        <w:rPr>
          <w:rFonts w:ascii="Book Antiqua" w:hAnsi="Book Antiqua"/>
        </w:rPr>
        <w:lastRenderedPageBreak/>
        <w:t xml:space="preserve">14 </w:t>
      </w:r>
      <w:proofErr w:type="spellStart"/>
      <w:r>
        <w:rPr>
          <w:rFonts w:ascii="Book Antiqua" w:hAnsi="Book Antiqua"/>
          <w:b/>
          <w:bCs/>
        </w:rPr>
        <w:t>Qiu</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Cannesson</w:t>
      </w:r>
      <w:proofErr w:type="spellEnd"/>
      <w:r>
        <w:rPr>
          <w:rFonts w:ascii="Book Antiqua" w:hAnsi="Book Antiqua"/>
        </w:rPr>
        <w:t xml:space="preserve"> M, </w:t>
      </w:r>
      <w:proofErr w:type="spellStart"/>
      <w:r>
        <w:rPr>
          <w:rFonts w:ascii="Book Antiqua" w:hAnsi="Book Antiqua"/>
        </w:rPr>
        <w:t>Morkos</w:t>
      </w:r>
      <w:proofErr w:type="spellEnd"/>
      <w:r>
        <w:rPr>
          <w:rFonts w:ascii="Book Antiqua" w:hAnsi="Book Antiqua"/>
        </w:rPr>
        <w:t xml:space="preserve"> A, Nguyen VT, LaPlace D, Trivedi NS, </w:t>
      </w:r>
      <w:proofErr w:type="spellStart"/>
      <w:r>
        <w:rPr>
          <w:rFonts w:ascii="Book Antiqua" w:hAnsi="Book Antiqua"/>
        </w:rPr>
        <w:t>Khachatourians</w:t>
      </w:r>
      <w:proofErr w:type="spellEnd"/>
      <w:r>
        <w:rPr>
          <w:rFonts w:ascii="Book Antiqua" w:hAnsi="Book Antiqua"/>
        </w:rPr>
        <w:t xml:space="preserve"> A, Rinehart J, Kain ZN. Practice and Outcomes of the Perioperative Surgical Home in a California Integrated Delivery System.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2016; </w:t>
      </w:r>
      <w:r>
        <w:rPr>
          <w:rFonts w:ascii="Book Antiqua" w:hAnsi="Book Antiqua"/>
          <w:b/>
          <w:bCs/>
        </w:rPr>
        <w:t>123</w:t>
      </w:r>
      <w:r>
        <w:rPr>
          <w:rFonts w:ascii="Book Antiqua" w:hAnsi="Book Antiqua"/>
        </w:rPr>
        <w:t>: 597-606 [PMID: 27537753 DOI: 10.1213/ANE.0000000000001370]</w:t>
      </w:r>
    </w:p>
    <w:p w14:paraId="7FDF927C"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Alvis BD</w:t>
      </w:r>
      <w:r>
        <w:rPr>
          <w:rFonts w:ascii="Book Antiqua" w:hAnsi="Book Antiqua"/>
        </w:rPr>
        <w:t xml:space="preserve">, King AB, </w:t>
      </w:r>
      <w:proofErr w:type="spellStart"/>
      <w:r>
        <w:rPr>
          <w:rFonts w:ascii="Book Antiqua" w:hAnsi="Book Antiqua"/>
        </w:rPr>
        <w:t>Pandharipande</w:t>
      </w:r>
      <w:proofErr w:type="spellEnd"/>
      <w:r>
        <w:rPr>
          <w:rFonts w:ascii="Book Antiqua" w:hAnsi="Book Antiqua"/>
        </w:rPr>
        <w:t xml:space="preserve"> PP, </w:t>
      </w:r>
      <w:proofErr w:type="spellStart"/>
      <w:r>
        <w:rPr>
          <w:rFonts w:ascii="Book Antiqua" w:hAnsi="Book Antiqua"/>
        </w:rPr>
        <w:t>Weavind</w:t>
      </w:r>
      <w:proofErr w:type="spellEnd"/>
      <w:r>
        <w:rPr>
          <w:rFonts w:ascii="Book Antiqua" w:hAnsi="Book Antiqua"/>
        </w:rPr>
        <w:t xml:space="preserve"> LM, Avila K, </w:t>
      </w:r>
      <w:proofErr w:type="spellStart"/>
      <w:r>
        <w:rPr>
          <w:rFonts w:ascii="Book Antiqua" w:hAnsi="Book Antiqua"/>
        </w:rPr>
        <w:t>Leisy</w:t>
      </w:r>
      <w:proofErr w:type="spellEnd"/>
      <w:r>
        <w:rPr>
          <w:rFonts w:ascii="Book Antiqua" w:hAnsi="Book Antiqua"/>
        </w:rPr>
        <w:t xml:space="preserve"> PJ, Ajmal M, McHugh M, Keegan KA, Baker DA, Walia A, Hughes CG. Creation and Execution of a Novel Anesthesia Perioperative Care Service at a Veterans Affairs Hospital.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2017; </w:t>
      </w:r>
      <w:r>
        <w:rPr>
          <w:rFonts w:ascii="Book Antiqua" w:hAnsi="Book Antiqua"/>
          <w:b/>
          <w:bCs/>
        </w:rPr>
        <w:t>125</w:t>
      </w:r>
      <w:r>
        <w:rPr>
          <w:rFonts w:ascii="Book Antiqua" w:hAnsi="Book Antiqua"/>
        </w:rPr>
        <w:t>: 1526-1531 [PMID: 28632542 DOI: 10.1213/ANE.0000000000001930]</w:t>
      </w:r>
    </w:p>
    <w:p w14:paraId="3F038B1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Kim KY</w:t>
      </w:r>
      <w:r>
        <w:rPr>
          <w:rFonts w:ascii="Book Antiqua" w:hAnsi="Book Antiqua"/>
        </w:rPr>
        <w:t xml:space="preserve">, </w:t>
      </w:r>
      <w:proofErr w:type="spellStart"/>
      <w:r>
        <w:rPr>
          <w:rFonts w:ascii="Book Antiqua" w:hAnsi="Book Antiqua"/>
        </w:rPr>
        <w:t>Anoushiravani</w:t>
      </w:r>
      <w:proofErr w:type="spellEnd"/>
      <w:r>
        <w:rPr>
          <w:rFonts w:ascii="Book Antiqua" w:hAnsi="Book Antiqua"/>
        </w:rPr>
        <w:t xml:space="preserve"> AA, Chen KK, Li R, Bosco JA, Slover JD, </w:t>
      </w:r>
      <w:proofErr w:type="spellStart"/>
      <w:r>
        <w:rPr>
          <w:rFonts w:ascii="Book Antiqua" w:hAnsi="Book Antiqua"/>
        </w:rPr>
        <w:t>Iorio</w:t>
      </w:r>
      <w:proofErr w:type="spellEnd"/>
      <w:r>
        <w:rPr>
          <w:rFonts w:ascii="Book Antiqua" w:hAnsi="Book Antiqua"/>
        </w:rPr>
        <w:t xml:space="preserve"> R. Perioperative Orthopedic Surgical Home: Optimizing Total Joint Arthroplasty Candidates and Preventing Readmission. </w:t>
      </w:r>
      <w:r>
        <w:rPr>
          <w:rFonts w:ascii="Book Antiqua" w:hAnsi="Book Antiqua"/>
          <w:i/>
          <w:iCs/>
        </w:rPr>
        <w:t>J Arthroplasty</w:t>
      </w:r>
      <w:r>
        <w:rPr>
          <w:rFonts w:ascii="Book Antiqua" w:hAnsi="Book Antiqua"/>
        </w:rPr>
        <w:t xml:space="preserve"> 2019; </w:t>
      </w:r>
      <w:r>
        <w:rPr>
          <w:rFonts w:ascii="Book Antiqua" w:hAnsi="Book Antiqua"/>
          <w:b/>
          <w:bCs/>
        </w:rPr>
        <w:t>34</w:t>
      </w:r>
      <w:r>
        <w:rPr>
          <w:rFonts w:ascii="Book Antiqua" w:hAnsi="Book Antiqua"/>
        </w:rPr>
        <w:t>: S91-S96 [PMID: 30745217 DOI: 10.1016/j.arth.2019.01.020]</w:t>
      </w:r>
    </w:p>
    <w:p w14:paraId="05FBEEDD"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Yajnik</w:t>
      </w:r>
      <w:proofErr w:type="spellEnd"/>
      <w:r>
        <w:rPr>
          <w:rFonts w:ascii="Book Antiqua" w:hAnsi="Book Antiqua"/>
          <w:b/>
          <w:bCs/>
        </w:rPr>
        <w:t xml:space="preserve"> M</w:t>
      </w:r>
      <w:r>
        <w:rPr>
          <w:rFonts w:ascii="Book Antiqua" w:hAnsi="Book Antiqua"/>
        </w:rPr>
        <w:t xml:space="preserve">, Hill JN, Hunter OO, Howard SK, Kim TE, Harrison TK, Mariano ER. Patient education and engagement in postoperative pain management decreases opioid use following knee replacement surgery. </w:t>
      </w:r>
      <w:r>
        <w:rPr>
          <w:rFonts w:ascii="Book Antiqua" w:hAnsi="Book Antiqua"/>
          <w:i/>
          <w:iCs/>
        </w:rPr>
        <w:t>Patient Educ Couns</w:t>
      </w:r>
      <w:r>
        <w:rPr>
          <w:rFonts w:ascii="Book Antiqua" w:hAnsi="Book Antiqua"/>
        </w:rPr>
        <w:t xml:space="preserve"> 2019; </w:t>
      </w:r>
      <w:r>
        <w:rPr>
          <w:rFonts w:ascii="Book Antiqua" w:hAnsi="Book Antiqua"/>
          <w:b/>
          <w:bCs/>
        </w:rPr>
        <w:t>102</w:t>
      </w:r>
      <w:r>
        <w:rPr>
          <w:rFonts w:ascii="Book Antiqua" w:hAnsi="Book Antiqua"/>
        </w:rPr>
        <w:t>: 383-387 [PMID: 30219634 DOI: 10.1016/j.pec.2018.09.001]</w:t>
      </w:r>
    </w:p>
    <w:p w14:paraId="2D075147" w14:textId="3BC15388" w:rsidR="007E17F2" w:rsidRPr="006A3BB8" w:rsidRDefault="007E17F2" w:rsidP="007E17F2">
      <w:pPr>
        <w:autoSpaceDE w:val="0"/>
        <w:snapToGrid w:val="0"/>
        <w:spacing w:line="360" w:lineRule="auto"/>
        <w:jc w:val="both"/>
        <w:rPr>
          <w:rFonts w:ascii="Book Antiqua" w:hAnsi="Book Antiqua"/>
        </w:rPr>
      </w:pPr>
      <w:r w:rsidRPr="006A3BB8">
        <w:rPr>
          <w:rFonts w:ascii="Book Antiqua" w:hAnsi="Book Antiqua"/>
        </w:rPr>
        <w:t xml:space="preserve">18 </w:t>
      </w:r>
      <w:r w:rsidR="006A3BB8" w:rsidRPr="006A3BB8">
        <w:rPr>
          <w:rFonts w:ascii="Book Antiqua" w:hAnsi="Book Antiqua"/>
          <w:b/>
          <w:bCs/>
        </w:rPr>
        <w:t>Kim E</w:t>
      </w:r>
      <w:r w:rsidR="006A3BB8" w:rsidRPr="006A3BB8">
        <w:rPr>
          <w:rFonts w:ascii="Book Antiqua" w:hAnsi="Book Antiqua"/>
        </w:rPr>
        <w:t xml:space="preserve">, Lee B, </w:t>
      </w:r>
      <w:proofErr w:type="spellStart"/>
      <w:r w:rsidR="006A3BB8" w:rsidRPr="006A3BB8">
        <w:rPr>
          <w:rFonts w:ascii="Book Antiqua" w:hAnsi="Book Antiqua"/>
        </w:rPr>
        <w:t>Cucchiaro</w:t>
      </w:r>
      <w:proofErr w:type="spellEnd"/>
      <w:r w:rsidR="006A3BB8" w:rsidRPr="006A3BB8">
        <w:rPr>
          <w:rFonts w:ascii="Book Antiqua" w:hAnsi="Book Antiqua"/>
        </w:rPr>
        <w:t xml:space="preserve"> G. Perioperative Surgical Home: Evaluation of a New Protocol Focused on a Multidisciplinary Approach to Manage Children Undergoing Posterior Spinal Fusion Operation. </w:t>
      </w:r>
      <w:proofErr w:type="spellStart"/>
      <w:r w:rsidR="006A3BB8" w:rsidRPr="006A3BB8">
        <w:rPr>
          <w:rFonts w:ascii="Book Antiqua" w:hAnsi="Book Antiqua"/>
          <w:i/>
          <w:iCs/>
        </w:rPr>
        <w:t>Anesth</w:t>
      </w:r>
      <w:proofErr w:type="spellEnd"/>
      <w:r w:rsidR="006A3BB8" w:rsidRPr="006A3BB8">
        <w:rPr>
          <w:rFonts w:ascii="Book Antiqua" w:hAnsi="Book Antiqua"/>
          <w:i/>
          <w:iCs/>
        </w:rPr>
        <w:t xml:space="preserve"> </w:t>
      </w:r>
      <w:proofErr w:type="spellStart"/>
      <w:r w:rsidR="006A3BB8" w:rsidRPr="006A3BB8">
        <w:rPr>
          <w:rFonts w:ascii="Book Antiqua" w:hAnsi="Book Antiqua"/>
          <w:i/>
          <w:iCs/>
        </w:rPr>
        <w:t>Analg</w:t>
      </w:r>
      <w:proofErr w:type="spellEnd"/>
      <w:r w:rsidR="006A3BB8" w:rsidRPr="006A3BB8">
        <w:rPr>
          <w:rFonts w:ascii="Book Antiqua" w:hAnsi="Book Antiqua"/>
        </w:rPr>
        <w:t xml:space="preserve"> 2017; </w:t>
      </w:r>
      <w:r w:rsidR="006A3BB8" w:rsidRPr="006A3BB8">
        <w:rPr>
          <w:rFonts w:ascii="Book Antiqua" w:hAnsi="Book Antiqua"/>
          <w:b/>
          <w:bCs/>
        </w:rPr>
        <w:t>125</w:t>
      </w:r>
      <w:r w:rsidR="006A3BB8" w:rsidRPr="006A3BB8">
        <w:rPr>
          <w:rFonts w:ascii="Book Antiqua" w:hAnsi="Book Antiqua"/>
        </w:rPr>
        <w:t>: 812-819 [PMID: 28632535 DOI: 10.1213/ANE.0000000000002030]</w:t>
      </w:r>
    </w:p>
    <w:p w14:paraId="0CC5E517"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Qiu</w:t>
      </w:r>
      <w:proofErr w:type="spellEnd"/>
      <w:r>
        <w:rPr>
          <w:rFonts w:ascii="Book Antiqua" w:hAnsi="Book Antiqua"/>
          <w:b/>
          <w:bCs/>
        </w:rPr>
        <w:t xml:space="preserve"> C</w:t>
      </w:r>
      <w:r>
        <w:rPr>
          <w:rFonts w:ascii="Book Antiqua" w:hAnsi="Book Antiqua"/>
        </w:rPr>
        <w:t xml:space="preserve">, Rinehart J, Nguyen VT, </w:t>
      </w:r>
      <w:proofErr w:type="spellStart"/>
      <w:r>
        <w:rPr>
          <w:rFonts w:ascii="Book Antiqua" w:hAnsi="Book Antiqua"/>
        </w:rPr>
        <w:t>Cannesson</w:t>
      </w:r>
      <w:proofErr w:type="spellEnd"/>
      <w:r>
        <w:rPr>
          <w:rFonts w:ascii="Book Antiqua" w:hAnsi="Book Antiqua"/>
        </w:rPr>
        <w:t xml:space="preserve"> M, </w:t>
      </w:r>
      <w:proofErr w:type="spellStart"/>
      <w:r>
        <w:rPr>
          <w:rFonts w:ascii="Book Antiqua" w:hAnsi="Book Antiqua"/>
        </w:rPr>
        <w:t>Morkos</w:t>
      </w:r>
      <w:proofErr w:type="spellEnd"/>
      <w:r>
        <w:rPr>
          <w:rFonts w:ascii="Book Antiqua" w:hAnsi="Book Antiqua"/>
        </w:rPr>
        <w:t xml:space="preserve"> A, LaPlace D, Trivedi NS, Mercado PD, Kain ZN. An Ambulatory Surgery Perioperative Surgical Home in Kaiser Permanente Settings: Practice and Outcomes.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2017; </w:t>
      </w:r>
      <w:r>
        <w:rPr>
          <w:rFonts w:ascii="Book Antiqua" w:hAnsi="Book Antiqua"/>
          <w:b/>
          <w:bCs/>
        </w:rPr>
        <w:t>124</w:t>
      </w:r>
      <w:r>
        <w:rPr>
          <w:rFonts w:ascii="Book Antiqua" w:hAnsi="Book Antiqua"/>
        </w:rPr>
        <w:t>: 768-774 [PMID: 28027086 DOI: 10.1213/ANE.0000000000001717]</w:t>
      </w:r>
    </w:p>
    <w:p w14:paraId="1EF26419"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Raman VT</w:t>
      </w:r>
      <w:r>
        <w:rPr>
          <w:rFonts w:ascii="Book Antiqua" w:hAnsi="Book Antiqua"/>
        </w:rPr>
        <w:t xml:space="preserve">, Tumin D, </w:t>
      </w:r>
      <w:proofErr w:type="spellStart"/>
      <w:r>
        <w:rPr>
          <w:rFonts w:ascii="Book Antiqua" w:hAnsi="Book Antiqua"/>
        </w:rPr>
        <w:t>Uffman</w:t>
      </w:r>
      <w:proofErr w:type="spellEnd"/>
      <w:r>
        <w:rPr>
          <w:rFonts w:ascii="Book Antiqua" w:hAnsi="Book Antiqua"/>
        </w:rPr>
        <w:t xml:space="preserve"> J, </w:t>
      </w:r>
      <w:proofErr w:type="spellStart"/>
      <w:r>
        <w:rPr>
          <w:rFonts w:ascii="Book Antiqua" w:hAnsi="Book Antiqua"/>
        </w:rPr>
        <w:t>Thung</w:t>
      </w:r>
      <w:proofErr w:type="spellEnd"/>
      <w:r>
        <w:rPr>
          <w:rFonts w:ascii="Book Antiqua" w:hAnsi="Book Antiqua"/>
        </w:rPr>
        <w:t xml:space="preserve"> AK, Burrier C, </w:t>
      </w:r>
      <w:proofErr w:type="spellStart"/>
      <w:r>
        <w:rPr>
          <w:rFonts w:ascii="Book Antiqua" w:hAnsi="Book Antiqua"/>
        </w:rPr>
        <w:t>Jatana</w:t>
      </w:r>
      <w:proofErr w:type="spellEnd"/>
      <w:r>
        <w:rPr>
          <w:rFonts w:ascii="Book Antiqua" w:hAnsi="Book Antiqua"/>
        </w:rPr>
        <w:t xml:space="preserve"> KR, </w:t>
      </w:r>
      <w:proofErr w:type="spellStart"/>
      <w:r>
        <w:rPr>
          <w:rFonts w:ascii="Book Antiqua" w:hAnsi="Book Antiqua"/>
        </w:rPr>
        <w:t>Elmaraghy</w:t>
      </w:r>
      <w:proofErr w:type="spellEnd"/>
      <w:r>
        <w:rPr>
          <w:rFonts w:ascii="Book Antiqua" w:hAnsi="Book Antiqua"/>
        </w:rPr>
        <w:t xml:space="preserve"> C, Tobias JD. Implementation of a perioperative surgical home protocol for pediatric patients presenting for adenoidectomy. </w:t>
      </w:r>
      <w:r>
        <w:rPr>
          <w:rFonts w:ascii="Book Antiqua" w:hAnsi="Book Antiqua"/>
          <w:i/>
          <w:iCs/>
        </w:rPr>
        <w:t xml:space="preserve">Int 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Otorhinolaryngol</w:t>
      </w:r>
      <w:proofErr w:type="spellEnd"/>
      <w:r>
        <w:rPr>
          <w:rFonts w:ascii="Book Antiqua" w:hAnsi="Book Antiqua"/>
        </w:rPr>
        <w:t xml:space="preserve"> 2017; </w:t>
      </w:r>
      <w:r>
        <w:rPr>
          <w:rFonts w:ascii="Book Antiqua" w:hAnsi="Book Antiqua"/>
          <w:b/>
          <w:bCs/>
        </w:rPr>
        <w:t>101</w:t>
      </w:r>
      <w:r>
        <w:rPr>
          <w:rFonts w:ascii="Book Antiqua" w:hAnsi="Book Antiqua"/>
        </w:rPr>
        <w:t>: 215-222 [PMID: 28964298 DOI: 10.1016/j.ijporl.2017.08.018]</w:t>
      </w:r>
    </w:p>
    <w:p w14:paraId="53F6C429" w14:textId="77777777" w:rsidR="007E17F2" w:rsidRDefault="007E17F2" w:rsidP="007E17F2">
      <w:pPr>
        <w:autoSpaceDE w:val="0"/>
        <w:snapToGrid w:val="0"/>
        <w:spacing w:line="360" w:lineRule="auto"/>
        <w:jc w:val="both"/>
        <w:rPr>
          <w:rFonts w:ascii="Book Antiqua" w:hAnsi="Book Antiqua"/>
        </w:rPr>
      </w:pPr>
      <w:r>
        <w:rPr>
          <w:rFonts w:ascii="Book Antiqua" w:hAnsi="Book Antiqua"/>
        </w:rPr>
        <w:lastRenderedPageBreak/>
        <w:t xml:space="preserve">21 </w:t>
      </w:r>
      <w:proofErr w:type="spellStart"/>
      <w:r>
        <w:rPr>
          <w:rFonts w:ascii="Book Antiqua" w:hAnsi="Book Antiqua"/>
          <w:b/>
          <w:bCs/>
        </w:rPr>
        <w:t>Chimento</w:t>
      </w:r>
      <w:proofErr w:type="spellEnd"/>
      <w:r>
        <w:rPr>
          <w:rFonts w:ascii="Book Antiqua" w:hAnsi="Book Antiqua"/>
          <w:b/>
          <w:bCs/>
        </w:rPr>
        <w:t xml:space="preserve"> GF</w:t>
      </w:r>
      <w:r>
        <w:rPr>
          <w:rFonts w:ascii="Book Antiqua" w:hAnsi="Book Antiqua"/>
        </w:rPr>
        <w:t xml:space="preserve">, Thomas LC. The Perioperative Surgical Home: Improving the Value and Quality of Care in Total Joint Replacement. </w:t>
      </w:r>
      <w:proofErr w:type="spellStart"/>
      <w:r>
        <w:rPr>
          <w:rFonts w:ascii="Book Antiqua" w:hAnsi="Book Antiqua"/>
          <w:i/>
          <w:iCs/>
        </w:rPr>
        <w:t>Curr</w:t>
      </w:r>
      <w:proofErr w:type="spellEnd"/>
      <w:r>
        <w:rPr>
          <w:rFonts w:ascii="Book Antiqua" w:hAnsi="Book Antiqua"/>
          <w:i/>
          <w:iCs/>
        </w:rPr>
        <w:t xml:space="preserve"> Rev </w:t>
      </w:r>
      <w:proofErr w:type="spellStart"/>
      <w:r>
        <w:rPr>
          <w:rFonts w:ascii="Book Antiqua" w:hAnsi="Book Antiqua"/>
          <w:i/>
          <w:iCs/>
        </w:rPr>
        <w:t>Musculoskelet</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10</w:t>
      </w:r>
      <w:r>
        <w:rPr>
          <w:rFonts w:ascii="Book Antiqua" w:hAnsi="Book Antiqua"/>
        </w:rPr>
        <w:t>: 365-369 [PMID: 28643147 DOI: 10.1007/s12178-017-9418-3]</w:t>
      </w:r>
    </w:p>
    <w:p w14:paraId="3CD031C3"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Vetter TR</w:t>
      </w:r>
      <w:r>
        <w:rPr>
          <w:rFonts w:ascii="Book Antiqua" w:hAnsi="Book Antiqua"/>
        </w:rPr>
        <w:t xml:space="preserve">, Barman J, Hunter JM Jr, Jones KA, </w:t>
      </w:r>
      <w:proofErr w:type="spellStart"/>
      <w:r>
        <w:rPr>
          <w:rFonts w:ascii="Book Antiqua" w:hAnsi="Book Antiqua"/>
        </w:rPr>
        <w:t>Pittet</w:t>
      </w:r>
      <w:proofErr w:type="spellEnd"/>
      <w:r>
        <w:rPr>
          <w:rFonts w:ascii="Book Antiqua" w:hAnsi="Book Antiqua"/>
        </w:rPr>
        <w:t xml:space="preserve"> JF. The Effect of Implementation of Preoperative and Postoperative Care Elements of a Perioperative Surgical Home Model on Outcomes in Patients Undergoing Hip Arthroplasty or Knee Arthroplasty.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2017; </w:t>
      </w:r>
      <w:r>
        <w:rPr>
          <w:rFonts w:ascii="Book Antiqua" w:hAnsi="Book Antiqua"/>
          <w:b/>
          <w:bCs/>
        </w:rPr>
        <w:t>124</w:t>
      </w:r>
      <w:r>
        <w:rPr>
          <w:rFonts w:ascii="Book Antiqua" w:hAnsi="Book Antiqua"/>
        </w:rPr>
        <w:t>: 1450-1458 [PMID: 27898510 DOI: 10.1213/ANE.0000000000001743]</w:t>
      </w:r>
    </w:p>
    <w:p w14:paraId="1A11C9A7"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Powell AC</w:t>
      </w:r>
      <w:r>
        <w:rPr>
          <w:rFonts w:ascii="Book Antiqua" w:hAnsi="Book Antiqua"/>
        </w:rPr>
        <w:t xml:space="preserve">, </w:t>
      </w:r>
      <w:proofErr w:type="spellStart"/>
      <w:r>
        <w:rPr>
          <w:rFonts w:ascii="Book Antiqua" w:hAnsi="Book Antiqua"/>
        </w:rPr>
        <w:t>Thearle</w:t>
      </w:r>
      <w:proofErr w:type="spellEnd"/>
      <w:r>
        <w:rPr>
          <w:rFonts w:ascii="Book Antiqua" w:hAnsi="Book Antiqua"/>
        </w:rPr>
        <w:t xml:space="preserve"> MS, Cusick M, Sanderson DJ, Van Lew H, Lee C, Kieran JA. Early results of a surgeon-led, perioperative surgical home. </w:t>
      </w:r>
      <w:r>
        <w:rPr>
          <w:rFonts w:ascii="Book Antiqua" w:hAnsi="Book Antiqua"/>
          <w:i/>
          <w:iCs/>
        </w:rPr>
        <w:t>J Surg Res</w:t>
      </w:r>
      <w:r>
        <w:rPr>
          <w:rFonts w:ascii="Book Antiqua" w:hAnsi="Book Antiqua"/>
        </w:rPr>
        <w:t xml:space="preserve"> 2017; </w:t>
      </w:r>
      <w:r>
        <w:rPr>
          <w:rFonts w:ascii="Book Antiqua" w:hAnsi="Book Antiqua"/>
          <w:b/>
          <w:bCs/>
        </w:rPr>
        <w:t>211</w:t>
      </w:r>
      <w:r>
        <w:rPr>
          <w:rFonts w:ascii="Book Antiqua" w:hAnsi="Book Antiqua"/>
        </w:rPr>
        <w:t>: 154-162 [PMID: 28501112 DOI: 10.1016/j.jss.2016.12.011]</w:t>
      </w:r>
    </w:p>
    <w:p w14:paraId="3771CDE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Leahy I</w:t>
      </w:r>
      <w:r>
        <w:rPr>
          <w:rFonts w:ascii="Book Antiqua" w:hAnsi="Book Antiqua"/>
        </w:rPr>
        <w:t xml:space="preserve">, Johnson C, Staffa SJ, Rahbar R, Ferrari LR. Implementing a Pediatric Perioperative Surgical Home Integrated Care Coordination Pathway for Laryngeal Cleft Repair.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2019; </w:t>
      </w:r>
      <w:r>
        <w:rPr>
          <w:rFonts w:ascii="Book Antiqua" w:hAnsi="Book Antiqua"/>
          <w:b/>
          <w:bCs/>
        </w:rPr>
        <w:t>129</w:t>
      </w:r>
      <w:r>
        <w:rPr>
          <w:rFonts w:ascii="Book Antiqua" w:hAnsi="Book Antiqua"/>
        </w:rPr>
        <w:t>: 1053-1060 [PMID: 30300182 DOI: 10.1213/ANE.0000000000003821]</w:t>
      </w:r>
    </w:p>
    <w:p w14:paraId="23F506A3"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Kaufman BG</w:t>
      </w:r>
      <w:r>
        <w:rPr>
          <w:rFonts w:ascii="Book Antiqua" w:hAnsi="Book Antiqua"/>
        </w:rPr>
        <w:t xml:space="preserve">, Thomas SR, Randolph RK, Perry JR, Thompson KW, Holmes GM, Pink GH. The Rising Rate of Rural Hospital Closures. </w:t>
      </w:r>
      <w:r>
        <w:rPr>
          <w:rFonts w:ascii="Book Antiqua" w:hAnsi="Book Antiqua"/>
          <w:i/>
          <w:iCs/>
        </w:rPr>
        <w:t>J Rural Health</w:t>
      </w:r>
      <w:r>
        <w:rPr>
          <w:rFonts w:ascii="Book Antiqua" w:hAnsi="Book Antiqua"/>
        </w:rPr>
        <w:t xml:space="preserve"> 2016; </w:t>
      </w:r>
      <w:r>
        <w:rPr>
          <w:rFonts w:ascii="Book Antiqua" w:hAnsi="Book Antiqua"/>
          <w:b/>
          <w:bCs/>
        </w:rPr>
        <w:t>32</w:t>
      </w:r>
      <w:r>
        <w:rPr>
          <w:rFonts w:ascii="Book Antiqua" w:hAnsi="Book Antiqua"/>
        </w:rPr>
        <w:t>: 35-43 [PMID: 26171848 DOI: 10.1111/jrh.12128]</w:t>
      </w:r>
    </w:p>
    <w:p w14:paraId="0A0C6E64"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Nakayama DK</w:t>
      </w:r>
      <w:r>
        <w:rPr>
          <w:rFonts w:ascii="Book Antiqua" w:hAnsi="Book Antiqua"/>
        </w:rPr>
        <w:t xml:space="preserve">, Hughes TG. Issues that face rural surgery in the United States. </w:t>
      </w:r>
      <w:r>
        <w:rPr>
          <w:rFonts w:ascii="Book Antiqua" w:hAnsi="Book Antiqua"/>
          <w:i/>
          <w:iCs/>
        </w:rPr>
        <w:t>J Am Coll Surg</w:t>
      </w:r>
      <w:r>
        <w:rPr>
          <w:rFonts w:ascii="Book Antiqua" w:hAnsi="Book Antiqua"/>
        </w:rPr>
        <w:t xml:space="preserve"> 2014; </w:t>
      </w:r>
      <w:r>
        <w:rPr>
          <w:rFonts w:ascii="Book Antiqua" w:hAnsi="Book Antiqua"/>
          <w:b/>
          <w:bCs/>
        </w:rPr>
        <w:t>219</w:t>
      </w:r>
      <w:r>
        <w:rPr>
          <w:rFonts w:ascii="Book Antiqua" w:hAnsi="Book Antiqua"/>
        </w:rPr>
        <w:t>: 814-818 [PMID: 25065358 DOI: 10.1016/j.jamcollsurg.2014.03.056]</w:t>
      </w:r>
    </w:p>
    <w:p w14:paraId="19F39745"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Weichel D</w:t>
      </w:r>
      <w:r>
        <w:rPr>
          <w:rFonts w:ascii="Book Antiqua" w:hAnsi="Book Antiqua"/>
        </w:rPr>
        <w:t xml:space="preserve">. Orthopedic surgery in rural American hospitals: a survey of rural hospital administrators. </w:t>
      </w:r>
      <w:r>
        <w:rPr>
          <w:rFonts w:ascii="Book Antiqua" w:hAnsi="Book Antiqua"/>
          <w:i/>
          <w:iCs/>
        </w:rPr>
        <w:t>J Rural Health</w:t>
      </w:r>
      <w:r>
        <w:rPr>
          <w:rFonts w:ascii="Book Antiqua" w:hAnsi="Book Antiqua"/>
        </w:rPr>
        <w:t xml:space="preserve"> 2012; </w:t>
      </w:r>
      <w:r>
        <w:rPr>
          <w:rFonts w:ascii="Book Antiqua" w:hAnsi="Book Antiqua"/>
          <w:b/>
          <w:bCs/>
        </w:rPr>
        <w:t>28</w:t>
      </w:r>
      <w:r>
        <w:rPr>
          <w:rFonts w:ascii="Book Antiqua" w:hAnsi="Book Antiqua"/>
        </w:rPr>
        <w:t>: 137-141 [PMID: 22458314 DOI: 10.1111/j.1748-0361.</w:t>
      </w:r>
      <w:proofErr w:type="gramStart"/>
      <w:r>
        <w:rPr>
          <w:rFonts w:ascii="Book Antiqua" w:hAnsi="Book Antiqua"/>
        </w:rPr>
        <w:t>2011.00379.x</w:t>
      </w:r>
      <w:proofErr w:type="gramEnd"/>
      <w:r>
        <w:rPr>
          <w:rFonts w:ascii="Book Antiqua" w:hAnsi="Book Antiqua"/>
        </w:rPr>
        <w:t>]</w:t>
      </w:r>
    </w:p>
    <w:p w14:paraId="30FEFA99"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Chaudhary MA</w:t>
      </w:r>
      <w:r>
        <w:rPr>
          <w:rFonts w:ascii="Book Antiqua" w:hAnsi="Book Antiqua"/>
        </w:rPr>
        <w:t xml:space="preserve">, Shah AA, </w:t>
      </w:r>
      <w:proofErr w:type="spellStart"/>
      <w:r>
        <w:rPr>
          <w:rFonts w:ascii="Book Antiqua" w:hAnsi="Book Antiqua"/>
        </w:rPr>
        <w:t>Zogg</w:t>
      </w:r>
      <w:proofErr w:type="spellEnd"/>
      <w:r>
        <w:rPr>
          <w:rFonts w:ascii="Book Antiqua" w:hAnsi="Book Antiqua"/>
        </w:rPr>
        <w:t xml:space="preserve"> CK, </w:t>
      </w:r>
      <w:proofErr w:type="spellStart"/>
      <w:r>
        <w:rPr>
          <w:rFonts w:ascii="Book Antiqua" w:hAnsi="Book Antiqua"/>
        </w:rPr>
        <w:t>Changoor</w:t>
      </w:r>
      <w:proofErr w:type="spellEnd"/>
      <w:r>
        <w:rPr>
          <w:rFonts w:ascii="Book Antiqua" w:hAnsi="Book Antiqua"/>
        </w:rPr>
        <w:t xml:space="preserve"> N, Chao G, </w:t>
      </w:r>
      <w:proofErr w:type="spellStart"/>
      <w:r>
        <w:rPr>
          <w:rFonts w:ascii="Book Antiqua" w:hAnsi="Book Antiqua"/>
        </w:rPr>
        <w:t>Nitzschke</w:t>
      </w:r>
      <w:proofErr w:type="spellEnd"/>
      <w:r>
        <w:rPr>
          <w:rFonts w:ascii="Book Antiqua" w:hAnsi="Book Antiqua"/>
        </w:rPr>
        <w:t xml:space="preserve"> S, Havens JM, Haider AH. Differences in rural and urban outcomes: a national inspection of emergency general surgery patients. </w:t>
      </w:r>
      <w:r>
        <w:rPr>
          <w:rFonts w:ascii="Book Antiqua" w:hAnsi="Book Antiqua"/>
          <w:i/>
          <w:iCs/>
        </w:rPr>
        <w:t>J Surg Res</w:t>
      </w:r>
      <w:r>
        <w:rPr>
          <w:rFonts w:ascii="Book Antiqua" w:hAnsi="Book Antiqua"/>
        </w:rPr>
        <w:t xml:space="preserve"> 2017; </w:t>
      </w:r>
      <w:r>
        <w:rPr>
          <w:rFonts w:ascii="Book Antiqua" w:hAnsi="Book Antiqua"/>
          <w:b/>
          <w:bCs/>
        </w:rPr>
        <w:t>218</w:t>
      </w:r>
      <w:r>
        <w:rPr>
          <w:rFonts w:ascii="Book Antiqua" w:hAnsi="Book Antiqua"/>
        </w:rPr>
        <w:t>: 277-284 [PMID: 28985861 DOI: 10.1016/j.jss.2017.06.034]</w:t>
      </w:r>
    </w:p>
    <w:p w14:paraId="40E092D4" w14:textId="77777777" w:rsidR="007E17F2" w:rsidRDefault="007E17F2" w:rsidP="007E17F2">
      <w:pPr>
        <w:autoSpaceDE w:val="0"/>
        <w:snapToGrid w:val="0"/>
        <w:spacing w:line="360" w:lineRule="auto"/>
        <w:jc w:val="both"/>
        <w:rPr>
          <w:rFonts w:ascii="Book Antiqua" w:hAnsi="Book Antiqua"/>
        </w:rPr>
      </w:pPr>
      <w:r>
        <w:rPr>
          <w:rFonts w:ascii="Book Antiqua" w:hAnsi="Book Antiqua"/>
        </w:rPr>
        <w:lastRenderedPageBreak/>
        <w:t xml:space="preserve">29 </w:t>
      </w:r>
      <w:proofErr w:type="spellStart"/>
      <w:r>
        <w:rPr>
          <w:rFonts w:ascii="Book Antiqua" w:hAnsi="Book Antiqua"/>
          <w:b/>
          <w:bCs/>
        </w:rPr>
        <w:t>Gruca</w:t>
      </w:r>
      <w:proofErr w:type="spellEnd"/>
      <w:r>
        <w:rPr>
          <w:rFonts w:ascii="Book Antiqua" w:hAnsi="Book Antiqua"/>
          <w:b/>
          <w:bCs/>
        </w:rPr>
        <w:t xml:space="preserve"> TS</w:t>
      </w:r>
      <w:r>
        <w:rPr>
          <w:rFonts w:ascii="Book Antiqua" w:hAnsi="Book Antiqua"/>
        </w:rPr>
        <w:t xml:space="preserve">, </w:t>
      </w:r>
      <w:proofErr w:type="spellStart"/>
      <w:r>
        <w:rPr>
          <w:rFonts w:ascii="Book Antiqua" w:hAnsi="Book Antiqua"/>
        </w:rPr>
        <w:t>Pyo</w:t>
      </w:r>
      <w:proofErr w:type="spellEnd"/>
      <w:r>
        <w:rPr>
          <w:rFonts w:ascii="Book Antiqua" w:hAnsi="Book Antiqua"/>
        </w:rPr>
        <w:t xml:space="preserve"> TH, Nelson GC. Improving Rural Access to </w:t>
      </w:r>
      <w:proofErr w:type="spellStart"/>
      <w:r>
        <w:rPr>
          <w:rFonts w:ascii="Book Antiqua" w:hAnsi="Book Antiqua"/>
        </w:rPr>
        <w:t>Orthopaedic</w:t>
      </w:r>
      <w:proofErr w:type="spellEnd"/>
      <w:r>
        <w:rPr>
          <w:rFonts w:ascii="Book Antiqua" w:hAnsi="Book Antiqua"/>
        </w:rPr>
        <w:t xml:space="preserve"> Care Through Visiting Consultant Clinics. </w:t>
      </w:r>
      <w:r>
        <w:rPr>
          <w:rFonts w:ascii="Book Antiqua" w:hAnsi="Book Antiqua"/>
          <w:i/>
          <w:iCs/>
        </w:rPr>
        <w:t>J Bone Joint Surg Am</w:t>
      </w:r>
      <w:r>
        <w:rPr>
          <w:rFonts w:ascii="Book Antiqua" w:hAnsi="Book Antiqua"/>
        </w:rPr>
        <w:t xml:space="preserve"> 2016; </w:t>
      </w:r>
      <w:r>
        <w:rPr>
          <w:rFonts w:ascii="Book Antiqua" w:hAnsi="Book Antiqua"/>
          <w:b/>
          <w:bCs/>
        </w:rPr>
        <w:t>98</w:t>
      </w:r>
      <w:r>
        <w:rPr>
          <w:rFonts w:ascii="Book Antiqua" w:hAnsi="Book Antiqua"/>
        </w:rPr>
        <w:t>: 768-774 [PMID: 27147690 DOI: 10.2106/JBJS.15.00946]</w:t>
      </w:r>
    </w:p>
    <w:p w14:paraId="026DA14A"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Snyder JE</w:t>
      </w:r>
      <w:r>
        <w:rPr>
          <w:rFonts w:ascii="Book Antiqua" w:hAnsi="Book Antiqua"/>
        </w:rPr>
        <w:t xml:space="preserve">, Jensen M, Nguyen NX, Filice CE, Joynt KE. Defining Rurality in Medicare Administrative Data. </w:t>
      </w:r>
      <w:r>
        <w:rPr>
          <w:rFonts w:ascii="Book Antiqua" w:hAnsi="Book Antiqua"/>
          <w:i/>
          <w:iCs/>
        </w:rPr>
        <w:t>Med Care</w:t>
      </w:r>
      <w:r>
        <w:rPr>
          <w:rFonts w:ascii="Book Antiqua" w:hAnsi="Book Antiqua"/>
        </w:rPr>
        <w:t xml:space="preserve"> 2017; </w:t>
      </w:r>
      <w:r>
        <w:rPr>
          <w:rFonts w:ascii="Book Antiqua" w:hAnsi="Book Antiqua"/>
          <w:b/>
          <w:bCs/>
        </w:rPr>
        <w:t>55</w:t>
      </w:r>
      <w:r>
        <w:rPr>
          <w:rFonts w:ascii="Book Antiqua" w:hAnsi="Book Antiqua"/>
        </w:rPr>
        <w:t>: e164-e169 [PMID: 29135781 DOI: 10.1097/MLR.0000000000000607]</w:t>
      </w:r>
    </w:p>
    <w:p w14:paraId="42D1584B"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Norful</w:t>
      </w:r>
      <w:proofErr w:type="spellEnd"/>
      <w:r>
        <w:rPr>
          <w:rFonts w:ascii="Book Antiqua" w:hAnsi="Book Antiqua"/>
          <w:b/>
          <w:bCs/>
        </w:rPr>
        <w:t xml:space="preserve"> AA</w:t>
      </w:r>
      <w:r>
        <w:rPr>
          <w:rFonts w:ascii="Book Antiqua" w:hAnsi="Book Antiqua"/>
        </w:rPr>
        <w:t xml:space="preserve">, de Jacq K, </w:t>
      </w:r>
      <w:proofErr w:type="spellStart"/>
      <w:r>
        <w:rPr>
          <w:rFonts w:ascii="Book Antiqua" w:hAnsi="Book Antiqua"/>
        </w:rPr>
        <w:t>Carlino</w:t>
      </w:r>
      <w:proofErr w:type="spellEnd"/>
      <w:r>
        <w:rPr>
          <w:rFonts w:ascii="Book Antiqua" w:hAnsi="Book Antiqua"/>
        </w:rPr>
        <w:t xml:space="preserve"> R, Poghosyan L. Nurse Practitioner-Physician </w:t>
      </w:r>
      <w:proofErr w:type="spellStart"/>
      <w:r>
        <w:rPr>
          <w:rFonts w:ascii="Book Antiqua" w:hAnsi="Book Antiqua"/>
        </w:rPr>
        <w:t>Comanagement</w:t>
      </w:r>
      <w:proofErr w:type="spellEnd"/>
      <w:r>
        <w:rPr>
          <w:rFonts w:ascii="Book Antiqua" w:hAnsi="Book Antiqua"/>
        </w:rPr>
        <w:t xml:space="preserve">: A Theoretical Model to Alleviate Primary Care Strain. </w:t>
      </w:r>
      <w:r>
        <w:rPr>
          <w:rFonts w:ascii="Book Antiqua" w:hAnsi="Book Antiqua"/>
          <w:i/>
          <w:iCs/>
        </w:rPr>
        <w:t>Ann Fam Med</w:t>
      </w:r>
      <w:r>
        <w:rPr>
          <w:rFonts w:ascii="Book Antiqua" w:hAnsi="Book Antiqua"/>
        </w:rPr>
        <w:t xml:space="preserve"> 2018; </w:t>
      </w:r>
      <w:r>
        <w:rPr>
          <w:rFonts w:ascii="Book Antiqua" w:hAnsi="Book Antiqua"/>
          <w:b/>
          <w:bCs/>
        </w:rPr>
        <w:t>16</w:t>
      </w:r>
      <w:r>
        <w:rPr>
          <w:rFonts w:ascii="Book Antiqua" w:hAnsi="Book Antiqua"/>
        </w:rPr>
        <w:t>: 250-256 [PMID: 29760030 DOI: 10.1370/afm.2230]</w:t>
      </w:r>
    </w:p>
    <w:p w14:paraId="743508DE" w14:textId="42C1FA06" w:rsidR="007E17F2" w:rsidRDefault="007E17F2" w:rsidP="007E17F2">
      <w:pPr>
        <w:autoSpaceDE w:val="0"/>
        <w:snapToGrid w:val="0"/>
        <w:spacing w:line="360" w:lineRule="auto"/>
        <w:jc w:val="both"/>
        <w:rPr>
          <w:rFonts w:ascii="Book Antiqua" w:hAnsi="Book Antiqua"/>
        </w:rPr>
      </w:pPr>
      <w:r w:rsidRPr="00906EBB">
        <w:rPr>
          <w:rFonts w:ascii="Book Antiqua" w:hAnsi="Book Antiqua"/>
        </w:rPr>
        <w:t xml:space="preserve">32 </w:t>
      </w:r>
      <w:r w:rsidRPr="00906EBB">
        <w:rPr>
          <w:rFonts w:ascii="Book Antiqua" w:hAnsi="Book Antiqua"/>
          <w:b/>
          <w:bCs/>
        </w:rPr>
        <w:t>Sridhar S</w:t>
      </w:r>
      <w:r w:rsidRPr="00906EBB">
        <w:rPr>
          <w:rFonts w:ascii="Book Antiqua" w:hAnsi="Book Antiqua"/>
        </w:rPr>
        <w:t xml:space="preserve">, Carnegie N, </w:t>
      </w:r>
      <w:proofErr w:type="spellStart"/>
      <w:r w:rsidRPr="00906EBB">
        <w:rPr>
          <w:rFonts w:ascii="Book Antiqua" w:hAnsi="Book Antiqua"/>
        </w:rPr>
        <w:t>Mouat</w:t>
      </w:r>
      <w:proofErr w:type="spellEnd"/>
      <w:r w:rsidRPr="00906EBB">
        <w:rPr>
          <w:rFonts w:ascii="Book Antiqua" w:hAnsi="Book Antiqua"/>
        </w:rPr>
        <w:t xml:space="preserve">-Hunter A, McCrory B. A Rural Community Hospital’s Perioperative Surgical Home Model Compared to Traditional Surgical Systems. </w:t>
      </w:r>
      <w:r w:rsidRPr="00906EBB">
        <w:rPr>
          <w:rFonts w:ascii="Book Antiqua" w:hAnsi="Book Antiqua"/>
          <w:i/>
          <w:iCs/>
        </w:rPr>
        <w:t>Proceedings of the International Symposium on Human Factors and Ergonomics in Health Care</w:t>
      </w:r>
      <w:r w:rsidR="008C7679" w:rsidRPr="00906EBB">
        <w:rPr>
          <w:rFonts w:ascii="Book Antiqua" w:hAnsi="Book Antiqua"/>
        </w:rPr>
        <w:t xml:space="preserve"> </w:t>
      </w:r>
      <w:r w:rsidR="00906EBB" w:rsidRPr="00906EBB">
        <w:rPr>
          <w:rFonts w:ascii="Book Antiqua" w:hAnsi="Book Antiqua"/>
        </w:rPr>
        <w:t xml:space="preserve">2022; </w:t>
      </w:r>
      <w:r w:rsidR="008C7679" w:rsidRPr="00906EBB">
        <w:rPr>
          <w:rFonts w:ascii="Book Antiqua" w:hAnsi="Book Antiqua"/>
          <w:b/>
          <w:bCs/>
        </w:rPr>
        <w:t>11</w:t>
      </w:r>
      <w:r w:rsidR="008C7679" w:rsidRPr="00906EBB">
        <w:rPr>
          <w:rFonts w:ascii="Book Antiqua" w:hAnsi="Book Antiqua"/>
        </w:rPr>
        <w:t>: 140–144</w:t>
      </w:r>
      <w:r w:rsidRPr="00906EBB">
        <w:rPr>
          <w:rFonts w:ascii="Book Antiqua" w:hAnsi="Book Antiqua"/>
        </w:rPr>
        <w:t xml:space="preserve"> [DOI:</w:t>
      </w:r>
      <w:r w:rsidR="008C7679" w:rsidRPr="00906EBB">
        <w:rPr>
          <w:rFonts w:ascii="Book Antiqua" w:hAnsi="Book Antiqua"/>
        </w:rPr>
        <w:t xml:space="preserve"> </w:t>
      </w:r>
      <w:r w:rsidRPr="00906EBB">
        <w:rPr>
          <w:rFonts w:ascii="Book Antiqua" w:hAnsi="Book Antiqua"/>
        </w:rPr>
        <w:t>10.1177/2327857922111028]</w:t>
      </w:r>
    </w:p>
    <w:p w14:paraId="31A21267"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33 </w:t>
      </w:r>
      <w:r>
        <w:rPr>
          <w:rFonts w:ascii="Book Antiqua" w:hAnsi="Book Antiqua"/>
          <w:b/>
          <w:bCs/>
        </w:rPr>
        <w:t>Alvis BD</w:t>
      </w:r>
      <w:r>
        <w:rPr>
          <w:rFonts w:ascii="Book Antiqua" w:hAnsi="Book Antiqua"/>
        </w:rPr>
        <w:t xml:space="preserve">, </w:t>
      </w:r>
      <w:proofErr w:type="spellStart"/>
      <w:r>
        <w:rPr>
          <w:rFonts w:ascii="Book Antiqua" w:hAnsi="Book Antiqua"/>
        </w:rPr>
        <w:t>Amsler</w:t>
      </w:r>
      <w:proofErr w:type="spellEnd"/>
      <w:r>
        <w:rPr>
          <w:rFonts w:ascii="Book Antiqua" w:hAnsi="Book Antiqua"/>
        </w:rPr>
        <w:t xml:space="preserve"> RG, </w:t>
      </w:r>
      <w:proofErr w:type="spellStart"/>
      <w:r>
        <w:rPr>
          <w:rFonts w:ascii="Book Antiqua" w:hAnsi="Book Antiqua"/>
        </w:rPr>
        <w:t>Leisy</w:t>
      </w:r>
      <w:proofErr w:type="spellEnd"/>
      <w:r>
        <w:rPr>
          <w:rFonts w:ascii="Book Antiqua" w:hAnsi="Book Antiqua"/>
        </w:rPr>
        <w:t xml:space="preserve"> PJ, Feng X, Shotwell MS, </w:t>
      </w:r>
      <w:proofErr w:type="spellStart"/>
      <w:r>
        <w:rPr>
          <w:rFonts w:ascii="Book Antiqua" w:hAnsi="Book Antiqua"/>
        </w:rPr>
        <w:t>Pandharipande</w:t>
      </w:r>
      <w:proofErr w:type="spellEnd"/>
      <w:r>
        <w:rPr>
          <w:rFonts w:ascii="Book Antiqua" w:hAnsi="Book Antiqua"/>
        </w:rPr>
        <w:t xml:space="preserve"> PP, Ajmal M, McHugh M, Walia A, Hughes CG. Effects of an anesthesia perioperative surgical home for total knee and hip arthroplasty at a Veterans Affairs Hospital: a quality improvement before-and-after cohort study. </w:t>
      </w:r>
      <w:r>
        <w:rPr>
          <w:rFonts w:ascii="Book Antiqua" w:hAnsi="Book Antiqua"/>
          <w:i/>
          <w:iCs/>
        </w:rPr>
        <w:t xml:space="preserve">Can J </w:t>
      </w:r>
      <w:proofErr w:type="spellStart"/>
      <w:r>
        <w:rPr>
          <w:rFonts w:ascii="Book Antiqua" w:hAnsi="Book Antiqua"/>
          <w:i/>
          <w:iCs/>
        </w:rPr>
        <w:t>Anaesth</w:t>
      </w:r>
      <w:proofErr w:type="spellEnd"/>
      <w:r>
        <w:rPr>
          <w:rFonts w:ascii="Book Antiqua" w:hAnsi="Book Antiqua"/>
        </w:rPr>
        <w:t xml:space="preserve"> 2021; </w:t>
      </w:r>
      <w:r>
        <w:rPr>
          <w:rFonts w:ascii="Book Antiqua" w:hAnsi="Book Antiqua"/>
          <w:b/>
          <w:bCs/>
        </w:rPr>
        <w:t>68</w:t>
      </w:r>
      <w:r>
        <w:rPr>
          <w:rFonts w:ascii="Book Antiqua" w:hAnsi="Book Antiqua"/>
        </w:rPr>
        <w:t>: 367-375 [PMID: 33263180 DOI: 10.1007/s12630-020-01865-4]</w:t>
      </w:r>
    </w:p>
    <w:p w14:paraId="31A8C6AC"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Duplantier</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Briski</w:t>
      </w:r>
      <w:proofErr w:type="spellEnd"/>
      <w:r>
        <w:rPr>
          <w:rFonts w:ascii="Book Antiqua" w:hAnsi="Book Antiqua"/>
        </w:rPr>
        <w:t xml:space="preserve"> D, Ochsner JL, Meyer M, </w:t>
      </w:r>
      <w:proofErr w:type="spellStart"/>
      <w:r>
        <w:rPr>
          <w:rFonts w:ascii="Book Antiqua" w:hAnsi="Book Antiqua"/>
        </w:rPr>
        <w:t>Stanga</w:t>
      </w:r>
      <w:proofErr w:type="spellEnd"/>
      <w:r>
        <w:rPr>
          <w:rFonts w:ascii="Book Antiqua" w:hAnsi="Book Antiqua"/>
        </w:rPr>
        <w:t xml:space="preserve"> D, </w:t>
      </w:r>
      <w:proofErr w:type="spellStart"/>
      <w:r>
        <w:rPr>
          <w:rFonts w:ascii="Book Antiqua" w:hAnsi="Book Antiqua"/>
        </w:rPr>
        <w:t>Chimento</w:t>
      </w:r>
      <w:proofErr w:type="spellEnd"/>
      <w:r>
        <w:rPr>
          <w:rFonts w:ascii="Book Antiqua" w:hAnsi="Book Antiqua"/>
        </w:rPr>
        <w:t xml:space="preserve"> GF. The Financial Impact of a Multidisciplinary Preoperative Risk Stratification Program for Joint Arthroplasty. </w:t>
      </w:r>
      <w:r>
        <w:rPr>
          <w:rFonts w:ascii="Book Antiqua" w:hAnsi="Book Antiqua"/>
          <w:i/>
          <w:iCs/>
        </w:rPr>
        <w:t>J Arthroplasty</w:t>
      </w:r>
      <w:r>
        <w:rPr>
          <w:rFonts w:ascii="Book Antiqua" w:hAnsi="Book Antiqua"/>
        </w:rPr>
        <w:t xml:space="preserve"> 2015; </w:t>
      </w:r>
      <w:r>
        <w:rPr>
          <w:rFonts w:ascii="Book Antiqua" w:hAnsi="Book Antiqua"/>
          <w:b/>
          <w:bCs/>
        </w:rPr>
        <w:t>30</w:t>
      </w:r>
      <w:r>
        <w:rPr>
          <w:rFonts w:ascii="Book Antiqua" w:hAnsi="Book Antiqua"/>
        </w:rPr>
        <w:t>: 1485-1491 [PMID: 25935235 DOI: 10.1016/j.arth.2015.04.014]</w:t>
      </w:r>
    </w:p>
    <w:p w14:paraId="32DA7260"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Carter EM</w:t>
      </w:r>
      <w:r>
        <w:rPr>
          <w:rFonts w:ascii="Book Antiqua" w:hAnsi="Book Antiqua"/>
        </w:rPr>
        <w:t xml:space="preserve">, Potts HW. Predicting length of stay from an electronic patient record system: a primary total knee replacement example. </w:t>
      </w:r>
      <w:r>
        <w:rPr>
          <w:rFonts w:ascii="Book Antiqua" w:hAnsi="Book Antiqua"/>
          <w:i/>
          <w:iCs/>
        </w:rPr>
        <w:t xml:space="preserve">BMC Med Inform </w:t>
      </w:r>
      <w:proofErr w:type="spellStart"/>
      <w:r>
        <w:rPr>
          <w:rFonts w:ascii="Book Antiqua" w:hAnsi="Book Antiqua"/>
          <w:i/>
          <w:iCs/>
        </w:rPr>
        <w:t>Decis</w:t>
      </w:r>
      <w:proofErr w:type="spellEnd"/>
      <w:r>
        <w:rPr>
          <w:rFonts w:ascii="Book Antiqua" w:hAnsi="Book Antiqua"/>
          <w:i/>
          <w:iCs/>
        </w:rPr>
        <w:t xml:space="preserve"> </w:t>
      </w:r>
      <w:proofErr w:type="spellStart"/>
      <w:r>
        <w:rPr>
          <w:rFonts w:ascii="Book Antiqua" w:hAnsi="Book Antiqua"/>
          <w:i/>
          <w:iCs/>
        </w:rPr>
        <w:t>Mak</w:t>
      </w:r>
      <w:proofErr w:type="spellEnd"/>
      <w:r>
        <w:rPr>
          <w:rFonts w:ascii="Book Antiqua" w:hAnsi="Book Antiqua"/>
        </w:rPr>
        <w:t xml:space="preserve"> 2014; </w:t>
      </w:r>
      <w:r>
        <w:rPr>
          <w:rFonts w:ascii="Book Antiqua" w:hAnsi="Book Antiqua"/>
          <w:b/>
          <w:bCs/>
        </w:rPr>
        <w:t>14</w:t>
      </w:r>
      <w:r>
        <w:rPr>
          <w:rFonts w:ascii="Book Antiqua" w:hAnsi="Book Antiqua"/>
        </w:rPr>
        <w:t>: 26 [PMID: 24708853 DOI: 10.1186/1472-6947-14-26]</w:t>
      </w:r>
    </w:p>
    <w:p w14:paraId="0162A811"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36 </w:t>
      </w:r>
      <w:r>
        <w:rPr>
          <w:rFonts w:ascii="Book Antiqua" w:hAnsi="Book Antiqua"/>
          <w:b/>
          <w:bCs/>
        </w:rPr>
        <w:t>Ramkumar PN</w:t>
      </w:r>
      <w:r>
        <w:rPr>
          <w:rFonts w:ascii="Book Antiqua" w:hAnsi="Book Antiqua"/>
        </w:rPr>
        <w:t xml:space="preserve">, Chu CT, Harris JD, </w:t>
      </w:r>
      <w:proofErr w:type="spellStart"/>
      <w:r>
        <w:rPr>
          <w:rFonts w:ascii="Book Antiqua" w:hAnsi="Book Antiqua"/>
        </w:rPr>
        <w:t>Athiviraham</w:t>
      </w:r>
      <w:proofErr w:type="spellEnd"/>
      <w:r>
        <w:rPr>
          <w:rFonts w:ascii="Book Antiqua" w:hAnsi="Book Antiqua"/>
        </w:rPr>
        <w:t xml:space="preserve"> A, Harrington MA, White DL, Berger DH, Naik AD, Li LT. Causes and Rates of Unplanned Readmissions After Elective Primary Total Joint Arthroplasty: A Systematic Review and Meta-Analysis. </w:t>
      </w:r>
      <w:r>
        <w:rPr>
          <w:rFonts w:ascii="Book Antiqua" w:hAnsi="Book Antiqua"/>
          <w:i/>
          <w:iCs/>
        </w:rPr>
        <w:t xml:space="preserve">Am J </w:t>
      </w:r>
      <w:proofErr w:type="spellStart"/>
      <w:r>
        <w:rPr>
          <w:rFonts w:ascii="Book Antiqua" w:hAnsi="Book Antiqua"/>
          <w:i/>
          <w:iCs/>
        </w:rPr>
        <w:t>Orthop</w:t>
      </w:r>
      <w:proofErr w:type="spellEnd"/>
      <w:r>
        <w:rPr>
          <w:rFonts w:ascii="Book Antiqua" w:hAnsi="Book Antiqua"/>
          <w:i/>
          <w:iCs/>
        </w:rPr>
        <w:t xml:space="preserve"> (Belle Mead NJ)</w:t>
      </w:r>
      <w:r>
        <w:rPr>
          <w:rFonts w:ascii="Book Antiqua" w:hAnsi="Book Antiqua"/>
        </w:rPr>
        <w:t xml:space="preserve"> 2015; </w:t>
      </w:r>
      <w:r>
        <w:rPr>
          <w:rFonts w:ascii="Book Antiqua" w:hAnsi="Book Antiqua"/>
          <w:b/>
          <w:bCs/>
        </w:rPr>
        <w:t>44</w:t>
      </w:r>
      <w:r>
        <w:rPr>
          <w:rFonts w:ascii="Book Antiqua" w:hAnsi="Book Antiqua"/>
        </w:rPr>
        <w:t>: 397-405 [PMID: 26372748]</w:t>
      </w:r>
    </w:p>
    <w:p w14:paraId="40D649D3" w14:textId="776938DF" w:rsidR="007E17F2" w:rsidRDefault="007E17F2" w:rsidP="007E17F2">
      <w:pPr>
        <w:autoSpaceDE w:val="0"/>
        <w:snapToGrid w:val="0"/>
        <w:spacing w:line="360" w:lineRule="auto"/>
        <w:jc w:val="both"/>
        <w:rPr>
          <w:rFonts w:ascii="Book Antiqua" w:hAnsi="Book Antiqua"/>
        </w:rPr>
      </w:pPr>
      <w:r>
        <w:rPr>
          <w:rFonts w:ascii="Book Antiqua" w:hAnsi="Book Antiqua"/>
        </w:rPr>
        <w:lastRenderedPageBreak/>
        <w:t xml:space="preserve">37 </w:t>
      </w:r>
      <w:r>
        <w:rPr>
          <w:rFonts w:ascii="Book Antiqua" w:hAnsi="Book Antiqua"/>
          <w:b/>
          <w:bCs/>
        </w:rPr>
        <w:t>Chand MR</w:t>
      </w:r>
      <w:r w:rsidRPr="006A3BB8">
        <w:rPr>
          <w:rFonts w:ascii="Book Antiqua" w:hAnsi="Book Antiqua"/>
        </w:rPr>
        <w:t>,</w:t>
      </w:r>
      <w:r>
        <w:rPr>
          <w:rFonts w:ascii="Book Antiqua" w:hAnsi="Book Antiqua"/>
        </w:rPr>
        <w:t xml:space="preserve"> Meiyappan A, Villa JM, Kanwar S, </w:t>
      </w:r>
      <w:proofErr w:type="spellStart"/>
      <w:r>
        <w:rPr>
          <w:rFonts w:ascii="Book Antiqua" w:hAnsi="Book Antiqua"/>
        </w:rPr>
        <w:t>Sabesan</w:t>
      </w:r>
      <w:proofErr w:type="spellEnd"/>
      <w:r>
        <w:rPr>
          <w:rFonts w:ascii="Book Antiqua" w:hAnsi="Book Antiqua"/>
        </w:rPr>
        <w:t xml:space="preserve"> VJ, </w:t>
      </w:r>
      <w:proofErr w:type="spellStart"/>
      <w:r>
        <w:rPr>
          <w:rFonts w:ascii="Book Antiqua" w:hAnsi="Book Antiqua"/>
        </w:rPr>
        <w:t>Gilot</w:t>
      </w:r>
      <w:proofErr w:type="spellEnd"/>
      <w:r>
        <w:rPr>
          <w:rFonts w:ascii="Book Antiqua" w:hAnsi="Book Antiqua"/>
        </w:rPr>
        <w:t xml:space="preserve"> G. Ninety-day readmission following shoulder arthroplasty. </w:t>
      </w:r>
      <w:r w:rsidR="006A3BB8" w:rsidRPr="006A3BB8">
        <w:rPr>
          <w:rFonts w:ascii="Book Antiqua" w:hAnsi="Book Antiqua"/>
          <w:i/>
          <w:iCs/>
        </w:rPr>
        <w:t xml:space="preserve">J Shoulder </w:t>
      </w:r>
      <w:proofErr w:type="spellStart"/>
      <w:r w:rsidR="006A3BB8" w:rsidRPr="006A3BB8">
        <w:rPr>
          <w:rFonts w:ascii="Book Antiqua" w:hAnsi="Book Antiqua"/>
          <w:i/>
          <w:iCs/>
        </w:rPr>
        <w:t>Elb</w:t>
      </w:r>
      <w:proofErr w:type="spellEnd"/>
      <w:r w:rsidR="006A3BB8" w:rsidRPr="006A3BB8">
        <w:rPr>
          <w:rFonts w:ascii="Book Antiqua" w:hAnsi="Book Antiqua"/>
          <w:i/>
          <w:iCs/>
        </w:rPr>
        <w:t xml:space="preserve"> </w:t>
      </w:r>
      <w:proofErr w:type="spellStart"/>
      <w:r w:rsidR="006A3BB8" w:rsidRPr="006A3BB8">
        <w:rPr>
          <w:rFonts w:ascii="Book Antiqua" w:hAnsi="Book Antiqua"/>
          <w:i/>
          <w:iCs/>
        </w:rPr>
        <w:t>Arthroplast</w:t>
      </w:r>
      <w:proofErr w:type="spellEnd"/>
      <w:r>
        <w:rPr>
          <w:rFonts w:ascii="Book Antiqua" w:hAnsi="Book Antiqua"/>
        </w:rPr>
        <w:t xml:space="preserve"> 2018; </w:t>
      </w:r>
      <w:r w:rsidRPr="006A3BB8">
        <w:rPr>
          <w:rFonts w:ascii="Book Antiqua" w:hAnsi="Book Antiqua"/>
          <w:b/>
          <w:bCs/>
        </w:rPr>
        <w:t>2</w:t>
      </w:r>
      <w:r>
        <w:rPr>
          <w:rFonts w:ascii="Book Antiqua" w:hAnsi="Book Antiqua"/>
        </w:rPr>
        <w:t>: 2471549218810016 [DOI:</w:t>
      </w:r>
      <w:r w:rsidR="006A3BB8">
        <w:rPr>
          <w:rFonts w:ascii="Book Antiqua" w:hAnsi="Book Antiqua"/>
        </w:rPr>
        <w:t xml:space="preserve"> </w:t>
      </w:r>
      <w:r>
        <w:rPr>
          <w:rFonts w:ascii="Book Antiqua" w:hAnsi="Book Antiqua"/>
        </w:rPr>
        <w:t>10.1177/2471549218810016]</w:t>
      </w:r>
    </w:p>
    <w:p w14:paraId="77DAFF96"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Alem</w:t>
      </w:r>
      <w:proofErr w:type="spellEnd"/>
      <w:r>
        <w:rPr>
          <w:rFonts w:ascii="Book Antiqua" w:hAnsi="Book Antiqua"/>
          <w:b/>
          <w:bCs/>
        </w:rPr>
        <w:t xml:space="preserve"> N</w:t>
      </w:r>
      <w:r>
        <w:rPr>
          <w:rFonts w:ascii="Book Antiqua" w:hAnsi="Book Antiqua"/>
        </w:rPr>
        <w:t xml:space="preserve">, Rinehart J, Lee B, Merrill D, </w:t>
      </w:r>
      <w:proofErr w:type="spellStart"/>
      <w:r>
        <w:rPr>
          <w:rFonts w:ascii="Book Antiqua" w:hAnsi="Book Antiqua"/>
        </w:rPr>
        <w:t>Sobhanie</w:t>
      </w:r>
      <w:proofErr w:type="spellEnd"/>
      <w:r>
        <w:rPr>
          <w:rFonts w:ascii="Book Antiqua" w:hAnsi="Book Antiqua"/>
        </w:rPr>
        <w:t xml:space="preserve"> S, </w:t>
      </w:r>
      <w:proofErr w:type="spellStart"/>
      <w:r>
        <w:rPr>
          <w:rFonts w:ascii="Book Antiqua" w:hAnsi="Book Antiqua"/>
        </w:rPr>
        <w:t>Ahn</w:t>
      </w:r>
      <w:proofErr w:type="spellEnd"/>
      <w:r>
        <w:rPr>
          <w:rFonts w:ascii="Book Antiqua" w:hAnsi="Book Antiqua"/>
        </w:rPr>
        <w:t xml:space="preserve"> K, Schwarzkopf R, </w:t>
      </w:r>
      <w:proofErr w:type="spellStart"/>
      <w:r>
        <w:rPr>
          <w:rFonts w:ascii="Book Antiqua" w:hAnsi="Book Antiqua"/>
        </w:rPr>
        <w:t>Cannesson</w:t>
      </w:r>
      <w:proofErr w:type="spellEnd"/>
      <w:r>
        <w:rPr>
          <w:rFonts w:ascii="Book Antiqua" w:hAnsi="Book Antiqua"/>
        </w:rPr>
        <w:t xml:space="preserve"> M, Kain Z. A case management report: a collaborative perioperative surgical home paradigm and the reduction of total joint arthroplasty readmissions. </w:t>
      </w:r>
      <w:proofErr w:type="spellStart"/>
      <w:r>
        <w:rPr>
          <w:rFonts w:ascii="Book Antiqua" w:hAnsi="Book Antiqua"/>
          <w:i/>
          <w:iCs/>
        </w:rPr>
        <w:t>Perioper</w:t>
      </w:r>
      <w:proofErr w:type="spellEnd"/>
      <w:r>
        <w:rPr>
          <w:rFonts w:ascii="Book Antiqua" w:hAnsi="Book Antiqua"/>
          <w:i/>
          <w:iCs/>
        </w:rPr>
        <w:t xml:space="preserve"> Med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2016; </w:t>
      </w:r>
      <w:r>
        <w:rPr>
          <w:rFonts w:ascii="Book Antiqua" w:hAnsi="Book Antiqua"/>
          <w:b/>
          <w:bCs/>
        </w:rPr>
        <w:t>5</w:t>
      </w:r>
      <w:r>
        <w:rPr>
          <w:rFonts w:ascii="Book Antiqua" w:hAnsi="Book Antiqua"/>
        </w:rPr>
        <w:t>: 27 [PMID: 27777752 DOI: 10.1186/s13741-016-0051-2]</w:t>
      </w:r>
    </w:p>
    <w:p w14:paraId="278C244A" w14:textId="65931E92"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Couch CA</w:t>
      </w:r>
      <w:r w:rsidRPr="006A3BB8">
        <w:rPr>
          <w:rFonts w:ascii="Book Antiqua" w:hAnsi="Book Antiqua"/>
        </w:rPr>
        <w:t>,</w:t>
      </w:r>
      <w:r>
        <w:rPr>
          <w:rFonts w:ascii="Book Antiqua" w:hAnsi="Book Antiqua"/>
        </w:rPr>
        <w:t xml:space="preserve"> Coleman KL, </w:t>
      </w:r>
      <w:proofErr w:type="spellStart"/>
      <w:r>
        <w:rPr>
          <w:rFonts w:ascii="Book Antiqua" w:hAnsi="Book Antiqua"/>
        </w:rPr>
        <w:t>Fellner</w:t>
      </w:r>
      <w:proofErr w:type="spellEnd"/>
      <w:r>
        <w:rPr>
          <w:rFonts w:ascii="Book Antiqua" w:hAnsi="Book Antiqua"/>
        </w:rPr>
        <w:t xml:space="preserve"> AN, </w:t>
      </w:r>
      <w:proofErr w:type="spellStart"/>
      <w:r>
        <w:rPr>
          <w:rFonts w:ascii="Book Antiqua" w:hAnsi="Book Antiqua"/>
        </w:rPr>
        <w:t>Guend</w:t>
      </w:r>
      <w:proofErr w:type="spellEnd"/>
      <w:r>
        <w:rPr>
          <w:rFonts w:ascii="Book Antiqua" w:hAnsi="Book Antiqua"/>
        </w:rPr>
        <w:t xml:space="preserve"> H. A Comparison of Re-admission and Emergency Department Visits in a Colorectal Surgical Home </w:t>
      </w:r>
      <w:r w:rsidR="006A3BB8" w:rsidRPr="006A3BB8">
        <w:rPr>
          <w:rFonts w:ascii="Book Antiqua" w:hAnsi="Book Antiqua"/>
        </w:rPr>
        <w:t>versus</w:t>
      </w:r>
      <w:r>
        <w:rPr>
          <w:rFonts w:ascii="Book Antiqua" w:hAnsi="Book Antiqua"/>
        </w:rPr>
        <w:t xml:space="preserve"> Traditional Perioperative Care.</w:t>
      </w:r>
      <w:r w:rsidR="006A3BB8">
        <w:rPr>
          <w:rFonts w:ascii="Book Antiqua" w:hAnsi="Book Antiqua"/>
        </w:rPr>
        <w:t xml:space="preserve"> </w:t>
      </w:r>
      <w:r w:rsidR="006A3BB8" w:rsidRPr="006A3BB8">
        <w:rPr>
          <w:rFonts w:ascii="Book Antiqua" w:hAnsi="Book Antiqua"/>
          <w:i/>
          <w:iCs/>
        </w:rPr>
        <w:t>Research Square</w:t>
      </w:r>
      <w:r>
        <w:rPr>
          <w:rFonts w:ascii="Book Antiqua" w:hAnsi="Book Antiqua"/>
        </w:rPr>
        <w:t xml:space="preserve"> 2022 [DOI:</w:t>
      </w:r>
      <w:r w:rsidR="006A3BB8">
        <w:rPr>
          <w:rFonts w:ascii="Book Antiqua" w:hAnsi="Book Antiqua"/>
        </w:rPr>
        <w:t xml:space="preserve"> </w:t>
      </w:r>
      <w:r>
        <w:rPr>
          <w:rFonts w:ascii="Book Antiqua" w:hAnsi="Book Antiqua"/>
        </w:rPr>
        <w:t>10.21203/rs.3.rs-1639896/v1]</w:t>
      </w:r>
    </w:p>
    <w:p w14:paraId="4658FC0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40 </w:t>
      </w:r>
      <w:r>
        <w:rPr>
          <w:rFonts w:ascii="Book Antiqua" w:hAnsi="Book Antiqua"/>
          <w:b/>
          <w:bCs/>
        </w:rPr>
        <w:t>Duncan MJ</w:t>
      </w:r>
      <w:r>
        <w:rPr>
          <w:rFonts w:ascii="Book Antiqua" w:hAnsi="Book Antiqua"/>
        </w:rPr>
        <w:t xml:space="preserve">. Perioperative Surgical Home, </w:t>
      </w:r>
      <w:proofErr w:type="gramStart"/>
      <w:r>
        <w:rPr>
          <w:rFonts w:ascii="Book Antiqua" w:hAnsi="Book Antiqua"/>
        </w:rPr>
        <w:t>Fixing</w:t>
      </w:r>
      <w:proofErr w:type="gramEnd"/>
      <w:r>
        <w:rPr>
          <w:rFonts w:ascii="Book Antiqua" w:hAnsi="Book Antiqua"/>
        </w:rPr>
        <w:t xml:space="preserve"> a Fragmented Process to Improve Quality of Care. </w:t>
      </w:r>
      <w:r>
        <w:rPr>
          <w:rFonts w:ascii="Book Antiqua" w:hAnsi="Book Antiqua"/>
          <w:i/>
          <w:iCs/>
        </w:rPr>
        <w:t>Mo Med</w:t>
      </w:r>
      <w:r>
        <w:rPr>
          <w:rFonts w:ascii="Book Antiqua" w:hAnsi="Book Antiqua"/>
        </w:rPr>
        <w:t xml:space="preserve"> 2019; </w:t>
      </w:r>
      <w:r>
        <w:rPr>
          <w:rFonts w:ascii="Book Antiqua" w:hAnsi="Book Antiqua"/>
          <w:b/>
          <w:bCs/>
        </w:rPr>
        <w:t>116</w:t>
      </w:r>
      <w:r>
        <w:rPr>
          <w:rFonts w:ascii="Book Antiqua" w:hAnsi="Book Antiqua"/>
        </w:rPr>
        <w:t>: 53-57 [PMID: 30862987]</w:t>
      </w:r>
    </w:p>
    <w:p w14:paraId="5EC98DE1"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41 </w:t>
      </w:r>
      <w:r>
        <w:rPr>
          <w:rFonts w:ascii="Book Antiqua" w:hAnsi="Book Antiqua"/>
          <w:b/>
          <w:bCs/>
        </w:rPr>
        <w:t>Yoon RS</w:t>
      </w:r>
      <w:r>
        <w:rPr>
          <w:rFonts w:ascii="Book Antiqua" w:hAnsi="Book Antiqua"/>
        </w:rPr>
        <w:t xml:space="preserve">, </w:t>
      </w:r>
      <w:proofErr w:type="spellStart"/>
      <w:r>
        <w:rPr>
          <w:rFonts w:ascii="Book Antiqua" w:hAnsi="Book Antiqua"/>
        </w:rPr>
        <w:t>Nellans</w:t>
      </w:r>
      <w:proofErr w:type="spellEnd"/>
      <w:r>
        <w:rPr>
          <w:rFonts w:ascii="Book Antiqua" w:hAnsi="Book Antiqua"/>
        </w:rPr>
        <w:t xml:space="preserve"> KW, Geller JA, Kim AD, Jacobs MR, Macaulay W. Patient education before hip or knee arthroplasty lowers length of stay. </w:t>
      </w:r>
      <w:r>
        <w:rPr>
          <w:rFonts w:ascii="Book Antiqua" w:hAnsi="Book Antiqua"/>
          <w:i/>
          <w:iCs/>
        </w:rPr>
        <w:t>J Arthroplasty</w:t>
      </w:r>
      <w:r>
        <w:rPr>
          <w:rFonts w:ascii="Book Antiqua" w:hAnsi="Book Antiqua"/>
        </w:rPr>
        <w:t xml:space="preserve"> 2010; </w:t>
      </w:r>
      <w:r>
        <w:rPr>
          <w:rFonts w:ascii="Book Antiqua" w:hAnsi="Book Antiqua"/>
          <w:b/>
          <w:bCs/>
        </w:rPr>
        <w:t>25</w:t>
      </w:r>
      <w:r>
        <w:rPr>
          <w:rFonts w:ascii="Book Antiqua" w:hAnsi="Book Antiqua"/>
        </w:rPr>
        <w:t>: 547-551 [PMID: 19427164 DOI: 10.1016/j.arth.2009.03.012]</w:t>
      </w:r>
    </w:p>
    <w:p w14:paraId="7554DBCF"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Lesher</w:t>
      </w:r>
      <w:proofErr w:type="spellEnd"/>
      <w:r>
        <w:rPr>
          <w:rFonts w:ascii="Book Antiqua" w:hAnsi="Book Antiqua"/>
          <w:b/>
          <w:bCs/>
        </w:rPr>
        <w:t xml:space="preserve"> AP</w:t>
      </w:r>
      <w:r>
        <w:rPr>
          <w:rFonts w:ascii="Book Antiqua" w:hAnsi="Book Antiqua"/>
        </w:rPr>
        <w:t xml:space="preserve">, Gavrilova Y, Ruggiero KJ, Evans HL. Surgery and the Smartphone: Can Technology Improve Equitable Access to Surgical Care? </w:t>
      </w:r>
      <w:r>
        <w:rPr>
          <w:rFonts w:ascii="Book Antiqua" w:hAnsi="Book Antiqua"/>
          <w:i/>
          <w:iCs/>
        </w:rPr>
        <w:t>J Surg Res</w:t>
      </w:r>
      <w:r>
        <w:rPr>
          <w:rFonts w:ascii="Book Antiqua" w:hAnsi="Book Antiqua"/>
        </w:rPr>
        <w:t xml:space="preserve"> 2021; </w:t>
      </w:r>
      <w:r>
        <w:rPr>
          <w:rFonts w:ascii="Book Antiqua" w:hAnsi="Book Antiqua"/>
          <w:b/>
          <w:bCs/>
        </w:rPr>
        <w:t>263</w:t>
      </w:r>
      <w:r>
        <w:rPr>
          <w:rFonts w:ascii="Book Antiqua" w:hAnsi="Book Antiqua"/>
        </w:rPr>
        <w:t>: 1-4 [PMID: 33618217 DOI: 10.1016/j.jss.2020.12.066]</w:t>
      </w:r>
    </w:p>
    <w:p w14:paraId="538183B1" w14:textId="6C8F6268"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43 </w:t>
      </w:r>
      <w:proofErr w:type="spellStart"/>
      <w:r w:rsidRPr="002E64CC">
        <w:rPr>
          <w:rFonts w:ascii="Book Antiqua" w:hAnsi="Book Antiqua"/>
          <w:b/>
          <w:bCs/>
        </w:rPr>
        <w:t>Toerien</w:t>
      </w:r>
      <w:proofErr w:type="spellEnd"/>
      <w:r w:rsidRPr="002E64CC">
        <w:rPr>
          <w:rFonts w:ascii="Book Antiqua" w:hAnsi="Book Antiqua"/>
          <w:b/>
          <w:bCs/>
        </w:rPr>
        <w:t xml:space="preserve"> D</w:t>
      </w:r>
      <w:r>
        <w:rPr>
          <w:rFonts w:ascii="Book Antiqua" w:hAnsi="Book Antiqua"/>
        </w:rPr>
        <w:t xml:space="preserve">. Orderliness in tourism enterprise dynamics in United States micropolitan statistical areas. </w:t>
      </w:r>
      <w:r w:rsidRPr="002E64CC">
        <w:rPr>
          <w:rFonts w:ascii="Book Antiqua" w:hAnsi="Book Antiqua"/>
          <w:i/>
          <w:iCs/>
        </w:rPr>
        <w:t>Sustainability</w:t>
      </w:r>
      <w:r>
        <w:rPr>
          <w:rFonts w:ascii="Book Antiqua" w:hAnsi="Book Antiqua"/>
        </w:rPr>
        <w:t xml:space="preserve"> 2021; </w:t>
      </w:r>
      <w:r w:rsidRPr="002E64CC">
        <w:rPr>
          <w:rFonts w:ascii="Book Antiqua" w:hAnsi="Book Antiqua"/>
          <w:b/>
          <w:bCs/>
        </w:rPr>
        <w:t>13</w:t>
      </w:r>
      <w:r>
        <w:rPr>
          <w:rFonts w:ascii="Book Antiqua" w:hAnsi="Book Antiqua"/>
        </w:rPr>
        <w:t>: 6180 [DOI:</w:t>
      </w:r>
      <w:r w:rsidR="002E64CC">
        <w:rPr>
          <w:rFonts w:ascii="Book Antiqua" w:hAnsi="Book Antiqua"/>
        </w:rPr>
        <w:t xml:space="preserve"> </w:t>
      </w:r>
      <w:r>
        <w:rPr>
          <w:rFonts w:ascii="Book Antiqua" w:hAnsi="Book Antiqua"/>
        </w:rPr>
        <w:t>10.3390/su13116180]</w:t>
      </w:r>
    </w:p>
    <w:p w14:paraId="2AA601EE"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44 </w:t>
      </w:r>
      <w:r>
        <w:rPr>
          <w:rFonts w:ascii="Book Antiqua" w:hAnsi="Book Antiqua"/>
          <w:b/>
          <w:bCs/>
        </w:rPr>
        <w:t>Novak NL</w:t>
      </w:r>
      <w:r>
        <w:rPr>
          <w:rFonts w:ascii="Book Antiqua" w:hAnsi="Book Antiqua"/>
        </w:rPr>
        <w:t xml:space="preserve">, </w:t>
      </w:r>
      <w:proofErr w:type="spellStart"/>
      <w:r>
        <w:rPr>
          <w:rFonts w:ascii="Book Antiqua" w:hAnsi="Book Antiqua"/>
        </w:rPr>
        <w:t>Baquero</w:t>
      </w:r>
      <w:proofErr w:type="spellEnd"/>
      <w:r>
        <w:rPr>
          <w:rFonts w:ascii="Book Antiqua" w:hAnsi="Book Antiqua"/>
        </w:rPr>
        <w:t xml:space="preserve"> B, Askelson NM, </w:t>
      </w:r>
      <w:proofErr w:type="spellStart"/>
      <w:r>
        <w:rPr>
          <w:rFonts w:ascii="Book Antiqua" w:hAnsi="Book Antiqua"/>
        </w:rPr>
        <w:t>Diers</w:t>
      </w:r>
      <w:proofErr w:type="spellEnd"/>
      <w:r>
        <w:rPr>
          <w:rFonts w:ascii="Book Antiqua" w:hAnsi="Book Antiqua"/>
        </w:rPr>
        <w:t xml:space="preserve"> L, Dunn B, Haines H, Afifi R, Parker EA. Health Equity in Midsize Rural Communities: Challenges and Opportunities in a Changing Rural America. </w:t>
      </w:r>
      <w:r>
        <w:rPr>
          <w:rFonts w:ascii="Book Antiqua" w:hAnsi="Book Antiqua"/>
          <w:i/>
          <w:iCs/>
        </w:rPr>
        <w:t>Am J Public Health</w:t>
      </w:r>
      <w:r>
        <w:rPr>
          <w:rFonts w:ascii="Book Antiqua" w:hAnsi="Book Antiqua"/>
        </w:rPr>
        <w:t xml:space="preserve"> 2020; </w:t>
      </w:r>
      <w:r>
        <w:rPr>
          <w:rFonts w:ascii="Book Antiqua" w:hAnsi="Book Antiqua"/>
          <w:b/>
          <w:bCs/>
        </w:rPr>
        <w:t>110</w:t>
      </w:r>
      <w:r>
        <w:rPr>
          <w:rFonts w:ascii="Book Antiqua" w:hAnsi="Book Antiqua"/>
        </w:rPr>
        <w:t>: 1342-1343 [PMID: 32783728 DOI: 10.2105/AJPH.2020.305824]</w:t>
      </w:r>
    </w:p>
    <w:p w14:paraId="3DA4DF21"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45 </w:t>
      </w:r>
      <w:r>
        <w:rPr>
          <w:rFonts w:ascii="Book Antiqua" w:hAnsi="Book Antiqua"/>
          <w:b/>
          <w:bCs/>
        </w:rPr>
        <w:t>Hess DR</w:t>
      </w:r>
      <w:r>
        <w:rPr>
          <w:rFonts w:ascii="Book Antiqua" w:hAnsi="Book Antiqua"/>
        </w:rPr>
        <w:t xml:space="preserve">. Retrospective studies and chart reviews. </w:t>
      </w:r>
      <w:r>
        <w:rPr>
          <w:rFonts w:ascii="Book Antiqua" w:hAnsi="Book Antiqua"/>
          <w:i/>
          <w:iCs/>
        </w:rPr>
        <w:t>Respir Care</w:t>
      </w:r>
      <w:r>
        <w:rPr>
          <w:rFonts w:ascii="Book Antiqua" w:hAnsi="Book Antiqua"/>
        </w:rPr>
        <w:t xml:space="preserve"> 2004; </w:t>
      </w:r>
      <w:r>
        <w:rPr>
          <w:rFonts w:ascii="Book Antiqua" w:hAnsi="Book Antiqua"/>
          <w:b/>
          <w:bCs/>
        </w:rPr>
        <w:t>49</w:t>
      </w:r>
      <w:r>
        <w:rPr>
          <w:rFonts w:ascii="Book Antiqua" w:hAnsi="Book Antiqua"/>
        </w:rPr>
        <w:t>: 1171-1174 [PMID: 15447798]</w:t>
      </w:r>
    </w:p>
    <w:p w14:paraId="7910BC64"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Euser</w:t>
      </w:r>
      <w:proofErr w:type="spellEnd"/>
      <w:r>
        <w:rPr>
          <w:rFonts w:ascii="Book Antiqua" w:hAnsi="Book Antiqua"/>
          <w:b/>
          <w:bCs/>
        </w:rPr>
        <w:t xml:space="preserve"> AM</w:t>
      </w:r>
      <w:r>
        <w:rPr>
          <w:rFonts w:ascii="Book Antiqua" w:hAnsi="Book Antiqua"/>
        </w:rPr>
        <w:t xml:space="preserve">, Zoccali C, Jager KJ, Dekker FW. Cohort studies: prospective versus retrospective. </w:t>
      </w:r>
      <w:r>
        <w:rPr>
          <w:rFonts w:ascii="Book Antiqua" w:hAnsi="Book Antiqua"/>
          <w:i/>
          <w:iCs/>
        </w:rPr>
        <w:t xml:space="preserve">Nephron Clin </w:t>
      </w:r>
      <w:proofErr w:type="spellStart"/>
      <w:r>
        <w:rPr>
          <w:rFonts w:ascii="Book Antiqua" w:hAnsi="Book Antiqua"/>
          <w:i/>
          <w:iCs/>
        </w:rPr>
        <w:t>Pract</w:t>
      </w:r>
      <w:proofErr w:type="spellEnd"/>
      <w:r>
        <w:rPr>
          <w:rFonts w:ascii="Book Antiqua" w:hAnsi="Book Antiqua"/>
        </w:rPr>
        <w:t xml:space="preserve"> 2009; </w:t>
      </w:r>
      <w:r>
        <w:rPr>
          <w:rFonts w:ascii="Book Antiqua" w:hAnsi="Book Antiqua"/>
          <w:b/>
          <w:bCs/>
        </w:rPr>
        <w:t>113</w:t>
      </w:r>
      <w:r>
        <w:rPr>
          <w:rFonts w:ascii="Book Antiqua" w:hAnsi="Book Antiqua"/>
        </w:rPr>
        <w:t>: c214-c217 [PMID: 19690438 DOI: 10.1159/000235241]</w:t>
      </w:r>
    </w:p>
    <w:p w14:paraId="12184C81" w14:textId="77777777" w:rsidR="007E17F2" w:rsidRDefault="007E17F2" w:rsidP="007E17F2">
      <w:pPr>
        <w:autoSpaceDE w:val="0"/>
        <w:snapToGrid w:val="0"/>
        <w:spacing w:line="360" w:lineRule="auto"/>
        <w:jc w:val="both"/>
        <w:rPr>
          <w:rFonts w:ascii="Book Antiqua" w:hAnsi="Book Antiqua"/>
        </w:rPr>
      </w:pPr>
      <w:r>
        <w:rPr>
          <w:rFonts w:ascii="Book Antiqua" w:hAnsi="Book Antiqua"/>
        </w:rPr>
        <w:lastRenderedPageBreak/>
        <w:t xml:space="preserve">47 </w:t>
      </w:r>
      <w:r>
        <w:rPr>
          <w:rFonts w:ascii="Book Antiqua" w:hAnsi="Book Antiqua"/>
          <w:b/>
          <w:bCs/>
        </w:rPr>
        <w:t>Sridhar S</w:t>
      </w:r>
      <w:r>
        <w:rPr>
          <w:rFonts w:ascii="Book Antiqua" w:hAnsi="Book Antiqua"/>
        </w:rPr>
        <w:t xml:space="preserve">, Whitaker B, </w:t>
      </w:r>
      <w:proofErr w:type="spellStart"/>
      <w:r>
        <w:rPr>
          <w:rFonts w:ascii="Book Antiqua" w:hAnsi="Book Antiqua"/>
        </w:rPr>
        <w:t>Mouat</w:t>
      </w:r>
      <w:proofErr w:type="spellEnd"/>
      <w:r>
        <w:rPr>
          <w:rFonts w:ascii="Book Antiqua" w:hAnsi="Book Antiqua"/>
        </w:rPr>
        <w:t xml:space="preserve">-Hunter A, McCrory B. Predicting Length of Stay using machine learning for total joint replacements performed at a rural community hospital.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2022; </w:t>
      </w:r>
      <w:r>
        <w:rPr>
          <w:rFonts w:ascii="Book Antiqua" w:hAnsi="Book Antiqua"/>
          <w:b/>
          <w:bCs/>
        </w:rPr>
        <w:t>17</w:t>
      </w:r>
      <w:r>
        <w:rPr>
          <w:rFonts w:ascii="Book Antiqua" w:hAnsi="Book Antiqua"/>
        </w:rPr>
        <w:t>: e0277479 [PMID: 36355762 DOI: 10.1371/journal.pone.0277479]</w:t>
      </w:r>
    </w:p>
    <w:p w14:paraId="21B26001" w14:textId="630374DD" w:rsidR="00A77B3E" w:rsidRDefault="00A77B3E">
      <w:pPr>
        <w:spacing w:line="360" w:lineRule="auto"/>
        <w:jc w:val="both"/>
        <w:rPr>
          <w:rFonts w:ascii="Book Antiqua" w:eastAsia="Book Antiqua" w:hAnsi="Book Antiqua" w:cs="Book Antiqua"/>
          <w:color w:val="000000"/>
        </w:rPr>
      </w:pPr>
    </w:p>
    <w:p w14:paraId="5319D2A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0B2B3F9" w14:textId="77777777" w:rsidR="00A77B3E" w:rsidRDefault="00AF595A">
      <w:pPr>
        <w:spacing w:line="360" w:lineRule="auto"/>
        <w:jc w:val="both"/>
      </w:pPr>
      <w:r>
        <w:rPr>
          <w:rFonts w:ascii="Book Antiqua" w:eastAsia="Book Antiqua" w:hAnsi="Book Antiqua" w:cs="Book Antiqua"/>
          <w:b/>
          <w:color w:val="000000"/>
        </w:rPr>
        <w:lastRenderedPageBreak/>
        <w:t>Footnotes</w:t>
      </w:r>
    </w:p>
    <w:p w14:paraId="02AF1B7F" w14:textId="77777777" w:rsidR="00A77B3E" w:rsidRDefault="00AF595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2"/>
        </w:rPr>
        <w:t xml:space="preserve">This retrospective analysis was approved by the Montana State University Institutional Review Board (Approval# BM050819-EX). </w:t>
      </w:r>
    </w:p>
    <w:p w14:paraId="12BE87EB" w14:textId="77777777" w:rsidR="00A77B3E" w:rsidRDefault="00A77B3E">
      <w:pPr>
        <w:spacing w:line="360" w:lineRule="auto"/>
        <w:jc w:val="both"/>
      </w:pPr>
    </w:p>
    <w:p w14:paraId="3270FF5E" w14:textId="26EDF364" w:rsidR="00A77B3E" w:rsidRDefault="00AF595A">
      <w:pPr>
        <w:spacing w:line="360" w:lineRule="auto"/>
        <w:jc w:val="both"/>
      </w:pPr>
      <w:r>
        <w:rPr>
          <w:rFonts w:ascii="Book Antiqua" w:eastAsia="Book Antiqua" w:hAnsi="Book Antiqua" w:cs="Book Antiqua"/>
          <w:b/>
          <w:bCs/>
          <w:color w:val="000000"/>
          <w:szCs w:val="22"/>
        </w:rPr>
        <w:t xml:space="preserve">Informed consent statement: </w:t>
      </w:r>
      <w:r w:rsidR="00A24DF5" w:rsidRPr="00A24DF5">
        <w:rPr>
          <w:rFonts w:ascii="Book Antiqua" w:eastAsia="Book Antiqua" w:hAnsi="Book Antiqua" w:cs="Book Antiqua"/>
          <w:color w:val="000000"/>
        </w:rPr>
        <w:t>All study participants</w:t>
      </w:r>
      <w:r w:rsidR="00A24DF5">
        <w:rPr>
          <w:rFonts w:ascii="Book Antiqua" w:eastAsia="Book Antiqua" w:hAnsi="Book Antiqua" w:cs="Book Antiqua"/>
          <w:color w:val="000000"/>
        </w:rPr>
        <w:t xml:space="preserve"> </w:t>
      </w:r>
      <w:r w:rsidR="00A24DF5" w:rsidRPr="00A24DF5">
        <w:rPr>
          <w:rFonts w:ascii="Book Antiqua" w:eastAsia="Book Antiqua" w:hAnsi="Book Antiqua" w:cs="Book Antiqua"/>
          <w:color w:val="000000"/>
        </w:rPr>
        <w:t>provided informed written consent prior to study enrollment.</w:t>
      </w:r>
    </w:p>
    <w:p w14:paraId="34017E15" w14:textId="77777777" w:rsidR="00A77B3E" w:rsidRDefault="00A77B3E">
      <w:pPr>
        <w:spacing w:line="360" w:lineRule="auto"/>
        <w:jc w:val="both"/>
      </w:pPr>
    </w:p>
    <w:p w14:paraId="384EC9AA" w14:textId="29BC2466" w:rsidR="00A77B3E" w:rsidRDefault="00AF595A">
      <w:pPr>
        <w:spacing w:line="360" w:lineRule="auto"/>
        <w:jc w:val="both"/>
      </w:pPr>
      <w:r w:rsidRPr="00CA366B">
        <w:rPr>
          <w:rFonts w:ascii="Book Antiqua" w:eastAsia="Book Antiqua" w:hAnsi="Book Antiqua" w:cs="Book Antiqua"/>
          <w:b/>
          <w:bCs/>
          <w:color w:val="000000"/>
        </w:rPr>
        <w:t>Conflict-of-interest statement:</w:t>
      </w:r>
      <w:r w:rsidR="00CA366B">
        <w:rPr>
          <w:rFonts w:ascii="Book Antiqua" w:eastAsia="Book Antiqua" w:hAnsi="Book Antiqua" w:cs="Book Antiqua"/>
          <w:color w:val="000000"/>
        </w:rPr>
        <w:t xml:space="preserve"> </w:t>
      </w:r>
      <w:r>
        <w:rPr>
          <w:rFonts w:ascii="Book Antiqua" w:eastAsia="Book Antiqua" w:hAnsi="Book Antiqua" w:cs="Book Antiqua"/>
          <w:color w:val="000000"/>
        </w:rPr>
        <w:t xml:space="preserve">The authors have no possible interest on the title page, including financial, consultant, institutional and other relationships that might lead to bias or a conflict of interest. </w:t>
      </w:r>
    </w:p>
    <w:p w14:paraId="419B5706" w14:textId="77777777" w:rsidR="00A77B3E" w:rsidRDefault="00A77B3E">
      <w:pPr>
        <w:spacing w:line="360" w:lineRule="auto"/>
        <w:jc w:val="both"/>
      </w:pPr>
    </w:p>
    <w:p w14:paraId="4FD7D99D" w14:textId="14597A7B" w:rsidR="00A77B3E" w:rsidRDefault="00AF595A">
      <w:pPr>
        <w:spacing w:line="360" w:lineRule="auto"/>
        <w:jc w:val="both"/>
      </w:pPr>
      <w:r w:rsidRPr="00A24DF5">
        <w:rPr>
          <w:rFonts w:ascii="Book Antiqua" w:eastAsia="Book Antiqua" w:hAnsi="Book Antiqua" w:cs="Book Antiqua"/>
          <w:b/>
          <w:bCs/>
          <w:color w:val="000000"/>
        </w:rPr>
        <w:t>Data sharing statement:</w:t>
      </w:r>
      <w:r>
        <w:rPr>
          <w:rFonts w:ascii="Book Antiqua" w:eastAsia="Book Antiqua" w:hAnsi="Book Antiqua" w:cs="Book Antiqua"/>
          <w:b/>
          <w:bCs/>
          <w:color w:val="000000"/>
        </w:rPr>
        <w:t xml:space="preserve"> </w:t>
      </w:r>
      <w:r>
        <w:rPr>
          <w:rFonts w:ascii="Book Antiqua" w:eastAsia="Book Antiqua" w:hAnsi="Book Antiqua" w:cs="Book Antiqua"/>
          <w:color w:val="000000"/>
        </w:rPr>
        <w:t>Data cannot be shared publicly because of HIPAA regulations. Data are available from</w:t>
      </w:r>
      <w:r w:rsidR="00AF6C20">
        <w:rPr>
          <w:rFonts w:hint="eastAsia"/>
          <w:lang w:eastAsia="zh-CN"/>
        </w:rPr>
        <w:t xml:space="preserve"> </w:t>
      </w:r>
      <w:r>
        <w:rPr>
          <w:rFonts w:ascii="Book Antiqua" w:eastAsia="Book Antiqua" w:hAnsi="Book Antiqua" w:cs="Book Antiqua"/>
          <w:color w:val="000000"/>
        </w:rPr>
        <w:t xml:space="preserve">the Bozeman Health (contact </w:t>
      </w:r>
      <w:r>
        <w:rPr>
          <w:rFonts w:ascii="Book Antiqua" w:eastAsia="Book Antiqua" w:hAnsi="Book Antiqua" w:cs="Book Antiqua"/>
          <w:i/>
          <w:iCs/>
          <w:color w:val="000000"/>
        </w:rPr>
        <w:t>via</w:t>
      </w:r>
      <w:r>
        <w:rPr>
          <w:rFonts w:ascii="Book Antiqua" w:eastAsia="Book Antiqua" w:hAnsi="Book Antiqua" w:cs="Book Antiqua"/>
          <w:color w:val="000000"/>
        </w:rPr>
        <w:t xml:space="preserve"> phone or email) for researchers who meet the criteria</w:t>
      </w:r>
      <w:r w:rsidR="00AF6C20">
        <w:rPr>
          <w:rFonts w:hint="eastAsia"/>
          <w:lang w:eastAsia="zh-CN"/>
        </w:rPr>
        <w:t xml:space="preserve"> </w:t>
      </w:r>
      <w:r>
        <w:rPr>
          <w:rFonts w:ascii="Book Antiqua" w:eastAsia="Book Antiqua" w:hAnsi="Book Antiqua" w:cs="Book Antiqua"/>
          <w:color w:val="000000"/>
        </w:rPr>
        <w:t>for access to confidential data. The data underlying the results presented in the study are available from Bozeman</w:t>
      </w:r>
      <w:r w:rsidR="00AF6C20">
        <w:rPr>
          <w:rFonts w:hint="eastAsia"/>
          <w:lang w:eastAsia="zh-CN"/>
        </w:rPr>
        <w:t xml:space="preserve"> </w:t>
      </w:r>
      <w:r>
        <w:rPr>
          <w:rFonts w:ascii="Book Antiqua" w:eastAsia="Book Antiqua" w:hAnsi="Book Antiqua" w:cs="Book Antiqua"/>
          <w:color w:val="000000"/>
        </w:rPr>
        <w:t>Deaconess Hospital - (</w:t>
      </w:r>
      <w:hyperlink r:id="rId8" w:history="1">
        <w:r>
          <w:rPr>
            <w:rFonts w:ascii="Book Antiqua" w:eastAsia="Book Antiqua" w:hAnsi="Book Antiqua" w:cs="Book Antiqua"/>
            <w:color w:val="000000"/>
            <w:u w:val="single" w:color="0000EE"/>
          </w:rPr>
          <w:t>https://www.bozemanhealth.org/)</w:t>
        </w:r>
      </w:hyperlink>
      <w:r w:rsidR="00AF6C20">
        <w:rPr>
          <w:rFonts w:ascii="Book Antiqua" w:eastAsia="Book Antiqua" w:hAnsi="Book Antiqua" w:cs="Book Antiqua"/>
          <w:color w:val="000000"/>
          <w:u w:val="single" w:color="0000EE"/>
        </w:rPr>
        <w:t>.</w:t>
      </w:r>
    </w:p>
    <w:p w14:paraId="26C43BF2" w14:textId="77777777" w:rsidR="00A77B3E" w:rsidRDefault="00A77B3E">
      <w:pPr>
        <w:spacing w:line="360" w:lineRule="auto"/>
        <w:jc w:val="both"/>
      </w:pPr>
    </w:p>
    <w:p w14:paraId="513C7992" w14:textId="167DE579" w:rsidR="00A77B3E" w:rsidRDefault="00AF595A">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 xml:space="preserve">The guidelines of the </w:t>
      </w:r>
      <w:r w:rsidR="006405EA">
        <w:rPr>
          <w:rFonts w:ascii="Book Antiqua" w:eastAsia="Book Antiqua" w:hAnsi="Book Antiqua" w:cs="Book Antiqua"/>
          <w:color w:val="000000"/>
        </w:rPr>
        <w:t>STROBE</w:t>
      </w:r>
      <w:r>
        <w:rPr>
          <w:rFonts w:ascii="Book Antiqua" w:eastAsia="Book Antiqua" w:hAnsi="Book Antiqua" w:cs="Book Antiqua"/>
          <w:color w:val="000000"/>
        </w:rPr>
        <w:t xml:space="preserve"> statement have been adopted.</w:t>
      </w:r>
    </w:p>
    <w:p w14:paraId="1810BAE5" w14:textId="77777777" w:rsidR="00A77B3E" w:rsidRDefault="00A77B3E">
      <w:pPr>
        <w:spacing w:line="360" w:lineRule="auto"/>
        <w:jc w:val="both"/>
      </w:pPr>
    </w:p>
    <w:p w14:paraId="54DEA966" w14:textId="77777777" w:rsidR="00A77B3E" w:rsidRDefault="00AF59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158F75" w14:textId="77777777" w:rsidR="00A77B3E" w:rsidRDefault="00A77B3E">
      <w:pPr>
        <w:spacing w:line="360" w:lineRule="auto"/>
        <w:jc w:val="both"/>
      </w:pPr>
    </w:p>
    <w:p w14:paraId="3F2D80CD" w14:textId="77777777" w:rsidR="00A77B3E" w:rsidRDefault="00AF595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FB317B5" w14:textId="77777777" w:rsidR="00A77B3E" w:rsidRDefault="00AF595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A14F6D" w14:textId="77777777" w:rsidR="00A77B3E" w:rsidRDefault="00A77B3E">
      <w:pPr>
        <w:spacing w:line="360" w:lineRule="auto"/>
        <w:jc w:val="both"/>
      </w:pPr>
    </w:p>
    <w:p w14:paraId="5B70C5D0" w14:textId="77777777" w:rsidR="00A77B3E" w:rsidRDefault="00AF59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2022</w:t>
      </w:r>
    </w:p>
    <w:p w14:paraId="1061A5C4" w14:textId="77777777" w:rsidR="00A77B3E" w:rsidRDefault="00AF59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26, 2022</w:t>
      </w:r>
    </w:p>
    <w:p w14:paraId="0D210495" w14:textId="3E4EC787" w:rsidR="00A77B3E" w:rsidRDefault="00AF595A">
      <w:pPr>
        <w:spacing w:line="360" w:lineRule="auto"/>
        <w:jc w:val="both"/>
      </w:pPr>
      <w:r>
        <w:rPr>
          <w:rFonts w:ascii="Book Antiqua" w:eastAsia="Book Antiqua" w:hAnsi="Book Antiqua" w:cs="Book Antiqua"/>
          <w:b/>
          <w:color w:val="000000"/>
        </w:rPr>
        <w:t xml:space="preserve">Article in press: </w:t>
      </w:r>
    </w:p>
    <w:p w14:paraId="46B97A55" w14:textId="77777777" w:rsidR="00A77B3E" w:rsidRDefault="00A77B3E">
      <w:pPr>
        <w:spacing w:line="360" w:lineRule="auto"/>
        <w:jc w:val="both"/>
      </w:pPr>
    </w:p>
    <w:p w14:paraId="5496DD2E" w14:textId="77777777" w:rsidR="00A77B3E" w:rsidRDefault="00AF59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3AB0006F" w14:textId="77777777" w:rsidR="00A77B3E" w:rsidRDefault="00AF59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D0D6A2F" w14:textId="77777777" w:rsidR="00A77B3E" w:rsidRDefault="00AF595A">
      <w:pPr>
        <w:spacing w:line="360" w:lineRule="auto"/>
        <w:jc w:val="both"/>
      </w:pPr>
      <w:r>
        <w:rPr>
          <w:rFonts w:ascii="Book Antiqua" w:eastAsia="Book Antiqua" w:hAnsi="Book Antiqua" w:cs="Book Antiqua"/>
          <w:b/>
          <w:color w:val="000000"/>
        </w:rPr>
        <w:t>Peer-review report’s scientific quality classification</w:t>
      </w:r>
    </w:p>
    <w:p w14:paraId="56AF47F8" w14:textId="77777777" w:rsidR="00A77B3E" w:rsidRDefault="00AF595A">
      <w:pPr>
        <w:spacing w:line="360" w:lineRule="auto"/>
        <w:jc w:val="both"/>
      </w:pPr>
      <w:r>
        <w:rPr>
          <w:rFonts w:ascii="Book Antiqua" w:eastAsia="Book Antiqua" w:hAnsi="Book Antiqua" w:cs="Book Antiqua"/>
          <w:color w:val="000000"/>
        </w:rPr>
        <w:t>Grade A (Excellent): A</w:t>
      </w:r>
    </w:p>
    <w:p w14:paraId="1D68C618" w14:textId="77777777" w:rsidR="00A77B3E" w:rsidRDefault="00AF595A">
      <w:pPr>
        <w:spacing w:line="360" w:lineRule="auto"/>
        <w:jc w:val="both"/>
      </w:pPr>
      <w:r>
        <w:rPr>
          <w:rFonts w:ascii="Book Antiqua" w:eastAsia="Book Antiqua" w:hAnsi="Book Antiqua" w:cs="Book Antiqua"/>
          <w:color w:val="000000"/>
        </w:rPr>
        <w:t>Grade B (Very good): B</w:t>
      </w:r>
    </w:p>
    <w:p w14:paraId="578447C1" w14:textId="77777777" w:rsidR="00A77B3E" w:rsidRDefault="00AF595A">
      <w:pPr>
        <w:spacing w:line="360" w:lineRule="auto"/>
        <w:jc w:val="both"/>
      </w:pPr>
      <w:r>
        <w:rPr>
          <w:rFonts w:ascii="Book Antiqua" w:eastAsia="Book Antiqua" w:hAnsi="Book Antiqua" w:cs="Book Antiqua"/>
          <w:color w:val="000000"/>
        </w:rPr>
        <w:t>Grade C (Good): 0</w:t>
      </w:r>
    </w:p>
    <w:p w14:paraId="08C1AA6E" w14:textId="77777777" w:rsidR="00A77B3E" w:rsidRDefault="00AF595A">
      <w:pPr>
        <w:spacing w:line="360" w:lineRule="auto"/>
        <w:jc w:val="both"/>
      </w:pPr>
      <w:r>
        <w:rPr>
          <w:rFonts w:ascii="Book Antiqua" w:eastAsia="Book Antiqua" w:hAnsi="Book Antiqua" w:cs="Book Antiqua"/>
          <w:color w:val="000000"/>
        </w:rPr>
        <w:t>Grade D (Fair): 0</w:t>
      </w:r>
    </w:p>
    <w:p w14:paraId="08B40658" w14:textId="77777777" w:rsidR="00A77B3E" w:rsidRDefault="00AF595A">
      <w:pPr>
        <w:spacing w:line="360" w:lineRule="auto"/>
        <w:jc w:val="both"/>
      </w:pPr>
      <w:r>
        <w:rPr>
          <w:rFonts w:ascii="Book Antiqua" w:eastAsia="Book Antiqua" w:hAnsi="Book Antiqua" w:cs="Book Antiqua"/>
          <w:color w:val="000000"/>
        </w:rPr>
        <w:t>Grade E (Poor): 0</w:t>
      </w:r>
    </w:p>
    <w:p w14:paraId="7D642346" w14:textId="77777777" w:rsidR="00A77B3E" w:rsidRDefault="00A77B3E">
      <w:pPr>
        <w:spacing w:line="360" w:lineRule="auto"/>
        <w:jc w:val="both"/>
      </w:pPr>
    </w:p>
    <w:p w14:paraId="05AA354F" w14:textId="10540BC7" w:rsidR="00A77B3E" w:rsidRDefault="00AF595A">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Bugaj AM, Poland; </w:t>
      </w:r>
      <w:proofErr w:type="spellStart"/>
      <w:r>
        <w:rPr>
          <w:rFonts w:ascii="Book Antiqua" w:eastAsia="Book Antiqua" w:hAnsi="Book Antiqua" w:cs="Book Antiqua"/>
          <w:color w:val="000000"/>
        </w:rPr>
        <w:t>Giacomelli</w:t>
      </w:r>
      <w:proofErr w:type="spellEnd"/>
      <w:r>
        <w:rPr>
          <w:rFonts w:ascii="Book Antiqua" w:eastAsia="Book Antiqua" w:hAnsi="Book Antiqua" w:cs="Book Antiqua"/>
          <w:color w:val="000000"/>
        </w:rPr>
        <w:t xml:space="preserve"> L, Italy</w:t>
      </w:r>
      <w:r>
        <w:rPr>
          <w:rFonts w:ascii="Book Antiqua" w:eastAsia="Book Antiqua" w:hAnsi="Book Antiqua" w:cs="Book Antiqua"/>
          <w:b/>
          <w:color w:val="000000"/>
        </w:rPr>
        <w:t xml:space="preserve"> S-Editor: </w:t>
      </w:r>
      <w:r w:rsidR="00F92E08" w:rsidRPr="00F92E08">
        <w:rPr>
          <w:rFonts w:ascii="Book Antiqua" w:eastAsia="Book Antiqua" w:hAnsi="Book Antiqua" w:cs="Book Antiqua"/>
          <w:bCs/>
          <w:color w:val="000000"/>
        </w:rPr>
        <w:t>Gong ZM</w:t>
      </w:r>
      <w:r>
        <w:rPr>
          <w:rFonts w:ascii="Book Antiqua" w:eastAsia="Book Antiqua" w:hAnsi="Book Antiqua" w:cs="Book Antiqua"/>
          <w:b/>
          <w:color w:val="000000"/>
        </w:rPr>
        <w:t xml:space="preserve"> L-Editor:</w:t>
      </w:r>
      <w:r w:rsidR="00783F73">
        <w:rPr>
          <w:rFonts w:ascii="Book Antiqua" w:eastAsia="Book Antiqua" w:hAnsi="Book Antiqua" w:cs="Book Antiqua"/>
          <w:b/>
          <w:color w:val="000000"/>
        </w:rPr>
        <w:t xml:space="preserve"> </w:t>
      </w:r>
      <w:r w:rsidR="00783F73" w:rsidRPr="00783F73">
        <w:rPr>
          <w:rFonts w:ascii="Book Antiqua" w:eastAsia="Book Antiqua" w:hAnsi="Book Antiqua" w:cs="Book Antiqua"/>
          <w:color w:val="000000"/>
        </w:rPr>
        <w:t>A</w:t>
      </w:r>
      <w:r w:rsidR="00783F73">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83F73">
        <w:rPr>
          <w:rFonts w:ascii="Book Antiqua" w:eastAsia="Book Antiqua" w:hAnsi="Book Antiqua" w:cs="Book Antiqua"/>
          <w:b/>
          <w:color w:val="000000"/>
        </w:rPr>
        <w:t xml:space="preserve"> </w:t>
      </w:r>
      <w:r w:rsidR="00783F73" w:rsidRPr="00F92E08">
        <w:rPr>
          <w:rFonts w:ascii="Book Antiqua" w:eastAsia="Book Antiqua" w:hAnsi="Book Antiqua" w:cs="Book Antiqua"/>
          <w:bCs/>
          <w:color w:val="000000"/>
        </w:rPr>
        <w:t>Gong ZM</w:t>
      </w:r>
    </w:p>
    <w:p w14:paraId="5AE595F3" w14:textId="77777777" w:rsidR="00783F73" w:rsidRDefault="00783F73">
      <w:pPr>
        <w:spacing w:line="360" w:lineRule="auto"/>
        <w:jc w:val="both"/>
        <w:sectPr w:rsidR="00783F73">
          <w:pgSz w:w="12240" w:h="15840"/>
          <w:pgMar w:top="1440" w:right="1440" w:bottom="1440" w:left="1440" w:header="720" w:footer="720" w:gutter="0"/>
          <w:cols w:space="720"/>
          <w:docGrid w:linePitch="360"/>
        </w:sectPr>
      </w:pPr>
    </w:p>
    <w:p w14:paraId="6DCBDB5B" w14:textId="58AF8C61" w:rsidR="00A77B3E" w:rsidRDefault="00AF59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1A937BC" w14:textId="231ECFF5" w:rsidR="00401CED" w:rsidRDefault="00405F95">
      <w:pPr>
        <w:spacing w:line="360" w:lineRule="auto"/>
        <w:jc w:val="both"/>
      </w:pPr>
      <w:r w:rsidRPr="00405F95">
        <w:rPr>
          <w:noProof/>
          <w:lang w:eastAsia="zh-CN"/>
        </w:rPr>
        <w:drawing>
          <wp:inline distT="0" distB="0" distL="0" distR="0" wp14:anchorId="6A3B043E" wp14:editId="7D6BDC11">
            <wp:extent cx="5908301" cy="2714625"/>
            <wp:effectExtent l="0" t="0" r="0" b="0"/>
            <wp:docPr id="2" name="图片 2" descr="D:\稿件编辑\2023-01-08\79287-76510\79287\79287-Figures\7928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3-01-08\79287-76510\79287\79287-Figures\79287-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1513" cy="2716101"/>
                    </a:xfrm>
                    <a:prstGeom prst="rect">
                      <a:avLst/>
                    </a:prstGeom>
                    <a:noFill/>
                    <a:ln>
                      <a:noFill/>
                    </a:ln>
                  </pic:spPr>
                </pic:pic>
              </a:graphicData>
            </a:graphic>
          </wp:inline>
        </w:drawing>
      </w:r>
    </w:p>
    <w:p w14:paraId="40AB3316" w14:textId="7F01D5B9" w:rsidR="00A77B3E" w:rsidRDefault="00AF595A">
      <w:pPr>
        <w:spacing w:line="360" w:lineRule="auto"/>
        <w:jc w:val="both"/>
      </w:pPr>
      <w:r>
        <w:rPr>
          <w:rFonts w:ascii="Book Antiqua" w:eastAsia="Book Antiqua" w:hAnsi="Book Antiqua" w:cs="Book Antiqua"/>
          <w:b/>
          <w:bCs/>
          <w:color w:val="000000"/>
        </w:rPr>
        <w:t xml:space="preserve">Figure 1 Perioperative </w:t>
      </w:r>
      <w:r w:rsidR="00F92E08">
        <w:rPr>
          <w:rFonts w:ascii="Book Antiqua" w:eastAsia="Book Antiqua" w:hAnsi="Book Antiqua" w:cs="Book Antiqua"/>
          <w:b/>
          <w:bCs/>
          <w:color w:val="000000"/>
        </w:rPr>
        <w:t>surgical m</w:t>
      </w:r>
      <w:r>
        <w:rPr>
          <w:rFonts w:ascii="Book Antiqua" w:eastAsia="Book Antiqua" w:hAnsi="Book Antiqua" w:cs="Book Antiqua"/>
          <w:b/>
          <w:bCs/>
          <w:color w:val="000000"/>
        </w:rPr>
        <w:t>odel (</w:t>
      </w:r>
      <w:r w:rsidR="00F92E08">
        <w:rPr>
          <w:rFonts w:ascii="Book Antiqua" w:eastAsia="Book Antiqua" w:hAnsi="Book Antiqua" w:cs="Book Antiqua"/>
          <w:b/>
          <w:bCs/>
          <w:color w:val="000000"/>
        </w:rPr>
        <w:t>a</w:t>
      </w:r>
      <w:r>
        <w:rPr>
          <w:rFonts w:ascii="Book Antiqua" w:eastAsia="Book Antiqua" w:hAnsi="Book Antiqua" w:cs="Book Antiqua"/>
          <w:b/>
          <w:bCs/>
          <w:color w:val="000000"/>
        </w:rPr>
        <w:t xml:space="preserve">dapted </w:t>
      </w:r>
      <w:proofErr w:type="gramStart"/>
      <w:r>
        <w:rPr>
          <w:rFonts w:ascii="Book Antiqua" w:eastAsia="Book Antiqua" w:hAnsi="Book Antiqua" w:cs="Book Antiqua"/>
          <w:b/>
          <w:bCs/>
          <w:color w:val="000000"/>
        </w:rPr>
        <w:t>from</w:t>
      </w:r>
      <w:r>
        <w:rPr>
          <w:rFonts w:ascii="Book Antiqua" w:eastAsia="Book Antiqua" w:hAnsi="Book Antiqua" w:cs="Book Antiqua"/>
          <w:b/>
          <w:bCs/>
          <w:color w:val="000000"/>
          <w:szCs w:val="30"/>
          <w:vertAlign w:val="superscript"/>
        </w:rPr>
        <w:t>[</w:t>
      </w:r>
      <w:proofErr w:type="gramEnd"/>
      <w:r>
        <w:rPr>
          <w:rFonts w:ascii="Book Antiqua" w:eastAsia="Book Antiqua" w:hAnsi="Book Antiqua" w:cs="Book Antiqua"/>
          <w:b/>
          <w:bCs/>
          <w:color w:val="000000"/>
          <w:szCs w:val="30"/>
          <w:vertAlign w:val="superscript"/>
        </w:rPr>
        <w:t>4]</w:t>
      </w:r>
      <w:r>
        <w:rPr>
          <w:rFonts w:ascii="Book Antiqua" w:eastAsia="Book Antiqua" w:hAnsi="Book Antiqua" w:cs="Book Antiqua"/>
          <w:b/>
          <w:bCs/>
          <w:color w:val="000000"/>
        </w:rPr>
        <w:t>)</w:t>
      </w:r>
      <w:r w:rsidR="00F92E08">
        <w:rPr>
          <w:rFonts w:ascii="Book Antiqua" w:eastAsia="Book Antiqua" w:hAnsi="Book Antiqua" w:cs="Book Antiqua"/>
          <w:b/>
          <w:bCs/>
          <w:color w:val="000000"/>
        </w:rPr>
        <w:t>.</w:t>
      </w:r>
    </w:p>
    <w:p w14:paraId="02D3A4BE" w14:textId="1D398939" w:rsidR="00A77B3E" w:rsidRDefault="00F92E08">
      <w:pPr>
        <w:spacing w:line="360" w:lineRule="auto"/>
        <w:jc w:val="both"/>
      </w:pPr>
      <w:r>
        <w:br w:type="page"/>
      </w:r>
      <w:r w:rsidR="00405F95" w:rsidRPr="00405F95">
        <w:rPr>
          <w:noProof/>
          <w:lang w:eastAsia="zh-CN"/>
        </w:rPr>
        <w:lastRenderedPageBreak/>
        <w:drawing>
          <wp:inline distT="0" distB="0" distL="0" distR="0" wp14:anchorId="15098BF0" wp14:editId="0C526ACD">
            <wp:extent cx="5943600" cy="5999148"/>
            <wp:effectExtent l="0" t="0" r="0" b="0"/>
            <wp:docPr id="8" name="图片 8" descr="D:\稿件编辑\2023-01-08\79287-76510\79287\79287-Figures\7928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3-01-08\79287-76510\79287\79287-Figures\79287-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99148"/>
                    </a:xfrm>
                    <a:prstGeom prst="rect">
                      <a:avLst/>
                    </a:prstGeom>
                    <a:noFill/>
                    <a:ln>
                      <a:noFill/>
                    </a:ln>
                  </pic:spPr>
                </pic:pic>
              </a:graphicData>
            </a:graphic>
          </wp:inline>
        </w:drawing>
      </w:r>
    </w:p>
    <w:p w14:paraId="0C63C705" w14:textId="5C3801EC" w:rsidR="00A77B3E"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CONSORT diagram for </w:t>
      </w:r>
      <w:r w:rsidR="00F92E08"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case-control study</w:t>
      </w:r>
      <w:r w:rsidR="00F92E08">
        <w:rPr>
          <w:rFonts w:ascii="Book Antiqua" w:eastAsia="Book Antiqua" w:hAnsi="Book Antiqua" w:cs="Book Antiqua"/>
          <w:b/>
          <w:bCs/>
          <w:color w:val="000000"/>
        </w:rPr>
        <w:t>.</w:t>
      </w:r>
    </w:p>
    <w:p w14:paraId="6BAEB384" w14:textId="1782A266" w:rsidR="00F92E08" w:rsidRDefault="00F92E08">
      <w:pPr>
        <w:spacing w:line="360" w:lineRule="auto"/>
        <w:jc w:val="both"/>
      </w:pPr>
      <w:r>
        <w:br w:type="page"/>
      </w:r>
      <w:r w:rsidR="00405F95" w:rsidRPr="00405F95">
        <w:rPr>
          <w:noProof/>
          <w:lang w:eastAsia="zh-CN"/>
        </w:rPr>
        <w:lastRenderedPageBreak/>
        <w:drawing>
          <wp:inline distT="0" distB="0" distL="0" distR="0" wp14:anchorId="78897BB9" wp14:editId="4C5A96F6">
            <wp:extent cx="5878286" cy="3343275"/>
            <wp:effectExtent l="0" t="0" r="0" b="0"/>
            <wp:docPr id="9" name="图片 9" descr="D:\稿件编辑\2023-01-08\79287-76510\79287\79287-Figures\7928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3-01-08\79287-76510\79287\79287-Figures\79287-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1581" cy="3345149"/>
                    </a:xfrm>
                    <a:prstGeom prst="rect">
                      <a:avLst/>
                    </a:prstGeom>
                    <a:noFill/>
                    <a:ln>
                      <a:noFill/>
                    </a:ln>
                  </pic:spPr>
                </pic:pic>
              </a:graphicData>
            </a:graphic>
          </wp:inline>
        </w:drawing>
      </w:r>
    </w:p>
    <w:p w14:paraId="6AD6D4EC" w14:textId="6A880548" w:rsidR="00A77B3E"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3 </w:t>
      </w:r>
      <w:r w:rsidR="00F92E08" w:rsidRPr="00F92E08">
        <w:rPr>
          <w:rFonts w:ascii="Book Antiqua" w:eastAsia="Book Antiqua" w:hAnsi="Book Antiqua" w:cs="Book Antiqua"/>
          <w:b/>
          <w:bCs/>
          <w:color w:val="000000"/>
        </w:rPr>
        <w:t>Length of stay</w:t>
      </w:r>
      <w:r>
        <w:rPr>
          <w:rFonts w:ascii="Book Antiqua" w:eastAsia="Book Antiqua" w:hAnsi="Book Antiqua" w:cs="Book Antiqua"/>
          <w:b/>
          <w:bCs/>
          <w:color w:val="000000"/>
        </w:rPr>
        <w:t xml:space="preserve"> distributional difference between the </w:t>
      </w:r>
      <w:r w:rsidR="00F92E08" w:rsidRPr="00F92E08">
        <w:rPr>
          <w:rFonts w:ascii="Book Antiqua" w:eastAsia="Book Antiqua" w:hAnsi="Book Antiqua" w:cs="Book Antiqua"/>
          <w:b/>
          <w:bCs/>
          <w:color w:val="000000"/>
        </w:rPr>
        <w:t>Control-1</w:t>
      </w:r>
      <w:r w:rsidR="00F92E08">
        <w:rPr>
          <w:rFonts w:ascii="Book Antiqua" w:eastAsia="Book Antiqua" w:hAnsi="Book Antiqua" w:cs="Book Antiqua"/>
          <w:b/>
          <w:bCs/>
          <w:color w:val="000000"/>
        </w:rPr>
        <w:t xml:space="preserve"> </w:t>
      </w:r>
      <w:r w:rsidR="00F92E08" w:rsidRPr="00F92E08">
        <w:rPr>
          <w:rFonts w:ascii="Book Antiqua" w:eastAsia="Book Antiqua" w:hAnsi="Book Antiqua" w:cs="Book Antiqua"/>
          <w:b/>
          <w:bCs/>
          <w:color w:val="000000"/>
        </w:rPr>
        <w:t>perioperative surgical home</w:t>
      </w:r>
      <w:r w:rsidR="001763E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r w:rsidR="00F92E08"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w:t>
      </w:r>
      <w:r w:rsidR="00F92E08">
        <w:rPr>
          <w:rFonts w:ascii="Book Antiqua" w:eastAsia="Book Antiqua" w:hAnsi="Book Antiqua" w:cs="Book Antiqua"/>
          <w:b/>
          <w:bCs/>
          <w:color w:val="000000"/>
        </w:rPr>
        <w:t>.</w:t>
      </w:r>
      <w:r w:rsidR="00E379BF">
        <w:rPr>
          <w:rFonts w:ascii="Book Antiqua" w:eastAsia="Book Antiqua" w:hAnsi="Book Antiqua" w:cs="Book Antiqua"/>
          <w:b/>
          <w:bCs/>
          <w:color w:val="000000"/>
        </w:rPr>
        <w:t xml:space="preserve"> </w:t>
      </w:r>
      <w:r w:rsidR="00E379BF" w:rsidRPr="00CB4A9F">
        <w:rPr>
          <w:rFonts w:ascii="Book Antiqua" w:eastAsia="Book Antiqua" w:hAnsi="Book Antiqua" w:cs="Book Antiqua"/>
          <w:bCs/>
          <w:color w:val="000000"/>
        </w:rPr>
        <w:t xml:space="preserve">PSH: </w:t>
      </w:r>
      <w:r w:rsidR="00E379BF" w:rsidRPr="00CB4A9F">
        <w:rPr>
          <w:rFonts w:ascii="Book Antiqua" w:eastAsia="Book Antiqua" w:hAnsi="Book Antiqua" w:cs="Book Antiqua"/>
          <w:color w:val="000000"/>
          <w:szCs w:val="22"/>
        </w:rPr>
        <w:t>Perioperative surgical home</w:t>
      </w:r>
      <w:r w:rsidR="00E379BF">
        <w:rPr>
          <w:rFonts w:ascii="Book Antiqua" w:eastAsia="Book Antiqua" w:hAnsi="Book Antiqua" w:cs="Book Antiqua"/>
          <w:color w:val="000000"/>
          <w:szCs w:val="22"/>
        </w:rPr>
        <w:t xml:space="preserve">; C2-PSH: </w:t>
      </w:r>
      <w:r w:rsidR="00E379BF" w:rsidRPr="00CB4A9F">
        <w:rPr>
          <w:rFonts w:ascii="Book Antiqua" w:eastAsia="Book Antiqua" w:hAnsi="Book Antiqua" w:cs="Book Antiqua"/>
          <w:color w:val="000000"/>
          <w:szCs w:val="22"/>
        </w:rPr>
        <w:t xml:space="preserve">Control-2 </w:t>
      </w:r>
      <w:r w:rsidR="00E379BF" w:rsidRPr="00CB4A9F">
        <w:rPr>
          <w:rFonts w:ascii="Book Antiqua" w:eastAsia="Book Antiqua" w:hAnsi="Book Antiqua" w:cs="Book Antiqua"/>
          <w:bCs/>
          <w:color w:val="000000"/>
        </w:rPr>
        <w:t>PSH</w:t>
      </w:r>
      <w:r w:rsidR="00E379BF">
        <w:rPr>
          <w:rFonts w:ascii="Book Antiqua" w:eastAsia="Book Antiqua" w:hAnsi="Book Antiqua" w:cs="Book Antiqua"/>
          <w:bCs/>
          <w:color w:val="000000"/>
        </w:rPr>
        <w:t>.</w:t>
      </w:r>
    </w:p>
    <w:p w14:paraId="363DD17F" w14:textId="7AB67C62" w:rsidR="001763E2" w:rsidRDefault="001763E2">
      <w:pPr>
        <w:spacing w:line="360" w:lineRule="auto"/>
        <w:jc w:val="both"/>
      </w:pPr>
      <w:r>
        <w:rPr>
          <w:rFonts w:ascii="Book Antiqua" w:eastAsia="Book Antiqua" w:hAnsi="Book Antiqua" w:cs="Book Antiqua"/>
          <w:b/>
          <w:bCs/>
          <w:color w:val="000000"/>
        </w:rPr>
        <w:br w:type="page"/>
      </w:r>
      <w:r w:rsidR="00405F95" w:rsidRPr="00405F95">
        <w:rPr>
          <w:rFonts w:ascii="Book Antiqua" w:eastAsia="Book Antiqua" w:hAnsi="Book Antiqua" w:cs="Book Antiqua"/>
          <w:b/>
          <w:bCs/>
          <w:noProof/>
          <w:color w:val="000000"/>
          <w:lang w:eastAsia="zh-CN"/>
        </w:rPr>
        <w:lastRenderedPageBreak/>
        <w:drawing>
          <wp:inline distT="0" distB="0" distL="0" distR="0" wp14:anchorId="4F903A5A" wp14:editId="2ECC60F3">
            <wp:extent cx="5908385" cy="3324225"/>
            <wp:effectExtent l="0" t="0" r="0" b="0"/>
            <wp:docPr id="10" name="图片 10" descr="D:\稿件编辑\2023-01-08\79287-76510\79287\79287-Figures\7928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3-01-08\79287-76510\79287\79287-Figures\79287-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686" cy="3326082"/>
                    </a:xfrm>
                    <a:prstGeom prst="rect">
                      <a:avLst/>
                    </a:prstGeom>
                    <a:noFill/>
                    <a:ln>
                      <a:noFill/>
                    </a:ln>
                  </pic:spPr>
                </pic:pic>
              </a:graphicData>
            </a:graphic>
          </wp:inline>
        </w:drawing>
      </w:r>
    </w:p>
    <w:p w14:paraId="5E0130A7" w14:textId="77777777" w:rsidR="00D13DC3" w:rsidRPr="004A536A" w:rsidRDefault="00AF595A" w:rsidP="00D13DC3">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Discharge disposition and readmission between the </w:t>
      </w:r>
      <w:r w:rsidR="001763E2" w:rsidRPr="00F92E08">
        <w:rPr>
          <w:rFonts w:ascii="Book Antiqua" w:eastAsia="Book Antiqua" w:hAnsi="Book Antiqua" w:cs="Book Antiqua"/>
          <w:b/>
          <w:bCs/>
          <w:color w:val="000000"/>
        </w:rPr>
        <w:t>Control-1</w:t>
      </w:r>
      <w:r w:rsidR="001763E2">
        <w:rPr>
          <w:rFonts w:ascii="Book Antiqua" w:eastAsia="Book Antiqua" w:hAnsi="Book Antiqua" w:cs="Book Antiqua"/>
          <w:b/>
          <w:bCs/>
          <w:color w:val="000000"/>
        </w:rPr>
        <w:t xml:space="preserve"> </w:t>
      </w:r>
      <w:r w:rsidR="001763E2"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 and </w:t>
      </w:r>
      <w:r w:rsidR="001763E2" w:rsidRPr="001763E2">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w:t>
      </w:r>
      <w:r w:rsidR="001763E2">
        <w:rPr>
          <w:rFonts w:ascii="Book Antiqua" w:eastAsia="Book Antiqua" w:hAnsi="Book Antiqua" w:cs="Book Antiqua"/>
          <w:b/>
          <w:bCs/>
          <w:color w:val="000000"/>
        </w:rPr>
        <w:t>.</w:t>
      </w:r>
      <w:r w:rsidR="00D13DC3">
        <w:rPr>
          <w:rFonts w:ascii="Book Antiqua" w:eastAsia="Book Antiqua" w:hAnsi="Book Antiqua" w:cs="Book Antiqua"/>
          <w:b/>
          <w:bCs/>
          <w:color w:val="000000"/>
        </w:rPr>
        <w:t xml:space="preserve"> </w:t>
      </w:r>
      <w:r w:rsidR="00D13DC3" w:rsidRPr="00CB4A9F">
        <w:rPr>
          <w:rFonts w:ascii="Book Antiqua" w:eastAsia="Book Antiqua" w:hAnsi="Book Antiqua" w:cs="Book Antiqua"/>
          <w:bCs/>
          <w:color w:val="000000"/>
        </w:rPr>
        <w:t xml:space="preserve">PSH: </w:t>
      </w:r>
      <w:r w:rsidR="00D13DC3" w:rsidRPr="00CB4A9F">
        <w:rPr>
          <w:rFonts w:ascii="Book Antiqua" w:eastAsia="Book Antiqua" w:hAnsi="Book Antiqua" w:cs="Book Antiqua"/>
          <w:color w:val="000000"/>
          <w:szCs w:val="22"/>
        </w:rPr>
        <w:t>Perioperative surgical home</w:t>
      </w:r>
      <w:r w:rsidR="00D13DC3">
        <w:rPr>
          <w:rFonts w:ascii="Book Antiqua" w:eastAsia="Book Antiqua" w:hAnsi="Book Antiqua" w:cs="Book Antiqua"/>
          <w:color w:val="000000"/>
          <w:szCs w:val="22"/>
        </w:rPr>
        <w:t xml:space="preserve">; C2-PSH: </w:t>
      </w:r>
      <w:r w:rsidR="00D13DC3" w:rsidRPr="00CB4A9F">
        <w:rPr>
          <w:rFonts w:ascii="Book Antiqua" w:eastAsia="Book Antiqua" w:hAnsi="Book Antiqua" w:cs="Book Antiqua"/>
          <w:color w:val="000000"/>
          <w:szCs w:val="22"/>
        </w:rPr>
        <w:t xml:space="preserve">Control-2 </w:t>
      </w:r>
      <w:r w:rsidR="00D13DC3" w:rsidRPr="00CB4A9F">
        <w:rPr>
          <w:rFonts w:ascii="Book Antiqua" w:eastAsia="Book Antiqua" w:hAnsi="Book Antiqua" w:cs="Book Antiqua"/>
          <w:bCs/>
          <w:color w:val="000000"/>
        </w:rPr>
        <w:t>PSH</w:t>
      </w:r>
      <w:r w:rsidR="00D13DC3">
        <w:rPr>
          <w:rFonts w:ascii="Book Antiqua" w:eastAsia="Book Antiqua" w:hAnsi="Book Antiqua" w:cs="Book Antiqua"/>
          <w:bCs/>
          <w:color w:val="000000"/>
        </w:rPr>
        <w:t>.</w:t>
      </w:r>
    </w:p>
    <w:p w14:paraId="4EB344DB" w14:textId="16BCA48B" w:rsidR="00A77B3E" w:rsidRDefault="00A77B3E">
      <w:pPr>
        <w:spacing w:line="360" w:lineRule="auto"/>
        <w:jc w:val="both"/>
        <w:rPr>
          <w:rFonts w:ascii="Book Antiqua" w:eastAsia="Book Antiqua" w:hAnsi="Book Antiqua" w:cs="Book Antiqua"/>
          <w:b/>
          <w:bCs/>
          <w:color w:val="000000"/>
        </w:rPr>
      </w:pPr>
    </w:p>
    <w:p w14:paraId="390E0E91" w14:textId="10495F1B" w:rsidR="001763E2" w:rsidRDefault="001763E2">
      <w:pPr>
        <w:spacing w:line="360" w:lineRule="auto"/>
        <w:jc w:val="both"/>
      </w:pPr>
      <w:r>
        <w:rPr>
          <w:rFonts w:ascii="Book Antiqua" w:eastAsia="Book Antiqua" w:hAnsi="Book Antiqua" w:cs="Book Antiqua"/>
          <w:b/>
          <w:bCs/>
          <w:color w:val="000000"/>
        </w:rPr>
        <w:br w:type="page"/>
      </w:r>
      <w:r w:rsidR="00405F95" w:rsidRPr="00405F95">
        <w:rPr>
          <w:rFonts w:ascii="Book Antiqua" w:eastAsia="Book Antiqua" w:hAnsi="Book Antiqua" w:cs="Book Antiqua"/>
          <w:b/>
          <w:bCs/>
          <w:noProof/>
          <w:color w:val="000000"/>
          <w:lang w:eastAsia="zh-CN"/>
        </w:rPr>
        <w:lastRenderedPageBreak/>
        <w:drawing>
          <wp:inline distT="0" distB="0" distL="0" distR="0" wp14:anchorId="266F87A6" wp14:editId="6BCD367F">
            <wp:extent cx="5997830" cy="3295650"/>
            <wp:effectExtent l="0" t="0" r="0" b="0"/>
            <wp:docPr id="11" name="图片 11" descr="D:\稿件编辑\2023-01-08\79287-76510\79287\79287-Figures\7928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3-01-08\79287-76510\79287\79287-Figures\79287-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3558" cy="3298798"/>
                    </a:xfrm>
                    <a:prstGeom prst="rect">
                      <a:avLst/>
                    </a:prstGeom>
                    <a:noFill/>
                    <a:ln>
                      <a:noFill/>
                    </a:ln>
                  </pic:spPr>
                </pic:pic>
              </a:graphicData>
            </a:graphic>
          </wp:inline>
        </w:drawing>
      </w:r>
    </w:p>
    <w:p w14:paraId="4E655C1A" w14:textId="57F38CA1" w:rsidR="00A77B3E"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5 </w:t>
      </w:r>
      <w:r w:rsidR="00F92E08" w:rsidRPr="00F92E08">
        <w:rPr>
          <w:rFonts w:ascii="Book Antiqua" w:eastAsia="Book Antiqua" w:hAnsi="Book Antiqua" w:cs="Book Antiqua"/>
          <w:b/>
          <w:bCs/>
          <w:color w:val="000000"/>
        </w:rPr>
        <w:t>Length of stay</w:t>
      </w:r>
      <w:r>
        <w:rPr>
          <w:rFonts w:ascii="Book Antiqua" w:eastAsia="Book Antiqua" w:hAnsi="Book Antiqua" w:cs="Book Antiqua"/>
          <w:b/>
          <w:bCs/>
          <w:color w:val="000000"/>
        </w:rPr>
        <w:t xml:space="preserve"> distributional difference between </w:t>
      </w:r>
      <w:r w:rsidR="001763E2" w:rsidRPr="00F92E08">
        <w:rPr>
          <w:rFonts w:ascii="Book Antiqua" w:eastAsia="Book Antiqua" w:hAnsi="Book Antiqua" w:cs="Book Antiqua"/>
          <w:b/>
          <w:bCs/>
          <w:color w:val="000000"/>
        </w:rPr>
        <w:t>Control-</w:t>
      </w:r>
      <w:r w:rsidR="001763E2">
        <w:rPr>
          <w:rFonts w:ascii="Book Antiqua" w:eastAsia="Book Antiqua" w:hAnsi="Book Antiqua" w:cs="Book Antiqua"/>
          <w:b/>
          <w:bCs/>
          <w:color w:val="000000"/>
        </w:rPr>
        <w:t xml:space="preserve">2 </w:t>
      </w:r>
      <w:r w:rsidR="001763E2"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and </w:t>
      </w:r>
      <w:r w:rsidR="001763E2" w:rsidRPr="001763E2">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w:t>
      </w:r>
      <w:r w:rsidR="001763E2">
        <w:rPr>
          <w:rFonts w:ascii="Book Antiqua" w:eastAsia="Book Antiqua" w:hAnsi="Book Antiqua" w:cs="Book Antiqua"/>
          <w:b/>
          <w:bCs/>
          <w:color w:val="000000"/>
        </w:rPr>
        <w:t>.</w:t>
      </w:r>
      <w:r w:rsidR="00C00994">
        <w:rPr>
          <w:rFonts w:ascii="Book Antiqua" w:eastAsia="Book Antiqua" w:hAnsi="Book Antiqua" w:cs="Book Antiqua"/>
          <w:b/>
          <w:bCs/>
          <w:color w:val="000000"/>
        </w:rPr>
        <w:t xml:space="preserve"> </w:t>
      </w:r>
      <w:r w:rsidR="00C00994" w:rsidRPr="00CB4A9F">
        <w:rPr>
          <w:rFonts w:ascii="Book Antiqua" w:eastAsia="Book Antiqua" w:hAnsi="Book Antiqua" w:cs="Book Antiqua"/>
          <w:bCs/>
          <w:color w:val="000000"/>
        </w:rPr>
        <w:t xml:space="preserve">PSH: </w:t>
      </w:r>
      <w:r w:rsidR="00C00994" w:rsidRPr="00CB4A9F">
        <w:rPr>
          <w:rFonts w:ascii="Book Antiqua" w:eastAsia="Book Antiqua" w:hAnsi="Book Antiqua" w:cs="Book Antiqua"/>
          <w:color w:val="000000"/>
          <w:szCs w:val="22"/>
        </w:rPr>
        <w:t>Perioperative surgical home</w:t>
      </w:r>
      <w:r w:rsidR="00C00994">
        <w:rPr>
          <w:rFonts w:ascii="Book Antiqua" w:eastAsia="Book Antiqua" w:hAnsi="Book Antiqua" w:cs="Book Antiqua"/>
          <w:color w:val="000000"/>
          <w:szCs w:val="22"/>
        </w:rPr>
        <w:t xml:space="preserve">; C2-PSH: </w:t>
      </w:r>
      <w:r w:rsidR="00C00994" w:rsidRPr="00CB4A9F">
        <w:rPr>
          <w:rFonts w:ascii="Book Antiqua" w:eastAsia="Book Antiqua" w:hAnsi="Book Antiqua" w:cs="Book Antiqua"/>
          <w:color w:val="000000"/>
          <w:szCs w:val="22"/>
        </w:rPr>
        <w:t xml:space="preserve">Control-2 </w:t>
      </w:r>
      <w:r w:rsidR="00C00994" w:rsidRPr="00CB4A9F">
        <w:rPr>
          <w:rFonts w:ascii="Book Antiqua" w:eastAsia="Book Antiqua" w:hAnsi="Book Antiqua" w:cs="Book Antiqua"/>
          <w:bCs/>
          <w:color w:val="000000"/>
        </w:rPr>
        <w:t>PSH</w:t>
      </w:r>
      <w:r w:rsidR="00C00994">
        <w:rPr>
          <w:rFonts w:ascii="Book Antiqua" w:eastAsia="Book Antiqua" w:hAnsi="Book Antiqua" w:cs="Book Antiqua"/>
          <w:bCs/>
          <w:color w:val="000000"/>
        </w:rPr>
        <w:t>.</w:t>
      </w:r>
    </w:p>
    <w:p w14:paraId="3E3EB092" w14:textId="3EFA30B2" w:rsidR="001763E2" w:rsidRDefault="001763E2">
      <w:pPr>
        <w:spacing w:line="360" w:lineRule="auto"/>
        <w:jc w:val="both"/>
      </w:pPr>
      <w:r>
        <w:rPr>
          <w:rFonts w:ascii="Book Antiqua" w:eastAsia="Book Antiqua" w:hAnsi="Book Antiqua" w:cs="Book Antiqua"/>
          <w:b/>
          <w:bCs/>
          <w:color w:val="000000"/>
        </w:rPr>
        <w:br w:type="page"/>
      </w:r>
      <w:r w:rsidR="00405F95" w:rsidRPr="00405F95">
        <w:rPr>
          <w:rFonts w:ascii="Book Antiqua" w:eastAsia="Book Antiqua" w:hAnsi="Book Antiqua" w:cs="Book Antiqua"/>
          <w:b/>
          <w:bCs/>
          <w:noProof/>
          <w:color w:val="000000"/>
          <w:lang w:eastAsia="zh-CN"/>
        </w:rPr>
        <w:lastRenderedPageBreak/>
        <w:drawing>
          <wp:inline distT="0" distB="0" distL="0" distR="0" wp14:anchorId="41F312B3" wp14:editId="71E5900B">
            <wp:extent cx="5917406" cy="3381375"/>
            <wp:effectExtent l="0" t="0" r="0" b="0"/>
            <wp:docPr id="12" name="图片 12" descr="D:\稿件编辑\2023-01-08\79287-76510\79287\79287-Figures\79287-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3-01-08\79287-76510\79287\79287-Figures\79287-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1246" cy="3383569"/>
                    </a:xfrm>
                    <a:prstGeom prst="rect">
                      <a:avLst/>
                    </a:prstGeom>
                    <a:noFill/>
                    <a:ln>
                      <a:noFill/>
                    </a:ln>
                  </pic:spPr>
                </pic:pic>
              </a:graphicData>
            </a:graphic>
          </wp:inline>
        </w:drawing>
      </w:r>
    </w:p>
    <w:p w14:paraId="218B236B" w14:textId="1FF7FEB2" w:rsidR="00A77B3E" w:rsidRPr="004A536A" w:rsidRDefault="00AF595A" w:rsidP="004A536A">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6 Discharge disposition and readmission between the </w:t>
      </w:r>
      <w:r w:rsidR="001763E2" w:rsidRPr="00F92E08">
        <w:rPr>
          <w:rFonts w:ascii="Book Antiqua" w:eastAsia="Book Antiqua" w:hAnsi="Book Antiqua" w:cs="Book Antiqua"/>
          <w:b/>
          <w:bCs/>
          <w:color w:val="000000"/>
        </w:rPr>
        <w:t>Control-</w:t>
      </w:r>
      <w:r w:rsidR="001763E2">
        <w:rPr>
          <w:rFonts w:ascii="Book Antiqua" w:eastAsia="Book Antiqua" w:hAnsi="Book Antiqua" w:cs="Book Antiqua"/>
          <w:b/>
          <w:bCs/>
          <w:color w:val="000000"/>
        </w:rPr>
        <w:t xml:space="preserve">2 </w:t>
      </w:r>
      <w:r w:rsidR="001763E2"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 and </w:t>
      </w:r>
      <w:r w:rsidR="001763E2" w:rsidRPr="001763E2">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w:t>
      </w:r>
      <w:r w:rsidRPr="004A536A">
        <w:rPr>
          <w:rFonts w:ascii="Book Antiqua" w:eastAsia="Book Antiqua" w:hAnsi="Book Antiqua" w:cs="Book Antiqua"/>
          <w:b/>
          <w:bCs/>
          <w:color w:val="000000"/>
        </w:rPr>
        <w:t>cohort</w:t>
      </w:r>
      <w:r w:rsidR="001763E2">
        <w:rPr>
          <w:rFonts w:ascii="Book Antiqua" w:eastAsia="Book Antiqua" w:hAnsi="Book Antiqua" w:cs="Book Antiqua"/>
          <w:b/>
          <w:bCs/>
          <w:color w:val="000000"/>
        </w:rPr>
        <w:t>.</w:t>
      </w:r>
      <w:r w:rsidR="00CB4A9F">
        <w:rPr>
          <w:rFonts w:ascii="Book Antiqua" w:eastAsia="Book Antiqua" w:hAnsi="Book Antiqua" w:cs="Book Antiqua"/>
          <w:b/>
          <w:bCs/>
          <w:color w:val="000000"/>
        </w:rPr>
        <w:t xml:space="preserve"> </w:t>
      </w:r>
      <w:r w:rsidR="00CB4A9F" w:rsidRPr="00CB4A9F">
        <w:rPr>
          <w:rFonts w:ascii="Book Antiqua" w:eastAsia="Book Antiqua" w:hAnsi="Book Antiqua" w:cs="Book Antiqua"/>
          <w:bCs/>
          <w:color w:val="000000"/>
        </w:rPr>
        <w:t xml:space="preserve">PSH: </w:t>
      </w:r>
      <w:r w:rsidR="00CB4A9F" w:rsidRPr="00CB4A9F">
        <w:rPr>
          <w:rFonts w:ascii="Book Antiqua" w:eastAsia="Book Antiqua" w:hAnsi="Book Antiqua" w:cs="Book Antiqua"/>
          <w:color w:val="000000"/>
          <w:szCs w:val="22"/>
        </w:rPr>
        <w:t>Perioperative surgical home</w:t>
      </w:r>
      <w:r w:rsidR="00CB4A9F">
        <w:rPr>
          <w:rFonts w:ascii="Book Antiqua" w:eastAsia="Book Antiqua" w:hAnsi="Book Antiqua" w:cs="Book Antiqua"/>
          <w:color w:val="000000"/>
          <w:szCs w:val="22"/>
        </w:rPr>
        <w:t xml:space="preserve">; C2-PSH: </w:t>
      </w:r>
      <w:r w:rsidR="00CB4A9F" w:rsidRPr="00CB4A9F">
        <w:rPr>
          <w:rFonts w:ascii="Book Antiqua" w:eastAsia="Book Antiqua" w:hAnsi="Book Antiqua" w:cs="Book Antiqua"/>
          <w:color w:val="000000"/>
          <w:szCs w:val="22"/>
        </w:rPr>
        <w:t xml:space="preserve">Control-2 </w:t>
      </w:r>
      <w:r w:rsidR="00CB4A9F" w:rsidRPr="00CB4A9F">
        <w:rPr>
          <w:rFonts w:ascii="Book Antiqua" w:eastAsia="Book Antiqua" w:hAnsi="Book Antiqua" w:cs="Book Antiqua"/>
          <w:bCs/>
          <w:color w:val="000000"/>
        </w:rPr>
        <w:t>PSH</w:t>
      </w:r>
      <w:r w:rsidR="00CB4A9F">
        <w:rPr>
          <w:rFonts w:ascii="Book Antiqua" w:eastAsia="Book Antiqua" w:hAnsi="Book Antiqua" w:cs="Book Antiqua"/>
          <w:bCs/>
          <w:color w:val="000000"/>
        </w:rPr>
        <w:t>.</w:t>
      </w:r>
    </w:p>
    <w:p w14:paraId="27B732A5" w14:textId="4E5E381D" w:rsidR="004A536A" w:rsidRPr="004A536A" w:rsidRDefault="004A536A" w:rsidP="004A536A">
      <w:pPr>
        <w:snapToGrid w:val="0"/>
        <w:spacing w:line="360" w:lineRule="auto"/>
        <w:jc w:val="both"/>
        <w:rPr>
          <w:rFonts w:ascii="Book Antiqua" w:eastAsia="Calibri" w:hAnsi="Book Antiqua"/>
          <w:b/>
          <w:bCs/>
          <w:color w:val="FF0000"/>
        </w:rPr>
      </w:pPr>
      <w:r w:rsidRPr="004A536A">
        <w:rPr>
          <w:rFonts w:ascii="Book Antiqua" w:eastAsia="Book Antiqua" w:hAnsi="Book Antiqua" w:cs="Book Antiqua"/>
          <w:b/>
          <w:bCs/>
          <w:color w:val="000000"/>
        </w:rPr>
        <w:br w:type="page"/>
      </w:r>
      <w:r w:rsidRPr="004A536A">
        <w:rPr>
          <w:rFonts w:ascii="Book Antiqua" w:eastAsia="Calibri" w:hAnsi="Book Antiqua"/>
          <w:b/>
          <w:bCs/>
        </w:rPr>
        <w:lastRenderedPageBreak/>
        <w:t xml:space="preserve">Table 1 Comparison of baseline characteristics between </w:t>
      </w:r>
      <w:r w:rsidR="001763E2" w:rsidRPr="00F92E08">
        <w:rPr>
          <w:rFonts w:ascii="Book Antiqua" w:eastAsia="Book Antiqua" w:hAnsi="Book Antiqua" w:cs="Book Antiqua"/>
          <w:b/>
          <w:bCs/>
          <w:color w:val="000000"/>
        </w:rPr>
        <w:t>Control-1</w:t>
      </w:r>
      <w:r w:rsidR="001763E2">
        <w:rPr>
          <w:rFonts w:ascii="Book Antiqua" w:eastAsia="Book Antiqua" w:hAnsi="Book Antiqua" w:cs="Book Antiqua"/>
          <w:b/>
          <w:bCs/>
          <w:color w:val="000000"/>
        </w:rPr>
        <w:t xml:space="preserve"> </w:t>
      </w:r>
      <w:r w:rsidR="001763E2" w:rsidRPr="00F92E08">
        <w:rPr>
          <w:rFonts w:ascii="Book Antiqua" w:eastAsia="Book Antiqua" w:hAnsi="Book Antiqua" w:cs="Book Antiqua"/>
          <w:b/>
          <w:bCs/>
          <w:color w:val="000000"/>
        </w:rPr>
        <w:t>perioperative surgical home</w:t>
      </w:r>
      <w:r w:rsidRPr="004A536A">
        <w:rPr>
          <w:rFonts w:ascii="Book Antiqua" w:eastAsia="Calibri" w:hAnsi="Book Antiqua"/>
          <w:b/>
          <w:bCs/>
        </w:rPr>
        <w:t xml:space="preserve"> and</w:t>
      </w:r>
      <w:r w:rsidR="001763E2">
        <w:rPr>
          <w:rFonts w:ascii="Book Antiqua" w:eastAsia="Book Antiqua" w:hAnsi="Book Antiqua" w:cs="Book Antiqua"/>
          <w:b/>
          <w:bCs/>
          <w:color w:val="000000"/>
        </w:rPr>
        <w:t xml:space="preserve"> </w:t>
      </w:r>
      <w:r w:rsidR="001763E2" w:rsidRPr="00F92E08">
        <w:rPr>
          <w:rFonts w:ascii="Book Antiqua" w:eastAsia="Book Antiqua" w:hAnsi="Book Antiqua" w:cs="Book Antiqua"/>
          <w:b/>
          <w:bCs/>
          <w:color w:val="000000"/>
        </w:rPr>
        <w:t>perioperative surgical home</w:t>
      </w:r>
      <w:r w:rsidRPr="004A536A">
        <w:rPr>
          <w:rFonts w:ascii="Book Antiqua" w:eastAsia="Calibri" w:hAnsi="Book Antiqua"/>
          <w:b/>
          <w:bCs/>
        </w:rPr>
        <w:t xml:space="preserve"> cohorts </w:t>
      </w:r>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1829"/>
        <w:gridCol w:w="2809"/>
        <w:gridCol w:w="2880"/>
        <w:gridCol w:w="1838"/>
      </w:tblGrid>
      <w:tr w:rsidR="009A14E4" w:rsidRPr="00263752" w14:paraId="1C672725" w14:textId="77777777" w:rsidTr="00263752">
        <w:trPr>
          <w:trHeight w:val="346"/>
        </w:trPr>
        <w:tc>
          <w:tcPr>
            <w:tcW w:w="1829" w:type="dxa"/>
            <w:vMerge w:val="restart"/>
            <w:tcBorders>
              <w:top w:val="single" w:sz="4" w:space="0" w:color="auto"/>
              <w:bottom w:val="single" w:sz="4" w:space="0" w:color="auto"/>
            </w:tcBorders>
            <w:vAlign w:val="center"/>
            <w:hideMark/>
          </w:tcPr>
          <w:p w14:paraId="3A1EAB46" w14:textId="77777777" w:rsidR="009A14E4" w:rsidRPr="00263752" w:rsidRDefault="009A14E4" w:rsidP="009A14E4">
            <w:pPr>
              <w:snapToGrid w:val="0"/>
              <w:spacing w:line="360" w:lineRule="auto"/>
              <w:jc w:val="center"/>
              <w:rPr>
                <w:rFonts w:ascii="Book Antiqua" w:eastAsia="Times New Roman" w:hAnsi="Book Antiqua" w:cs="Calibri"/>
                <w:b/>
                <w:bCs/>
                <w:color w:val="000000"/>
              </w:rPr>
            </w:pPr>
            <w:r w:rsidRPr="00263752">
              <w:rPr>
                <w:rFonts w:ascii="Book Antiqua" w:eastAsia="Times New Roman" w:hAnsi="Book Antiqua" w:cs="Calibri"/>
                <w:b/>
                <w:bCs/>
                <w:color w:val="000000"/>
              </w:rPr>
              <w:t>Characteristics</w:t>
            </w:r>
          </w:p>
        </w:tc>
        <w:tc>
          <w:tcPr>
            <w:tcW w:w="2809" w:type="dxa"/>
            <w:tcBorders>
              <w:top w:val="single" w:sz="4" w:space="0" w:color="auto"/>
              <w:bottom w:val="single" w:sz="4" w:space="0" w:color="auto"/>
            </w:tcBorders>
            <w:vAlign w:val="center"/>
            <w:hideMark/>
          </w:tcPr>
          <w:p w14:paraId="445C0BE9" w14:textId="6CF2F59A" w:rsidR="009A14E4" w:rsidRPr="00263752" w:rsidRDefault="009A14E4" w:rsidP="009A14E4">
            <w:pPr>
              <w:snapToGrid w:val="0"/>
              <w:spacing w:line="360" w:lineRule="auto"/>
              <w:jc w:val="center"/>
              <w:rPr>
                <w:rFonts w:ascii="Book Antiqua" w:eastAsia="Times New Roman" w:hAnsi="Book Antiqua" w:cs="Calibri"/>
                <w:b/>
                <w:bCs/>
                <w:color w:val="000000"/>
              </w:rPr>
            </w:pPr>
            <w:r w:rsidRPr="00263752">
              <w:rPr>
                <w:rFonts w:ascii="Book Antiqua" w:eastAsia="Times New Roman" w:hAnsi="Book Antiqua" w:cs="Calibri"/>
                <w:b/>
                <w:bCs/>
                <w:color w:val="000000"/>
              </w:rPr>
              <w:t>C1-PSH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 1413)</w:t>
            </w:r>
          </w:p>
        </w:tc>
        <w:tc>
          <w:tcPr>
            <w:tcW w:w="2880" w:type="dxa"/>
            <w:tcBorders>
              <w:top w:val="single" w:sz="4" w:space="0" w:color="auto"/>
              <w:bottom w:val="single" w:sz="4" w:space="0" w:color="auto"/>
            </w:tcBorders>
            <w:vAlign w:val="center"/>
            <w:hideMark/>
          </w:tcPr>
          <w:p w14:paraId="2A75F946" w14:textId="7236D733" w:rsidR="009A14E4" w:rsidRPr="00263752" w:rsidRDefault="009A14E4" w:rsidP="009A14E4">
            <w:pPr>
              <w:snapToGrid w:val="0"/>
              <w:spacing w:line="360" w:lineRule="auto"/>
              <w:jc w:val="center"/>
              <w:rPr>
                <w:rFonts w:ascii="Book Antiqua" w:eastAsia="Times New Roman" w:hAnsi="Book Antiqua" w:cs="Calibri"/>
                <w:b/>
                <w:bCs/>
                <w:color w:val="000000"/>
              </w:rPr>
            </w:pPr>
            <w:r w:rsidRPr="00263752">
              <w:rPr>
                <w:rFonts w:ascii="Book Antiqua" w:eastAsia="Times New Roman" w:hAnsi="Book Antiqua" w:cs="Calibri"/>
                <w:b/>
                <w:bCs/>
                <w:color w:val="000000"/>
              </w:rPr>
              <w:t>PSH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 791)</w:t>
            </w:r>
          </w:p>
        </w:tc>
        <w:tc>
          <w:tcPr>
            <w:tcW w:w="1838" w:type="dxa"/>
            <w:vMerge w:val="restart"/>
            <w:tcBorders>
              <w:top w:val="single" w:sz="4" w:space="0" w:color="auto"/>
              <w:bottom w:val="single" w:sz="4" w:space="0" w:color="auto"/>
            </w:tcBorders>
            <w:noWrap/>
            <w:vAlign w:val="center"/>
          </w:tcPr>
          <w:p w14:paraId="1AE69ECF" w14:textId="0F34D684" w:rsidR="009A14E4" w:rsidRPr="00263752" w:rsidRDefault="009A14E4" w:rsidP="009A14E4">
            <w:pPr>
              <w:snapToGrid w:val="0"/>
              <w:spacing w:line="360" w:lineRule="auto"/>
              <w:jc w:val="center"/>
              <w:rPr>
                <w:rFonts w:ascii="Book Antiqua" w:eastAsia="Times New Roman" w:hAnsi="Book Antiqua" w:cs="Calibri"/>
                <w:b/>
                <w:bCs/>
                <w:color w:val="000000"/>
              </w:rPr>
            </w:pPr>
            <w:r w:rsidRPr="00263752">
              <w:rPr>
                <w:rFonts w:ascii="Book Antiqua" w:eastAsia="Times New Roman" w:hAnsi="Book Antiqua" w:cs="Calibri"/>
                <w:b/>
                <w:bCs/>
                <w:i/>
                <w:iCs/>
                <w:color w:val="000000"/>
              </w:rPr>
              <w:t>P</w:t>
            </w:r>
            <w:r w:rsidRPr="00263752">
              <w:rPr>
                <w:rFonts w:ascii="Book Antiqua" w:eastAsia="Times New Roman" w:hAnsi="Book Antiqua" w:cs="Calibri"/>
                <w:b/>
                <w:bCs/>
                <w:color w:val="000000"/>
              </w:rPr>
              <w:t xml:space="preserve"> value</w:t>
            </w:r>
          </w:p>
        </w:tc>
      </w:tr>
      <w:tr w:rsidR="009A14E4" w:rsidRPr="00263752" w14:paraId="2E8A649F" w14:textId="77777777" w:rsidTr="00263752">
        <w:trPr>
          <w:trHeight w:val="952"/>
        </w:trPr>
        <w:tc>
          <w:tcPr>
            <w:tcW w:w="1829" w:type="dxa"/>
            <w:vMerge/>
            <w:tcBorders>
              <w:top w:val="single" w:sz="4" w:space="0" w:color="auto"/>
              <w:bottom w:val="single" w:sz="4" w:space="0" w:color="auto"/>
            </w:tcBorders>
            <w:vAlign w:val="center"/>
          </w:tcPr>
          <w:p w14:paraId="47A6AF71" w14:textId="77777777" w:rsidR="009A14E4" w:rsidRPr="00263752" w:rsidRDefault="009A14E4" w:rsidP="009A14E4">
            <w:pPr>
              <w:snapToGrid w:val="0"/>
              <w:spacing w:line="360" w:lineRule="auto"/>
              <w:jc w:val="center"/>
              <w:rPr>
                <w:rFonts w:ascii="Book Antiqua" w:eastAsia="Times New Roman" w:hAnsi="Book Antiqua" w:cs="Calibri"/>
                <w:b/>
                <w:bCs/>
                <w:color w:val="000000"/>
              </w:rPr>
            </w:pPr>
          </w:p>
        </w:tc>
        <w:tc>
          <w:tcPr>
            <w:tcW w:w="2809" w:type="dxa"/>
            <w:tcBorders>
              <w:top w:val="single" w:sz="4" w:space="0" w:color="auto"/>
              <w:bottom w:val="single" w:sz="4" w:space="0" w:color="auto"/>
            </w:tcBorders>
            <w:vAlign w:val="center"/>
          </w:tcPr>
          <w:p w14:paraId="60A55AFD" w14:textId="409F517A" w:rsidR="009A14E4" w:rsidRPr="00263752" w:rsidRDefault="009A14E4" w:rsidP="009A14E4">
            <w:pPr>
              <w:snapToGrid w:val="0"/>
              <w:spacing w:line="360" w:lineRule="auto"/>
              <w:jc w:val="center"/>
              <w:rPr>
                <w:rFonts w:ascii="Book Antiqua" w:eastAsia="Times New Roman" w:hAnsi="Book Antiqua" w:cs="Calibri"/>
                <w:b/>
                <w:bCs/>
                <w:color w:val="000000"/>
              </w:rPr>
            </w:pPr>
            <w:r w:rsidRPr="00263752">
              <w:rPr>
                <w:rFonts w:ascii="Book Antiqua" w:eastAsia="Times New Roman" w:hAnsi="Book Antiqua" w:cs="Calibri"/>
                <w:b/>
                <w:bCs/>
                <w:color w:val="000000"/>
              </w:rPr>
              <w:t xml:space="preserve">mean (SD) [min, max] or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w:t>
            </w:r>
          </w:p>
        </w:tc>
        <w:tc>
          <w:tcPr>
            <w:tcW w:w="2880" w:type="dxa"/>
            <w:tcBorders>
              <w:top w:val="single" w:sz="4" w:space="0" w:color="auto"/>
              <w:bottom w:val="single" w:sz="4" w:space="0" w:color="auto"/>
            </w:tcBorders>
            <w:vAlign w:val="center"/>
          </w:tcPr>
          <w:p w14:paraId="1EE82FEA" w14:textId="7704D38E" w:rsidR="009A14E4" w:rsidRPr="00263752" w:rsidRDefault="009A14E4" w:rsidP="009A14E4">
            <w:pPr>
              <w:snapToGrid w:val="0"/>
              <w:spacing w:line="360" w:lineRule="auto"/>
              <w:jc w:val="center"/>
              <w:rPr>
                <w:rFonts w:ascii="Book Antiqua" w:eastAsia="Times New Roman" w:hAnsi="Book Antiqua" w:cs="Calibri"/>
                <w:b/>
                <w:bCs/>
                <w:color w:val="000000"/>
              </w:rPr>
            </w:pPr>
            <w:r w:rsidRPr="00263752">
              <w:rPr>
                <w:rFonts w:ascii="Book Antiqua" w:eastAsia="Times New Roman" w:hAnsi="Book Antiqua" w:cs="Calibri"/>
                <w:b/>
                <w:bCs/>
                <w:color w:val="000000"/>
              </w:rPr>
              <w:t>mean (SD) [min, max]</w:t>
            </w:r>
          </w:p>
          <w:p w14:paraId="42A08D0D" w14:textId="4E0859A9" w:rsidR="009A14E4" w:rsidRPr="00263752" w:rsidRDefault="009A14E4" w:rsidP="009A14E4">
            <w:pPr>
              <w:snapToGrid w:val="0"/>
              <w:spacing w:line="360" w:lineRule="auto"/>
              <w:jc w:val="center"/>
              <w:rPr>
                <w:rFonts w:ascii="Book Antiqua" w:eastAsia="Times New Roman" w:hAnsi="Book Antiqua" w:cs="Calibri"/>
                <w:b/>
                <w:bCs/>
                <w:color w:val="000000"/>
              </w:rPr>
            </w:pPr>
            <w:r w:rsidRPr="00263752">
              <w:rPr>
                <w:rFonts w:ascii="Book Antiqua" w:eastAsia="Times New Roman" w:hAnsi="Book Antiqua" w:cs="Calibri"/>
                <w:b/>
                <w:bCs/>
                <w:color w:val="000000"/>
              </w:rPr>
              <w:t xml:space="preserve">or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w:t>
            </w:r>
          </w:p>
        </w:tc>
        <w:tc>
          <w:tcPr>
            <w:tcW w:w="1838" w:type="dxa"/>
            <w:vMerge/>
            <w:tcBorders>
              <w:top w:val="single" w:sz="4" w:space="0" w:color="auto"/>
              <w:bottom w:val="single" w:sz="4" w:space="0" w:color="auto"/>
            </w:tcBorders>
            <w:noWrap/>
            <w:vAlign w:val="center"/>
          </w:tcPr>
          <w:p w14:paraId="24501034" w14:textId="77777777" w:rsidR="009A14E4" w:rsidRPr="00263752" w:rsidRDefault="009A14E4" w:rsidP="009A14E4">
            <w:pPr>
              <w:snapToGrid w:val="0"/>
              <w:spacing w:line="360" w:lineRule="auto"/>
              <w:jc w:val="center"/>
              <w:rPr>
                <w:rFonts w:ascii="Book Antiqua" w:eastAsia="Times New Roman" w:hAnsi="Book Antiqua" w:cs="Calibri"/>
                <w:b/>
                <w:bCs/>
                <w:color w:val="000000"/>
              </w:rPr>
            </w:pPr>
          </w:p>
        </w:tc>
      </w:tr>
      <w:tr w:rsidR="004A536A" w:rsidRPr="00263752" w14:paraId="1F13EF98" w14:textId="77777777" w:rsidTr="00263752">
        <w:trPr>
          <w:trHeight w:val="287"/>
        </w:trPr>
        <w:tc>
          <w:tcPr>
            <w:tcW w:w="1829" w:type="dxa"/>
            <w:tcBorders>
              <w:top w:val="single" w:sz="4" w:space="0" w:color="auto"/>
            </w:tcBorders>
            <w:noWrap/>
            <w:vAlign w:val="bottom"/>
            <w:hideMark/>
          </w:tcPr>
          <w:p w14:paraId="3C5575E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Age</w:t>
            </w:r>
          </w:p>
        </w:tc>
        <w:tc>
          <w:tcPr>
            <w:tcW w:w="2809" w:type="dxa"/>
            <w:tcBorders>
              <w:top w:val="single" w:sz="4" w:space="0" w:color="auto"/>
            </w:tcBorders>
            <w:noWrap/>
            <w:vAlign w:val="center"/>
            <w:hideMark/>
          </w:tcPr>
          <w:p w14:paraId="3599195A"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67.3 (10) [18, 95]</w:t>
            </w:r>
          </w:p>
        </w:tc>
        <w:tc>
          <w:tcPr>
            <w:tcW w:w="2880" w:type="dxa"/>
            <w:tcBorders>
              <w:top w:val="single" w:sz="4" w:space="0" w:color="auto"/>
            </w:tcBorders>
            <w:noWrap/>
            <w:vAlign w:val="center"/>
            <w:hideMark/>
          </w:tcPr>
          <w:p w14:paraId="4D6E63E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69.2 (8.6) [31, 90]</w:t>
            </w:r>
          </w:p>
        </w:tc>
        <w:tc>
          <w:tcPr>
            <w:tcW w:w="1838" w:type="dxa"/>
            <w:tcBorders>
              <w:top w:val="single" w:sz="4" w:space="0" w:color="auto"/>
            </w:tcBorders>
            <w:noWrap/>
            <w:vAlign w:val="bottom"/>
            <w:hideMark/>
          </w:tcPr>
          <w:p w14:paraId="1EFB05A3" w14:textId="7916370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&lt;</w:t>
            </w:r>
            <w:r w:rsidR="009A14E4" w:rsidRPr="00263752">
              <w:rPr>
                <w:rFonts w:ascii="Book Antiqua" w:eastAsia="Times New Roman" w:hAnsi="Book Antiqua" w:cs="Calibri"/>
                <w:color w:val="000000"/>
              </w:rPr>
              <w:t xml:space="preserve"> </w:t>
            </w:r>
            <w:r w:rsidRPr="00263752">
              <w:rPr>
                <w:rFonts w:ascii="Book Antiqua" w:eastAsia="Times New Roman" w:hAnsi="Book Antiqua" w:cs="Calibri"/>
                <w:color w:val="000000"/>
              </w:rPr>
              <w:t>0.01</w:t>
            </w:r>
            <w:r w:rsidRPr="00263752">
              <w:rPr>
                <w:rFonts w:ascii="Book Antiqua" w:eastAsia="Times New Roman" w:hAnsi="Book Antiqua" w:cs="Calibri"/>
                <w:color w:val="000000"/>
                <w:vertAlign w:val="superscript"/>
              </w:rPr>
              <w:t>1</w:t>
            </w:r>
            <w:r w:rsidRPr="00263752">
              <w:rPr>
                <w:rFonts w:ascii="Book Antiqua" w:eastAsia="Times New Roman" w:hAnsi="Book Antiqua" w:cs="Calibri"/>
                <w:color w:val="000000"/>
              </w:rPr>
              <w:t xml:space="preserve"> </w:t>
            </w:r>
          </w:p>
        </w:tc>
      </w:tr>
      <w:tr w:rsidR="004A536A" w:rsidRPr="00263752" w14:paraId="146F607E" w14:textId="77777777" w:rsidTr="00263752">
        <w:trPr>
          <w:trHeight w:val="287"/>
        </w:trPr>
        <w:tc>
          <w:tcPr>
            <w:tcW w:w="1829" w:type="dxa"/>
            <w:noWrap/>
            <w:vAlign w:val="bottom"/>
            <w:hideMark/>
          </w:tcPr>
          <w:p w14:paraId="5ADB689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Gender</w:t>
            </w:r>
          </w:p>
        </w:tc>
        <w:tc>
          <w:tcPr>
            <w:tcW w:w="2809" w:type="dxa"/>
            <w:noWrap/>
            <w:vAlign w:val="center"/>
          </w:tcPr>
          <w:p w14:paraId="2E4868E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2880" w:type="dxa"/>
            <w:noWrap/>
            <w:vAlign w:val="center"/>
          </w:tcPr>
          <w:p w14:paraId="2AED7662" w14:textId="77777777" w:rsidR="004A536A" w:rsidRPr="00263752" w:rsidRDefault="004A536A" w:rsidP="004A536A">
            <w:pPr>
              <w:snapToGrid w:val="0"/>
              <w:spacing w:line="360" w:lineRule="auto"/>
              <w:jc w:val="both"/>
              <w:rPr>
                <w:rFonts w:ascii="Book Antiqua" w:eastAsia="宋体" w:hAnsi="Book Antiqua"/>
              </w:rPr>
            </w:pPr>
          </w:p>
        </w:tc>
        <w:tc>
          <w:tcPr>
            <w:tcW w:w="1838" w:type="dxa"/>
            <w:vMerge w:val="restart"/>
            <w:noWrap/>
            <w:vAlign w:val="center"/>
            <w:hideMark/>
          </w:tcPr>
          <w:p w14:paraId="72E348DE"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0.19</w:t>
            </w:r>
            <w:r w:rsidRPr="00263752">
              <w:rPr>
                <w:rFonts w:ascii="Book Antiqua" w:eastAsia="Times New Roman" w:hAnsi="Book Antiqua" w:cs="Calibri"/>
                <w:color w:val="000000"/>
                <w:vertAlign w:val="superscript"/>
              </w:rPr>
              <w:t>2</w:t>
            </w:r>
          </w:p>
        </w:tc>
      </w:tr>
      <w:tr w:rsidR="004A536A" w:rsidRPr="00263752" w14:paraId="55F86200" w14:textId="77777777" w:rsidTr="00263752">
        <w:trPr>
          <w:trHeight w:val="287"/>
        </w:trPr>
        <w:tc>
          <w:tcPr>
            <w:tcW w:w="1829" w:type="dxa"/>
            <w:noWrap/>
            <w:vAlign w:val="bottom"/>
            <w:hideMark/>
          </w:tcPr>
          <w:p w14:paraId="0FD56E5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Male</w:t>
            </w:r>
          </w:p>
        </w:tc>
        <w:tc>
          <w:tcPr>
            <w:tcW w:w="2809" w:type="dxa"/>
            <w:noWrap/>
            <w:vAlign w:val="center"/>
            <w:hideMark/>
          </w:tcPr>
          <w:p w14:paraId="09F775D3" w14:textId="03B449C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629 (45</w:t>
            </w:r>
            <w:r w:rsidR="00F44154">
              <w:rPr>
                <w:rFonts w:ascii="Book Antiqua" w:eastAsia="Times New Roman" w:hAnsi="Book Antiqua" w:cs="Calibri"/>
                <w:color w:val="000000"/>
              </w:rPr>
              <w:t>)</w:t>
            </w:r>
          </w:p>
        </w:tc>
        <w:tc>
          <w:tcPr>
            <w:tcW w:w="2880" w:type="dxa"/>
            <w:noWrap/>
            <w:vAlign w:val="center"/>
            <w:hideMark/>
          </w:tcPr>
          <w:p w14:paraId="756FCE2E" w14:textId="28DCE3FC"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379 (47.5</w:t>
            </w:r>
            <w:r w:rsidR="00F44154">
              <w:rPr>
                <w:rFonts w:ascii="Book Antiqua" w:eastAsia="Times New Roman" w:hAnsi="Book Antiqua" w:cs="Calibri"/>
                <w:color w:val="000000"/>
              </w:rPr>
              <w:t>)</w:t>
            </w:r>
          </w:p>
        </w:tc>
        <w:tc>
          <w:tcPr>
            <w:tcW w:w="1838" w:type="dxa"/>
            <w:vMerge/>
            <w:vAlign w:val="center"/>
            <w:hideMark/>
          </w:tcPr>
          <w:p w14:paraId="5D45B332"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7DB91942" w14:textId="77777777" w:rsidTr="00263752">
        <w:trPr>
          <w:trHeight w:val="287"/>
        </w:trPr>
        <w:tc>
          <w:tcPr>
            <w:tcW w:w="1829" w:type="dxa"/>
            <w:noWrap/>
            <w:vAlign w:val="bottom"/>
            <w:hideMark/>
          </w:tcPr>
          <w:p w14:paraId="34D475DD"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BMI</w:t>
            </w:r>
          </w:p>
        </w:tc>
        <w:tc>
          <w:tcPr>
            <w:tcW w:w="2809" w:type="dxa"/>
            <w:noWrap/>
            <w:vAlign w:val="center"/>
            <w:hideMark/>
          </w:tcPr>
          <w:p w14:paraId="55BA6D49"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29.7 (6.2) [17.3, 68.5]</w:t>
            </w:r>
          </w:p>
        </w:tc>
        <w:tc>
          <w:tcPr>
            <w:tcW w:w="2880" w:type="dxa"/>
            <w:noWrap/>
            <w:vAlign w:val="center"/>
            <w:hideMark/>
          </w:tcPr>
          <w:p w14:paraId="6BFF66BA"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29 (6.09) [14.67, 55.3]</w:t>
            </w:r>
          </w:p>
        </w:tc>
        <w:tc>
          <w:tcPr>
            <w:tcW w:w="1838" w:type="dxa"/>
            <w:noWrap/>
            <w:vAlign w:val="bottom"/>
            <w:hideMark/>
          </w:tcPr>
          <w:p w14:paraId="4014EC46"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0.86</w:t>
            </w:r>
            <w:r w:rsidRPr="00263752">
              <w:rPr>
                <w:rFonts w:ascii="Book Antiqua" w:eastAsia="Times New Roman" w:hAnsi="Book Antiqua" w:cs="Calibri"/>
                <w:color w:val="000000"/>
                <w:vertAlign w:val="superscript"/>
              </w:rPr>
              <w:t>1</w:t>
            </w:r>
          </w:p>
        </w:tc>
      </w:tr>
      <w:tr w:rsidR="004A536A" w:rsidRPr="00263752" w14:paraId="704D00CD" w14:textId="77777777" w:rsidTr="00263752">
        <w:trPr>
          <w:trHeight w:val="287"/>
        </w:trPr>
        <w:tc>
          <w:tcPr>
            <w:tcW w:w="1829" w:type="dxa"/>
            <w:noWrap/>
            <w:vAlign w:val="bottom"/>
            <w:hideMark/>
          </w:tcPr>
          <w:p w14:paraId="410B056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ASA</w:t>
            </w:r>
          </w:p>
        </w:tc>
        <w:tc>
          <w:tcPr>
            <w:tcW w:w="2809" w:type="dxa"/>
            <w:noWrap/>
            <w:vAlign w:val="center"/>
          </w:tcPr>
          <w:p w14:paraId="5EDAB673"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2880" w:type="dxa"/>
            <w:noWrap/>
            <w:vAlign w:val="center"/>
          </w:tcPr>
          <w:p w14:paraId="079653EA" w14:textId="77777777" w:rsidR="004A536A" w:rsidRPr="00263752" w:rsidRDefault="004A536A" w:rsidP="004A536A">
            <w:pPr>
              <w:snapToGrid w:val="0"/>
              <w:spacing w:line="360" w:lineRule="auto"/>
              <w:jc w:val="both"/>
              <w:rPr>
                <w:rFonts w:ascii="Book Antiqua" w:eastAsia="宋体" w:hAnsi="Book Antiqua"/>
              </w:rPr>
            </w:pPr>
          </w:p>
        </w:tc>
        <w:tc>
          <w:tcPr>
            <w:tcW w:w="1838" w:type="dxa"/>
            <w:vMerge w:val="restart"/>
            <w:noWrap/>
            <w:vAlign w:val="center"/>
            <w:hideMark/>
          </w:tcPr>
          <w:p w14:paraId="2D1DEE55"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0.009</w:t>
            </w:r>
            <w:r w:rsidRPr="00263752">
              <w:rPr>
                <w:rFonts w:ascii="Book Antiqua" w:eastAsia="Times New Roman" w:hAnsi="Book Antiqua" w:cs="Calibri"/>
                <w:color w:val="000000"/>
                <w:vertAlign w:val="superscript"/>
              </w:rPr>
              <w:t>3</w:t>
            </w:r>
          </w:p>
        </w:tc>
      </w:tr>
      <w:tr w:rsidR="004A536A" w:rsidRPr="00263752" w14:paraId="52E65D2B" w14:textId="77777777" w:rsidTr="00263752">
        <w:trPr>
          <w:trHeight w:val="287"/>
        </w:trPr>
        <w:tc>
          <w:tcPr>
            <w:tcW w:w="1829" w:type="dxa"/>
            <w:noWrap/>
            <w:vAlign w:val="bottom"/>
            <w:hideMark/>
          </w:tcPr>
          <w:p w14:paraId="5524B51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1</w:t>
            </w:r>
          </w:p>
        </w:tc>
        <w:tc>
          <w:tcPr>
            <w:tcW w:w="2809" w:type="dxa"/>
            <w:noWrap/>
            <w:vAlign w:val="center"/>
            <w:hideMark/>
          </w:tcPr>
          <w:p w14:paraId="7C439CCC" w14:textId="00D5A510"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67 (4.7</w:t>
            </w:r>
            <w:r w:rsidR="00F44154">
              <w:rPr>
                <w:rFonts w:ascii="Book Antiqua" w:eastAsia="Times New Roman" w:hAnsi="Book Antiqua" w:cs="Calibri"/>
                <w:color w:val="000000"/>
              </w:rPr>
              <w:t>)</w:t>
            </w:r>
          </w:p>
        </w:tc>
        <w:tc>
          <w:tcPr>
            <w:tcW w:w="2880" w:type="dxa"/>
            <w:noWrap/>
            <w:vAlign w:val="center"/>
            <w:hideMark/>
          </w:tcPr>
          <w:p w14:paraId="48E34AD3" w14:textId="2907DF82"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20 (2.5</w:t>
            </w:r>
            <w:r w:rsidR="00F44154">
              <w:rPr>
                <w:rFonts w:ascii="Book Antiqua" w:eastAsia="Times New Roman" w:hAnsi="Book Antiqua" w:cs="Calibri"/>
                <w:color w:val="000000"/>
              </w:rPr>
              <w:t>)</w:t>
            </w:r>
          </w:p>
        </w:tc>
        <w:tc>
          <w:tcPr>
            <w:tcW w:w="1838" w:type="dxa"/>
            <w:vMerge/>
            <w:vAlign w:val="center"/>
            <w:hideMark/>
          </w:tcPr>
          <w:p w14:paraId="52BA5F4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5A32486F" w14:textId="77777777" w:rsidTr="00263752">
        <w:trPr>
          <w:trHeight w:val="287"/>
        </w:trPr>
        <w:tc>
          <w:tcPr>
            <w:tcW w:w="1829" w:type="dxa"/>
            <w:noWrap/>
            <w:vAlign w:val="bottom"/>
            <w:hideMark/>
          </w:tcPr>
          <w:p w14:paraId="6A9118CE"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2</w:t>
            </w:r>
          </w:p>
        </w:tc>
        <w:tc>
          <w:tcPr>
            <w:tcW w:w="2809" w:type="dxa"/>
            <w:noWrap/>
            <w:vAlign w:val="center"/>
            <w:hideMark/>
          </w:tcPr>
          <w:p w14:paraId="5B717D09" w14:textId="2875BA59"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817 (57.8</w:t>
            </w:r>
            <w:r w:rsidR="00F44154">
              <w:rPr>
                <w:rFonts w:ascii="Book Antiqua" w:eastAsia="Times New Roman" w:hAnsi="Book Antiqua" w:cs="Calibri"/>
                <w:color w:val="000000"/>
              </w:rPr>
              <w:t>)</w:t>
            </w:r>
          </w:p>
        </w:tc>
        <w:tc>
          <w:tcPr>
            <w:tcW w:w="2880" w:type="dxa"/>
            <w:noWrap/>
            <w:vAlign w:val="center"/>
            <w:hideMark/>
          </w:tcPr>
          <w:p w14:paraId="2BD6B92F" w14:textId="48AD93C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434 (54.9</w:t>
            </w:r>
            <w:r w:rsidR="00F44154">
              <w:rPr>
                <w:rFonts w:ascii="Book Antiqua" w:eastAsia="Times New Roman" w:hAnsi="Book Antiqua" w:cs="Calibri"/>
                <w:color w:val="000000"/>
              </w:rPr>
              <w:t>)</w:t>
            </w:r>
          </w:p>
        </w:tc>
        <w:tc>
          <w:tcPr>
            <w:tcW w:w="1838" w:type="dxa"/>
            <w:vMerge/>
            <w:vAlign w:val="center"/>
            <w:hideMark/>
          </w:tcPr>
          <w:p w14:paraId="678AFDA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7A79C17A" w14:textId="77777777" w:rsidTr="00263752">
        <w:trPr>
          <w:trHeight w:val="287"/>
        </w:trPr>
        <w:tc>
          <w:tcPr>
            <w:tcW w:w="1829" w:type="dxa"/>
            <w:noWrap/>
            <w:vAlign w:val="bottom"/>
            <w:hideMark/>
          </w:tcPr>
          <w:p w14:paraId="5611B6D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3</w:t>
            </w:r>
          </w:p>
        </w:tc>
        <w:tc>
          <w:tcPr>
            <w:tcW w:w="2809" w:type="dxa"/>
            <w:noWrap/>
            <w:vAlign w:val="center"/>
            <w:hideMark/>
          </w:tcPr>
          <w:p w14:paraId="009F70BB" w14:textId="49F41C2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517 (36.6</w:t>
            </w:r>
            <w:r w:rsidR="00F44154">
              <w:rPr>
                <w:rFonts w:ascii="Book Antiqua" w:eastAsia="Times New Roman" w:hAnsi="Book Antiqua" w:cs="Calibri"/>
                <w:color w:val="000000"/>
              </w:rPr>
              <w:t>)</w:t>
            </w:r>
          </w:p>
        </w:tc>
        <w:tc>
          <w:tcPr>
            <w:tcW w:w="2880" w:type="dxa"/>
            <w:noWrap/>
            <w:vAlign w:val="center"/>
            <w:hideMark/>
          </w:tcPr>
          <w:p w14:paraId="7FB4729F" w14:textId="4D97ED6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332 (42</w:t>
            </w:r>
            <w:r w:rsidR="00F44154">
              <w:rPr>
                <w:rFonts w:ascii="Book Antiqua" w:eastAsia="Times New Roman" w:hAnsi="Book Antiqua" w:cs="Calibri"/>
                <w:color w:val="000000"/>
              </w:rPr>
              <w:t>)</w:t>
            </w:r>
          </w:p>
        </w:tc>
        <w:tc>
          <w:tcPr>
            <w:tcW w:w="1838" w:type="dxa"/>
            <w:vMerge/>
            <w:vAlign w:val="center"/>
            <w:hideMark/>
          </w:tcPr>
          <w:p w14:paraId="489E42E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72CF7276" w14:textId="77777777" w:rsidTr="00263752">
        <w:trPr>
          <w:trHeight w:val="287"/>
        </w:trPr>
        <w:tc>
          <w:tcPr>
            <w:tcW w:w="1829" w:type="dxa"/>
            <w:noWrap/>
            <w:vAlign w:val="bottom"/>
            <w:hideMark/>
          </w:tcPr>
          <w:p w14:paraId="2C00678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4</w:t>
            </w:r>
          </w:p>
        </w:tc>
        <w:tc>
          <w:tcPr>
            <w:tcW w:w="2809" w:type="dxa"/>
            <w:noWrap/>
            <w:vAlign w:val="center"/>
            <w:hideMark/>
          </w:tcPr>
          <w:p w14:paraId="26913403" w14:textId="7A03322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12 (0.8</w:t>
            </w:r>
            <w:r w:rsidR="00F44154">
              <w:rPr>
                <w:rFonts w:ascii="Book Antiqua" w:eastAsia="Times New Roman" w:hAnsi="Book Antiqua" w:cs="Calibri"/>
                <w:color w:val="000000"/>
              </w:rPr>
              <w:t>)</w:t>
            </w:r>
          </w:p>
        </w:tc>
        <w:tc>
          <w:tcPr>
            <w:tcW w:w="2880" w:type="dxa"/>
            <w:noWrap/>
            <w:vAlign w:val="center"/>
            <w:hideMark/>
          </w:tcPr>
          <w:p w14:paraId="2B851BE0" w14:textId="48D971B5"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5 (0.6</w:t>
            </w:r>
            <w:r w:rsidR="00F44154">
              <w:rPr>
                <w:rFonts w:ascii="Book Antiqua" w:eastAsia="Times New Roman" w:hAnsi="Book Antiqua" w:cs="Calibri"/>
                <w:color w:val="000000"/>
              </w:rPr>
              <w:t>)</w:t>
            </w:r>
          </w:p>
        </w:tc>
        <w:tc>
          <w:tcPr>
            <w:tcW w:w="1838" w:type="dxa"/>
            <w:vMerge/>
            <w:vAlign w:val="center"/>
            <w:hideMark/>
          </w:tcPr>
          <w:p w14:paraId="2C8B307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3A0E23BE" w14:textId="77777777" w:rsidTr="00263752">
        <w:trPr>
          <w:trHeight w:val="287"/>
        </w:trPr>
        <w:tc>
          <w:tcPr>
            <w:tcW w:w="1829" w:type="dxa"/>
            <w:noWrap/>
            <w:vAlign w:val="bottom"/>
            <w:hideMark/>
          </w:tcPr>
          <w:p w14:paraId="1B671746"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Procedure </w:t>
            </w:r>
          </w:p>
        </w:tc>
        <w:tc>
          <w:tcPr>
            <w:tcW w:w="2809" w:type="dxa"/>
            <w:noWrap/>
            <w:vAlign w:val="center"/>
          </w:tcPr>
          <w:p w14:paraId="5CF49C63"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2880" w:type="dxa"/>
            <w:noWrap/>
            <w:vAlign w:val="center"/>
          </w:tcPr>
          <w:p w14:paraId="2F207881" w14:textId="77777777" w:rsidR="004A536A" w:rsidRPr="00263752" w:rsidRDefault="004A536A" w:rsidP="004A536A">
            <w:pPr>
              <w:snapToGrid w:val="0"/>
              <w:spacing w:line="360" w:lineRule="auto"/>
              <w:jc w:val="both"/>
              <w:rPr>
                <w:rFonts w:ascii="Book Antiqua" w:eastAsia="宋体" w:hAnsi="Book Antiqua"/>
              </w:rPr>
            </w:pPr>
          </w:p>
        </w:tc>
        <w:tc>
          <w:tcPr>
            <w:tcW w:w="1838" w:type="dxa"/>
            <w:vMerge w:val="restart"/>
            <w:noWrap/>
            <w:vAlign w:val="center"/>
            <w:hideMark/>
          </w:tcPr>
          <w:p w14:paraId="0BBBADFB"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0.08</w:t>
            </w:r>
            <w:r w:rsidRPr="00263752">
              <w:rPr>
                <w:rFonts w:ascii="Book Antiqua" w:eastAsia="Times New Roman" w:hAnsi="Book Antiqua" w:cs="Calibri"/>
                <w:color w:val="000000"/>
                <w:vertAlign w:val="superscript"/>
              </w:rPr>
              <w:t>2</w:t>
            </w:r>
          </w:p>
        </w:tc>
      </w:tr>
      <w:tr w:rsidR="004A536A" w:rsidRPr="00263752" w14:paraId="655FFCDA" w14:textId="77777777" w:rsidTr="00263752">
        <w:trPr>
          <w:trHeight w:val="287"/>
        </w:trPr>
        <w:tc>
          <w:tcPr>
            <w:tcW w:w="1829" w:type="dxa"/>
            <w:noWrap/>
            <w:vAlign w:val="bottom"/>
            <w:hideMark/>
          </w:tcPr>
          <w:p w14:paraId="4B7DF44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THA</w:t>
            </w:r>
          </w:p>
        </w:tc>
        <w:tc>
          <w:tcPr>
            <w:tcW w:w="2809" w:type="dxa"/>
            <w:noWrap/>
            <w:vAlign w:val="center"/>
            <w:hideMark/>
          </w:tcPr>
          <w:p w14:paraId="3A115A34" w14:textId="74A2C5E9"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489 (35</w:t>
            </w:r>
            <w:r w:rsidR="00F44154">
              <w:rPr>
                <w:rFonts w:ascii="Book Antiqua" w:eastAsia="Times New Roman" w:hAnsi="Book Antiqua" w:cs="Calibri"/>
                <w:color w:val="000000"/>
              </w:rPr>
              <w:t>)</w:t>
            </w:r>
          </w:p>
        </w:tc>
        <w:tc>
          <w:tcPr>
            <w:tcW w:w="2880" w:type="dxa"/>
            <w:noWrap/>
            <w:vAlign w:val="center"/>
            <w:hideMark/>
          </w:tcPr>
          <w:p w14:paraId="46BE53E2" w14:textId="503C0046"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311 (39.3</w:t>
            </w:r>
            <w:r w:rsidR="00F44154">
              <w:rPr>
                <w:rFonts w:ascii="Book Antiqua" w:eastAsia="Times New Roman" w:hAnsi="Book Antiqua" w:cs="Calibri"/>
                <w:color w:val="000000"/>
              </w:rPr>
              <w:t>)</w:t>
            </w:r>
          </w:p>
        </w:tc>
        <w:tc>
          <w:tcPr>
            <w:tcW w:w="1838" w:type="dxa"/>
            <w:vMerge/>
            <w:vAlign w:val="center"/>
            <w:hideMark/>
          </w:tcPr>
          <w:p w14:paraId="0EA4DA86"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107D54AC" w14:textId="77777777" w:rsidTr="00263752">
        <w:trPr>
          <w:trHeight w:val="287"/>
        </w:trPr>
        <w:tc>
          <w:tcPr>
            <w:tcW w:w="1829" w:type="dxa"/>
            <w:noWrap/>
            <w:vAlign w:val="bottom"/>
            <w:hideMark/>
          </w:tcPr>
          <w:p w14:paraId="2E741D8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TKA</w:t>
            </w:r>
          </w:p>
        </w:tc>
        <w:tc>
          <w:tcPr>
            <w:tcW w:w="2809" w:type="dxa"/>
            <w:noWrap/>
            <w:vAlign w:val="center"/>
            <w:hideMark/>
          </w:tcPr>
          <w:p w14:paraId="379E6258" w14:textId="35E254DE"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686 (49</w:t>
            </w:r>
            <w:r w:rsidR="00F44154">
              <w:rPr>
                <w:rFonts w:ascii="Book Antiqua" w:eastAsia="Times New Roman" w:hAnsi="Book Antiqua" w:cs="Calibri"/>
                <w:color w:val="000000"/>
              </w:rPr>
              <w:t>)</w:t>
            </w:r>
          </w:p>
        </w:tc>
        <w:tc>
          <w:tcPr>
            <w:tcW w:w="2880" w:type="dxa"/>
            <w:noWrap/>
            <w:vAlign w:val="center"/>
            <w:hideMark/>
          </w:tcPr>
          <w:p w14:paraId="522FA5AE" w14:textId="63F2DF44"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356 (45</w:t>
            </w:r>
            <w:r w:rsidR="00F44154">
              <w:rPr>
                <w:rFonts w:ascii="Book Antiqua" w:eastAsia="Times New Roman" w:hAnsi="Book Antiqua" w:cs="Calibri"/>
                <w:color w:val="000000"/>
              </w:rPr>
              <w:t>)</w:t>
            </w:r>
          </w:p>
        </w:tc>
        <w:tc>
          <w:tcPr>
            <w:tcW w:w="1838" w:type="dxa"/>
            <w:vMerge/>
            <w:vAlign w:val="center"/>
            <w:hideMark/>
          </w:tcPr>
          <w:p w14:paraId="08F3EAA4"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2E6D6177" w14:textId="77777777" w:rsidTr="00263752">
        <w:trPr>
          <w:trHeight w:val="287"/>
        </w:trPr>
        <w:tc>
          <w:tcPr>
            <w:tcW w:w="1829" w:type="dxa"/>
            <w:noWrap/>
            <w:vAlign w:val="bottom"/>
            <w:hideMark/>
          </w:tcPr>
          <w:p w14:paraId="3325FBB7"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TSA</w:t>
            </w:r>
          </w:p>
        </w:tc>
        <w:tc>
          <w:tcPr>
            <w:tcW w:w="2809" w:type="dxa"/>
            <w:noWrap/>
            <w:vAlign w:val="center"/>
            <w:hideMark/>
          </w:tcPr>
          <w:p w14:paraId="53365BEB" w14:textId="07C07A21"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238 (17</w:t>
            </w:r>
            <w:r w:rsidR="00F44154">
              <w:rPr>
                <w:rFonts w:ascii="Book Antiqua" w:eastAsia="Times New Roman" w:hAnsi="Book Antiqua" w:cs="Calibri"/>
                <w:color w:val="000000"/>
              </w:rPr>
              <w:t>)</w:t>
            </w:r>
          </w:p>
        </w:tc>
        <w:tc>
          <w:tcPr>
            <w:tcW w:w="2880" w:type="dxa"/>
            <w:noWrap/>
            <w:vAlign w:val="center"/>
            <w:hideMark/>
          </w:tcPr>
          <w:p w14:paraId="6771284D" w14:textId="44122F18"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124 (15.7</w:t>
            </w:r>
            <w:r w:rsidR="00F44154">
              <w:rPr>
                <w:rFonts w:ascii="Book Antiqua" w:eastAsia="Times New Roman" w:hAnsi="Book Antiqua" w:cs="Calibri"/>
                <w:color w:val="000000"/>
              </w:rPr>
              <w:t>)</w:t>
            </w:r>
          </w:p>
        </w:tc>
        <w:tc>
          <w:tcPr>
            <w:tcW w:w="1838" w:type="dxa"/>
            <w:vMerge/>
            <w:vAlign w:val="center"/>
            <w:hideMark/>
          </w:tcPr>
          <w:p w14:paraId="7B23FB52"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316646E7" w14:textId="77777777" w:rsidTr="00263752">
        <w:trPr>
          <w:trHeight w:val="287"/>
        </w:trPr>
        <w:tc>
          <w:tcPr>
            <w:tcW w:w="1829" w:type="dxa"/>
            <w:noWrap/>
            <w:vAlign w:val="bottom"/>
            <w:hideMark/>
          </w:tcPr>
          <w:p w14:paraId="3540E2A1"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Insurance </w:t>
            </w:r>
          </w:p>
        </w:tc>
        <w:tc>
          <w:tcPr>
            <w:tcW w:w="2809" w:type="dxa"/>
            <w:noWrap/>
            <w:vAlign w:val="center"/>
          </w:tcPr>
          <w:p w14:paraId="15431082"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2880" w:type="dxa"/>
            <w:noWrap/>
            <w:vAlign w:val="center"/>
          </w:tcPr>
          <w:p w14:paraId="48DD12C8" w14:textId="77777777" w:rsidR="004A536A" w:rsidRPr="00263752" w:rsidRDefault="004A536A" w:rsidP="004A536A">
            <w:pPr>
              <w:snapToGrid w:val="0"/>
              <w:spacing w:line="360" w:lineRule="auto"/>
              <w:jc w:val="both"/>
              <w:rPr>
                <w:rFonts w:ascii="Book Antiqua" w:eastAsia="宋体" w:hAnsi="Book Antiqua"/>
              </w:rPr>
            </w:pPr>
          </w:p>
        </w:tc>
        <w:tc>
          <w:tcPr>
            <w:tcW w:w="1838" w:type="dxa"/>
            <w:vMerge w:val="restart"/>
            <w:noWrap/>
            <w:vAlign w:val="center"/>
            <w:hideMark/>
          </w:tcPr>
          <w:p w14:paraId="64266E67" w14:textId="644A06C5"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&lt;</w:t>
            </w:r>
            <w:r w:rsidR="009A14E4" w:rsidRPr="00263752">
              <w:rPr>
                <w:rFonts w:ascii="Book Antiqua" w:eastAsia="Times New Roman" w:hAnsi="Book Antiqua" w:cs="Calibri"/>
                <w:color w:val="000000"/>
              </w:rPr>
              <w:t xml:space="preserve"> </w:t>
            </w:r>
            <w:r w:rsidRPr="00263752">
              <w:rPr>
                <w:rFonts w:ascii="Book Antiqua" w:eastAsia="Times New Roman" w:hAnsi="Book Antiqua" w:cs="Calibri"/>
                <w:color w:val="000000"/>
              </w:rPr>
              <w:t>0.01</w:t>
            </w:r>
            <w:r w:rsidRPr="00263752">
              <w:rPr>
                <w:rFonts w:ascii="Book Antiqua" w:eastAsia="Times New Roman" w:hAnsi="Book Antiqua" w:cs="Calibri"/>
                <w:color w:val="000000"/>
                <w:vertAlign w:val="superscript"/>
              </w:rPr>
              <w:t>2</w:t>
            </w:r>
          </w:p>
        </w:tc>
      </w:tr>
      <w:tr w:rsidR="004A536A" w:rsidRPr="00263752" w14:paraId="4913A590" w14:textId="77777777" w:rsidTr="00263752">
        <w:trPr>
          <w:trHeight w:val="287"/>
        </w:trPr>
        <w:tc>
          <w:tcPr>
            <w:tcW w:w="1829" w:type="dxa"/>
            <w:noWrap/>
            <w:vAlign w:val="bottom"/>
            <w:hideMark/>
          </w:tcPr>
          <w:p w14:paraId="3BBACB75"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Private </w:t>
            </w:r>
          </w:p>
        </w:tc>
        <w:tc>
          <w:tcPr>
            <w:tcW w:w="2809" w:type="dxa"/>
            <w:noWrap/>
            <w:vAlign w:val="center"/>
            <w:hideMark/>
          </w:tcPr>
          <w:p w14:paraId="081C228C" w14:textId="50B1143E"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415 (29</w:t>
            </w:r>
            <w:r w:rsidR="00F44154">
              <w:rPr>
                <w:rFonts w:ascii="Book Antiqua" w:eastAsia="Times New Roman" w:hAnsi="Book Antiqua" w:cs="Calibri"/>
                <w:color w:val="000000"/>
              </w:rPr>
              <w:t>)</w:t>
            </w:r>
          </w:p>
        </w:tc>
        <w:tc>
          <w:tcPr>
            <w:tcW w:w="2880" w:type="dxa"/>
            <w:noWrap/>
            <w:vAlign w:val="center"/>
            <w:hideMark/>
          </w:tcPr>
          <w:p w14:paraId="3A65FC92" w14:textId="3E44C9B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145 (18</w:t>
            </w:r>
            <w:r w:rsidR="00F44154">
              <w:rPr>
                <w:rFonts w:ascii="Book Antiqua" w:eastAsia="Times New Roman" w:hAnsi="Book Antiqua" w:cs="Calibri"/>
                <w:color w:val="000000"/>
              </w:rPr>
              <w:t>)</w:t>
            </w:r>
          </w:p>
        </w:tc>
        <w:tc>
          <w:tcPr>
            <w:tcW w:w="1838" w:type="dxa"/>
            <w:vMerge/>
            <w:vAlign w:val="center"/>
            <w:hideMark/>
          </w:tcPr>
          <w:p w14:paraId="75975137"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09445989" w14:textId="77777777" w:rsidTr="00263752">
        <w:trPr>
          <w:trHeight w:val="287"/>
        </w:trPr>
        <w:tc>
          <w:tcPr>
            <w:tcW w:w="1829" w:type="dxa"/>
            <w:noWrap/>
            <w:vAlign w:val="bottom"/>
            <w:hideMark/>
          </w:tcPr>
          <w:p w14:paraId="11C36573"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Public </w:t>
            </w:r>
          </w:p>
        </w:tc>
        <w:tc>
          <w:tcPr>
            <w:tcW w:w="2809" w:type="dxa"/>
            <w:noWrap/>
            <w:vAlign w:val="center"/>
            <w:hideMark/>
          </w:tcPr>
          <w:p w14:paraId="1017A1FB" w14:textId="17B04D04"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998 (71</w:t>
            </w:r>
            <w:r w:rsidR="00F44154">
              <w:rPr>
                <w:rFonts w:ascii="Book Antiqua" w:eastAsia="Times New Roman" w:hAnsi="Book Antiqua" w:cs="Calibri"/>
                <w:color w:val="000000"/>
              </w:rPr>
              <w:t>)</w:t>
            </w:r>
          </w:p>
        </w:tc>
        <w:tc>
          <w:tcPr>
            <w:tcW w:w="2880" w:type="dxa"/>
            <w:noWrap/>
            <w:vAlign w:val="center"/>
            <w:hideMark/>
          </w:tcPr>
          <w:p w14:paraId="75ADCC4F" w14:textId="1C8A1909"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646 (82</w:t>
            </w:r>
            <w:r w:rsidR="00F44154">
              <w:rPr>
                <w:rFonts w:ascii="Book Antiqua" w:eastAsia="Times New Roman" w:hAnsi="Book Antiqua" w:cs="Calibri"/>
                <w:color w:val="000000"/>
              </w:rPr>
              <w:t>)</w:t>
            </w:r>
          </w:p>
        </w:tc>
        <w:tc>
          <w:tcPr>
            <w:tcW w:w="1838" w:type="dxa"/>
            <w:vMerge/>
            <w:vAlign w:val="center"/>
            <w:hideMark/>
          </w:tcPr>
          <w:p w14:paraId="2783E065"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bl>
    <w:p w14:paraId="1BB7303C" w14:textId="3683C26F" w:rsidR="009A14E4" w:rsidRDefault="009A14E4"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1</w:t>
      </w:r>
      <w:r w:rsidRPr="004A536A">
        <w:rPr>
          <w:rFonts w:ascii="Book Antiqua" w:eastAsia="Calibri" w:hAnsi="Book Antiqua"/>
        </w:rPr>
        <w:t>Mann-Whitney test.</w:t>
      </w:r>
    </w:p>
    <w:p w14:paraId="2D85772F" w14:textId="34BF2609" w:rsidR="009A14E4" w:rsidRDefault="009A14E4"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2</w:t>
      </w:r>
      <w:r w:rsidRPr="004A536A">
        <w:rPr>
          <w:rFonts w:ascii="Book Antiqua" w:eastAsia="Calibri" w:hAnsi="Book Antiqua"/>
        </w:rPr>
        <w:t>Chi-square test.</w:t>
      </w:r>
    </w:p>
    <w:p w14:paraId="1BF829C9" w14:textId="77777777" w:rsidR="00F44154" w:rsidRDefault="009A14E4"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3</w:t>
      </w:r>
      <w:r w:rsidRPr="004A536A">
        <w:rPr>
          <w:rFonts w:ascii="Book Antiqua" w:eastAsia="Calibri" w:hAnsi="Book Antiqua"/>
        </w:rPr>
        <w:t>Ficher’s exact test</w:t>
      </w:r>
      <w:r w:rsidR="00F44154">
        <w:rPr>
          <w:rFonts w:ascii="Book Antiqua" w:eastAsia="Calibri" w:hAnsi="Book Antiqua"/>
        </w:rPr>
        <w:t>.</w:t>
      </w:r>
    </w:p>
    <w:p w14:paraId="0B491008" w14:textId="1A67BB82" w:rsidR="003F0A0E" w:rsidRDefault="00763BDB" w:rsidP="004A536A">
      <w:pPr>
        <w:snapToGrid w:val="0"/>
        <w:spacing w:line="360" w:lineRule="auto"/>
        <w:jc w:val="both"/>
        <w:rPr>
          <w:rFonts w:ascii="Book Antiqua" w:eastAsia="Calibri" w:hAnsi="Book Antiqua"/>
        </w:rPr>
      </w:pPr>
      <w:r w:rsidRPr="00763BDB">
        <w:rPr>
          <w:rFonts w:ascii="Book Antiqua" w:eastAsia="Calibri" w:hAnsi="Book Antiqua"/>
        </w:rPr>
        <w:t>C</w:t>
      </w:r>
      <w:r>
        <w:rPr>
          <w:rFonts w:ascii="Book Antiqua" w:eastAsia="Calibri" w:hAnsi="Book Antiqua"/>
        </w:rPr>
        <w:t>1</w:t>
      </w:r>
      <w:r w:rsidRPr="00763BDB">
        <w:rPr>
          <w:rFonts w:ascii="Book Antiqua" w:eastAsia="Calibri" w:hAnsi="Book Antiqua"/>
        </w:rPr>
        <w:t>-PSH</w:t>
      </w:r>
      <w:r>
        <w:rPr>
          <w:rFonts w:ascii="Book Antiqua" w:eastAsia="Calibri" w:hAnsi="Book Antiqua"/>
        </w:rPr>
        <w:t>:</w:t>
      </w:r>
      <w:r w:rsidRPr="00763BDB">
        <w:rPr>
          <w:rFonts w:ascii="Book Antiqua" w:eastAsia="Calibri" w:hAnsi="Book Antiqua"/>
        </w:rPr>
        <w:t xml:space="preserve"> Control-</w:t>
      </w:r>
      <w:r>
        <w:rPr>
          <w:rFonts w:ascii="Book Antiqua" w:eastAsia="Calibri" w:hAnsi="Book Antiqua"/>
        </w:rPr>
        <w:t>1</w:t>
      </w:r>
      <w:r w:rsidRPr="00763BDB">
        <w:rPr>
          <w:rFonts w:ascii="Book Antiqua" w:eastAsia="Calibri" w:hAnsi="Book Antiqua"/>
        </w:rPr>
        <w:t xml:space="preserve"> perioperative surgical home</w:t>
      </w:r>
      <w:r>
        <w:rPr>
          <w:rFonts w:ascii="Book Antiqua" w:eastAsia="Calibri" w:hAnsi="Book Antiqua"/>
        </w:rPr>
        <w:t xml:space="preserve">; </w:t>
      </w:r>
      <w:r w:rsidR="004A536A" w:rsidRPr="004A536A">
        <w:rPr>
          <w:rFonts w:ascii="Book Antiqua" w:eastAsia="Calibri" w:hAnsi="Book Antiqua"/>
        </w:rPr>
        <w:t xml:space="preserve">BMI: Body </w:t>
      </w:r>
      <w:r w:rsidR="009A14E4" w:rsidRPr="004A536A">
        <w:rPr>
          <w:rFonts w:ascii="Book Antiqua" w:eastAsia="Calibri" w:hAnsi="Book Antiqua"/>
        </w:rPr>
        <w:t>mass i</w:t>
      </w:r>
      <w:r w:rsidR="004A536A" w:rsidRPr="004A536A">
        <w:rPr>
          <w:rFonts w:ascii="Book Antiqua" w:eastAsia="Calibri" w:hAnsi="Book Antiqua"/>
        </w:rPr>
        <w:t>ndex</w:t>
      </w:r>
      <w:r w:rsidR="009A14E4">
        <w:rPr>
          <w:rFonts w:ascii="Book Antiqua" w:eastAsia="Calibri" w:hAnsi="Book Antiqua"/>
        </w:rPr>
        <w:t>;</w:t>
      </w:r>
      <w:r w:rsidR="004A536A" w:rsidRPr="004A536A">
        <w:rPr>
          <w:rFonts w:ascii="Book Antiqua" w:eastAsia="Calibri" w:hAnsi="Book Antiqua"/>
        </w:rPr>
        <w:t xml:space="preserve"> ASA: American Society of Anesthesiologist Score</w:t>
      </w:r>
      <w:r w:rsidR="009A14E4">
        <w:rPr>
          <w:rFonts w:ascii="Book Antiqua" w:eastAsia="Calibri" w:hAnsi="Book Antiqua"/>
        </w:rPr>
        <w:t>;</w:t>
      </w:r>
      <w:r w:rsidR="004A536A" w:rsidRPr="004A536A">
        <w:rPr>
          <w:rFonts w:ascii="Book Antiqua" w:eastAsia="Calibri" w:hAnsi="Book Antiqua"/>
        </w:rPr>
        <w:t xml:space="preserve"> THA: Total </w:t>
      </w:r>
      <w:r w:rsidR="009A14E4" w:rsidRPr="004A536A">
        <w:rPr>
          <w:rFonts w:ascii="Book Antiqua" w:eastAsia="Calibri" w:hAnsi="Book Antiqua"/>
        </w:rPr>
        <w:t>hip art</w:t>
      </w:r>
      <w:r w:rsidR="004A536A" w:rsidRPr="004A536A">
        <w:rPr>
          <w:rFonts w:ascii="Book Antiqua" w:eastAsia="Calibri" w:hAnsi="Book Antiqua"/>
        </w:rPr>
        <w:t>hroplasty</w:t>
      </w:r>
      <w:r w:rsidR="009A14E4">
        <w:rPr>
          <w:rFonts w:ascii="Book Antiqua" w:eastAsia="Calibri" w:hAnsi="Book Antiqua"/>
        </w:rPr>
        <w:t>;</w:t>
      </w:r>
      <w:r w:rsidR="004A536A" w:rsidRPr="004A536A">
        <w:rPr>
          <w:rFonts w:ascii="Book Antiqua" w:eastAsia="Calibri" w:hAnsi="Book Antiqua"/>
        </w:rPr>
        <w:t xml:space="preserve"> TKA: Total </w:t>
      </w:r>
      <w:r w:rsidR="009A14E4" w:rsidRPr="004A536A">
        <w:rPr>
          <w:rFonts w:ascii="Book Antiqua" w:eastAsia="Calibri" w:hAnsi="Book Antiqua"/>
        </w:rPr>
        <w:t>knee a</w:t>
      </w:r>
      <w:r w:rsidR="004A536A" w:rsidRPr="004A536A">
        <w:rPr>
          <w:rFonts w:ascii="Book Antiqua" w:eastAsia="Calibri" w:hAnsi="Book Antiqua"/>
        </w:rPr>
        <w:t>rthroplasty</w:t>
      </w:r>
      <w:r w:rsidR="009A14E4">
        <w:rPr>
          <w:rFonts w:ascii="Book Antiqua" w:eastAsia="Calibri" w:hAnsi="Book Antiqua"/>
        </w:rPr>
        <w:t>;</w:t>
      </w:r>
      <w:r w:rsidR="004A536A" w:rsidRPr="004A536A">
        <w:rPr>
          <w:rFonts w:ascii="Book Antiqua" w:eastAsia="Calibri" w:hAnsi="Book Antiqua"/>
        </w:rPr>
        <w:t xml:space="preserve"> TSA: Total </w:t>
      </w:r>
      <w:r w:rsidR="009A14E4" w:rsidRPr="004A536A">
        <w:rPr>
          <w:rFonts w:ascii="Book Antiqua" w:eastAsia="Calibri" w:hAnsi="Book Antiqua"/>
        </w:rPr>
        <w:t>shoulder a</w:t>
      </w:r>
      <w:r w:rsidR="004A536A" w:rsidRPr="004A536A">
        <w:rPr>
          <w:rFonts w:ascii="Book Antiqua" w:eastAsia="Calibri" w:hAnsi="Book Antiqua"/>
        </w:rPr>
        <w:t>rthroplasty</w:t>
      </w:r>
      <w:r w:rsidR="009A14E4">
        <w:rPr>
          <w:rFonts w:ascii="Book Antiqua" w:eastAsia="Calibri" w:hAnsi="Book Antiqua"/>
        </w:rPr>
        <w:t>.</w:t>
      </w:r>
    </w:p>
    <w:p w14:paraId="0CF8C226" w14:textId="2E1ABA8E" w:rsidR="004A536A" w:rsidRPr="003F0A0E" w:rsidRDefault="003F0A0E" w:rsidP="003F0A0E">
      <w:pPr>
        <w:snapToGrid w:val="0"/>
        <w:spacing w:line="360" w:lineRule="auto"/>
        <w:jc w:val="both"/>
        <w:rPr>
          <w:rFonts w:ascii="Book Antiqua" w:eastAsia="Calibri" w:hAnsi="Book Antiqua"/>
        </w:rPr>
      </w:pPr>
      <w:r>
        <w:rPr>
          <w:rFonts w:ascii="Book Antiqua" w:eastAsia="Calibri" w:hAnsi="Book Antiqua"/>
        </w:rPr>
        <w:br w:type="page"/>
      </w:r>
      <w:r w:rsidR="004A536A" w:rsidRPr="004A536A">
        <w:rPr>
          <w:rFonts w:ascii="Book Antiqua" w:hAnsi="Book Antiqua"/>
          <w:b/>
        </w:rPr>
        <w:lastRenderedPageBreak/>
        <w:t xml:space="preserve">Table 2 Surgical outcomes of </w:t>
      </w:r>
      <w:r w:rsidR="009A14E4" w:rsidRPr="00F92E08">
        <w:rPr>
          <w:rFonts w:ascii="Book Antiqua" w:eastAsia="Book Antiqua" w:hAnsi="Book Antiqua" w:cs="Book Antiqua"/>
          <w:b/>
          <w:bCs/>
          <w:color w:val="000000"/>
        </w:rPr>
        <w:t>perioperative surgical home</w:t>
      </w:r>
      <w:r w:rsidR="004A536A" w:rsidRPr="004A536A">
        <w:rPr>
          <w:rFonts w:ascii="Book Antiqua" w:hAnsi="Book Antiqua"/>
          <w:b/>
        </w:rPr>
        <w:t xml:space="preserve"> cohort relative to </w:t>
      </w:r>
      <w:r w:rsidR="009A14E4" w:rsidRPr="00F92E08">
        <w:rPr>
          <w:rFonts w:ascii="Book Antiqua" w:eastAsia="Book Antiqua" w:hAnsi="Book Antiqua" w:cs="Book Antiqua"/>
          <w:b/>
          <w:bCs/>
          <w:color w:val="000000"/>
        </w:rPr>
        <w:t>Control-1</w:t>
      </w:r>
      <w:r w:rsidR="009A14E4">
        <w:rPr>
          <w:rFonts w:ascii="Book Antiqua" w:eastAsia="Book Antiqua" w:hAnsi="Book Antiqua" w:cs="Book Antiqua"/>
          <w:b/>
          <w:bCs/>
          <w:color w:val="000000"/>
        </w:rPr>
        <w:t xml:space="preserve"> </w:t>
      </w:r>
      <w:r w:rsidR="009A14E4" w:rsidRPr="00F92E08">
        <w:rPr>
          <w:rFonts w:ascii="Book Antiqua" w:eastAsia="Book Antiqua" w:hAnsi="Book Antiqua" w:cs="Book Antiqua"/>
          <w:b/>
          <w:bCs/>
          <w:color w:val="000000"/>
        </w:rPr>
        <w:t>perioperative surgical home</w:t>
      </w:r>
      <w:r w:rsidR="004A536A" w:rsidRPr="004A536A">
        <w:rPr>
          <w:rFonts w:ascii="Book Antiqua" w:hAnsi="Book Antiqua"/>
          <w:b/>
        </w:rPr>
        <w:t xml:space="preserve"> cohort</w:t>
      </w:r>
    </w:p>
    <w:tbl>
      <w:tblPr>
        <w:tblW w:w="9360" w:type="dxa"/>
        <w:jc w:val="center"/>
        <w:tblBorders>
          <w:top w:val="single" w:sz="4" w:space="0" w:color="auto"/>
          <w:bottom w:val="single" w:sz="4" w:space="0" w:color="auto"/>
        </w:tblBorders>
        <w:tblLook w:val="04A0" w:firstRow="1" w:lastRow="0" w:firstColumn="1" w:lastColumn="0" w:noHBand="0" w:noVBand="1"/>
      </w:tblPr>
      <w:tblGrid>
        <w:gridCol w:w="2528"/>
        <w:gridCol w:w="1930"/>
        <w:gridCol w:w="1612"/>
        <w:gridCol w:w="1945"/>
        <w:gridCol w:w="1345"/>
      </w:tblGrid>
      <w:tr w:rsidR="00263752" w:rsidRPr="00263752" w14:paraId="2672B4FF" w14:textId="77777777" w:rsidTr="00263752">
        <w:trPr>
          <w:trHeight w:val="681"/>
          <w:jc w:val="center"/>
        </w:trPr>
        <w:tc>
          <w:tcPr>
            <w:tcW w:w="0" w:type="auto"/>
            <w:tcBorders>
              <w:top w:val="single" w:sz="4" w:space="0" w:color="auto"/>
              <w:bottom w:val="single" w:sz="4" w:space="0" w:color="auto"/>
            </w:tcBorders>
            <w:noWrap/>
            <w:vAlign w:val="center"/>
            <w:hideMark/>
          </w:tcPr>
          <w:p w14:paraId="3E3CEAF8" w14:textId="77777777" w:rsidR="004A536A" w:rsidRPr="00263752" w:rsidRDefault="004A536A" w:rsidP="004A536A">
            <w:pPr>
              <w:snapToGrid w:val="0"/>
              <w:spacing w:line="360" w:lineRule="auto"/>
              <w:jc w:val="both"/>
              <w:rPr>
                <w:rFonts w:ascii="Book Antiqua" w:eastAsia="Calibri" w:hAnsi="Book Antiqua"/>
                <w:b/>
                <w:bCs/>
              </w:rPr>
            </w:pPr>
            <w:r w:rsidRPr="00263752">
              <w:rPr>
                <w:rFonts w:ascii="Book Antiqua" w:eastAsia="Calibri" w:hAnsi="Book Antiqua"/>
                <w:b/>
                <w:bCs/>
              </w:rPr>
              <w:t>Outcomes</w:t>
            </w:r>
          </w:p>
        </w:tc>
        <w:tc>
          <w:tcPr>
            <w:tcW w:w="0" w:type="auto"/>
            <w:tcBorders>
              <w:top w:val="single" w:sz="4" w:space="0" w:color="auto"/>
              <w:bottom w:val="single" w:sz="4" w:space="0" w:color="auto"/>
            </w:tcBorders>
            <w:vAlign w:val="bottom"/>
            <w:hideMark/>
          </w:tcPr>
          <w:p w14:paraId="56188B59" w14:textId="3C0792E1" w:rsidR="004A536A" w:rsidRPr="00263752" w:rsidRDefault="004A536A" w:rsidP="004A536A">
            <w:pPr>
              <w:snapToGrid w:val="0"/>
              <w:spacing w:line="360" w:lineRule="auto"/>
              <w:jc w:val="both"/>
              <w:rPr>
                <w:rFonts w:ascii="Book Antiqua" w:eastAsia="Calibri" w:hAnsi="Book Antiqua"/>
                <w:b/>
                <w:bCs/>
              </w:rPr>
            </w:pPr>
            <w:r w:rsidRPr="00263752">
              <w:rPr>
                <w:rFonts w:ascii="Book Antiqua" w:eastAsia="Calibri" w:hAnsi="Book Antiqua"/>
                <w:b/>
                <w:bCs/>
              </w:rPr>
              <w:t xml:space="preserve">Unadjusted </w:t>
            </w:r>
            <w:r w:rsidR="009A14E4" w:rsidRPr="00263752">
              <w:rPr>
                <w:rFonts w:ascii="Book Antiqua" w:eastAsia="Calibri" w:hAnsi="Book Antiqua"/>
                <w:b/>
                <w:bCs/>
              </w:rPr>
              <w:t>odds ratio</w:t>
            </w:r>
            <w:r w:rsidR="009A14E4" w:rsidRPr="00263752">
              <w:rPr>
                <w:rFonts w:ascii="Book Antiqua" w:hAnsi="Book Antiqua" w:hint="eastAsia"/>
                <w:b/>
                <w:bCs/>
                <w:lang w:eastAsia="zh-CN"/>
              </w:rPr>
              <w:t xml:space="preserve"> </w:t>
            </w:r>
            <w:r w:rsidRPr="00263752">
              <w:rPr>
                <w:rFonts w:ascii="Book Antiqua" w:eastAsia="Calibri" w:hAnsi="Book Antiqua"/>
                <w:b/>
                <w:bCs/>
              </w:rPr>
              <w:t>(</w:t>
            </w:r>
            <w:r w:rsidR="00F44154">
              <w:rPr>
                <w:rFonts w:ascii="Book Antiqua" w:eastAsia="Calibri" w:hAnsi="Book Antiqua"/>
                <w:b/>
                <w:bCs/>
              </w:rPr>
              <w:t>95%CI</w:t>
            </w:r>
            <w:r w:rsidRPr="00263752">
              <w:rPr>
                <w:rFonts w:ascii="Book Antiqua" w:eastAsia="Calibri" w:hAnsi="Book Antiqua"/>
                <w:b/>
                <w:bCs/>
              </w:rPr>
              <w:t>)</w:t>
            </w:r>
          </w:p>
        </w:tc>
        <w:tc>
          <w:tcPr>
            <w:tcW w:w="0" w:type="auto"/>
            <w:tcBorders>
              <w:top w:val="single" w:sz="4" w:space="0" w:color="auto"/>
              <w:bottom w:val="single" w:sz="4" w:space="0" w:color="auto"/>
            </w:tcBorders>
            <w:vAlign w:val="center"/>
            <w:hideMark/>
          </w:tcPr>
          <w:p w14:paraId="44DFCE0B" w14:textId="5607CCF4" w:rsidR="004A536A" w:rsidRPr="00263752" w:rsidRDefault="004A536A" w:rsidP="004A536A">
            <w:pPr>
              <w:snapToGrid w:val="0"/>
              <w:spacing w:line="360" w:lineRule="auto"/>
              <w:jc w:val="both"/>
              <w:rPr>
                <w:rFonts w:ascii="Book Antiqua" w:eastAsia="Calibri" w:hAnsi="Book Antiqua"/>
                <w:b/>
                <w:bCs/>
              </w:rPr>
            </w:pPr>
            <w:r w:rsidRPr="00263752">
              <w:rPr>
                <w:rFonts w:ascii="Book Antiqua" w:eastAsia="Calibri" w:hAnsi="Book Antiqua"/>
                <w:b/>
                <w:bCs/>
              </w:rPr>
              <w:t>Unadjusted</w:t>
            </w:r>
            <w:r w:rsidR="0099344C" w:rsidRPr="00263752">
              <w:rPr>
                <w:rFonts w:ascii="Book Antiqua" w:hAnsi="Book Antiqua" w:hint="eastAsia"/>
                <w:b/>
                <w:bCs/>
                <w:lang w:eastAsia="zh-CN"/>
              </w:rPr>
              <w:t>,</w:t>
            </w:r>
            <w:r w:rsidR="0099344C" w:rsidRPr="00263752">
              <w:rPr>
                <w:rFonts w:ascii="Book Antiqua" w:hAnsi="Book Antiqua"/>
                <w:b/>
                <w:bCs/>
                <w:lang w:eastAsia="zh-CN"/>
              </w:rPr>
              <w:t xml:space="preserve"> </w:t>
            </w:r>
            <w:r w:rsidRPr="00263752">
              <w:rPr>
                <w:rFonts w:ascii="Book Antiqua" w:eastAsia="Calibri" w:hAnsi="Book Antiqua"/>
                <w:b/>
                <w:bCs/>
                <w:i/>
                <w:iCs/>
              </w:rPr>
              <w:t>P</w:t>
            </w:r>
            <w:r w:rsidRPr="00263752">
              <w:rPr>
                <w:rFonts w:ascii="Book Antiqua" w:eastAsia="Calibri" w:hAnsi="Book Antiqua"/>
                <w:b/>
                <w:bCs/>
              </w:rPr>
              <w:t xml:space="preserve"> value</w:t>
            </w:r>
          </w:p>
        </w:tc>
        <w:tc>
          <w:tcPr>
            <w:tcW w:w="0" w:type="auto"/>
            <w:tcBorders>
              <w:top w:val="single" w:sz="4" w:space="0" w:color="auto"/>
              <w:bottom w:val="single" w:sz="4" w:space="0" w:color="auto"/>
            </w:tcBorders>
            <w:vAlign w:val="center"/>
            <w:hideMark/>
          </w:tcPr>
          <w:p w14:paraId="163C6E60" w14:textId="12D31514" w:rsidR="004A536A" w:rsidRPr="00263752" w:rsidRDefault="004A536A" w:rsidP="00F44154">
            <w:pPr>
              <w:snapToGrid w:val="0"/>
              <w:spacing w:line="360" w:lineRule="auto"/>
              <w:jc w:val="both"/>
              <w:rPr>
                <w:rFonts w:ascii="Book Antiqua" w:eastAsia="Calibri" w:hAnsi="Book Antiqua"/>
                <w:b/>
                <w:bCs/>
              </w:rPr>
            </w:pPr>
            <w:r w:rsidRPr="00263752">
              <w:rPr>
                <w:rFonts w:ascii="Book Antiqua" w:eastAsia="Calibri" w:hAnsi="Book Antiqua"/>
                <w:b/>
                <w:bCs/>
              </w:rPr>
              <w:t xml:space="preserve">Adjusted </w:t>
            </w:r>
            <w:r w:rsidR="009A14E4" w:rsidRPr="00263752">
              <w:rPr>
                <w:rFonts w:ascii="Book Antiqua" w:eastAsia="Calibri" w:hAnsi="Book Antiqua"/>
                <w:b/>
                <w:bCs/>
              </w:rPr>
              <w:t>r</w:t>
            </w:r>
            <w:r w:rsidRPr="00263752">
              <w:rPr>
                <w:rFonts w:ascii="Book Antiqua" w:eastAsia="Calibri" w:hAnsi="Book Antiqua"/>
                <w:b/>
                <w:bCs/>
              </w:rPr>
              <w:t>isk</w:t>
            </w:r>
            <w:r w:rsidR="009A14E4" w:rsidRPr="00263752">
              <w:rPr>
                <w:rFonts w:ascii="Book Antiqua" w:hAnsi="Book Antiqua" w:hint="eastAsia"/>
                <w:b/>
                <w:bCs/>
                <w:lang w:eastAsia="zh-CN"/>
              </w:rPr>
              <w:t xml:space="preserve"> </w:t>
            </w:r>
            <w:r w:rsidR="00F44154">
              <w:rPr>
                <w:rFonts w:ascii="Book Antiqua" w:eastAsia="Calibri" w:hAnsi="Book Antiqua"/>
                <w:b/>
                <w:bCs/>
              </w:rPr>
              <w:t>(95%CI</w:t>
            </w:r>
            <w:r w:rsidRPr="00263752">
              <w:rPr>
                <w:rFonts w:ascii="Book Antiqua" w:eastAsia="Calibri" w:hAnsi="Book Antiqua"/>
                <w:b/>
                <w:bCs/>
              </w:rPr>
              <w:t>)</w:t>
            </w:r>
          </w:p>
        </w:tc>
        <w:tc>
          <w:tcPr>
            <w:tcW w:w="0" w:type="auto"/>
            <w:tcBorders>
              <w:top w:val="single" w:sz="4" w:space="0" w:color="auto"/>
              <w:bottom w:val="single" w:sz="4" w:space="0" w:color="auto"/>
            </w:tcBorders>
            <w:vAlign w:val="center"/>
            <w:hideMark/>
          </w:tcPr>
          <w:p w14:paraId="1F5BF92B" w14:textId="630E9546" w:rsidR="004A536A" w:rsidRPr="00263752" w:rsidRDefault="004A536A" w:rsidP="004A536A">
            <w:pPr>
              <w:snapToGrid w:val="0"/>
              <w:spacing w:line="360" w:lineRule="auto"/>
              <w:jc w:val="both"/>
              <w:rPr>
                <w:rFonts w:ascii="Book Antiqua" w:eastAsia="Calibri" w:hAnsi="Book Antiqua"/>
                <w:b/>
                <w:bCs/>
              </w:rPr>
            </w:pPr>
            <w:r w:rsidRPr="00263752">
              <w:rPr>
                <w:rFonts w:ascii="Book Antiqua" w:eastAsia="Calibri" w:hAnsi="Book Antiqua"/>
                <w:b/>
                <w:bCs/>
              </w:rPr>
              <w:t>Adjusted</w:t>
            </w:r>
            <w:r w:rsidR="0099344C" w:rsidRPr="00263752">
              <w:rPr>
                <w:rFonts w:ascii="Book Antiqua" w:hAnsi="Book Antiqua" w:hint="eastAsia"/>
                <w:b/>
                <w:bCs/>
                <w:lang w:eastAsia="zh-CN"/>
              </w:rPr>
              <w:t>,</w:t>
            </w:r>
            <w:r w:rsidR="0099344C" w:rsidRPr="00263752">
              <w:rPr>
                <w:rFonts w:ascii="Book Antiqua" w:hAnsi="Book Antiqua"/>
                <w:b/>
                <w:bCs/>
                <w:lang w:eastAsia="zh-CN"/>
              </w:rPr>
              <w:t xml:space="preserve"> </w:t>
            </w:r>
            <w:r w:rsidRPr="00263752">
              <w:rPr>
                <w:rFonts w:ascii="Book Antiqua" w:eastAsia="Calibri" w:hAnsi="Book Antiqua"/>
                <w:b/>
                <w:bCs/>
                <w:i/>
                <w:iCs/>
              </w:rPr>
              <w:t>P</w:t>
            </w:r>
            <w:r w:rsidRPr="00263752">
              <w:rPr>
                <w:rFonts w:ascii="Book Antiqua" w:eastAsia="Calibri" w:hAnsi="Book Antiqua"/>
                <w:b/>
                <w:bCs/>
              </w:rPr>
              <w:t xml:space="preserve"> value</w:t>
            </w:r>
          </w:p>
        </w:tc>
      </w:tr>
      <w:tr w:rsidR="00263752" w:rsidRPr="009C224B" w14:paraId="0BECDBA3" w14:textId="77777777" w:rsidTr="00263752">
        <w:trPr>
          <w:trHeight w:val="318"/>
          <w:jc w:val="center"/>
        </w:trPr>
        <w:tc>
          <w:tcPr>
            <w:tcW w:w="0" w:type="auto"/>
            <w:tcBorders>
              <w:top w:val="single" w:sz="4" w:space="0" w:color="auto"/>
            </w:tcBorders>
            <w:noWrap/>
            <w:vAlign w:val="bottom"/>
            <w:hideMark/>
          </w:tcPr>
          <w:p w14:paraId="19967454" w14:textId="00B96A61" w:rsidR="004A536A" w:rsidRPr="009C224B" w:rsidRDefault="004A536A" w:rsidP="004A536A">
            <w:pPr>
              <w:snapToGrid w:val="0"/>
              <w:spacing w:line="360" w:lineRule="auto"/>
              <w:jc w:val="both"/>
              <w:rPr>
                <w:rFonts w:ascii="Book Antiqua" w:eastAsia="Calibri" w:hAnsi="Book Antiqua"/>
                <w:vertAlign w:val="superscript"/>
              </w:rPr>
            </w:pPr>
            <w:r w:rsidRPr="009C224B">
              <w:rPr>
                <w:rFonts w:ascii="Book Antiqua" w:eastAsia="Calibri" w:hAnsi="Book Antiqua"/>
              </w:rPr>
              <w:t>Length of</w:t>
            </w:r>
            <w:r w:rsidR="00326608" w:rsidRPr="009C224B">
              <w:rPr>
                <w:rFonts w:ascii="Book Antiqua" w:eastAsia="Calibri" w:hAnsi="Book Antiqua"/>
              </w:rPr>
              <w:t xml:space="preserve"> s</w:t>
            </w:r>
            <w:r w:rsidRPr="009C224B">
              <w:rPr>
                <w:rFonts w:ascii="Book Antiqua" w:eastAsia="Calibri" w:hAnsi="Book Antiqua"/>
              </w:rPr>
              <w:t>tay</w:t>
            </w:r>
          </w:p>
        </w:tc>
        <w:tc>
          <w:tcPr>
            <w:tcW w:w="0" w:type="auto"/>
            <w:tcBorders>
              <w:top w:val="single" w:sz="4" w:space="0" w:color="auto"/>
            </w:tcBorders>
            <w:noWrap/>
            <w:vAlign w:val="bottom"/>
            <w:hideMark/>
          </w:tcPr>
          <w:p w14:paraId="3BF97E40"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w:t>
            </w:r>
          </w:p>
        </w:tc>
        <w:tc>
          <w:tcPr>
            <w:tcW w:w="0" w:type="auto"/>
            <w:tcBorders>
              <w:top w:val="single" w:sz="4" w:space="0" w:color="auto"/>
            </w:tcBorders>
            <w:noWrap/>
            <w:vAlign w:val="bottom"/>
            <w:hideMark/>
          </w:tcPr>
          <w:p w14:paraId="6D6D3EE1"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w:t>
            </w:r>
          </w:p>
        </w:tc>
        <w:tc>
          <w:tcPr>
            <w:tcW w:w="0" w:type="auto"/>
            <w:tcBorders>
              <w:top w:val="single" w:sz="4" w:space="0" w:color="auto"/>
            </w:tcBorders>
            <w:noWrap/>
            <w:vAlign w:val="bottom"/>
            <w:hideMark/>
          </w:tcPr>
          <w:p w14:paraId="3C04CDB6" w14:textId="7627422F"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0.90</w:t>
            </w:r>
            <w:r w:rsidR="00326608" w:rsidRPr="009C224B">
              <w:rPr>
                <w:rFonts w:ascii="Book Antiqua" w:hAnsi="Book Antiqua" w:hint="eastAsia"/>
                <w:lang w:eastAsia="zh-CN"/>
              </w:rPr>
              <w:t xml:space="preserve"> </w:t>
            </w:r>
            <w:r w:rsidRPr="009C224B">
              <w:rPr>
                <w:rFonts w:ascii="Book Antiqua" w:eastAsia="Calibri" w:hAnsi="Book Antiqua"/>
              </w:rPr>
              <w:t>(0.88, 0.91)</w:t>
            </w:r>
            <w:r w:rsidRPr="009C224B">
              <w:rPr>
                <w:rFonts w:ascii="Book Antiqua" w:eastAsia="Calibri" w:hAnsi="Book Antiqua"/>
                <w:vertAlign w:val="superscript"/>
              </w:rPr>
              <w:t>1</w:t>
            </w:r>
          </w:p>
        </w:tc>
        <w:tc>
          <w:tcPr>
            <w:tcW w:w="0" w:type="auto"/>
            <w:tcBorders>
              <w:top w:val="single" w:sz="4" w:space="0" w:color="auto"/>
            </w:tcBorders>
            <w:noWrap/>
            <w:vAlign w:val="bottom"/>
            <w:hideMark/>
          </w:tcPr>
          <w:p w14:paraId="1F549BE1" w14:textId="5B230EDE"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&lt;</w:t>
            </w:r>
            <w:r w:rsidR="00326608" w:rsidRPr="009C224B">
              <w:rPr>
                <w:rFonts w:ascii="Book Antiqua" w:eastAsia="Calibri" w:hAnsi="Book Antiqua"/>
              </w:rPr>
              <w:t xml:space="preserve"> </w:t>
            </w:r>
            <w:r w:rsidRPr="009C224B">
              <w:rPr>
                <w:rFonts w:ascii="Book Antiqua" w:eastAsia="Calibri" w:hAnsi="Book Antiqua"/>
              </w:rPr>
              <w:t>0.01</w:t>
            </w:r>
          </w:p>
        </w:tc>
      </w:tr>
      <w:tr w:rsidR="00263752" w:rsidRPr="009C224B" w14:paraId="030482B8" w14:textId="77777777" w:rsidTr="00263752">
        <w:trPr>
          <w:trHeight w:val="318"/>
          <w:jc w:val="center"/>
        </w:trPr>
        <w:tc>
          <w:tcPr>
            <w:tcW w:w="0" w:type="auto"/>
            <w:noWrap/>
            <w:vAlign w:val="bottom"/>
            <w:hideMark/>
          </w:tcPr>
          <w:p w14:paraId="18B2A7FA" w14:textId="083036A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 xml:space="preserve">Discharge </w:t>
            </w:r>
            <w:r w:rsidR="00326608" w:rsidRPr="009C224B">
              <w:rPr>
                <w:rFonts w:ascii="Book Antiqua" w:eastAsia="Calibri" w:hAnsi="Book Antiqua"/>
              </w:rPr>
              <w:t>d</w:t>
            </w:r>
            <w:r w:rsidRPr="009C224B">
              <w:rPr>
                <w:rFonts w:ascii="Book Antiqua" w:eastAsia="Calibri" w:hAnsi="Book Antiqua"/>
              </w:rPr>
              <w:t>isposition</w:t>
            </w:r>
          </w:p>
        </w:tc>
        <w:tc>
          <w:tcPr>
            <w:tcW w:w="0" w:type="auto"/>
            <w:noWrap/>
            <w:vAlign w:val="bottom"/>
            <w:hideMark/>
          </w:tcPr>
          <w:p w14:paraId="5190911C" w14:textId="034377D4"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0.20</w:t>
            </w:r>
            <w:r w:rsidR="00326608" w:rsidRPr="009C224B">
              <w:rPr>
                <w:rFonts w:ascii="Book Antiqua" w:hAnsi="Book Antiqua" w:hint="eastAsia"/>
                <w:lang w:eastAsia="zh-CN"/>
              </w:rPr>
              <w:t xml:space="preserve"> </w:t>
            </w:r>
            <w:r w:rsidRPr="009C224B">
              <w:rPr>
                <w:rFonts w:ascii="Book Antiqua" w:eastAsia="Calibri" w:hAnsi="Book Antiqua"/>
              </w:rPr>
              <w:t>(0.13, 0.30)</w:t>
            </w:r>
          </w:p>
        </w:tc>
        <w:tc>
          <w:tcPr>
            <w:tcW w:w="0" w:type="auto"/>
            <w:noWrap/>
            <w:vAlign w:val="bottom"/>
            <w:hideMark/>
          </w:tcPr>
          <w:p w14:paraId="321BAD2C" w14:textId="4E58B97C"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&lt;</w:t>
            </w:r>
            <w:r w:rsidR="00326608" w:rsidRPr="009C224B">
              <w:rPr>
                <w:rFonts w:ascii="Book Antiqua" w:eastAsia="Calibri" w:hAnsi="Book Antiqua"/>
              </w:rPr>
              <w:t xml:space="preserve"> </w:t>
            </w:r>
            <w:r w:rsidRPr="009C224B">
              <w:rPr>
                <w:rFonts w:ascii="Book Antiqua" w:eastAsia="Calibri" w:hAnsi="Book Antiqua"/>
              </w:rPr>
              <w:t>0.01</w:t>
            </w:r>
          </w:p>
        </w:tc>
        <w:tc>
          <w:tcPr>
            <w:tcW w:w="0" w:type="auto"/>
            <w:noWrap/>
            <w:vAlign w:val="bottom"/>
            <w:hideMark/>
          </w:tcPr>
          <w:p w14:paraId="2DF7AC82" w14:textId="166AD485"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0.09</w:t>
            </w:r>
            <w:r w:rsidR="00326608" w:rsidRPr="009C224B">
              <w:rPr>
                <w:rFonts w:ascii="Book Antiqua" w:hAnsi="Book Antiqua" w:hint="eastAsia"/>
                <w:lang w:eastAsia="zh-CN"/>
              </w:rPr>
              <w:t xml:space="preserve"> </w:t>
            </w:r>
            <w:r w:rsidRPr="009C224B">
              <w:rPr>
                <w:rFonts w:ascii="Book Antiqua" w:eastAsia="Calibri" w:hAnsi="Book Antiqua"/>
              </w:rPr>
              <w:t>(0.05, 0.14)</w:t>
            </w:r>
            <w:r w:rsidRPr="009C224B">
              <w:rPr>
                <w:rFonts w:ascii="Book Antiqua" w:eastAsia="Calibri" w:hAnsi="Book Antiqua"/>
                <w:vertAlign w:val="superscript"/>
              </w:rPr>
              <w:t>2</w:t>
            </w:r>
          </w:p>
        </w:tc>
        <w:tc>
          <w:tcPr>
            <w:tcW w:w="0" w:type="auto"/>
            <w:noWrap/>
            <w:vAlign w:val="bottom"/>
            <w:hideMark/>
          </w:tcPr>
          <w:p w14:paraId="11A1B0B3" w14:textId="6AFE35FC"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&lt;</w:t>
            </w:r>
            <w:r w:rsidR="00326608" w:rsidRPr="009C224B">
              <w:rPr>
                <w:rFonts w:ascii="Book Antiqua" w:eastAsia="Calibri" w:hAnsi="Book Antiqua"/>
              </w:rPr>
              <w:t xml:space="preserve"> </w:t>
            </w:r>
            <w:r w:rsidRPr="009C224B">
              <w:rPr>
                <w:rFonts w:ascii="Book Antiqua" w:eastAsia="Calibri" w:hAnsi="Book Antiqua"/>
              </w:rPr>
              <w:t>0.01</w:t>
            </w:r>
          </w:p>
        </w:tc>
      </w:tr>
      <w:tr w:rsidR="00263752" w:rsidRPr="009C224B" w14:paraId="3F77B0E0" w14:textId="77777777" w:rsidTr="00263752">
        <w:trPr>
          <w:trHeight w:val="318"/>
          <w:jc w:val="center"/>
        </w:trPr>
        <w:tc>
          <w:tcPr>
            <w:tcW w:w="0" w:type="auto"/>
            <w:noWrap/>
            <w:vAlign w:val="bottom"/>
            <w:hideMark/>
          </w:tcPr>
          <w:p w14:paraId="5F178F74"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Readmission</w:t>
            </w:r>
          </w:p>
        </w:tc>
        <w:tc>
          <w:tcPr>
            <w:tcW w:w="0" w:type="auto"/>
            <w:noWrap/>
            <w:vAlign w:val="bottom"/>
            <w:hideMark/>
          </w:tcPr>
          <w:p w14:paraId="33C27C2D" w14:textId="5F15EC64"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0.76</w:t>
            </w:r>
            <w:r w:rsidR="00326608" w:rsidRPr="009C224B">
              <w:rPr>
                <w:rFonts w:ascii="Book Antiqua" w:hAnsi="Book Antiqua" w:hint="eastAsia"/>
                <w:lang w:eastAsia="zh-CN"/>
              </w:rPr>
              <w:t xml:space="preserve"> </w:t>
            </w:r>
            <w:r w:rsidRPr="009C224B">
              <w:rPr>
                <w:rFonts w:ascii="Book Antiqua" w:eastAsia="Calibri" w:hAnsi="Book Antiqua"/>
              </w:rPr>
              <w:t>(0.51, 1.12)</w:t>
            </w:r>
          </w:p>
        </w:tc>
        <w:tc>
          <w:tcPr>
            <w:tcW w:w="0" w:type="auto"/>
            <w:noWrap/>
            <w:vAlign w:val="bottom"/>
            <w:hideMark/>
          </w:tcPr>
          <w:p w14:paraId="47228E75"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0.17</w:t>
            </w:r>
          </w:p>
        </w:tc>
        <w:tc>
          <w:tcPr>
            <w:tcW w:w="0" w:type="auto"/>
            <w:noWrap/>
            <w:vAlign w:val="bottom"/>
            <w:hideMark/>
          </w:tcPr>
          <w:p w14:paraId="474AF245" w14:textId="2D00AF10"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0.72</w:t>
            </w:r>
            <w:r w:rsidR="00326608" w:rsidRPr="009C224B">
              <w:rPr>
                <w:rFonts w:ascii="Book Antiqua" w:hAnsi="Book Antiqua" w:hint="eastAsia"/>
                <w:lang w:eastAsia="zh-CN"/>
              </w:rPr>
              <w:t xml:space="preserve"> </w:t>
            </w:r>
            <w:r w:rsidRPr="009C224B">
              <w:rPr>
                <w:rFonts w:ascii="Book Antiqua" w:eastAsia="Calibri" w:hAnsi="Book Antiqua"/>
              </w:rPr>
              <w:t>(0.47, 1.09)</w:t>
            </w:r>
            <w:r w:rsidRPr="009C224B">
              <w:rPr>
                <w:rFonts w:ascii="Book Antiqua" w:eastAsia="Calibri" w:hAnsi="Book Antiqua"/>
                <w:vertAlign w:val="superscript"/>
              </w:rPr>
              <w:t>3</w:t>
            </w:r>
          </w:p>
        </w:tc>
        <w:tc>
          <w:tcPr>
            <w:tcW w:w="0" w:type="auto"/>
            <w:noWrap/>
            <w:vAlign w:val="bottom"/>
            <w:hideMark/>
          </w:tcPr>
          <w:p w14:paraId="213D15BD"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0.11</w:t>
            </w:r>
          </w:p>
        </w:tc>
      </w:tr>
    </w:tbl>
    <w:p w14:paraId="05C6F3B3" w14:textId="7C264D97" w:rsidR="009C224B" w:rsidRDefault="004A536A" w:rsidP="004A536A">
      <w:pPr>
        <w:pStyle w:val="Default"/>
        <w:snapToGrid w:val="0"/>
        <w:spacing w:before="0" w:beforeAutospacing="0" w:line="360" w:lineRule="auto"/>
        <w:jc w:val="both"/>
        <w:rPr>
          <w:rFonts w:ascii="Book Antiqua" w:hAnsi="Book Antiqua" w:cs="Times New Roman"/>
          <w:bCs/>
        </w:rPr>
      </w:pPr>
      <w:r w:rsidRPr="009C224B">
        <w:rPr>
          <w:rFonts w:ascii="Book Antiqua" w:hAnsi="Book Antiqua" w:cs="Times New Roman"/>
          <w:bCs/>
          <w:vertAlign w:val="superscript"/>
        </w:rPr>
        <w:t>1</w:t>
      </w:r>
      <w:r w:rsidRPr="009C224B">
        <w:rPr>
          <w:rFonts w:ascii="Book Antiqua" w:hAnsi="Book Antiqua" w:cs="Times New Roman"/>
          <w:bCs/>
        </w:rPr>
        <w:t xml:space="preserve">Poisson regression adjusted with age, gender, </w:t>
      </w:r>
      <w:r w:rsidR="009C224B">
        <w:rPr>
          <w:rFonts w:ascii="Book Antiqua" w:eastAsia="Book Antiqua" w:hAnsi="Book Antiqua" w:cs="Book Antiqua"/>
        </w:rPr>
        <w:t>body mass index (BMI)</w:t>
      </w:r>
      <w:r w:rsidRPr="009C224B">
        <w:rPr>
          <w:rFonts w:ascii="Book Antiqua" w:hAnsi="Book Antiqua" w:cs="Times New Roman"/>
          <w:bCs/>
        </w:rPr>
        <w:t xml:space="preserve">, </w:t>
      </w:r>
      <w:r w:rsidR="009C224B">
        <w:rPr>
          <w:rFonts w:ascii="Book Antiqua" w:eastAsia="Book Antiqua" w:hAnsi="Book Antiqua" w:cs="Book Antiqua"/>
        </w:rPr>
        <w:t>American Society of Anesthesiologists (ASA)</w:t>
      </w:r>
      <w:r w:rsidRPr="009C224B">
        <w:rPr>
          <w:rFonts w:ascii="Book Antiqua" w:hAnsi="Book Antiqua" w:cs="Times New Roman"/>
          <w:bCs/>
        </w:rPr>
        <w:t>, procedure type, and insurance type</w:t>
      </w:r>
      <w:r w:rsidR="009C224B">
        <w:rPr>
          <w:rFonts w:ascii="Book Antiqua" w:hAnsi="Book Antiqua" w:cs="Times New Roman"/>
          <w:bCs/>
        </w:rPr>
        <w:t>.</w:t>
      </w:r>
    </w:p>
    <w:p w14:paraId="60F76DED" w14:textId="77777777" w:rsidR="009C224B" w:rsidRDefault="004A536A" w:rsidP="004A536A">
      <w:pPr>
        <w:pStyle w:val="Default"/>
        <w:snapToGrid w:val="0"/>
        <w:spacing w:before="0" w:beforeAutospacing="0" w:line="360" w:lineRule="auto"/>
        <w:jc w:val="both"/>
        <w:rPr>
          <w:rFonts w:ascii="Book Antiqua" w:hAnsi="Book Antiqua" w:cs="Times New Roman"/>
          <w:bCs/>
        </w:rPr>
      </w:pPr>
      <w:r w:rsidRPr="009C224B">
        <w:rPr>
          <w:rFonts w:ascii="Book Antiqua" w:hAnsi="Book Antiqua" w:cs="Times New Roman"/>
          <w:bCs/>
          <w:vertAlign w:val="superscript"/>
        </w:rPr>
        <w:t>2</w:t>
      </w:r>
      <w:r w:rsidRPr="009C224B">
        <w:rPr>
          <w:rFonts w:ascii="Book Antiqua" w:hAnsi="Book Antiqua" w:cs="Times New Roman"/>
          <w:bCs/>
        </w:rPr>
        <w:t>Binomial logistic regression adjusted with LOS, age, gender, BMI, ASA, procedure type, and insurance type</w:t>
      </w:r>
      <w:r w:rsidR="009C224B">
        <w:rPr>
          <w:rFonts w:ascii="Book Antiqua" w:hAnsi="Book Antiqua" w:cs="Times New Roman"/>
          <w:bCs/>
        </w:rPr>
        <w:t>.</w:t>
      </w:r>
    </w:p>
    <w:p w14:paraId="6DC96A92" w14:textId="3DFAFE38" w:rsidR="004A536A" w:rsidRPr="009C224B" w:rsidRDefault="004A536A" w:rsidP="004A536A">
      <w:pPr>
        <w:pStyle w:val="Default"/>
        <w:snapToGrid w:val="0"/>
        <w:spacing w:before="0" w:beforeAutospacing="0" w:line="360" w:lineRule="auto"/>
        <w:jc w:val="both"/>
        <w:rPr>
          <w:rFonts w:ascii="Book Antiqua" w:hAnsi="Book Antiqua" w:cs="Times New Roman"/>
          <w:bCs/>
        </w:rPr>
      </w:pPr>
      <w:r w:rsidRPr="009C224B">
        <w:rPr>
          <w:rFonts w:ascii="Book Antiqua" w:hAnsi="Book Antiqua" w:cs="Times New Roman"/>
          <w:bCs/>
          <w:vertAlign w:val="superscript"/>
        </w:rPr>
        <w:t>3</w:t>
      </w:r>
      <w:r w:rsidRPr="009C224B">
        <w:rPr>
          <w:rFonts w:ascii="Book Antiqua" w:hAnsi="Book Antiqua" w:cs="Times New Roman"/>
          <w:bCs/>
        </w:rPr>
        <w:t>Binomial logistic regression adjusted with LOS, discharge disposition, age, gender, BMI, ASA, procedure type, and insurance type</w:t>
      </w:r>
      <w:r w:rsidR="003F0A0E" w:rsidRPr="009C224B">
        <w:rPr>
          <w:rFonts w:ascii="Book Antiqua" w:hAnsi="Book Antiqua" w:cs="Times New Roman"/>
          <w:bCs/>
        </w:rPr>
        <w:t>.</w:t>
      </w:r>
    </w:p>
    <w:p w14:paraId="20B091B8" w14:textId="2C46C0E3" w:rsidR="004A536A" w:rsidRPr="003F0A0E" w:rsidRDefault="004A536A" w:rsidP="004A536A">
      <w:pPr>
        <w:snapToGrid w:val="0"/>
        <w:spacing w:line="360" w:lineRule="auto"/>
        <w:jc w:val="both"/>
        <w:rPr>
          <w:rFonts w:ascii="Book Antiqua" w:hAnsi="Book Antiqua"/>
          <w:b/>
          <w:iCs/>
        </w:rPr>
      </w:pPr>
      <w:r w:rsidRPr="004A536A">
        <w:rPr>
          <w:rFonts w:ascii="Book Antiqua" w:hAnsi="Book Antiqua"/>
          <w:b/>
          <w:iCs/>
        </w:rPr>
        <w:br w:type="page"/>
      </w:r>
      <w:r w:rsidRPr="004A536A">
        <w:rPr>
          <w:rFonts w:ascii="Book Antiqua" w:eastAsia="Calibri" w:hAnsi="Book Antiqua"/>
          <w:b/>
          <w:bCs/>
        </w:rPr>
        <w:lastRenderedPageBreak/>
        <w:t xml:space="preserve">Table 3 Comparison of baseline characteristics between the </w:t>
      </w:r>
      <w:r w:rsidR="00644AA2" w:rsidRPr="00F92E08">
        <w:rPr>
          <w:rFonts w:ascii="Book Antiqua" w:eastAsia="Book Antiqua" w:hAnsi="Book Antiqua" w:cs="Book Antiqua"/>
          <w:b/>
          <w:bCs/>
          <w:color w:val="000000"/>
        </w:rPr>
        <w:t>Control-</w:t>
      </w:r>
      <w:r w:rsidR="00644AA2">
        <w:rPr>
          <w:rFonts w:ascii="Book Antiqua" w:eastAsia="Book Antiqua" w:hAnsi="Book Antiqua" w:cs="Book Antiqua"/>
          <w:b/>
          <w:bCs/>
          <w:color w:val="000000"/>
        </w:rPr>
        <w:t xml:space="preserve">2 </w:t>
      </w:r>
      <w:r w:rsidR="00644AA2" w:rsidRPr="00F92E08">
        <w:rPr>
          <w:rFonts w:ascii="Book Antiqua" w:eastAsia="Book Antiqua" w:hAnsi="Book Antiqua" w:cs="Book Antiqua"/>
          <w:b/>
          <w:bCs/>
          <w:color w:val="000000"/>
        </w:rPr>
        <w:t>perioperative surgical home</w:t>
      </w:r>
      <w:r w:rsidRPr="004A536A">
        <w:rPr>
          <w:rFonts w:ascii="Book Antiqua" w:eastAsia="Calibri" w:hAnsi="Book Antiqua"/>
          <w:b/>
          <w:bCs/>
        </w:rPr>
        <w:t xml:space="preserve"> and </w:t>
      </w:r>
      <w:r w:rsidR="00644AA2" w:rsidRPr="00F92E08">
        <w:rPr>
          <w:rFonts w:ascii="Book Antiqua" w:eastAsia="Book Antiqua" w:hAnsi="Book Antiqua" w:cs="Book Antiqua"/>
          <w:b/>
          <w:bCs/>
          <w:color w:val="000000"/>
        </w:rPr>
        <w:t>perioperative surgical home</w:t>
      </w:r>
      <w:r w:rsidRPr="004A536A">
        <w:rPr>
          <w:rFonts w:ascii="Book Antiqua" w:eastAsia="Calibri" w:hAnsi="Book Antiqua"/>
          <w:b/>
          <w:bCs/>
        </w:rPr>
        <w:t xml:space="preserve"> cohorts </w:t>
      </w:r>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1829"/>
        <w:gridCol w:w="2880"/>
        <w:gridCol w:w="2880"/>
        <w:gridCol w:w="1767"/>
      </w:tblGrid>
      <w:tr w:rsidR="00CD1A8A" w:rsidRPr="00263752" w14:paraId="7BF21573" w14:textId="77777777" w:rsidTr="00263752">
        <w:trPr>
          <w:trHeight w:val="352"/>
        </w:trPr>
        <w:tc>
          <w:tcPr>
            <w:tcW w:w="1829" w:type="dxa"/>
            <w:vMerge w:val="restart"/>
            <w:tcBorders>
              <w:top w:val="single" w:sz="4" w:space="0" w:color="auto"/>
              <w:bottom w:val="single" w:sz="4" w:space="0" w:color="auto"/>
            </w:tcBorders>
            <w:vAlign w:val="bottom"/>
            <w:hideMark/>
          </w:tcPr>
          <w:p w14:paraId="30D3151D" w14:textId="77777777" w:rsidR="00CD1A8A" w:rsidRPr="00263752" w:rsidRDefault="00CD1A8A" w:rsidP="004A536A">
            <w:pPr>
              <w:snapToGrid w:val="0"/>
              <w:spacing w:line="360" w:lineRule="auto"/>
              <w:ind w:left="29" w:hanging="29"/>
              <w:jc w:val="both"/>
              <w:rPr>
                <w:rFonts w:ascii="Book Antiqua" w:eastAsia="Times New Roman" w:hAnsi="Book Antiqua" w:cs="Calibri"/>
                <w:b/>
                <w:bCs/>
                <w:color w:val="000000"/>
              </w:rPr>
            </w:pPr>
            <w:r w:rsidRPr="00263752">
              <w:rPr>
                <w:rFonts w:ascii="Book Antiqua" w:eastAsia="Times New Roman" w:hAnsi="Book Antiqua" w:cs="Calibri"/>
                <w:b/>
                <w:bCs/>
                <w:color w:val="000000"/>
              </w:rPr>
              <w:t>Characteristics</w:t>
            </w:r>
          </w:p>
        </w:tc>
        <w:tc>
          <w:tcPr>
            <w:tcW w:w="2880" w:type="dxa"/>
            <w:tcBorders>
              <w:top w:val="single" w:sz="4" w:space="0" w:color="auto"/>
              <w:bottom w:val="single" w:sz="4" w:space="0" w:color="auto"/>
            </w:tcBorders>
            <w:vAlign w:val="bottom"/>
            <w:hideMark/>
          </w:tcPr>
          <w:p w14:paraId="5353AEF2" w14:textId="0BCB6C04" w:rsidR="00CD1A8A" w:rsidRPr="00263752" w:rsidRDefault="00CD1A8A" w:rsidP="004A536A">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C2-PSH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 892) </w:t>
            </w:r>
          </w:p>
        </w:tc>
        <w:tc>
          <w:tcPr>
            <w:tcW w:w="2880" w:type="dxa"/>
            <w:tcBorders>
              <w:top w:val="single" w:sz="4" w:space="0" w:color="auto"/>
              <w:bottom w:val="single" w:sz="4" w:space="0" w:color="auto"/>
            </w:tcBorders>
            <w:vAlign w:val="bottom"/>
            <w:hideMark/>
          </w:tcPr>
          <w:p w14:paraId="4D0E5E0F" w14:textId="5CB1FD8F" w:rsidR="00CD1A8A" w:rsidRPr="00263752" w:rsidRDefault="00CD1A8A" w:rsidP="004A536A">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PSH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 791) </w:t>
            </w:r>
          </w:p>
        </w:tc>
        <w:tc>
          <w:tcPr>
            <w:tcW w:w="1767" w:type="dxa"/>
            <w:vMerge w:val="restart"/>
            <w:tcBorders>
              <w:top w:val="single" w:sz="4" w:space="0" w:color="auto"/>
              <w:bottom w:val="single" w:sz="4" w:space="0" w:color="auto"/>
            </w:tcBorders>
            <w:noWrap/>
            <w:vAlign w:val="bottom"/>
          </w:tcPr>
          <w:p w14:paraId="6D47F0E9" w14:textId="279DDBD9" w:rsidR="00CD1A8A" w:rsidRPr="00263752" w:rsidRDefault="00CD1A8A" w:rsidP="004A536A">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i/>
                <w:iCs/>
                <w:color w:val="000000"/>
              </w:rPr>
              <w:t>P</w:t>
            </w:r>
            <w:r w:rsidRPr="00263752">
              <w:rPr>
                <w:rFonts w:ascii="Book Antiqua" w:eastAsia="Times New Roman" w:hAnsi="Book Antiqua" w:cs="Calibri"/>
                <w:b/>
                <w:bCs/>
                <w:color w:val="000000"/>
              </w:rPr>
              <w:t xml:space="preserve"> value</w:t>
            </w:r>
          </w:p>
        </w:tc>
      </w:tr>
      <w:tr w:rsidR="00CD1A8A" w:rsidRPr="00263752" w14:paraId="276C5D02" w14:textId="77777777" w:rsidTr="00263752">
        <w:trPr>
          <w:trHeight w:val="952"/>
        </w:trPr>
        <w:tc>
          <w:tcPr>
            <w:tcW w:w="1829" w:type="dxa"/>
            <w:vMerge/>
            <w:tcBorders>
              <w:top w:val="single" w:sz="4" w:space="0" w:color="auto"/>
              <w:bottom w:val="single" w:sz="4" w:space="0" w:color="auto"/>
            </w:tcBorders>
            <w:vAlign w:val="bottom"/>
          </w:tcPr>
          <w:p w14:paraId="3A4A5C37" w14:textId="77777777" w:rsidR="00CD1A8A" w:rsidRPr="00263752" w:rsidRDefault="00CD1A8A" w:rsidP="004A536A">
            <w:pPr>
              <w:snapToGrid w:val="0"/>
              <w:spacing w:line="360" w:lineRule="auto"/>
              <w:ind w:left="29" w:hanging="29"/>
              <w:jc w:val="both"/>
              <w:rPr>
                <w:rFonts w:ascii="Book Antiqua" w:eastAsia="Times New Roman" w:hAnsi="Book Antiqua" w:cs="Calibri"/>
                <w:b/>
                <w:bCs/>
                <w:color w:val="000000"/>
              </w:rPr>
            </w:pPr>
          </w:p>
        </w:tc>
        <w:tc>
          <w:tcPr>
            <w:tcW w:w="2880" w:type="dxa"/>
            <w:tcBorders>
              <w:top w:val="single" w:sz="4" w:space="0" w:color="auto"/>
              <w:bottom w:val="single" w:sz="4" w:space="0" w:color="auto"/>
            </w:tcBorders>
            <w:vAlign w:val="bottom"/>
          </w:tcPr>
          <w:p w14:paraId="51C06B8B" w14:textId="77777777" w:rsidR="00CD1A8A" w:rsidRPr="00263752" w:rsidRDefault="00CD1A8A" w:rsidP="00CD1A8A">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 xml:space="preserve">mean (SD) [min, max] or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w:t>
            </w:r>
          </w:p>
        </w:tc>
        <w:tc>
          <w:tcPr>
            <w:tcW w:w="2880" w:type="dxa"/>
            <w:tcBorders>
              <w:top w:val="single" w:sz="4" w:space="0" w:color="auto"/>
              <w:bottom w:val="single" w:sz="4" w:space="0" w:color="auto"/>
            </w:tcBorders>
            <w:vAlign w:val="bottom"/>
          </w:tcPr>
          <w:p w14:paraId="5DEA8ADC" w14:textId="77777777" w:rsidR="00CD1A8A" w:rsidRPr="00263752" w:rsidRDefault="00CD1A8A" w:rsidP="00CD1A8A">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 xml:space="preserve">mean (SD) [min, max] or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w:t>
            </w:r>
          </w:p>
        </w:tc>
        <w:tc>
          <w:tcPr>
            <w:tcW w:w="1767" w:type="dxa"/>
            <w:vMerge/>
            <w:tcBorders>
              <w:top w:val="single" w:sz="4" w:space="0" w:color="auto"/>
              <w:bottom w:val="single" w:sz="4" w:space="0" w:color="auto"/>
            </w:tcBorders>
            <w:noWrap/>
            <w:vAlign w:val="bottom"/>
          </w:tcPr>
          <w:p w14:paraId="09DE122F" w14:textId="77777777" w:rsidR="00CD1A8A" w:rsidRPr="00263752" w:rsidRDefault="00CD1A8A" w:rsidP="004A536A">
            <w:pPr>
              <w:snapToGrid w:val="0"/>
              <w:spacing w:line="360" w:lineRule="auto"/>
              <w:jc w:val="both"/>
              <w:rPr>
                <w:rFonts w:ascii="Book Antiqua" w:eastAsia="Times New Roman" w:hAnsi="Book Antiqua" w:cs="Calibri"/>
                <w:b/>
                <w:bCs/>
                <w:i/>
                <w:iCs/>
                <w:color w:val="000000"/>
              </w:rPr>
            </w:pPr>
          </w:p>
        </w:tc>
      </w:tr>
      <w:tr w:rsidR="004A536A" w:rsidRPr="00263752" w14:paraId="6DDE8234" w14:textId="77777777" w:rsidTr="00263752">
        <w:trPr>
          <w:trHeight w:val="287"/>
        </w:trPr>
        <w:tc>
          <w:tcPr>
            <w:tcW w:w="1829" w:type="dxa"/>
            <w:tcBorders>
              <w:top w:val="single" w:sz="4" w:space="0" w:color="auto"/>
            </w:tcBorders>
            <w:noWrap/>
            <w:vAlign w:val="bottom"/>
            <w:hideMark/>
          </w:tcPr>
          <w:p w14:paraId="112DD1E5"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Age</w:t>
            </w:r>
          </w:p>
        </w:tc>
        <w:tc>
          <w:tcPr>
            <w:tcW w:w="2880" w:type="dxa"/>
            <w:tcBorders>
              <w:top w:val="single" w:sz="4" w:space="0" w:color="auto"/>
            </w:tcBorders>
            <w:noWrap/>
            <w:vAlign w:val="center"/>
            <w:hideMark/>
          </w:tcPr>
          <w:p w14:paraId="25D9EE13"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69 (8.5) [37, 98]</w:t>
            </w:r>
          </w:p>
        </w:tc>
        <w:tc>
          <w:tcPr>
            <w:tcW w:w="2880" w:type="dxa"/>
            <w:tcBorders>
              <w:top w:val="single" w:sz="4" w:space="0" w:color="auto"/>
            </w:tcBorders>
            <w:noWrap/>
            <w:vAlign w:val="center"/>
            <w:hideMark/>
          </w:tcPr>
          <w:p w14:paraId="348F0500"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69.2 (8.6) [31, 90]</w:t>
            </w:r>
          </w:p>
        </w:tc>
        <w:tc>
          <w:tcPr>
            <w:tcW w:w="1767" w:type="dxa"/>
            <w:tcBorders>
              <w:top w:val="single" w:sz="4" w:space="0" w:color="auto"/>
            </w:tcBorders>
            <w:noWrap/>
            <w:vAlign w:val="bottom"/>
            <w:hideMark/>
          </w:tcPr>
          <w:p w14:paraId="6DBFB06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0.2</w:t>
            </w:r>
            <w:r w:rsidRPr="00263752">
              <w:rPr>
                <w:rFonts w:ascii="Book Antiqua" w:eastAsia="Times New Roman" w:hAnsi="Book Antiqua" w:cs="Calibri"/>
                <w:color w:val="000000"/>
                <w:vertAlign w:val="superscript"/>
              </w:rPr>
              <w:t>1</w:t>
            </w:r>
          </w:p>
        </w:tc>
      </w:tr>
      <w:tr w:rsidR="004A536A" w:rsidRPr="00263752" w14:paraId="4B5842E0" w14:textId="77777777" w:rsidTr="00263752">
        <w:trPr>
          <w:trHeight w:val="287"/>
        </w:trPr>
        <w:tc>
          <w:tcPr>
            <w:tcW w:w="1829" w:type="dxa"/>
            <w:noWrap/>
            <w:vAlign w:val="bottom"/>
            <w:hideMark/>
          </w:tcPr>
          <w:p w14:paraId="0C36069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Gender</w:t>
            </w:r>
          </w:p>
        </w:tc>
        <w:tc>
          <w:tcPr>
            <w:tcW w:w="2880" w:type="dxa"/>
            <w:noWrap/>
            <w:vAlign w:val="center"/>
          </w:tcPr>
          <w:p w14:paraId="0FA7B8E2"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2880" w:type="dxa"/>
            <w:noWrap/>
            <w:vAlign w:val="center"/>
          </w:tcPr>
          <w:p w14:paraId="306C6A67" w14:textId="77777777" w:rsidR="004A536A" w:rsidRPr="00263752" w:rsidRDefault="004A536A" w:rsidP="004A536A">
            <w:pPr>
              <w:snapToGrid w:val="0"/>
              <w:spacing w:line="360" w:lineRule="auto"/>
              <w:jc w:val="both"/>
              <w:rPr>
                <w:rFonts w:ascii="Book Antiqua" w:eastAsia="宋体" w:hAnsi="Book Antiqua"/>
              </w:rPr>
            </w:pPr>
          </w:p>
        </w:tc>
        <w:tc>
          <w:tcPr>
            <w:tcW w:w="1767" w:type="dxa"/>
            <w:vMerge w:val="restart"/>
            <w:noWrap/>
            <w:vAlign w:val="center"/>
            <w:hideMark/>
          </w:tcPr>
          <w:p w14:paraId="4A3AC30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0.52</w:t>
            </w:r>
            <w:r w:rsidRPr="00263752">
              <w:rPr>
                <w:rFonts w:ascii="Book Antiqua" w:eastAsia="Times New Roman" w:hAnsi="Book Antiqua" w:cs="Calibri"/>
                <w:color w:val="000000"/>
                <w:vertAlign w:val="superscript"/>
              </w:rPr>
              <w:t>2</w:t>
            </w:r>
          </w:p>
        </w:tc>
      </w:tr>
      <w:tr w:rsidR="004A536A" w:rsidRPr="00263752" w14:paraId="7F18D091" w14:textId="77777777" w:rsidTr="00263752">
        <w:trPr>
          <w:trHeight w:val="287"/>
        </w:trPr>
        <w:tc>
          <w:tcPr>
            <w:tcW w:w="1829" w:type="dxa"/>
            <w:noWrap/>
            <w:vAlign w:val="bottom"/>
            <w:hideMark/>
          </w:tcPr>
          <w:p w14:paraId="140A5DB9" w14:textId="77777777" w:rsidR="004A536A" w:rsidRPr="00263752" w:rsidRDefault="004A536A" w:rsidP="00263752">
            <w:pPr>
              <w:snapToGrid w:val="0"/>
              <w:spacing w:line="360" w:lineRule="auto"/>
              <w:rPr>
                <w:rFonts w:ascii="Book Antiqua" w:eastAsia="Times New Roman" w:hAnsi="Book Antiqua" w:cs="Calibri"/>
                <w:color w:val="000000"/>
              </w:rPr>
            </w:pPr>
            <w:r w:rsidRPr="00263752">
              <w:rPr>
                <w:rFonts w:ascii="Book Antiqua" w:eastAsia="Times New Roman" w:hAnsi="Book Antiqua" w:cs="Calibri"/>
                <w:color w:val="000000"/>
              </w:rPr>
              <w:t>Male</w:t>
            </w:r>
          </w:p>
        </w:tc>
        <w:tc>
          <w:tcPr>
            <w:tcW w:w="2880" w:type="dxa"/>
            <w:noWrap/>
            <w:vAlign w:val="center"/>
            <w:hideMark/>
          </w:tcPr>
          <w:p w14:paraId="6CBA4D95" w14:textId="0830B699"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439 (49.2</w:t>
            </w:r>
            <w:r w:rsidR="00F44154">
              <w:rPr>
                <w:rFonts w:ascii="Book Antiqua" w:eastAsia="Times New Roman" w:hAnsi="Book Antiqua" w:cs="Calibri"/>
                <w:color w:val="000000"/>
              </w:rPr>
              <w:t>)</w:t>
            </w:r>
          </w:p>
        </w:tc>
        <w:tc>
          <w:tcPr>
            <w:tcW w:w="2880" w:type="dxa"/>
            <w:noWrap/>
            <w:vAlign w:val="center"/>
            <w:hideMark/>
          </w:tcPr>
          <w:p w14:paraId="423F42FE" w14:textId="6FF66EF2"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376 (47.5</w:t>
            </w:r>
            <w:r w:rsidR="00F44154">
              <w:rPr>
                <w:rFonts w:ascii="Book Antiqua" w:eastAsia="Times New Roman" w:hAnsi="Book Antiqua" w:cs="Calibri"/>
                <w:color w:val="000000"/>
              </w:rPr>
              <w:t>)</w:t>
            </w:r>
          </w:p>
        </w:tc>
        <w:tc>
          <w:tcPr>
            <w:tcW w:w="1767" w:type="dxa"/>
            <w:vMerge/>
            <w:vAlign w:val="center"/>
            <w:hideMark/>
          </w:tcPr>
          <w:p w14:paraId="0FF9D97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0FB5E31D" w14:textId="77777777" w:rsidTr="00263752">
        <w:trPr>
          <w:trHeight w:val="287"/>
        </w:trPr>
        <w:tc>
          <w:tcPr>
            <w:tcW w:w="1829" w:type="dxa"/>
            <w:noWrap/>
            <w:vAlign w:val="bottom"/>
            <w:hideMark/>
          </w:tcPr>
          <w:p w14:paraId="7606542B" w14:textId="77777777" w:rsidR="004A536A" w:rsidRPr="00263752" w:rsidRDefault="004A536A" w:rsidP="00263752">
            <w:pPr>
              <w:snapToGrid w:val="0"/>
              <w:spacing w:line="360" w:lineRule="auto"/>
              <w:ind w:left="-1187"/>
              <w:jc w:val="center"/>
              <w:rPr>
                <w:rFonts w:ascii="Book Antiqua" w:eastAsia="Times New Roman" w:hAnsi="Book Antiqua" w:cs="Calibri"/>
                <w:color w:val="000000"/>
              </w:rPr>
            </w:pPr>
            <w:r w:rsidRPr="00263752">
              <w:rPr>
                <w:rFonts w:ascii="Book Antiqua" w:eastAsia="Times New Roman" w:hAnsi="Book Antiqua" w:cs="Calibri"/>
                <w:color w:val="000000"/>
              </w:rPr>
              <w:t>BMI</w:t>
            </w:r>
          </w:p>
        </w:tc>
        <w:tc>
          <w:tcPr>
            <w:tcW w:w="2880" w:type="dxa"/>
            <w:noWrap/>
            <w:vAlign w:val="center"/>
            <w:hideMark/>
          </w:tcPr>
          <w:p w14:paraId="6BD7DB7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30 (6.2) [17, 57.8]</w:t>
            </w:r>
          </w:p>
        </w:tc>
        <w:tc>
          <w:tcPr>
            <w:tcW w:w="2880" w:type="dxa"/>
            <w:noWrap/>
            <w:vAlign w:val="center"/>
            <w:hideMark/>
          </w:tcPr>
          <w:p w14:paraId="530A9EE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30 (6.1) [14.67, 55.3]</w:t>
            </w:r>
          </w:p>
        </w:tc>
        <w:tc>
          <w:tcPr>
            <w:tcW w:w="1767" w:type="dxa"/>
            <w:noWrap/>
            <w:vAlign w:val="bottom"/>
            <w:hideMark/>
          </w:tcPr>
          <w:p w14:paraId="597F9CF9"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0.76</w:t>
            </w:r>
            <w:r w:rsidRPr="00263752">
              <w:rPr>
                <w:rFonts w:ascii="Book Antiqua" w:eastAsia="Times New Roman" w:hAnsi="Book Antiqua" w:cs="Calibri"/>
                <w:color w:val="000000"/>
                <w:vertAlign w:val="superscript"/>
              </w:rPr>
              <w:t>1</w:t>
            </w:r>
          </w:p>
        </w:tc>
      </w:tr>
      <w:tr w:rsidR="004A536A" w:rsidRPr="00263752" w14:paraId="420CBA3C" w14:textId="77777777" w:rsidTr="00263752">
        <w:trPr>
          <w:trHeight w:val="287"/>
        </w:trPr>
        <w:tc>
          <w:tcPr>
            <w:tcW w:w="1829" w:type="dxa"/>
            <w:noWrap/>
            <w:vAlign w:val="bottom"/>
            <w:hideMark/>
          </w:tcPr>
          <w:p w14:paraId="4FD67D2A" w14:textId="77777777" w:rsidR="004A536A" w:rsidRPr="00263752" w:rsidRDefault="004A536A" w:rsidP="00263752">
            <w:pPr>
              <w:snapToGrid w:val="0"/>
              <w:spacing w:line="360" w:lineRule="auto"/>
              <w:rPr>
                <w:rFonts w:ascii="Book Antiqua" w:eastAsia="Times New Roman" w:hAnsi="Book Antiqua" w:cs="Calibri"/>
                <w:color w:val="000000"/>
              </w:rPr>
            </w:pPr>
            <w:r w:rsidRPr="00263752">
              <w:rPr>
                <w:rFonts w:ascii="Book Antiqua" w:eastAsia="Times New Roman" w:hAnsi="Book Antiqua" w:cs="Calibri"/>
                <w:color w:val="000000"/>
              </w:rPr>
              <w:t>ASA</w:t>
            </w:r>
          </w:p>
        </w:tc>
        <w:tc>
          <w:tcPr>
            <w:tcW w:w="2880" w:type="dxa"/>
            <w:noWrap/>
            <w:vAlign w:val="center"/>
          </w:tcPr>
          <w:p w14:paraId="728CA5D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2880" w:type="dxa"/>
            <w:noWrap/>
            <w:vAlign w:val="center"/>
          </w:tcPr>
          <w:p w14:paraId="18C35DC3" w14:textId="77777777" w:rsidR="004A536A" w:rsidRPr="00263752" w:rsidRDefault="004A536A" w:rsidP="004A536A">
            <w:pPr>
              <w:snapToGrid w:val="0"/>
              <w:spacing w:line="360" w:lineRule="auto"/>
              <w:jc w:val="both"/>
              <w:rPr>
                <w:rFonts w:ascii="Book Antiqua" w:eastAsia="宋体" w:hAnsi="Book Antiqua"/>
              </w:rPr>
            </w:pPr>
          </w:p>
        </w:tc>
        <w:tc>
          <w:tcPr>
            <w:tcW w:w="1767" w:type="dxa"/>
            <w:vMerge w:val="restart"/>
            <w:noWrap/>
            <w:vAlign w:val="center"/>
            <w:hideMark/>
          </w:tcPr>
          <w:p w14:paraId="19F0B2E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0.046</w:t>
            </w:r>
            <w:r w:rsidRPr="00263752">
              <w:rPr>
                <w:rFonts w:ascii="Book Antiqua" w:eastAsia="Times New Roman" w:hAnsi="Book Antiqua" w:cs="Calibri"/>
                <w:color w:val="000000"/>
                <w:vertAlign w:val="superscript"/>
              </w:rPr>
              <w:t>3</w:t>
            </w:r>
          </w:p>
        </w:tc>
      </w:tr>
      <w:tr w:rsidR="004A536A" w:rsidRPr="00263752" w14:paraId="24238837" w14:textId="77777777" w:rsidTr="00263752">
        <w:trPr>
          <w:trHeight w:val="287"/>
        </w:trPr>
        <w:tc>
          <w:tcPr>
            <w:tcW w:w="1829" w:type="dxa"/>
            <w:noWrap/>
            <w:vAlign w:val="bottom"/>
            <w:hideMark/>
          </w:tcPr>
          <w:p w14:paraId="7D5179F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1</w:t>
            </w:r>
          </w:p>
        </w:tc>
        <w:tc>
          <w:tcPr>
            <w:tcW w:w="2880" w:type="dxa"/>
            <w:noWrap/>
            <w:vAlign w:val="center"/>
            <w:hideMark/>
          </w:tcPr>
          <w:p w14:paraId="39C107B2" w14:textId="33FB3714"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24 (2.7</w:t>
            </w:r>
            <w:r w:rsidR="00F44154">
              <w:rPr>
                <w:rFonts w:ascii="Book Antiqua" w:eastAsia="Times New Roman" w:hAnsi="Book Antiqua" w:cs="Calibri"/>
                <w:color w:val="000000"/>
              </w:rPr>
              <w:t>)</w:t>
            </w:r>
          </w:p>
        </w:tc>
        <w:tc>
          <w:tcPr>
            <w:tcW w:w="2880" w:type="dxa"/>
            <w:noWrap/>
            <w:vAlign w:val="center"/>
            <w:hideMark/>
          </w:tcPr>
          <w:p w14:paraId="3D510105" w14:textId="1BB3B80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16 (3.4</w:t>
            </w:r>
            <w:r w:rsidR="00F44154">
              <w:rPr>
                <w:rFonts w:ascii="Book Antiqua" w:eastAsia="Times New Roman" w:hAnsi="Book Antiqua" w:cs="Calibri"/>
                <w:color w:val="000000"/>
              </w:rPr>
              <w:t>)</w:t>
            </w:r>
          </w:p>
        </w:tc>
        <w:tc>
          <w:tcPr>
            <w:tcW w:w="1767" w:type="dxa"/>
            <w:vMerge/>
            <w:vAlign w:val="center"/>
            <w:hideMark/>
          </w:tcPr>
          <w:p w14:paraId="67A0EFFC"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51774934" w14:textId="77777777" w:rsidTr="00263752">
        <w:trPr>
          <w:trHeight w:val="287"/>
        </w:trPr>
        <w:tc>
          <w:tcPr>
            <w:tcW w:w="1829" w:type="dxa"/>
            <w:noWrap/>
            <w:vAlign w:val="bottom"/>
            <w:hideMark/>
          </w:tcPr>
          <w:p w14:paraId="022D6E8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2</w:t>
            </w:r>
          </w:p>
        </w:tc>
        <w:tc>
          <w:tcPr>
            <w:tcW w:w="2880" w:type="dxa"/>
            <w:noWrap/>
            <w:vAlign w:val="center"/>
            <w:hideMark/>
          </w:tcPr>
          <w:p w14:paraId="23F56AD6" w14:textId="485656EE"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546 (61.2</w:t>
            </w:r>
            <w:r w:rsidR="00F44154">
              <w:rPr>
                <w:rFonts w:ascii="Book Antiqua" w:eastAsia="Times New Roman" w:hAnsi="Book Antiqua" w:cs="Calibri"/>
                <w:color w:val="000000"/>
              </w:rPr>
              <w:t>)</w:t>
            </w:r>
          </w:p>
        </w:tc>
        <w:tc>
          <w:tcPr>
            <w:tcW w:w="2880" w:type="dxa"/>
            <w:noWrap/>
            <w:vAlign w:val="center"/>
            <w:hideMark/>
          </w:tcPr>
          <w:p w14:paraId="19106605" w14:textId="62333A2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434 (54.9</w:t>
            </w:r>
            <w:r w:rsidR="00F44154">
              <w:rPr>
                <w:rFonts w:ascii="Book Antiqua" w:eastAsia="Times New Roman" w:hAnsi="Book Antiqua" w:cs="Calibri"/>
                <w:color w:val="000000"/>
              </w:rPr>
              <w:t>)</w:t>
            </w:r>
          </w:p>
        </w:tc>
        <w:tc>
          <w:tcPr>
            <w:tcW w:w="1767" w:type="dxa"/>
            <w:vMerge/>
            <w:vAlign w:val="center"/>
            <w:hideMark/>
          </w:tcPr>
          <w:p w14:paraId="252682DE"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1E4D5BD1" w14:textId="77777777" w:rsidTr="00263752">
        <w:trPr>
          <w:trHeight w:val="287"/>
        </w:trPr>
        <w:tc>
          <w:tcPr>
            <w:tcW w:w="1829" w:type="dxa"/>
            <w:noWrap/>
            <w:vAlign w:val="bottom"/>
            <w:hideMark/>
          </w:tcPr>
          <w:p w14:paraId="68401F76"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3</w:t>
            </w:r>
          </w:p>
        </w:tc>
        <w:tc>
          <w:tcPr>
            <w:tcW w:w="2880" w:type="dxa"/>
            <w:noWrap/>
            <w:vAlign w:val="center"/>
            <w:hideMark/>
          </w:tcPr>
          <w:p w14:paraId="7F03EE52" w14:textId="049A380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319 (35.8</w:t>
            </w:r>
            <w:r w:rsidR="00F44154">
              <w:rPr>
                <w:rFonts w:ascii="Book Antiqua" w:eastAsia="Times New Roman" w:hAnsi="Book Antiqua" w:cs="Calibri"/>
                <w:color w:val="000000"/>
              </w:rPr>
              <w:t>)</w:t>
            </w:r>
          </w:p>
        </w:tc>
        <w:tc>
          <w:tcPr>
            <w:tcW w:w="2880" w:type="dxa"/>
            <w:noWrap/>
            <w:vAlign w:val="center"/>
            <w:hideMark/>
          </w:tcPr>
          <w:p w14:paraId="54DAB4AD" w14:textId="22183C91"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332 (42</w:t>
            </w:r>
            <w:r w:rsidR="00F44154">
              <w:rPr>
                <w:rFonts w:ascii="Book Antiqua" w:eastAsia="Times New Roman" w:hAnsi="Book Antiqua" w:cs="Calibri"/>
                <w:color w:val="000000"/>
              </w:rPr>
              <w:t>)</w:t>
            </w:r>
          </w:p>
        </w:tc>
        <w:tc>
          <w:tcPr>
            <w:tcW w:w="1767" w:type="dxa"/>
            <w:vMerge/>
            <w:vAlign w:val="center"/>
            <w:hideMark/>
          </w:tcPr>
          <w:p w14:paraId="6552387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37E24FDB" w14:textId="77777777" w:rsidTr="00263752">
        <w:trPr>
          <w:trHeight w:val="287"/>
        </w:trPr>
        <w:tc>
          <w:tcPr>
            <w:tcW w:w="1829" w:type="dxa"/>
            <w:noWrap/>
            <w:vAlign w:val="bottom"/>
            <w:hideMark/>
          </w:tcPr>
          <w:p w14:paraId="18C81CF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4</w:t>
            </w:r>
          </w:p>
        </w:tc>
        <w:tc>
          <w:tcPr>
            <w:tcW w:w="2880" w:type="dxa"/>
            <w:noWrap/>
            <w:vAlign w:val="center"/>
            <w:hideMark/>
          </w:tcPr>
          <w:p w14:paraId="500B3659" w14:textId="02F63C6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 (0.3</w:t>
            </w:r>
            <w:r w:rsidR="00F44154">
              <w:rPr>
                <w:rFonts w:ascii="Book Antiqua" w:eastAsia="Times New Roman" w:hAnsi="Book Antiqua" w:cs="Calibri"/>
                <w:color w:val="000000"/>
              </w:rPr>
              <w:t>)</w:t>
            </w:r>
          </w:p>
        </w:tc>
        <w:tc>
          <w:tcPr>
            <w:tcW w:w="2880" w:type="dxa"/>
            <w:noWrap/>
            <w:vAlign w:val="center"/>
            <w:hideMark/>
          </w:tcPr>
          <w:p w14:paraId="5930C448" w14:textId="1969F7A4"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5 (0.6</w:t>
            </w:r>
            <w:r w:rsidR="00F44154">
              <w:rPr>
                <w:rFonts w:ascii="Book Antiqua" w:eastAsia="Times New Roman" w:hAnsi="Book Antiqua" w:cs="Calibri"/>
                <w:color w:val="000000"/>
              </w:rPr>
              <w:t>)</w:t>
            </w:r>
          </w:p>
        </w:tc>
        <w:tc>
          <w:tcPr>
            <w:tcW w:w="1767" w:type="dxa"/>
            <w:vMerge/>
            <w:vAlign w:val="center"/>
            <w:hideMark/>
          </w:tcPr>
          <w:p w14:paraId="3EE6D0B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2AA36856" w14:textId="77777777" w:rsidTr="00263752">
        <w:trPr>
          <w:trHeight w:val="287"/>
        </w:trPr>
        <w:tc>
          <w:tcPr>
            <w:tcW w:w="1829" w:type="dxa"/>
            <w:noWrap/>
            <w:vAlign w:val="bottom"/>
            <w:hideMark/>
          </w:tcPr>
          <w:p w14:paraId="001E47B3"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Procedure </w:t>
            </w:r>
          </w:p>
        </w:tc>
        <w:tc>
          <w:tcPr>
            <w:tcW w:w="2880" w:type="dxa"/>
            <w:noWrap/>
            <w:vAlign w:val="center"/>
          </w:tcPr>
          <w:p w14:paraId="24B147E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2880" w:type="dxa"/>
            <w:noWrap/>
            <w:vAlign w:val="center"/>
          </w:tcPr>
          <w:p w14:paraId="4020A417" w14:textId="77777777" w:rsidR="004A536A" w:rsidRPr="00263752" w:rsidRDefault="004A536A" w:rsidP="004A536A">
            <w:pPr>
              <w:snapToGrid w:val="0"/>
              <w:spacing w:line="360" w:lineRule="auto"/>
              <w:jc w:val="both"/>
              <w:rPr>
                <w:rFonts w:ascii="Book Antiqua" w:eastAsia="宋体" w:hAnsi="Book Antiqua"/>
              </w:rPr>
            </w:pPr>
          </w:p>
        </w:tc>
        <w:tc>
          <w:tcPr>
            <w:tcW w:w="1767" w:type="dxa"/>
            <w:vMerge w:val="restart"/>
            <w:noWrap/>
            <w:vAlign w:val="center"/>
            <w:hideMark/>
          </w:tcPr>
          <w:p w14:paraId="3F43E48A" w14:textId="00863D7D"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&lt;</w:t>
            </w:r>
            <w:r w:rsidR="00CD1A8A" w:rsidRPr="00263752">
              <w:rPr>
                <w:rFonts w:ascii="Book Antiqua" w:eastAsia="Times New Roman" w:hAnsi="Book Antiqua" w:cs="Calibri"/>
                <w:color w:val="000000"/>
              </w:rPr>
              <w:t xml:space="preserve"> </w:t>
            </w:r>
            <w:r w:rsidRPr="00263752">
              <w:rPr>
                <w:rFonts w:ascii="Book Antiqua" w:eastAsia="Times New Roman" w:hAnsi="Book Antiqua" w:cs="Calibri"/>
                <w:color w:val="000000"/>
              </w:rPr>
              <w:t>0.01</w:t>
            </w:r>
            <w:r w:rsidRPr="00263752">
              <w:rPr>
                <w:rFonts w:ascii="Book Antiqua" w:eastAsia="Times New Roman" w:hAnsi="Book Antiqua" w:cs="Calibri"/>
                <w:color w:val="000000"/>
                <w:vertAlign w:val="superscript"/>
              </w:rPr>
              <w:t>2</w:t>
            </w:r>
          </w:p>
        </w:tc>
      </w:tr>
      <w:tr w:rsidR="004A536A" w:rsidRPr="00263752" w14:paraId="344CF5F5" w14:textId="77777777" w:rsidTr="00263752">
        <w:trPr>
          <w:trHeight w:val="287"/>
        </w:trPr>
        <w:tc>
          <w:tcPr>
            <w:tcW w:w="1829" w:type="dxa"/>
            <w:noWrap/>
            <w:vAlign w:val="bottom"/>
            <w:hideMark/>
          </w:tcPr>
          <w:p w14:paraId="59E67BCA"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THA</w:t>
            </w:r>
          </w:p>
        </w:tc>
        <w:tc>
          <w:tcPr>
            <w:tcW w:w="2880" w:type="dxa"/>
            <w:noWrap/>
            <w:vAlign w:val="center"/>
            <w:hideMark/>
          </w:tcPr>
          <w:p w14:paraId="7A27D855" w14:textId="784469A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294 (33</w:t>
            </w:r>
            <w:r w:rsidR="00F44154">
              <w:rPr>
                <w:rFonts w:ascii="Book Antiqua" w:eastAsia="Times New Roman" w:hAnsi="Book Antiqua" w:cs="Calibri"/>
                <w:color w:val="000000"/>
              </w:rPr>
              <w:t>)</w:t>
            </w:r>
          </w:p>
        </w:tc>
        <w:tc>
          <w:tcPr>
            <w:tcW w:w="2880" w:type="dxa"/>
            <w:noWrap/>
            <w:vAlign w:val="center"/>
            <w:hideMark/>
          </w:tcPr>
          <w:p w14:paraId="65A340EB" w14:textId="7A844E3D"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311 (39.3</w:t>
            </w:r>
            <w:r w:rsidR="00F44154">
              <w:rPr>
                <w:rFonts w:ascii="Book Antiqua" w:eastAsia="Times New Roman" w:hAnsi="Book Antiqua" w:cs="Calibri"/>
                <w:color w:val="000000"/>
              </w:rPr>
              <w:t>)</w:t>
            </w:r>
          </w:p>
        </w:tc>
        <w:tc>
          <w:tcPr>
            <w:tcW w:w="1767" w:type="dxa"/>
            <w:vMerge/>
            <w:vAlign w:val="center"/>
            <w:hideMark/>
          </w:tcPr>
          <w:p w14:paraId="42FE63F1"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43F67D22" w14:textId="77777777" w:rsidTr="00263752">
        <w:trPr>
          <w:trHeight w:val="287"/>
        </w:trPr>
        <w:tc>
          <w:tcPr>
            <w:tcW w:w="1829" w:type="dxa"/>
            <w:noWrap/>
            <w:vAlign w:val="bottom"/>
            <w:hideMark/>
          </w:tcPr>
          <w:p w14:paraId="078496F1"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TKA</w:t>
            </w:r>
          </w:p>
        </w:tc>
        <w:tc>
          <w:tcPr>
            <w:tcW w:w="2880" w:type="dxa"/>
            <w:noWrap/>
            <w:vAlign w:val="center"/>
            <w:hideMark/>
          </w:tcPr>
          <w:p w14:paraId="049F545A" w14:textId="4EB57F5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355 (39.8</w:t>
            </w:r>
            <w:r w:rsidR="00F44154">
              <w:rPr>
                <w:rFonts w:ascii="Book Antiqua" w:eastAsia="Times New Roman" w:hAnsi="Book Antiqua" w:cs="Calibri"/>
                <w:color w:val="000000"/>
              </w:rPr>
              <w:t>)</w:t>
            </w:r>
          </w:p>
        </w:tc>
        <w:tc>
          <w:tcPr>
            <w:tcW w:w="2880" w:type="dxa"/>
            <w:noWrap/>
            <w:vAlign w:val="center"/>
            <w:hideMark/>
          </w:tcPr>
          <w:p w14:paraId="6F73A808" w14:textId="70D890F0"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356 (45</w:t>
            </w:r>
            <w:r w:rsidR="00F44154">
              <w:rPr>
                <w:rFonts w:ascii="Book Antiqua" w:eastAsia="Times New Roman" w:hAnsi="Book Antiqua" w:cs="Calibri"/>
                <w:color w:val="000000"/>
              </w:rPr>
              <w:t>)</w:t>
            </w:r>
          </w:p>
        </w:tc>
        <w:tc>
          <w:tcPr>
            <w:tcW w:w="1767" w:type="dxa"/>
            <w:vMerge/>
            <w:vAlign w:val="center"/>
            <w:hideMark/>
          </w:tcPr>
          <w:p w14:paraId="4302229B"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551C1B79" w14:textId="77777777" w:rsidTr="00263752">
        <w:trPr>
          <w:trHeight w:val="287"/>
        </w:trPr>
        <w:tc>
          <w:tcPr>
            <w:tcW w:w="1829" w:type="dxa"/>
            <w:noWrap/>
            <w:vAlign w:val="bottom"/>
            <w:hideMark/>
          </w:tcPr>
          <w:p w14:paraId="622B5F9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TSA</w:t>
            </w:r>
          </w:p>
        </w:tc>
        <w:tc>
          <w:tcPr>
            <w:tcW w:w="2880" w:type="dxa"/>
            <w:noWrap/>
            <w:vAlign w:val="center"/>
            <w:hideMark/>
          </w:tcPr>
          <w:p w14:paraId="34FFD0D8" w14:textId="290325E1"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243 (27.2</w:t>
            </w:r>
            <w:r w:rsidR="00F44154">
              <w:rPr>
                <w:rFonts w:ascii="Book Antiqua" w:eastAsia="Times New Roman" w:hAnsi="Book Antiqua" w:cs="Calibri"/>
                <w:color w:val="000000"/>
              </w:rPr>
              <w:t>)</w:t>
            </w:r>
          </w:p>
        </w:tc>
        <w:tc>
          <w:tcPr>
            <w:tcW w:w="2880" w:type="dxa"/>
            <w:noWrap/>
            <w:vAlign w:val="center"/>
            <w:hideMark/>
          </w:tcPr>
          <w:p w14:paraId="54FBBAE5" w14:textId="01210A3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124 (15.7</w:t>
            </w:r>
            <w:r w:rsidR="00F44154">
              <w:rPr>
                <w:rFonts w:ascii="Book Antiqua" w:eastAsia="Times New Roman" w:hAnsi="Book Antiqua" w:cs="Calibri"/>
                <w:color w:val="000000"/>
              </w:rPr>
              <w:t>)</w:t>
            </w:r>
          </w:p>
        </w:tc>
        <w:tc>
          <w:tcPr>
            <w:tcW w:w="1767" w:type="dxa"/>
            <w:vMerge/>
            <w:vAlign w:val="center"/>
            <w:hideMark/>
          </w:tcPr>
          <w:p w14:paraId="583DC785"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57F213A6" w14:textId="77777777" w:rsidTr="00263752">
        <w:trPr>
          <w:trHeight w:val="287"/>
        </w:trPr>
        <w:tc>
          <w:tcPr>
            <w:tcW w:w="1829" w:type="dxa"/>
            <w:noWrap/>
            <w:vAlign w:val="bottom"/>
            <w:hideMark/>
          </w:tcPr>
          <w:p w14:paraId="3256C8D9"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Insurance </w:t>
            </w:r>
          </w:p>
        </w:tc>
        <w:tc>
          <w:tcPr>
            <w:tcW w:w="2880" w:type="dxa"/>
            <w:noWrap/>
            <w:vAlign w:val="center"/>
          </w:tcPr>
          <w:p w14:paraId="46640925"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2880" w:type="dxa"/>
            <w:noWrap/>
            <w:vAlign w:val="center"/>
          </w:tcPr>
          <w:p w14:paraId="06BFA1E4" w14:textId="77777777" w:rsidR="004A536A" w:rsidRPr="00263752" w:rsidRDefault="004A536A" w:rsidP="004A536A">
            <w:pPr>
              <w:snapToGrid w:val="0"/>
              <w:spacing w:line="360" w:lineRule="auto"/>
              <w:jc w:val="both"/>
              <w:rPr>
                <w:rFonts w:ascii="Book Antiqua" w:eastAsia="宋体" w:hAnsi="Book Antiqua"/>
              </w:rPr>
            </w:pPr>
          </w:p>
        </w:tc>
        <w:tc>
          <w:tcPr>
            <w:tcW w:w="1767" w:type="dxa"/>
            <w:vMerge w:val="restart"/>
            <w:noWrap/>
            <w:vAlign w:val="center"/>
            <w:hideMark/>
          </w:tcPr>
          <w:p w14:paraId="00B26C51"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0.4</w:t>
            </w:r>
            <w:r w:rsidRPr="00263752">
              <w:rPr>
                <w:rFonts w:ascii="Book Antiqua" w:eastAsia="Times New Roman" w:hAnsi="Book Antiqua" w:cs="Calibri"/>
                <w:color w:val="000000"/>
                <w:vertAlign w:val="superscript"/>
              </w:rPr>
              <w:t>2</w:t>
            </w:r>
          </w:p>
        </w:tc>
      </w:tr>
      <w:tr w:rsidR="004A536A" w:rsidRPr="00263752" w14:paraId="5AF5A4F2" w14:textId="77777777" w:rsidTr="00263752">
        <w:trPr>
          <w:trHeight w:val="287"/>
        </w:trPr>
        <w:tc>
          <w:tcPr>
            <w:tcW w:w="1829" w:type="dxa"/>
            <w:noWrap/>
            <w:vAlign w:val="bottom"/>
            <w:hideMark/>
          </w:tcPr>
          <w:p w14:paraId="7CE8B84B"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Private </w:t>
            </w:r>
          </w:p>
        </w:tc>
        <w:tc>
          <w:tcPr>
            <w:tcW w:w="2880" w:type="dxa"/>
            <w:noWrap/>
            <w:vAlign w:val="center"/>
            <w:hideMark/>
          </w:tcPr>
          <w:p w14:paraId="06F31D9F" w14:textId="30E2ABEC"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179 (20</w:t>
            </w:r>
            <w:r w:rsidR="00F44154">
              <w:rPr>
                <w:rFonts w:ascii="Book Antiqua" w:eastAsia="Times New Roman" w:hAnsi="Book Antiqua" w:cs="Calibri"/>
                <w:color w:val="000000"/>
              </w:rPr>
              <w:t>)</w:t>
            </w:r>
          </w:p>
        </w:tc>
        <w:tc>
          <w:tcPr>
            <w:tcW w:w="2880" w:type="dxa"/>
            <w:noWrap/>
            <w:vAlign w:val="center"/>
            <w:hideMark/>
          </w:tcPr>
          <w:p w14:paraId="37C4005A" w14:textId="6FC67C9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145 (18</w:t>
            </w:r>
            <w:r w:rsidR="00F44154">
              <w:rPr>
                <w:rFonts w:ascii="Book Antiqua" w:eastAsia="Times New Roman" w:hAnsi="Book Antiqua" w:cs="Calibri"/>
                <w:color w:val="000000"/>
              </w:rPr>
              <w:t>)</w:t>
            </w:r>
          </w:p>
        </w:tc>
        <w:tc>
          <w:tcPr>
            <w:tcW w:w="1767" w:type="dxa"/>
            <w:vMerge/>
            <w:vAlign w:val="center"/>
            <w:hideMark/>
          </w:tcPr>
          <w:p w14:paraId="754E613F"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2F30D907" w14:textId="77777777" w:rsidTr="00263752">
        <w:trPr>
          <w:trHeight w:val="287"/>
        </w:trPr>
        <w:tc>
          <w:tcPr>
            <w:tcW w:w="1829" w:type="dxa"/>
            <w:noWrap/>
            <w:vAlign w:val="bottom"/>
            <w:hideMark/>
          </w:tcPr>
          <w:p w14:paraId="1CC5C9E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Public </w:t>
            </w:r>
          </w:p>
        </w:tc>
        <w:tc>
          <w:tcPr>
            <w:tcW w:w="2880" w:type="dxa"/>
            <w:noWrap/>
            <w:vAlign w:val="center"/>
            <w:hideMark/>
          </w:tcPr>
          <w:p w14:paraId="6ADEA124" w14:textId="7B1A00A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713 (80</w:t>
            </w:r>
            <w:r w:rsidR="00F44154">
              <w:rPr>
                <w:rFonts w:ascii="Book Antiqua" w:eastAsia="Times New Roman" w:hAnsi="Book Antiqua" w:cs="Calibri"/>
                <w:color w:val="000000"/>
              </w:rPr>
              <w:t>)</w:t>
            </w:r>
          </w:p>
        </w:tc>
        <w:tc>
          <w:tcPr>
            <w:tcW w:w="2880" w:type="dxa"/>
            <w:noWrap/>
            <w:vAlign w:val="center"/>
            <w:hideMark/>
          </w:tcPr>
          <w:p w14:paraId="79D8CB33" w14:textId="0D6540AA"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646 (82</w:t>
            </w:r>
            <w:r w:rsidR="00F44154">
              <w:rPr>
                <w:rFonts w:ascii="Book Antiqua" w:eastAsia="Times New Roman" w:hAnsi="Book Antiqua" w:cs="Calibri"/>
                <w:color w:val="000000"/>
              </w:rPr>
              <w:t>)</w:t>
            </w:r>
          </w:p>
        </w:tc>
        <w:tc>
          <w:tcPr>
            <w:tcW w:w="1767" w:type="dxa"/>
            <w:vMerge/>
            <w:vAlign w:val="center"/>
            <w:hideMark/>
          </w:tcPr>
          <w:p w14:paraId="0CF85DBD"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bl>
    <w:p w14:paraId="51507FC4" w14:textId="77777777" w:rsidR="00763BDB" w:rsidRDefault="00763BDB"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1</w:t>
      </w:r>
      <w:r w:rsidRPr="004A536A">
        <w:rPr>
          <w:rFonts w:ascii="Book Antiqua" w:eastAsia="Calibri" w:hAnsi="Book Antiqua"/>
        </w:rPr>
        <w:t>Mann-Whitney test.</w:t>
      </w:r>
    </w:p>
    <w:p w14:paraId="5122DB99" w14:textId="77777777" w:rsidR="00763BDB" w:rsidRDefault="00763BDB"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2</w:t>
      </w:r>
      <w:r w:rsidRPr="004A536A">
        <w:rPr>
          <w:rFonts w:ascii="Book Antiqua" w:eastAsia="Calibri" w:hAnsi="Book Antiqua"/>
        </w:rPr>
        <w:t>Chi-square test.</w:t>
      </w:r>
    </w:p>
    <w:p w14:paraId="390E1DA7" w14:textId="77777777" w:rsidR="0091191B" w:rsidRDefault="00763BDB"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3</w:t>
      </w:r>
      <w:r w:rsidRPr="004A536A">
        <w:rPr>
          <w:rFonts w:ascii="Book Antiqua" w:eastAsia="Calibri" w:hAnsi="Book Antiqua"/>
        </w:rPr>
        <w:t>Ficher’s exact test</w:t>
      </w:r>
      <w:r>
        <w:rPr>
          <w:rFonts w:ascii="Book Antiqua" w:eastAsia="Calibri" w:hAnsi="Book Antiqua"/>
        </w:rPr>
        <w:t>.</w:t>
      </w:r>
    </w:p>
    <w:p w14:paraId="027F9FED" w14:textId="6D9456FF" w:rsidR="003F0A0E" w:rsidRDefault="00763BDB" w:rsidP="004A536A">
      <w:pPr>
        <w:snapToGrid w:val="0"/>
        <w:spacing w:line="360" w:lineRule="auto"/>
        <w:jc w:val="both"/>
        <w:rPr>
          <w:rFonts w:ascii="Book Antiqua" w:eastAsia="Calibri" w:hAnsi="Book Antiqua"/>
        </w:rPr>
      </w:pPr>
      <w:r w:rsidRPr="00763BDB">
        <w:rPr>
          <w:rFonts w:ascii="Book Antiqua" w:eastAsia="Calibri" w:hAnsi="Book Antiqua"/>
        </w:rPr>
        <w:t>C2-PSH</w:t>
      </w:r>
      <w:r>
        <w:rPr>
          <w:rFonts w:ascii="Book Antiqua" w:eastAsia="Calibri" w:hAnsi="Book Antiqua"/>
        </w:rPr>
        <w:t>:</w:t>
      </w:r>
      <w:r w:rsidRPr="00763BDB">
        <w:rPr>
          <w:rFonts w:ascii="Book Antiqua" w:eastAsia="Calibri" w:hAnsi="Book Antiqua"/>
        </w:rPr>
        <w:t xml:space="preserve"> Control-2 perioperative surgical hom</w:t>
      </w:r>
      <w:r w:rsidRPr="00263752">
        <w:rPr>
          <w:rFonts w:ascii="Book Antiqua" w:eastAsia="Calibri" w:hAnsi="Book Antiqua"/>
        </w:rPr>
        <w:t>e; BMI: Bod</w:t>
      </w:r>
      <w:r w:rsidRPr="004A536A">
        <w:rPr>
          <w:rFonts w:ascii="Book Antiqua" w:eastAsia="Calibri" w:hAnsi="Book Antiqua"/>
        </w:rPr>
        <w:t>y mass index</w:t>
      </w:r>
      <w:r>
        <w:rPr>
          <w:rFonts w:ascii="Book Antiqua" w:eastAsia="Calibri" w:hAnsi="Book Antiqua"/>
        </w:rPr>
        <w:t xml:space="preserve">; </w:t>
      </w:r>
      <w:r w:rsidR="004A536A" w:rsidRPr="004A536A">
        <w:rPr>
          <w:rFonts w:ascii="Book Antiqua" w:eastAsia="Calibri" w:hAnsi="Book Antiqua"/>
        </w:rPr>
        <w:t>ASA: American Society of Anesthesiologist Score</w:t>
      </w:r>
      <w:r>
        <w:rPr>
          <w:rFonts w:ascii="Book Antiqua" w:eastAsia="Calibri" w:hAnsi="Book Antiqua"/>
        </w:rPr>
        <w:t>;</w:t>
      </w:r>
      <w:r w:rsidR="004A536A" w:rsidRPr="004A536A">
        <w:rPr>
          <w:rFonts w:ascii="Book Antiqua" w:eastAsia="Calibri" w:hAnsi="Book Antiqua"/>
        </w:rPr>
        <w:t xml:space="preserve"> THA: Total </w:t>
      </w:r>
      <w:r w:rsidR="00CD1A8A" w:rsidRPr="004A536A">
        <w:rPr>
          <w:rFonts w:ascii="Book Antiqua" w:eastAsia="Calibri" w:hAnsi="Book Antiqua"/>
        </w:rPr>
        <w:t>hip a</w:t>
      </w:r>
      <w:r w:rsidR="004A536A" w:rsidRPr="004A536A">
        <w:rPr>
          <w:rFonts w:ascii="Book Antiqua" w:eastAsia="Calibri" w:hAnsi="Book Antiqua"/>
        </w:rPr>
        <w:t>rthroplasty</w:t>
      </w:r>
      <w:r>
        <w:rPr>
          <w:rFonts w:ascii="Book Antiqua" w:eastAsia="Calibri" w:hAnsi="Book Antiqua"/>
        </w:rPr>
        <w:t>;</w:t>
      </w:r>
      <w:r w:rsidR="004A536A" w:rsidRPr="004A536A">
        <w:rPr>
          <w:rFonts w:ascii="Book Antiqua" w:eastAsia="Calibri" w:hAnsi="Book Antiqua"/>
        </w:rPr>
        <w:t xml:space="preserve"> TKA: Total </w:t>
      </w:r>
      <w:r w:rsidRPr="004A536A">
        <w:rPr>
          <w:rFonts w:ascii="Book Antiqua" w:eastAsia="Calibri" w:hAnsi="Book Antiqua"/>
        </w:rPr>
        <w:t>knee a</w:t>
      </w:r>
      <w:r w:rsidR="004A536A" w:rsidRPr="004A536A">
        <w:rPr>
          <w:rFonts w:ascii="Book Antiqua" w:eastAsia="Calibri" w:hAnsi="Book Antiqua"/>
        </w:rPr>
        <w:t>rthroplasty</w:t>
      </w:r>
      <w:r>
        <w:rPr>
          <w:rFonts w:ascii="Book Antiqua" w:eastAsia="Calibri" w:hAnsi="Book Antiqua"/>
        </w:rPr>
        <w:t>;</w:t>
      </w:r>
      <w:r w:rsidR="004A536A" w:rsidRPr="004A536A">
        <w:rPr>
          <w:rFonts w:ascii="Book Antiqua" w:eastAsia="Calibri" w:hAnsi="Book Antiqua"/>
        </w:rPr>
        <w:t xml:space="preserve"> TSA: Total </w:t>
      </w:r>
      <w:r w:rsidRPr="004A536A">
        <w:rPr>
          <w:rFonts w:ascii="Book Antiqua" w:eastAsia="Calibri" w:hAnsi="Book Antiqua"/>
        </w:rPr>
        <w:t>shoulder a</w:t>
      </w:r>
      <w:r w:rsidR="004A536A" w:rsidRPr="004A536A">
        <w:rPr>
          <w:rFonts w:ascii="Book Antiqua" w:eastAsia="Calibri" w:hAnsi="Book Antiqua"/>
        </w:rPr>
        <w:t>rthroplasty</w:t>
      </w:r>
      <w:r>
        <w:rPr>
          <w:rFonts w:ascii="Book Antiqua" w:eastAsia="Calibri" w:hAnsi="Book Antiqua"/>
        </w:rPr>
        <w:t>.</w:t>
      </w:r>
    </w:p>
    <w:p w14:paraId="7526FA0C" w14:textId="216FC8D6" w:rsidR="004A536A" w:rsidRPr="003F0A0E" w:rsidRDefault="003F0A0E" w:rsidP="003F0A0E">
      <w:pPr>
        <w:snapToGrid w:val="0"/>
        <w:spacing w:line="360" w:lineRule="auto"/>
        <w:jc w:val="both"/>
        <w:rPr>
          <w:rFonts w:ascii="Book Antiqua" w:eastAsia="Calibri" w:hAnsi="Book Antiqua"/>
        </w:rPr>
      </w:pPr>
      <w:r>
        <w:rPr>
          <w:rFonts w:ascii="Book Antiqua" w:eastAsia="Calibri" w:hAnsi="Book Antiqua"/>
        </w:rPr>
        <w:br w:type="page"/>
      </w:r>
      <w:r w:rsidR="004A536A" w:rsidRPr="004A536A">
        <w:rPr>
          <w:rFonts w:ascii="Book Antiqua" w:hAnsi="Book Antiqua"/>
          <w:b/>
        </w:rPr>
        <w:lastRenderedPageBreak/>
        <w:t xml:space="preserve">Table 4 Surgical outcomes of </w:t>
      </w:r>
      <w:r w:rsidR="00644AA2" w:rsidRPr="00F92E08">
        <w:rPr>
          <w:rFonts w:ascii="Book Antiqua" w:eastAsia="Book Antiqua" w:hAnsi="Book Antiqua" w:cs="Book Antiqua"/>
          <w:b/>
          <w:bCs/>
          <w:color w:val="000000"/>
        </w:rPr>
        <w:t>perioperative surgical home</w:t>
      </w:r>
      <w:r w:rsidR="004A536A" w:rsidRPr="004A536A">
        <w:rPr>
          <w:rFonts w:ascii="Book Antiqua" w:hAnsi="Book Antiqua"/>
          <w:b/>
        </w:rPr>
        <w:t xml:space="preserve"> cohort relative to </w:t>
      </w:r>
      <w:r w:rsidR="00644AA2" w:rsidRPr="004A536A">
        <w:rPr>
          <w:rFonts w:ascii="Book Antiqua" w:hAnsi="Book Antiqua"/>
          <w:b/>
        </w:rPr>
        <w:t>C</w:t>
      </w:r>
      <w:r w:rsidR="004A536A" w:rsidRPr="004A536A">
        <w:rPr>
          <w:rFonts w:ascii="Book Antiqua" w:hAnsi="Book Antiqua"/>
          <w:b/>
        </w:rPr>
        <w:t>ontrol-2 non-</w:t>
      </w:r>
      <w:r w:rsidR="00644AA2" w:rsidRPr="00F92E08">
        <w:rPr>
          <w:rFonts w:ascii="Book Antiqua" w:eastAsia="Book Antiqua" w:hAnsi="Book Antiqua" w:cs="Book Antiqua"/>
          <w:b/>
          <w:bCs/>
          <w:color w:val="000000"/>
        </w:rPr>
        <w:t>perioperative surgical home</w:t>
      </w:r>
      <w:r w:rsidR="004A536A" w:rsidRPr="004A536A">
        <w:rPr>
          <w:rFonts w:ascii="Book Antiqua" w:hAnsi="Book Antiqua"/>
          <w:b/>
        </w:rPr>
        <w:t xml:space="preserve"> cohort</w:t>
      </w:r>
    </w:p>
    <w:tbl>
      <w:tblPr>
        <w:tblW w:w="9360" w:type="dxa"/>
        <w:tblInd w:w="135" w:type="dxa"/>
        <w:tblBorders>
          <w:top w:val="single" w:sz="4" w:space="0" w:color="auto"/>
          <w:bottom w:val="single" w:sz="4" w:space="0" w:color="auto"/>
        </w:tblBorders>
        <w:tblLook w:val="04A0" w:firstRow="1" w:lastRow="0" w:firstColumn="1" w:lastColumn="0" w:noHBand="0" w:noVBand="1"/>
      </w:tblPr>
      <w:tblGrid>
        <w:gridCol w:w="2528"/>
        <w:gridCol w:w="1930"/>
        <w:gridCol w:w="1612"/>
        <w:gridCol w:w="1945"/>
        <w:gridCol w:w="1345"/>
      </w:tblGrid>
      <w:tr w:rsidR="00263752" w:rsidRPr="00263752" w14:paraId="4FE3F216" w14:textId="77777777" w:rsidTr="00263752">
        <w:trPr>
          <w:trHeight w:val="681"/>
        </w:trPr>
        <w:tc>
          <w:tcPr>
            <w:tcW w:w="0" w:type="auto"/>
            <w:tcBorders>
              <w:top w:val="single" w:sz="4" w:space="0" w:color="auto"/>
              <w:bottom w:val="single" w:sz="4" w:space="0" w:color="auto"/>
            </w:tcBorders>
            <w:noWrap/>
            <w:vAlign w:val="center"/>
            <w:hideMark/>
          </w:tcPr>
          <w:p w14:paraId="735399D0" w14:textId="77777777"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Outcomes</w:t>
            </w:r>
          </w:p>
        </w:tc>
        <w:tc>
          <w:tcPr>
            <w:tcW w:w="0" w:type="auto"/>
            <w:tcBorders>
              <w:top w:val="single" w:sz="4" w:space="0" w:color="auto"/>
              <w:bottom w:val="single" w:sz="4" w:space="0" w:color="auto"/>
            </w:tcBorders>
            <w:vAlign w:val="bottom"/>
            <w:hideMark/>
          </w:tcPr>
          <w:p w14:paraId="72C5C13E" w14:textId="4D4E3306"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 xml:space="preserve">Unadjusted </w:t>
            </w:r>
            <w:r w:rsidR="00763BDB" w:rsidRPr="00263752">
              <w:rPr>
                <w:rFonts w:ascii="Book Antiqua" w:hAnsi="Book Antiqua"/>
                <w:b/>
                <w:bCs/>
              </w:rPr>
              <w:t>odds r</w:t>
            </w:r>
            <w:r w:rsidRPr="00263752">
              <w:rPr>
                <w:rFonts w:ascii="Book Antiqua" w:hAnsi="Book Antiqua"/>
                <w:b/>
                <w:bCs/>
              </w:rPr>
              <w:t>atio</w:t>
            </w:r>
            <w:r w:rsidR="00763BDB" w:rsidRPr="00263752">
              <w:rPr>
                <w:rFonts w:ascii="Book Antiqua" w:hAnsi="Book Antiqua" w:hint="eastAsia"/>
                <w:b/>
                <w:bCs/>
                <w:lang w:eastAsia="zh-CN"/>
              </w:rPr>
              <w:t xml:space="preserve"> </w:t>
            </w:r>
            <w:r w:rsidRPr="00263752">
              <w:rPr>
                <w:rFonts w:ascii="Book Antiqua" w:hAnsi="Book Antiqua"/>
                <w:b/>
                <w:bCs/>
              </w:rPr>
              <w:t>(</w:t>
            </w:r>
            <w:r w:rsidR="0091191B">
              <w:rPr>
                <w:rFonts w:ascii="Book Antiqua" w:eastAsia="Calibri" w:hAnsi="Book Antiqua"/>
                <w:b/>
                <w:bCs/>
              </w:rPr>
              <w:t>95%CI</w:t>
            </w:r>
            <w:r w:rsidRPr="00263752">
              <w:rPr>
                <w:rFonts w:ascii="Book Antiqua" w:hAnsi="Book Antiqua"/>
                <w:b/>
                <w:bCs/>
              </w:rPr>
              <w:t>)</w:t>
            </w:r>
          </w:p>
        </w:tc>
        <w:tc>
          <w:tcPr>
            <w:tcW w:w="0" w:type="auto"/>
            <w:tcBorders>
              <w:top w:val="single" w:sz="4" w:space="0" w:color="auto"/>
              <w:bottom w:val="single" w:sz="4" w:space="0" w:color="auto"/>
            </w:tcBorders>
            <w:vAlign w:val="center"/>
            <w:hideMark/>
          </w:tcPr>
          <w:p w14:paraId="5B4D0FC5" w14:textId="118A2D92"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Unadjusted</w:t>
            </w:r>
            <w:r w:rsidR="00763BDB" w:rsidRPr="00263752">
              <w:rPr>
                <w:rFonts w:ascii="Book Antiqua" w:hAnsi="Book Antiqua" w:hint="eastAsia"/>
                <w:b/>
                <w:bCs/>
                <w:lang w:eastAsia="zh-CN"/>
              </w:rPr>
              <w:t>,</w:t>
            </w:r>
            <w:r w:rsidR="00763BDB" w:rsidRPr="00263752">
              <w:rPr>
                <w:rFonts w:ascii="Book Antiqua" w:hAnsi="Book Antiqua"/>
                <w:b/>
                <w:bCs/>
                <w:lang w:eastAsia="zh-CN"/>
              </w:rPr>
              <w:t xml:space="preserve"> </w:t>
            </w:r>
            <w:r w:rsidRPr="00263752">
              <w:rPr>
                <w:rFonts w:ascii="Book Antiqua" w:hAnsi="Book Antiqua"/>
                <w:b/>
                <w:bCs/>
                <w:i/>
                <w:iCs/>
              </w:rPr>
              <w:t>P</w:t>
            </w:r>
            <w:r w:rsidRPr="00263752">
              <w:rPr>
                <w:rFonts w:ascii="Book Antiqua" w:hAnsi="Book Antiqua"/>
                <w:b/>
                <w:bCs/>
              </w:rPr>
              <w:t xml:space="preserve"> value</w:t>
            </w:r>
          </w:p>
        </w:tc>
        <w:tc>
          <w:tcPr>
            <w:tcW w:w="0" w:type="auto"/>
            <w:tcBorders>
              <w:top w:val="single" w:sz="4" w:space="0" w:color="auto"/>
              <w:bottom w:val="single" w:sz="4" w:space="0" w:color="auto"/>
            </w:tcBorders>
            <w:vAlign w:val="center"/>
            <w:hideMark/>
          </w:tcPr>
          <w:p w14:paraId="0962439E" w14:textId="774B3D72"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 xml:space="preserve">Adjusted </w:t>
            </w:r>
            <w:r w:rsidR="00763BDB" w:rsidRPr="00263752">
              <w:rPr>
                <w:rFonts w:ascii="Book Antiqua" w:hAnsi="Book Antiqua"/>
                <w:b/>
                <w:bCs/>
              </w:rPr>
              <w:t>r</w:t>
            </w:r>
            <w:r w:rsidRPr="00263752">
              <w:rPr>
                <w:rFonts w:ascii="Book Antiqua" w:hAnsi="Book Antiqua"/>
                <w:b/>
                <w:bCs/>
              </w:rPr>
              <w:t>isk</w:t>
            </w:r>
            <w:r w:rsidR="00763BDB" w:rsidRPr="00263752">
              <w:rPr>
                <w:rFonts w:ascii="Book Antiqua" w:hAnsi="Book Antiqua" w:hint="eastAsia"/>
                <w:b/>
                <w:bCs/>
                <w:lang w:eastAsia="zh-CN"/>
              </w:rPr>
              <w:t xml:space="preserve"> </w:t>
            </w:r>
            <w:r w:rsidRPr="00263752">
              <w:rPr>
                <w:rFonts w:ascii="Book Antiqua" w:hAnsi="Book Antiqua"/>
                <w:b/>
                <w:bCs/>
              </w:rPr>
              <w:t>(</w:t>
            </w:r>
            <w:r w:rsidR="0091191B">
              <w:rPr>
                <w:rFonts w:ascii="Book Antiqua" w:eastAsia="Calibri" w:hAnsi="Book Antiqua"/>
                <w:b/>
                <w:bCs/>
              </w:rPr>
              <w:t>95%CI</w:t>
            </w:r>
            <w:r w:rsidRPr="00263752">
              <w:rPr>
                <w:rFonts w:ascii="Book Antiqua" w:hAnsi="Book Antiqua"/>
                <w:b/>
                <w:bCs/>
              </w:rPr>
              <w:t>)</w:t>
            </w:r>
          </w:p>
        </w:tc>
        <w:tc>
          <w:tcPr>
            <w:tcW w:w="0" w:type="auto"/>
            <w:tcBorders>
              <w:top w:val="single" w:sz="4" w:space="0" w:color="auto"/>
              <w:bottom w:val="single" w:sz="4" w:space="0" w:color="auto"/>
            </w:tcBorders>
            <w:vAlign w:val="center"/>
            <w:hideMark/>
          </w:tcPr>
          <w:p w14:paraId="471A1D54" w14:textId="54A5983E"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Adjusted</w:t>
            </w:r>
            <w:r w:rsidR="00763BDB" w:rsidRPr="00263752">
              <w:rPr>
                <w:rFonts w:ascii="Book Antiqua" w:hAnsi="Book Antiqua" w:hint="eastAsia"/>
                <w:b/>
                <w:bCs/>
                <w:lang w:eastAsia="zh-CN"/>
              </w:rPr>
              <w:t>,</w:t>
            </w:r>
            <w:r w:rsidR="00763BDB" w:rsidRPr="00263752">
              <w:rPr>
                <w:rFonts w:ascii="Book Antiqua" w:hAnsi="Book Antiqua"/>
                <w:b/>
                <w:bCs/>
                <w:lang w:eastAsia="zh-CN"/>
              </w:rPr>
              <w:t xml:space="preserve"> </w:t>
            </w:r>
            <w:r w:rsidRPr="00263752">
              <w:rPr>
                <w:rFonts w:ascii="Book Antiqua" w:hAnsi="Book Antiqua"/>
                <w:b/>
                <w:bCs/>
                <w:i/>
                <w:iCs/>
              </w:rPr>
              <w:t>P</w:t>
            </w:r>
            <w:r w:rsidRPr="00263752">
              <w:rPr>
                <w:rFonts w:ascii="Book Antiqua" w:hAnsi="Book Antiqua"/>
                <w:b/>
                <w:bCs/>
              </w:rPr>
              <w:t xml:space="preserve"> value</w:t>
            </w:r>
          </w:p>
        </w:tc>
      </w:tr>
      <w:tr w:rsidR="00263752" w:rsidRPr="00263752" w14:paraId="11291134" w14:textId="77777777" w:rsidTr="00263752">
        <w:trPr>
          <w:trHeight w:val="318"/>
        </w:trPr>
        <w:tc>
          <w:tcPr>
            <w:tcW w:w="0" w:type="auto"/>
            <w:tcBorders>
              <w:top w:val="single" w:sz="4" w:space="0" w:color="auto"/>
            </w:tcBorders>
            <w:noWrap/>
            <w:vAlign w:val="bottom"/>
            <w:hideMark/>
          </w:tcPr>
          <w:p w14:paraId="76CB1646" w14:textId="5CED941C" w:rsidR="004A536A" w:rsidRPr="00263752" w:rsidRDefault="004A536A" w:rsidP="004A536A">
            <w:pPr>
              <w:snapToGrid w:val="0"/>
              <w:spacing w:line="360" w:lineRule="auto"/>
              <w:jc w:val="both"/>
              <w:rPr>
                <w:rFonts w:ascii="Book Antiqua" w:hAnsi="Book Antiqua"/>
                <w:vertAlign w:val="superscript"/>
              </w:rPr>
            </w:pPr>
            <w:r w:rsidRPr="00263752">
              <w:rPr>
                <w:rFonts w:ascii="Book Antiqua" w:hAnsi="Book Antiqua"/>
              </w:rPr>
              <w:t>Length of</w:t>
            </w:r>
            <w:r w:rsidR="00763BDB" w:rsidRPr="00263752">
              <w:rPr>
                <w:rFonts w:ascii="Book Antiqua" w:hAnsi="Book Antiqua"/>
              </w:rPr>
              <w:t xml:space="preserve"> s</w:t>
            </w:r>
            <w:r w:rsidRPr="00263752">
              <w:rPr>
                <w:rFonts w:ascii="Book Antiqua" w:hAnsi="Book Antiqua"/>
              </w:rPr>
              <w:t>tay</w:t>
            </w:r>
          </w:p>
        </w:tc>
        <w:tc>
          <w:tcPr>
            <w:tcW w:w="0" w:type="auto"/>
            <w:tcBorders>
              <w:top w:val="single" w:sz="4" w:space="0" w:color="auto"/>
            </w:tcBorders>
            <w:noWrap/>
            <w:vAlign w:val="bottom"/>
            <w:hideMark/>
          </w:tcPr>
          <w:p w14:paraId="682264ED"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w:t>
            </w:r>
          </w:p>
        </w:tc>
        <w:tc>
          <w:tcPr>
            <w:tcW w:w="0" w:type="auto"/>
            <w:tcBorders>
              <w:top w:val="single" w:sz="4" w:space="0" w:color="auto"/>
            </w:tcBorders>
            <w:noWrap/>
            <w:vAlign w:val="bottom"/>
            <w:hideMark/>
          </w:tcPr>
          <w:p w14:paraId="0A86CEB6"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w:t>
            </w:r>
          </w:p>
        </w:tc>
        <w:tc>
          <w:tcPr>
            <w:tcW w:w="0" w:type="auto"/>
            <w:tcBorders>
              <w:top w:val="single" w:sz="4" w:space="0" w:color="auto"/>
            </w:tcBorders>
            <w:noWrap/>
            <w:vAlign w:val="bottom"/>
            <w:hideMark/>
          </w:tcPr>
          <w:p w14:paraId="66A34853" w14:textId="07C5F1DD" w:rsidR="004A536A" w:rsidRPr="00263752" w:rsidRDefault="004A536A" w:rsidP="004A536A">
            <w:pPr>
              <w:snapToGrid w:val="0"/>
              <w:spacing w:line="360" w:lineRule="auto"/>
              <w:jc w:val="both"/>
              <w:rPr>
                <w:rFonts w:ascii="Book Antiqua" w:hAnsi="Book Antiqua"/>
              </w:rPr>
            </w:pPr>
            <w:r w:rsidRPr="00263752">
              <w:rPr>
                <w:rFonts w:ascii="Book Antiqua" w:hAnsi="Book Antiqua"/>
              </w:rPr>
              <w:t>0.91</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.90, </w:t>
            </w:r>
            <w:r w:rsidR="00763BDB" w:rsidRPr="00263752">
              <w:rPr>
                <w:rFonts w:ascii="Book Antiqua" w:hAnsi="Book Antiqua"/>
              </w:rPr>
              <w:t>0</w:t>
            </w:r>
            <w:r w:rsidRPr="00263752">
              <w:rPr>
                <w:rFonts w:ascii="Book Antiqua" w:hAnsi="Book Antiqua"/>
              </w:rPr>
              <w:t>.94)</w:t>
            </w:r>
            <w:r w:rsidRPr="00263752">
              <w:rPr>
                <w:rFonts w:ascii="Book Antiqua" w:hAnsi="Book Antiqua"/>
                <w:vertAlign w:val="superscript"/>
              </w:rPr>
              <w:t>1</w:t>
            </w:r>
          </w:p>
        </w:tc>
        <w:tc>
          <w:tcPr>
            <w:tcW w:w="0" w:type="auto"/>
            <w:tcBorders>
              <w:top w:val="single" w:sz="4" w:space="0" w:color="auto"/>
            </w:tcBorders>
            <w:noWrap/>
            <w:vAlign w:val="bottom"/>
            <w:hideMark/>
          </w:tcPr>
          <w:p w14:paraId="211A833A" w14:textId="61C3DD1C" w:rsidR="004A536A" w:rsidRPr="00263752" w:rsidRDefault="004A536A" w:rsidP="004A536A">
            <w:pPr>
              <w:snapToGrid w:val="0"/>
              <w:spacing w:line="360" w:lineRule="auto"/>
              <w:jc w:val="both"/>
              <w:rPr>
                <w:rFonts w:ascii="Book Antiqua" w:hAnsi="Book Antiqua"/>
              </w:rPr>
            </w:pPr>
            <w:r w:rsidRPr="00263752">
              <w:rPr>
                <w:rFonts w:ascii="Book Antiqua" w:hAnsi="Book Antiqua"/>
              </w:rPr>
              <w:t>&lt;</w:t>
            </w:r>
            <w:r w:rsidR="00763BDB" w:rsidRPr="00263752">
              <w:rPr>
                <w:rFonts w:ascii="Book Antiqua" w:hAnsi="Book Antiqua"/>
              </w:rPr>
              <w:t xml:space="preserve"> </w:t>
            </w:r>
            <w:r w:rsidRPr="00263752">
              <w:rPr>
                <w:rFonts w:ascii="Book Antiqua" w:hAnsi="Book Antiqua"/>
              </w:rPr>
              <w:t>0.01</w:t>
            </w:r>
          </w:p>
        </w:tc>
      </w:tr>
      <w:tr w:rsidR="00263752" w:rsidRPr="00263752" w14:paraId="299793E1" w14:textId="77777777" w:rsidTr="00263752">
        <w:trPr>
          <w:trHeight w:val="318"/>
        </w:trPr>
        <w:tc>
          <w:tcPr>
            <w:tcW w:w="0" w:type="auto"/>
            <w:noWrap/>
            <w:vAlign w:val="bottom"/>
            <w:hideMark/>
          </w:tcPr>
          <w:p w14:paraId="6F85B627" w14:textId="4077D8E7" w:rsidR="004A536A" w:rsidRPr="00263752" w:rsidRDefault="004A536A" w:rsidP="004A536A">
            <w:pPr>
              <w:snapToGrid w:val="0"/>
              <w:spacing w:line="360" w:lineRule="auto"/>
              <w:jc w:val="both"/>
              <w:rPr>
                <w:rFonts w:ascii="Book Antiqua" w:hAnsi="Book Antiqua"/>
              </w:rPr>
            </w:pPr>
            <w:r w:rsidRPr="00263752">
              <w:rPr>
                <w:rFonts w:ascii="Book Antiqua" w:hAnsi="Book Antiqua"/>
              </w:rPr>
              <w:t xml:space="preserve">Discharge </w:t>
            </w:r>
            <w:r w:rsidR="00763BDB" w:rsidRPr="00263752">
              <w:rPr>
                <w:rFonts w:ascii="Book Antiqua" w:hAnsi="Book Antiqua"/>
              </w:rPr>
              <w:t>d</w:t>
            </w:r>
            <w:r w:rsidRPr="00263752">
              <w:rPr>
                <w:rFonts w:ascii="Book Antiqua" w:hAnsi="Book Antiqua"/>
              </w:rPr>
              <w:t>isposition</w:t>
            </w:r>
          </w:p>
        </w:tc>
        <w:tc>
          <w:tcPr>
            <w:tcW w:w="0" w:type="auto"/>
            <w:noWrap/>
            <w:vAlign w:val="bottom"/>
            <w:hideMark/>
          </w:tcPr>
          <w:p w14:paraId="4E0A1015" w14:textId="56AD4D97" w:rsidR="004A536A" w:rsidRPr="00263752" w:rsidRDefault="004A536A" w:rsidP="004A536A">
            <w:pPr>
              <w:snapToGrid w:val="0"/>
              <w:spacing w:line="360" w:lineRule="auto"/>
              <w:jc w:val="both"/>
              <w:rPr>
                <w:rFonts w:ascii="Book Antiqua" w:hAnsi="Book Antiqua"/>
              </w:rPr>
            </w:pPr>
            <w:r w:rsidRPr="00263752">
              <w:rPr>
                <w:rFonts w:ascii="Book Antiqua" w:hAnsi="Book Antiqua"/>
              </w:rPr>
              <w:t>0.51</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.32, </w:t>
            </w:r>
            <w:r w:rsidR="00763BDB" w:rsidRPr="00263752">
              <w:rPr>
                <w:rFonts w:ascii="Book Antiqua" w:hAnsi="Book Antiqua"/>
              </w:rPr>
              <w:t>0</w:t>
            </w:r>
            <w:r w:rsidRPr="00263752">
              <w:rPr>
                <w:rFonts w:ascii="Book Antiqua" w:hAnsi="Book Antiqua"/>
              </w:rPr>
              <w:t>.80)</w:t>
            </w:r>
          </w:p>
        </w:tc>
        <w:tc>
          <w:tcPr>
            <w:tcW w:w="0" w:type="auto"/>
            <w:noWrap/>
            <w:vAlign w:val="bottom"/>
            <w:hideMark/>
          </w:tcPr>
          <w:p w14:paraId="7317E173" w14:textId="595FC398" w:rsidR="004A536A" w:rsidRPr="00263752" w:rsidRDefault="004A536A" w:rsidP="004A536A">
            <w:pPr>
              <w:snapToGrid w:val="0"/>
              <w:spacing w:line="360" w:lineRule="auto"/>
              <w:jc w:val="both"/>
              <w:rPr>
                <w:rFonts w:ascii="Book Antiqua" w:hAnsi="Book Antiqua"/>
              </w:rPr>
            </w:pPr>
            <w:r w:rsidRPr="00263752">
              <w:rPr>
                <w:rFonts w:ascii="Book Antiqua" w:hAnsi="Book Antiqua"/>
              </w:rPr>
              <w:t>&lt;</w:t>
            </w:r>
            <w:r w:rsidR="00763BDB" w:rsidRPr="00263752">
              <w:rPr>
                <w:rFonts w:ascii="Book Antiqua" w:hAnsi="Book Antiqua"/>
              </w:rPr>
              <w:t xml:space="preserve"> </w:t>
            </w:r>
            <w:r w:rsidRPr="00263752">
              <w:rPr>
                <w:rFonts w:ascii="Book Antiqua" w:hAnsi="Book Antiqua"/>
              </w:rPr>
              <w:t>0.01</w:t>
            </w:r>
          </w:p>
        </w:tc>
        <w:tc>
          <w:tcPr>
            <w:tcW w:w="0" w:type="auto"/>
            <w:noWrap/>
            <w:vAlign w:val="bottom"/>
            <w:hideMark/>
          </w:tcPr>
          <w:p w14:paraId="4C3D5000" w14:textId="5B8B4B86" w:rsidR="004A536A" w:rsidRPr="00263752" w:rsidRDefault="004A536A" w:rsidP="004A536A">
            <w:pPr>
              <w:snapToGrid w:val="0"/>
              <w:spacing w:line="360" w:lineRule="auto"/>
              <w:jc w:val="both"/>
              <w:rPr>
                <w:rFonts w:ascii="Book Antiqua" w:hAnsi="Book Antiqua"/>
              </w:rPr>
            </w:pPr>
            <w:r w:rsidRPr="00263752">
              <w:rPr>
                <w:rFonts w:ascii="Book Antiqua" w:hAnsi="Book Antiqua"/>
              </w:rPr>
              <w:t>0.38</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.17, </w:t>
            </w:r>
            <w:r w:rsidR="00763BDB" w:rsidRPr="00263752">
              <w:rPr>
                <w:rFonts w:ascii="Book Antiqua" w:hAnsi="Book Antiqua"/>
              </w:rPr>
              <w:t>0</w:t>
            </w:r>
            <w:r w:rsidRPr="00263752">
              <w:rPr>
                <w:rFonts w:ascii="Book Antiqua" w:hAnsi="Book Antiqua"/>
              </w:rPr>
              <w:t>.77)</w:t>
            </w:r>
            <w:r w:rsidRPr="00263752">
              <w:rPr>
                <w:rFonts w:ascii="Book Antiqua" w:hAnsi="Book Antiqua"/>
                <w:vertAlign w:val="superscript"/>
              </w:rPr>
              <w:t>2</w:t>
            </w:r>
          </w:p>
        </w:tc>
        <w:tc>
          <w:tcPr>
            <w:tcW w:w="0" w:type="auto"/>
            <w:noWrap/>
            <w:vAlign w:val="bottom"/>
            <w:hideMark/>
          </w:tcPr>
          <w:p w14:paraId="6732F96C" w14:textId="32067708" w:rsidR="004A536A" w:rsidRPr="00263752" w:rsidRDefault="004A536A" w:rsidP="004A536A">
            <w:pPr>
              <w:snapToGrid w:val="0"/>
              <w:spacing w:line="360" w:lineRule="auto"/>
              <w:jc w:val="both"/>
              <w:rPr>
                <w:rFonts w:ascii="Book Antiqua" w:hAnsi="Book Antiqua"/>
              </w:rPr>
            </w:pPr>
            <w:r w:rsidRPr="00263752">
              <w:rPr>
                <w:rFonts w:ascii="Book Antiqua" w:hAnsi="Book Antiqua"/>
              </w:rPr>
              <w:t>&lt;</w:t>
            </w:r>
            <w:r w:rsidR="00763BDB" w:rsidRPr="00263752">
              <w:rPr>
                <w:rFonts w:ascii="Book Antiqua" w:hAnsi="Book Antiqua"/>
              </w:rPr>
              <w:t xml:space="preserve"> </w:t>
            </w:r>
            <w:r w:rsidRPr="00263752">
              <w:rPr>
                <w:rFonts w:ascii="Book Antiqua" w:hAnsi="Book Antiqua"/>
              </w:rPr>
              <w:t>0.01</w:t>
            </w:r>
          </w:p>
        </w:tc>
      </w:tr>
      <w:tr w:rsidR="00763BDB" w:rsidRPr="00263752" w14:paraId="3BE54D8B" w14:textId="77777777" w:rsidTr="00263752">
        <w:trPr>
          <w:trHeight w:val="318"/>
        </w:trPr>
        <w:tc>
          <w:tcPr>
            <w:tcW w:w="0" w:type="auto"/>
            <w:noWrap/>
            <w:vAlign w:val="bottom"/>
            <w:hideMark/>
          </w:tcPr>
          <w:p w14:paraId="3710EAF1"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Readmission</w:t>
            </w:r>
          </w:p>
        </w:tc>
        <w:tc>
          <w:tcPr>
            <w:tcW w:w="0" w:type="auto"/>
            <w:noWrap/>
            <w:vAlign w:val="bottom"/>
            <w:hideMark/>
          </w:tcPr>
          <w:p w14:paraId="0E09B4FB" w14:textId="2ED1DCAC" w:rsidR="004A536A" w:rsidRPr="00263752" w:rsidRDefault="004A536A" w:rsidP="004A536A">
            <w:pPr>
              <w:snapToGrid w:val="0"/>
              <w:spacing w:line="360" w:lineRule="auto"/>
              <w:jc w:val="both"/>
              <w:rPr>
                <w:rFonts w:ascii="Book Antiqua" w:hAnsi="Book Antiqua"/>
              </w:rPr>
            </w:pPr>
            <w:r w:rsidRPr="00263752">
              <w:rPr>
                <w:rFonts w:ascii="Book Antiqua" w:hAnsi="Book Antiqua"/>
              </w:rPr>
              <w:t>0.48</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.22, </w:t>
            </w:r>
            <w:r w:rsidR="00763BDB" w:rsidRPr="00263752">
              <w:rPr>
                <w:rFonts w:ascii="Book Antiqua" w:hAnsi="Book Antiqua"/>
              </w:rPr>
              <w:t>0</w:t>
            </w:r>
            <w:r w:rsidRPr="00263752">
              <w:rPr>
                <w:rFonts w:ascii="Book Antiqua" w:hAnsi="Book Antiqua"/>
              </w:rPr>
              <w:t>.99)</w:t>
            </w:r>
          </w:p>
        </w:tc>
        <w:tc>
          <w:tcPr>
            <w:tcW w:w="0" w:type="auto"/>
            <w:noWrap/>
            <w:vAlign w:val="bottom"/>
            <w:hideMark/>
          </w:tcPr>
          <w:p w14:paraId="2570B197"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0.04</w:t>
            </w:r>
          </w:p>
        </w:tc>
        <w:tc>
          <w:tcPr>
            <w:tcW w:w="0" w:type="auto"/>
            <w:noWrap/>
            <w:vAlign w:val="bottom"/>
            <w:hideMark/>
          </w:tcPr>
          <w:p w14:paraId="5E83350C" w14:textId="08DF8BAA" w:rsidR="004A536A" w:rsidRPr="00263752" w:rsidRDefault="004A536A" w:rsidP="004A536A">
            <w:pPr>
              <w:snapToGrid w:val="0"/>
              <w:spacing w:line="360" w:lineRule="auto"/>
              <w:jc w:val="both"/>
              <w:rPr>
                <w:rFonts w:ascii="Book Antiqua" w:hAnsi="Book Antiqua"/>
              </w:rPr>
            </w:pPr>
            <w:r w:rsidRPr="00263752">
              <w:rPr>
                <w:rFonts w:ascii="Book Antiqua" w:hAnsi="Book Antiqua"/>
              </w:rPr>
              <w:t>0.43</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.21, </w:t>
            </w:r>
            <w:r w:rsidR="00763BDB" w:rsidRPr="00263752">
              <w:rPr>
                <w:rFonts w:ascii="Book Antiqua" w:hAnsi="Book Antiqua"/>
              </w:rPr>
              <w:t>0</w:t>
            </w:r>
            <w:r w:rsidRPr="00263752">
              <w:rPr>
                <w:rFonts w:ascii="Book Antiqua" w:hAnsi="Book Antiqua"/>
              </w:rPr>
              <w:t>.93)</w:t>
            </w:r>
            <w:r w:rsidRPr="00263752">
              <w:rPr>
                <w:rFonts w:ascii="Book Antiqua" w:hAnsi="Book Antiqua"/>
                <w:vertAlign w:val="superscript"/>
              </w:rPr>
              <w:t>3</w:t>
            </w:r>
          </w:p>
        </w:tc>
        <w:tc>
          <w:tcPr>
            <w:tcW w:w="0" w:type="auto"/>
            <w:noWrap/>
            <w:vAlign w:val="bottom"/>
            <w:hideMark/>
          </w:tcPr>
          <w:p w14:paraId="6A96F296"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0.03</w:t>
            </w:r>
          </w:p>
        </w:tc>
      </w:tr>
    </w:tbl>
    <w:p w14:paraId="79E7F09D" w14:textId="77777777" w:rsidR="00763BDB" w:rsidRPr="00263752" w:rsidRDefault="004A536A" w:rsidP="00644AA2">
      <w:pPr>
        <w:pStyle w:val="Default"/>
        <w:snapToGrid w:val="0"/>
        <w:spacing w:before="0" w:beforeAutospacing="0" w:line="360" w:lineRule="auto"/>
        <w:jc w:val="both"/>
        <w:rPr>
          <w:rFonts w:ascii="Book Antiqua" w:hAnsi="Book Antiqua" w:cs="Times New Roman"/>
          <w:bCs/>
        </w:rPr>
      </w:pPr>
      <w:r w:rsidRPr="00263752">
        <w:rPr>
          <w:rFonts w:ascii="Book Antiqua" w:hAnsi="Book Antiqua" w:cs="Times New Roman"/>
          <w:bCs/>
          <w:vertAlign w:val="superscript"/>
        </w:rPr>
        <w:t>1</w:t>
      </w:r>
      <w:r w:rsidRPr="00263752">
        <w:rPr>
          <w:rFonts w:ascii="Book Antiqua" w:hAnsi="Book Antiqua" w:cs="Times New Roman"/>
          <w:bCs/>
        </w:rPr>
        <w:t xml:space="preserve">Poisson regression adjusted with age, gender, </w:t>
      </w:r>
      <w:r w:rsidR="009C224B" w:rsidRPr="00263752">
        <w:rPr>
          <w:rFonts w:ascii="Book Antiqua" w:eastAsia="Book Antiqua" w:hAnsi="Book Antiqua" w:cs="Book Antiqua"/>
          <w:bCs/>
        </w:rPr>
        <w:t>body mass index (BMI)</w:t>
      </w:r>
      <w:r w:rsidRPr="00263752">
        <w:rPr>
          <w:rFonts w:ascii="Book Antiqua" w:hAnsi="Book Antiqua" w:cs="Times New Roman"/>
          <w:bCs/>
        </w:rPr>
        <w:t xml:space="preserve">, </w:t>
      </w:r>
      <w:r w:rsidR="009C224B" w:rsidRPr="00263752">
        <w:rPr>
          <w:rFonts w:ascii="Book Antiqua" w:eastAsia="Book Antiqua" w:hAnsi="Book Antiqua" w:cs="Book Antiqua"/>
          <w:bCs/>
        </w:rPr>
        <w:t>American Society of Anesthesiologists (ASA)</w:t>
      </w:r>
      <w:r w:rsidRPr="00263752">
        <w:rPr>
          <w:rFonts w:ascii="Book Antiqua" w:hAnsi="Book Antiqua" w:cs="Times New Roman"/>
          <w:bCs/>
        </w:rPr>
        <w:t>, procedure type, and insurance type</w:t>
      </w:r>
      <w:r w:rsidR="00763BDB" w:rsidRPr="00263752">
        <w:rPr>
          <w:rFonts w:ascii="Book Antiqua" w:hAnsi="Book Antiqua" w:cs="Times New Roman"/>
          <w:bCs/>
        </w:rPr>
        <w:t>.</w:t>
      </w:r>
    </w:p>
    <w:p w14:paraId="62FB024F" w14:textId="77777777" w:rsidR="00263752" w:rsidRPr="00263752" w:rsidRDefault="004A536A" w:rsidP="00644AA2">
      <w:pPr>
        <w:pStyle w:val="Default"/>
        <w:snapToGrid w:val="0"/>
        <w:spacing w:before="0" w:beforeAutospacing="0" w:line="360" w:lineRule="auto"/>
        <w:jc w:val="both"/>
        <w:rPr>
          <w:rFonts w:ascii="Book Antiqua" w:hAnsi="Book Antiqua" w:cs="Times New Roman"/>
          <w:bCs/>
        </w:rPr>
      </w:pPr>
      <w:r w:rsidRPr="00263752">
        <w:rPr>
          <w:rFonts w:ascii="Book Antiqua" w:hAnsi="Book Antiqua" w:cs="Times New Roman"/>
          <w:bCs/>
          <w:vertAlign w:val="superscript"/>
        </w:rPr>
        <w:t>2</w:t>
      </w:r>
      <w:r w:rsidRPr="00263752">
        <w:rPr>
          <w:rFonts w:ascii="Book Antiqua" w:hAnsi="Book Antiqua" w:cs="Times New Roman"/>
          <w:bCs/>
        </w:rPr>
        <w:t>Binomial logistic regression adjusted with LOS, age, gender, BMI, ASA, procedure type, and insurance type</w:t>
      </w:r>
      <w:r w:rsidR="00263752" w:rsidRPr="00263752">
        <w:rPr>
          <w:rFonts w:ascii="Book Antiqua" w:hAnsi="Book Antiqua" w:cs="Times New Roman"/>
          <w:bCs/>
        </w:rPr>
        <w:t>.</w:t>
      </w:r>
    </w:p>
    <w:p w14:paraId="31D94887" w14:textId="63738D27" w:rsidR="004A536A" w:rsidRPr="00263752" w:rsidRDefault="004A536A" w:rsidP="00644AA2">
      <w:pPr>
        <w:pStyle w:val="Default"/>
        <w:snapToGrid w:val="0"/>
        <w:spacing w:before="0" w:beforeAutospacing="0" w:line="360" w:lineRule="auto"/>
        <w:jc w:val="both"/>
        <w:rPr>
          <w:rFonts w:ascii="Book Antiqua" w:hAnsi="Book Antiqua" w:cs="Times New Roman"/>
          <w:bCs/>
        </w:rPr>
      </w:pPr>
      <w:r w:rsidRPr="00263752">
        <w:rPr>
          <w:rFonts w:ascii="Book Antiqua" w:hAnsi="Book Antiqua" w:cs="Times New Roman"/>
          <w:bCs/>
          <w:vertAlign w:val="superscript"/>
        </w:rPr>
        <w:t>3</w:t>
      </w:r>
      <w:r w:rsidRPr="00263752">
        <w:rPr>
          <w:rFonts w:ascii="Book Antiqua" w:hAnsi="Book Antiqua" w:cs="Times New Roman"/>
          <w:bCs/>
        </w:rPr>
        <w:t>Binomial logistic regression adjusted with LOS, discharge disposition, age, gender, BMI, ASA, procedure type, and insurance type</w:t>
      </w:r>
      <w:r w:rsidR="00644AA2" w:rsidRPr="00263752">
        <w:rPr>
          <w:rFonts w:ascii="Book Antiqua" w:hAnsi="Book Antiqua" w:cs="Times New Roman"/>
          <w:bCs/>
        </w:rPr>
        <w:t>.</w:t>
      </w:r>
    </w:p>
    <w:sectPr w:rsidR="004A536A" w:rsidRPr="002637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3C3CE" w14:textId="77777777" w:rsidR="00EB4B51" w:rsidRDefault="00EB4B51" w:rsidP="004A536A">
      <w:r>
        <w:separator/>
      </w:r>
    </w:p>
  </w:endnote>
  <w:endnote w:type="continuationSeparator" w:id="0">
    <w:p w14:paraId="40AA1D8D" w14:textId="77777777" w:rsidR="00EB4B51" w:rsidRDefault="00EB4B51" w:rsidP="004A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762146"/>
      <w:docPartObj>
        <w:docPartGallery w:val="Page Numbers (Bottom of Page)"/>
        <w:docPartUnique/>
      </w:docPartObj>
    </w:sdtPr>
    <w:sdtContent>
      <w:sdt>
        <w:sdtPr>
          <w:id w:val="-1705238520"/>
          <w:docPartObj>
            <w:docPartGallery w:val="Page Numbers (Top of Page)"/>
            <w:docPartUnique/>
          </w:docPartObj>
        </w:sdtPr>
        <w:sdtContent>
          <w:p w14:paraId="3502A66F" w14:textId="4326DB2E" w:rsidR="004A536A" w:rsidRDefault="004A536A" w:rsidP="004A536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06F58">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06F58">
              <w:rPr>
                <w:b/>
                <w:bCs/>
                <w:noProof/>
              </w:rPr>
              <w:t>34</w:t>
            </w:r>
            <w:r>
              <w:rPr>
                <w:b/>
                <w:bCs/>
                <w:sz w:val="24"/>
                <w:szCs w:val="24"/>
              </w:rPr>
              <w:fldChar w:fldCharType="end"/>
            </w:r>
          </w:p>
        </w:sdtContent>
      </w:sdt>
    </w:sdtContent>
  </w:sdt>
  <w:p w14:paraId="58562046" w14:textId="77777777" w:rsidR="004A536A" w:rsidRDefault="004A53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DC469" w14:textId="77777777" w:rsidR="00EB4B51" w:rsidRDefault="00EB4B51" w:rsidP="004A536A">
      <w:r>
        <w:separator/>
      </w:r>
    </w:p>
  </w:footnote>
  <w:footnote w:type="continuationSeparator" w:id="0">
    <w:p w14:paraId="2DFEB636" w14:textId="77777777" w:rsidR="00EB4B51" w:rsidRDefault="00EB4B51" w:rsidP="004A536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jAxNjM2NzA0NTM1MjdV0lEKTi0uzszPAykwqgUAAL/stSwAAAA="/>
  </w:docVars>
  <w:rsids>
    <w:rsidRoot w:val="00A77B3E"/>
    <w:rsid w:val="00037C4E"/>
    <w:rsid w:val="00070756"/>
    <w:rsid w:val="00080F78"/>
    <w:rsid w:val="000B760A"/>
    <w:rsid w:val="001258C6"/>
    <w:rsid w:val="00130E99"/>
    <w:rsid w:val="0014544F"/>
    <w:rsid w:val="00151831"/>
    <w:rsid w:val="001763E2"/>
    <w:rsid w:val="001B64E8"/>
    <w:rsid w:val="001C16D7"/>
    <w:rsid w:val="001D425E"/>
    <w:rsid w:val="00243CF6"/>
    <w:rsid w:val="00263752"/>
    <w:rsid w:val="00270E84"/>
    <w:rsid w:val="0027557E"/>
    <w:rsid w:val="002E64CC"/>
    <w:rsid w:val="00326608"/>
    <w:rsid w:val="003A6428"/>
    <w:rsid w:val="003F058A"/>
    <w:rsid w:val="003F0A0E"/>
    <w:rsid w:val="003F6B12"/>
    <w:rsid w:val="004001DF"/>
    <w:rsid w:val="00401CED"/>
    <w:rsid w:val="00405F95"/>
    <w:rsid w:val="004A536A"/>
    <w:rsid w:val="004A5834"/>
    <w:rsid w:val="004A5D51"/>
    <w:rsid w:val="004B2186"/>
    <w:rsid w:val="004D1807"/>
    <w:rsid w:val="00506D53"/>
    <w:rsid w:val="00586242"/>
    <w:rsid w:val="005D6D6B"/>
    <w:rsid w:val="005E0DF9"/>
    <w:rsid w:val="005F592A"/>
    <w:rsid w:val="00602023"/>
    <w:rsid w:val="006405EA"/>
    <w:rsid w:val="00644A86"/>
    <w:rsid w:val="00644AA2"/>
    <w:rsid w:val="00645ECB"/>
    <w:rsid w:val="006A3BB8"/>
    <w:rsid w:val="006A3C38"/>
    <w:rsid w:val="006A7340"/>
    <w:rsid w:val="006F0E2D"/>
    <w:rsid w:val="007067E8"/>
    <w:rsid w:val="007149F2"/>
    <w:rsid w:val="00763BDB"/>
    <w:rsid w:val="00783F73"/>
    <w:rsid w:val="0079013E"/>
    <w:rsid w:val="007E17F2"/>
    <w:rsid w:val="007F42BB"/>
    <w:rsid w:val="008212C6"/>
    <w:rsid w:val="0083608A"/>
    <w:rsid w:val="00887226"/>
    <w:rsid w:val="008B7A04"/>
    <w:rsid w:val="008C7679"/>
    <w:rsid w:val="008F3D09"/>
    <w:rsid w:val="00906EBB"/>
    <w:rsid w:val="0091191B"/>
    <w:rsid w:val="00914309"/>
    <w:rsid w:val="00940B6C"/>
    <w:rsid w:val="0095234D"/>
    <w:rsid w:val="0099344C"/>
    <w:rsid w:val="009A14E4"/>
    <w:rsid w:val="009C224B"/>
    <w:rsid w:val="009D137C"/>
    <w:rsid w:val="009E23C5"/>
    <w:rsid w:val="009F43A2"/>
    <w:rsid w:val="00A24DF5"/>
    <w:rsid w:val="00A31232"/>
    <w:rsid w:val="00A4671E"/>
    <w:rsid w:val="00A77B3E"/>
    <w:rsid w:val="00AA4551"/>
    <w:rsid w:val="00AE4879"/>
    <w:rsid w:val="00AF595A"/>
    <w:rsid w:val="00AF6C20"/>
    <w:rsid w:val="00B97C9D"/>
    <w:rsid w:val="00BA0F33"/>
    <w:rsid w:val="00BB2543"/>
    <w:rsid w:val="00BD0267"/>
    <w:rsid w:val="00C00994"/>
    <w:rsid w:val="00C421E5"/>
    <w:rsid w:val="00C456C7"/>
    <w:rsid w:val="00C67A3F"/>
    <w:rsid w:val="00CA2A55"/>
    <w:rsid w:val="00CA366B"/>
    <w:rsid w:val="00CA4C1D"/>
    <w:rsid w:val="00CB1F02"/>
    <w:rsid w:val="00CB4A9F"/>
    <w:rsid w:val="00CD1A8A"/>
    <w:rsid w:val="00CD2F43"/>
    <w:rsid w:val="00CE765B"/>
    <w:rsid w:val="00CF75E3"/>
    <w:rsid w:val="00D06F58"/>
    <w:rsid w:val="00D13DC3"/>
    <w:rsid w:val="00D239BD"/>
    <w:rsid w:val="00D52B57"/>
    <w:rsid w:val="00D83496"/>
    <w:rsid w:val="00DA073B"/>
    <w:rsid w:val="00DC2782"/>
    <w:rsid w:val="00E379BF"/>
    <w:rsid w:val="00E57440"/>
    <w:rsid w:val="00E9153C"/>
    <w:rsid w:val="00E91DCD"/>
    <w:rsid w:val="00EA3487"/>
    <w:rsid w:val="00EA43D6"/>
    <w:rsid w:val="00EB4B51"/>
    <w:rsid w:val="00EC6CDF"/>
    <w:rsid w:val="00EE2240"/>
    <w:rsid w:val="00F44154"/>
    <w:rsid w:val="00F45F4A"/>
    <w:rsid w:val="00F466C4"/>
    <w:rsid w:val="00F704D7"/>
    <w:rsid w:val="00F92E08"/>
    <w:rsid w:val="00F97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A3FFAB"/>
  <w15:docId w15:val="{115AD4BA-83FF-4CFE-9266-14EF5474E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A53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A536A"/>
    <w:rPr>
      <w:sz w:val="18"/>
      <w:szCs w:val="18"/>
    </w:rPr>
  </w:style>
  <w:style w:type="paragraph" w:styleId="a5">
    <w:name w:val="footer"/>
    <w:basedOn w:val="a"/>
    <w:link w:val="a6"/>
    <w:uiPriority w:val="99"/>
    <w:unhideWhenUsed/>
    <w:rsid w:val="004A536A"/>
    <w:pPr>
      <w:tabs>
        <w:tab w:val="center" w:pos="4153"/>
        <w:tab w:val="right" w:pos="8306"/>
      </w:tabs>
      <w:snapToGrid w:val="0"/>
    </w:pPr>
    <w:rPr>
      <w:sz w:val="18"/>
      <w:szCs w:val="18"/>
    </w:rPr>
  </w:style>
  <w:style w:type="character" w:customStyle="1" w:styleId="a6">
    <w:name w:val="页脚 字符"/>
    <w:basedOn w:val="a0"/>
    <w:link w:val="a5"/>
    <w:uiPriority w:val="99"/>
    <w:rsid w:val="004A536A"/>
    <w:rPr>
      <w:sz w:val="18"/>
      <w:szCs w:val="18"/>
    </w:rPr>
  </w:style>
  <w:style w:type="paragraph" w:customStyle="1" w:styleId="Default">
    <w:name w:val="Default"/>
    <w:basedOn w:val="a"/>
    <w:rsid w:val="004A536A"/>
    <w:pPr>
      <w:autoSpaceDE w:val="0"/>
      <w:autoSpaceDN w:val="0"/>
      <w:adjustRightInd w:val="0"/>
      <w:spacing w:before="100" w:beforeAutospacing="1"/>
    </w:pPr>
    <w:rPr>
      <w:rFonts w:ascii="Arial" w:eastAsia="Calibri" w:hAnsi="Arial" w:cs="Arial"/>
      <w:color w:val="000000"/>
      <w:lang w:eastAsia="zh-CN"/>
    </w:rPr>
  </w:style>
  <w:style w:type="character" w:styleId="a7">
    <w:name w:val="Hyperlink"/>
    <w:basedOn w:val="a0"/>
    <w:unhideWhenUsed/>
    <w:rsid w:val="005E0DF9"/>
    <w:rPr>
      <w:color w:val="0000FF" w:themeColor="hyperlink"/>
      <w:u w:val="single"/>
    </w:rPr>
  </w:style>
  <w:style w:type="character" w:customStyle="1" w:styleId="1">
    <w:name w:val="未处理的提及1"/>
    <w:basedOn w:val="a0"/>
    <w:uiPriority w:val="99"/>
    <w:semiHidden/>
    <w:unhideWhenUsed/>
    <w:rsid w:val="005E0DF9"/>
    <w:rPr>
      <w:color w:val="605E5C"/>
      <w:shd w:val="clear" w:color="auto" w:fill="E1DFDD"/>
    </w:rPr>
  </w:style>
  <w:style w:type="paragraph" w:styleId="a8">
    <w:name w:val="Balloon Text"/>
    <w:basedOn w:val="a"/>
    <w:link w:val="a9"/>
    <w:semiHidden/>
    <w:unhideWhenUsed/>
    <w:rsid w:val="00E91DCD"/>
    <w:rPr>
      <w:sz w:val="18"/>
      <w:szCs w:val="18"/>
    </w:rPr>
  </w:style>
  <w:style w:type="character" w:customStyle="1" w:styleId="a9">
    <w:name w:val="批注框文本 字符"/>
    <w:basedOn w:val="a0"/>
    <w:link w:val="a8"/>
    <w:semiHidden/>
    <w:rsid w:val="00E91DCD"/>
    <w:rPr>
      <w:sz w:val="18"/>
      <w:szCs w:val="18"/>
    </w:rPr>
  </w:style>
  <w:style w:type="paragraph" w:styleId="aa">
    <w:name w:val="Revision"/>
    <w:hidden/>
    <w:uiPriority w:val="99"/>
    <w:semiHidden/>
    <w:rsid w:val="005D6D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90245">
      <w:bodyDiv w:val="1"/>
      <w:marLeft w:val="0"/>
      <w:marRight w:val="0"/>
      <w:marTop w:val="0"/>
      <w:marBottom w:val="0"/>
      <w:divBdr>
        <w:top w:val="none" w:sz="0" w:space="0" w:color="auto"/>
        <w:left w:val="none" w:sz="0" w:space="0" w:color="auto"/>
        <w:bottom w:val="none" w:sz="0" w:space="0" w:color="auto"/>
        <w:right w:val="none" w:sz="0" w:space="0" w:color="auto"/>
      </w:divBdr>
    </w:div>
    <w:div w:id="1500459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zemanhealth.or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yperlink" Target="mailto:sridhar.96@osu.edu"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Pages>
  <Words>7277</Words>
  <Characters>41484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BPG Wang,Jin-Lei</cp:lastModifiedBy>
  <cp:revision>106</cp:revision>
  <dcterms:created xsi:type="dcterms:W3CDTF">2023-01-14T07:40:00Z</dcterms:created>
  <dcterms:modified xsi:type="dcterms:W3CDTF">2023-02-15T07:54:00Z</dcterms:modified>
</cp:coreProperties>
</file>