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21AE" w14:textId="77777777" w:rsidR="00064BE2"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5DED20" w14:textId="77777777" w:rsidR="00064BE2"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79640</w:t>
      </w:r>
    </w:p>
    <w:p w14:paraId="2B5EA118" w14:textId="77777777" w:rsidR="00064BE2"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56DF99" w14:textId="77777777" w:rsidR="00064BE2" w:rsidRDefault="00064BE2">
      <w:pPr>
        <w:spacing w:line="360" w:lineRule="auto"/>
        <w:jc w:val="both"/>
      </w:pPr>
    </w:p>
    <w:p w14:paraId="67CCCE2A" w14:textId="77777777" w:rsidR="00064BE2" w:rsidRDefault="00000000">
      <w:pPr>
        <w:spacing w:line="360" w:lineRule="auto"/>
        <w:jc w:val="both"/>
      </w:pPr>
      <w:r>
        <w:rPr>
          <w:rFonts w:ascii="Book Antiqua" w:eastAsia="Book Antiqua" w:hAnsi="Book Antiqua" w:cs="Book Antiqua"/>
          <w:b/>
          <w:i/>
          <w:color w:val="000000"/>
        </w:rPr>
        <w:t>Case Control Study</w:t>
      </w:r>
    </w:p>
    <w:p w14:paraId="370E1C71" w14:textId="77777777" w:rsidR="00064BE2" w:rsidRDefault="00000000">
      <w:pPr>
        <w:spacing w:line="360" w:lineRule="auto"/>
        <w:jc w:val="both"/>
      </w:pPr>
      <w:r>
        <w:rPr>
          <w:rFonts w:ascii="Book Antiqua" w:eastAsia="Book Antiqua" w:hAnsi="Book Antiqua" w:cs="Book Antiqua"/>
          <w:b/>
          <w:bCs/>
          <w:color w:val="000000"/>
        </w:rPr>
        <w:t>Association of C-reactive protein and complement factor H gene polymorphisms with risk of lupus nephritis in Chinese population</w:t>
      </w:r>
    </w:p>
    <w:p w14:paraId="3365E634" w14:textId="77777777" w:rsidR="00064BE2" w:rsidRDefault="00064BE2">
      <w:pPr>
        <w:spacing w:line="360" w:lineRule="auto"/>
        <w:jc w:val="both"/>
      </w:pPr>
    </w:p>
    <w:p w14:paraId="673D39D9" w14:textId="77777777" w:rsidR="00064BE2" w:rsidRDefault="00000000">
      <w:pPr>
        <w:spacing w:line="360" w:lineRule="auto"/>
        <w:jc w:val="both"/>
      </w:pPr>
      <w:r>
        <w:rPr>
          <w:rFonts w:ascii="Book Antiqua" w:eastAsia="Book Antiqua" w:hAnsi="Book Antiqua" w:cs="Book Antiqua"/>
          <w:color w:val="000000"/>
        </w:rPr>
        <w:t>Li</w:t>
      </w:r>
      <w:r>
        <w:rPr>
          <w:rFonts w:ascii="Book Antiqua" w:eastAsia="宋体" w:hAnsi="Book Antiqua" w:cs="Book Antiqua" w:hint="eastAsia"/>
          <w:color w:val="000000"/>
          <w:lang w:eastAsia="zh-CN"/>
        </w:rPr>
        <w:t xml:space="preserve"> QY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CRP and CFH SNPs in LN</w:t>
      </w:r>
    </w:p>
    <w:p w14:paraId="32E11552" w14:textId="77777777" w:rsidR="00064BE2" w:rsidRDefault="00064BE2">
      <w:pPr>
        <w:spacing w:line="360" w:lineRule="auto"/>
        <w:jc w:val="both"/>
      </w:pPr>
    </w:p>
    <w:p w14:paraId="7FFBBC4F" w14:textId="77777777" w:rsidR="00064BE2" w:rsidRDefault="00000000">
      <w:pPr>
        <w:spacing w:line="360" w:lineRule="auto"/>
        <w:jc w:val="both"/>
      </w:pPr>
      <w:r>
        <w:rPr>
          <w:rFonts w:ascii="Book Antiqua" w:eastAsia="Book Antiqua" w:hAnsi="Book Antiqua" w:cs="Book Antiqua"/>
          <w:color w:val="000000"/>
        </w:rPr>
        <w:t>Qiu-Yu Li, Jian-Min Lv, Xiao-Ling Liu, Hai-Yun Li, Feng Yu</w:t>
      </w:r>
    </w:p>
    <w:p w14:paraId="77741483" w14:textId="77777777" w:rsidR="00064BE2" w:rsidRDefault="00064BE2">
      <w:pPr>
        <w:spacing w:line="360" w:lineRule="auto"/>
        <w:jc w:val="both"/>
      </w:pPr>
    </w:p>
    <w:p w14:paraId="3B43E27F" w14:textId="37FF489A" w:rsidR="00064BE2" w:rsidRDefault="00000000">
      <w:pPr>
        <w:spacing w:line="360" w:lineRule="auto"/>
        <w:jc w:val="both"/>
      </w:pPr>
      <w:r>
        <w:rPr>
          <w:rFonts w:ascii="Book Antiqua" w:eastAsia="Book Antiqua" w:hAnsi="Book Antiqua" w:cs="Book Antiqua"/>
          <w:b/>
          <w:bCs/>
          <w:color w:val="000000"/>
        </w:rPr>
        <w:t xml:space="preserve">Qiu-Yu Li, </w:t>
      </w:r>
      <w:r>
        <w:rPr>
          <w:rFonts w:ascii="Book Antiqua" w:eastAsia="Book Antiqua" w:hAnsi="Book Antiqua" w:cs="Book Antiqua"/>
          <w:color w:val="000000"/>
        </w:rPr>
        <w:t>Department of Respiratory and Critical Care Medicine, Peking University Third Hospital, Beijing</w:t>
      </w:r>
      <w:r w:rsidR="00776944">
        <w:rPr>
          <w:rFonts w:ascii="Book Antiqua" w:eastAsia="Book Antiqua" w:hAnsi="Book Antiqua" w:cs="Book Antiqua"/>
          <w:color w:val="000000"/>
        </w:rPr>
        <w:t xml:space="preserve"> 100191</w:t>
      </w:r>
      <w:r>
        <w:rPr>
          <w:rFonts w:ascii="Book Antiqua" w:eastAsia="Book Antiqua" w:hAnsi="Book Antiqua" w:cs="Book Antiqua"/>
          <w:color w:val="000000"/>
        </w:rPr>
        <w:t>, China</w:t>
      </w:r>
    </w:p>
    <w:p w14:paraId="3654F42F" w14:textId="77777777" w:rsidR="00064BE2" w:rsidRDefault="00064BE2">
      <w:pPr>
        <w:spacing w:line="360" w:lineRule="auto"/>
        <w:jc w:val="both"/>
      </w:pPr>
    </w:p>
    <w:p w14:paraId="742884F0" w14:textId="5791200C" w:rsidR="00064BE2" w:rsidRDefault="00000000">
      <w:pPr>
        <w:spacing w:line="360" w:lineRule="auto"/>
        <w:jc w:val="both"/>
      </w:pPr>
      <w:r>
        <w:rPr>
          <w:rFonts w:ascii="Book Antiqua" w:eastAsia="Book Antiqua" w:hAnsi="Book Antiqua" w:cs="Book Antiqua"/>
          <w:b/>
          <w:bCs/>
          <w:color w:val="000000"/>
        </w:rPr>
        <w:t xml:space="preserve">Jian-Min Lv, Hai-Yun Li, </w:t>
      </w:r>
      <w:r>
        <w:rPr>
          <w:rFonts w:ascii="Book Antiqua" w:eastAsia="Book Antiqua" w:hAnsi="Book Antiqua" w:cs="Book Antiqua"/>
          <w:color w:val="000000"/>
        </w:rPr>
        <w:t xml:space="preserve">School of Basic Medical Sciences, Xi'an Jiaotong University, Xi'an 710061, </w:t>
      </w:r>
      <w:r w:rsidR="00776944">
        <w:rPr>
          <w:rFonts w:ascii="Book Antiqua" w:eastAsia="Book Antiqua" w:hAnsi="Book Antiqua" w:cs="Book Antiqua"/>
          <w:color w:val="000000"/>
        </w:rPr>
        <w:t>Shaanxi</w:t>
      </w:r>
      <w:r>
        <w:rPr>
          <w:rFonts w:ascii="Book Antiqua" w:eastAsia="Book Antiqua" w:hAnsi="Book Antiqua" w:cs="Book Antiqua"/>
          <w:color w:val="000000"/>
        </w:rPr>
        <w:t xml:space="preserve"> Province, China</w:t>
      </w:r>
    </w:p>
    <w:p w14:paraId="5180F188" w14:textId="77777777" w:rsidR="00064BE2" w:rsidRDefault="00064BE2">
      <w:pPr>
        <w:spacing w:line="360" w:lineRule="auto"/>
        <w:jc w:val="both"/>
      </w:pPr>
    </w:p>
    <w:p w14:paraId="5ABEE278" w14:textId="77777777" w:rsidR="00064BE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Xiao-Ling Liu, </w:t>
      </w:r>
      <w:r>
        <w:rPr>
          <w:rFonts w:ascii="Book Antiqua" w:eastAsia="Book Antiqua" w:hAnsi="Book Antiqua" w:cs="Book Antiqua"/>
          <w:color w:val="000000"/>
        </w:rPr>
        <w:t>School of Life Sciences, Lanzhou University, Lanzhou 730000, Gansu Province, China</w:t>
      </w:r>
    </w:p>
    <w:p w14:paraId="6802FD4B" w14:textId="77777777" w:rsidR="00064BE2" w:rsidRDefault="00064BE2">
      <w:pPr>
        <w:spacing w:line="360" w:lineRule="auto"/>
        <w:jc w:val="both"/>
        <w:rPr>
          <w:rFonts w:ascii="Book Antiqua" w:hAnsi="Book Antiqua" w:cs="Book Antiqua"/>
        </w:rPr>
      </w:pPr>
    </w:p>
    <w:p w14:paraId="55BC0F12" w14:textId="77777777" w:rsidR="00064BE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Feng Yu, </w:t>
      </w:r>
      <w:r>
        <w:rPr>
          <w:rFonts w:ascii="Book Antiqua" w:eastAsia="Book Antiqua" w:hAnsi="Book Antiqua" w:cs="Book Antiqua"/>
          <w:color w:val="000000"/>
        </w:rPr>
        <w:t>Department of Medicine, Peking University First Hospital, Beijing 100034, China</w:t>
      </w:r>
    </w:p>
    <w:p w14:paraId="2A9B03CD" w14:textId="77777777" w:rsidR="00064BE2" w:rsidRDefault="00064BE2">
      <w:pPr>
        <w:spacing w:line="360" w:lineRule="auto"/>
        <w:jc w:val="both"/>
        <w:rPr>
          <w:rFonts w:ascii="Book Antiqua" w:eastAsia="Book Antiqua" w:hAnsi="Book Antiqua" w:cs="Book Antiqua"/>
          <w:b/>
          <w:bCs/>
          <w:color w:val="000000"/>
        </w:rPr>
      </w:pPr>
    </w:p>
    <w:p w14:paraId="17ED9648" w14:textId="77777777" w:rsidR="00064BE2"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 F and Li HY designed the research. Li QY, Lv JM, and Liu XL performed the experiments. Lv JM and Li HY analyzed the data and wrote the paper. All authors reviewed and approved the final version of the manuscript.</w:t>
      </w:r>
    </w:p>
    <w:p w14:paraId="10AB1496" w14:textId="77777777" w:rsidR="00064BE2" w:rsidRDefault="00064BE2">
      <w:pPr>
        <w:spacing w:line="360" w:lineRule="auto"/>
        <w:jc w:val="both"/>
      </w:pPr>
    </w:p>
    <w:p w14:paraId="0E417C76" w14:textId="474684B0" w:rsidR="00064BE2" w:rsidRDefault="00000000">
      <w:pPr>
        <w:spacing w:line="360" w:lineRule="auto"/>
        <w:jc w:val="both"/>
        <w:rPr>
          <w:rStyle w:val="ad"/>
          <w:rFonts w:eastAsia="宋体"/>
          <w:lang w:eastAsia="zh-CN"/>
        </w:rPr>
      </w:pPr>
      <w:r>
        <w:rPr>
          <w:rFonts w:ascii="Book Antiqua" w:eastAsia="Book Antiqua" w:hAnsi="Book Antiqua" w:cs="Book Antiqua"/>
          <w:b/>
          <w:bCs/>
          <w:color w:val="000000"/>
        </w:rPr>
        <w:lastRenderedPageBreak/>
        <w:t xml:space="preserve">Corresponding author: Hai-Yun Li, PhD, Assistant Professor, </w:t>
      </w:r>
      <w:r>
        <w:rPr>
          <w:rFonts w:ascii="Book Antiqua" w:eastAsia="Book Antiqua" w:hAnsi="Book Antiqua" w:cs="Book Antiqua"/>
          <w:color w:val="000000"/>
        </w:rPr>
        <w:t xml:space="preserve">School of Basic Medical Sciences, Xi’an Jiaotong University, No. 76 Yanta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est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oad, Xi'an 710061, Shaanxi Province, China. </w:t>
      </w:r>
      <w:hyperlink r:id="rId7" w:history="1">
        <w:r>
          <w:rPr>
            <w:rStyle w:val="ac"/>
            <w:rFonts w:ascii="Book Antiqua" w:eastAsia="Book Antiqua" w:hAnsi="Book Antiqua" w:cs="Book Antiqua"/>
            <w:color w:val="auto"/>
            <w:u w:val="none"/>
          </w:rPr>
          <w:t>lihaiy@xjtu.edu.cn</w:t>
        </w:r>
      </w:hyperlink>
    </w:p>
    <w:p w14:paraId="015076AA" w14:textId="77777777" w:rsidR="00064BE2" w:rsidRDefault="00064BE2">
      <w:pPr>
        <w:spacing w:line="360" w:lineRule="auto"/>
        <w:jc w:val="both"/>
        <w:rPr>
          <w:rStyle w:val="ad"/>
          <w:rFonts w:eastAsia="宋体"/>
          <w:lang w:eastAsia="zh-CN"/>
        </w:rPr>
      </w:pPr>
    </w:p>
    <w:p w14:paraId="06E5094A" w14:textId="77777777" w:rsidR="00064BE2"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2022</w:t>
      </w:r>
    </w:p>
    <w:p w14:paraId="1BA211D6" w14:textId="77777777" w:rsidR="00064BE2"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2022</w:t>
      </w:r>
    </w:p>
    <w:p w14:paraId="3392F554" w14:textId="757E0889" w:rsidR="00064BE2" w:rsidRDefault="00000000">
      <w:pPr>
        <w:spacing w:line="360" w:lineRule="auto"/>
        <w:jc w:val="both"/>
      </w:pPr>
      <w:r>
        <w:rPr>
          <w:rFonts w:ascii="Book Antiqua" w:eastAsia="Book Antiqua" w:hAnsi="Book Antiqua" w:cs="Book Antiqua"/>
          <w:b/>
          <w:bCs/>
          <w:color w:val="000000"/>
        </w:rPr>
        <w:t xml:space="preserve">Accepted: </w:t>
      </w:r>
      <w:r w:rsidR="00776944" w:rsidRPr="00CD0185">
        <w:rPr>
          <w:rFonts w:ascii="Book Antiqua" w:eastAsia="Book Antiqua" w:hAnsi="Book Antiqua" w:cs="Book Antiqua"/>
          <w:color w:val="000000"/>
        </w:rPr>
        <w:t>February 21, 2023</w:t>
      </w:r>
    </w:p>
    <w:p w14:paraId="27DA6AA6" w14:textId="7676BE12" w:rsidR="00064BE2" w:rsidRDefault="00000000">
      <w:pPr>
        <w:spacing w:line="360" w:lineRule="auto"/>
        <w:jc w:val="both"/>
      </w:pPr>
      <w:r>
        <w:rPr>
          <w:rFonts w:ascii="Book Antiqua" w:eastAsia="Book Antiqua" w:hAnsi="Book Antiqua" w:cs="Book Antiqua"/>
          <w:b/>
          <w:bCs/>
          <w:color w:val="000000"/>
        </w:rPr>
        <w:t xml:space="preserve">Published online: </w:t>
      </w:r>
      <w:r w:rsidR="00291B18">
        <w:rPr>
          <w:rFonts w:ascii="Book Antiqua" w:hAnsi="Book Antiqua"/>
          <w:color w:val="000000"/>
          <w:shd w:val="clear" w:color="auto" w:fill="FFFFFF"/>
        </w:rPr>
        <w:t>April 28</w:t>
      </w:r>
      <w:r w:rsidR="00291B18">
        <w:rPr>
          <w:rFonts w:ascii="Book Antiqua" w:eastAsia="Microsoft YaHei UI" w:hAnsi="Book Antiqua" w:hint="eastAsia"/>
          <w:color w:val="000000"/>
        </w:rPr>
        <w:t>,</w:t>
      </w:r>
      <w:r w:rsidR="00291B18">
        <w:rPr>
          <w:rFonts w:ascii="Book Antiqua" w:eastAsia="Microsoft YaHei UI" w:hAnsi="Book Antiqua"/>
          <w:color w:val="000000"/>
        </w:rPr>
        <w:t xml:space="preserve"> 2023</w:t>
      </w:r>
    </w:p>
    <w:p w14:paraId="013A3D4F" w14:textId="77777777" w:rsidR="00064BE2" w:rsidRDefault="00064BE2">
      <w:pPr>
        <w:spacing w:line="360" w:lineRule="auto"/>
        <w:jc w:val="both"/>
        <w:sectPr w:rsidR="00064BE2">
          <w:footerReference w:type="default" r:id="rId8"/>
          <w:pgSz w:w="12240" w:h="15840"/>
          <w:pgMar w:top="1440" w:right="1440" w:bottom="1440" w:left="1440" w:header="720" w:footer="720" w:gutter="0"/>
          <w:cols w:space="720"/>
          <w:docGrid w:linePitch="360"/>
        </w:sectPr>
      </w:pPr>
    </w:p>
    <w:p w14:paraId="324EB71C" w14:textId="77777777" w:rsidR="00064BE2" w:rsidRDefault="00000000">
      <w:pPr>
        <w:spacing w:line="360" w:lineRule="auto"/>
        <w:jc w:val="both"/>
      </w:pPr>
      <w:r>
        <w:rPr>
          <w:rFonts w:ascii="Book Antiqua" w:eastAsia="Book Antiqua" w:hAnsi="Book Antiqua" w:cs="Book Antiqua"/>
          <w:b/>
          <w:color w:val="000000"/>
        </w:rPr>
        <w:lastRenderedPageBreak/>
        <w:t>Abstract</w:t>
      </w:r>
    </w:p>
    <w:p w14:paraId="10D3803C" w14:textId="77777777" w:rsidR="00064BE2" w:rsidRDefault="00000000">
      <w:pPr>
        <w:spacing w:line="360" w:lineRule="auto"/>
        <w:jc w:val="both"/>
      </w:pPr>
      <w:r>
        <w:rPr>
          <w:rFonts w:ascii="Book Antiqua" w:eastAsia="Book Antiqua" w:hAnsi="Book Antiqua" w:cs="Book Antiqua"/>
          <w:color w:val="000000"/>
        </w:rPr>
        <w:t>BACKGROUND</w:t>
      </w:r>
    </w:p>
    <w:p w14:paraId="1CEB36F8" w14:textId="77777777" w:rsidR="00064BE2" w:rsidRDefault="00000000">
      <w:pPr>
        <w:spacing w:line="360" w:lineRule="auto"/>
        <w:jc w:val="both"/>
      </w:pPr>
      <w:r>
        <w:rPr>
          <w:rFonts w:ascii="Book Antiqua" w:eastAsia="Book Antiqua" w:hAnsi="Book Antiqua" w:cs="Book Antiqua"/>
          <w:color w:val="000000"/>
        </w:rPr>
        <w:t>Complement overactivation is a major driver of lupus nephritis (LN). Impaired interactions of C-reactive protein (CRP) with complement factor H (CFH) have been shown as a pathogenic mechanism that contributes to the overactivation of complement in LN. However, genetic variations of neither CRP nor CFH show consistent influences on the risk of LN.</w:t>
      </w:r>
    </w:p>
    <w:p w14:paraId="06A89247" w14:textId="77777777" w:rsidR="00064BE2" w:rsidRDefault="00064BE2">
      <w:pPr>
        <w:spacing w:line="360" w:lineRule="auto"/>
        <w:jc w:val="both"/>
      </w:pPr>
    </w:p>
    <w:p w14:paraId="0C005A87" w14:textId="77777777" w:rsidR="00064BE2" w:rsidRDefault="00000000">
      <w:pPr>
        <w:spacing w:line="360" w:lineRule="auto"/>
        <w:jc w:val="both"/>
      </w:pPr>
      <w:r>
        <w:rPr>
          <w:rFonts w:ascii="Book Antiqua" w:eastAsia="Book Antiqua" w:hAnsi="Book Antiqua" w:cs="Book Antiqua"/>
          <w:color w:val="000000"/>
        </w:rPr>
        <w:t>AIM</w:t>
      </w:r>
    </w:p>
    <w:p w14:paraId="049DB162" w14:textId="77777777" w:rsidR="00064BE2" w:rsidRDefault="00000000">
      <w:pPr>
        <w:spacing w:line="360" w:lineRule="auto"/>
        <w:jc w:val="both"/>
      </w:pPr>
      <w:r>
        <w:rPr>
          <w:rFonts w:ascii="Book Antiqua" w:eastAsia="Book Antiqua" w:hAnsi="Book Antiqua" w:cs="Book Antiqua"/>
          <w:color w:val="000000"/>
        </w:rPr>
        <w:t>To examine whether genetic variations of CRP and CFH in combination can improve the risk stratification in Chinese population.</w:t>
      </w:r>
    </w:p>
    <w:p w14:paraId="30AAA2E4" w14:textId="77777777" w:rsidR="00064BE2" w:rsidRDefault="00064BE2">
      <w:pPr>
        <w:spacing w:line="360" w:lineRule="auto"/>
        <w:jc w:val="both"/>
      </w:pPr>
    </w:p>
    <w:p w14:paraId="1D37D7B4" w14:textId="77777777" w:rsidR="00064BE2" w:rsidRDefault="00000000">
      <w:pPr>
        <w:spacing w:line="360" w:lineRule="auto"/>
        <w:jc w:val="both"/>
      </w:pPr>
      <w:r>
        <w:rPr>
          <w:rFonts w:ascii="Book Antiqua" w:eastAsia="Book Antiqua" w:hAnsi="Book Antiqua" w:cs="Book Antiqua"/>
          <w:color w:val="000000"/>
        </w:rPr>
        <w:t>METHODS</w:t>
      </w:r>
    </w:p>
    <w:p w14:paraId="025AC3D3" w14:textId="77777777" w:rsidR="00064BE2" w:rsidRDefault="00000000">
      <w:pPr>
        <w:spacing w:line="360" w:lineRule="auto"/>
        <w:jc w:val="both"/>
        <w:rPr>
          <w:rFonts w:ascii="Book Antiqua" w:hAnsi="Book Antiqua" w:cs="Book Antiqua"/>
        </w:rPr>
      </w:pPr>
      <w:r>
        <w:rPr>
          <w:rFonts w:ascii="Book Antiqua" w:eastAsia="Book Antiqua" w:hAnsi="Book Antiqua" w:cs="Book Antiqua"/>
          <w:color w:val="000000"/>
        </w:rPr>
        <w:t>We genotyped six CRP single nucleotide polymorphisms</w:t>
      </w:r>
      <w:r>
        <w:rPr>
          <w:rFonts w:ascii="Book Antiqua" w:eastAsia="宋体" w:hAnsi="Book Antiqua" w:cs="Book Antiqua" w:hint="eastAsia"/>
          <w:lang w:eastAsia="zh-CN"/>
        </w:rPr>
        <w:t xml:space="preserve"> </w:t>
      </w:r>
      <w:r>
        <w:rPr>
          <w:rFonts w:ascii="Book Antiqua" w:eastAsia="宋体" w:hAnsi="Book Antiqua" w:cs="Book Antiqua"/>
          <w:lang w:eastAsia="zh-CN"/>
        </w:rPr>
        <w:t>(SNP</w:t>
      </w:r>
      <w:r>
        <w:rPr>
          <w:rFonts w:ascii="Book Antiqua" w:eastAsia="宋体" w:hAnsi="Book Antiqua" w:cs="Book Antiqua" w:hint="eastAsia"/>
          <w:lang w:eastAsia="zh-CN"/>
        </w:rPr>
        <w:t>s</w:t>
      </w:r>
      <w:r>
        <w:rPr>
          <w:rFonts w:ascii="Book Antiqua" w:eastAsia="宋体" w:hAnsi="Book Antiqua" w:cs="Book Antiqua"/>
          <w:lang w:eastAsia="zh-CN"/>
        </w:rPr>
        <w:t>)</w:t>
      </w:r>
      <w:r>
        <w:rPr>
          <w:rFonts w:ascii="Book Antiqua" w:eastAsia="Book Antiqua" w:hAnsi="Book Antiqua" w:cs="Book Antiqua"/>
          <w:color w:val="000000"/>
        </w:rPr>
        <w:t xml:space="preserve"> (rs1205, rs3093062, rs2794521, rs1800947, rs3093077, and rs1130864) and three CFH SNPs (rs482934, rs1061170, and rs1061147) in 270 LN patients and 303 healthy subjects.</w:t>
      </w:r>
    </w:p>
    <w:p w14:paraId="6F17284D" w14:textId="77777777" w:rsidR="00064BE2" w:rsidRDefault="00064BE2">
      <w:pPr>
        <w:spacing w:line="360" w:lineRule="auto"/>
        <w:jc w:val="both"/>
      </w:pPr>
    </w:p>
    <w:p w14:paraId="66720A15" w14:textId="77777777" w:rsidR="00064BE2" w:rsidRDefault="00000000">
      <w:pPr>
        <w:spacing w:line="360" w:lineRule="auto"/>
        <w:jc w:val="both"/>
      </w:pPr>
      <w:r>
        <w:rPr>
          <w:rFonts w:ascii="Book Antiqua" w:eastAsia="Book Antiqua" w:hAnsi="Book Antiqua" w:cs="Book Antiqua"/>
          <w:color w:val="000000"/>
        </w:rPr>
        <w:t>RESULTS</w:t>
      </w:r>
    </w:p>
    <w:p w14:paraId="3FF9BEFD" w14:textId="77777777" w:rsidR="00064BE2" w:rsidRDefault="00000000">
      <w:pPr>
        <w:spacing w:line="360" w:lineRule="auto"/>
        <w:jc w:val="both"/>
      </w:pPr>
      <w:r>
        <w:rPr>
          <w:rFonts w:ascii="Book Antiqua" w:eastAsia="Book Antiqua" w:hAnsi="Book Antiqua" w:cs="Book Antiqua"/>
          <w:color w:val="000000"/>
        </w:rPr>
        <w:t>No linkage was found among CRP and CFH SNPs, indicating lack of genetic interactions between the two genes. Moreover, CRP and CFH SNPs, neither individually nor in combination, are associated with the risk or clinical manifestations of LN. Given the unambiguous pathogenic roles of the two genes.</w:t>
      </w:r>
    </w:p>
    <w:p w14:paraId="6B20D74F" w14:textId="77777777" w:rsidR="00064BE2" w:rsidRDefault="00064BE2">
      <w:pPr>
        <w:spacing w:line="360" w:lineRule="auto"/>
        <w:jc w:val="both"/>
      </w:pPr>
    </w:p>
    <w:p w14:paraId="65F0E503" w14:textId="77777777" w:rsidR="00064BE2" w:rsidRDefault="00000000">
      <w:pPr>
        <w:spacing w:line="360" w:lineRule="auto"/>
        <w:jc w:val="both"/>
      </w:pPr>
      <w:r>
        <w:rPr>
          <w:rFonts w:ascii="Book Antiqua" w:eastAsia="Book Antiqua" w:hAnsi="Book Antiqua" w:cs="Book Antiqua"/>
          <w:color w:val="000000"/>
        </w:rPr>
        <w:t>CONCLUSION</w:t>
      </w:r>
    </w:p>
    <w:p w14:paraId="658E92E8" w14:textId="77777777" w:rsidR="00064BE2" w:rsidRDefault="00000000">
      <w:pPr>
        <w:spacing w:line="360" w:lineRule="auto"/>
        <w:jc w:val="both"/>
      </w:pPr>
      <w:r>
        <w:rPr>
          <w:rFonts w:ascii="Book Antiqua" w:eastAsia="Book Antiqua" w:hAnsi="Book Antiqua" w:cs="Book Antiqua"/>
          <w:color w:val="000000"/>
        </w:rPr>
        <w:t>These findings suggest that the biological effects of most genetic variations of CRP and CFH on their expressions or activities are not sufficient to influence the disease course of LN.</w:t>
      </w:r>
    </w:p>
    <w:p w14:paraId="29A6C0EC" w14:textId="77777777" w:rsidR="00064BE2" w:rsidRDefault="00064BE2">
      <w:pPr>
        <w:spacing w:line="360" w:lineRule="auto"/>
        <w:jc w:val="both"/>
      </w:pPr>
    </w:p>
    <w:p w14:paraId="7D43F420" w14:textId="77777777" w:rsidR="00064BE2" w:rsidRDefault="00000000">
      <w:pPr>
        <w:spacing w:line="360" w:lineRule="auto"/>
        <w:jc w:val="both"/>
      </w:pPr>
      <w:r>
        <w:rPr>
          <w:rFonts w:ascii="Book Antiqua" w:eastAsia="Book Antiqua" w:hAnsi="Book Antiqua" w:cs="Book Antiqua"/>
          <w:b/>
          <w:bCs/>
          <w:color w:val="000000"/>
          <w:szCs w:val="21"/>
        </w:rPr>
        <w:lastRenderedPageBreak/>
        <w:t xml:space="preserve">Key Words: </w:t>
      </w:r>
      <w:r>
        <w:rPr>
          <w:rFonts w:ascii="Book Antiqua" w:eastAsia="Book Antiqua" w:hAnsi="Book Antiqua" w:cs="Book Antiqua"/>
          <w:color w:val="000000"/>
        </w:rPr>
        <w:t>Systemic lupus erythematosus, Lupus nephritis, C-reactive protein, Complement factor H, Single nucleotide polymorphism.</w:t>
      </w:r>
    </w:p>
    <w:p w14:paraId="49302C39" w14:textId="77777777" w:rsidR="00282608" w:rsidRPr="006D4EDA" w:rsidRDefault="00282608" w:rsidP="00282608">
      <w:pPr>
        <w:spacing w:line="360" w:lineRule="auto"/>
        <w:rPr>
          <w:rFonts w:ascii="Book Antiqua" w:eastAsia="Book Antiqua" w:hAnsi="Book Antiqua" w:cs="Book Antiqua"/>
        </w:rPr>
      </w:pPr>
      <w:bookmarkStart w:id="0" w:name="_Hlk132877267"/>
    </w:p>
    <w:p w14:paraId="581D5B00" w14:textId="77777777" w:rsidR="00282608" w:rsidRPr="006D4EDA" w:rsidRDefault="00282608" w:rsidP="0028260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938F619" w14:textId="77777777" w:rsidR="00282608" w:rsidRPr="006D4EDA" w:rsidRDefault="00282608" w:rsidP="00282608">
      <w:pPr>
        <w:spacing w:line="360" w:lineRule="auto"/>
        <w:rPr>
          <w:rFonts w:ascii="Book Antiqua" w:eastAsia="Book Antiqua" w:hAnsi="Book Antiqua" w:cs="Book Antiqua"/>
        </w:rPr>
      </w:pPr>
    </w:p>
    <w:p w14:paraId="548C70D0" w14:textId="66CD91FA" w:rsidR="009F43B2" w:rsidRDefault="009F43B2">
      <w:pPr>
        <w:spacing w:line="360" w:lineRule="auto"/>
        <w:jc w:val="both"/>
        <w:rPr>
          <w:rFonts w:ascii="Book Antiqua" w:eastAsia="Book Antiqua" w:hAnsi="Book Antiqua" w:cs="Book Antiqua"/>
          <w:color w:val="000000"/>
        </w:rPr>
      </w:pPr>
      <w:r w:rsidRPr="000858F5">
        <w:rPr>
          <w:rFonts w:ascii="Book Antiqua" w:eastAsia="Book Antiqua" w:hAnsi="Book Antiqua" w:cs="Book Antiqua"/>
          <w:b/>
          <w:bCs/>
        </w:rPr>
        <w:t>Citation</w:t>
      </w:r>
      <w:r w:rsidRPr="000858F5">
        <w:rPr>
          <w:rFonts w:ascii="Book Antiqua" w:eastAsia="Book Antiqua" w:hAnsi="Book Antiqua" w:cs="Book Antiqua"/>
        </w:rPr>
        <w:t xml:space="preserve">: </w:t>
      </w:r>
      <w:bookmarkEnd w:id="0"/>
      <w:r>
        <w:rPr>
          <w:rFonts w:ascii="Book Antiqua" w:eastAsia="Book Antiqua" w:hAnsi="Book Antiqua" w:cs="Book Antiqua"/>
          <w:color w:val="000000"/>
        </w:rPr>
        <w:t xml:space="preserve">Li QY, Lv JM, Liu XL, Li HY, Yu F. Association of C-reactive protein and complement factor H gene polymorphisms with risk of lupus nephritis in Chinese population.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w:t>
      </w:r>
      <w:bookmarkStart w:id="1" w:name="_Hlk132877353"/>
      <w:r w:rsidR="00D87BF0" w:rsidRPr="00D87BF0">
        <w:rPr>
          <w:rFonts w:ascii="Book Antiqua" w:eastAsia="Book Antiqua" w:hAnsi="Book Antiqua" w:cs="Book Antiqua"/>
          <w:color w:val="000000"/>
        </w:rPr>
        <w:t xml:space="preserve">11(13): </w:t>
      </w:r>
      <w:r w:rsidRPr="009F43B2">
        <w:rPr>
          <w:rFonts w:ascii="Book Antiqua" w:eastAsia="Book Antiqua" w:hAnsi="Book Antiqua" w:cs="Book Antiqua"/>
          <w:color w:val="000000"/>
        </w:rPr>
        <w:t>2934-2944</w:t>
      </w:r>
    </w:p>
    <w:p w14:paraId="27277B6C" w14:textId="07B22256" w:rsidR="009F43B2" w:rsidRDefault="00D87BF0">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t>URL</w:t>
      </w:r>
      <w:r w:rsidRPr="00D87BF0">
        <w:rPr>
          <w:rFonts w:ascii="Book Antiqua" w:eastAsia="Book Antiqua" w:hAnsi="Book Antiqua" w:cs="Book Antiqua"/>
          <w:color w:val="000000"/>
        </w:rPr>
        <w:t>: https://www.wjgnet.com/2307-8960/full/v11/i13/</w:t>
      </w:r>
      <w:r w:rsidR="009F43B2" w:rsidRPr="009F43B2">
        <w:rPr>
          <w:rFonts w:ascii="Book Antiqua" w:eastAsia="Book Antiqua" w:hAnsi="Book Antiqua" w:cs="Book Antiqua"/>
          <w:color w:val="000000"/>
        </w:rPr>
        <w:t>2934</w:t>
      </w:r>
      <w:r w:rsidRPr="00D87BF0">
        <w:rPr>
          <w:rFonts w:ascii="Book Antiqua" w:eastAsia="Book Antiqua" w:hAnsi="Book Antiqua" w:cs="Book Antiqua"/>
          <w:color w:val="000000"/>
        </w:rPr>
        <w:t>.htm</w:t>
      </w:r>
    </w:p>
    <w:p w14:paraId="22FF6F53" w14:textId="3580E31A" w:rsidR="00064BE2" w:rsidRDefault="00D87BF0">
      <w:pPr>
        <w:spacing w:line="360" w:lineRule="auto"/>
        <w:jc w:val="both"/>
      </w:pPr>
      <w:r w:rsidRPr="009F43B2">
        <w:rPr>
          <w:rFonts w:ascii="Book Antiqua" w:eastAsia="Book Antiqua" w:hAnsi="Book Antiqua" w:cs="Book Antiqua"/>
          <w:b/>
          <w:bCs/>
          <w:color w:val="000000"/>
        </w:rPr>
        <w:t>DOI</w:t>
      </w:r>
      <w:r w:rsidRPr="00D87BF0">
        <w:rPr>
          <w:rFonts w:ascii="Book Antiqua" w:eastAsia="Book Antiqua" w:hAnsi="Book Antiqua" w:cs="Book Antiqua"/>
          <w:color w:val="000000"/>
        </w:rPr>
        <w:t>: https://dx.doi.org/10.12998/wjcc.v11.i13.</w:t>
      </w:r>
      <w:bookmarkEnd w:id="1"/>
      <w:r w:rsidR="009F43B2" w:rsidRPr="009F43B2">
        <w:rPr>
          <w:rFonts w:ascii="Book Antiqua" w:eastAsia="Book Antiqua" w:hAnsi="Book Antiqua" w:cs="Book Antiqua"/>
          <w:color w:val="000000"/>
        </w:rPr>
        <w:t>2934</w:t>
      </w:r>
    </w:p>
    <w:p w14:paraId="3C5E8025" w14:textId="77777777" w:rsidR="00064BE2" w:rsidRDefault="00064BE2">
      <w:pPr>
        <w:spacing w:line="360" w:lineRule="auto"/>
        <w:jc w:val="both"/>
      </w:pPr>
    </w:p>
    <w:p w14:paraId="1066DFBD" w14:textId="77777777" w:rsidR="00064BE2"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 spite of the unambiguous pathogenic roles of C-reactive protein </w:t>
      </w:r>
      <w:r>
        <w:rPr>
          <w:rFonts w:ascii="Book Antiqua" w:eastAsia="宋体" w:hAnsi="Book Antiqua" w:cs="Book Antiqua" w:hint="eastAsia"/>
          <w:color w:val="000000"/>
          <w:lang w:eastAsia="zh-CN"/>
        </w:rPr>
        <w:t>(CRP)</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c</w:t>
      </w:r>
      <w:r>
        <w:rPr>
          <w:rFonts w:ascii="Book Antiqua" w:eastAsia="Book Antiqua" w:hAnsi="Book Antiqua" w:cs="Book Antiqua"/>
          <w:color w:val="000000"/>
        </w:rPr>
        <w:t>omplement factor H</w:t>
      </w:r>
      <w:r>
        <w:rPr>
          <w:rFonts w:ascii="Book Antiqua" w:eastAsia="宋体" w:hAnsi="Book Antiqua" w:cs="Book Antiqua" w:hint="eastAsia"/>
          <w:color w:val="000000"/>
          <w:lang w:eastAsia="zh-CN"/>
        </w:rPr>
        <w:t xml:space="preserve"> (CFH)</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l</w:t>
      </w:r>
      <w:r>
        <w:rPr>
          <w:rFonts w:ascii="Book Antiqua" w:eastAsia="Book Antiqua" w:hAnsi="Book Antiqua" w:cs="Book Antiqua"/>
          <w:color w:val="000000"/>
        </w:rPr>
        <w:t>upus nephritis</w:t>
      </w:r>
      <w:r>
        <w:rPr>
          <w:rFonts w:ascii="Book Antiqua" w:eastAsia="宋体" w:hAnsi="Book Antiqua" w:cs="Book Antiqua" w:hint="eastAsia"/>
          <w:color w:val="000000"/>
          <w:lang w:eastAsia="zh-CN"/>
        </w:rPr>
        <w:t xml:space="preserve"> (LN)</w:t>
      </w:r>
      <w:r>
        <w:rPr>
          <w:rFonts w:ascii="Book Antiqua" w:eastAsia="Book Antiqua" w:hAnsi="Book Antiqua" w:cs="Book Antiqua"/>
          <w:color w:val="000000"/>
        </w:rPr>
        <w:t>, our present study involving a Chinese population has failed to reveal any significant associations of their genetic variations with LN risk. These findings suggest that most genetic variations of CRP and CFH might possess limited biological effects on their expressions or activities and are thus not sufficient to influence the disease course of LN. Overall, we concluded that genetic variations of CRP and CFH could not be used to improve the risk stratification of LN in Chinese population.</w:t>
      </w:r>
    </w:p>
    <w:p w14:paraId="55A21666" w14:textId="77777777" w:rsidR="00064BE2" w:rsidRDefault="00064BE2">
      <w:pPr>
        <w:spacing w:line="360" w:lineRule="auto"/>
        <w:jc w:val="both"/>
      </w:pPr>
    </w:p>
    <w:p w14:paraId="46421E7F" w14:textId="77777777" w:rsidR="00064BE2" w:rsidRDefault="00000000">
      <w:pPr>
        <w:spacing w:line="360" w:lineRule="auto"/>
        <w:jc w:val="both"/>
        <w:rPr>
          <w:u w:val="single"/>
        </w:rPr>
      </w:pPr>
      <w:r>
        <w:rPr>
          <w:rFonts w:ascii="Book Antiqua" w:eastAsia="Book Antiqua" w:hAnsi="Book Antiqua" w:cs="Book Antiqua"/>
          <w:b/>
          <w:caps/>
          <w:color w:val="000000"/>
          <w:u w:val="single"/>
        </w:rPr>
        <w:t>INTRODUCTION</w:t>
      </w:r>
    </w:p>
    <w:p w14:paraId="7198C700" w14:textId="77777777" w:rsidR="00064BE2" w:rsidRDefault="00000000">
      <w:pPr>
        <w:spacing w:line="360" w:lineRule="auto"/>
        <w:jc w:val="both"/>
      </w:pPr>
      <w:r>
        <w:rPr>
          <w:rFonts w:ascii="Book Antiqua" w:eastAsia="Book Antiqua" w:hAnsi="Book Antiqua" w:cs="Book Antiqua"/>
          <w:color w:val="000000"/>
        </w:rPr>
        <w:t>As an autoimmune disease, the pathogenesis of systemic lupus erythematosus (SLE) involves clearance defect of apoptotic cells, uncontrolled activation of complement and massive production of autoantibodies</w:t>
      </w:r>
      <w:r>
        <w:rPr>
          <w:rFonts w:ascii="Book Antiqua" w:eastAsia="Book Antiqua" w:hAnsi="Book Antiqua" w:cs="Book Antiqua"/>
          <w:color w:val="000000"/>
          <w:szCs w:val="36"/>
          <w:vertAlign w:val="superscript"/>
        </w:rPr>
        <w:t>[</w:t>
      </w:r>
      <w:hyperlink w:anchor="_ENREF_1" w:tooltip="Rahman, 2008 #1" w:history="1">
        <w:r>
          <w:rPr>
            <w:rFonts w:ascii="Book Antiqua" w:eastAsia="Book Antiqua" w:hAnsi="Book Antiqua" w:cs="Book Antiqua"/>
            <w:color w:val="000000"/>
            <w:szCs w:val="36"/>
            <w:vertAlign w:val="superscript"/>
          </w:rPr>
          <w:t>1</w:t>
        </w:r>
      </w:hyperlink>
      <w:r>
        <w:rPr>
          <w:rFonts w:ascii="Book Antiqua" w:eastAsia="Book Antiqua" w:hAnsi="Book Antiqua" w:cs="Book Antiqua"/>
          <w:color w:val="000000"/>
          <w:szCs w:val="36"/>
          <w:vertAlign w:val="superscript"/>
        </w:rPr>
        <w:t>,</w:t>
      </w:r>
      <w:hyperlink w:anchor="_ENREF_2" w:tooltip="Almaani, 2016 #2" w:history="1">
        <w:r>
          <w:rPr>
            <w:rFonts w:ascii="Book Antiqua" w:eastAsia="Book Antiqua" w:hAnsi="Book Antiqua" w:cs="Book Antiqua"/>
            <w:color w:val="000000"/>
            <w:szCs w:val="36"/>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.Previously studies have shown that 40% of SLE patients have clinical manifestations of renal dysfunction and that about 80% of SLE patients have different degrees of pathological renal damage, including lupus nephritis (LN), a common and severe complication of SLE, which is regarded as the main factor for the poor prognosis of patients</w:t>
      </w:r>
      <w:r>
        <w:rPr>
          <w:rFonts w:ascii="Book Antiqua" w:eastAsia="Book Antiqua" w:hAnsi="Book Antiqua" w:cs="Book Antiqua"/>
          <w:color w:val="000000"/>
          <w:szCs w:val="36"/>
          <w:vertAlign w:val="superscript"/>
        </w:rPr>
        <w:t>[</w:t>
      </w:r>
      <w:hyperlink w:anchor="_ENREF_3" w:tooltip="Johanneson, 2002 #3" w:history="1">
        <w:r>
          <w:rPr>
            <w:rFonts w:ascii="Book Antiqua" w:eastAsia="Book Antiqua" w:hAnsi="Book Antiqua" w:cs="Book Antiqua"/>
            <w:color w:val="000000"/>
            <w:szCs w:val="36"/>
            <w:vertAlign w:val="superscript"/>
          </w:rPr>
          <w:t>3-5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D17352D" w14:textId="77777777" w:rsidR="00064BE2" w:rsidRDefault="00000000">
      <w:pPr>
        <w:numPr>
          <w:ilvl w:val="0"/>
          <w:numId w:val="1"/>
        </w:numPr>
        <w:spacing w:line="360" w:lineRule="auto"/>
        <w:ind w:firstLineChars="200" w:firstLine="480"/>
        <w:jc w:val="both"/>
      </w:pPr>
      <w:r>
        <w:rPr>
          <w:rFonts w:ascii="Book Antiqua" w:eastAsia="Book Antiqua" w:hAnsi="Book Antiqua" w:cs="Book Antiqua"/>
          <w:color w:val="000000"/>
        </w:rPr>
        <w:lastRenderedPageBreak/>
        <w:t>reactive protein (CRP) is an acute phase reactant and a commonly used clinical marker of inflammation</w:t>
      </w:r>
      <w:r>
        <w:rPr>
          <w:rFonts w:ascii="Book Antiqua" w:eastAsia="Book Antiqua" w:hAnsi="Book Antiqua" w:cs="Book Antiqua"/>
          <w:color w:val="000000"/>
          <w:szCs w:val="36"/>
          <w:vertAlign w:val="superscript"/>
        </w:rPr>
        <w:t>[6</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10]</w:t>
      </w:r>
      <w:r>
        <w:rPr>
          <w:rStyle w:val="15"/>
          <w:rFonts w:ascii="Book Antiqua" w:eastAsia="Book Antiqua" w:hAnsi="Book Antiqua" w:cs="Book Antiqua"/>
          <w:color w:val="000000"/>
        </w:rPr>
        <w:t xml:space="preserve">. Besides, CRP could promote the elimination of damaged cells or pathogens by activating and regulating the complement system. Previous clinical studies suggest that CRP and SLE/LN have certain correlations. Firstly, </w:t>
      </w:r>
      <w:r>
        <w:rPr>
          <w:rFonts w:ascii="Book Antiqua" w:eastAsia="Book Antiqua" w:hAnsi="Book Antiqua" w:cs="Book Antiqua"/>
          <w:color w:val="000000"/>
        </w:rPr>
        <w:t>CRP gene locates in the chromosome 1q23, an SLE linkage region</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xml:space="preserve">. Secondly, </w:t>
      </w:r>
      <w:r>
        <w:rPr>
          <w:rStyle w:val="15"/>
          <w:rFonts w:ascii="Book Antiqua" w:eastAsia="Book Antiqua" w:hAnsi="Book Antiqua" w:cs="Book Antiqua"/>
          <w:color w:val="000000"/>
        </w:rPr>
        <w:t>elevation of CRP levels is generally impaired in SLE patients especially those with kidney and skin involvement</w:t>
      </w:r>
      <w:r>
        <w:rPr>
          <w:rStyle w:val="15"/>
          <w:rFonts w:ascii="Book Antiqua" w:eastAsia="Book Antiqua" w:hAnsi="Book Antiqua" w:cs="Book Antiqua"/>
          <w:color w:val="000000"/>
          <w:szCs w:val="36"/>
          <w:vertAlign w:val="superscript"/>
        </w:rPr>
        <w:t>[13]</w:t>
      </w:r>
      <w:r>
        <w:rPr>
          <w:rStyle w:val="15"/>
          <w:rFonts w:ascii="Book Antiqua" w:eastAsia="Book Antiqua" w:hAnsi="Book Antiqua" w:cs="Book Antiqua"/>
          <w:color w:val="000000"/>
        </w:rPr>
        <w:t>. Thirdly, CRP autoantibodies can be detected in a considerable number of patients, which may relate to abnormal plasma levels in SLE</w:t>
      </w:r>
      <w:r>
        <w:rPr>
          <w:rFonts w:ascii="Book Antiqua" w:eastAsia="Book Antiqua" w:hAnsi="Book Antiqua" w:cs="Book Antiqua"/>
          <w:color w:val="000000"/>
          <w:szCs w:val="36"/>
          <w:vertAlign w:val="superscript"/>
        </w:rPr>
        <w:t>[14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16]</w:t>
      </w:r>
      <w:r>
        <w:rPr>
          <w:rStyle w:val="15"/>
          <w:rFonts w:ascii="Book Antiqua" w:eastAsia="Book Antiqua" w:hAnsi="Book Antiqua" w:cs="Book Antiqua"/>
          <w:color w:val="000000"/>
        </w:rPr>
        <w:t>.</w:t>
      </w:r>
      <w:r>
        <w:rPr>
          <w:rFonts w:ascii="Book Antiqua" w:eastAsia="Book Antiqua" w:hAnsi="Book Antiqua" w:cs="Book Antiqua"/>
          <w:color w:val="000000"/>
        </w:rPr>
        <w:t xml:space="preserve"> Lastly, several animal studies on lupus-prone mouse strain (NZB/NZW) revealed that human CRP could help to produce less proteinuria and prolonged survival</w:t>
      </w:r>
      <w:r>
        <w:rPr>
          <w:rFonts w:ascii="Book Antiqua" w:eastAsia="Book Antiqua" w:hAnsi="Book Antiqua" w:cs="Book Antiqua"/>
          <w:color w:val="000000"/>
          <w:szCs w:val="36"/>
          <w:vertAlign w:val="superscript"/>
        </w:rPr>
        <w:t>[17</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In the past decades, studies have been made to clarify the associations of CRP Single Nucleotide Polymorphisms </w:t>
      </w:r>
      <w:r>
        <w:rPr>
          <w:rFonts w:ascii="Book Antiqua" w:eastAsia="宋体" w:hAnsi="Book Antiqua" w:cs="Book Antiqua" w:hint="eastAsia"/>
          <w:color w:val="000000"/>
          <w:lang w:eastAsia="zh-CN"/>
        </w:rPr>
        <w:t xml:space="preserve">(SNPs) </w:t>
      </w:r>
      <w:r>
        <w:rPr>
          <w:rFonts w:ascii="Book Antiqua" w:eastAsia="Book Antiqua" w:hAnsi="Book Antiqua" w:cs="Book Antiqua"/>
          <w:color w:val="000000"/>
        </w:rPr>
        <w:t>with SLE susceptibility, while conclusions remained inconsistent</w:t>
      </w:r>
      <w:r>
        <w:rPr>
          <w:rFonts w:ascii="Book Antiqua" w:eastAsia="Book Antiqua" w:hAnsi="Book Antiqua" w:cs="Book Antiqua"/>
          <w:color w:val="000000"/>
          <w:szCs w:val="36"/>
          <w:vertAlign w:val="superscript"/>
        </w:rPr>
        <w:t>[20</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Moreover, no CRP SNPs studies have been performed in the Chinese population.</w:t>
      </w:r>
    </w:p>
    <w:p w14:paraId="4E5FC1A9" w14:textId="77777777" w:rsidR="00064BE2" w:rsidRDefault="00000000">
      <w:pPr>
        <w:spacing w:line="360" w:lineRule="auto"/>
        <w:ind w:firstLineChars="200" w:firstLine="480"/>
        <w:jc w:val="both"/>
      </w:pPr>
      <w:r>
        <w:rPr>
          <w:rFonts w:ascii="Book Antiqua" w:eastAsia="Book Antiqua" w:hAnsi="Book Antiqua" w:cs="Book Antiqua"/>
          <w:color w:val="000000"/>
        </w:rPr>
        <w:t>In addition to CRP, complement factor H (CFH), a factor that negatively regulates alternative complement pathway, is another candidate associated with SLE. Firstly, CFH deficiency has been proven to accelerate the development of LN</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and serum CFH level was observed to be associated with clinical and pathological activities of SLE patients with LN</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Secondly, several families suffering from SLE were reported to possess CFH deficiency or mutations</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Genetic variations of CFH can sometimes affect its bioactivities, in which several exotic SNPs were found to be related to various human diseases</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Among CFH SNPs, rs1061170 corresponds to a CFH variant Tyr402His, which exhibits impaired CFH-CRP binding efficiency. Because CRP could inhibit the complement overactivation by recruiting CFH, so Tyr402His theoretically results in dysregulated complement activation</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p>
    <w:p w14:paraId="4A9540B8" w14:textId="77777777" w:rsidR="00064BE2" w:rsidRDefault="00000000">
      <w:pPr>
        <w:spacing w:line="360" w:lineRule="auto"/>
        <w:ind w:firstLineChars="200" w:firstLine="480"/>
        <w:jc w:val="both"/>
      </w:pPr>
      <w:r>
        <w:rPr>
          <w:rFonts w:ascii="Book Antiqua" w:eastAsia="Book Antiqua" w:hAnsi="Book Antiqua" w:cs="Book Antiqua"/>
          <w:color w:val="000000"/>
        </w:rPr>
        <w:t xml:space="preserve">Despite that </w:t>
      </w:r>
      <w:r>
        <w:rPr>
          <w:rStyle w:val="15"/>
          <w:rFonts w:ascii="Book Antiqua" w:eastAsia="Book Antiqua" w:hAnsi="Book Antiqua" w:cs="Book Antiqua"/>
          <w:color w:val="000000"/>
        </w:rPr>
        <w:t xml:space="preserve">LN is a complement-related disease, and that both CRP and CFH are involved in complement regulation, </w:t>
      </w:r>
      <w:r>
        <w:rPr>
          <w:rFonts w:ascii="Book Antiqua" w:eastAsia="Book Antiqua" w:hAnsi="Book Antiqua" w:cs="Book Antiqua"/>
          <w:color w:val="000000"/>
        </w:rPr>
        <w:t xml:space="preserve">it remains unclear whether CRP and CFH SNPs directly impact the pathogenesis of LN. In this scenario, we carried out the present study, in which six CRP SNPs and three CFH SNPs were genotyped in 270 LN patients and 303 healthy controls of a Chinese cohort. Association analysis was subsequently performed </w:t>
      </w:r>
      <w:r>
        <w:rPr>
          <w:rFonts w:ascii="Book Antiqua" w:eastAsia="Book Antiqua" w:hAnsi="Book Antiqua" w:cs="Book Antiqua"/>
          <w:color w:val="000000"/>
        </w:rPr>
        <w:lastRenderedPageBreak/>
        <w:t>for these SNPs and LN risk from the perspectives of allele, genotype, combined SNPs and haplotype. As far as we know, this is the first study to consider SNPs of CRP and CFH together when evaluating their relationship with LN risk in the Chinese population. Our data show that SNPs of both genes have no significant association with LN risk. Given the unambiguous pathogenic role of the two genes, these findings suggest that the biological effects of genetic variations of CRP and CFH on their expression or activities are not sufficient to influence the disease course of LN in the Chinese population.</w:t>
      </w:r>
    </w:p>
    <w:p w14:paraId="5AE0A1E4" w14:textId="77777777" w:rsidR="00064BE2" w:rsidRDefault="00064BE2">
      <w:pPr>
        <w:spacing w:line="360" w:lineRule="auto"/>
        <w:ind w:firstLine="420"/>
        <w:jc w:val="both"/>
      </w:pPr>
    </w:p>
    <w:p w14:paraId="76AF99DE" w14:textId="77777777" w:rsidR="00064BE2" w:rsidRPr="00DE5C84" w:rsidRDefault="00000000">
      <w:pPr>
        <w:spacing w:line="360" w:lineRule="auto"/>
        <w:jc w:val="both"/>
        <w:rPr>
          <w:u w:val="single"/>
        </w:rPr>
      </w:pPr>
      <w:r w:rsidRPr="00DE5C84">
        <w:rPr>
          <w:rFonts w:ascii="Book Antiqua" w:eastAsia="Book Antiqua" w:hAnsi="Book Antiqua" w:cs="Book Antiqua"/>
          <w:b/>
          <w:caps/>
          <w:color w:val="000000"/>
          <w:u w:val="single"/>
        </w:rPr>
        <w:t>MATERIALS AND METHODS</w:t>
      </w:r>
    </w:p>
    <w:p w14:paraId="49AEC505"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Participators</w:t>
      </w:r>
    </w:p>
    <w:p w14:paraId="50C935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Renal histopathological data of 270 patients with renal biopsy-proven LN, diagnosed between January 2000 and July 2017 in Peking University First Hospital, were reviewed and reclassified according to the International Society of Nephrology and Renal Pathology Society (ISN/RPS) 2003 classification</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303 age and gender matched healthy controls were collected. The work was approved by the Ethics Committee of Peking University First Hospital [Approval No. 2017(1333)].</w:t>
      </w:r>
    </w:p>
    <w:p w14:paraId="52256D4E" w14:textId="77777777" w:rsidR="00064BE2" w:rsidRDefault="00064BE2">
      <w:pPr>
        <w:spacing w:line="360" w:lineRule="auto"/>
        <w:jc w:val="both"/>
        <w:rPr>
          <w:rFonts w:ascii="Book Antiqua" w:eastAsia="Book Antiqua" w:hAnsi="Book Antiqua" w:cs="Book Antiqua"/>
          <w:color w:val="000000"/>
        </w:rPr>
      </w:pPr>
    </w:p>
    <w:p w14:paraId="00DF1E62" w14:textId="77777777" w:rsidR="00064BE2" w:rsidRDefault="00000000">
      <w:pPr>
        <w:spacing w:line="360" w:lineRule="auto"/>
        <w:jc w:val="both"/>
        <w:rPr>
          <w:rFonts w:ascii="Book Antiqua" w:eastAsia="宋体" w:hAnsi="Book Antiqua" w:cs="Book Antiqua"/>
          <w:b/>
          <w:bCs/>
          <w:i/>
          <w:iCs/>
          <w:color w:val="000000"/>
          <w:lang w:eastAsia="zh-CN"/>
        </w:rPr>
      </w:pPr>
      <w:r>
        <w:rPr>
          <w:rFonts w:ascii="Book Antiqua" w:eastAsia="Book Antiqua" w:hAnsi="Book Antiqua" w:cs="Book Antiqua"/>
          <w:b/>
          <w:bCs/>
          <w:i/>
          <w:iCs/>
          <w:color w:val="000000"/>
        </w:rPr>
        <w:t>DNA Preparation and SNP Genotyping</w:t>
      </w:r>
      <w:r>
        <w:rPr>
          <w:rFonts w:ascii="Book Antiqua" w:eastAsia="宋体" w:hAnsi="Book Antiqua" w:cs="Book Antiqua" w:hint="eastAsia"/>
          <w:b/>
          <w:bCs/>
          <w:i/>
          <w:iCs/>
          <w:color w:val="000000"/>
          <w:lang w:eastAsia="zh-CN"/>
        </w:rPr>
        <w:t>.</w:t>
      </w:r>
    </w:p>
    <w:p w14:paraId="0A9D4F4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samples of the</w:t>
      </w:r>
      <w:r>
        <w:rPr>
          <w:rFonts w:ascii="Book Antiqua" w:eastAsia="Book Antiqua" w:hAnsi="Book Antiqua" w:cs="Book Antiqua"/>
          <w:b/>
          <w:bCs/>
          <w:color w:val="000000"/>
        </w:rPr>
        <w:t xml:space="preserve"> </w:t>
      </w:r>
      <w:r>
        <w:rPr>
          <w:rFonts w:ascii="Book Antiqua" w:eastAsia="Book Antiqua" w:hAnsi="Book Antiqua" w:cs="Book Antiqua"/>
          <w:color w:val="000000"/>
        </w:rPr>
        <w:t>270 SLE patients and 303 healthy controls of Chinese Han individuals were collected with the approval of the Ethics Committee of Peking University First Hospital. Human genomic DNA was extracted using Qiagen Blood DNA Kit (QIAGEN China, Shanghai) according to the manufacturer's instructions. Subsequently, the CRP SNPs (rs1205, rs3093077, rs3091244, rs1130864, rs1800947, rs2794521), and CFH SNPs (rs1061170, rs482934 and rs1061147) was genotyped by SNaPshot (ABI PRISM® SNaPshot™ Multiplex Kit, ABI) with specific primers.</w:t>
      </w:r>
    </w:p>
    <w:p w14:paraId="4FF7EB34" w14:textId="77777777" w:rsidR="00064BE2" w:rsidRDefault="00064BE2">
      <w:pPr>
        <w:spacing w:line="360" w:lineRule="auto"/>
        <w:jc w:val="both"/>
        <w:rPr>
          <w:rFonts w:ascii="Book Antiqua" w:eastAsia="Book Antiqua" w:hAnsi="Book Antiqua" w:cs="Book Antiqua"/>
          <w:color w:val="000000"/>
        </w:rPr>
      </w:pPr>
    </w:p>
    <w:p w14:paraId="75071200"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Evaluation of Clinical, Laboratory and Renal Pathological Indexes of LN Patients</w:t>
      </w:r>
    </w:p>
    <w:p w14:paraId="2B4A85E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clinical evaluation, the disease activities of all patients were assessed by the SLE Disease Activity Index</w:t>
      </w:r>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xml:space="preserve">. Briefly, the following items were collected and analyzed: Sex, </w:t>
      </w:r>
      <w:r>
        <w:rPr>
          <w:rFonts w:ascii="Book Antiqua" w:eastAsia="Book Antiqua" w:hAnsi="Book Antiqua" w:cs="Book Antiqua"/>
          <w:color w:val="000000"/>
        </w:rPr>
        <w:lastRenderedPageBreak/>
        <w:t>fever, malar rash, photosensitivity, oral ulcer, alopecia, arthritis, serositis, neurologic disorder, anemia, leukocytopenia, thrombocytopenia, hematuria, and leukocyturia. For laboratory assessment, the following items were collected as we previously reported</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Complete blood count, plasma lactate dehydrogenase, liver enzymes, peripheral blood smear, urine analysis, serum creatinine, serum antinuclear antibodies, anti-double-stranded DNA antibodies, anti-extractable nuclear antigen antibodies, anti-cardiolipin antibodies and C3. For renal histopathology, all renal biopsy specimens were examined by light microscopy, direct immunofluorescence, and electron microscopy techniques as our previous reports</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All samples were double-blind reviewed by two experienced pathologists based on the 2003 ISN/RPS recommendation on LN classification</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The pathologists classified and scored the biopsies separately, especially for the activity indices, chronicity indices. Differences in scoring between pathologists were resolved by re-reviewing the biopsies and thus reaching a consensus.</w:t>
      </w:r>
      <w:r>
        <w:rPr>
          <w:rFonts w:ascii="Book Antiqua" w:eastAsia="Book Antiqua" w:hAnsi="Book Antiqua" w:cs="Book Antiqua"/>
          <w:b/>
          <w:bCs/>
          <w:color w:val="000000"/>
        </w:rPr>
        <w:t xml:space="preserve"> </w:t>
      </w:r>
      <w:r>
        <w:rPr>
          <w:rFonts w:ascii="Book Antiqua" w:eastAsia="Book Antiqua" w:hAnsi="Book Antiqua" w:cs="Book Antiqua"/>
          <w:color w:val="000000"/>
        </w:rPr>
        <w:t>Renal histopathological data of 270 LN patients was classified according to the ISN/RPS 2003 classification, which was an improved version of World Health Organization</w:t>
      </w:r>
      <w:r>
        <w:rPr>
          <w:rFonts w:ascii="Book Antiqua" w:eastAsia="宋体" w:hAnsi="Book Antiqua" w:cs="Book Antiqua" w:hint="eastAsia"/>
          <w:color w:val="000000"/>
          <w:lang w:eastAsia="zh-CN"/>
        </w:rPr>
        <w:t xml:space="preserve"> (WHO)</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p>
    <w:p w14:paraId="6500E615" w14:textId="77777777" w:rsidR="00064BE2" w:rsidRDefault="00064BE2">
      <w:pPr>
        <w:spacing w:line="360" w:lineRule="auto"/>
        <w:jc w:val="both"/>
        <w:rPr>
          <w:rFonts w:ascii="Book Antiqua" w:eastAsia="Book Antiqua" w:hAnsi="Book Antiqua" w:cs="Book Antiqua"/>
          <w:color w:val="000000"/>
        </w:rPr>
      </w:pPr>
    </w:p>
    <w:p w14:paraId="6E879FAC"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640586D6" w14:textId="77777777" w:rsidR="00064BE2" w:rsidRDefault="00000000">
      <w:pPr>
        <w:spacing w:line="360" w:lineRule="auto"/>
        <w:jc w:val="both"/>
      </w:pPr>
      <w:r>
        <w:rPr>
          <w:rFonts w:ascii="Book Antiqua" w:eastAsia="Book Antiqua" w:hAnsi="Book Antiqua" w:cs="Book Antiqua"/>
          <w:color w:val="000000"/>
        </w:rPr>
        <w:t>Hardy-Weinberg equilibrium testing was performed for all healthy controls using a chi-squared test. Distributions of genotype, allele and haplotype were compared between control and case groups using Pearson’s chi-squared test or Fisher’s exact test. For comparison of clinical, laborato</w:t>
      </w:r>
      <w:r>
        <w:rPr>
          <w:rFonts w:ascii="Book Antiqua" w:eastAsia="Book Antiqua" w:hAnsi="Book Antiqua" w:cs="Book Antiqua"/>
        </w:rPr>
        <w:t xml:space="preserve">ry and pathological features of patients, student’s </w:t>
      </w:r>
      <w:r>
        <w:rPr>
          <w:rFonts w:ascii="Book Antiqua" w:eastAsia="宋体" w:hAnsi="Book Antiqua" w:cs="Book Antiqua" w:hint="eastAsia"/>
          <w:i/>
          <w:iCs/>
          <w:lang w:eastAsia="zh-CN"/>
        </w:rPr>
        <w:t>t</w:t>
      </w:r>
      <w:r>
        <w:rPr>
          <w:rFonts w:ascii="Book Antiqua" w:eastAsia="Book Antiqua" w:hAnsi="Book Antiqua" w:cs="Book Antiqua"/>
        </w:rPr>
        <w:t>-test and one way analysis of variance</w:t>
      </w:r>
      <w:r>
        <w:rPr>
          <w:rFonts w:ascii="Book Antiqua" w:eastAsia="宋体" w:hAnsi="Book Antiqua" w:cs="Book Antiqua" w:hint="eastAsia"/>
          <w:lang w:eastAsia="zh-CN"/>
        </w:rPr>
        <w:t xml:space="preserve"> (ANOVA)</w:t>
      </w:r>
      <w:r>
        <w:rPr>
          <w:rFonts w:ascii="Book Antiqua" w:eastAsia="Book Antiqua" w:hAnsi="Book Antiqua" w:cs="Book Antiqua"/>
        </w:rPr>
        <w:t xml:space="preserve"> were used. A </w:t>
      </w:r>
      <w:r>
        <w:rPr>
          <w:rFonts w:ascii="Book Antiqua" w:eastAsia="Book Antiqua" w:hAnsi="Book Antiqua" w:cs="Book Antiqua"/>
          <w:i/>
          <w:iCs/>
        </w:rPr>
        <w:t>P</w:t>
      </w:r>
      <w:r>
        <w:rPr>
          <w:rFonts w:ascii="Book Antiqua" w:eastAsia="Book Antiqua" w:hAnsi="Book Antiqua" w:cs="Book Antiqua"/>
        </w:rPr>
        <w:t>-value less than 0.05 was considered to be significant. Pairwise Linkage Diseq</w:t>
      </w:r>
      <w:r>
        <w:rPr>
          <w:rFonts w:ascii="Book Antiqua" w:eastAsia="Book Antiqua" w:hAnsi="Book Antiqua" w:cs="Book Antiqua"/>
          <w:color w:val="000000"/>
        </w:rPr>
        <w:t>uilibrium (LD) and haplotype analysis were both conducted using the SHEs is platform</w:t>
      </w:r>
      <w:r>
        <w:rPr>
          <w:rFonts w:ascii="Book Antiqua" w:eastAsia="Book Antiqua" w:hAnsi="Book Antiqua" w:cs="Book Antiqua"/>
          <w:color w:val="000000"/>
          <w:szCs w:val="36"/>
          <w:vertAlign w:val="superscript"/>
        </w:rPr>
        <w:t>[</w:t>
      </w:r>
      <w:hyperlink w:anchor="_ENREF_40" w:tooltip="Shi, 2005 #39" w:history="1">
        <w:r>
          <w:rPr>
            <w:rFonts w:ascii="Book Antiqua" w:eastAsia="Book Antiqua" w:hAnsi="Book Antiqua" w:cs="Book Antiqua"/>
            <w:color w:val="000000"/>
            <w:szCs w:val="36"/>
            <w:vertAlign w:val="superscript"/>
          </w:rPr>
          <w:t>38</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SNP pairs with D’ value great than 0.8 and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value great than 0.33 were considered to be in significant LD. Meta-analysis was performed by using Stata 15 software. Relative risks of SLE/LN were estimated according to ORs with 95% CIs. The inconsistency index 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was calculated to quantify the heterogeneity: If </w:t>
      </w:r>
      <w:r>
        <w:rPr>
          <w:rFonts w:ascii="Book Antiqua" w:eastAsia="Book Antiqua" w:hAnsi="Book Antiqua" w:cs="Book Antiqua"/>
          <w:i/>
          <w:iCs/>
          <w:color w:val="000000"/>
        </w:rPr>
        <w:t>I</w:t>
      </w:r>
      <w:r>
        <w:rPr>
          <w:rFonts w:ascii="Book Antiqua" w:eastAsia="Book Antiqua" w:hAnsi="Book Antiqua" w:cs="Book Antiqua"/>
          <w:color w:val="000000"/>
        </w:rPr>
        <w:t>²</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suggesting that the degree of heterogeneity was </w:t>
      </w:r>
      <w:r>
        <w:rPr>
          <w:rFonts w:ascii="Book Antiqua" w:eastAsia="Book Antiqua" w:hAnsi="Book Antiqua" w:cs="Book Antiqua"/>
          <w:color w:val="000000"/>
        </w:rPr>
        <w:lastRenderedPageBreak/>
        <w:t xml:space="preserve">low, and the meta-analysis was performed using the fixed effect model; otherwise, the random effects model was used.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means no statistical significance.</w:t>
      </w:r>
    </w:p>
    <w:p w14:paraId="4312BB99" w14:textId="77777777" w:rsidR="00064BE2" w:rsidRDefault="00064BE2">
      <w:pPr>
        <w:spacing w:line="360" w:lineRule="auto"/>
        <w:ind w:firstLine="420"/>
        <w:jc w:val="both"/>
      </w:pPr>
    </w:p>
    <w:p w14:paraId="40B3C016" w14:textId="77777777" w:rsidR="00064BE2" w:rsidRPr="00A452E8" w:rsidRDefault="00000000">
      <w:pPr>
        <w:spacing w:line="360" w:lineRule="auto"/>
        <w:jc w:val="both"/>
        <w:rPr>
          <w:u w:val="single"/>
        </w:rPr>
      </w:pPr>
      <w:r w:rsidRPr="00A452E8">
        <w:rPr>
          <w:rFonts w:ascii="Book Antiqua" w:eastAsia="Book Antiqua" w:hAnsi="Book Antiqua" w:cs="Book Antiqua"/>
          <w:b/>
          <w:caps/>
          <w:color w:val="000000"/>
          <w:u w:val="single"/>
        </w:rPr>
        <w:t>RESULTS</w:t>
      </w:r>
    </w:p>
    <w:p w14:paraId="4ADCEE39" w14:textId="77777777" w:rsidR="00064BE2" w:rsidRDefault="00000000">
      <w:pPr>
        <w:spacing w:line="360" w:lineRule="auto"/>
        <w:jc w:val="both"/>
      </w:pPr>
      <w:r>
        <w:rPr>
          <w:rFonts w:ascii="Book Antiqua" w:eastAsia="Book Antiqua" w:hAnsi="Book Antiqua" w:cs="Book Antiqua"/>
          <w:b/>
          <w:bCs/>
          <w:i/>
          <w:iCs/>
          <w:color w:val="000000"/>
        </w:rPr>
        <w:t>Association of CRP SNPs and haplotypes with LN risk</w:t>
      </w:r>
    </w:p>
    <w:p w14:paraId="18ABDF92" w14:textId="77777777" w:rsidR="00064BE2" w:rsidRDefault="00000000">
      <w:pPr>
        <w:spacing w:line="360" w:lineRule="auto"/>
        <w:jc w:val="both"/>
      </w:pPr>
      <w:r>
        <w:rPr>
          <w:rFonts w:ascii="Book Antiqua" w:eastAsia="Book Antiqua" w:hAnsi="Book Antiqua" w:cs="Book Antiqua"/>
          <w:color w:val="000000"/>
        </w:rPr>
        <w:t>Six CRP SNPs (rs1205, rs3093077, rs3091244, rs1130864, rs1800947 and rs2794521) were genotyped in 270 LN patients and 303 healthy controls (Figure 1). Chi-squared test showed that genotype frequency distributions of CRP SNPs in all healthy controls were all in Hardy-Weinberg equilibrium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1</w:t>
      </w:r>
      <w:r>
        <w:rPr>
          <w:rFonts w:ascii="Book Antiqua" w:eastAsia="Book Antiqua" w:hAnsi="Book Antiqua" w:cs="Book Antiqua"/>
          <w:color w:val="000000"/>
        </w:rPr>
        <w:t>). In subsequent comparisons of case and control groups (Table 1), none of the alleles or genotypes was observed to be significantly associated with the SLE risk (</w:t>
      </w:r>
      <w:r>
        <w:rPr>
          <w:rFonts w:ascii="Book Antiqua" w:eastAsia="宋体"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In further analysis, we examined the effects of CRP SNP combinations, and again failed to observe any significant difference in genotype distributions of LN patients and healthy controls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2</w:t>
      </w:r>
      <w:r>
        <w:rPr>
          <w:rFonts w:ascii="Book Antiqua" w:eastAsia="Book Antiqua" w:hAnsi="Book Antiqua" w:cs="Book Antiqua"/>
          <w:color w:val="000000"/>
        </w:rPr>
        <w:t xml:space="preserve">). </w:t>
      </w:r>
    </w:p>
    <w:p w14:paraId="14AC95DF" w14:textId="77777777" w:rsidR="00064BE2" w:rsidRDefault="00000000">
      <w:pPr>
        <w:spacing w:line="360" w:lineRule="auto"/>
        <w:ind w:firstLineChars="200" w:firstLine="480"/>
        <w:jc w:val="both"/>
      </w:pPr>
      <w:r>
        <w:rPr>
          <w:rFonts w:ascii="Book Antiqua" w:eastAsia="Book Antiqua" w:hAnsi="Book Antiqua" w:cs="Book Antiqua"/>
          <w:color w:val="000000"/>
        </w:rPr>
        <w:t>Subsequently, pairwise LD analysis was conducted for CRP SNPs in healthy controls. Of all SNP pairs, rs3091244/rs3093077 and rs3091244/rs1205 pairs were found to be in significant LD (Table 2). Considering that SNP haplotype may provide more informative details, CRP haplotypes were thus included for further investigation. Given the acceptable number, we included all 6 CRP SNPs in the haplotype analysis. Finally, 6 CRP haplotypes were observed at frequencies greater than 3.0% in both healthy controls and LN patients. However, no significant differences were found in the distribution frequencies of those haplotypes between the two groups (Table 3).</w:t>
      </w:r>
    </w:p>
    <w:p w14:paraId="3BFE3779" w14:textId="77777777" w:rsidR="00064BE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further confirm whether these CRP SNPs are indeed unrelated to LN in the present population, we thus further checked the association of these SNPs with clinical, laboratory and pathological features of all patients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Table</w:t>
      </w:r>
      <w:r>
        <w:rPr>
          <w:rFonts w:ascii="Book Antiqua" w:eastAsia="宋体" w:hAnsi="Book Antiqua" w:cs="Book Antiqua" w:hint="eastAsia"/>
          <w:lang w:eastAsia="zh-CN"/>
        </w:rPr>
        <w:t>s</w:t>
      </w:r>
      <w:r>
        <w:rPr>
          <w:rFonts w:ascii="Book Antiqua" w:eastAsia="宋体" w:hAnsi="Book Antiqua" w:cs="Book Antiqua"/>
        </w:rPr>
        <w:t xml:space="preserve"> </w:t>
      </w:r>
      <w:r>
        <w:rPr>
          <w:rFonts w:ascii="Book Antiqua" w:eastAsia="宋体" w:hAnsi="Book Antiqua" w:cs="Book Antiqua" w:hint="eastAsia"/>
          <w:lang w:eastAsia="zh-CN"/>
        </w:rPr>
        <w:t>3-6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In line with the conclusions above, most indexes exhibited no significant differences between genotypes of these SNPs. Notably, WHO classification for all LN patients was performed and association between pathological subclass and SNPs were further analyzed, whereas no significant differences were observed.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However, several items showed differences, </w:t>
      </w:r>
      <w:r>
        <w:rPr>
          <w:rFonts w:ascii="Book Antiqua" w:eastAsia="Book Antiqua" w:hAnsi="Book Antiqua" w:cs="Book Antiqua"/>
          <w:color w:val="000000"/>
        </w:rPr>
        <w:lastRenderedPageBreak/>
        <w:t>which might imply potential relevance of these SNPs with LN to some extent, suggesting that conclusion should cautiously draw.</w:t>
      </w:r>
    </w:p>
    <w:p w14:paraId="22A2DDEC" w14:textId="77777777" w:rsidR="00064BE2" w:rsidRDefault="00064BE2">
      <w:pPr>
        <w:spacing w:line="360" w:lineRule="auto"/>
        <w:ind w:firstLine="420"/>
        <w:jc w:val="both"/>
        <w:rPr>
          <w:rFonts w:ascii="Book Antiqua" w:eastAsia="Book Antiqua" w:hAnsi="Book Antiqua" w:cs="Book Antiqua"/>
          <w:color w:val="000000"/>
        </w:rPr>
      </w:pPr>
    </w:p>
    <w:p w14:paraId="5D286CB7" w14:textId="77777777" w:rsidR="00064BE2" w:rsidRDefault="00000000">
      <w:pPr>
        <w:spacing w:line="360" w:lineRule="auto"/>
        <w:jc w:val="both"/>
      </w:pPr>
      <w:r>
        <w:rPr>
          <w:rFonts w:ascii="Book Antiqua" w:eastAsia="Book Antiqua" w:hAnsi="Book Antiqua" w:cs="Book Antiqua"/>
          <w:b/>
          <w:bCs/>
          <w:i/>
          <w:iCs/>
          <w:color w:val="000000"/>
        </w:rPr>
        <w:t>Association of CFH SNPs and haplotypes with LN risk</w:t>
      </w:r>
    </w:p>
    <w:p w14:paraId="72DF9B58" w14:textId="77777777" w:rsidR="00064BE2" w:rsidRDefault="00000000">
      <w:pPr>
        <w:spacing w:line="360" w:lineRule="auto"/>
        <w:jc w:val="both"/>
      </w:pPr>
      <w:r>
        <w:rPr>
          <w:rFonts w:ascii="Book Antiqua" w:eastAsia="Book Antiqua" w:hAnsi="Book Antiqua" w:cs="Book Antiqua"/>
          <w:color w:val="000000"/>
        </w:rPr>
        <w:t>Similarly, we subsequently genotyped 3 CFH SNPs, namely rs1061170, rs482934 and rs1061147, in 270 LN patients and 303 healthy controls (Figure 1). After Hardy-Weinberg equilibrium was checked for all genotype frequencies of controls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7</w:t>
      </w:r>
      <w:r>
        <w:rPr>
          <w:rFonts w:ascii="Book Antiqua" w:eastAsia="Book Antiqua" w:hAnsi="Book Antiqua" w:cs="Book Antiqua"/>
          <w:color w:val="000000"/>
        </w:rPr>
        <w:t>), association of CFH polymorphism with LN risk were examined. Of note, no significant enrichment or depletion of allele and genotype distribution has been observed in LN patients (Table 4). In further exploration, pairwise LD for those CFH SNPs was examined as before. Dramatically, all three SNP pairs were found to be in strong LD (Table 5). Based on this, haplotype analysis was conducted, in which two CFH haplotypes were observed at frequencies greater than 3.0% in both healthy controls and LN patients. However, no significant associations were found between those two haplotypes and LN risk (Table 6).</w:t>
      </w:r>
    </w:p>
    <w:p w14:paraId="07576A45" w14:textId="77777777" w:rsidR="00064BE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further analysis, we checked the association of rs1061170 with clinical, laboratory and pathological features of all LN patients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8</w:t>
      </w:r>
      <w:r>
        <w:rPr>
          <w:rFonts w:ascii="Book Antiqua" w:eastAsia="Book Antiqua" w:hAnsi="Book Antiqua" w:cs="Book Antiqua"/>
          <w:color w:val="000000"/>
        </w:rPr>
        <w:t>). Similar to CRP SNPs, except for a few items, most indexes exhibited no significant differences between genotypes of these SNPs.</w:t>
      </w:r>
    </w:p>
    <w:p w14:paraId="3F9490BD" w14:textId="77777777" w:rsidR="00064BE2" w:rsidRDefault="00064BE2">
      <w:pPr>
        <w:spacing w:line="360" w:lineRule="auto"/>
        <w:ind w:firstLineChars="200" w:firstLine="480"/>
        <w:jc w:val="both"/>
        <w:rPr>
          <w:rFonts w:ascii="Book Antiqua" w:eastAsia="Book Antiqua" w:hAnsi="Book Antiqua" w:cs="Book Antiqua"/>
          <w:color w:val="000000"/>
        </w:rPr>
      </w:pPr>
    </w:p>
    <w:p w14:paraId="41817AED" w14:textId="77777777" w:rsidR="00064BE2" w:rsidRDefault="00000000">
      <w:pPr>
        <w:spacing w:line="360" w:lineRule="auto"/>
        <w:jc w:val="both"/>
      </w:pPr>
      <w:r>
        <w:rPr>
          <w:rFonts w:ascii="Book Antiqua" w:eastAsia="Book Antiqua" w:hAnsi="Book Antiqua" w:cs="Book Antiqua"/>
          <w:b/>
          <w:bCs/>
          <w:i/>
          <w:iCs/>
          <w:color w:val="000000"/>
        </w:rPr>
        <w:t>Association of CRP-CFH SNP combinations with LN risk</w:t>
      </w:r>
    </w:p>
    <w:p w14:paraId="1F55AEE4" w14:textId="77777777" w:rsidR="00064BE2" w:rsidRDefault="00000000">
      <w:pPr>
        <w:spacing w:line="360" w:lineRule="auto"/>
        <w:jc w:val="both"/>
      </w:pPr>
      <w:r>
        <w:rPr>
          <w:rFonts w:ascii="Book Antiqua" w:eastAsia="Book Antiqua" w:hAnsi="Book Antiqua" w:cs="Book Antiqua"/>
          <w:color w:val="000000"/>
        </w:rPr>
        <w:t xml:space="preserve">Given the key roles of complement overactivation in SLE pathogenesis and the capacity of CRP to inhibit this process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CFH, we next asked whether any potential associations could be found in SNP combinations of CRP and CFH. Specifically, CFH SNP rs1061170, which corresponds to a variant Tyr402His with impaired capacity to bind CRP</w:t>
      </w:r>
      <w:r>
        <w:rPr>
          <w:rFonts w:ascii="Book Antiqua" w:eastAsia="Book Antiqua" w:hAnsi="Book Antiqua" w:cs="Book Antiqua"/>
          <w:color w:val="000000"/>
          <w:szCs w:val="36"/>
          <w:vertAlign w:val="superscript"/>
        </w:rPr>
        <w:t>[39</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was combined with 6 CRP SNPs and evaluated individually. However, we failed to observe any significant associations in all SNP combinations included (Table 7). Besides, cross pairs of the CRP and CFH SNPs were further included for pairwise LD evaluation, in which no significant LD was observed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9</w:t>
      </w:r>
      <w:r>
        <w:rPr>
          <w:rFonts w:ascii="Book Antiqua" w:eastAsia="Book Antiqua" w:hAnsi="Book Antiqua" w:cs="Book Antiqua"/>
          <w:color w:val="000000"/>
        </w:rPr>
        <w:t>).</w:t>
      </w:r>
    </w:p>
    <w:p w14:paraId="35231DAC" w14:textId="77777777" w:rsidR="00064BE2" w:rsidRDefault="00064BE2">
      <w:pPr>
        <w:spacing w:line="360" w:lineRule="auto"/>
        <w:ind w:firstLine="420"/>
        <w:jc w:val="both"/>
      </w:pPr>
    </w:p>
    <w:p w14:paraId="1F3615D8" w14:textId="77777777" w:rsidR="00064BE2" w:rsidRPr="00DF08A9" w:rsidRDefault="00000000">
      <w:pPr>
        <w:spacing w:line="360" w:lineRule="auto"/>
        <w:jc w:val="both"/>
        <w:rPr>
          <w:u w:val="single"/>
        </w:rPr>
      </w:pPr>
      <w:r w:rsidRPr="00DF08A9">
        <w:rPr>
          <w:rFonts w:ascii="Book Antiqua" w:eastAsia="Book Antiqua" w:hAnsi="Book Antiqua" w:cs="Book Antiqua"/>
          <w:b/>
          <w:caps/>
          <w:color w:val="000000"/>
          <w:u w:val="single"/>
        </w:rPr>
        <w:lastRenderedPageBreak/>
        <w:t>DISCUSSION</w:t>
      </w:r>
    </w:p>
    <w:p w14:paraId="78F0C872" w14:textId="77777777" w:rsidR="00064BE2" w:rsidRDefault="00000000">
      <w:pPr>
        <w:spacing w:line="360" w:lineRule="auto"/>
        <w:jc w:val="both"/>
      </w:pPr>
      <w:r>
        <w:rPr>
          <w:rFonts w:ascii="Book Antiqua" w:eastAsia="Book Antiqua" w:hAnsi="Book Antiqua" w:cs="Book Antiqua"/>
          <w:color w:val="000000"/>
        </w:rPr>
        <w:t>In the past decades, studies have been focused on revealing the associations of CRP/CFH genetic variations with SLE/LN</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However, those studies were mainly based on the European or American populations, and often gained inconsistent conclusions. Moreover, although CRP/CFH interaction theoretically plays a role in LN pathogenesis, they have not been considered together when evaluating the association of their genetic variations with the LN risk.</w:t>
      </w:r>
    </w:p>
    <w:p w14:paraId="4846BA78" w14:textId="77777777" w:rsidR="00064BE2" w:rsidRDefault="00000000">
      <w:pPr>
        <w:spacing w:line="360" w:lineRule="auto"/>
        <w:ind w:firstLineChars="200" w:firstLine="480"/>
        <w:jc w:val="both"/>
      </w:pPr>
      <w:r>
        <w:rPr>
          <w:rFonts w:ascii="Book Antiqua" w:eastAsia="Book Antiqua" w:hAnsi="Book Antiqua" w:cs="Book Antiqua"/>
          <w:color w:val="000000"/>
        </w:rPr>
        <w:t>In this study, we enrolled 6 CRP SNPs and 3 CFH SNPs of a Chinese cohort, and studied their relationship with LN risk, which has not yet been systematically reported. Our study revealed that there were no significant associations between these SNPs and LN susceptibility in the Chinese population. All patients in this study were selected from the same center and their diagnosis were all confirmed by renal biopsy. Moreover, the complete clinical, laboratory and pathological indexes were also included to test the results. Therefore, although no statistical associations were observed in our study, valid and useful information could still be revealed.</w:t>
      </w:r>
    </w:p>
    <w:p w14:paraId="5C6C6D93" w14:textId="77777777" w:rsidR="00064BE2" w:rsidRDefault="00000000">
      <w:pPr>
        <w:spacing w:line="360" w:lineRule="auto"/>
        <w:ind w:firstLineChars="200" w:firstLine="480"/>
        <w:jc w:val="both"/>
      </w:pPr>
      <w:r>
        <w:rPr>
          <w:rFonts w:ascii="Book Antiqua" w:eastAsia="Book Antiqua" w:hAnsi="Book Antiqua" w:cs="Book Antiqua"/>
          <w:color w:val="000000"/>
        </w:rPr>
        <w:t>In addition, these negative results are generally consistent with the conclusions of previous researches to a large extent. Among the 6 CRP SNPs, rs1800947</w:t>
      </w:r>
      <w:r>
        <w:rPr>
          <w:rFonts w:ascii="Book Antiqua" w:eastAsia="Book Antiqua" w:hAnsi="Book Antiqua" w:cs="Book Antiqua"/>
          <w:color w:val="000000"/>
          <w:szCs w:val="36"/>
          <w:vertAlign w:val="superscript"/>
        </w:rPr>
        <w:t>[20,24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26]</w:t>
      </w:r>
      <w:r>
        <w:rPr>
          <w:rFonts w:ascii="宋体" w:eastAsia="宋体" w:hAnsi="宋体" w:cs="宋体" w:hint="eastAsia"/>
          <w:color w:val="000000"/>
          <w:lang w:eastAsia="zh-CN"/>
        </w:rPr>
        <w:t xml:space="preserve"> </w:t>
      </w:r>
      <w:r>
        <w:rPr>
          <w:rFonts w:ascii="Book Antiqua" w:eastAsia="Book Antiqua" w:hAnsi="Book Antiqua" w:cs="Book Antiqua"/>
          <w:color w:val="000000"/>
        </w:rPr>
        <w:t>and rs2794521</w:t>
      </w:r>
      <w:r>
        <w:rPr>
          <w:rFonts w:ascii="Book Antiqua" w:eastAsia="Book Antiqua" w:hAnsi="Book Antiqua" w:cs="Book Antiqua"/>
          <w:color w:val="000000"/>
          <w:szCs w:val="36"/>
          <w:vertAlign w:val="superscript"/>
        </w:rPr>
        <w:t>[23,</w:t>
      </w:r>
      <w:hyperlink w:anchor="_ENREF_26" w:tooltip="Edberg, 2016 #21" w:history="1">
        <w:r>
          <w:rPr>
            <w:rFonts w:ascii="Book Antiqua" w:eastAsia="Book Antiqua" w:hAnsi="Book Antiqua" w:cs="Book Antiqua"/>
            <w:color w:val="000000"/>
            <w:szCs w:val="36"/>
            <w:vertAlign w:val="superscript"/>
          </w:rPr>
          <w:t>25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were included in several studies, which were repeatedly reported to be unrelated to SLE in various populations, consistent with our results. For rs1205</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hyperlink>
      <w:r>
        <w:rPr>
          <w:rFonts w:ascii="Book Antiqua" w:eastAsia="Book Antiqua" w:hAnsi="Book Antiqua" w:cs="Book Antiqua"/>
          <w:color w:val="000000"/>
          <w:szCs w:val="36"/>
          <w:vertAlign w:val="superscript"/>
        </w:rPr>
        <w:t>,21,</w:t>
      </w:r>
      <w:r>
        <w:rPr>
          <w:rFonts w:ascii="Book Antiqua" w:eastAsia="Book Antiqua" w:hAnsi="Book Antiqua" w:cs="Book Antiqua" w:hint="eastAsia"/>
          <w:color w:val="000000"/>
          <w:szCs w:val="36"/>
          <w:vertAlign w:val="superscript"/>
        </w:rPr>
        <w:t>2</w:t>
      </w:r>
      <w:r>
        <w:rPr>
          <w:rFonts w:ascii="Book Antiqua" w:eastAsia="Book Antiqua" w:hAnsi="Book Antiqua" w:cs="Book Antiqua"/>
          <w:color w:val="000000"/>
          <w:szCs w:val="36"/>
          <w:vertAlign w:val="superscript"/>
        </w:rPr>
        <w:t>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rs3091244</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hyperlink>
      <w:r>
        <w:rPr>
          <w:rFonts w:ascii="Book Antiqua" w:eastAsia="Book Antiqua" w:hAnsi="Book Antiqua" w:cs="Book Antiqua"/>
          <w:color w:val="000000"/>
          <w:szCs w:val="36"/>
          <w:vertAlign w:val="superscript"/>
        </w:rPr>
        <w:t>,21,24,25]</w:t>
      </w:r>
      <w:r>
        <w:rPr>
          <w:rFonts w:ascii="Book Antiqua" w:eastAsia="Book Antiqua" w:hAnsi="Book Antiqua" w:cs="Book Antiqua"/>
          <w:color w:val="000000"/>
        </w:rPr>
        <w:t xml:space="preserve"> and rs1130864</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conclusions remained inconsistent among these studies, which might rationalize the existence of our negative results to some extent. For the CFH SNPs, Zhao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evaluated an Asian group involving 200 Chinese SLE cases and found no significant association between rs1061147 and SLE (without LN). Tan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enrolled 334 LN patients, 269 SLE patients without LN and 350 healthy controls from China, but failed to observe any significant differences in allele and genotype frequencies of rs1061170 among groups. Both conclusions were consistent with our present findings.</w:t>
      </w:r>
    </w:p>
    <w:p w14:paraId="46B49464" w14:textId="77777777" w:rsidR="00064BE2" w:rsidRDefault="00000000">
      <w:pPr>
        <w:spacing w:line="360" w:lineRule="auto"/>
        <w:ind w:firstLineChars="200" w:firstLine="480"/>
        <w:jc w:val="both"/>
      </w:pPr>
      <w:r>
        <w:rPr>
          <w:rFonts w:ascii="Book Antiqua" w:eastAsia="Book Antiqua" w:hAnsi="Book Antiqua" w:cs="Book Antiqua"/>
          <w:color w:val="000000"/>
        </w:rPr>
        <w:t xml:space="preserve">Given that interaction of CRP and CFH would theoretically help to regulate complement and therefore play roles in SLE/LN pathogenesis, we combined 6 CRP SNPs individually with CFH SNP rs1061170, which corresponds to a CFH variant with </w:t>
      </w:r>
      <w:r>
        <w:rPr>
          <w:rFonts w:ascii="Book Antiqua" w:eastAsia="Book Antiqua" w:hAnsi="Book Antiqua" w:cs="Book Antiqua"/>
          <w:color w:val="000000"/>
        </w:rPr>
        <w:lastRenderedPageBreak/>
        <w:t>impaired capacity in CRP binding. To our knowledge, this is the first study to combine these two genes when performing a correlation analysis with LN risk. However, we still failed to observe any significant associations from this perspective.</w:t>
      </w:r>
    </w:p>
    <w:p w14:paraId="18ADA110" w14:textId="77777777" w:rsidR="00064BE2" w:rsidRDefault="00000000">
      <w:pPr>
        <w:spacing w:line="360" w:lineRule="auto"/>
        <w:ind w:firstLineChars="200" w:firstLine="480"/>
        <w:jc w:val="both"/>
      </w:pPr>
      <w:r>
        <w:rPr>
          <w:rFonts w:ascii="Book Antiqua" w:eastAsia="Book Antiqua" w:hAnsi="Book Antiqua" w:cs="Book Antiqua"/>
          <w:color w:val="000000"/>
        </w:rPr>
        <w:t>Overall, our results suggest that CRP and CFH genetic variation and interaction do not affect the occurrence of LN at the gene level in a Chinese population. In future studies, multiple-center sampling is needed to expand the study scale, whereas SLE patients without LN from other rheumatism departments should also be included. Moreover, more SNPs should be examined for these two genes, while other molecules along the pathogenesis pathway of CRP and CFH should be involved for a joint analysis.</w:t>
      </w:r>
    </w:p>
    <w:p w14:paraId="5808A965" w14:textId="77777777" w:rsidR="00064BE2" w:rsidRDefault="00064BE2">
      <w:pPr>
        <w:spacing w:line="360" w:lineRule="auto"/>
        <w:ind w:firstLine="420"/>
        <w:jc w:val="both"/>
      </w:pPr>
    </w:p>
    <w:p w14:paraId="5F576593" w14:textId="77777777" w:rsidR="00064BE2" w:rsidRPr="00DF08A9" w:rsidRDefault="00000000">
      <w:pPr>
        <w:spacing w:line="360" w:lineRule="auto"/>
        <w:jc w:val="both"/>
        <w:rPr>
          <w:u w:val="single"/>
        </w:rPr>
      </w:pPr>
      <w:r w:rsidRPr="00DF08A9">
        <w:rPr>
          <w:rFonts w:ascii="Book Antiqua" w:eastAsia="Book Antiqua" w:hAnsi="Book Antiqua" w:cs="Book Antiqua"/>
          <w:b/>
          <w:caps/>
          <w:color w:val="000000"/>
          <w:u w:val="single"/>
        </w:rPr>
        <w:t>CONCLUSION</w:t>
      </w:r>
    </w:p>
    <w:p w14:paraId="36E0A918" w14:textId="77777777" w:rsidR="00064BE2" w:rsidRDefault="00000000">
      <w:pPr>
        <w:spacing w:line="360" w:lineRule="auto"/>
        <w:jc w:val="both"/>
      </w:pPr>
      <w:r>
        <w:rPr>
          <w:rFonts w:ascii="Book Antiqua" w:eastAsia="Book Antiqua" w:hAnsi="Book Antiqua" w:cs="Book Antiqua"/>
          <w:color w:val="000000"/>
        </w:rPr>
        <w:t>In spite of the unambiguous pathogenic roles of CRP and CFH in LN, our present study involving a Chinese population has failed to reveal any significant associations of their genetic variations with LN risk. These findings suggest that most genetic variations of CRP and CFH might possess limited biological effects on their expressions or activities, and are thus not sufficient to influence the disease course of LN. Overall, we concluded that genetic variations of CRP and CFH could not be used to improve the risk stratification of LN in Chinese population.</w:t>
      </w:r>
    </w:p>
    <w:p w14:paraId="63C3DEC0" w14:textId="77777777" w:rsidR="00064BE2" w:rsidRDefault="00064BE2">
      <w:pPr>
        <w:spacing w:line="360" w:lineRule="auto"/>
        <w:jc w:val="both"/>
      </w:pPr>
    </w:p>
    <w:p w14:paraId="6C454E34" w14:textId="77777777" w:rsidR="00064BE2" w:rsidRPr="00DF08A9" w:rsidRDefault="00000000">
      <w:pPr>
        <w:spacing w:line="360" w:lineRule="auto"/>
        <w:jc w:val="both"/>
        <w:rPr>
          <w:u w:val="single"/>
        </w:rPr>
      </w:pPr>
      <w:r w:rsidRPr="00DF08A9">
        <w:rPr>
          <w:rFonts w:ascii="Book Antiqua" w:eastAsia="Book Antiqua" w:hAnsi="Book Antiqua" w:cs="Book Antiqua"/>
          <w:b/>
          <w:caps/>
          <w:color w:val="000000"/>
          <w:u w:val="single"/>
        </w:rPr>
        <w:t>ARTICLE HIGHLIGHTS</w:t>
      </w:r>
    </w:p>
    <w:p w14:paraId="39D614A8" w14:textId="77777777" w:rsidR="00064BE2" w:rsidRDefault="00000000">
      <w:pPr>
        <w:spacing w:line="360" w:lineRule="auto"/>
        <w:jc w:val="both"/>
      </w:pPr>
      <w:r>
        <w:rPr>
          <w:rFonts w:ascii="Book Antiqua" w:eastAsia="Book Antiqua" w:hAnsi="Book Antiqua" w:cs="Book Antiqua"/>
          <w:b/>
          <w:i/>
          <w:color w:val="000000"/>
        </w:rPr>
        <w:t>Research background</w:t>
      </w:r>
    </w:p>
    <w:p w14:paraId="64E33CEF" w14:textId="77777777" w:rsidR="00064BE2" w:rsidRDefault="00000000">
      <w:pPr>
        <w:spacing w:line="360" w:lineRule="auto"/>
        <w:jc w:val="both"/>
      </w:pPr>
      <w:r>
        <w:rPr>
          <w:rFonts w:ascii="Book Antiqua" w:eastAsia="Book Antiqua" w:hAnsi="Book Antiqua" w:cs="Book Antiqua"/>
          <w:color w:val="000000"/>
        </w:rPr>
        <w:t>Both C-reactive protein (CRP) and complement factor H (CFH) play roles in pathogenesis of lupus nephritis (LN).</w:t>
      </w:r>
    </w:p>
    <w:p w14:paraId="7CA576BC" w14:textId="77777777" w:rsidR="00064BE2" w:rsidRDefault="00064BE2">
      <w:pPr>
        <w:spacing w:line="360" w:lineRule="auto"/>
        <w:jc w:val="both"/>
      </w:pPr>
    </w:p>
    <w:p w14:paraId="72C9094C" w14:textId="77777777" w:rsidR="00064BE2" w:rsidRDefault="00000000">
      <w:pPr>
        <w:spacing w:line="360" w:lineRule="auto"/>
        <w:jc w:val="both"/>
      </w:pPr>
      <w:r>
        <w:rPr>
          <w:rFonts w:ascii="Book Antiqua" w:eastAsia="Book Antiqua" w:hAnsi="Book Antiqua" w:cs="Book Antiqua"/>
          <w:b/>
          <w:i/>
          <w:color w:val="000000"/>
        </w:rPr>
        <w:t>Research motivation</w:t>
      </w:r>
    </w:p>
    <w:p w14:paraId="2576A451" w14:textId="77777777" w:rsidR="00064BE2" w:rsidRDefault="00000000">
      <w:pPr>
        <w:spacing w:line="360" w:lineRule="auto"/>
        <w:jc w:val="both"/>
      </w:pPr>
      <w:r>
        <w:rPr>
          <w:rFonts w:ascii="Book Antiqua" w:eastAsia="Book Antiqua" w:hAnsi="Book Antiqua" w:cs="Book Antiqua"/>
          <w:color w:val="000000"/>
        </w:rPr>
        <w:t>It still keeps unclear whether genetic variations of CRP and CFH are involved in risk of LN.</w:t>
      </w:r>
    </w:p>
    <w:p w14:paraId="538A8D11" w14:textId="77777777" w:rsidR="00064BE2" w:rsidRDefault="00064BE2">
      <w:pPr>
        <w:spacing w:line="360" w:lineRule="auto"/>
        <w:jc w:val="both"/>
      </w:pPr>
    </w:p>
    <w:p w14:paraId="0552B69F" w14:textId="77777777" w:rsidR="00064BE2" w:rsidRDefault="00000000">
      <w:pPr>
        <w:spacing w:line="360" w:lineRule="auto"/>
        <w:jc w:val="both"/>
      </w:pPr>
      <w:r>
        <w:rPr>
          <w:rFonts w:ascii="Book Antiqua" w:eastAsia="Book Antiqua" w:hAnsi="Book Antiqua" w:cs="Book Antiqua"/>
          <w:b/>
          <w:i/>
          <w:color w:val="000000"/>
        </w:rPr>
        <w:t>Research objectives</w:t>
      </w:r>
    </w:p>
    <w:p w14:paraId="5134A563" w14:textId="77777777" w:rsidR="00064BE2" w:rsidRDefault="00000000">
      <w:pPr>
        <w:spacing w:line="360" w:lineRule="auto"/>
        <w:jc w:val="both"/>
      </w:pPr>
      <w:r>
        <w:rPr>
          <w:rFonts w:ascii="Book Antiqua" w:eastAsia="Book Antiqua" w:hAnsi="Book Antiqua" w:cs="Book Antiqua"/>
          <w:color w:val="000000"/>
        </w:rPr>
        <w:lastRenderedPageBreak/>
        <w:t>To examine whether genetic variations of CRP and CFH are associated with the susceptibility to LN in the Chinese population.</w:t>
      </w:r>
    </w:p>
    <w:p w14:paraId="6BB9A692" w14:textId="77777777" w:rsidR="00064BE2" w:rsidRDefault="00064BE2">
      <w:pPr>
        <w:spacing w:line="360" w:lineRule="auto"/>
        <w:jc w:val="both"/>
      </w:pPr>
    </w:p>
    <w:p w14:paraId="4C38268D" w14:textId="77777777" w:rsidR="00064BE2" w:rsidRDefault="00000000">
      <w:pPr>
        <w:spacing w:line="360" w:lineRule="auto"/>
        <w:jc w:val="both"/>
      </w:pPr>
      <w:r>
        <w:rPr>
          <w:rFonts w:ascii="Book Antiqua" w:eastAsia="Book Antiqua" w:hAnsi="Book Antiqua" w:cs="Book Antiqua"/>
          <w:b/>
          <w:i/>
          <w:color w:val="000000"/>
        </w:rPr>
        <w:t>Research methods</w:t>
      </w:r>
    </w:p>
    <w:p w14:paraId="212BBE46" w14:textId="77777777" w:rsidR="00064BE2" w:rsidRDefault="00000000">
      <w:pPr>
        <w:spacing w:line="360" w:lineRule="auto"/>
        <w:jc w:val="both"/>
      </w:pPr>
      <w:r>
        <w:rPr>
          <w:rFonts w:ascii="Book Antiqua" w:eastAsia="Book Antiqua" w:hAnsi="Book Antiqua" w:cs="Book Antiqua"/>
          <w:color w:val="000000"/>
        </w:rPr>
        <w:t xml:space="preserve">A case control study was conducted, in which six CRP Single Nucleotide Polymorphisms </w:t>
      </w:r>
      <w:r>
        <w:rPr>
          <w:rFonts w:ascii="Book Antiqua" w:eastAsia="宋体" w:hAnsi="Book Antiqua" w:cs="Book Antiqua" w:hint="eastAsia"/>
          <w:color w:val="000000"/>
          <w:lang w:eastAsia="zh-CN"/>
        </w:rPr>
        <w:t xml:space="preserve">(SNPs) </w:t>
      </w:r>
      <w:r>
        <w:rPr>
          <w:rFonts w:ascii="Book Antiqua" w:eastAsia="Book Antiqua" w:hAnsi="Book Antiqua" w:cs="Book Antiqua"/>
          <w:color w:val="000000"/>
        </w:rPr>
        <w:t>and three CFH SNPs were genotyped and analysed in 270 LN patients and 303 healthy subjects.</w:t>
      </w:r>
    </w:p>
    <w:p w14:paraId="262F4F1C" w14:textId="77777777" w:rsidR="00064BE2" w:rsidRDefault="00064BE2">
      <w:pPr>
        <w:spacing w:line="360" w:lineRule="auto"/>
        <w:jc w:val="both"/>
      </w:pPr>
    </w:p>
    <w:p w14:paraId="7FFAAA2D" w14:textId="77777777" w:rsidR="00064BE2" w:rsidRDefault="00000000">
      <w:pPr>
        <w:spacing w:line="360" w:lineRule="auto"/>
        <w:jc w:val="both"/>
      </w:pPr>
      <w:r>
        <w:rPr>
          <w:rFonts w:ascii="Book Antiqua" w:eastAsia="Book Antiqua" w:hAnsi="Book Antiqua" w:cs="Book Antiqua"/>
          <w:b/>
          <w:i/>
          <w:color w:val="000000"/>
        </w:rPr>
        <w:t>Research results</w:t>
      </w:r>
    </w:p>
    <w:p w14:paraId="4E5F8BB7" w14:textId="77777777" w:rsidR="00064BE2" w:rsidRDefault="00000000">
      <w:pPr>
        <w:spacing w:line="360" w:lineRule="auto"/>
        <w:jc w:val="both"/>
      </w:pPr>
      <w:r>
        <w:rPr>
          <w:rFonts w:ascii="Book Antiqua" w:eastAsia="Book Antiqua" w:hAnsi="Book Antiqua" w:cs="Book Antiqua"/>
          <w:color w:val="000000"/>
        </w:rPr>
        <w:t>CRP and CFH SNPs, neither individually nor in combination, are associated with the risk or clinical manifestations of LN. Moreover, no linkage was found among CRP and CFH SNPs, indicating lack of genetic interactions between the two genes.</w:t>
      </w:r>
    </w:p>
    <w:p w14:paraId="427FBFA0" w14:textId="77777777" w:rsidR="00064BE2" w:rsidRDefault="00064BE2">
      <w:pPr>
        <w:spacing w:line="360" w:lineRule="auto"/>
        <w:jc w:val="both"/>
      </w:pPr>
    </w:p>
    <w:p w14:paraId="39E7364A" w14:textId="77777777" w:rsidR="00064BE2" w:rsidRDefault="00000000">
      <w:pPr>
        <w:spacing w:line="360" w:lineRule="auto"/>
        <w:jc w:val="both"/>
      </w:pPr>
      <w:r>
        <w:rPr>
          <w:rFonts w:ascii="Book Antiqua" w:eastAsia="Book Antiqua" w:hAnsi="Book Antiqua" w:cs="Book Antiqua"/>
          <w:b/>
          <w:i/>
          <w:color w:val="000000"/>
        </w:rPr>
        <w:t>Research conclusions</w:t>
      </w:r>
    </w:p>
    <w:p w14:paraId="761A9490" w14:textId="77777777" w:rsidR="00064BE2" w:rsidRDefault="00000000">
      <w:pPr>
        <w:spacing w:line="360" w:lineRule="auto"/>
        <w:jc w:val="both"/>
      </w:pPr>
      <w:r>
        <w:rPr>
          <w:rFonts w:ascii="Book Antiqua" w:eastAsia="Book Antiqua" w:hAnsi="Book Antiqua" w:cs="Book Antiqua"/>
          <w:color w:val="000000"/>
        </w:rPr>
        <w:t>Biological effects of most genetic variations of CRP and CFH on their expressions or activities are not sufficient to influence the disease course of LN.</w:t>
      </w:r>
    </w:p>
    <w:p w14:paraId="74C256CA" w14:textId="77777777" w:rsidR="00064BE2" w:rsidRDefault="00064BE2">
      <w:pPr>
        <w:spacing w:line="360" w:lineRule="auto"/>
        <w:jc w:val="both"/>
      </w:pPr>
    </w:p>
    <w:p w14:paraId="5E887499" w14:textId="77777777" w:rsidR="00064BE2" w:rsidRDefault="00000000">
      <w:pPr>
        <w:spacing w:line="360" w:lineRule="auto"/>
        <w:jc w:val="both"/>
      </w:pPr>
      <w:r>
        <w:rPr>
          <w:rFonts w:ascii="Book Antiqua" w:eastAsia="Book Antiqua" w:hAnsi="Book Antiqua" w:cs="Book Antiqua"/>
          <w:b/>
          <w:i/>
          <w:color w:val="000000"/>
        </w:rPr>
        <w:t>Research perspectives</w:t>
      </w:r>
    </w:p>
    <w:p w14:paraId="33EDFD1B" w14:textId="77777777" w:rsidR="00064BE2" w:rsidRDefault="00000000">
      <w:pPr>
        <w:spacing w:line="360" w:lineRule="auto"/>
        <w:jc w:val="both"/>
      </w:pPr>
      <w:r>
        <w:rPr>
          <w:rFonts w:ascii="Book Antiqua" w:eastAsia="Book Antiqua" w:hAnsi="Book Antiqua" w:cs="Book Antiqua"/>
          <w:color w:val="000000"/>
        </w:rPr>
        <w:t>Future studies involving multiple-center sampling are needed to expand the study scale. Moreover, more SNPs should be examined for these two genes, while other molecules along the pathogenesis pathway of CRP and CFH should be involved for a joint analysis.</w:t>
      </w:r>
    </w:p>
    <w:p w14:paraId="4C13C163" w14:textId="77777777" w:rsidR="00064BE2" w:rsidRDefault="00064BE2">
      <w:pPr>
        <w:spacing w:line="360" w:lineRule="auto"/>
        <w:jc w:val="both"/>
      </w:pPr>
    </w:p>
    <w:p w14:paraId="2CEEBEDE" w14:textId="77777777" w:rsidR="00064BE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E1D2490"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 </w:t>
      </w:r>
      <w:r w:rsidRPr="007F43E7">
        <w:rPr>
          <w:rFonts w:ascii="Book Antiqua" w:eastAsia="Book Antiqua" w:hAnsi="Book Antiqua" w:cs="Book Antiqua"/>
          <w:b/>
          <w:bCs/>
          <w:color w:val="000000"/>
        </w:rPr>
        <w:t>Rahman A</w:t>
      </w:r>
      <w:r w:rsidRPr="007F43E7">
        <w:rPr>
          <w:rFonts w:ascii="Book Antiqua" w:eastAsia="Book Antiqua" w:hAnsi="Book Antiqua" w:cs="Book Antiqua"/>
          <w:color w:val="000000"/>
        </w:rPr>
        <w:t xml:space="preserve">, Isenberg DA. Systemic lupus erythematosus. </w:t>
      </w:r>
      <w:r w:rsidRPr="007F43E7">
        <w:rPr>
          <w:rFonts w:ascii="Book Antiqua" w:eastAsia="Book Antiqua" w:hAnsi="Book Antiqua" w:cs="Book Antiqua"/>
          <w:i/>
          <w:iCs/>
          <w:color w:val="000000"/>
        </w:rPr>
        <w:t>N Engl J Med</w:t>
      </w:r>
      <w:r w:rsidRPr="007F43E7">
        <w:rPr>
          <w:rFonts w:ascii="Book Antiqua" w:eastAsia="Book Antiqua" w:hAnsi="Book Antiqua" w:cs="Book Antiqua"/>
          <w:color w:val="000000"/>
        </w:rPr>
        <w:t xml:space="preserve"> 2008; </w:t>
      </w:r>
      <w:r w:rsidRPr="007F43E7">
        <w:rPr>
          <w:rFonts w:ascii="Book Antiqua" w:eastAsia="Book Antiqua" w:hAnsi="Book Antiqua" w:cs="Book Antiqua"/>
          <w:b/>
          <w:bCs/>
          <w:color w:val="000000"/>
        </w:rPr>
        <w:t>358</w:t>
      </w:r>
      <w:r w:rsidRPr="007F43E7">
        <w:rPr>
          <w:rFonts w:ascii="Book Antiqua" w:eastAsia="Book Antiqua" w:hAnsi="Book Antiqua" w:cs="Book Antiqua"/>
          <w:color w:val="000000"/>
        </w:rPr>
        <w:t>: 929-939 [PMID: 18305268 DOI: 10.1056/NEJMra071297]</w:t>
      </w:r>
    </w:p>
    <w:p w14:paraId="1F1080F4"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 </w:t>
      </w:r>
      <w:r w:rsidRPr="007F43E7">
        <w:rPr>
          <w:rFonts w:ascii="Book Antiqua" w:eastAsia="Book Antiqua" w:hAnsi="Book Antiqua" w:cs="Book Antiqua"/>
          <w:b/>
          <w:bCs/>
          <w:color w:val="000000"/>
        </w:rPr>
        <w:t>Almaani S</w:t>
      </w:r>
      <w:r w:rsidRPr="007F43E7">
        <w:rPr>
          <w:rFonts w:ascii="Book Antiqua" w:eastAsia="Book Antiqua" w:hAnsi="Book Antiqua" w:cs="Book Antiqua"/>
          <w:color w:val="000000"/>
        </w:rPr>
        <w:t xml:space="preserve">, Meara A, Rovin BH. Update on Lupus Nephritis. </w:t>
      </w:r>
      <w:r w:rsidRPr="007F43E7">
        <w:rPr>
          <w:rFonts w:ascii="Book Antiqua" w:eastAsia="Book Antiqua" w:hAnsi="Book Antiqua" w:cs="Book Antiqua"/>
          <w:i/>
          <w:iCs/>
          <w:color w:val="000000"/>
        </w:rPr>
        <w:t>Clin J Am Soc Nephrol</w:t>
      </w:r>
      <w:r w:rsidRPr="007F43E7">
        <w:rPr>
          <w:rFonts w:ascii="Book Antiqua" w:eastAsia="Book Antiqua" w:hAnsi="Book Antiqua" w:cs="Book Antiqua"/>
          <w:color w:val="000000"/>
        </w:rPr>
        <w:t xml:space="preserve"> 2017; </w:t>
      </w:r>
      <w:r w:rsidRPr="007F43E7">
        <w:rPr>
          <w:rFonts w:ascii="Book Antiqua" w:eastAsia="Book Antiqua" w:hAnsi="Book Antiqua" w:cs="Book Antiqua"/>
          <w:b/>
          <w:bCs/>
          <w:color w:val="000000"/>
        </w:rPr>
        <w:t>12</w:t>
      </w:r>
      <w:r w:rsidRPr="007F43E7">
        <w:rPr>
          <w:rFonts w:ascii="Book Antiqua" w:eastAsia="Book Antiqua" w:hAnsi="Book Antiqua" w:cs="Book Antiqua"/>
          <w:color w:val="000000"/>
        </w:rPr>
        <w:t>: 825-835 [PMID: 27821390 DOI: 10.2215/CJN.05780616]</w:t>
      </w:r>
    </w:p>
    <w:p w14:paraId="572FE5E8"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 </w:t>
      </w:r>
      <w:r w:rsidRPr="007F43E7">
        <w:rPr>
          <w:rFonts w:ascii="Book Antiqua" w:eastAsia="Book Antiqua" w:hAnsi="Book Antiqua" w:cs="Book Antiqua"/>
          <w:b/>
          <w:bCs/>
          <w:color w:val="000000"/>
        </w:rPr>
        <w:t>Johanneson B</w:t>
      </w:r>
      <w:r w:rsidRPr="007F43E7">
        <w:rPr>
          <w:rFonts w:ascii="Book Antiqua" w:eastAsia="Book Antiqua" w:hAnsi="Book Antiqua" w:cs="Book Antiqua"/>
          <w:color w:val="000000"/>
        </w:rPr>
        <w:t xml:space="preserve">, Lima G, von Salomé J, Alarcón-Segovia D, Alarcón-Riquelme ME; Collaborative Group on the Genetics of SLE, The BIOMED II Collaboration on the </w:t>
      </w:r>
      <w:r w:rsidRPr="007F43E7">
        <w:rPr>
          <w:rFonts w:ascii="Book Antiqua" w:eastAsia="Book Antiqua" w:hAnsi="Book Antiqua" w:cs="Book Antiqua"/>
          <w:color w:val="000000"/>
        </w:rPr>
        <w:lastRenderedPageBreak/>
        <w:t xml:space="preserve">Genetics of SLE and Sjögrens syndrome. A major susceptibility locus for systemic lupus erythemathosus maps to chromosome 1q31. </w:t>
      </w:r>
      <w:r w:rsidRPr="007F43E7">
        <w:rPr>
          <w:rFonts w:ascii="Book Antiqua" w:eastAsia="Book Antiqua" w:hAnsi="Book Antiqua" w:cs="Book Antiqua"/>
          <w:i/>
          <w:iCs/>
          <w:color w:val="000000"/>
        </w:rPr>
        <w:t>Am J Hum Genet</w:t>
      </w:r>
      <w:r w:rsidRPr="007F43E7">
        <w:rPr>
          <w:rFonts w:ascii="Book Antiqua" w:eastAsia="Book Antiqua" w:hAnsi="Book Antiqua" w:cs="Book Antiqua"/>
          <w:color w:val="000000"/>
        </w:rPr>
        <w:t xml:space="preserve"> 2002; </w:t>
      </w:r>
      <w:r w:rsidRPr="007F43E7">
        <w:rPr>
          <w:rFonts w:ascii="Book Antiqua" w:eastAsia="Book Antiqua" w:hAnsi="Book Antiqua" w:cs="Book Antiqua"/>
          <w:b/>
          <w:bCs/>
          <w:color w:val="000000"/>
        </w:rPr>
        <w:t>71</w:t>
      </w:r>
      <w:r w:rsidRPr="007F43E7">
        <w:rPr>
          <w:rFonts w:ascii="Book Antiqua" w:eastAsia="Book Antiqua" w:hAnsi="Book Antiqua" w:cs="Book Antiqua"/>
          <w:color w:val="000000"/>
        </w:rPr>
        <w:t>: 1060-1071 [PMID: 12373647 DOI: 10.1086/344289]</w:t>
      </w:r>
    </w:p>
    <w:p w14:paraId="6393EA3E" w14:textId="77777777" w:rsidR="00064BE2" w:rsidRPr="007F43E7" w:rsidRDefault="00000000">
      <w:pPr>
        <w:spacing w:line="360" w:lineRule="auto"/>
        <w:jc w:val="both"/>
      </w:pPr>
      <w:r w:rsidRPr="007F43E7">
        <w:rPr>
          <w:rFonts w:ascii="Book Antiqua" w:eastAsia="Book Antiqua" w:hAnsi="Book Antiqua" w:cs="Book Antiqua"/>
          <w:color w:val="000000"/>
        </w:rPr>
        <w:t xml:space="preserve">4 </w:t>
      </w:r>
      <w:r w:rsidRPr="007F43E7">
        <w:rPr>
          <w:rFonts w:ascii="Book Antiqua" w:eastAsia="Book Antiqua" w:hAnsi="Book Antiqua" w:cs="Book Antiqua"/>
          <w:b/>
          <w:bCs/>
          <w:color w:val="000000"/>
        </w:rPr>
        <w:t>Tsao BP</w:t>
      </w:r>
      <w:r w:rsidRPr="007F43E7">
        <w:rPr>
          <w:rFonts w:ascii="Book Antiqua" w:eastAsia="Book Antiqua" w:hAnsi="Book Antiqua" w:cs="Book Antiqua"/>
          <w:color w:val="000000"/>
        </w:rPr>
        <w:t xml:space="preserve">, Cantor RM, Grossman JM, Kim SK, Strong N, Lau CS, Chen CJ, Shen N, Ginzler EM, Goldstein R, Kalunian KC, Arnett FC, Wallace DJ, Hahn BH. Linkage and interaction of loci on 1q23 and 16q12 may contribute to susceptibility to systemic lupus erythematosus.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2002; </w:t>
      </w:r>
      <w:r w:rsidRPr="007F43E7">
        <w:rPr>
          <w:rFonts w:ascii="Book Antiqua" w:eastAsia="Book Antiqua" w:hAnsi="Book Antiqua" w:cs="Book Antiqua"/>
          <w:b/>
          <w:bCs/>
          <w:color w:val="000000"/>
        </w:rPr>
        <w:t>46</w:t>
      </w:r>
      <w:r w:rsidRPr="007F43E7">
        <w:rPr>
          <w:rFonts w:ascii="Book Antiqua" w:eastAsia="Book Antiqua" w:hAnsi="Book Antiqua" w:cs="Book Antiqua"/>
          <w:color w:val="000000"/>
        </w:rPr>
        <w:t>: 2928-2936 [PMID: 12428234 DOI: 10.1002/art.10590]</w:t>
      </w:r>
    </w:p>
    <w:p w14:paraId="3C8E3B1E" w14:textId="77777777" w:rsidR="00064BE2" w:rsidRPr="007F43E7" w:rsidRDefault="00000000">
      <w:pPr>
        <w:spacing w:line="360" w:lineRule="auto"/>
        <w:jc w:val="both"/>
      </w:pPr>
      <w:r w:rsidRPr="007F43E7">
        <w:rPr>
          <w:rFonts w:ascii="Book Antiqua" w:eastAsia="Book Antiqua" w:hAnsi="Book Antiqua" w:cs="Book Antiqua"/>
          <w:color w:val="000000"/>
        </w:rPr>
        <w:t xml:space="preserve">5 </w:t>
      </w:r>
      <w:r w:rsidRPr="007F43E7">
        <w:rPr>
          <w:rFonts w:ascii="Book Antiqua" w:eastAsia="Book Antiqua" w:hAnsi="Book Antiqua" w:cs="Book Antiqua"/>
          <w:b/>
          <w:bCs/>
          <w:color w:val="000000"/>
        </w:rPr>
        <w:t>Tsao BP</w:t>
      </w:r>
      <w:r w:rsidRPr="007F43E7">
        <w:rPr>
          <w:rFonts w:ascii="Book Antiqua" w:eastAsia="Book Antiqua" w:hAnsi="Book Antiqua" w:cs="Book Antiqua"/>
          <w:color w:val="000000"/>
        </w:rPr>
        <w:t xml:space="preserve">. Update on human systemic lupus erythematosus genetics. </w:t>
      </w:r>
      <w:r w:rsidRPr="007F43E7">
        <w:rPr>
          <w:rFonts w:ascii="Book Antiqua" w:eastAsia="Book Antiqua" w:hAnsi="Book Antiqua" w:cs="Book Antiqua"/>
          <w:i/>
          <w:iCs/>
          <w:color w:val="000000"/>
        </w:rPr>
        <w:t>Curr Opin Rheumatol</w:t>
      </w:r>
      <w:r w:rsidRPr="007F43E7">
        <w:rPr>
          <w:rFonts w:ascii="Book Antiqua" w:eastAsia="Book Antiqua" w:hAnsi="Book Antiqua" w:cs="Book Antiqua"/>
          <w:color w:val="000000"/>
        </w:rPr>
        <w:t xml:space="preserve"> 2004; </w:t>
      </w:r>
      <w:r w:rsidRPr="007F43E7">
        <w:rPr>
          <w:rFonts w:ascii="Book Antiqua" w:eastAsia="Book Antiqua" w:hAnsi="Book Antiqua" w:cs="Book Antiqua"/>
          <w:b/>
          <w:bCs/>
          <w:color w:val="000000"/>
        </w:rPr>
        <w:t>16</w:t>
      </w:r>
      <w:r w:rsidRPr="007F43E7">
        <w:rPr>
          <w:rFonts w:ascii="Book Antiqua" w:eastAsia="Book Antiqua" w:hAnsi="Book Antiqua" w:cs="Book Antiqua"/>
          <w:color w:val="000000"/>
        </w:rPr>
        <w:t>: 513-521 [PMID: 15314487 DOI: 10.1097/01.bor.0000132648.62680.81]</w:t>
      </w:r>
    </w:p>
    <w:p w14:paraId="377ECBA2" w14:textId="77777777" w:rsidR="00064BE2" w:rsidRPr="007F43E7" w:rsidRDefault="00000000">
      <w:pPr>
        <w:spacing w:line="360" w:lineRule="auto"/>
        <w:jc w:val="both"/>
      </w:pPr>
      <w:r w:rsidRPr="007F43E7">
        <w:rPr>
          <w:rFonts w:ascii="Book Antiqua" w:eastAsia="Book Antiqua" w:hAnsi="Book Antiqua" w:cs="Book Antiqua"/>
          <w:color w:val="000000"/>
        </w:rPr>
        <w:t xml:space="preserve">6 </w:t>
      </w:r>
      <w:r w:rsidRPr="007F43E7">
        <w:rPr>
          <w:rFonts w:ascii="Book Antiqua" w:eastAsia="Book Antiqua" w:hAnsi="Book Antiqua" w:cs="Book Antiqua"/>
          <w:b/>
          <w:bCs/>
          <w:color w:val="000000"/>
        </w:rPr>
        <w:t>Caprio V</w:t>
      </w:r>
      <w:r w:rsidRPr="007F43E7">
        <w:rPr>
          <w:rFonts w:ascii="Book Antiqua" w:eastAsia="Book Antiqua" w:hAnsi="Book Antiqua" w:cs="Book Antiqua"/>
          <w:color w:val="000000"/>
        </w:rPr>
        <w:t xml:space="preserve">, Badimon L, Di Napoli M, Fang WH, Ferris GR, Guo B, Iemma RS, Liu D, Zeinolabediny Y, Slevin M. pCRP-mCRP Dissociation Mechanisms as Potential Targets for the Development of Small-Molecule Anti-Inflammatory Chemotherapeutics. </w:t>
      </w:r>
      <w:r w:rsidRPr="007F43E7">
        <w:rPr>
          <w:rFonts w:ascii="Book Antiqua" w:eastAsia="Book Antiqua" w:hAnsi="Book Antiqua" w:cs="Book Antiqua"/>
          <w:i/>
          <w:iCs/>
          <w:color w:val="000000"/>
        </w:rPr>
        <w:t>Front Immunol</w:t>
      </w:r>
      <w:r w:rsidRPr="007F43E7">
        <w:rPr>
          <w:rFonts w:ascii="Book Antiqua" w:eastAsia="Book Antiqua" w:hAnsi="Book Antiqua" w:cs="Book Antiqua"/>
          <w:color w:val="000000"/>
        </w:rPr>
        <w:t xml:space="preserve"> 2018; </w:t>
      </w:r>
      <w:r w:rsidRPr="007F43E7">
        <w:rPr>
          <w:rFonts w:ascii="Book Antiqua" w:eastAsia="Book Antiqua" w:hAnsi="Book Antiqua" w:cs="Book Antiqua"/>
          <w:b/>
          <w:bCs/>
          <w:color w:val="000000"/>
        </w:rPr>
        <w:t>9</w:t>
      </w:r>
      <w:r w:rsidRPr="007F43E7">
        <w:rPr>
          <w:rFonts w:ascii="Book Antiqua" w:eastAsia="Book Antiqua" w:hAnsi="Book Antiqua" w:cs="Book Antiqua"/>
          <w:color w:val="000000"/>
        </w:rPr>
        <w:t>: 1089 [PMID: 29892284 DOI: 10.3389/fimmu.2018.01089]</w:t>
      </w:r>
    </w:p>
    <w:p w14:paraId="1656E89C" w14:textId="77777777" w:rsidR="00064BE2" w:rsidRPr="007F43E7" w:rsidRDefault="00000000">
      <w:pPr>
        <w:spacing w:line="360" w:lineRule="auto"/>
        <w:jc w:val="both"/>
      </w:pPr>
      <w:r w:rsidRPr="007F43E7">
        <w:rPr>
          <w:rFonts w:ascii="Book Antiqua" w:eastAsia="Book Antiqua" w:hAnsi="Book Antiqua" w:cs="Book Antiqua"/>
          <w:color w:val="000000"/>
        </w:rPr>
        <w:t xml:space="preserve">7 </w:t>
      </w:r>
      <w:r w:rsidRPr="007F43E7">
        <w:rPr>
          <w:rFonts w:ascii="Book Antiqua" w:eastAsia="Book Antiqua" w:hAnsi="Book Antiqua" w:cs="Book Antiqua"/>
          <w:b/>
          <w:bCs/>
          <w:color w:val="000000"/>
        </w:rPr>
        <w:t>Jimenez RV</w:t>
      </w:r>
      <w:r w:rsidRPr="007F43E7">
        <w:rPr>
          <w:rFonts w:ascii="Book Antiqua" w:eastAsia="Book Antiqua" w:hAnsi="Book Antiqua" w:cs="Book Antiqua"/>
          <w:color w:val="000000"/>
        </w:rPr>
        <w:t xml:space="preserve">, Wright TT, Jones NR, Wu J, Gibson AW, Szalai AJ. C-Reactive Protein Impairs Dendritic Cell Development, Maturation, and Function: Implications for Peripheral Tolerance. </w:t>
      </w:r>
      <w:r w:rsidRPr="007F43E7">
        <w:rPr>
          <w:rFonts w:ascii="Book Antiqua" w:eastAsia="Book Antiqua" w:hAnsi="Book Antiqua" w:cs="Book Antiqua"/>
          <w:i/>
          <w:iCs/>
          <w:color w:val="000000"/>
        </w:rPr>
        <w:t>Front Immunol</w:t>
      </w:r>
      <w:r w:rsidRPr="007F43E7">
        <w:rPr>
          <w:rFonts w:ascii="Book Antiqua" w:eastAsia="Book Antiqua" w:hAnsi="Book Antiqua" w:cs="Book Antiqua"/>
          <w:color w:val="000000"/>
        </w:rPr>
        <w:t xml:space="preserve"> 2018; </w:t>
      </w:r>
      <w:r w:rsidRPr="007F43E7">
        <w:rPr>
          <w:rFonts w:ascii="Book Antiqua" w:eastAsia="Book Antiqua" w:hAnsi="Book Antiqua" w:cs="Book Antiqua"/>
          <w:b/>
          <w:bCs/>
          <w:color w:val="000000"/>
        </w:rPr>
        <w:t>9</w:t>
      </w:r>
      <w:r w:rsidRPr="007F43E7">
        <w:rPr>
          <w:rFonts w:ascii="Book Antiqua" w:eastAsia="Book Antiqua" w:hAnsi="Book Antiqua" w:cs="Book Antiqua"/>
          <w:color w:val="000000"/>
        </w:rPr>
        <w:t>: 372 [PMID: 29556231 DOI: 10.3389/fimmu.2018.00372]</w:t>
      </w:r>
    </w:p>
    <w:p w14:paraId="1F266B96" w14:textId="77777777" w:rsidR="00064BE2" w:rsidRPr="007F43E7" w:rsidRDefault="00000000">
      <w:pPr>
        <w:spacing w:line="360" w:lineRule="auto"/>
        <w:jc w:val="both"/>
      </w:pPr>
      <w:r w:rsidRPr="007F43E7">
        <w:rPr>
          <w:rFonts w:ascii="Book Antiqua" w:eastAsia="Book Antiqua" w:hAnsi="Book Antiqua" w:cs="Book Antiqua"/>
          <w:color w:val="000000"/>
        </w:rPr>
        <w:t xml:space="preserve">8 </w:t>
      </w:r>
      <w:r w:rsidRPr="007F43E7">
        <w:rPr>
          <w:rFonts w:ascii="Book Antiqua" w:eastAsia="Book Antiqua" w:hAnsi="Book Antiqua" w:cs="Book Antiqua"/>
          <w:b/>
          <w:bCs/>
          <w:color w:val="000000"/>
        </w:rPr>
        <w:t>Molins B</w:t>
      </w:r>
      <w:r w:rsidRPr="007F43E7">
        <w:rPr>
          <w:rFonts w:ascii="Book Antiqua" w:eastAsia="Book Antiqua" w:hAnsi="Book Antiqua" w:cs="Book Antiqua"/>
          <w:color w:val="000000"/>
        </w:rPr>
        <w:t xml:space="preserve">, Romero-Vázquez S, Fuentes-Prior P, Adan A, Dick AD. C-Reactive Protein as a Therapeutic Target in Age-Related Macular Degeneration. </w:t>
      </w:r>
      <w:r w:rsidRPr="007F43E7">
        <w:rPr>
          <w:rFonts w:ascii="Book Antiqua" w:eastAsia="Book Antiqua" w:hAnsi="Book Antiqua" w:cs="Book Antiqua"/>
          <w:i/>
          <w:iCs/>
          <w:color w:val="000000"/>
        </w:rPr>
        <w:t>Front Immunol</w:t>
      </w:r>
      <w:r w:rsidRPr="007F43E7">
        <w:rPr>
          <w:rFonts w:ascii="Book Antiqua" w:eastAsia="Book Antiqua" w:hAnsi="Book Antiqua" w:cs="Book Antiqua"/>
          <w:color w:val="000000"/>
        </w:rPr>
        <w:t xml:space="preserve"> 2018; </w:t>
      </w:r>
      <w:r w:rsidRPr="007F43E7">
        <w:rPr>
          <w:rFonts w:ascii="Book Antiqua" w:eastAsia="Book Antiqua" w:hAnsi="Book Antiqua" w:cs="Book Antiqua"/>
          <w:b/>
          <w:bCs/>
          <w:color w:val="000000"/>
        </w:rPr>
        <w:t>9</w:t>
      </w:r>
      <w:r w:rsidRPr="007F43E7">
        <w:rPr>
          <w:rFonts w:ascii="Book Antiqua" w:eastAsia="Book Antiqua" w:hAnsi="Book Antiqua" w:cs="Book Antiqua"/>
          <w:color w:val="000000"/>
        </w:rPr>
        <w:t>: 808 [PMID: 29725335 DOI: 10.3389/fimmu.2018.00808]</w:t>
      </w:r>
    </w:p>
    <w:p w14:paraId="1FFA14D6" w14:textId="77777777" w:rsidR="00064BE2" w:rsidRPr="007F43E7" w:rsidRDefault="00000000">
      <w:pPr>
        <w:spacing w:line="360" w:lineRule="auto"/>
        <w:jc w:val="both"/>
      </w:pPr>
      <w:r w:rsidRPr="007F43E7">
        <w:rPr>
          <w:rFonts w:ascii="Book Antiqua" w:eastAsia="Book Antiqua" w:hAnsi="Book Antiqua" w:cs="Book Antiqua"/>
          <w:color w:val="000000"/>
        </w:rPr>
        <w:t xml:space="preserve">9 </w:t>
      </w:r>
      <w:r w:rsidRPr="007F43E7">
        <w:rPr>
          <w:rFonts w:ascii="Book Antiqua" w:eastAsia="Book Antiqua" w:hAnsi="Book Antiqua" w:cs="Book Antiqua"/>
          <w:b/>
          <w:bCs/>
          <w:color w:val="000000"/>
        </w:rPr>
        <w:t>Romero-Vázquez S</w:t>
      </w:r>
      <w:r w:rsidRPr="007F43E7">
        <w:rPr>
          <w:rFonts w:ascii="Book Antiqua" w:eastAsia="Book Antiqua" w:hAnsi="Book Antiqua" w:cs="Book Antiqua"/>
          <w:color w:val="000000"/>
        </w:rPr>
        <w:t xml:space="preserve">, Adán A, Figueras-Roca M, Llorenç V, Slevin M, Vilahur G, Badimon L, Dick AD, Molins B. Activation of C-reactive protein proinflammatory phenotype in the blood retinal barrier in vitro: implications for age-related macular degeneration. </w:t>
      </w:r>
      <w:r w:rsidRPr="007F43E7">
        <w:rPr>
          <w:rFonts w:ascii="Book Antiqua" w:eastAsia="Book Antiqua" w:hAnsi="Book Antiqua" w:cs="Book Antiqua"/>
          <w:i/>
          <w:iCs/>
          <w:color w:val="000000"/>
        </w:rPr>
        <w:t>Aging (Albany NY)</w:t>
      </w:r>
      <w:r w:rsidRPr="007F43E7">
        <w:rPr>
          <w:rFonts w:ascii="Book Antiqua" w:eastAsia="Book Antiqua" w:hAnsi="Book Antiqua" w:cs="Book Antiqua"/>
          <w:color w:val="000000"/>
        </w:rPr>
        <w:t xml:space="preserve"> 2020; </w:t>
      </w:r>
      <w:r w:rsidRPr="007F43E7">
        <w:rPr>
          <w:rFonts w:ascii="Book Antiqua" w:eastAsia="Book Antiqua" w:hAnsi="Book Antiqua" w:cs="Book Antiqua"/>
          <w:b/>
          <w:bCs/>
          <w:color w:val="000000"/>
        </w:rPr>
        <w:t>12</w:t>
      </w:r>
      <w:r w:rsidRPr="007F43E7">
        <w:rPr>
          <w:rFonts w:ascii="Book Antiqua" w:eastAsia="Book Antiqua" w:hAnsi="Book Antiqua" w:cs="Book Antiqua"/>
          <w:color w:val="000000"/>
        </w:rPr>
        <w:t>: 13905-13923 [PMID: 32673285 DOI: 10.18632/aging.103655]</w:t>
      </w:r>
    </w:p>
    <w:p w14:paraId="57FE2A2F"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10 </w:t>
      </w:r>
      <w:r w:rsidRPr="007F43E7">
        <w:rPr>
          <w:rFonts w:ascii="Book Antiqua" w:eastAsia="Book Antiqua" w:hAnsi="Book Antiqua" w:cs="Book Antiqua"/>
          <w:b/>
          <w:bCs/>
          <w:color w:val="000000"/>
        </w:rPr>
        <w:t>Zeinolabediny Y</w:t>
      </w:r>
      <w:r w:rsidRPr="007F43E7">
        <w:rPr>
          <w:rFonts w:ascii="Book Antiqua" w:eastAsia="Book Antiqua" w:hAnsi="Book Antiqua" w:cs="Book Antiqua"/>
          <w:color w:val="000000"/>
        </w:rPr>
        <w:t xml:space="preserve">, Kumar S, Slevin M. Monomeric C-Reactive Protein - A Feature of Inflammatory Disease Associated With Cardiovascular Pathophysiological Complications? </w:t>
      </w:r>
      <w:r w:rsidRPr="007F43E7">
        <w:rPr>
          <w:rFonts w:ascii="Book Antiqua" w:eastAsia="Book Antiqua" w:hAnsi="Book Antiqua" w:cs="Book Antiqua"/>
          <w:i/>
          <w:iCs/>
          <w:color w:val="000000"/>
        </w:rPr>
        <w:t>In Vivo</w:t>
      </w:r>
      <w:r w:rsidRPr="007F43E7">
        <w:rPr>
          <w:rFonts w:ascii="Book Antiqua" w:eastAsia="Book Antiqua" w:hAnsi="Book Antiqua" w:cs="Book Antiqua"/>
          <w:color w:val="000000"/>
        </w:rPr>
        <w:t xml:space="preserve"> 2021; </w:t>
      </w:r>
      <w:r w:rsidRPr="007F43E7">
        <w:rPr>
          <w:rFonts w:ascii="Book Antiqua" w:eastAsia="Book Antiqua" w:hAnsi="Book Antiqua" w:cs="Book Antiqua"/>
          <w:b/>
          <w:bCs/>
          <w:color w:val="000000"/>
        </w:rPr>
        <w:t>35</w:t>
      </w:r>
      <w:r w:rsidRPr="007F43E7">
        <w:rPr>
          <w:rFonts w:ascii="Book Antiqua" w:eastAsia="Book Antiqua" w:hAnsi="Book Antiqua" w:cs="Book Antiqua"/>
          <w:color w:val="000000"/>
        </w:rPr>
        <w:t>: 693-697 [PMID: 33622861 DOI: 10.21873/invivo.12309]</w:t>
      </w:r>
    </w:p>
    <w:p w14:paraId="4CA5421D" w14:textId="77777777" w:rsidR="00064BE2" w:rsidRPr="007F43E7" w:rsidRDefault="00000000">
      <w:pPr>
        <w:spacing w:line="360" w:lineRule="auto"/>
        <w:jc w:val="both"/>
      </w:pPr>
      <w:r w:rsidRPr="007F43E7">
        <w:rPr>
          <w:rFonts w:ascii="Book Antiqua" w:eastAsia="Book Antiqua" w:hAnsi="Book Antiqua" w:cs="Book Antiqua"/>
          <w:color w:val="000000"/>
        </w:rPr>
        <w:lastRenderedPageBreak/>
        <w:t xml:space="preserve">11 </w:t>
      </w:r>
      <w:r w:rsidRPr="007F43E7">
        <w:rPr>
          <w:rFonts w:ascii="Book Antiqua" w:eastAsia="Book Antiqua" w:hAnsi="Book Antiqua" w:cs="Book Antiqua"/>
          <w:b/>
          <w:bCs/>
          <w:color w:val="000000"/>
        </w:rPr>
        <w:t>Moser KL</w:t>
      </w:r>
      <w:r w:rsidRPr="007F43E7">
        <w:rPr>
          <w:rFonts w:ascii="Book Antiqua" w:eastAsia="Book Antiqua" w:hAnsi="Book Antiqua" w:cs="Book Antiqua"/>
          <w:color w:val="000000"/>
        </w:rPr>
        <w:t xml:space="preserve">, Neas BR, Salmon JE, Yu H, Gray-McGuire C, Asundi N, Bruner GR, Fox J, Kelly J, Henshall S, Bacino D, Dietz M, Hogue R, Koelsch G, Nightingale L, Shaver T, Abdou NI, Albert DA, Carson C, Petri M, Treadwell EL, James JA, Harley JB. Genome scan of human systemic lupus erythematosus: evidence for linkage on chromosome 1q in African-American pedigrees. </w:t>
      </w:r>
      <w:r w:rsidRPr="007F43E7">
        <w:rPr>
          <w:rFonts w:ascii="Book Antiqua" w:eastAsia="Book Antiqua" w:hAnsi="Book Antiqua" w:cs="Book Antiqua"/>
          <w:i/>
          <w:iCs/>
          <w:color w:val="000000"/>
        </w:rPr>
        <w:t>Proc Natl Acad Sci U S A</w:t>
      </w:r>
      <w:r w:rsidRPr="007F43E7">
        <w:rPr>
          <w:rFonts w:ascii="Book Antiqua" w:eastAsia="Book Antiqua" w:hAnsi="Book Antiqua" w:cs="Book Antiqua"/>
          <w:color w:val="000000"/>
        </w:rPr>
        <w:t xml:space="preserve"> 1998; </w:t>
      </w:r>
      <w:r w:rsidRPr="007F43E7">
        <w:rPr>
          <w:rFonts w:ascii="Book Antiqua" w:eastAsia="Book Antiqua" w:hAnsi="Book Antiqua" w:cs="Book Antiqua"/>
          <w:b/>
          <w:bCs/>
          <w:color w:val="000000"/>
        </w:rPr>
        <w:t>95</w:t>
      </w:r>
      <w:r w:rsidRPr="007F43E7">
        <w:rPr>
          <w:rFonts w:ascii="Book Antiqua" w:eastAsia="Book Antiqua" w:hAnsi="Book Antiqua" w:cs="Book Antiqua"/>
          <w:color w:val="000000"/>
        </w:rPr>
        <w:t>: 14869-14874 [PMID: 9843982 DOI: 10.1073/pnas.95.25.14869]</w:t>
      </w:r>
    </w:p>
    <w:p w14:paraId="7AE621BB"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12 </w:t>
      </w:r>
      <w:r w:rsidRPr="007F43E7">
        <w:rPr>
          <w:rFonts w:ascii="Book Antiqua" w:eastAsia="Book Antiqua" w:hAnsi="Book Antiqua" w:cs="Book Antiqua"/>
          <w:b/>
          <w:bCs/>
          <w:color w:val="000000"/>
        </w:rPr>
        <w:t>Cantor RM</w:t>
      </w:r>
      <w:r w:rsidRPr="007F43E7">
        <w:rPr>
          <w:rFonts w:ascii="Book Antiqua" w:eastAsia="Book Antiqua" w:hAnsi="Book Antiqua" w:cs="Book Antiqua"/>
          <w:color w:val="000000"/>
        </w:rPr>
        <w:t xml:space="preserve">, Yuan J, Napier S, Kono N, Grossman JM, Hahn BH, Tsao BP. Systemic lupus erythematosus genome scan: support for linkage at 1q23, 2q33, 16q12-13, and 17q21-23 and novel evidence at 3p24, 10q23-24, 13q32, and 18q22-23.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2004; </w:t>
      </w:r>
      <w:r w:rsidRPr="007F43E7">
        <w:rPr>
          <w:rFonts w:ascii="Book Antiqua" w:eastAsia="Book Antiqua" w:hAnsi="Book Antiqua" w:cs="Book Antiqua"/>
          <w:b/>
          <w:bCs/>
          <w:color w:val="000000"/>
        </w:rPr>
        <w:t>50</w:t>
      </w:r>
      <w:r w:rsidRPr="007F43E7">
        <w:rPr>
          <w:rFonts w:ascii="Book Antiqua" w:eastAsia="Book Antiqua" w:hAnsi="Book Antiqua" w:cs="Book Antiqua"/>
          <w:color w:val="000000"/>
        </w:rPr>
        <w:t>: 3203-3210 [PMID: 15476245 DOI: 10.1002/art.20511]</w:t>
      </w:r>
    </w:p>
    <w:p w14:paraId="69A902E9"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13 </w:t>
      </w:r>
      <w:r w:rsidRPr="007F43E7">
        <w:rPr>
          <w:rFonts w:ascii="Book Antiqua" w:eastAsia="Book Antiqua" w:hAnsi="Book Antiqua" w:cs="Book Antiqua"/>
          <w:b/>
          <w:bCs/>
          <w:color w:val="000000"/>
        </w:rPr>
        <w:t>Pereira Da Silva JA</w:t>
      </w:r>
      <w:r w:rsidRPr="007F43E7">
        <w:rPr>
          <w:rFonts w:ascii="Book Antiqua" w:eastAsia="Book Antiqua" w:hAnsi="Book Antiqua" w:cs="Book Antiqua"/>
          <w:color w:val="000000"/>
        </w:rPr>
        <w:t xml:space="preserve">, Elkon KB, Hughes GR, Dyck RF, Pepys MB. C-reactive protein levels in systemic lupus erythematosus: a classification criterion?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1980; </w:t>
      </w:r>
      <w:r w:rsidRPr="007F43E7">
        <w:rPr>
          <w:rFonts w:ascii="Book Antiqua" w:eastAsia="Book Antiqua" w:hAnsi="Book Antiqua" w:cs="Book Antiqua"/>
          <w:b/>
          <w:bCs/>
          <w:color w:val="000000"/>
        </w:rPr>
        <w:t>23</w:t>
      </w:r>
      <w:r w:rsidRPr="007F43E7">
        <w:rPr>
          <w:rFonts w:ascii="Book Antiqua" w:eastAsia="Book Antiqua" w:hAnsi="Book Antiqua" w:cs="Book Antiqua"/>
          <w:color w:val="000000"/>
        </w:rPr>
        <w:t>: 770-771 [PMID: 7387742 DOI: 10.1002/art.1780230609]</w:t>
      </w:r>
    </w:p>
    <w:p w14:paraId="13E187C7"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14 </w:t>
      </w:r>
      <w:r w:rsidRPr="007F43E7">
        <w:rPr>
          <w:rFonts w:ascii="Book Antiqua" w:eastAsia="Book Antiqua" w:hAnsi="Book Antiqua" w:cs="Book Antiqua"/>
          <w:b/>
          <w:bCs/>
          <w:color w:val="000000"/>
        </w:rPr>
        <w:t>Li QY</w:t>
      </w:r>
      <w:r w:rsidRPr="007F43E7">
        <w:rPr>
          <w:rFonts w:ascii="Book Antiqua" w:eastAsia="Book Antiqua" w:hAnsi="Book Antiqua" w:cs="Book Antiqua"/>
          <w:color w:val="000000"/>
        </w:rPr>
        <w:t xml:space="preserve">, Li HY, Fu G, Yu F, Wu Y, Zhao MH. Autoantibodies against C-Reactive Protein Influence Complement Activation and Clinical Course in Lupus Nephritis. </w:t>
      </w:r>
      <w:r w:rsidRPr="007F43E7">
        <w:rPr>
          <w:rFonts w:ascii="Book Antiqua" w:eastAsia="Book Antiqua" w:hAnsi="Book Antiqua" w:cs="Book Antiqua"/>
          <w:i/>
          <w:iCs/>
          <w:color w:val="000000"/>
        </w:rPr>
        <w:t>J Am Soc Nephrol</w:t>
      </w:r>
      <w:r w:rsidRPr="007F43E7">
        <w:rPr>
          <w:rFonts w:ascii="Book Antiqua" w:eastAsia="Book Antiqua" w:hAnsi="Book Antiqua" w:cs="Book Antiqua"/>
          <w:color w:val="000000"/>
        </w:rPr>
        <w:t xml:space="preserve"> 2017; </w:t>
      </w:r>
      <w:r w:rsidRPr="007F43E7">
        <w:rPr>
          <w:rFonts w:ascii="Book Antiqua" w:eastAsia="Book Antiqua" w:hAnsi="Book Antiqua" w:cs="Book Antiqua"/>
          <w:b/>
          <w:bCs/>
          <w:color w:val="000000"/>
        </w:rPr>
        <w:t>28</w:t>
      </w:r>
      <w:r w:rsidRPr="007F43E7">
        <w:rPr>
          <w:rFonts w:ascii="Book Antiqua" w:eastAsia="Book Antiqua" w:hAnsi="Book Antiqua" w:cs="Book Antiqua"/>
          <w:color w:val="000000"/>
        </w:rPr>
        <w:t>: 3044-3054 [PMID: 28566480 DOI: 10.1681/ASN.2016070735]</w:t>
      </w:r>
    </w:p>
    <w:p w14:paraId="4E229CAF"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15 </w:t>
      </w:r>
      <w:r w:rsidRPr="007F43E7">
        <w:rPr>
          <w:rFonts w:ascii="Book Antiqua" w:eastAsia="Book Antiqua" w:hAnsi="Book Antiqua" w:cs="Book Antiqua"/>
          <w:b/>
          <w:bCs/>
          <w:color w:val="000000"/>
        </w:rPr>
        <w:t>Bell SA</w:t>
      </w:r>
      <w:r w:rsidRPr="007F43E7">
        <w:rPr>
          <w:rFonts w:ascii="Book Antiqua" w:eastAsia="Book Antiqua" w:hAnsi="Book Antiqua" w:cs="Book Antiqua"/>
          <w:color w:val="000000"/>
        </w:rPr>
        <w:t xml:space="preserve">, Faust H, Schmid A, Meurer M. Autoantibodies to C-reactive protein (CRP) and other acute-phase proteins in systemic autoimmune diseases. </w:t>
      </w:r>
      <w:r w:rsidRPr="007F43E7">
        <w:rPr>
          <w:rFonts w:ascii="Book Antiqua" w:eastAsia="Book Antiqua" w:hAnsi="Book Antiqua" w:cs="Book Antiqua"/>
          <w:i/>
          <w:iCs/>
          <w:color w:val="000000"/>
        </w:rPr>
        <w:t>Clin Exp Immunol</w:t>
      </w:r>
      <w:r w:rsidRPr="007F43E7">
        <w:rPr>
          <w:rFonts w:ascii="Book Antiqua" w:eastAsia="Book Antiqua" w:hAnsi="Book Antiqua" w:cs="Book Antiqua"/>
          <w:color w:val="000000"/>
        </w:rPr>
        <w:t xml:space="preserve"> 1998; </w:t>
      </w:r>
      <w:r w:rsidRPr="007F43E7">
        <w:rPr>
          <w:rFonts w:ascii="Book Antiqua" w:eastAsia="Book Antiqua" w:hAnsi="Book Antiqua" w:cs="Book Antiqua"/>
          <w:b/>
          <w:bCs/>
          <w:color w:val="000000"/>
        </w:rPr>
        <w:t>113</w:t>
      </w:r>
      <w:r w:rsidRPr="007F43E7">
        <w:rPr>
          <w:rFonts w:ascii="Book Antiqua" w:eastAsia="Book Antiqua" w:hAnsi="Book Antiqua" w:cs="Book Antiqua"/>
          <w:color w:val="000000"/>
        </w:rPr>
        <w:t>: 327-332 [PMID: 9737658 DOI: 10.1046/j.1365-2249.1998.00655.x]</w:t>
      </w:r>
    </w:p>
    <w:p w14:paraId="20E1B2AD"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16 </w:t>
      </w:r>
      <w:r w:rsidRPr="007F43E7">
        <w:rPr>
          <w:rFonts w:ascii="Book Antiqua" w:eastAsia="Book Antiqua" w:hAnsi="Book Antiqua" w:cs="Book Antiqua"/>
          <w:b/>
          <w:bCs/>
          <w:color w:val="000000"/>
        </w:rPr>
        <w:t>Sjöwall C</w:t>
      </w:r>
      <w:r w:rsidRPr="007F43E7">
        <w:rPr>
          <w:rFonts w:ascii="Book Antiqua" w:eastAsia="Book Antiqua" w:hAnsi="Book Antiqua" w:cs="Book Antiqua"/>
          <w:color w:val="000000"/>
        </w:rPr>
        <w:t xml:space="preserve">, Eriksson P, Almer S, Skogh T. Autoantibodies to C-reactive protein is a common finding in SLE, but not in primary Sjögren's syndrome, rheumatoid arthritis or inflammatory bowel disease. </w:t>
      </w:r>
      <w:r w:rsidRPr="007F43E7">
        <w:rPr>
          <w:rFonts w:ascii="Book Antiqua" w:eastAsia="Book Antiqua" w:hAnsi="Book Antiqua" w:cs="Book Antiqua"/>
          <w:i/>
          <w:iCs/>
          <w:color w:val="000000"/>
        </w:rPr>
        <w:t>J Autoimmun</w:t>
      </w:r>
      <w:r w:rsidRPr="007F43E7">
        <w:rPr>
          <w:rFonts w:ascii="Book Antiqua" w:eastAsia="Book Antiqua" w:hAnsi="Book Antiqua" w:cs="Book Antiqua"/>
          <w:color w:val="000000"/>
        </w:rPr>
        <w:t xml:space="preserve"> 2002; </w:t>
      </w:r>
      <w:r w:rsidRPr="007F43E7">
        <w:rPr>
          <w:rFonts w:ascii="Book Antiqua" w:eastAsia="Book Antiqua" w:hAnsi="Book Antiqua" w:cs="Book Antiqua"/>
          <w:b/>
          <w:bCs/>
          <w:color w:val="000000"/>
        </w:rPr>
        <w:t>19</w:t>
      </w:r>
      <w:r w:rsidRPr="007F43E7">
        <w:rPr>
          <w:rFonts w:ascii="Book Antiqua" w:eastAsia="Book Antiqua" w:hAnsi="Book Antiqua" w:cs="Book Antiqua"/>
          <w:color w:val="000000"/>
        </w:rPr>
        <w:t>: 155-160 [PMID: 12419286 DOI: 10.1006/jaut.2002.0608]</w:t>
      </w:r>
    </w:p>
    <w:p w14:paraId="0D906D2B"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17 </w:t>
      </w:r>
      <w:r w:rsidRPr="007F43E7">
        <w:rPr>
          <w:rFonts w:ascii="Book Antiqua" w:eastAsia="Book Antiqua" w:hAnsi="Book Antiqua" w:cs="Book Antiqua"/>
          <w:b/>
          <w:bCs/>
          <w:color w:val="000000"/>
        </w:rPr>
        <w:t>Rodriguez W</w:t>
      </w:r>
      <w:r w:rsidRPr="007F43E7">
        <w:rPr>
          <w:rFonts w:ascii="Book Antiqua" w:eastAsia="Book Antiqua" w:hAnsi="Book Antiqua" w:cs="Book Antiqua"/>
          <w:color w:val="000000"/>
        </w:rPr>
        <w:t xml:space="preserve">, Mold C, Kataranovski M, Hutt J, Marnell LL, Du Clos TW. Reversal of ongoing proteinuria in autoimmune mice by treatment with C-reactive protein.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2005; </w:t>
      </w:r>
      <w:r w:rsidRPr="007F43E7">
        <w:rPr>
          <w:rFonts w:ascii="Book Antiqua" w:eastAsia="Book Antiqua" w:hAnsi="Book Antiqua" w:cs="Book Antiqua"/>
          <w:b/>
          <w:bCs/>
          <w:color w:val="000000"/>
        </w:rPr>
        <w:t>52</w:t>
      </w:r>
      <w:r w:rsidRPr="007F43E7">
        <w:rPr>
          <w:rFonts w:ascii="Book Antiqua" w:eastAsia="Book Antiqua" w:hAnsi="Book Antiqua" w:cs="Book Antiqua"/>
          <w:color w:val="000000"/>
        </w:rPr>
        <w:t>: 642-650 [PMID: 15692982 DOI: 10.1002/art.20846]</w:t>
      </w:r>
    </w:p>
    <w:p w14:paraId="78B8C7AF"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18 </w:t>
      </w:r>
      <w:r w:rsidRPr="007F43E7">
        <w:rPr>
          <w:rFonts w:ascii="Book Antiqua" w:eastAsia="Book Antiqua" w:hAnsi="Book Antiqua" w:cs="Book Antiqua"/>
          <w:b/>
          <w:bCs/>
          <w:color w:val="000000"/>
        </w:rPr>
        <w:t>Szalai AJ</w:t>
      </w:r>
      <w:r w:rsidRPr="007F43E7">
        <w:rPr>
          <w:rFonts w:ascii="Book Antiqua" w:eastAsia="Book Antiqua" w:hAnsi="Book Antiqua" w:cs="Book Antiqua"/>
          <w:color w:val="000000"/>
        </w:rPr>
        <w:t>, Weaver CT, McCrory MA, van Ginkel FW, Reiman RM, Kearney JF, Marion TN, Volanakis JE. Delayed lupus onset in (NZB x NZW)F1 mice expressing a human C-</w:t>
      </w:r>
      <w:r w:rsidRPr="007F43E7">
        <w:rPr>
          <w:rFonts w:ascii="Book Antiqua" w:eastAsia="Book Antiqua" w:hAnsi="Book Antiqua" w:cs="Book Antiqua"/>
          <w:color w:val="000000"/>
        </w:rPr>
        <w:lastRenderedPageBreak/>
        <w:t xml:space="preserve">reactive protein transgene.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2003; </w:t>
      </w:r>
      <w:r w:rsidRPr="007F43E7">
        <w:rPr>
          <w:rFonts w:ascii="Book Antiqua" w:eastAsia="Book Antiqua" w:hAnsi="Book Antiqua" w:cs="Book Antiqua"/>
          <w:b/>
          <w:bCs/>
          <w:color w:val="000000"/>
        </w:rPr>
        <w:t>48</w:t>
      </w:r>
      <w:r w:rsidRPr="007F43E7">
        <w:rPr>
          <w:rFonts w:ascii="Book Antiqua" w:eastAsia="Book Antiqua" w:hAnsi="Book Antiqua" w:cs="Book Antiqua"/>
          <w:color w:val="000000"/>
        </w:rPr>
        <w:t>: 1602-1611 [PMID: 12794828 DOI: 10.1002/art.11026]</w:t>
      </w:r>
    </w:p>
    <w:p w14:paraId="63D18633" w14:textId="77777777" w:rsidR="00064BE2" w:rsidRPr="007F43E7" w:rsidRDefault="00000000">
      <w:pPr>
        <w:spacing w:line="360" w:lineRule="auto"/>
        <w:jc w:val="both"/>
      </w:pPr>
      <w:r w:rsidRPr="007F43E7">
        <w:rPr>
          <w:rFonts w:ascii="Book Antiqua" w:eastAsia="Book Antiqua" w:hAnsi="Book Antiqua" w:cs="Book Antiqua"/>
          <w:color w:val="000000"/>
        </w:rPr>
        <w:t xml:space="preserve">19 </w:t>
      </w:r>
      <w:r w:rsidRPr="007F43E7">
        <w:rPr>
          <w:rFonts w:ascii="Book Antiqua" w:eastAsia="Book Antiqua" w:hAnsi="Book Antiqua" w:cs="Book Antiqua"/>
          <w:b/>
          <w:bCs/>
          <w:color w:val="000000"/>
        </w:rPr>
        <w:t>Szalai AJ</w:t>
      </w:r>
      <w:r w:rsidRPr="007F43E7">
        <w:rPr>
          <w:rFonts w:ascii="Book Antiqua" w:eastAsia="Book Antiqua" w:hAnsi="Book Antiqua" w:cs="Book Antiqua"/>
          <w:color w:val="000000"/>
        </w:rPr>
        <w:t xml:space="preserve">, Wu J, Lange EM, McCrory MA, Langefeld CD, Williams A, Zakharkin SO, George V, Allison DB, Cooper GS, Xie F, Fan Z, Edberg JC, Kimberly RP. Single-nucleotide polymorphisms in the C-reactive protein (CRP) gene promoter that affect transcription factor binding, alter transcriptional activity, and associate with differences in baseline serum CRP level. </w:t>
      </w:r>
      <w:r w:rsidRPr="007F43E7">
        <w:rPr>
          <w:rFonts w:ascii="Book Antiqua" w:eastAsia="Book Antiqua" w:hAnsi="Book Antiqua" w:cs="Book Antiqua"/>
          <w:i/>
          <w:iCs/>
          <w:color w:val="000000"/>
        </w:rPr>
        <w:t>J Mol Med (Berl)</w:t>
      </w:r>
      <w:r w:rsidRPr="007F43E7">
        <w:rPr>
          <w:rFonts w:ascii="Book Antiqua" w:eastAsia="Book Antiqua" w:hAnsi="Book Antiqua" w:cs="Book Antiqua"/>
          <w:color w:val="000000"/>
        </w:rPr>
        <w:t xml:space="preserve"> 2005; </w:t>
      </w:r>
      <w:r w:rsidRPr="007F43E7">
        <w:rPr>
          <w:rFonts w:ascii="Book Antiqua" w:eastAsia="Book Antiqua" w:hAnsi="Book Antiqua" w:cs="Book Antiqua"/>
          <w:b/>
          <w:bCs/>
          <w:color w:val="000000"/>
        </w:rPr>
        <w:t>83</w:t>
      </w:r>
      <w:r w:rsidRPr="007F43E7">
        <w:rPr>
          <w:rFonts w:ascii="Book Antiqua" w:eastAsia="Book Antiqua" w:hAnsi="Book Antiqua" w:cs="Book Antiqua"/>
          <w:color w:val="000000"/>
        </w:rPr>
        <w:t>: 440-447 [PMID: 15778807 DOI: 10.1007/s00109-005-0658-0]</w:t>
      </w:r>
    </w:p>
    <w:p w14:paraId="781635A8"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20 </w:t>
      </w:r>
      <w:r w:rsidRPr="007F43E7">
        <w:rPr>
          <w:rFonts w:ascii="Book Antiqua" w:eastAsia="Book Antiqua" w:hAnsi="Book Antiqua" w:cs="Book Antiqua"/>
          <w:b/>
          <w:bCs/>
          <w:color w:val="000000"/>
        </w:rPr>
        <w:t>Russell AI</w:t>
      </w:r>
      <w:r w:rsidRPr="007F43E7">
        <w:rPr>
          <w:rFonts w:ascii="Book Antiqua" w:eastAsia="Book Antiqua" w:hAnsi="Book Antiqua" w:cs="Book Antiqua"/>
          <w:color w:val="000000"/>
        </w:rPr>
        <w:t xml:space="preserve">, Cunninghame Graham DS, Shepherd C, Roberton CA, Whittaker J, Meeks J, Powell RJ, Isenberg DA, Walport MJ, Vyse TJ. Polymorphism at the C-reactive protein locus influences gene expression and predisposes to systemic lupus erythematosus. </w:t>
      </w:r>
      <w:r w:rsidRPr="007F43E7">
        <w:rPr>
          <w:rFonts w:ascii="Book Antiqua" w:eastAsia="Book Antiqua" w:hAnsi="Book Antiqua" w:cs="Book Antiqua"/>
          <w:i/>
          <w:iCs/>
          <w:color w:val="000000"/>
        </w:rPr>
        <w:t>Hum Mol Genet</w:t>
      </w:r>
      <w:r w:rsidRPr="007F43E7">
        <w:rPr>
          <w:rFonts w:ascii="Book Antiqua" w:eastAsia="Book Antiqua" w:hAnsi="Book Antiqua" w:cs="Book Antiqua"/>
          <w:color w:val="000000"/>
        </w:rPr>
        <w:t xml:space="preserve"> 2004; </w:t>
      </w:r>
      <w:r w:rsidRPr="007F43E7">
        <w:rPr>
          <w:rFonts w:ascii="Book Antiqua" w:eastAsia="Book Antiqua" w:hAnsi="Book Antiqua" w:cs="Book Antiqua"/>
          <w:b/>
          <w:bCs/>
          <w:color w:val="000000"/>
        </w:rPr>
        <w:t>13</w:t>
      </w:r>
      <w:r w:rsidRPr="007F43E7">
        <w:rPr>
          <w:rFonts w:ascii="Book Antiqua" w:eastAsia="Book Antiqua" w:hAnsi="Book Antiqua" w:cs="Book Antiqua"/>
          <w:color w:val="000000"/>
        </w:rPr>
        <w:t>: 137-147 [PMID: 14645206 DOI: 10.1093/hmg/ddh021]</w:t>
      </w:r>
    </w:p>
    <w:p w14:paraId="071553CA"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21 </w:t>
      </w:r>
      <w:r w:rsidRPr="007F43E7">
        <w:rPr>
          <w:rFonts w:ascii="Book Antiqua" w:eastAsia="Book Antiqua" w:hAnsi="Book Antiqua" w:cs="Book Antiqua"/>
          <w:b/>
          <w:bCs/>
          <w:color w:val="000000"/>
        </w:rPr>
        <w:t>Atisha-Fregoso Y</w:t>
      </w:r>
      <w:r w:rsidRPr="007F43E7">
        <w:rPr>
          <w:rFonts w:ascii="Book Antiqua" w:eastAsia="Book Antiqua" w:hAnsi="Book Antiqua" w:cs="Book Antiqua"/>
          <w:color w:val="000000"/>
        </w:rPr>
        <w:t xml:space="preserve">, Lima G, Carrillo-Maravilla E, Posadas-Sánchez R, Pérez-Hernández N, Baños-Peláez M, Iturralde-Chávez A, Hernández-Díaz N, Jakez-Ocampo J, Rodríguez-Pérez JM, Vargas-Alarcón G, Llorente L, Romero-Díaz J. C-reactive protein (CRP) polymorphisms and haplotypes are associated with SLE susceptibility and activity but not with serum CRP levels in Mexican population. </w:t>
      </w:r>
      <w:r w:rsidRPr="007F43E7">
        <w:rPr>
          <w:rFonts w:ascii="Book Antiqua" w:eastAsia="Book Antiqua" w:hAnsi="Book Antiqua" w:cs="Book Antiqua"/>
          <w:i/>
          <w:iCs/>
          <w:color w:val="000000"/>
        </w:rPr>
        <w:t>Clin Rheumatol</w:t>
      </w:r>
      <w:r w:rsidRPr="007F43E7">
        <w:rPr>
          <w:rFonts w:ascii="Book Antiqua" w:eastAsia="Book Antiqua" w:hAnsi="Book Antiqua" w:cs="Book Antiqua"/>
          <w:color w:val="000000"/>
        </w:rPr>
        <w:t xml:space="preserve"> 2018; </w:t>
      </w:r>
      <w:r w:rsidRPr="007F43E7">
        <w:rPr>
          <w:rFonts w:ascii="Book Antiqua" w:eastAsia="Book Antiqua" w:hAnsi="Book Antiqua" w:cs="Book Antiqua"/>
          <w:b/>
          <w:bCs/>
          <w:color w:val="000000"/>
        </w:rPr>
        <w:t>37</w:t>
      </w:r>
      <w:r w:rsidRPr="007F43E7">
        <w:rPr>
          <w:rFonts w:ascii="Book Antiqua" w:eastAsia="Book Antiqua" w:hAnsi="Book Antiqua" w:cs="Book Antiqua"/>
          <w:color w:val="000000"/>
        </w:rPr>
        <w:t>: 1817-1824 [PMID: 29556849 DOI: 10.1007/s10067-018-4059-5]</w:t>
      </w:r>
    </w:p>
    <w:p w14:paraId="583C1345"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22 </w:t>
      </w:r>
      <w:r w:rsidRPr="007F43E7">
        <w:rPr>
          <w:rFonts w:ascii="Book Antiqua" w:eastAsia="Book Antiqua" w:hAnsi="Book Antiqua" w:cs="Book Antiqua"/>
          <w:b/>
          <w:bCs/>
          <w:color w:val="000000"/>
        </w:rPr>
        <w:t>Delongui F</w:t>
      </w:r>
      <w:r w:rsidRPr="007F43E7">
        <w:rPr>
          <w:rFonts w:ascii="Book Antiqua" w:eastAsia="Book Antiqua" w:hAnsi="Book Antiqua" w:cs="Book Antiqua"/>
          <w:color w:val="000000"/>
        </w:rPr>
        <w:t xml:space="preserve">, Lozovoy MAB, Iriyoda TMV, Costa NT, Stadtlober NP, Alfieri DF, Flauzino T, Dichi I, Simão ANC, Reiche EMV. C-reactive protein +1444CT (rs1130864) genetic polymorphism is associated with the susceptibility to systemic lupus erythematosus and C-reactive protein levels. </w:t>
      </w:r>
      <w:r w:rsidRPr="007F43E7">
        <w:rPr>
          <w:rFonts w:ascii="Book Antiqua" w:eastAsia="Book Antiqua" w:hAnsi="Book Antiqua" w:cs="Book Antiqua"/>
          <w:i/>
          <w:iCs/>
          <w:color w:val="000000"/>
        </w:rPr>
        <w:t>Clin Rheumatol</w:t>
      </w:r>
      <w:r w:rsidRPr="007F43E7">
        <w:rPr>
          <w:rFonts w:ascii="Book Antiqua" w:eastAsia="Book Antiqua" w:hAnsi="Book Antiqua" w:cs="Book Antiqua"/>
          <w:color w:val="000000"/>
        </w:rPr>
        <w:t xml:space="preserve"> 2017; </w:t>
      </w:r>
      <w:r w:rsidRPr="007F43E7">
        <w:rPr>
          <w:rFonts w:ascii="Book Antiqua" w:eastAsia="Book Antiqua" w:hAnsi="Book Antiqua" w:cs="Book Antiqua"/>
          <w:b/>
          <w:bCs/>
          <w:color w:val="000000"/>
        </w:rPr>
        <w:t>36</w:t>
      </w:r>
      <w:r w:rsidRPr="007F43E7">
        <w:rPr>
          <w:rFonts w:ascii="Book Antiqua" w:eastAsia="Book Antiqua" w:hAnsi="Book Antiqua" w:cs="Book Antiqua"/>
          <w:color w:val="000000"/>
        </w:rPr>
        <w:t>: 1779-1788 [PMID: 28567557 DOI: 10.1007/s10067-017-3695-5]</w:t>
      </w:r>
    </w:p>
    <w:p w14:paraId="13BC2253"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23 </w:t>
      </w:r>
      <w:r w:rsidRPr="007F43E7">
        <w:rPr>
          <w:rFonts w:ascii="Book Antiqua" w:eastAsia="Book Antiqua" w:hAnsi="Book Antiqua" w:cs="Book Antiqua"/>
          <w:b/>
          <w:bCs/>
          <w:color w:val="000000"/>
        </w:rPr>
        <w:t>Kim HA</w:t>
      </w:r>
      <w:r w:rsidRPr="007F43E7">
        <w:rPr>
          <w:rFonts w:ascii="Book Antiqua" w:eastAsia="Book Antiqua" w:hAnsi="Book Antiqua" w:cs="Book Antiqua"/>
          <w:color w:val="000000"/>
        </w:rPr>
        <w:t xml:space="preserve">, Chun HY, Kim SH, Park HS, Suh CH. C-reactive protein gene polymorphisms in disease susceptibility and clinical manifestations of Korean systemic lupus erythematosus. </w:t>
      </w:r>
      <w:r w:rsidRPr="007F43E7">
        <w:rPr>
          <w:rFonts w:ascii="Book Antiqua" w:eastAsia="Book Antiqua" w:hAnsi="Book Antiqua" w:cs="Book Antiqua"/>
          <w:i/>
          <w:iCs/>
          <w:color w:val="000000"/>
        </w:rPr>
        <w:t>J Rheumatol</w:t>
      </w:r>
      <w:r w:rsidRPr="007F43E7">
        <w:rPr>
          <w:rFonts w:ascii="Book Antiqua" w:eastAsia="Book Antiqua" w:hAnsi="Book Antiqua" w:cs="Book Antiqua"/>
          <w:color w:val="000000"/>
        </w:rPr>
        <w:t xml:space="preserve"> 2009; </w:t>
      </w:r>
      <w:r w:rsidRPr="007F43E7">
        <w:rPr>
          <w:rFonts w:ascii="Book Antiqua" w:eastAsia="Book Antiqua" w:hAnsi="Book Antiqua" w:cs="Book Antiqua"/>
          <w:b/>
          <w:bCs/>
          <w:color w:val="000000"/>
        </w:rPr>
        <w:t>36</w:t>
      </w:r>
      <w:r w:rsidRPr="007F43E7">
        <w:rPr>
          <w:rFonts w:ascii="Book Antiqua" w:eastAsia="Book Antiqua" w:hAnsi="Book Antiqua" w:cs="Book Antiqua"/>
          <w:color w:val="000000"/>
        </w:rPr>
        <w:t>: 2238-2243 [PMID: 19755616 DOI: 10.3899/jrheum.090243]</w:t>
      </w:r>
    </w:p>
    <w:p w14:paraId="337D7EFA"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24 </w:t>
      </w:r>
      <w:r w:rsidRPr="007F43E7">
        <w:rPr>
          <w:rFonts w:ascii="Book Antiqua" w:eastAsia="Book Antiqua" w:hAnsi="Book Antiqua" w:cs="Book Antiqua"/>
          <w:b/>
          <w:bCs/>
          <w:color w:val="000000"/>
        </w:rPr>
        <w:t>Shih PB</w:t>
      </w:r>
      <w:r w:rsidRPr="007F43E7">
        <w:rPr>
          <w:rFonts w:ascii="Book Antiqua" w:eastAsia="Book Antiqua" w:hAnsi="Book Antiqua" w:cs="Book Antiqua"/>
          <w:color w:val="000000"/>
        </w:rPr>
        <w:t xml:space="preserve">, Manzi S, Shaw P, Kenney M, Kao AH, Bontempo F, Barmada MM, Kammerer C, Kamboh MI. Genetic variation in C-reactive protein (CRP) gene may be associated with </w:t>
      </w:r>
      <w:r w:rsidRPr="007F43E7">
        <w:rPr>
          <w:rFonts w:ascii="Book Antiqua" w:eastAsia="Book Antiqua" w:hAnsi="Book Antiqua" w:cs="Book Antiqua"/>
          <w:color w:val="000000"/>
        </w:rPr>
        <w:lastRenderedPageBreak/>
        <w:t xml:space="preserve">risk of systemic lupus erythematosus and CRP concentrations. </w:t>
      </w:r>
      <w:r w:rsidRPr="007F43E7">
        <w:rPr>
          <w:rFonts w:ascii="Book Antiqua" w:eastAsia="Book Antiqua" w:hAnsi="Book Antiqua" w:cs="Book Antiqua"/>
          <w:i/>
          <w:iCs/>
          <w:color w:val="000000"/>
        </w:rPr>
        <w:t>J Rheumatol</w:t>
      </w:r>
      <w:r w:rsidRPr="007F43E7">
        <w:rPr>
          <w:rFonts w:ascii="Book Antiqua" w:eastAsia="Book Antiqua" w:hAnsi="Book Antiqua" w:cs="Book Antiqua"/>
          <w:color w:val="000000"/>
        </w:rPr>
        <w:t xml:space="preserve"> 2008; </w:t>
      </w:r>
      <w:r w:rsidRPr="007F43E7">
        <w:rPr>
          <w:rFonts w:ascii="Book Antiqua" w:eastAsia="Book Antiqua" w:hAnsi="Book Antiqua" w:cs="Book Antiqua"/>
          <w:b/>
          <w:bCs/>
          <w:color w:val="000000"/>
        </w:rPr>
        <w:t>35</w:t>
      </w:r>
      <w:r w:rsidRPr="007F43E7">
        <w:rPr>
          <w:rFonts w:ascii="Book Antiqua" w:eastAsia="Book Antiqua" w:hAnsi="Book Antiqua" w:cs="Book Antiqua"/>
          <w:color w:val="000000"/>
        </w:rPr>
        <w:t>: 2171-2178 [PMID: 18793001 DOI: 10.3899/jrheum.080262]</w:t>
      </w:r>
    </w:p>
    <w:p w14:paraId="707D18D4"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25 </w:t>
      </w:r>
      <w:r w:rsidRPr="007F43E7">
        <w:rPr>
          <w:rFonts w:ascii="Book Antiqua" w:eastAsia="Book Antiqua" w:hAnsi="Book Antiqua" w:cs="Book Antiqua"/>
          <w:b/>
          <w:bCs/>
          <w:color w:val="000000"/>
        </w:rPr>
        <w:t>Wang FM</w:t>
      </w:r>
      <w:r w:rsidRPr="007F43E7">
        <w:rPr>
          <w:rFonts w:ascii="Book Antiqua" w:eastAsia="Book Antiqua" w:hAnsi="Book Antiqua" w:cs="Book Antiqua"/>
          <w:color w:val="000000"/>
        </w:rPr>
        <w:t xml:space="preserve">, Yu F, Tan Y, Song D, Zhao MH. Serum complement factor H is associated with clinical and pathological activities of patients with lupus nephritis. </w:t>
      </w:r>
      <w:r w:rsidRPr="007F43E7">
        <w:rPr>
          <w:rFonts w:ascii="Book Antiqua" w:eastAsia="Book Antiqua" w:hAnsi="Book Antiqua" w:cs="Book Antiqua"/>
          <w:i/>
          <w:iCs/>
          <w:color w:val="000000"/>
        </w:rPr>
        <w:t>Rheumatology (Oxford)</w:t>
      </w:r>
      <w:r w:rsidRPr="007F43E7">
        <w:rPr>
          <w:rFonts w:ascii="Book Antiqua" w:eastAsia="Book Antiqua" w:hAnsi="Book Antiqua" w:cs="Book Antiqua"/>
          <w:color w:val="000000"/>
        </w:rPr>
        <w:t xml:space="preserve"> 2012; </w:t>
      </w:r>
      <w:r w:rsidRPr="007F43E7">
        <w:rPr>
          <w:rFonts w:ascii="Book Antiqua" w:eastAsia="Book Antiqua" w:hAnsi="Book Antiqua" w:cs="Book Antiqua"/>
          <w:b/>
          <w:bCs/>
          <w:color w:val="000000"/>
        </w:rPr>
        <w:t>51</w:t>
      </w:r>
      <w:r w:rsidRPr="007F43E7">
        <w:rPr>
          <w:rFonts w:ascii="Book Antiqua" w:eastAsia="Book Antiqua" w:hAnsi="Book Antiqua" w:cs="Book Antiqua"/>
          <w:color w:val="000000"/>
        </w:rPr>
        <w:t>: 2269-2277 [PMID: 22956549 DOI: 10.1093/rheumatology/kes218]</w:t>
      </w:r>
    </w:p>
    <w:p w14:paraId="0A2E7F52"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26 </w:t>
      </w:r>
      <w:r w:rsidRPr="007F43E7">
        <w:rPr>
          <w:rFonts w:ascii="Book Antiqua" w:eastAsia="Book Antiqua" w:hAnsi="Book Antiqua" w:cs="Book Antiqua"/>
          <w:b/>
          <w:bCs/>
          <w:color w:val="000000"/>
        </w:rPr>
        <w:t>Fijen CA</w:t>
      </w:r>
      <w:r w:rsidRPr="007F43E7">
        <w:rPr>
          <w:rFonts w:ascii="Book Antiqua" w:eastAsia="Book Antiqua" w:hAnsi="Book Antiqua" w:cs="Book Antiqua"/>
          <w:color w:val="000000"/>
        </w:rPr>
        <w:t xml:space="preserve">, Kuijper EJ, Te Bulte M, van de Heuvel MM, Holdrinet AC, Sim RB, Daha MR, Dankert J. Heterozygous and homozygous factor H deficiency states in a Dutch family. </w:t>
      </w:r>
      <w:r w:rsidRPr="007F43E7">
        <w:rPr>
          <w:rFonts w:ascii="Book Antiqua" w:eastAsia="Book Antiqua" w:hAnsi="Book Antiqua" w:cs="Book Antiqua"/>
          <w:i/>
          <w:iCs/>
          <w:color w:val="000000"/>
        </w:rPr>
        <w:t>Clin Exp Immunol</w:t>
      </w:r>
      <w:r w:rsidRPr="007F43E7">
        <w:rPr>
          <w:rFonts w:ascii="Book Antiqua" w:eastAsia="Book Antiqua" w:hAnsi="Book Antiqua" w:cs="Book Antiqua"/>
          <w:color w:val="000000"/>
        </w:rPr>
        <w:t xml:space="preserve"> 1996; </w:t>
      </w:r>
      <w:r w:rsidRPr="007F43E7">
        <w:rPr>
          <w:rFonts w:ascii="Book Antiqua" w:eastAsia="Book Antiqua" w:hAnsi="Book Antiqua" w:cs="Book Antiqua"/>
          <w:b/>
          <w:bCs/>
          <w:color w:val="000000"/>
        </w:rPr>
        <w:t>105</w:t>
      </w:r>
      <w:r w:rsidRPr="007F43E7">
        <w:rPr>
          <w:rFonts w:ascii="Book Antiqua" w:eastAsia="Book Antiqua" w:hAnsi="Book Antiqua" w:cs="Book Antiqua"/>
          <w:color w:val="000000"/>
        </w:rPr>
        <w:t>: 511-516 [PMID: 8809142 DOI: 10.1046/j.1365-2249.1996.d01-777.x]</w:t>
      </w:r>
    </w:p>
    <w:p w14:paraId="34D71B78"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27 </w:t>
      </w:r>
      <w:r w:rsidRPr="007F43E7">
        <w:rPr>
          <w:rFonts w:ascii="Book Antiqua" w:eastAsia="Book Antiqua" w:hAnsi="Book Antiqua" w:cs="Book Antiqua"/>
          <w:b/>
          <w:bCs/>
          <w:color w:val="000000"/>
        </w:rPr>
        <w:t>Sánchez-Corral P</w:t>
      </w:r>
      <w:r w:rsidRPr="007F43E7">
        <w:rPr>
          <w:rFonts w:ascii="Book Antiqua" w:eastAsia="Book Antiqua" w:hAnsi="Book Antiqua" w:cs="Book Antiqua"/>
          <w:color w:val="000000"/>
        </w:rPr>
        <w:t xml:space="preserve">, Bellavia D, Amico L, Brai M, Rodríguez de Córdoba S. Molecular basis for factor H and FHL-1 deficiency in an Italian family. </w:t>
      </w:r>
      <w:r w:rsidRPr="007F43E7">
        <w:rPr>
          <w:rFonts w:ascii="Book Antiqua" w:eastAsia="Book Antiqua" w:hAnsi="Book Antiqua" w:cs="Book Antiqua"/>
          <w:i/>
          <w:iCs/>
          <w:color w:val="000000"/>
        </w:rPr>
        <w:t>Immunogenetics</w:t>
      </w:r>
      <w:r w:rsidRPr="007F43E7">
        <w:rPr>
          <w:rFonts w:ascii="Book Antiqua" w:eastAsia="Book Antiqua" w:hAnsi="Book Antiqua" w:cs="Book Antiqua"/>
          <w:color w:val="000000"/>
        </w:rPr>
        <w:t xml:space="preserve"> 2000; </w:t>
      </w:r>
      <w:r w:rsidRPr="007F43E7">
        <w:rPr>
          <w:rFonts w:ascii="Book Antiqua" w:eastAsia="Book Antiqua" w:hAnsi="Book Antiqua" w:cs="Book Antiqua"/>
          <w:b/>
          <w:bCs/>
          <w:color w:val="000000"/>
        </w:rPr>
        <w:t>51</w:t>
      </w:r>
      <w:r w:rsidRPr="007F43E7">
        <w:rPr>
          <w:rFonts w:ascii="Book Antiqua" w:eastAsia="Book Antiqua" w:hAnsi="Book Antiqua" w:cs="Book Antiqua"/>
          <w:color w:val="000000"/>
        </w:rPr>
        <w:t>: 366-369 [PMID: 10803850 DOI: 10.1007/s002510050631]</w:t>
      </w:r>
    </w:p>
    <w:p w14:paraId="3B45AAA7"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28 </w:t>
      </w:r>
      <w:r w:rsidRPr="007F43E7">
        <w:rPr>
          <w:rFonts w:ascii="Book Antiqua" w:eastAsia="Book Antiqua" w:hAnsi="Book Antiqua" w:cs="Book Antiqua"/>
          <w:b/>
          <w:bCs/>
          <w:color w:val="000000"/>
        </w:rPr>
        <w:t>Rodríguez de Córdoba S</w:t>
      </w:r>
      <w:r w:rsidRPr="007F43E7">
        <w:rPr>
          <w:rFonts w:ascii="Book Antiqua" w:eastAsia="Book Antiqua" w:hAnsi="Book Antiqua" w:cs="Book Antiqua"/>
          <w:color w:val="000000"/>
        </w:rPr>
        <w:t xml:space="preserve">, Esparza-Gordillo J, Goicoechea de Jorge E, Lopez-Trascasa M, Sánchez-Corral P. The human complement factor H: functional roles, genetic variations and disease associations. </w:t>
      </w:r>
      <w:r w:rsidRPr="007F43E7">
        <w:rPr>
          <w:rFonts w:ascii="Book Antiqua" w:eastAsia="Book Antiqua" w:hAnsi="Book Antiqua" w:cs="Book Antiqua"/>
          <w:i/>
          <w:iCs/>
          <w:color w:val="000000"/>
        </w:rPr>
        <w:t>Mol Immunol</w:t>
      </w:r>
      <w:r w:rsidRPr="007F43E7">
        <w:rPr>
          <w:rFonts w:ascii="Book Antiqua" w:eastAsia="Book Antiqua" w:hAnsi="Book Antiqua" w:cs="Book Antiqua"/>
          <w:color w:val="000000"/>
        </w:rPr>
        <w:t xml:space="preserve"> 2004; </w:t>
      </w:r>
      <w:r w:rsidRPr="007F43E7">
        <w:rPr>
          <w:rFonts w:ascii="Book Antiqua" w:eastAsia="Book Antiqua" w:hAnsi="Book Antiqua" w:cs="Book Antiqua"/>
          <w:b/>
          <w:bCs/>
          <w:color w:val="000000"/>
        </w:rPr>
        <w:t>41</w:t>
      </w:r>
      <w:r w:rsidRPr="007F43E7">
        <w:rPr>
          <w:rFonts w:ascii="Book Antiqua" w:eastAsia="Book Antiqua" w:hAnsi="Book Antiqua" w:cs="Book Antiqua"/>
          <w:color w:val="000000"/>
        </w:rPr>
        <w:t>: 355-367 [PMID: 15163532 DOI: 10.1016/j.molimm.2004.02.005]</w:t>
      </w:r>
    </w:p>
    <w:p w14:paraId="7AB09D42" w14:textId="77777777" w:rsidR="00064BE2" w:rsidRPr="007F43E7" w:rsidRDefault="00000000">
      <w:pPr>
        <w:spacing w:line="360" w:lineRule="auto"/>
        <w:jc w:val="both"/>
      </w:pPr>
      <w:r w:rsidRPr="007F43E7">
        <w:rPr>
          <w:rFonts w:ascii="Book Antiqua" w:eastAsia="Book Antiqua" w:hAnsi="Book Antiqua" w:cs="Book Antiqua"/>
          <w:color w:val="000000"/>
        </w:rPr>
        <w:t xml:space="preserve">29 </w:t>
      </w:r>
      <w:r w:rsidRPr="007F43E7">
        <w:rPr>
          <w:rFonts w:ascii="Book Antiqua" w:eastAsia="Book Antiqua" w:hAnsi="Book Antiqua" w:cs="Book Antiqua"/>
          <w:b/>
          <w:bCs/>
          <w:color w:val="000000"/>
        </w:rPr>
        <w:t>Zhao J</w:t>
      </w:r>
      <w:r w:rsidRPr="007F43E7">
        <w:rPr>
          <w:rFonts w:ascii="Book Antiqua" w:eastAsia="Book Antiqua" w:hAnsi="Book Antiqua" w:cs="Book Antiqua"/>
          <w:color w:val="000000"/>
        </w:rPr>
        <w:t xml:space="preserve">, Wu H, Khosravi M, Cui H, Qian X, Kelly JA, Kaufman KM, Langefeld CD, Williams AH, Comeau ME, Ziegler JT, Marion MC, Adler A, Glenn SB, Alarcón-Riquelme ME; BIOLUPUS Network; GENLES Network, Pons-Estel BA, Harley JB, Bae SC, Bang SY, Cho SK, Jacob CO, Vyse TJ, Niewold TB, Gaffney PM, Moser KL, Kimberly RP, Edberg JC, Brown EE, Alarcon GS, Petri MA, Ramsey-Goldman R, Vilá LM, Reveille JD, James JA, Gilkeson GS, Kamen DL, Freedman BI, Anaya JM, Merrill JT, Criswell LA, Scofield RH, Stevens AM, Guthridge JM, Chang DM, Song YW, Park JA, Lee EY, Boackle SA, Grossman JM, Hahn BH, Goodship TH, Cantor RM, Yu CY, Shen N, Tsao BP. Association of genetic variants in complement factor H and factor H-related genes with systemic lupus erythematosus susceptibility. </w:t>
      </w:r>
      <w:r w:rsidRPr="007F43E7">
        <w:rPr>
          <w:rFonts w:ascii="Book Antiqua" w:eastAsia="Book Antiqua" w:hAnsi="Book Antiqua" w:cs="Book Antiqua"/>
          <w:i/>
          <w:iCs/>
          <w:color w:val="000000"/>
        </w:rPr>
        <w:t>PLoS Genet</w:t>
      </w:r>
      <w:r w:rsidRPr="007F43E7">
        <w:rPr>
          <w:rFonts w:ascii="Book Antiqua" w:eastAsia="Book Antiqua" w:hAnsi="Book Antiqua" w:cs="Book Antiqua"/>
          <w:color w:val="000000"/>
        </w:rPr>
        <w:t xml:space="preserve"> 2011; </w:t>
      </w:r>
      <w:r w:rsidRPr="007F43E7">
        <w:rPr>
          <w:rFonts w:ascii="Book Antiqua" w:eastAsia="Book Antiqua" w:hAnsi="Book Antiqua" w:cs="Book Antiqua"/>
          <w:b/>
          <w:bCs/>
          <w:color w:val="000000"/>
        </w:rPr>
        <w:t>7</w:t>
      </w:r>
      <w:r w:rsidRPr="007F43E7">
        <w:rPr>
          <w:rFonts w:ascii="Book Antiqua" w:eastAsia="Book Antiqua" w:hAnsi="Book Antiqua" w:cs="Book Antiqua"/>
          <w:color w:val="000000"/>
        </w:rPr>
        <w:t>: e1002079 [PMID: 21637784 DOI: 10.1371/journal.pgen.1002079]</w:t>
      </w:r>
    </w:p>
    <w:p w14:paraId="648DEFF3"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30 </w:t>
      </w:r>
      <w:r w:rsidRPr="007F43E7">
        <w:rPr>
          <w:rFonts w:ascii="Book Antiqua" w:eastAsia="Book Antiqua" w:hAnsi="Book Antiqua" w:cs="Book Antiqua"/>
          <w:b/>
          <w:bCs/>
          <w:color w:val="000000"/>
        </w:rPr>
        <w:t>Li Q</w:t>
      </w:r>
      <w:r w:rsidRPr="007F43E7">
        <w:rPr>
          <w:rFonts w:ascii="Book Antiqua" w:eastAsia="Book Antiqua" w:hAnsi="Book Antiqua" w:cs="Book Antiqua"/>
          <w:color w:val="000000"/>
        </w:rPr>
        <w:t xml:space="preserve">, Song D, Wang F, Tan Y, Yu F, Zhao M. Clinicopathological characteristics and outcomes of Chinese patients with scanty immune deposits lupus nephritis: a large </w:t>
      </w:r>
      <w:r w:rsidRPr="007F43E7">
        <w:rPr>
          <w:rFonts w:ascii="Book Antiqua" w:eastAsia="Book Antiqua" w:hAnsi="Book Antiqua" w:cs="Book Antiqua"/>
          <w:color w:val="000000"/>
        </w:rPr>
        <w:lastRenderedPageBreak/>
        <w:t xml:space="preserve">cohort study from a single center. </w:t>
      </w:r>
      <w:r w:rsidRPr="007F43E7">
        <w:rPr>
          <w:rFonts w:ascii="Book Antiqua" w:eastAsia="Book Antiqua" w:hAnsi="Book Antiqua" w:cs="Book Antiqua"/>
          <w:i/>
          <w:iCs/>
          <w:color w:val="000000"/>
        </w:rPr>
        <w:t>ScientificWorldJournal</w:t>
      </w:r>
      <w:r w:rsidRPr="007F43E7">
        <w:rPr>
          <w:rFonts w:ascii="Book Antiqua" w:eastAsia="Book Antiqua" w:hAnsi="Book Antiqua" w:cs="Book Antiqua"/>
          <w:color w:val="000000"/>
        </w:rPr>
        <w:t xml:space="preserve"> 2014: 212597 [PMID: 24672300 DOI: 10.1155/2014/212597]</w:t>
      </w:r>
    </w:p>
    <w:p w14:paraId="343B2A99"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31 </w:t>
      </w:r>
      <w:r w:rsidRPr="007F43E7">
        <w:rPr>
          <w:rFonts w:ascii="Book Antiqua" w:eastAsia="Book Antiqua" w:hAnsi="Book Antiqua" w:cs="Book Antiqua"/>
          <w:b/>
          <w:bCs/>
          <w:color w:val="000000"/>
        </w:rPr>
        <w:t>Liang MH</w:t>
      </w:r>
      <w:r w:rsidRPr="007F43E7">
        <w:rPr>
          <w:rFonts w:ascii="Book Antiqua" w:eastAsia="Book Antiqua" w:hAnsi="Book Antiqua" w:cs="Book Antiqua"/>
          <w:color w:val="000000"/>
        </w:rPr>
        <w:t xml:space="preserve">, Socher SA, Larson MG, Schur PH. Reliability and validity of six systems for the clinical assessment of disease activity in systemic lupus erythematosus.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1989; </w:t>
      </w:r>
      <w:r w:rsidRPr="007F43E7">
        <w:rPr>
          <w:rFonts w:ascii="Book Antiqua" w:eastAsia="Book Antiqua" w:hAnsi="Book Antiqua" w:cs="Book Antiqua"/>
          <w:b/>
          <w:bCs/>
          <w:color w:val="000000"/>
        </w:rPr>
        <w:t>32</w:t>
      </w:r>
      <w:r w:rsidRPr="007F43E7">
        <w:rPr>
          <w:rFonts w:ascii="Book Antiqua" w:eastAsia="Book Antiqua" w:hAnsi="Book Antiqua" w:cs="Book Antiqua"/>
          <w:color w:val="000000"/>
        </w:rPr>
        <w:t>: 1107-1118 [PMID: 2775320 DOI: 10.1002/anr.1780320909]</w:t>
      </w:r>
    </w:p>
    <w:p w14:paraId="5CDE09F2"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32 </w:t>
      </w:r>
      <w:r w:rsidRPr="007F43E7">
        <w:rPr>
          <w:rFonts w:ascii="Book Antiqua" w:eastAsia="Book Antiqua" w:hAnsi="Book Antiqua" w:cs="Book Antiqua"/>
          <w:b/>
          <w:bCs/>
          <w:color w:val="000000"/>
        </w:rPr>
        <w:t>Bombardier C</w:t>
      </w:r>
      <w:r w:rsidRPr="007F43E7">
        <w:rPr>
          <w:rFonts w:ascii="Book Antiqua" w:eastAsia="Book Antiqua" w:hAnsi="Book Antiqua" w:cs="Book Antiqua"/>
          <w:color w:val="000000"/>
        </w:rPr>
        <w:t xml:space="preserve">, Gladman DD, Urowitz MB, Caron D, Chang CH. Derivation of the SLEDAI. A disease activity index for lupus patients. The Committee on Prognosis Studies in SLE. </w:t>
      </w:r>
      <w:r w:rsidRPr="007F43E7">
        <w:rPr>
          <w:rFonts w:ascii="Book Antiqua" w:eastAsia="Book Antiqua" w:hAnsi="Book Antiqua" w:cs="Book Antiqua"/>
          <w:i/>
          <w:iCs/>
          <w:color w:val="000000"/>
        </w:rPr>
        <w:t>Arthritis Rheum</w:t>
      </w:r>
      <w:r w:rsidRPr="007F43E7">
        <w:rPr>
          <w:rFonts w:ascii="Book Antiqua" w:eastAsia="Book Antiqua" w:hAnsi="Book Antiqua" w:cs="Book Antiqua"/>
          <w:color w:val="000000"/>
        </w:rPr>
        <w:t xml:space="preserve"> 1992; </w:t>
      </w:r>
      <w:r w:rsidRPr="007F43E7">
        <w:rPr>
          <w:rFonts w:ascii="Book Antiqua" w:eastAsia="Book Antiqua" w:hAnsi="Book Antiqua" w:cs="Book Antiqua"/>
          <w:b/>
          <w:bCs/>
          <w:color w:val="000000"/>
        </w:rPr>
        <w:t>35</w:t>
      </w:r>
      <w:r w:rsidRPr="007F43E7">
        <w:rPr>
          <w:rFonts w:ascii="Book Antiqua" w:eastAsia="Book Antiqua" w:hAnsi="Book Antiqua" w:cs="Book Antiqua"/>
          <w:color w:val="000000"/>
        </w:rPr>
        <w:t>: 630-640 [PMID: 1599520 DOI: 10.1002/art.1780350606]</w:t>
      </w:r>
    </w:p>
    <w:p w14:paraId="4D306500"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33 </w:t>
      </w:r>
      <w:r w:rsidRPr="007F43E7">
        <w:rPr>
          <w:rFonts w:ascii="Book Antiqua" w:eastAsia="Book Antiqua" w:hAnsi="Book Antiqua" w:cs="Book Antiqua"/>
          <w:b/>
          <w:bCs/>
          <w:color w:val="000000"/>
        </w:rPr>
        <w:t>Huang J</w:t>
      </w:r>
      <w:r w:rsidRPr="007F43E7">
        <w:rPr>
          <w:rFonts w:ascii="Book Antiqua" w:eastAsia="Book Antiqua" w:hAnsi="Book Antiqua" w:cs="Book Antiqua"/>
          <w:color w:val="000000"/>
        </w:rPr>
        <w:t xml:space="preserve">, Han SS, Qin DD, Wu LH, Song Y, Yu F, Wang SX, Liu G, Zhao MH. Renal Interstitial Arteriosclerotic Lesions in Lupus Nephritis Patients: A Cohort Study from China. </w:t>
      </w:r>
      <w:r w:rsidRPr="007F43E7">
        <w:rPr>
          <w:rFonts w:ascii="Book Antiqua" w:eastAsia="Book Antiqua" w:hAnsi="Book Antiqua" w:cs="Book Antiqua"/>
          <w:i/>
          <w:iCs/>
          <w:color w:val="000000"/>
        </w:rPr>
        <w:t>PLoS One</w:t>
      </w:r>
      <w:r w:rsidRPr="007F43E7">
        <w:rPr>
          <w:rFonts w:ascii="Book Antiqua" w:eastAsia="Book Antiqua" w:hAnsi="Book Antiqua" w:cs="Book Antiqua"/>
          <w:color w:val="000000"/>
        </w:rPr>
        <w:t xml:space="preserve"> 2015; </w:t>
      </w:r>
      <w:r w:rsidRPr="007F43E7">
        <w:rPr>
          <w:rFonts w:ascii="Book Antiqua" w:eastAsia="Book Antiqua" w:hAnsi="Book Antiqua" w:cs="Book Antiqua"/>
          <w:b/>
          <w:bCs/>
          <w:color w:val="000000"/>
        </w:rPr>
        <w:t>10</w:t>
      </w:r>
      <w:r w:rsidRPr="007F43E7">
        <w:rPr>
          <w:rFonts w:ascii="Book Antiqua" w:eastAsia="Book Antiqua" w:hAnsi="Book Antiqua" w:cs="Book Antiqua"/>
          <w:color w:val="000000"/>
        </w:rPr>
        <w:t>: e0141547 [PMID: 26544865 DOI: 10.1371/journal.pone.0141547]</w:t>
      </w:r>
    </w:p>
    <w:p w14:paraId="549F93E8"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34 </w:t>
      </w:r>
      <w:r w:rsidRPr="007F43E7">
        <w:rPr>
          <w:rFonts w:ascii="Book Antiqua" w:eastAsia="Book Antiqua" w:hAnsi="Book Antiqua" w:cs="Book Antiqua"/>
          <w:b/>
          <w:bCs/>
          <w:color w:val="000000"/>
        </w:rPr>
        <w:t>Song D</w:t>
      </w:r>
      <w:r w:rsidRPr="007F43E7">
        <w:rPr>
          <w:rFonts w:ascii="Book Antiqua" w:eastAsia="Book Antiqua" w:hAnsi="Book Antiqua" w:cs="Book Antiqua"/>
          <w:color w:val="000000"/>
        </w:rPr>
        <w:t xml:space="preserve">, Wu LH, Wang FM, Yang XW, Zhu D, Chen M, Yu F, Liu G, Zhao MH. The spectrum of renal thrombotic microangiopathy in lupus nephritis. </w:t>
      </w:r>
      <w:r w:rsidRPr="007F43E7">
        <w:rPr>
          <w:rFonts w:ascii="Book Antiqua" w:eastAsia="Book Antiqua" w:hAnsi="Book Antiqua" w:cs="Book Antiqua"/>
          <w:i/>
          <w:iCs/>
          <w:color w:val="000000"/>
        </w:rPr>
        <w:t>Arthritis Res Ther</w:t>
      </w:r>
      <w:r w:rsidRPr="007F43E7">
        <w:rPr>
          <w:rFonts w:ascii="Book Antiqua" w:eastAsia="Book Antiqua" w:hAnsi="Book Antiqua" w:cs="Book Antiqua"/>
          <w:color w:val="000000"/>
        </w:rPr>
        <w:t xml:space="preserve"> 2013; </w:t>
      </w:r>
      <w:r w:rsidRPr="007F43E7">
        <w:rPr>
          <w:rFonts w:ascii="Book Antiqua" w:eastAsia="Book Antiqua" w:hAnsi="Book Antiqua" w:cs="Book Antiqua"/>
          <w:b/>
          <w:bCs/>
          <w:color w:val="000000"/>
        </w:rPr>
        <w:t>15</w:t>
      </w:r>
      <w:r w:rsidRPr="007F43E7">
        <w:rPr>
          <w:rFonts w:ascii="Book Antiqua" w:eastAsia="Book Antiqua" w:hAnsi="Book Antiqua" w:cs="Book Antiqua"/>
          <w:color w:val="000000"/>
        </w:rPr>
        <w:t>: R12 [PMID: 23320601 DOI: 10.1186/ar4142]</w:t>
      </w:r>
    </w:p>
    <w:p w14:paraId="08F9FC22"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35 </w:t>
      </w:r>
      <w:r w:rsidRPr="007F43E7">
        <w:rPr>
          <w:rFonts w:ascii="Book Antiqua" w:eastAsia="Book Antiqua" w:hAnsi="Book Antiqua" w:cs="Book Antiqua"/>
          <w:b/>
          <w:bCs/>
          <w:color w:val="000000"/>
        </w:rPr>
        <w:t>Weening JJ</w:t>
      </w:r>
      <w:r w:rsidRPr="007F43E7">
        <w:rPr>
          <w:rFonts w:ascii="Book Antiqua" w:eastAsia="Book Antiqua" w:hAnsi="Book Antiqua" w:cs="Book Antiqua"/>
          <w:color w:val="000000"/>
        </w:rPr>
        <w:t xml:space="preserve">, D'Agati VD, Schwartz MM, Seshan SV, Alpers CE, Appel GB, Balow JE, Bruijn JA, Cook T, Ferrario F, Fogo AB, Ginzler EM, Hebert L, Hill G, Hill P, Jennette JC, Kong NC, Lesavre P, Lockshin M, Looi LM, Makino H, Moura LA, Nagata M; International Society of Nephrology Working Group on the Classification of Lupus Nephritis; Renal Pathology Society Working Group on the Classification of Lupus Nephritis. The classification of glomerulonephritis in systemic lupus erythematosus revisited. </w:t>
      </w:r>
      <w:r w:rsidRPr="007F43E7">
        <w:rPr>
          <w:rFonts w:ascii="Book Antiqua" w:eastAsia="Book Antiqua" w:hAnsi="Book Antiqua" w:cs="Book Antiqua"/>
          <w:i/>
          <w:iCs/>
          <w:color w:val="000000"/>
        </w:rPr>
        <w:t>Kidney Int</w:t>
      </w:r>
      <w:r w:rsidRPr="007F43E7">
        <w:rPr>
          <w:rFonts w:ascii="Book Antiqua" w:eastAsia="Book Antiqua" w:hAnsi="Book Antiqua" w:cs="Book Antiqua"/>
          <w:color w:val="000000"/>
        </w:rPr>
        <w:t xml:space="preserve"> 2004; </w:t>
      </w:r>
      <w:r w:rsidRPr="007F43E7">
        <w:rPr>
          <w:rFonts w:ascii="Book Antiqua" w:eastAsia="Book Antiqua" w:hAnsi="Book Antiqua" w:cs="Book Antiqua"/>
          <w:b/>
          <w:bCs/>
          <w:color w:val="000000"/>
        </w:rPr>
        <w:t>65</w:t>
      </w:r>
      <w:r w:rsidRPr="007F43E7">
        <w:rPr>
          <w:rFonts w:ascii="Book Antiqua" w:eastAsia="Book Antiqua" w:hAnsi="Book Antiqua" w:cs="Book Antiqua"/>
          <w:color w:val="000000"/>
        </w:rPr>
        <w:t>: 521-530 [PMID: 14717922 DOI: 10.1111/j.1523-1755.2004.00443.x]</w:t>
      </w:r>
    </w:p>
    <w:p w14:paraId="794A5773"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36 </w:t>
      </w:r>
      <w:r w:rsidRPr="007F43E7">
        <w:rPr>
          <w:rFonts w:ascii="Book Antiqua" w:eastAsia="Book Antiqua" w:hAnsi="Book Antiqua" w:cs="Book Antiqua"/>
          <w:b/>
          <w:bCs/>
          <w:color w:val="000000"/>
        </w:rPr>
        <w:t>Shi YY</w:t>
      </w:r>
      <w:r w:rsidRPr="007F43E7">
        <w:rPr>
          <w:rFonts w:ascii="Book Antiqua" w:eastAsia="Book Antiqua" w:hAnsi="Book Antiqua" w:cs="Book Antiqua"/>
          <w:color w:val="000000"/>
        </w:rPr>
        <w:t xml:space="preserve">, He L. SHEsis, a powerful software platform for analyses of linkage disequilibrium, haplotype construction, and genetic association at polymorphism loci. </w:t>
      </w:r>
      <w:r w:rsidRPr="007F43E7">
        <w:rPr>
          <w:rFonts w:ascii="Book Antiqua" w:eastAsia="Book Antiqua" w:hAnsi="Book Antiqua" w:cs="Book Antiqua"/>
          <w:i/>
          <w:iCs/>
          <w:color w:val="000000"/>
        </w:rPr>
        <w:t>Cell Res</w:t>
      </w:r>
      <w:r w:rsidRPr="007F43E7">
        <w:rPr>
          <w:rFonts w:ascii="Book Antiqua" w:eastAsia="Book Antiqua" w:hAnsi="Book Antiqua" w:cs="Book Antiqua"/>
          <w:color w:val="000000"/>
        </w:rPr>
        <w:t xml:space="preserve"> 2005; </w:t>
      </w:r>
      <w:r w:rsidRPr="007F43E7">
        <w:rPr>
          <w:rFonts w:ascii="Book Antiqua" w:eastAsia="Book Antiqua" w:hAnsi="Book Antiqua" w:cs="Book Antiqua"/>
          <w:b/>
          <w:bCs/>
          <w:color w:val="000000"/>
        </w:rPr>
        <w:t>15</w:t>
      </w:r>
      <w:r w:rsidRPr="007F43E7">
        <w:rPr>
          <w:rFonts w:ascii="Book Antiqua" w:eastAsia="Book Antiqua" w:hAnsi="Book Antiqua" w:cs="Book Antiqua"/>
          <w:color w:val="000000"/>
        </w:rPr>
        <w:t>: 97-98 [PMID: 15740637 DOI: 10.1038/sj.cr.7290272]</w:t>
      </w:r>
    </w:p>
    <w:p w14:paraId="3409D256"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37 </w:t>
      </w:r>
      <w:r w:rsidRPr="007F43E7">
        <w:rPr>
          <w:rFonts w:ascii="Book Antiqua" w:eastAsia="Book Antiqua" w:hAnsi="Book Antiqua" w:cs="Book Antiqua"/>
          <w:b/>
          <w:bCs/>
          <w:color w:val="000000"/>
        </w:rPr>
        <w:t>Schaumberg DA</w:t>
      </w:r>
      <w:r w:rsidRPr="007F43E7">
        <w:rPr>
          <w:rFonts w:ascii="Book Antiqua" w:eastAsia="Book Antiqua" w:hAnsi="Book Antiqua" w:cs="Book Antiqua"/>
          <w:color w:val="000000"/>
        </w:rPr>
        <w:t xml:space="preserve">, Christen WG, Kozlowski P, Miller DT, Ridker PM, Zee RY. A prospective assessment of the Y402H variant in complement factor H, genetic variants in C-reactive protein, and risk of age-related macular degeneration. </w:t>
      </w:r>
      <w:r w:rsidRPr="007F43E7">
        <w:rPr>
          <w:rFonts w:ascii="Book Antiqua" w:eastAsia="Book Antiqua" w:hAnsi="Book Antiqua" w:cs="Book Antiqua"/>
          <w:i/>
          <w:iCs/>
          <w:color w:val="000000"/>
        </w:rPr>
        <w:t>Invest Ophthalmol Vis Sci</w:t>
      </w:r>
      <w:r w:rsidRPr="007F43E7">
        <w:rPr>
          <w:rFonts w:ascii="Book Antiqua" w:eastAsia="Book Antiqua" w:hAnsi="Book Antiqua" w:cs="Book Antiqua"/>
          <w:color w:val="000000"/>
        </w:rPr>
        <w:t xml:space="preserve"> 2006; </w:t>
      </w:r>
      <w:r w:rsidRPr="007F43E7">
        <w:rPr>
          <w:rFonts w:ascii="Book Antiqua" w:eastAsia="Book Antiqua" w:hAnsi="Book Antiqua" w:cs="Book Antiqua"/>
          <w:b/>
          <w:bCs/>
          <w:color w:val="000000"/>
        </w:rPr>
        <w:t>47</w:t>
      </w:r>
      <w:r w:rsidRPr="007F43E7">
        <w:rPr>
          <w:rFonts w:ascii="Book Antiqua" w:eastAsia="Book Antiqua" w:hAnsi="Book Antiqua" w:cs="Book Antiqua"/>
          <w:color w:val="000000"/>
        </w:rPr>
        <w:t>: 2336-2340 [PMID: 16723442 DOI: 10.1167/iovs.05-1456]</w:t>
      </w:r>
    </w:p>
    <w:p w14:paraId="77D6F4F2" w14:textId="77777777" w:rsidR="00064BE2" w:rsidRPr="007F43E7" w:rsidRDefault="00000000">
      <w:pPr>
        <w:spacing w:line="360" w:lineRule="auto"/>
        <w:jc w:val="both"/>
      </w:pPr>
      <w:r w:rsidRPr="007F43E7">
        <w:rPr>
          <w:rFonts w:ascii="Book Antiqua" w:eastAsia="Book Antiqua" w:hAnsi="Book Antiqua" w:cs="Book Antiqua"/>
          <w:color w:val="000000"/>
        </w:rPr>
        <w:lastRenderedPageBreak/>
        <w:t xml:space="preserve">38 </w:t>
      </w:r>
      <w:r w:rsidRPr="007F43E7">
        <w:rPr>
          <w:rFonts w:ascii="Book Antiqua" w:eastAsia="Book Antiqua" w:hAnsi="Book Antiqua" w:cs="Book Antiqua"/>
          <w:b/>
          <w:bCs/>
          <w:color w:val="000000"/>
        </w:rPr>
        <w:t>Molins B</w:t>
      </w:r>
      <w:r w:rsidRPr="007F43E7">
        <w:rPr>
          <w:rFonts w:ascii="Book Antiqua" w:eastAsia="Book Antiqua" w:hAnsi="Book Antiqua" w:cs="Book Antiqua"/>
          <w:color w:val="000000"/>
        </w:rPr>
        <w:t xml:space="preserve">, Fuentes-Prior P, Adán A, Antón R, Arostegui JI, Yagüe J, Dick AD. Complement factor H binding of monomeric C-reactive protein downregulates proinflammatory activity and is impaired with at risk polymorphic CFH variants. </w:t>
      </w:r>
      <w:r w:rsidRPr="007F43E7">
        <w:rPr>
          <w:rFonts w:ascii="Book Antiqua" w:eastAsia="Book Antiqua" w:hAnsi="Book Antiqua" w:cs="Book Antiqua"/>
          <w:i/>
          <w:iCs/>
          <w:color w:val="000000"/>
        </w:rPr>
        <w:t>Sci Rep</w:t>
      </w:r>
      <w:r w:rsidRPr="007F43E7">
        <w:rPr>
          <w:rFonts w:ascii="Book Antiqua" w:eastAsia="Book Antiqua" w:hAnsi="Book Antiqua" w:cs="Book Antiqua"/>
          <w:color w:val="000000"/>
        </w:rPr>
        <w:t xml:space="preserve"> 2016; </w:t>
      </w:r>
      <w:r w:rsidRPr="007F43E7">
        <w:rPr>
          <w:rFonts w:ascii="Book Antiqua" w:eastAsia="Book Antiqua" w:hAnsi="Book Antiqua" w:cs="Book Antiqua"/>
          <w:b/>
          <w:bCs/>
          <w:color w:val="000000"/>
        </w:rPr>
        <w:t>6</w:t>
      </w:r>
      <w:r w:rsidRPr="007F43E7">
        <w:rPr>
          <w:rFonts w:ascii="Book Antiqua" w:eastAsia="Book Antiqua" w:hAnsi="Book Antiqua" w:cs="Book Antiqua"/>
          <w:color w:val="000000"/>
        </w:rPr>
        <w:t>: 22889 [PMID: 26961257 DOI: 10.1038/srep22889]</w:t>
      </w:r>
    </w:p>
    <w:p w14:paraId="0C7FE19A" w14:textId="77777777" w:rsidR="00064BE2" w:rsidRPr="007F43E7" w:rsidRDefault="00000000">
      <w:pPr>
        <w:spacing w:line="360" w:lineRule="auto"/>
        <w:jc w:val="both"/>
      </w:pPr>
      <w:r w:rsidRPr="007F43E7">
        <w:rPr>
          <w:rFonts w:ascii="Book Antiqua" w:eastAsia="Book Antiqua" w:hAnsi="Book Antiqua" w:cs="Book Antiqua"/>
          <w:color w:val="000000"/>
        </w:rPr>
        <w:t xml:space="preserve">39 </w:t>
      </w:r>
      <w:r w:rsidRPr="007F43E7">
        <w:rPr>
          <w:rFonts w:ascii="Book Antiqua" w:eastAsia="Book Antiqua" w:hAnsi="Book Antiqua" w:cs="Book Antiqua"/>
          <w:b/>
          <w:bCs/>
          <w:color w:val="000000"/>
        </w:rPr>
        <w:t>Rhodes B</w:t>
      </w:r>
      <w:r w:rsidRPr="007F43E7">
        <w:rPr>
          <w:rFonts w:ascii="Book Antiqua" w:eastAsia="Book Antiqua" w:hAnsi="Book Antiqua" w:cs="Book Antiqua"/>
          <w:color w:val="000000"/>
        </w:rPr>
        <w:t xml:space="preserve">, Fürnrohr BG, Vyse TJ. C-reactive protein in rheumatology: biology and genetics. </w:t>
      </w:r>
      <w:r w:rsidRPr="007F43E7">
        <w:rPr>
          <w:rFonts w:ascii="Book Antiqua" w:eastAsia="Book Antiqua" w:hAnsi="Book Antiqua" w:cs="Book Antiqua"/>
          <w:i/>
          <w:iCs/>
          <w:color w:val="000000"/>
        </w:rPr>
        <w:t>Nat Rev Rheumatol</w:t>
      </w:r>
      <w:r w:rsidRPr="007F43E7">
        <w:rPr>
          <w:rFonts w:ascii="Book Antiqua" w:eastAsia="Book Antiqua" w:hAnsi="Book Antiqua" w:cs="Book Antiqua"/>
          <w:color w:val="000000"/>
        </w:rPr>
        <w:t xml:space="preserve"> 2011; </w:t>
      </w:r>
      <w:r w:rsidRPr="007F43E7">
        <w:rPr>
          <w:rFonts w:ascii="Book Antiqua" w:eastAsia="Book Antiqua" w:hAnsi="Book Antiqua" w:cs="Book Antiqua"/>
          <w:b/>
          <w:bCs/>
          <w:color w:val="000000"/>
        </w:rPr>
        <w:t>7</w:t>
      </w:r>
      <w:r w:rsidRPr="007F43E7">
        <w:rPr>
          <w:rFonts w:ascii="Book Antiqua" w:eastAsia="Book Antiqua" w:hAnsi="Book Antiqua" w:cs="Book Antiqua"/>
          <w:color w:val="000000"/>
        </w:rPr>
        <w:t>: 282-289 [PMID: 21468143 DOI: 10.1038/nrrheum.2011.37]</w:t>
      </w:r>
    </w:p>
    <w:p w14:paraId="20FE83D3" w14:textId="77777777" w:rsidR="00064BE2" w:rsidRPr="007F43E7" w:rsidRDefault="00000000">
      <w:pPr>
        <w:spacing w:line="360" w:lineRule="auto"/>
        <w:jc w:val="both"/>
      </w:pPr>
      <w:r w:rsidRPr="007F43E7">
        <w:rPr>
          <w:rFonts w:ascii="Book Antiqua" w:eastAsia="Book Antiqua" w:hAnsi="Book Antiqua" w:cs="Book Antiqua"/>
          <w:color w:val="000000"/>
        </w:rPr>
        <w:t xml:space="preserve">40 </w:t>
      </w:r>
      <w:r w:rsidRPr="007F43E7">
        <w:rPr>
          <w:rFonts w:ascii="Book Antiqua" w:eastAsia="Book Antiqua" w:hAnsi="Book Antiqua" w:cs="Book Antiqua"/>
          <w:b/>
          <w:bCs/>
          <w:color w:val="000000"/>
        </w:rPr>
        <w:t>Rhodes B</w:t>
      </w:r>
      <w:r w:rsidRPr="007F43E7">
        <w:rPr>
          <w:rFonts w:ascii="Book Antiqua" w:eastAsia="Book Antiqua" w:hAnsi="Book Antiqua" w:cs="Book Antiqua"/>
          <w:color w:val="000000"/>
        </w:rPr>
        <w:t xml:space="preserve">, Wong A, Navarra SV, Villamin C, Vyse TJ. Genetic determinants of basal C-reactive protein expression in Filipino systemic lupus erythematosus families. </w:t>
      </w:r>
      <w:r w:rsidRPr="007F43E7">
        <w:rPr>
          <w:rFonts w:ascii="Book Antiqua" w:eastAsia="Book Antiqua" w:hAnsi="Book Antiqua" w:cs="Book Antiqua"/>
          <w:i/>
          <w:iCs/>
          <w:color w:val="000000"/>
        </w:rPr>
        <w:t>Genes Immun</w:t>
      </w:r>
      <w:r w:rsidRPr="007F43E7">
        <w:rPr>
          <w:rFonts w:ascii="Book Antiqua" w:eastAsia="Book Antiqua" w:hAnsi="Book Antiqua" w:cs="Book Antiqua"/>
          <w:color w:val="000000"/>
        </w:rPr>
        <w:t xml:space="preserve"> 2008; </w:t>
      </w:r>
      <w:r w:rsidRPr="007F43E7">
        <w:rPr>
          <w:rFonts w:ascii="Book Antiqua" w:eastAsia="Book Antiqua" w:hAnsi="Book Antiqua" w:cs="Book Antiqua"/>
          <w:b/>
          <w:bCs/>
          <w:color w:val="000000"/>
        </w:rPr>
        <w:t>9</w:t>
      </w:r>
      <w:r w:rsidRPr="007F43E7">
        <w:rPr>
          <w:rFonts w:ascii="Book Antiqua" w:eastAsia="Book Antiqua" w:hAnsi="Book Antiqua" w:cs="Book Antiqua"/>
          <w:color w:val="000000"/>
        </w:rPr>
        <w:t>: 153-160 [PMID: 18216863 DOI: 10.1038/sj.gene.6364459]</w:t>
      </w:r>
    </w:p>
    <w:p w14:paraId="5F13F5F0" w14:textId="77777777" w:rsidR="00064BE2" w:rsidRDefault="00000000">
      <w:pPr>
        <w:spacing w:line="360" w:lineRule="auto"/>
        <w:jc w:val="both"/>
      </w:pPr>
      <w:r w:rsidRPr="007F43E7">
        <w:rPr>
          <w:rFonts w:ascii="Book Antiqua" w:eastAsia="Book Antiqua" w:hAnsi="Book Antiqua" w:cs="Book Antiqua"/>
          <w:color w:val="000000"/>
        </w:rPr>
        <w:t xml:space="preserve">41 </w:t>
      </w:r>
      <w:r w:rsidRPr="007F43E7">
        <w:rPr>
          <w:rFonts w:ascii="Book Antiqua" w:eastAsia="Book Antiqua" w:hAnsi="Book Antiqua" w:cs="Book Antiqua"/>
          <w:b/>
          <w:bCs/>
          <w:color w:val="000000"/>
        </w:rPr>
        <w:t>Tan M</w:t>
      </w:r>
      <w:r w:rsidRPr="007F43E7">
        <w:rPr>
          <w:rFonts w:ascii="Book Antiqua" w:eastAsia="Book Antiqua" w:hAnsi="Book Antiqua" w:cs="Book Antiqua"/>
          <w:color w:val="000000"/>
        </w:rPr>
        <w:t xml:space="preserve">, Hao JB, Chu H, Wang FM, Song D, Zhu L, Yu F, Li YZ, Song Y, Zhao MH. Genetic variants in FH are associated with renal histopathologic subtypes of lupus nephritis: a large cohort study from China. </w:t>
      </w:r>
      <w:r w:rsidRPr="007F43E7">
        <w:rPr>
          <w:rFonts w:ascii="Book Antiqua" w:eastAsia="Book Antiqua" w:hAnsi="Book Antiqua" w:cs="Book Antiqua"/>
          <w:i/>
          <w:iCs/>
          <w:color w:val="000000"/>
        </w:rPr>
        <w:t>Lupus</w:t>
      </w:r>
      <w:r w:rsidRPr="007F43E7">
        <w:rPr>
          <w:rFonts w:ascii="Book Antiqua" w:eastAsia="Book Antiqua" w:hAnsi="Book Antiqua" w:cs="Book Antiqua"/>
          <w:color w:val="000000"/>
        </w:rPr>
        <w:t xml:space="preserve"> 2017; </w:t>
      </w:r>
      <w:r w:rsidRPr="007F43E7">
        <w:rPr>
          <w:rFonts w:ascii="Book Antiqua" w:eastAsia="Book Antiqua" w:hAnsi="Book Antiqua" w:cs="Book Antiqua"/>
          <w:b/>
          <w:bCs/>
          <w:color w:val="000000"/>
        </w:rPr>
        <w:t>26</w:t>
      </w:r>
      <w:r w:rsidRPr="007F43E7">
        <w:rPr>
          <w:rFonts w:ascii="Book Antiqua" w:eastAsia="Book Antiqua" w:hAnsi="Book Antiqua" w:cs="Book Antiqua"/>
          <w:color w:val="000000"/>
        </w:rPr>
        <w:t>: 1309-1317 [PMID: 28403670 DOI: 10.1177/0961203317702254]</w:t>
      </w:r>
    </w:p>
    <w:p w14:paraId="1BCEF28C" w14:textId="77777777" w:rsidR="00064BE2" w:rsidRDefault="00064BE2">
      <w:pPr>
        <w:spacing w:line="360" w:lineRule="auto"/>
        <w:jc w:val="both"/>
      </w:pPr>
    </w:p>
    <w:p w14:paraId="6D3BB016" w14:textId="77777777" w:rsidR="00064BE2" w:rsidRDefault="00064BE2">
      <w:pPr>
        <w:spacing w:line="360" w:lineRule="auto"/>
        <w:jc w:val="both"/>
        <w:sectPr w:rsidR="00064BE2">
          <w:pgSz w:w="12240" w:h="15840"/>
          <w:pgMar w:top="1440" w:right="1440" w:bottom="1440" w:left="1440" w:header="720" w:footer="720" w:gutter="0"/>
          <w:cols w:space="720"/>
          <w:docGrid w:linePitch="360"/>
        </w:sectPr>
      </w:pPr>
    </w:p>
    <w:p w14:paraId="25DF23EB" w14:textId="77777777" w:rsidR="00064BE2" w:rsidRDefault="00000000">
      <w:pPr>
        <w:spacing w:line="360" w:lineRule="auto"/>
        <w:jc w:val="both"/>
      </w:pPr>
      <w:r>
        <w:rPr>
          <w:rFonts w:ascii="Book Antiqua" w:eastAsia="Book Antiqua" w:hAnsi="Book Antiqua" w:cs="Book Antiqua"/>
          <w:b/>
          <w:color w:val="000000"/>
        </w:rPr>
        <w:lastRenderedPageBreak/>
        <w:t>Footnotes</w:t>
      </w:r>
    </w:p>
    <w:p w14:paraId="7C71C5CF" w14:textId="77777777" w:rsidR="00064BE2"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work was approved by the Ethics Committee of Peking University First Hospital [Approval No. 2017(1333)].</w:t>
      </w:r>
    </w:p>
    <w:p w14:paraId="33BE956E" w14:textId="77777777" w:rsidR="00064BE2" w:rsidRDefault="00064BE2">
      <w:pPr>
        <w:spacing w:line="360" w:lineRule="auto"/>
        <w:jc w:val="both"/>
      </w:pPr>
    </w:p>
    <w:p w14:paraId="317760EC" w14:textId="77777777" w:rsidR="00064BE2"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4BCE0DE8" w14:textId="77777777" w:rsidR="00064BE2" w:rsidRDefault="00064BE2">
      <w:pPr>
        <w:spacing w:line="360" w:lineRule="auto"/>
        <w:jc w:val="both"/>
      </w:pPr>
    </w:p>
    <w:p w14:paraId="3AF864C2" w14:textId="77777777" w:rsidR="00064BE2"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with the contents of this article.</w:t>
      </w:r>
    </w:p>
    <w:p w14:paraId="663E3A65" w14:textId="77777777" w:rsidR="00064BE2" w:rsidRDefault="00064BE2">
      <w:pPr>
        <w:spacing w:line="360" w:lineRule="auto"/>
        <w:jc w:val="both"/>
      </w:pPr>
    </w:p>
    <w:p w14:paraId="7C531F50" w14:textId="77777777" w:rsidR="00064BE2"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BE52C1D" w14:textId="77777777" w:rsidR="00064BE2" w:rsidRDefault="00064BE2">
      <w:pPr>
        <w:spacing w:line="360" w:lineRule="auto"/>
        <w:jc w:val="both"/>
      </w:pPr>
    </w:p>
    <w:p w14:paraId="41DA0550" w14:textId="77777777" w:rsidR="00064BE2"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40AB16A" w14:textId="77777777" w:rsidR="00064BE2" w:rsidRDefault="00064BE2">
      <w:pPr>
        <w:spacing w:line="360" w:lineRule="auto"/>
        <w:jc w:val="both"/>
      </w:pPr>
    </w:p>
    <w:p w14:paraId="09452A2B" w14:textId="77777777" w:rsidR="00064BE2"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6F745C" w14:textId="77777777" w:rsidR="00064BE2" w:rsidRDefault="00064BE2">
      <w:pPr>
        <w:spacing w:line="360" w:lineRule="auto"/>
        <w:jc w:val="both"/>
      </w:pPr>
    </w:p>
    <w:p w14:paraId="77CFC4D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8C02B26" w14:textId="77777777" w:rsidR="00064BE2" w:rsidRDefault="00064BE2">
      <w:pPr>
        <w:spacing w:line="360" w:lineRule="auto"/>
        <w:jc w:val="both"/>
        <w:rPr>
          <w:rFonts w:ascii="Book Antiqua" w:eastAsia="Book Antiqua" w:hAnsi="Book Antiqua" w:cs="Book Antiqua"/>
          <w:color w:val="000000"/>
        </w:rPr>
      </w:pPr>
    </w:p>
    <w:p w14:paraId="7F443B20" w14:textId="77777777" w:rsidR="00064BE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9D313C" w14:textId="77777777" w:rsidR="00064BE2" w:rsidRDefault="00064BE2">
      <w:pPr>
        <w:spacing w:line="360" w:lineRule="auto"/>
        <w:jc w:val="both"/>
      </w:pPr>
    </w:p>
    <w:p w14:paraId="6476B950" w14:textId="77777777" w:rsidR="00064BE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2022</w:t>
      </w:r>
    </w:p>
    <w:p w14:paraId="39B02F45" w14:textId="77777777" w:rsidR="00064BE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11, 2022</w:t>
      </w:r>
    </w:p>
    <w:p w14:paraId="3712318D" w14:textId="03E6B60B" w:rsidR="00064BE2" w:rsidRDefault="00000000">
      <w:pPr>
        <w:spacing w:line="360" w:lineRule="auto"/>
        <w:jc w:val="both"/>
      </w:pPr>
      <w:r>
        <w:rPr>
          <w:rFonts w:ascii="Book Antiqua" w:eastAsia="Book Antiqua" w:hAnsi="Book Antiqua" w:cs="Book Antiqua"/>
          <w:b/>
          <w:color w:val="000000"/>
        </w:rPr>
        <w:lastRenderedPageBreak/>
        <w:t xml:space="preserve">Article in press: </w:t>
      </w:r>
      <w:r w:rsidR="00B16365" w:rsidRPr="00CD0185">
        <w:rPr>
          <w:rFonts w:ascii="Book Antiqua" w:eastAsia="Book Antiqua" w:hAnsi="Book Antiqua" w:cs="Book Antiqua"/>
          <w:color w:val="000000"/>
        </w:rPr>
        <w:t>February 21, 2023</w:t>
      </w:r>
    </w:p>
    <w:p w14:paraId="5003ACA3" w14:textId="77777777" w:rsidR="00064BE2" w:rsidRDefault="00064BE2">
      <w:pPr>
        <w:spacing w:line="360" w:lineRule="auto"/>
        <w:jc w:val="both"/>
      </w:pPr>
    </w:p>
    <w:p w14:paraId="3802CED2" w14:textId="77777777" w:rsidR="00064BE2" w:rsidRDefault="00000000">
      <w:pPr>
        <w:spacing w:line="360" w:lineRule="auto"/>
        <w:jc w:val="both"/>
      </w:pPr>
      <w:r>
        <w:rPr>
          <w:rFonts w:ascii="Book Antiqua" w:eastAsia="Book Antiqua" w:hAnsi="Book Antiqua" w:cs="Book Antiqua"/>
          <w:b/>
          <w:color w:val="000000"/>
        </w:rPr>
        <w:t xml:space="preserve">Specialty type: </w:t>
      </w:r>
      <w:bookmarkStart w:id="2" w:name="OLE_LINK1740"/>
      <w:bookmarkStart w:id="3" w:name="OLE_LINK293"/>
      <w:bookmarkStart w:id="4" w:name="OLE_LINK1762"/>
      <w:bookmarkStart w:id="5" w:name="OLE_LINK1988"/>
      <w:bookmarkStart w:id="6" w:name="OLE_LINK1739"/>
      <w:bookmarkStart w:id="7" w:name="OLE_LINK1741"/>
      <w:bookmarkStart w:id="8" w:name="OLE_LINK1890"/>
      <w:bookmarkStart w:id="9" w:name="OLE_LINK1973"/>
      <w:bookmarkStart w:id="10" w:name="OLE_LINK2005"/>
      <w:r>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5EC50D74" w14:textId="77777777" w:rsidR="00064BE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A1F9B3" w14:textId="77777777" w:rsidR="00064BE2" w:rsidRDefault="00000000">
      <w:pPr>
        <w:spacing w:line="360" w:lineRule="auto"/>
        <w:jc w:val="both"/>
      </w:pPr>
      <w:r>
        <w:rPr>
          <w:rFonts w:ascii="Book Antiqua" w:eastAsia="Book Antiqua" w:hAnsi="Book Antiqua" w:cs="Book Antiqua"/>
          <w:b/>
          <w:color w:val="000000"/>
        </w:rPr>
        <w:t>Peer-review report’s scientific quality classification</w:t>
      </w:r>
    </w:p>
    <w:p w14:paraId="08F52AB6" w14:textId="77777777" w:rsidR="00064BE2" w:rsidRDefault="00000000">
      <w:pPr>
        <w:spacing w:line="360" w:lineRule="auto"/>
        <w:jc w:val="both"/>
      </w:pPr>
      <w:r>
        <w:rPr>
          <w:rFonts w:ascii="Book Antiqua" w:eastAsia="Book Antiqua" w:hAnsi="Book Antiqua" w:cs="Book Antiqua"/>
          <w:color w:val="000000"/>
        </w:rPr>
        <w:t>Grade A (Excellent): 0</w:t>
      </w:r>
    </w:p>
    <w:p w14:paraId="4074440F" w14:textId="77777777" w:rsidR="00064BE2" w:rsidRDefault="00000000">
      <w:pPr>
        <w:spacing w:line="360" w:lineRule="auto"/>
        <w:jc w:val="both"/>
      </w:pPr>
      <w:r>
        <w:rPr>
          <w:rFonts w:ascii="Book Antiqua" w:eastAsia="Book Antiqua" w:hAnsi="Book Antiqua" w:cs="Book Antiqua"/>
          <w:color w:val="000000"/>
        </w:rPr>
        <w:t>Grade B (Very good): B</w:t>
      </w:r>
    </w:p>
    <w:p w14:paraId="4763D947" w14:textId="77777777" w:rsidR="00064BE2" w:rsidRDefault="00000000">
      <w:pPr>
        <w:spacing w:line="360" w:lineRule="auto"/>
        <w:jc w:val="both"/>
      </w:pPr>
      <w:r>
        <w:rPr>
          <w:rFonts w:ascii="Book Antiqua" w:eastAsia="Book Antiqua" w:hAnsi="Book Antiqua" w:cs="Book Antiqua"/>
          <w:color w:val="000000"/>
        </w:rPr>
        <w:t>Grade C (Good): 0</w:t>
      </w:r>
    </w:p>
    <w:p w14:paraId="5C934CDC" w14:textId="77777777" w:rsidR="00064BE2" w:rsidRDefault="00000000">
      <w:pPr>
        <w:spacing w:line="360" w:lineRule="auto"/>
        <w:jc w:val="both"/>
      </w:pPr>
      <w:r>
        <w:rPr>
          <w:rFonts w:ascii="Book Antiqua" w:eastAsia="Book Antiqua" w:hAnsi="Book Antiqua" w:cs="Book Antiqua"/>
          <w:color w:val="000000"/>
        </w:rPr>
        <w:t>Grade D (Fair): D</w:t>
      </w:r>
    </w:p>
    <w:p w14:paraId="19F88C7C" w14:textId="77777777" w:rsidR="00064BE2" w:rsidRDefault="00000000">
      <w:pPr>
        <w:spacing w:line="360" w:lineRule="auto"/>
        <w:jc w:val="both"/>
      </w:pPr>
      <w:r>
        <w:rPr>
          <w:rFonts w:ascii="Book Antiqua" w:eastAsia="Book Antiqua" w:hAnsi="Book Antiqua" w:cs="Book Antiqua"/>
          <w:color w:val="000000"/>
        </w:rPr>
        <w:t>Grade E (Poor): 0</w:t>
      </w:r>
    </w:p>
    <w:p w14:paraId="6F322E7C" w14:textId="77777777" w:rsidR="00064BE2" w:rsidRDefault="00064BE2">
      <w:pPr>
        <w:spacing w:line="360" w:lineRule="auto"/>
        <w:jc w:val="both"/>
      </w:pPr>
    </w:p>
    <w:p w14:paraId="732E4926" w14:textId="77777777" w:rsidR="00064BE2" w:rsidRDefault="00000000">
      <w:pPr>
        <w:spacing w:line="360" w:lineRule="auto"/>
        <w:jc w:val="both"/>
        <w:sectPr w:rsidR="00064BE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Reda R</w:t>
      </w:r>
      <w:r>
        <w:rPr>
          <w:rFonts w:ascii="Book Antiqua" w:eastAsia="宋体" w:hAnsi="Book Antiqua" w:cs="Book Antiqua" w:hint="eastAsia"/>
          <w:color w:val="000000"/>
          <w:lang w:eastAsia="zh-CN"/>
        </w:rPr>
        <w:t xml:space="preserve">, </w:t>
      </w:r>
      <w:bookmarkStart w:id="11" w:name="OLE_LINK2"/>
      <w:r>
        <w:rPr>
          <w:rFonts w:ascii="Book Antiqua" w:eastAsia="宋体" w:hAnsi="Book Antiqua" w:cs="Book Antiqua" w:hint="eastAsia"/>
          <w:color w:val="000000"/>
          <w:lang w:eastAsia="zh-CN"/>
        </w:rPr>
        <w:t>Italy</w:t>
      </w:r>
      <w:bookmarkEnd w:id="11"/>
      <w:r>
        <w:rPr>
          <w:rFonts w:ascii="Book Antiqua" w:eastAsia="Book Antiqua" w:hAnsi="Book Antiqua" w:cs="Book Antiqua"/>
          <w:color w:val="000000"/>
        </w:rPr>
        <w:t>; Tanaka H, Japan</w:t>
      </w:r>
      <w:r>
        <w:rPr>
          <w:rFonts w:ascii="Book Antiqua" w:eastAsia="Book Antiqua" w:hAnsi="Book Antiqua" w:cs="Book Antiqua"/>
          <w:b/>
          <w:color w:val="000000"/>
        </w:rPr>
        <w:t xml:space="preserve"> S-Editor:</w:t>
      </w:r>
      <w:r>
        <w:rPr>
          <w:rFonts w:ascii="Book Antiqua" w:eastAsia="宋体" w:hAnsi="Book Antiqua" w:cs="Book Antiqua" w:hint="eastAsia"/>
          <w:b/>
          <w:color w:val="000000"/>
          <w:lang w:eastAsia="zh-CN"/>
        </w:rPr>
        <w:t xml:space="preserve">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51B92B9E" w14:textId="77777777" w:rsidR="00064BE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7CB2D21" w14:textId="07810D6D" w:rsidR="00064BE2" w:rsidRDefault="00993C2B">
      <w:pPr>
        <w:spacing w:line="360" w:lineRule="auto"/>
        <w:jc w:val="both"/>
        <w:rPr>
          <w:rFonts w:ascii="Book Antiqua" w:eastAsia="宋体" w:hAnsi="Book Antiqua" w:cs="Book Antiqua"/>
          <w:b/>
          <w:color w:val="000000"/>
          <w:lang w:eastAsia="zh-CN"/>
        </w:rPr>
      </w:pPr>
      <w:r>
        <w:rPr>
          <w:noProof/>
        </w:rPr>
        <w:drawing>
          <wp:inline distT="0" distB="0" distL="0" distR="0" wp14:anchorId="752EA106" wp14:editId="271C65FB">
            <wp:extent cx="5370830" cy="416115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0830" cy="4161155"/>
                    </a:xfrm>
                    <a:prstGeom prst="rect">
                      <a:avLst/>
                    </a:prstGeom>
                    <a:noFill/>
                    <a:ln>
                      <a:noFill/>
                    </a:ln>
                  </pic:spPr>
                </pic:pic>
              </a:graphicData>
            </a:graphic>
          </wp:inline>
        </w:drawing>
      </w:r>
    </w:p>
    <w:p w14:paraId="588F37E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 Polymorphisms schematic diagram and the clinical characteristics of patients with lupus nephritis.</w:t>
      </w:r>
      <w:r>
        <w:rPr>
          <w:rFonts w:ascii="Book Antiqua" w:eastAsia="Book Antiqua" w:hAnsi="Book Antiqua" w:cs="Book Antiqua"/>
          <w:color w:val="000000"/>
        </w:rPr>
        <w:t xml:space="preserve"> A: Polymorphisms in the C-reactive protein (CRP) and complement factor H (CFH) gene, six single nucleotide polymorphisms </w:t>
      </w:r>
      <w:r>
        <w:rPr>
          <w:rFonts w:ascii="Book Antiqua" w:eastAsia="宋体" w:hAnsi="Book Antiqua" w:cs="Book Antiqua" w:hint="eastAsia"/>
          <w:color w:val="000000"/>
          <w:lang w:eastAsia="zh-CN"/>
        </w:rPr>
        <w:t>(SNPs)</w:t>
      </w:r>
      <w:r>
        <w:rPr>
          <w:rFonts w:ascii="Book Antiqua" w:eastAsia="Book Antiqua" w:hAnsi="Book Antiqua" w:cs="Book Antiqua"/>
          <w:color w:val="000000"/>
        </w:rPr>
        <w:t xml:space="preserve"> in CRP and three SNPs in CFH were selected; B: Clinical characteristics of patients with lupus nephritis.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C-reactive protein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CFH</w:t>
      </w:r>
      <w:r>
        <w:rPr>
          <w:rFonts w:ascii="Book Antiqua" w:eastAsia="宋体" w:hAnsi="Book Antiqua" w:cs="Book Antiqua" w:hint="eastAsia"/>
          <w:color w:val="000000"/>
          <w:lang w:eastAsia="zh-CN"/>
        </w:rPr>
        <w:t>: C</w:t>
      </w:r>
      <w:r>
        <w:rPr>
          <w:rFonts w:ascii="Book Antiqua" w:eastAsia="Book Antiqua" w:hAnsi="Book Antiqua" w:cs="Book Antiqua"/>
          <w:color w:val="000000"/>
        </w:rPr>
        <w:t>omplement factor H</w:t>
      </w:r>
      <w:r>
        <w:rPr>
          <w:rFonts w:ascii="Book Antiqua" w:eastAsia="宋体" w:hAnsi="Book Antiqua" w:cs="Book Antiqua" w:hint="eastAsia"/>
          <w:color w:val="000000"/>
          <w:lang w:eastAsia="zh-CN"/>
        </w:rPr>
        <w:t>; SNP: S</w:t>
      </w:r>
      <w:r>
        <w:rPr>
          <w:rFonts w:ascii="Book Antiqua" w:eastAsia="Book Antiqua" w:hAnsi="Book Antiqua" w:cs="Book Antiqua"/>
          <w:color w:val="000000"/>
        </w:rPr>
        <w:t>ingle nucleotide polymorphisms</w:t>
      </w:r>
      <w:r>
        <w:rPr>
          <w:rFonts w:ascii="Book Antiqua" w:eastAsia="宋体" w:hAnsi="Book Antiqua" w:cs="Book Antiqua" w:hint="eastAsia"/>
          <w:color w:val="000000"/>
          <w:lang w:eastAsia="zh-CN"/>
        </w:rPr>
        <w:t>; UTR: Untranslated regions.</w:t>
      </w:r>
    </w:p>
    <w:p w14:paraId="0961A9B7" w14:textId="77777777" w:rsidR="00064BE2" w:rsidRDefault="00064BE2">
      <w:pPr>
        <w:spacing w:line="360" w:lineRule="auto"/>
        <w:jc w:val="both"/>
        <w:rPr>
          <w:rFonts w:ascii="Book Antiqua" w:eastAsia="Book Antiqua" w:hAnsi="Book Antiqua" w:cs="Book Antiqua"/>
          <w:color w:val="000000"/>
        </w:rPr>
      </w:pPr>
    </w:p>
    <w:p w14:paraId="02B87573" w14:textId="77777777" w:rsidR="00064BE2" w:rsidRDefault="00064BE2">
      <w:pPr>
        <w:spacing w:line="360" w:lineRule="auto"/>
        <w:jc w:val="both"/>
        <w:rPr>
          <w:rFonts w:ascii="Book Antiqua" w:eastAsia="Book Antiqua" w:hAnsi="Book Antiqua" w:cs="Book Antiqua"/>
          <w:color w:val="000000"/>
        </w:rPr>
        <w:sectPr w:rsidR="00064BE2">
          <w:pgSz w:w="12240" w:h="15840"/>
          <w:pgMar w:top="1440" w:right="1440" w:bottom="1440" w:left="1440" w:header="720" w:footer="720" w:gutter="0"/>
          <w:cols w:space="720"/>
          <w:docGrid w:linePitch="360"/>
        </w:sectPr>
      </w:pPr>
    </w:p>
    <w:p w14:paraId="797E777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lastRenderedPageBreak/>
        <w:t xml:space="preserve">Table 1 Genotype and allele frequencies of C-reactive protein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p>
    <w:tbl>
      <w:tblPr>
        <w:tblW w:w="4998" w:type="pct"/>
        <w:tblLook w:val="04A0" w:firstRow="1" w:lastRow="0" w:firstColumn="1" w:lastColumn="0" w:noHBand="0" w:noVBand="1"/>
      </w:tblPr>
      <w:tblGrid>
        <w:gridCol w:w="2834"/>
        <w:gridCol w:w="1590"/>
        <w:gridCol w:w="1948"/>
        <w:gridCol w:w="1056"/>
        <w:gridCol w:w="1059"/>
        <w:gridCol w:w="1590"/>
        <w:gridCol w:w="1841"/>
        <w:gridCol w:w="1037"/>
      </w:tblGrid>
      <w:tr w:rsidR="00064BE2" w14:paraId="5155765E" w14:textId="77777777">
        <w:trPr>
          <w:trHeight w:val="570"/>
        </w:trPr>
        <w:tc>
          <w:tcPr>
            <w:tcW w:w="1095" w:type="pct"/>
            <w:tcBorders>
              <w:top w:val="single" w:sz="8" w:space="0" w:color="auto"/>
              <w:left w:val="nil"/>
              <w:bottom w:val="single" w:sz="8" w:space="0" w:color="auto"/>
              <w:right w:val="nil"/>
            </w:tcBorders>
            <w:shd w:val="clear" w:color="auto" w:fill="auto"/>
            <w:noWrap/>
            <w:vAlign w:val="center"/>
          </w:tcPr>
          <w:p w14:paraId="03B932E0"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Genotype</w:t>
            </w:r>
          </w:p>
        </w:tc>
        <w:tc>
          <w:tcPr>
            <w:tcW w:w="616" w:type="pct"/>
            <w:tcBorders>
              <w:top w:val="single" w:sz="8" w:space="0" w:color="auto"/>
              <w:left w:val="nil"/>
              <w:bottom w:val="single" w:sz="8" w:space="0" w:color="auto"/>
              <w:right w:val="nil"/>
            </w:tcBorders>
            <w:shd w:val="clear" w:color="auto" w:fill="auto"/>
            <w:noWrap/>
            <w:vAlign w:val="center"/>
          </w:tcPr>
          <w:p w14:paraId="72E1797D"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LN</w:t>
            </w:r>
          </w:p>
        </w:tc>
        <w:tc>
          <w:tcPr>
            <w:tcW w:w="753" w:type="pct"/>
            <w:tcBorders>
              <w:top w:val="single" w:sz="8" w:space="0" w:color="auto"/>
              <w:left w:val="nil"/>
              <w:bottom w:val="single" w:sz="8" w:space="0" w:color="auto"/>
              <w:right w:val="nil"/>
            </w:tcBorders>
            <w:shd w:val="clear" w:color="auto" w:fill="auto"/>
            <w:noWrap/>
            <w:vAlign w:val="center"/>
          </w:tcPr>
          <w:p w14:paraId="4EFEA081"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Normal</w:t>
            </w:r>
          </w:p>
        </w:tc>
        <w:tc>
          <w:tcPr>
            <w:tcW w:w="410" w:type="pct"/>
            <w:tcBorders>
              <w:top w:val="single" w:sz="8" w:space="0" w:color="auto"/>
              <w:left w:val="nil"/>
              <w:bottom w:val="single" w:sz="8" w:space="0" w:color="auto"/>
              <w:right w:val="nil"/>
            </w:tcBorders>
            <w:shd w:val="clear" w:color="auto" w:fill="auto"/>
            <w:noWrap/>
            <w:vAlign w:val="center"/>
          </w:tcPr>
          <w:p w14:paraId="19604484" w14:textId="77777777" w:rsidR="00064BE2" w:rsidRDefault="00000000">
            <w:pPr>
              <w:spacing w:line="360" w:lineRule="auto"/>
              <w:jc w:val="both"/>
              <w:rPr>
                <w:rFonts w:ascii="Book Antiqua" w:eastAsia="Book Antiqua" w:hAnsi="Book Antiqua" w:cs="Book Antiqua"/>
                <w:b/>
                <w:bCs/>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value</w:t>
            </w:r>
          </w:p>
        </w:tc>
        <w:tc>
          <w:tcPr>
            <w:tcW w:w="411" w:type="pct"/>
            <w:tcBorders>
              <w:top w:val="single" w:sz="8" w:space="0" w:color="auto"/>
              <w:left w:val="nil"/>
              <w:bottom w:val="single" w:sz="8" w:space="0" w:color="auto"/>
              <w:right w:val="nil"/>
            </w:tcBorders>
            <w:shd w:val="clear" w:color="auto" w:fill="auto"/>
            <w:noWrap/>
            <w:vAlign w:val="center"/>
          </w:tcPr>
          <w:p w14:paraId="1D3132A7"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Allele</w:t>
            </w:r>
          </w:p>
        </w:tc>
        <w:tc>
          <w:tcPr>
            <w:tcW w:w="616" w:type="pct"/>
            <w:tcBorders>
              <w:top w:val="single" w:sz="8" w:space="0" w:color="auto"/>
              <w:left w:val="nil"/>
              <w:bottom w:val="single" w:sz="8" w:space="0" w:color="auto"/>
              <w:right w:val="nil"/>
            </w:tcBorders>
            <w:shd w:val="clear" w:color="auto" w:fill="auto"/>
            <w:noWrap/>
            <w:vAlign w:val="center"/>
          </w:tcPr>
          <w:p w14:paraId="0370FB13"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LN</w:t>
            </w:r>
          </w:p>
        </w:tc>
        <w:tc>
          <w:tcPr>
            <w:tcW w:w="712" w:type="pct"/>
            <w:tcBorders>
              <w:top w:val="single" w:sz="8" w:space="0" w:color="auto"/>
              <w:left w:val="nil"/>
              <w:bottom w:val="single" w:sz="8" w:space="0" w:color="auto"/>
              <w:right w:val="nil"/>
            </w:tcBorders>
            <w:shd w:val="clear" w:color="auto" w:fill="auto"/>
            <w:noWrap/>
            <w:vAlign w:val="center"/>
          </w:tcPr>
          <w:p w14:paraId="205CC98B"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Normal</w:t>
            </w:r>
          </w:p>
        </w:tc>
        <w:tc>
          <w:tcPr>
            <w:tcW w:w="383" w:type="pct"/>
            <w:tcBorders>
              <w:top w:val="single" w:sz="8" w:space="0" w:color="auto"/>
              <w:left w:val="nil"/>
              <w:bottom w:val="single" w:sz="8" w:space="0" w:color="auto"/>
              <w:right w:val="nil"/>
            </w:tcBorders>
            <w:shd w:val="clear" w:color="auto" w:fill="auto"/>
            <w:noWrap/>
            <w:vAlign w:val="center"/>
          </w:tcPr>
          <w:p w14:paraId="22AC9178" w14:textId="77777777" w:rsidR="00064BE2" w:rsidRDefault="00000000">
            <w:pPr>
              <w:spacing w:line="360" w:lineRule="auto"/>
              <w:jc w:val="both"/>
              <w:rPr>
                <w:rFonts w:ascii="Book Antiqua" w:eastAsia="Book Antiqua" w:hAnsi="Book Antiqua" w:cs="Book Antiqua"/>
                <w:b/>
                <w:bCs/>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value</w:t>
            </w:r>
          </w:p>
        </w:tc>
      </w:tr>
      <w:tr w:rsidR="00064BE2" w14:paraId="0A80973E" w14:textId="77777777">
        <w:trPr>
          <w:trHeight w:val="300"/>
        </w:trPr>
        <w:tc>
          <w:tcPr>
            <w:tcW w:w="1095" w:type="pct"/>
            <w:tcBorders>
              <w:top w:val="nil"/>
              <w:left w:val="nil"/>
              <w:bottom w:val="nil"/>
              <w:right w:val="nil"/>
            </w:tcBorders>
            <w:shd w:val="clear" w:color="auto" w:fill="auto"/>
            <w:noWrap/>
            <w:vAlign w:val="center"/>
          </w:tcPr>
          <w:p w14:paraId="56AAE2D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rs1205 (C &gt; T)</w:t>
            </w:r>
          </w:p>
        </w:tc>
        <w:tc>
          <w:tcPr>
            <w:tcW w:w="616" w:type="pct"/>
            <w:tcBorders>
              <w:top w:val="nil"/>
              <w:left w:val="nil"/>
              <w:bottom w:val="nil"/>
              <w:right w:val="nil"/>
            </w:tcBorders>
            <w:shd w:val="clear" w:color="auto" w:fill="auto"/>
            <w:noWrap/>
            <w:vAlign w:val="center"/>
          </w:tcPr>
          <w:p w14:paraId="74CC50A0"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5D3E0F1F"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30D701FD"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37405B3"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50B861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624B118"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38AAC627" w14:textId="77777777" w:rsidR="00064BE2" w:rsidRDefault="00064BE2">
            <w:pPr>
              <w:spacing w:line="360" w:lineRule="auto"/>
              <w:jc w:val="both"/>
              <w:rPr>
                <w:rFonts w:ascii="Book Antiqua" w:eastAsia="Book Antiqua" w:hAnsi="Book Antiqua" w:cs="Book Antiqua"/>
                <w:color w:val="000000"/>
              </w:rPr>
            </w:pPr>
          </w:p>
        </w:tc>
      </w:tr>
      <w:tr w:rsidR="00064BE2" w14:paraId="7755258B" w14:textId="77777777">
        <w:trPr>
          <w:trHeight w:val="285"/>
        </w:trPr>
        <w:tc>
          <w:tcPr>
            <w:tcW w:w="1095" w:type="pct"/>
            <w:tcBorders>
              <w:top w:val="nil"/>
              <w:left w:val="nil"/>
              <w:bottom w:val="nil"/>
              <w:right w:val="nil"/>
            </w:tcBorders>
            <w:shd w:val="clear" w:color="auto" w:fill="auto"/>
            <w:noWrap/>
            <w:vAlign w:val="center"/>
          </w:tcPr>
          <w:p w14:paraId="0236ED8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043433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 (19.63)</w:t>
            </w:r>
          </w:p>
        </w:tc>
        <w:tc>
          <w:tcPr>
            <w:tcW w:w="753" w:type="pct"/>
            <w:tcBorders>
              <w:top w:val="nil"/>
              <w:left w:val="nil"/>
              <w:bottom w:val="nil"/>
              <w:right w:val="nil"/>
            </w:tcBorders>
            <w:shd w:val="clear" w:color="auto" w:fill="auto"/>
            <w:noWrap/>
            <w:vAlign w:val="center"/>
          </w:tcPr>
          <w:p w14:paraId="7F7743E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 (16.17)</w:t>
            </w:r>
          </w:p>
        </w:tc>
        <w:tc>
          <w:tcPr>
            <w:tcW w:w="410" w:type="pct"/>
            <w:tcBorders>
              <w:top w:val="nil"/>
              <w:left w:val="nil"/>
              <w:bottom w:val="nil"/>
              <w:right w:val="nil"/>
            </w:tcBorders>
            <w:shd w:val="clear" w:color="auto" w:fill="auto"/>
            <w:noWrap/>
            <w:vAlign w:val="center"/>
          </w:tcPr>
          <w:p w14:paraId="1D75672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0.469</w:t>
            </w:r>
          </w:p>
        </w:tc>
        <w:tc>
          <w:tcPr>
            <w:tcW w:w="411" w:type="pct"/>
            <w:tcBorders>
              <w:top w:val="nil"/>
              <w:left w:val="nil"/>
              <w:bottom w:val="nil"/>
              <w:right w:val="nil"/>
            </w:tcBorders>
            <w:shd w:val="clear" w:color="auto" w:fill="auto"/>
            <w:noWrap/>
            <w:vAlign w:val="center"/>
          </w:tcPr>
          <w:p w14:paraId="3C03732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6B6652A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245 (45.37)</w:t>
            </w:r>
          </w:p>
        </w:tc>
        <w:tc>
          <w:tcPr>
            <w:tcW w:w="712" w:type="pct"/>
            <w:tcBorders>
              <w:top w:val="nil"/>
              <w:left w:val="nil"/>
              <w:bottom w:val="nil"/>
              <w:right w:val="nil"/>
            </w:tcBorders>
            <w:shd w:val="clear" w:color="auto" w:fill="auto"/>
            <w:noWrap/>
            <w:vAlign w:val="center"/>
          </w:tcPr>
          <w:p w14:paraId="4F7E7BB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254 (41.91)</w:t>
            </w:r>
          </w:p>
        </w:tc>
        <w:tc>
          <w:tcPr>
            <w:tcW w:w="383" w:type="pct"/>
            <w:tcBorders>
              <w:top w:val="nil"/>
              <w:left w:val="nil"/>
              <w:bottom w:val="nil"/>
              <w:right w:val="nil"/>
            </w:tcBorders>
            <w:shd w:val="clear" w:color="auto" w:fill="auto"/>
            <w:noWrap/>
            <w:vAlign w:val="center"/>
          </w:tcPr>
          <w:p w14:paraId="425CA5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0.239</w:t>
            </w:r>
          </w:p>
        </w:tc>
      </w:tr>
      <w:tr w:rsidR="00064BE2" w14:paraId="12C3E1E3" w14:textId="77777777">
        <w:trPr>
          <w:trHeight w:val="285"/>
        </w:trPr>
        <w:tc>
          <w:tcPr>
            <w:tcW w:w="1095" w:type="pct"/>
            <w:tcBorders>
              <w:top w:val="nil"/>
              <w:left w:val="nil"/>
              <w:bottom w:val="nil"/>
              <w:right w:val="nil"/>
            </w:tcBorders>
            <w:shd w:val="clear" w:color="auto" w:fill="auto"/>
            <w:noWrap/>
            <w:vAlign w:val="center"/>
          </w:tcPr>
          <w:p w14:paraId="188E402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w:t>
            </w:r>
          </w:p>
        </w:tc>
        <w:tc>
          <w:tcPr>
            <w:tcW w:w="616" w:type="pct"/>
            <w:tcBorders>
              <w:top w:val="nil"/>
              <w:left w:val="nil"/>
              <w:bottom w:val="nil"/>
              <w:right w:val="nil"/>
            </w:tcBorders>
            <w:shd w:val="clear" w:color="auto" w:fill="auto"/>
            <w:noWrap/>
            <w:vAlign w:val="center"/>
          </w:tcPr>
          <w:p w14:paraId="243FFF5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139 (51.48)</w:t>
            </w:r>
          </w:p>
        </w:tc>
        <w:tc>
          <w:tcPr>
            <w:tcW w:w="753" w:type="pct"/>
            <w:tcBorders>
              <w:top w:val="nil"/>
              <w:left w:val="nil"/>
              <w:bottom w:val="nil"/>
              <w:right w:val="nil"/>
            </w:tcBorders>
            <w:shd w:val="clear" w:color="auto" w:fill="auto"/>
            <w:noWrap/>
            <w:vAlign w:val="center"/>
          </w:tcPr>
          <w:p w14:paraId="4633B16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156 (51.49)</w:t>
            </w:r>
          </w:p>
        </w:tc>
        <w:tc>
          <w:tcPr>
            <w:tcW w:w="410" w:type="pct"/>
            <w:tcBorders>
              <w:top w:val="nil"/>
              <w:left w:val="nil"/>
              <w:bottom w:val="nil"/>
              <w:right w:val="nil"/>
            </w:tcBorders>
            <w:shd w:val="clear" w:color="auto" w:fill="auto"/>
            <w:noWrap/>
            <w:vAlign w:val="center"/>
          </w:tcPr>
          <w:p w14:paraId="4828AAFB"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B3449B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7FFD70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295 (54.63)</w:t>
            </w:r>
          </w:p>
        </w:tc>
        <w:tc>
          <w:tcPr>
            <w:tcW w:w="712" w:type="pct"/>
            <w:tcBorders>
              <w:top w:val="nil"/>
              <w:left w:val="nil"/>
              <w:bottom w:val="nil"/>
              <w:right w:val="nil"/>
            </w:tcBorders>
            <w:shd w:val="clear" w:color="auto" w:fill="auto"/>
            <w:noWrap/>
            <w:vAlign w:val="center"/>
          </w:tcPr>
          <w:p w14:paraId="38BEFE3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352 (58.09)</w:t>
            </w:r>
          </w:p>
        </w:tc>
        <w:tc>
          <w:tcPr>
            <w:tcW w:w="383" w:type="pct"/>
            <w:tcBorders>
              <w:top w:val="nil"/>
              <w:left w:val="nil"/>
              <w:bottom w:val="nil"/>
              <w:right w:val="nil"/>
            </w:tcBorders>
            <w:shd w:val="clear" w:color="auto" w:fill="auto"/>
            <w:noWrap/>
            <w:vAlign w:val="center"/>
          </w:tcPr>
          <w:p w14:paraId="122AE5F0" w14:textId="77777777" w:rsidR="00064BE2" w:rsidRDefault="00064BE2">
            <w:pPr>
              <w:spacing w:line="360" w:lineRule="auto"/>
              <w:jc w:val="both"/>
              <w:rPr>
                <w:rFonts w:ascii="Book Antiqua" w:eastAsia="Book Antiqua" w:hAnsi="Book Antiqua" w:cs="Book Antiqua"/>
                <w:color w:val="000000"/>
              </w:rPr>
            </w:pPr>
          </w:p>
        </w:tc>
      </w:tr>
      <w:tr w:rsidR="00064BE2" w14:paraId="4FB14A70" w14:textId="77777777">
        <w:trPr>
          <w:trHeight w:val="285"/>
        </w:trPr>
        <w:tc>
          <w:tcPr>
            <w:tcW w:w="1095" w:type="pct"/>
            <w:tcBorders>
              <w:top w:val="nil"/>
              <w:left w:val="nil"/>
              <w:bottom w:val="nil"/>
              <w:right w:val="nil"/>
            </w:tcBorders>
            <w:shd w:val="clear" w:color="auto" w:fill="auto"/>
            <w:noWrap/>
            <w:vAlign w:val="center"/>
          </w:tcPr>
          <w:p w14:paraId="7FBD6FB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2172DC4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78 (28.89)</w:t>
            </w:r>
          </w:p>
        </w:tc>
        <w:tc>
          <w:tcPr>
            <w:tcW w:w="753" w:type="pct"/>
            <w:tcBorders>
              <w:top w:val="nil"/>
              <w:left w:val="nil"/>
              <w:bottom w:val="nil"/>
              <w:right w:val="nil"/>
            </w:tcBorders>
            <w:shd w:val="clear" w:color="auto" w:fill="auto"/>
            <w:noWrap/>
            <w:vAlign w:val="center"/>
          </w:tcPr>
          <w:p w14:paraId="4E7956C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98 (32.34)</w:t>
            </w:r>
          </w:p>
        </w:tc>
        <w:tc>
          <w:tcPr>
            <w:tcW w:w="410" w:type="pct"/>
            <w:tcBorders>
              <w:top w:val="nil"/>
              <w:left w:val="nil"/>
              <w:bottom w:val="nil"/>
              <w:right w:val="nil"/>
            </w:tcBorders>
            <w:shd w:val="clear" w:color="auto" w:fill="auto"/>
            <w:noWrap/>
            <w:vAlign w:val="center"/>
          </w:tcPr>
          <w:p w14:paraId="2001DE1E"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02B2DAA0"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279E8AB"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9DFB8F9"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56C7F28F" w14:textId="77777777" w:rsidR="00064BE2" w:rsidRDefault="00064BE2">
            <w:pPr>
              <w:spacing w:line="360" w:lineRule="auto"/>
              <w:jc w:val="both"/>
              <w:rPr>
                <w:rFonts w:ascii="Book Antiqua" w:eastAsia="Book Antiqua" w:hAnsi="Book Antiqua" w:cs="Book Antiqua"/>
                <w:color w:val="000000"/>
              </w:rPr>
            </w:pPr>
          </w:p>
        </w:tc>
      </w:tr>
      <w:tr w:rsidR="00064BE2" w14:paraId="346B105F" w14:textId="77777777">
        <w:trPr>
          <w:trHeight w:val="300"/>
        </w:trPr>
        <w:tc>
          <w:tcPr>
            <w:tcW w:w="1095" w:type="pct"/>
            <w:tcBorders>
              <w:top w:val="nil"/>
              <w:left w:val="nil"/>
              <w:bottom w:val="nil"/>
              <w:right w:val="nil"/>
            </w:tcBorders>
            <w:shd w:val="clear" w:color="auto" w:fill="auto"/>
            <w:noWrap/>
            <w:vAlign w:val="center"/>
          </w:tcPr>
          <w:p w14:paraId="5F819981" w14:textId="77777777" w:rsidR="00064BE2" w:rsidRDefault="00000000">
            <w:pPr>
              <w:spacing w:line="360" w:lineRule="auto"/>
              <w:jc w:val="both"/>
              <w:rPr>
                <w:rFonts w:ascii="Book Antiqua" w:eastAsia="Book Antiqua" w:hAnsi="Book Antiqua" w:cs="Book Antiqua"/>
                <w:color w:val="000000"/>
              </w:rPr>
            </w:pPr>
            <w:bookmarkStart w:id="12" w:name="_Hlk40450847"/>
            <w:r>
              <w:rPr>
                <w:rFonts w:ascii="Book Antiqua" w:eastAsia="Book Antiqua" w:hAnsi="Book Antiqua" w:cs="Book Antiqua"/>
                <w:color w:val="000000"/>
              </w:rPr>
              <w:t>rs3093077</w:t>
            </w:r>
            <w:bookmarkEnd w:id="12"/>
            <w:r>
              <w:rPr>
                <w:rFonts w:ascii="Book Antiqua" w:eastAsia="Book Antiqua" w:hAnsi="Book Antiqua" w:cs="Book Antiqua"/>
                <w:color w:val="000000"/>
              </w:rPr>
              <w:t xml:space="preserve"> (A &gt; C)</w:t>
            </w:r>
          </w:p>
        </w:tc>
        <w:tc>
          <w:tcPr>
            <w:tcW w:w="616" w:type="pct"/>
            <w:tcBorders>
              <w:top w:val="nil"/>
              <w:left w:val="nil"/>
              <w:bottom w:val="nil"/>
              <w:right w:val="nil"/>
            </w:tcBorders>
            <w:shd w:val="clear" w:color="auto" w:fill="auto"/>
            <w:noWrap/>
            <w:vAlign w:val="center"/>
          </w:tcPr>
          <w:p w14:paraId="09EADC82"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121A1742"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0DFB0304"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71AF613B"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7031F7C9"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47FBD4D4"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32097C4" w14:textId="77777777" w:rsidR="00064BE2" w:rsidRDefault="00064BE2">
            <w:pPr>
              <w:spacing w:line="360" w:lineRule="auto"/>
              <w:jc w:val="both"/>
              <w:rPr>
                <w:rFonts w:ascii="Book Antiqua" w:eastAsia="Book Antiqua" w:hAnsi="Book Antiqua" w:cs="Book Antiqua"/>
                <w:color w:val="000000"/>
              </w:rPr>
            </w:pPr>
          </w:p>
        </w:tc>
      </w:tr>
      <w:tr w:rsidR="00064BE2" w14:paraId="6236317D" w14:textId="77777777">
        <w:trPr>
          <w:trHeight w:val="285"/>
        </w:trPr>
        <w:tc>
          <w:tcPr>
            <w:tcW w:w="1095" w:type="pct"/>
            <w:tcBorders>
              <w:top w:val="nil"/>
              <w:left w:val="nil"/>
              <w:bottom w:val="nil"/>
              <w:right w:val="nil"/>
            </w:tcBorders>
            <w:shd w:val="clear" w:color="auto" w:fill="auto"/>
            <w:noWrap/>
            <w:vAlign w:val="center"/>
          </w:tcPr>
          <w:p w14:paraId="0A5FE2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AA</w:t>
            </w:r>
          </w:p>
        </w:tc>
        <w:tc>
          <w:tcPr>
            <w:tcW w:w="616" w:type="pct"/>
            <w:tcBorders>
              <w:top w:val="nil"/>
              <w:left w:val="nil"/>
              <w:bottom w:val="nil"/>
              <w:right w:val="nil"/>
            </w:tcBorders>
            <w:shd w:val="clear" w:color="auto" w:fill="auto"/>
            <w:noWrap/>
            <w:vAlign w:val="center"/>
          </w:tcPr>
          <w:p w14:paraId="1B6E23D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173 (64.07)</w:t>
            </w:r>
          </w:p>
        </w:tc>
        <w:tc>
          <w:tcPr>
            <w:tcW w:w="753" w:type="pct"/>
            <w:tcBorders>
              <w:top w:val="nil"/>
              <w:left w:val="nil"/>
              <w:bottom w:val="nil"/>
              <w:right w:val="nil"/>
            </w:tcBorders>
            <w:shd w:val="clear" w:color="auto" w:fill="auto"/>
            <w:noWrap/>
            <w:vAlign w:val="center"/>
          </w:tcPr>
          <w:p w14:paraId="6B62DDE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208 (68.65)</w:t>
            </w:r>
          </w:p>
        </w:tc>
        <w:tc>
          <w:tcPr>
            <w:tcW w:w="410" w:type="pct"/>
            <w:tcBorders>
              <w:top w:val="nil"/>
              <w:left w:val="nil"/>
              <w:bottom w:val="nil"/>
              <w:right w:val="nil"/>
            </w:tcBorders>
            <w:shd w:val="clear" w:color="auto" w:fill="auto"/>
            <w:noWrap/>
            <w:vAlign w:val="center"/>
          </w:tcPr>
          <w:p w14:paraId="4AE6DF9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0.436</w:t>
            </w:r>
          </w:p>
        </w:tc>
        <w:tc>
          <w:tcPr>
            <w:tcW w:w="411" w:type="pct"/>
            <w:tcBorders>
              <w:top w:val="nil"/>
              <w:left w:val="nil"/>
              <w:bottom w:val="nil"/>
              <w:right w:val="nil"/>
            </w:tcBorders>
            <w:shd w:val="clear" w:color="auto" w:fill="auto"/>
            <w:noWrap/>
            <w:vAlign w:val="center"/>
          </w:tcPr>
          <w:p w14:paraId="161CC8E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6954E57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436 (80.74)</w:t>
            </w:r>
          </w:p>
        </w:tc>
        <w:tc>
          <w:tcPr>
            <w:tcW w:w="712" w:type="pct"/>
            <w:tcBorders>
              <w:top w:val="nil"/>
              <w:left w:val="nil"/>
              <w:bottom w:val="nil"/>
              <w:right w:val="nil"/>
            </w:tcBorders>
            <w:shd w:val="clear" w:color="auto" w:fill="auto"/>
            <w:noWrap/>
            <w:vAlign w:val="center"/>
          </w:tcPr>
          <w:p w14:paraId="78F4F1D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502 (82.84)</w:t>
            </w:r>
          </w:p>
        </w:tc>
        <w:tc>
          <w:tcPr>
            <w:tcW w:w="383" w:type="pct"/>
            <w:tcBorders>
              <w:top w:val="nil"/>
              <w:left w:val="nil"/>
              <w:bottom w:val="nil"/>
              <w:right w:val="nil"/>
            </w:tcBorders>
            <w:shd w:val="clear" w:color="auto" w:fill="auto"/>
            <w:noWrap/>
            <w:vAlign w:val="center"/>
          </w:tcPr>
          <w:p w14:paraId="67EF4BA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0.358</w:t>
            </w:r>
          </w:p>
        </w:tc>
      </w:tr>
      <w:tr w:rsidR="00064BE2" w14:paraId="51669940" w14:textId="77777777">
        <w:trPr>
          <w:trHeight w:val="285"/>
        </w:trPr>
        <w:tc>
          <w:tcPr>
            <w:tcW w:w="1095" w:type="pct"/>
            <w:tcBorders>
              <w:top w:val="nil"/>
              <w:left w:val="nil"/>
              <w:bottom w:val="nil"/>
              <w:right w:val="nil"/>
            </w:tcBorders>
            <w:shd w:val="clear" w:color="auto" w:fill="auto"/>
            <w:noWrap/>
            <w:vAlign w:val="center"/>
          </w:tcPr>
          <w:p w14:paraId="541570D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w:t>
            </w:r>
          </w:p>
        </w:tc>
        <w:tc>
          <w:tcPr>
            <w:tcW w:w="616" w:type="pct"/>
            <w:tcBorders>
              <w:top w:val="nil"/>
              <w:left w:val="nil"/>
              <w:bottom w:val="nil"/>
              <w:right w:val="nil"/>
            </w:tcBorders>
            <w:shd w:val="clear" w:color="auto" w:fill="auto"/>
            <w:noWrap/>
            <w:vAlign w:val="center"/>
          </w:tcPr>
          <w:p w14:paraId="559789B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 (33.33)</w:t>
            </w:r>
          </w:p>
        </w:tc>
        <w:tc>
          <w:tcPr>
            <w:tcW w:w="753" w:type="pct"/>
            <w:tcBorders>
              <w:top w:val="nil"/>
              <w:left w:val="nil"/>
              <w:bottom w:val="nil"/>
              <w:right w:val="nil"/>
            </w:tcBorders>
            <w:shd w:val="clear" w:color="auto" w:fill="auto"/>
            <w:noWrap/>
            <w:vAlign w:val="center"/>
          </w:tcPr>
          <w:p w14:paraId="318A99C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86 (28.38)</w:t>
            </w:r>
          </w:p>
        </w:tc>
        <w:tc>
          <w:tcPr>
            <w:tcW w:w="410" w:type="pct"/>
            <w:tcBorders>
              <w:top w:val="nil"/>
              <w:left w:val="nil"/>
              <w:bottom w:val="nil"/>
              <w:right w:val="nil"/>
            </w:tcBorders>
            <w:shd w:val="clear" w:color="auto" w:fill="auto"/>
            <w:noWrap/>
            <w:vAlign w:val="center"/>
          </w:tcPr>
          <w:p w14:paraId="2D3B3E64"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4D551E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16B3E10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104 (19.26)</w:t>
            </w:r>
          </w:p>
        </w:tc>
        <w:tc>
          <w:tcPr>
            <w:tcW w:w="712" w:type="pct"/>
            <w:tcBorders>
              <w:top w:val="nil"/>
              <w:left w:val="nil"/>
              <w:bottom w:val="nil"/>
              <w:right w:val="nil"/>
            </w:tcBorders>
            <w:shd w:val="clear" w:color="auto" w:fill="auto"/>
            <w:noWrap/>
            <w:vAlign w:val="center"/>
          </w:tcPr>
          <w:p w14:paraId="0DCBFE9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104 (17.16)</w:t>
            </w:r>
          </w:p>
        </w:tc>
        <w:tc>
          <w:tcPr>
            <w:tcW w:w="383" w:type="pct"/>
            <w:tcBorders>
              <w:top w:val="nil"/>
              <w:left w:val="nil"/>
              <w:bottom w:val="nil"/>
              <w:right w:val="nil"/>
            </w:tcBorders>
            <w:shd w:val="clear" w:color="auto" w:fill="auto"/>
            <w:noWrap/>
            <w:vAlign w:val="center"/>
          </w:tcPr>
          <w:p w14:paraId="65F3B4A9" w14:textId="77777777" w:rsidR="00064BE2" w:rsidRDefault="00064BE2">
            <w:pPr>
              <w:spacing w:line="360" w:lineRule="auto"/>
              <w:jc w:val="both"/>
              <w:rPr>
                <w:rFonts w:ascii="Book Antiqua" w:eastAsia="Book Antiqua" w:hAnsi="Book Antiqua" w:cs="Book Antiqua"/>
                <w:color w:val="000000"/>
              </w:rPr>
            </w:pPr>
          </w:p>
        </w:tc>
      </w:tr>
      <w:tr w:rsidR="00064BE2" w14:paraId="64230494" w14:textId="77777777">
        <w:trPr>
          <w:trHeight w:val="285"/>
        </w:trPr>
        <w:tc>
          <w:tcPr>
            <w:tcW w:w="1095" w:type="pct"/>
            <w:tcBorders>
              <w:top w:val="nil"/>
              <w:left w:val="nil"/>
              <w:bottom w:val="nil"/>
              <w:right w:val="nil"/>
            </w:tcBorders>
            <w:shd w:val="clear" w:color="auto" w:fill="auto"/>
            <w:noWrap/>
            <w:vAlign w:val="center"/>
          </w:tcPr>
          <w:p w14:paraId="68120EA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7C823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(2.59)</w:t>
            </w:r>
          </w:p>
        </w:tc>
        <w:tc>
          <w:tcPr>
            <w:tcW w:w="753" w:type="pct"/>
            <w:tcBorders>
              <w:top w:val="nil"/>
              <w:left w:val="nil"/>
              <w:bottom w:val="nil"/>
              <w:right w:val="nil"/>
            </w:tcBorders>
            <w:shd w:val="clear" w:color="auto" w:fill="auto"/>
            <w:noWrap/>
            <w:vAlign w:val="center"/>
          </w:tcPr>
          <w:p w14:paraId="73FE777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(2.97)</w:t>
            </w:r>
          </w:p>
        </w:tc>
        <w:tc>
          <w:tcPr>
            <w:tcW w:w="410" w:type="pct"/>
            <w:tcBorders>
              <w:top w:val="nil"/>
              <w:left w:val="nil"/>
              <w:bottom w:val="nil"/>
              <w:right w:val="nil"/>
            </w:tcBorders>
            <w:shd w:val="clear" w:color="auto" w:fill="auto"/>
            <w:noWrap/>
            <w:vAlign w:val="center"/>
          </w:tcPr>
          <w:p w14:paraId="043A092B"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17E70B1"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AB60760"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445B5E2"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15F67EF" w14:textId="77777777" w:rsidR="00064BE2" w:rsidRDefault="00064BE2">
            <w:pPr>
              <w:spacing w:line="360" w:lineRule="auto"/>
              <w:jc w:val="both"/>
              <w:rPr>
                <w:rFonts w:ascii="Book Antiqua" w:eastAsia="Book Antiqua" w:hAnsi="Book Antiqua" w:cs="Book Antiqua"/>
                <w:color w:val="000000"/>
              </w:rPr>
            </w:pPr>
          </w:p>
        </w:tc>
      </w:tr>
      <w:tr w:rsidR="00064BE2" w14:paraId="0028BC4B" w14:textId="77777777">
        <w:trPr>
          <w:trHeight w:val="300"/>
        </w:trPr>
        <w:tc>
          <w:tcPr>
            <w:tcW w:w="1095" w:type="pct"/>
            <w:tcBorders>
              <w:top w:val="nil"/>
              <w:left w:val="nil"/>
              <w:bottom w:val="nil"/>
              <w:right w:val="nil"/>
            </w:tcBorders>
            <w:shd w:val="clear" w:color="auto" w:fill="auto"/>
            <w:noWrap/>
            <w:vAlign w:val="center"/>
          </w:tcPr>
          <w:p w14:paraId="2E7389E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rs3091244 (C &gt; T &gt; A)</w:t>
            </w:r>
          </w:p>
        </w:tc>
        <w:tc>
          <w:tcPr>
            <w:tcW w:w="616" w:type="pct"/>
            <w:tcBorders>
              <w:top w:val="nil"/>
              <w:left w:val="nil"/>
              <w:bottom w:val="nil"/>
              <w:right w:val="nil"/>
            </w:tcBorders>
            <w:shd w:val="clear" w:color="auto" w:fill="auto"/>
            <w:noWrap/>
            <w:vAlign w:val="center"/>
          </w:tcPr>
          <w:p w14:paraId="217EC248"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16F009B1"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11B0945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E3844B8"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0FB122A2"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198A67E3"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6DC02A6E" w14:textId="77777777" w:rsidR="00064BE2" w:rsidRDefault="00064BE2">
            <w:pPr>
              <w:spacing w:line="360" w:lineRule="auto"/>
              <w:jc w:val="both"/>
              <w:rPr>
                <w:rFonts w:ascii="Book Antiqua" w:eastAsia="Book Antiqua" w:hAnsi="Book Antiqua" w:cs="Book Antiqua"/>
                <w:color w:val="000000"/>
              </w:rPr>
            </w:pPr>
          </w:p>
        </w:tc>
      </w:tr>
      <w:tr w:rsidR="00064BE2" w14:paraId="60735EEB" w14:textId="77777777">
        <w:trPr>
          <w:trHeight w:val="285"/>
        </w:trPr>
        <w:tc>
          <w:tcPr>
            <w:tcW w:w="1095" w:type="pct"/>
            <w:tcBorders>
              <w:top w:val="nil"/>
              <w:left w:val="nil"/>
              <w:bottom w:val="nil"/>
              <w:right w:val="nil"/>
            </w:tcBorders>
            <w:shd w:val="clear" w:color="auto" w:fill="auto"/>
            <w:noWrap/>
            <w:vAlign w:val="center"/>
          </w:tcPr>
          <w:p w14:paraId="35CC465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78B2465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153 (56.67)</w:t>
            </w:r>
          </w:p>
        </w:tc>
        <w:tc>
          <w:tcPr>
            <w:tcW w:w="753" w:type="pct"/>
            <w:tcBorders>
              <w:top w:val="nil"/>
              <w:left w:val="nil"/>
              <w:bottom w:val="nil"/>
              <w:right w:val="nil"/>
            </w:tcBorders>
            <w:shd w:val="clear" w:color="auto" w:fill="auto"/>
            <w:noWrap/>
            <w:vAlign w:val="center"/>
          </w:tcPr>
          <w:p w14:paraId="6A40CF8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180 (59.41)</w:t>
            </w:r>
          </w:p>
        </w:tc>
        <w:tc>
          <w:tcPr>
            <w:tcW w:w="410" w:type="pct"/>
            <w:tcBorders>
              <w:top w:val="nil"/>
              <w:left w:val="nil"/>
              <w:bottom w:val="nil"/>
              <w:right w:val="nil"/>
            </w:tcBorders>
            <w:shd w:val="clear" w:color="auto" w:fill="auto"/>
            <w:noWrap/>
            <w:vAlign w:val="center"/>
          </w:tcPr>
          <w:p w14:paraId="5365F46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0.935</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095E4AD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016A0D2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410 (75.93)</w:t>
            </w:r>
          </w:p>
        </w:tc>
        <w:tc>
          <w:tcPr>
            <w:tcW w:w="712" w:type="pct"/>
            <w:tcBorders>
              <w:top w:val="nil"/>
              <w:left w:val="nil"/>
              <w:bottom w:val="nil"/>
              <w:right w:val="nil"/>
            </w:tcBorders>
            <w:shd w:val="clear" w:color="auto" w:fill="auto"/>
            <w:noWrap/>
            <w:vAlign w:val="center"/>
          </w:tcPr>
          <w:p w14:paraId="5C86312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467 (77.06)</w:t>
            </w:r>
          </w:p>
        </w:tc>
        <w:tc>
          <w:tcPr>
            <w:tcW w:w="383" w:type="pct"/>
            <w:tcBorders>
              <w:top w:val="nil"/>
              <w:left w:val="nil"/>
              <w:bottom w:val="nil"/>
              <w:right w:val="nil"/>
            </w:tcBorders>
            <w:shd w:val="clear" w:color="auto" w:fill="auto"/>
            <w:noWrap/>
            <w:vAlign w:val="center"/>
          </w:tcPr>
          <w:p w14:paraId="2317BB2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0.712</w:t>
            </w:r>
          </w:p>
        </w:tc>
      </w:tr>
      <w:tr w:rsidR="00064BE2" w14:paraId="081D7EB7" w14:textId="77777777">
        <w:trPr>
          <w:trHeight w:val="285"/>
        </w:trPr>
        <w:tc>
          <w:tcPr>
            <w:tcW w:w="1095" w:type="pct"/>
            <w:tcBorders>
              <w:top w:val="nil"/>
              <w:left w:val="nil"/>
              <w:bottom w:val="nil"/>
              <w:right w:val="nil"/>
            </w:tcBorders>
            <w:shd w:val="clear" w:color="auto" w:fill="auto"/>
            <w:noWrap/>
            <w:vAlign w:val="center"/>
          </w:tcPr>
          <w:p w14:paraId="450D4D7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w:t>
            </w:r>
          </w:p>
        </w:tc>
        <w:tc>
          <w:tcPr>
            <w:tcW w:w="616" w:type="pct"/>
            <w:tcBorders>
              <w:top w:val="nil"/>
              <w:left w:val="nil"/>
              <w:bottom w:val="nil"/>
              <w:right w:val="nil"/>
            </w:tcBorders>
            <w:shd w:val="clear" w:color="auto" w:fill="auto"/>
            <w:noWrap/>
            <w:vAlign w:val="center"/>
          </w:tcPr>
          <w:p w14:paraId="2A619DE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(8.52)</w:t>
            </w:r>
          </w:p>
        </w:tc>
        <w:tc>
          <w:tcPr>
            <w:tcW w:w="753" w:type="pct"/>
            <w:tcBorders>
              <w:top w:val="nil"/>
              <w:left w:val="nil"/>
              <w:bottom w:val="nil"/>
              <w:right w:val="nil"/>
            </w:tcBorders>
            <w:shd w:val="clear" w:color="auto" w:fill="auto"/>
            <w:noWrap/>
            <w:vAlign w:val="center"/>
          </w:tcPr>
          <w:p w14:paraId="7DF29DC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(9.24)</w:t>
            </w:r>
          </w:p>
        </w:tc>
        <w:tc>
          <w:tcPr>
            <w:tcW w:w="410" w:type="pct"/>
            <w:tcBorders>
              <w:top w:val="nil"/>
              <w:left w:val="nil"/>
              <w:bottom w:val="nil"/>
              <w:right w:val="nil"/>
            </w:tcBorders>
            <w:shd w:val="clear" w:color="auto" w:fill="auto"/>
            <w:noWrap/>
            <w:vAlign w:val="center"/>
          </w:tcPr>
          <w:p w14:paraId="5F9C8BE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3AEF87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3A7E391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(5.37)</w:t>
            </w:r>
          </w:p>
        </w:tc>
        <w:tc>
          <w:tcPr>
            <w:tcW w:w="712" w:type="pct"/>
            <w:tcBorders>
              <w:top w:val="nil"/>
              <w:left w:val="nil"/>
              <w:bottom w:val="nil"/>
              <w:right w:val="nil"/>
            </w:tcBorders>
            <w:shd w:val="clear" w:color="auto" w:fill="auto"/>
            <w:noWrap/>
            <w:vAlign w:val="center"/>
          </w:tcPr>
          <w:p w14:paraId="1760A4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(5.94)</w:t>
            </w:r>
          </w:p>
        </w:tc>
        <w:tc>
          <w:tcPr>
            <w:tcW w:w="383" w:type="pct"/>
            <w:tcBorders>
              <w:top w:val="nil"/>
              <w:left w:val="nil"/>
              <w:bottom w:val="nil"/>
              <w:right w:val="nil"/>
            </w:tcBorders>
            <w:shd w:val="clear" w:color="auto" w:fill="auto"/>
            <w:noWrap/>
            <w:vAlign w:val="center"/>
          </w:tcPr>
          <w:p w14:paraId="718B4D33" w14:textId="77777777" w:rsidR="00064BE2" w:rsidRDefault="00064BE2">
            <w:pPr>
              <w:spacing w:line="360" w:lineRule="auto"/>
              <w:jc w:val="both"/>
              <w:rPr>
                <w:rFonts w:ascii="Book Antiqua" w:eastAsia="Book Antiqua" w:hAnsi="Book Antiqua" w:cs="Book Antiqua"/>
                <w:color w:val="000000"/>
              </w:rPr>
            </w:pPr>
          </w:p>
        </w:tc>
      </w:tr>
      <w:tr w:rsidR="00064BE2" w14:paraId="18AE48B4" w14:textId="77777777">
        <w:trPr>
          <w:trHeight w:val="285"/>
        </w:trPr>
        <w:tc>
          <w:tcPr>
            <w:tcW w:w="1095" w:type="pct"/>
            <w:tcBorders>
              <w:top w:val="nil"/>
              <w:left w:val="nil"/>
              <w:bottom w:val="nil"/>
              <w:right w:val="nil"/>
            </w:tcBorders>
            <w:shd w:val="clear" w:color="auto" w:fill="auto"/>
            <w:noWrap/>
            <w:vAlign w:val="center"/>
          </w:tcPr>
          <w:p w14:paraId="6E92D63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w:t>
            </w:r>
          </w:p>
        </w:tc>
        <w:tc>
          <w:tcPr>
            <w:tcW w:w="616" w:type="pct"/>
            <w:tcBorders>
              <w:top w:val="nil"/>
              <w:left w:val="nil"/>
              <w:bottom w:val="nil"/>
              <w:right w:val="nil"/>
            </w:tcBorders>
            <w:shd w:val="clear" w:color="auto" w:fill="auto"/>
            <w:noWrap/>
            <w:vAlign w:val="center"/>
          </w:tcPr>
          <w:p w14:paraId="123114D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81 (30.00)</w:t>
            </w:r>
          </w:p>
        </w:tc>
        <w:tc>
          <w:tcPr>
            <w:tcW w:w="753" w:type="pct"/>
            <w:tcBorders>
              <w:top w:val="nil"/>
              <w:left w:val="nil"/>
              <w:bottom w:val="nil"/>
              <w:right w:val="nil"/>
            </w:tcBorders>
            <w:shd w:val="clear" w:color="auto" w:fill="auto"/>
            <w:noWrap/>
            <w:vAlign w:val="center"/>
          </w:tcPr>
          <w:p w14:paraId="7FF91E3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 (26.07)</w:t>
            </w:r>
          </w:p>
        </w:tc>
        <w:tc>
          <w:tcPr>
            <w:tcW w:w="410" w:type="pct"/>
            <w:tcBorders>
              <w:top w:val="nil"/>
              <w:left w:val="nil"/>
              <w:bottom w:val="nil"/>
              <w:right w:val="nil"/>
            </w:tcBorders>
            <w:shd w:val="clear" w:color="auto" w:fill="auto"/>
            <w:noWrap/>
            <w:vAlign w:val="center"/>
          </w:tcPr>
          <w:p w14:paraId="130856CF"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1F6F36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39E3A23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101 (18.70)</w:t>
            </w:r>
          </w:p>
        </w:tc>
        <w:tc>
          <w:tcPr>
            <w:tcW w:w="712" w:type="pct"/>
            <w:tcBorders>
              <w:top w:val="nil"/>
              <w:left w:val="nil"/>
              <w:bottom w:val="nil"/>
              <w:right w:val="nil"/>
            </w:tcBorders>
            <w:shd w:val="clear" w:color="auto" w:fill="auto"/>
            <w:noWrap/>
            <w:vAlign w:val="center"/>
          </w:tcPr>
          <w:p w14:paraId="6CD2C08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103 (17.00)</w:t>
            </w:r>
          </w:p>
        </w:tc>
        <w:tc>
          <w:tcPr>
            <w:tcW w:w="383" w:type="pct"/>
            <w:tcBorders>
              <w:top w:val="nil"/>
              <w:left w:val="nil"/>
              <w:bottom w:val="nil"/>
              <w:right w:val="nil"/>
            </w:tcBorders>
            <w:shd w:val="clear" w:color="auto" w:fill="auto"/>
            <w:noWrap/>
            <w:vAlign w:val="center"/>
          </w:tcPr>
          <w:p w14:paraId="6C306C0E" w14:textId="77777777" w:rsidR="00064BE2" w:rsidRDefault="00064BE2">
            <w:pPr>
              <w:spacing w:line="360" w:lineRule="auto"/>
              <w:jc w:val="both"/>
              <w:rPr>
                <w:rFonts w:ascii="Book Antiqua" w:eastAsia="Book Antiqua" w:hAnsi="Book Antiqua" w:cs="Book Antiqua"/>
                <w:color w:val="000000"/>
              </w:rPr>
            </w:pPr>
          </w:p>
        </w:tc>
      </w:tr>
      <w:tr w:rsidR="00064BE2" w14:paraId="5FD82032" w14:textId="77777777">
        <w:trPr>
          <w:trHeight w:val="285"/>
        </w:trPr>
        <w:tc>
          <w:tcPr>
            <w:tcW w:w="1095" w:type="pct"/>
            <w:tcBorders>
              <w:top w:val="nil"/>
              <w:left w:val="nil"/>
              <w:bottom w:val="nil"/>
              <w:right w:val="nil"/>
            </w:tcBorders>
            <w:shd w:val="clear" w:color="auto" w:fill="auto"/>
            <w:noWrap/>
            <w:vAlign w:val="center"/>
          </w:tcPr>
          <w:p w14:paraId="7127DF5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21B0883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(0.37)</w:t>
            </w:r>
          </w:p>
        </w:tc>
        <w:tc>
          <w:tcPr>
            <w:tcW w:w="753" w:type="pct"/>
            <w:tcBorders>
              <w:top w:val="nil"/>
              <w:left w:val="nil"/>
              <w:bottom w:val="nil"/>
              <w:right w:val="nil"/>
            </w:tcBorders>
            <w:shd w:val="clear" w:color="auto" w:fill="auto"/>
            <w:noWrap/>
            <w:vAlign w:val="center"/>
          </w:tcPr>
          <w:p w14:paraId="0C667E0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52FD701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FC10561"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0AF845D7"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719BF649"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07443CAB" w14:textId="77777777" w:rsidR="00064BE2" w:rsidRDefault="00064BE2">
            <w:pPr>
              <w:spacing w:line="360" w:lineRule="auto"/>
              <w:jc w:val="both"/>
              <w:rPr>
                <w:rFonts w:ascii="Book Antiqua" w:eastAsia="Book Antiqua" w:hAnsi="Book Antiqua" w:cs="Book Antiqua"/>
                <w:color w:val="000000"/>
              </w:rPr>
            </w:pPr>
          </w:p>
        </w:tc>
      </w:tr>
      <w:tr w:rsidR="00064BE2" w14:paraId="783B8815" w14:textId="77777777">
        <w:trPr>
          <w:trHeight w:val="285"/>
        </w:trPr>
        <w:tc>
          <w:tcPr>
            <w:tcW w:w="1095" w:type="pct"/>
            <w:tcBorders>
              <w:top w:val="nil"/>
              <w:left w:val="nil"/>
              <w:bottom w:val="nil"/>
              <w:right w:val="nil"/>
            </w:tcBorders>
            <w:shd w:val="clear" w:color="auto" w:fill="auto"/>
            <w:noWrap/>
            <w:vAlign w:val="center"/>
          </w:tcPr>
          <w:p w14:paraId="0158013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w:t>
            </w:r>
          </w:p>
        </w:tc>
        <w:tc>
          <w:tcPr>
            <w:tcW w:w="616" w:type="pct"/>
            <w:tcBorders>
              <w:top w:val="nil"/>
              <w:left w:val="nil"/>
              <w:bottom w:val="nil"/>
              <w:right w:val="nil"/>
            </w:tcBorders>
            <w:shd w:val="clear" w:color="auto" w:fill="auto"/>
            <w:noWrap/>
            <w:vAlign w:val="center"/>
          </w:tcPr>
          <w:p w14:paraId="2833A02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(1.48)</w:t>
            </w:r>
          </w:p>
        </w:tc>
        <w:tc>
          <w:tcPr>
            <w:tcW w:w="753" w:type="pct"/>
            <w:tcBorders>
              <w:top w:val="nil"/>
              <w:left w:val="nil"/>
              <w:bottom w:val="nil"/>
              <w:right w:val="nil"/>
            </w:tcBorders>
            <w:shd w:val="clear" w:color="auto" w:fill="auto"/>
            <w:noWrap/>
            <w:vAlign w:val="center"/>
          </w:tcPr>
          <w:p w14:paraId="5F92E33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(1.98)</w:t>
            </w:r>
          </w:p>
        </w:tc>
        <w:tc>
          <w:tcPr>
            <w:tcW w:w="410" w:type="pct"/>
            <w:tcBorders>
              <w:top w:val="nil"/>
              <w:left w:val="nil"/>
              <w:bottom w:val="nil"/>
              <w:right w:val="nil"/>
            </w:tcBorders>
            <w:shd w:val="clear" w:color="auto" w:fill="auto"/>
            <w:noWrap/>
            <w:vAlign w:val="center"/>
          </w:tcPr>
          <w:p w14:paraId="2123701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678EE516"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6FF75D92"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7FCDAF68"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10CF3546" w14:textId="77777777" w:rsidR="00064BE2" w:rsidRDefault="00064BE2">
            <w:pPr>
              <w:spacing w:line="360" w:lineRule="auto"/>
              <w:jc w:val="both"/>
              <w:rPr>
                <w:rFonts w:ascii="Book Antiqua" w:eastAsia="Book Antiqua" w:hAnsi="Book Antiqua" w:cs="Book Antiqua"/>
                <w:color w:val="000000"/>
              </w:rPr>
            </w:pPr>
          </w:p>
        </w:tc>
      </w:tr>
      <w:tr w:rsidR="00064BE2" w14:paraId="36027987" w14:textId="77777777">
        <w:trPr>
          <w:trHeight w:val="285"/>
        </w:trPr>
        <w:tc>
          <w:tcPr>
            <w:tcW w:w="1095" w:type="pct"/>
            <w:tcBorders>
              <w:top w:val="nil"/>
              <w:left w:val="nil"/>
              <w:bottom w:val="nil"/>
              <w:right w:val="nil"/>
            </w:tcBorders>
            <w:shd w:val="clear" w:color="auto" w:fill="auto"/>
            <w:noWrap/>
            <w:vAlign w:val="center"/>
          </w:tcPr>
          <w:p w14:paraId="1EE07CA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AA</w:t>
            </w:r>
          </w:p>
        </w:tc>
        <w:tc>
          <w:tcPr>
            <w:tcW w:w="616" w:type="pct"/>
            <w:tcBorders>
              <w:top w:val="nil"/>
              <w:left w:val="nil"/>
              <w:bottom w:val="nil"/>
              <w:right w:val="nil"/>
            </w:tcBorders>
            <w:shd w:val="clear" w:color="auto" w:fill="auto"/>
            <w:noWrap/>
            <w:vAlign w:val="center"/>
          </w:tcPr>
          <w:p w14:paraId="251BB3D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(2.96)</w:t>
            </w:r>
          </w:p>
        </w:tc>
        <w:tc>
          <w:tcPr>
            <w:tcW w:w="753" w:type="pct"/>
            <w:tcBorders>
              <w:top w:val="nil"/>
              <w:left w:val="nil"/>
              <w:bottom w:val="nil"/>
              <w:right w:val="nil"/>
            </w:tcBorders>
            <w:shd w:val="clear" w:color="auto" w:fill="auto"/>
            <w:noWrap/>
            <w:vAlign w:val="center"/>
          </w:tcPr>
          <w:p w14:paraId="32CE30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(2.97)</w:t>
            </w:r>
          </w:p>
        </w:tc>
        <w:tc>
          <w:tcPr>
            <w:tcW w:w="410" w:type="pct"/>
            <w:tcBorders>
              <w:top w:val="nil"/>
              <w:left w:val="nil"/>
              <w:bottom w:val="nil"/>
              <w:right w:val="nil"/>
            </w:tcBorders>
            <w:shd w:val="clear" w:color="auto" w:fill="auto"/>
            <w:noWrap/>
            <w:vAlign w:val="center"/>
          </w:tcPr>
          <w:p w14:paraId="2B367E1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6490C57F"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0F5845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05E3947E"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06C45BCD" w14:textId="77777777" w:rsidR="00064BE2" w:rsidRDefault="00064BE2">
            <w:pPr>
              <w:spacing w:line="360" w:lineRule="auto"/>
              <w:jc w:val="both"/>
              <w:rPr>
                <w:rFonts w:ascii="Book Antiqua" w:eastAsia="Book Antiqua" w:hAnsi="Book Antiqua" w:cs="Book Antiqua"/>
                <w:color w:val="000000"/>
              </w:rPr>
            </w:pPr>
          </w:p>
        </w:tc>
      </w:tr>
      <w:tr w:rsidR="00064BE2" w14:paraId="76B5784B" w14:textId="77777777">
        <w:trPr>
          <w:trHeight w:val="464"/>
        </w:trPr>
        <w:tc>
          <w:tcPr>
            <w:tcW w:w="1095" w:type="pct"/>
            <w:tcBorders>
              <w:top w:val="nil"/>
              <w:left w:val="nil"/>
              <w:bottom w:val="nil"/>
              <w:right w:val="nil"/>
            </w:tcBorders>
            <w:shd w:val="clear" w:color="auto" w:fill="auto"/>
            <w:noWrap/>
            <w:vAlign w:val="center"/>
          </w:tcPr>
          <w:p w14:paraId="17FCF06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rs1130864 (G &gt; A)</w:t>
            </w:r>
          </w:p>
        </w:tc>
        <w:tc>
          <w:tcPr>
            <w:tcW w:w="616" w:type="pct"/>
            <w:tcBorders>
              <w:top w:val="nil"/>
              <w:left w:val="nil"/>
              <w:bottom w:val="nil"/>
              <w:right w:val="nil"/>
            </w:tcBorders>
            <w:shd w:val="clear" w:color="auto" w:fill="auto"/>
            <w:noWrap/>
            <w:vAlign w:val="center"/>
          </w:tcPr>
          <w:p w14:paraId="5D9FA0BE"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4FE6867E"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59C27813"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48544C0"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7AB370A"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5E6B6ACD"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59ED1117" w14:textId="77777777" w:rsidR="00064BE2" w:rsidRDefault="00064BE2">
            <w:pPr>
              <w:spacing w:line="360" w:lineRule="auto"/>
              <w:jc w:val="both"/>
              <w:rPr>
                <w:rFonts w:ascii="Book Antiqua" w:eastAsia="Book Antiqua" w:hAnsi="Book Antiqua" w:cs="Book Antiqua"/>
                <w:color w:val="000000"/>
              </w:rPr>
            </w:pPr>
          </w:p>
        </w:tc>
      </w:tr>
      <w:tr w:rsidR="00064BE2" w14:paraId="03E832C0" w14:textId="77777777">
        <w:trPr>
          <w:trHeight w:val="285"/>
        </w:trPr>
        <w:tc>
          <w:tcPr>
            <w:tcW w:w="1095" w:type="pct"/>
            <w:tcBorders>
              <w:top w:val="nil"/>
              <w:left w:val="nil"/>
              <w:bottom w:val="nil"/>
              <w:right w:val="nil"/>
            </w:tcBorders>
            <w:shd w:val="clear" w:color="auto" w:fill="auto"/>
            <w:noWrap/>
            <w:vAlign w:val="center"/>
          </w:tcPr>
          <w:p w14:paraId="2AD4C66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GG</w:t>
            </w:r>
          </w:p>
        </w:tc>
        <w:tc>
          <w:tcPr>
            <w:tcW w:w="616" w:type="pct"/>
            <w:tcBorders>
              <w:top w:val="nil"/>
              <w:left w:val="nil"/>
              <w:bottom w:val="nil"/>
              <w:right w:val="nil"/>
            </w:tcBorders>
            <w:shd w:val="clear" w:color="auto" w:fill="auto"/>
            <w:noWrap/>
            <w:vAlign w:val="center"/>
          </w:tcPr>
          <w:p w14:paraId="3FCBA89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241 (89.26)</w:t>
            </w:r>
          </w:p>
        </w:tc>
        <w:tc>
          <w:tcPr>
            <w:tcW w:w="753" w:type="pct"/>
            <w:tcBorders>
              <w:top w:val="nil"/>
              <w:left w:val="nil"/>
              <w:bottom w:val="nil"/>
              <w:right w:val="nil"/>
            </w:tcBorders>
            <w:shd w:val="clear" w:color="auto" w:fill="auto"/>
            <w:noWrap/>
            <w:vAlign w:val="center"/>
          </w:tcPr>
          <w:p w14:paraId="030FA6E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270 (89.11)</w:t>
            </w:r>
          </w:p>
        </w:tc>
        <w:tc>
          <w:tcPr>
            <w:tcW w:w="410" w:type="pct"/>
            <w:tcBorders>
              <w:top w:val="nil"/>
              <w:left w:val="nil"/>
              <w:bottom w:val="nil"/>
              <w:right w:val="nil"/>
            </w:tcBorders>
            <w:shd w:val="clear" w:color="auto" w:fill="auto"/>
            <w:noWrap/>
            <w:vAlign w:val="center"/>
          </w:tcPr>
          <w:p w14:paraId="0A8219E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0.797</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3C275DD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w:t>
            </w:r>
          </w:p>
        </w:tc>
        <w:tc>
          <w:tcPr>
            <w:tcW w:w="616" w:type="pct"/>
            <w:tcBorders>
              <w:top w:val="nil"/>
              <w:left w:val="nil"/>
              <w:bottom w:val="nil"/>
              <w:right w:val="nil"/>
            </w:tcBorders>
            <w:shd w:val="clear" w:color="auto" w:fill="auto"/>
            <w:noWrap/>
            <w:vAlign w:val="center"/>
          </w:tcPr>
          <w:p w14:paraId="4D4742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509 (94.26)</w:t>
            </w:r>
          </w:p>
        </w:tc>
        <w:tc>
          <w:tcPr>
            <w:tcW w:w="712" w:type="pct"/>
            <w:tcBorders>
              <w:top w:val="nil"/>
              <w:left w:val="nil"/>
              <w:bottom w:val="nil"/>
              <w:right w:val="nil"/>
            </w:tcBorders>
            <w:shd w:val="clear" w:color="auto" w:fill="auto"/>
            <w:noWrap/>
            <w:vAlign w:val="center"/>
          </w:tcPr>
          <w:p w14:paraId="41BC138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572 (94.39)</w:t>
            </w:r>
          </w:p>
        </w:tc>
        <w:tc>
          <w:tcPr>
            <w:tcW w:w="383" w:type="pct"/>
            <w:tcBorders>
              <w:top w:val="nil"/>
              <w:left w:val="nil"/>
              <w:bottom w:val="nil"/>
              <w:right w:val="nil"/>
            </w:tcBorders>
            <w:shd w:val="clear" w:color="auto" w:fill="auto"/>
            <w:noWrap/>
            <w:vAlign w:val="center"/>
          </w:tcPr>
          <w:p w14:paraId="674602D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0.924</w:t>
            </w:r>
          </w:p>
        </w:tc>
      </w:tr>
      <w:tr w:rsidR="00064BE2" w14:paraId="43C1792A" w14:textId="77777777">
        <w:trPr>
          <w:trHeight w:val="285"/>
        </w:trPr>
        <w:tc>
          <w:tcPr>
            <w:tcW w:w="1095" w:type="pct"/>
            <w:tcBorders>
              <w:top w:val="nil"/>
              <w:left w:val="nil"/>
              <w:bottom w:val="nil"/>
              <w:right w:val="nil"/>
            </w:tcBorders>
            <w:shd w:val="clear" w:color="auto" w:fill="auto"/>
            <w:noWrap/>
            <w:vAlign w:val="center"/>
          </w:tcPr>
          <w:p w14:paraId="7DEFA32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w:t>
            </w:r>
          </w:p>
        </w:tc>
        <w:tc>
          <w:tcPr>
            <w:tcW w:w="616" w:type="pct"/>
            <w:tcBorders>
              <w:top w:val="nil"/>
              <w:left w:val="nil"/>
              <w:bottom w:val="nil"/>
              <w:right w:val="nil"/>
            </w:tcBorders>
            <w:shd w:val="clear" w:color="auto" w:fill="auto"/>
            <w:noWrap/>
            <w:vAlign w:val="center"/>
          </w:tcPr>
          <w:p w14:paraId="6D52D9D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(10.00)</w:t>
            </w:r>
          </w:p>
        </w:tc>
        <w:tc>
          <w:tcPr>
            <w:tcW w:w="753" w:type="pct"/>
            <w:tcBorders>
              <w:top w:val="nil"/>
              <w:left w:val="nil"/>
              <w:bottom w:val="nil"/>
              <w:right w:val="nil"/>
            </w:tcBorders>
            <w:shd w:val="clear" w:color="auto" w:fill="auto"/>
            <w:noWrap/>
            <w:vAlign w:val="center"/>
          </w:tcPr>
          <w:p w14:paraId="1E7D1D9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(10.56)</w:t>
            </w:r>
          </w:p>
        </w:tc>
        <w:tc>
          <w:tcPr>
            <w:tcW w:w="410" w:type="pct"/>
            <w:tcBorders>
              <w:top w:val="nil"/>
              <w:left w:val="nil"/>
              <w:bottom w:val="nil"/>
              <w:right w:val="nil"/>
            </w:tcBorders>
            <w:shd w:val="clear" w:color="auto" w:fill="auto"/>
            <w:noWrap/>
            <w:vAlign w:val="center"/>
          </w:tcPr>
          <w:p w14:paraId="40E54B7A"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78D597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44AD20E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(5.74)</w:t>
            </w:r>
          </w:p>
        </w:tc>
        <w:tc>
          <w:tcPr>
            <w:tcW w:w="712" w:type="pct"/>
            <w:tcBorders>
              <w:top w:val="nil"/>
              <w:left w:val="nil"/>
              <w:bottom w:val="nil"/>
              <w:right w:val="nil"/>
            </w:tcBorders>
            <w:shd w:val="clear" w:color="auto" w:fill="auto"/>
            <w:noWrap/>
            <w:vAlign w:val="center"/>
          </w:tcPr>
          <w:p w14:paraId="40D3805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(5.61)</w:t>
            </w:r>
          </w:p>
        </w:tc>
        <w:tc>
          <w:tcPr>
            <w:tcW w:w="383" w:type="pct"/>
            <w:tcBorders>
              <w:top w:val="nil"/>
              <w:left w:val="nil"/>
              <w:bottom w:val="nil"/>
              <w:right w:val="nil"/>
            </w:tcBorders>
            <w:shd w:val="clear" w:color="auto" w:fill="auto"/>
            <w:noWrap/>
            <w:vAlign w:val="center"/>
          </w:tcPr>
          <w:p w14:paraId="0CEEE485" w14:textId="77777777" w:rsidR="00064BE2" w:rsidRDefault="00064BE2">
            <w:pPr>
              <w:spacing w:line="360" w:lineRule="auto"/>
              <w:jc w:val="both"/>
              <w:rPr>
                <w:rFonts w:ascii="Book Antiqua" w:eastAsia="Book Antiqua" w:hAnsi="Book Antiqua" w:cs="Book Antiqua"/>
                <w:color w:val="000000"/>
              </w:rPr>
            </w:pPr>
          </w:p>
        </w:tc>
      </w:tr>
      <w:tr w:rsidR="00064BE2" w14:paraId="0D8C813E" w14:textId="77777777">
        <w:trPr>
          <w:trHeight w:val="285"/>
        </w:trPr>
        <w:tc>
          <w:tcPr>
            <w:tcW w:w="1095" w:type="pct"/>
            <w:tcBorders>
              <w:top w:val="nil"/>
              <w:left w:val="nil"/>
              <w:bottom w:val="nil"/>
              <w:right w:val="nil"/>
            </w:tcBorders>
            <w:shd w:val="clear" w:color="auto" w:fill="auto"/>
            <w:noWrap/>
            <w:vAlign w:val="center"/>
          </w:tcPr>
          <w:p w14:paraId="7052189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AA</w:t>
            </w:r>
          </w:p>
        </w:tc>
        <w:tc>
          <w:tcPr>
            <w:tcW w:w="616" w:type="pct"/>
            <w:tcBorders>
              <w:top w:val="nil"/>
              <w:left w:val="nil"/>
              <w:bottom w:val="nil"/>
              <w:right w:val="nil"/>
            </w:tcBorders>
            <w:shd w:val="clear" w:color="auto" w:fill="auto"/>
            <w:noWrap/>
            <w:vAlign w:val="center"/>
          </w:tcPr>
          <w:p w14:paraId="1886855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(0.74)</w:t>
            </w:r>
          </w:p>
        </w:tc>
        <w:tc>
          <w:tcPr>
            <w:tcW w:w="753" w:type="pct"/>
            <w:tcBorders>
              <w:top w:val="nil"/>
              <w:left w:val="nil"/>
              <w:bottom w:val="nil"/>
              <w:right w:val="nil"/>
            </w:tcBorders>
            <w:shd w:val="clear" w:color="auto" w:fill="auto"/>
            <w:noWrap/>
            <w:vAlign w:val="center"/>
          </w:tcPr>
          <w:p w14:paraId="7BB639D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18D5C1C7"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B77ACA8"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1927A02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038641F"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E65AC37" w14:textId="77777777" w:rsidR="00064BE2" w:rsidRDefault="00064BE2">
            <w:pPr>
              <w:spacing w:line="360" w:lineRule="auto"/>
              <w:jc w:val="both"/>
              <w:rPr>
                <w:rFonts w:ascii="Book Antiqua" w:eastAsia="Book Antiqua" w:hAnsi="Book Antiqua" w:cs="Book Antiqua"/>
                <w:color w:val="000000"/>
              </w:rPr>
            </w:pPr>
          </w:p>
        </w:tc>
      </w:tr>
      <w:tr w:rsidR="00064BE2" w14:paraId="001F1C51" w14:textId="77777777">
        <w:trPr>
          <w:trHeight w:val="300"/>
        </w:trPr>
        <w:tc>
          <w:tcPr>
            <w:tcW w:w="1095" w:type="pct"/>
            <w:tcBorders>
              <w:top w:val="nil"/>
              <w:left w:val="nil"/>
              <w:bottom w:val="nil"/>
              <w:right w:val="nil"/>
            </w:tcBorders>
            <w:shd w:val="clear" w:color="auto" w:fill="auto"/>
            <w:noWrap/>
            <w:vAlign w:val="center"/>
          </w:tcPr>
          <w:p w14:paraId="6246D10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rs1800947 (C &gt; G)</w:t>
            </w:r>
          </w:p>
        </w:tc>
        <w:tc>
          <w:tcPr>
            <w:tcW w:w="616" w:type="pct"/>
            <w:tcBorders>
              <w:top w:val="nil"/>
              <w:left w:val="nil"/>
              <w:bottom w:val="nil"/>
              <w:right w:val="nil"/>
            </w:tcBorders>
            <w:shd w:val="clear" w:color="auto" w:fill="auto"/>
            <w:noWrap/>
            <w:vAlign w:val="center"/>
          </w:tcPr>
          <w:p w14:paraId="51CE11DF"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69907C6A"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6701D7A1"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CBA359F"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1EA7F173"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BE696B4"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48304DA2" w14:textId="77777777" w:rsidR="00064BE2" w:rsidRDefault="00064BE2">
            <w:pPr>
              <w:spacing w:line="360" w:lineRule="auto"/>
              <w:jc w:val="both"/>
              <w:rPr>
                <w:rFonts w:ascii="Book Antiqua" w:eastAsia="Book Antiqua" w:hAnsi="Book Antiqua" w:cs="Book Antiqua"/>
                <w:color w:val="000000"/>
              </w:rPr>
            </w:pPr>
          </w:p>
        </w:tc>
      </w:tr>
      <w:tr w:rsidR="00064BE2" w14:paraId="33870A66" w14:textId="77777777">
        <w:trPr>
          <w:trHeight w:val="285"/>
        </w:trPr>
        <w:tc>
          <w:tcPr>
            <w:tcW w:w="1095" w:type="pct"/>
            <w:tcBorders>
              <w:top w:val="nil"/>
              <w:left w:val="nil"/>
              <w:bottom w:val="nil"/>
              <w:right w:val="nil"/>
            </w:tcBorders>
            <w:shd w:val="clear" w:color="auto" w:fill="auto"/>
            <w:noWrap/>
            <w:vAlign w:val="center"/>
          </w:tcPr>
          <w:p w14:paraId="448E087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7E6E00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245 (90.74)</w:t>
            </w:r>
          </w:p>
        </w:tc>
        <w:tc>
          <w:tcPr>
            <w:tcW w:w="753" w:type="pct"/>
            <w:tcBorders>
              <w:top w:val="nil"/>
              <w:left w:val="nil"/>
              <w:bottom w:val="nil"/>
              <w:right w:val="nil"/>
            </w:tcBorders>
            <w:shd w:val="clear" w:color="auto" w:fill="auto"/>
            <w:noWrap/>
            <w:vAlign w:val="center"/>
          </w:tcPr>
          <w:p w14:paraId="0F2D098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273 (90.10)</w:t>
            </w:r>
          </w:p>
        </w:tc>
        <w:tc>
          <w:tcPr>
            <w:tcW w:w="410" w:type="pct"/>
            <w:tcBorders>
              <w:top w:val="nil"/>
              <w:left w:val="nil"/>
              <w:bottom w:val="nil"/>
              <w:right w:val="nil"/>
            </w:tcBorders>
            <w:shd w:val="clear" w:color="auto" w:fill="auto"/>
            <w:noWrap/>
            <w:vAlign w:val="center"/>
          </w:tcPr>
          <w:p w14:paraId="4DD3D84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1.000</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531D4A9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25C3C6D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515 (95.37)</w:t>
            </w:r>
          </w:p>
        </w:tc>
        <w:tc>
          <w:tcPr>
            <w:tcW w:w="712" w:type="pct"/>
            <w:tcBorders>
              <w:top w:val="nil"/>
              <w:left w:val="nil"/>
              <w:bottom w:val="nil"/>
              <w:right w:val="nil"/>
            </w:tcBorders>
            <w:shd w:val="clear" w:color="auto" w:fill="auto"/>
            <w:noWrap/>
            <w:vAlign w:val="center"/>
          </w:tcPr>
          <w:p w14:paraId="62B1131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575 (94.88)</w:t>
            </w:r>
          </w:p>
        </w:tc>
        <w:tc>
          <w:tcPr>
            <w:tcW w:w="383" w:type="pct"/>
            <w:tcBorders>
              <w:top w:val="nil"/>
              <w:left w:val="nil"/>
              <w:bottom w:val="nil"/>
              <w:right w:val="nil"/>
            </w:tcBorders>
            <w:shd w:val="clear" w:color="auto" w:fill="auto"/>
            <w:noWrap/>
            <w:vAlign w:val="center"/>
          </w:tcPr>
          <w:p w14:paraId="3E35DDB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0.703</w:t>
            </w:r>
          </w:p>
        </w:tc>
      </w:tr>
      <w:tr w:rsidR="00064BE2" w14:paraId="3F4B0C56" w14:textId="77777777">
        <w:trPr>
          <w:trHeight w:val="285"/>
        </w:trPr>
        <w:tc>
          <w:tcPr>
            <w:tcW w:w="1095" w:type="pct"/>
            <w:tcBorders>
              <w:top w:val="nil"/>
              <w:left w:val="nil"/>
              <w:bottom w:val="nil"/>
              <w:right w:val="nil"/>
            </w:tcBorders>
            <w:shd w:val="clear" w:color="auto" w:fill="auto"/>
            <w:noWrap/>
            <w:vAlign w:val="center"/>
          </w:tcPr>
          <w:p w14:paraId="5EA6B3E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CG</w:t>
            </w:r>
          </w:p>
        </w:tc>
        <w:tc>
          <w:tcPr>
            <w:tcW w:w="616" w:type="pct"/>
            <w:tcBorders>
              <w:top w:val="nil"/>
              <w:left w:val="nil"/>
              <w:bottom w:val="nil"/>
              <w:right w:val="nil"/>
            </w:tcBorders>
            <w:shd w:val="clear" w:color="auto" w:fill="auto"/>
            <w:noWrap/>
            <w:vAlign w:val="center"/>
          </w:tcPr>
          <w:p w14:paraId="3C4FD43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(9.26)</w:t>
            </w:r>
          </w:p>
        </w:tc>
        <w:tc>
          <w:tcPr>
            <w:tcW w:w="753" w:type="pct"/>
            <w:tcBorders>
              <w:top w:val="nil"/>
              <w:left w:val="nil"/>
              <w:bottom w:val="nil"/>
              <w:right w:val="nil"/>
            </w:tcBorders>
            <w:shd w:val="clear" w:color="auto" w:fill="auto"/>
            <w:noWrap/>
            <w:vAlign w:val="center"/>
          </w:tcPr>
          <w:p w14:paraId="5D8D507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(9.57)</w:t>
            </w:r>
          </w:p>
        </w:tc>
        <w:tc>
          <w:tcPr>
            <w:tcW w:w="410" w:type="pct"/>
            <w:tcBorders>
              <w:top w:val="nil"/>
              <w:left w:val="nil"/>
              <w:bottom w:val="nil"/>
              <w:right w:val="nil"/>
            </w:tcBorders>
            <w:shd w:val="clear" w:color="auto" w:fill="auto"/>
            <w:noWrap/>
            <w:vAlign w:val="center"/>
          </w:tcPr>
          <w:p w14:paraId="1155DE0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263437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w:t>
            </w:r>
          </w:p>
        </w:tc>
        <w:tc>
          <w:tcPr>
            <w:tcW w:w="616" w:type="pct"/>
            <w:tcBorders>
              <w:top w:val="nil"/>
              <w:left w:val="nil"/>
              <w:bottom w:val="nil"/>
              <w:right w:val="nil"/>
            </w:tcBorders>
            <w:shd w:val="clear" w:color="auto" w:fill="auto"/>
            <w:noWrap/>
            <w:vAlign w:val="center"/>
          </w:tcPr>
          <w:p w14:paraId="3C51153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(4.63)</w:t>
            </w:r>
          </w:p>
        </w:tc>
        <w:tc>
          <w:tcPr>
            <w:tcW w:w="712" w:type="pct"/>
            <w:tcBorders>
              <w:top w:val="nil"/>
              <w:left w:val="nil"/>
              <w:bottom w:val="nil"/>
              <w:right w:val="nil"/>
            </w:tcBorders>
            <w:shd w:val="clear" w:color="auto" w:fill="auto"/>
            <w:noWrap/>
            <w:vAlign w:val="center"/>
          </w:tcPr>
          <w:p w14:paraId="0DA8EF8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(5.12)</w:t>
            </w:r>
          </w:p>
        </w:tc>
        <w:tc>
          <w:tcPr>
            <w:tcW w:w="383" w:type="pct"/>
            <w:tcBorders>
              <w:top w:val="nil"/>
              <w:left w:val="nil"/>
              <w:bottom w:val="nil"/>
              <w:right w:val="nil"/>
            </w:tcBorders>
            <w:shd w:val="clear" w:color="auto" w:fill="auto"/>
            <w:noWrap/>
            <w:vAlign w:val="center"/>
          </w:tcPr>
          <w:p w14:paraId="24FAA9A6" w14:textId="77777777" w:rsidR="00064BE2" w:rsidRDefault="00064BE2">
            <w:pPr>
              <w:spacing w:line="360" w:lineRule="auto"/>
              <w:jc w:val="both"/>
              <w:rPr>
                <w:rFonts w:ascii="Book Antiqua" w:eastAsia="Book Antiqua" w:hAnsi="Book Antiqua" w:cs="Book Antiqua"/>
                <w:color w:val="000000"/>
              </w:rPr>
            </w:pPr>
          </w:p>
        </w:tc>
      </w:tr>
      <w:tr w:rsidR="00064BE2" w14:paraId="7A6C569D" w14:textId="77777777">
        <w:trPr>
          <w:trHeight w:val="285"/>
        </w:trPr>
        <w:tc>
          <w:tcPr>
            <w:tcW w:w="1095" w:type="pct"/>
            <w:tcBorders>
              <w:top w:val="nil"/>
              <w:left w:val="nil"/>
              <w:bottom w:val="nil"/>
              <w:right w:val="nil"/>
            </w:tcBorders>
            <w:shd w:val="clear" w:color="auto" w:fill="auto"/>
            <w:noWrap/>
            <w:vAlign w:val="center"/>
          </w:tcPr>
          <w:p w14:paraId="3D25209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GG</w:t>
            </w:r>
          </w:p>
        </w:tc>
        <w:tc>
          <w:tcPr>
            <w:tcW w:w="616" w:type="pct"/>
            <w:tcBorders>
              <w:top w:val="nil"/>
              <w:left w:val="nil"/>
              <w:bottom w:val="nil"/>
              <w:right w:val="nil"/>
            </w:tcBorders>
            <w:shd w:val="clear" w:color="auto" w:fill="auto"/>
            <w:noWrap/>
            <w:vAlign w:val="center"/>
          </w:tcPr>
          <w:p w14:paraId="545F7F5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(0.00)</w:t>
            </w:r>
          </w:p>
        </w:tc>
        <w:tc>
          <w:tcPr>
            <w:tcW w:w="753" w:type="pct"/>
            <w:tcBorders>
              <w:top w:val="nil"/>
              <w:left w:val="nil"/>
              <w:bottom w:val="nil"/>
              <w:right w:val="nil"/>
            </w:tcBorders>
            <w:shd w:val="clear" w:color="auto" w:fill="auto"/>
            <w:noWrap/>
            <w:vAlign w:val="center"/>
          </w:tcPr>
          <w:p w14:paraId="6EA61C6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759D7549"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4A95CBE"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6057BC2A"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0DA7A9D"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789EAD54" w14:textId="77777777" w:rsidR="00064BE2" w:rsidRDefault="00064BE2">
            <w:pPr>
              <w:spacing w:line="360" w:lineRule="auto"/>
              <w:jc w:val="both"/>
              <w:rPr>
                <w:rFonts w:ascii="Book Antiqua" w:eastAsia="Book Antiqua" w:hAnsi="Book Antiqua" w:cs="Book Antiqua"/>
                <w:color w:val="000000"/>
              </w:rPr>
            </w:pPr>
          </w:p>
        </w:tc>
      </w:tr>
      <w:tr w:rsidR="00064BE2" w14:paraId="44BD3B2E" w14:textId="77777777">
        <w:trPr>
          <w:trHeight w:val="300"/>
        </w:trPr>
        <w:tc>
          <w:tcPr>
            <w:tcW w:w="1095" w:type="pct"/>
            <w:tcBorders>
              <w:top w:val="nil"/>
              <w:left w:val="nil"/>
              <w:bottom w:val="nil"/>
              <w:right w:val="nil"/>
            </w:tcBorders>
            <w:shd w:val="clear" w:color="auto" w:fill="auto"/>
            <w:noWrap/>
            <w:vAlign w:val="center"/>
          </w:tcPr>
          <w:p w14:paraId="2943C2D7" w14:textId="77777777" w:rsidR="00064BE2" w:rsidRDefault="00000000">
            <w:pPr>
              <w:spacing w:line="360" w:lineRule="auto"/>
              <w:jc w:val="both"/>
              <w:rPr>
                <w:rFonts w:ascii="Book Antiqua" w:eastAsia="Book Antiqua" w:hAnsi="Book Antiqua" w:cs="Book Antiqua"/>
                <w:color w:val="000000"/>
              </w:rPr>
            </w:pPr>
            <w:bookmarkStart w:id="13" w:name="_Hlk40450932"/>
            <w:r>
              <w:rPr>
                <w:rFonts w:ascii="Book Antiqua" w:eastAsia="Book Antiqua" w:hAnsi="Book Antiqua" w:cs="Book Antiqua"/>
                <w:color w:val="000000"/>
              </w:rPr>
              <w:t>rs2794521</w:t>
            </w:r>
            <w:bookmarkEnd w:id="13"/>
            <w:r>
              <w:rPr>
                <w:rFonts w:ascii="Book Antiqua" w:eastAsia="Book Antiqua" w:hAnsi="Book Antiqua" w:cs="Book Antiqua"/>
                <w:color w:val="000000"/>
              </w:rPr>
              <w:t xml:space="preserve"> (T &gt; C)</w:t>
            </w:r>
          </w:p>
        </w:tc>
        <w:tc>
          <w:tcPr>
            <w:tcW w:w="616" w:type="pct"/>
            <w:tcBorders>
              <w:top w:val="nil"/>
              <w:left w:val="nil"/>
              <w:bottom w:val="nil"/>
              <w:right w:val="nil"/>
            </w:tcBorders>
            <w:shd w:val="clear" w:color="auto" w:fill="auto"/>
            <w:noWrap/>
            <w:vAlign w:val="center"/>
          </w:tcPr>
          <w:p w14:paraId="27968B0C"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55611623"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089B2133"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25544E5"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C40D4D7"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E32192B"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2FC5107" w14:textId="77777777" w:rsidR="00064BE2" w:rsidRDefault="00064BE2">
            <w:pPr>
              <w:spacing w:line="360" w:lineRule="auto"/>
              <w:jc w:val="both"/>
              <w:rPr>
                <w:rFonts w:ascii="Book Antiqua" w:eastAsia="Book Antiqua" w:hAnsi="Book Antiqua" w:cs="Book Antiqua"/>
                <w:color w:val="000000"/>
              </w:rPr>
            </w:pPr>
          </w:p>
        </w:tc>
      </w:tr>
      <w:tr w:rsidR="00064BE2" w14:paraId="5A753DF8" w14:textId="77777777">
        <w:trPr>
          <w:trHeight w:val="285"/>
        </w:trPr>
        <w:tc>
          <w:tcPr>
            <w:tcW w:w="1095" w:type="pct"/>
            <w:tcBorders>
              <w:top w:val="nil"/>
              <w:left w:val="nil"/>
              <w:bottom w:val="nil"/>
              <w:right w:val="nil"/>
            </w:tcBorders>
            <w:shd w:val="clear" w:color="auto" w:fill="auto"/>
            <w:noWrap/>
            <w:vAlign w:val="center"/>
          </w:tcPr>
          <w:p w14:paraId="2A94320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1250C42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187 (69.26)</w:t>
            </w:r>
          </w:p>
        </w:tc>
        <w:tc>
          <w:tcPr>
            <w:tcW w:w="753" w:type="pct"/>
            <w:tcBorders>
              <w:top w:val="nil"/>
              <w:left w:val="nil"/>
              <w:bottom w:val="nil"/>
              <w:right w:val="nil"/>
            </w:tcBorders>
            <w:shd w:val="clear" w:color="auto" w:fill="auto"/>
            <w:noWrap/>
            <w:vAlign w:val="center"/>
          </w:tcPr>
          <w:p w14:paraId="3F813B0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222 (73.27)</w:t>
            </w:r>
          </w:p>
        </w:tc>
        <w:tc>
          <w:tcPr>
            <w:tcW w:w="410" w:type="pct"/>
            <w:tcBorders>
              <w:top w:val="nil"/>
              <w:left w:val="nil"/>
              <w:bottom w:val="nil"/>
              <w:right w:val="nil"/>
            </w:tcBorders>
            <w:shd w:val="clear" w:color="auto" w:fill="auto"/>
            <w:noWrap/>
            <w:vAlign w:val="center"/>
          </w:tcPr>
          <w:p w14:paraId="5BC2138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0.177</w:t>
            </w:r>
          </w:p>
        </w:tc>
        <w:tc>
          <w:tcPr>
            <w:tcW w:w="411" w:type="pct"/>
            <w:tcBorders>
              <w:top w:val="nil"/>
              <w:left w:val="nil"/>
              <w:bottom w:val="nil"/>
              <w:right w:val="nil"/>
            </w:tcBorders>
            <w:shd w:val="clear" w:color="auto" w:fill="auto"/>
            <w:noWrap/>
            <w:vAlign w:val="center"/>
          </w:tcPr>
          <w:p w14:paraId="3F73B3F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54CB5AE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446 (82.59)</w:t>
            </w:r>
          </w:p>
        </w:tc>
        <w:tc>
          <w:tcPr>
            <w:tcW w:w="712" w:type="pct"/>
            <w:tcBorders>
              <w:top w:val="nil"/>
              <w:left w:val="nil"/>
              <w:bottom w:val="nil"/>
              <w:right w:val="nil"/>
            </w:tcBorders>
            <w:shd w:val="clear" w:color="auto" w:fill="auto"/>
            <w:noWrap/>
            <w:vAlign w:val="center"/>
          </w:tcPr>
          <w:p w14:paraId="186C14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520 (85.81)</w:t>
            </w:r>
          </w:p>
        </w:tc>
        <w:tc>
          <w:tcPr>
            <w:tcW w:w="383" w:type="pct"/>
            <w:tcBorders>
              <w:top w:val="nil"/>
              <w:left w:val="nil"/>
              <w:bottom w:val="nil"/>
              <w:right w:val="nil"/>
            </w:tcBorders>
            <w:shd w:val="clear" w:color="auto" w:fill="auto"/>
            <w:noWrap/>
            <w:vAlign w:val="center"/>
          </w:tcPr>
          <w:p w14:paraId="0552F45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0.135</w:t>
            </w:r>
          </w:p>
        </w:tc>
      </w:tr>
      <w:tr w:rsidR="00064BE2" w14:paraId="50EEFA6F" w14:textId="77777777">
        <w:trPr>
          <w:trHeight w:val="285"/>
        </w:trPr>
        <w:tc>
          <w:tcPr>
            <w:tcW w:w="1095" w:type="pct"/>
            <w:tcBorders>
              <w:top w:val="nil"/>
              <w:left w:val="nil"/>
              <w:bottom w:val="nil"/>
              <w:right w:val="nil"/>
            </w:tcBorders>
            <w:shd w:val="clear" w:color="auto" w:fill="auto"/>
            <w:noWrap/>
            <w:vAlign w:val="center"/>
          </w:tcPr>
          <w:p w14:paraId="5ED7370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TC</w:t>
            </w:r>
          </w:p>
        </w:tc>
        <w:tc>
          <w:tcPr>
            <w:tcW w:w="616" w:type="pct"/>
            <w:tcBorders>
              <w:top w:val="nil"/>
              <w:left w:val="nil"/>
              <w:bottom w:val="nil"/>
              <w:right w:val="nil"/>
            </w:tcBorders>
            <w:shd w:val="clear" w:color="auto" w:fill="auto"/>
            <w:noWrap/>
            <w:vAlign w:val="center"/>
          </w:tcPr>
          <w:p w14:paraId="0167AD0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 (26.67)</w:t>
            </w:r>
          </w:p>
        </w:tc>
        <w:tc>
          <w:tcPr>
            <w:tcW w:w="753" w:type="pct"/>
            <w:tcBorders>
              <w:top w:val="nil"/>
              <w:left w:val="nil"/>
              <w:bottom w:val="nil"/>
              <w:right w:val="nil"/>
            </w:tcBorders>
            <w:shd w:val="clear" w:color="auto" w:fill="auto"/>
            <w:noWrap/>
            <w:vAlign w:val="center"/>
          </w:tcPr>
          <w:p w14:paraId="01661EC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 (25.08)</w:t>
            </w:r>
          </w:p>
        </w:tc>
        <w:tc>
          <w:tcPr>
            <w:tcW w:w="410" w:type="pct"/>
            <w:tcBorders>
              <w:top w:val="nil"/>
              <w:left w:val="nil"/>
              <w:bottom w:val="nil"/>
              <w:right w:val="nil"/>
            </w:tcBorders>
            <w:shd w:val="clear" w:color="auto" w:fill="auto"/>
            <w:noWrap/>
            <w:vAlign w:val="center"/>
          </w:tcPr>
          <w:p w14:paraId="45B71FA5"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D45C52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18A87FD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 (17.41)</w:t>
            </w:r>
          </w:p>
        </w:tc>
        <w:tc>
          <w:tcPr>
            <w:tcW w:w="712" w:type="pct"/>
            <w:tcBorders>
              <w:top w:val="nil"/>
              <w:left w:val="nil"/>
              <w:bottom w:val="nil"/>
              <w:right w:val="nil"/>
            </w:tcBorders>
            <w:shd w:val="clear" w:color="auto" w:fill="auto"/>
            <w:noWrap/>
            <w:vAlign w:val="center"/>
          </w:tcPr>
          <w:p w14:paraId="133C664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86 (14.19)</w:t>
            </w:r>
          </w:p>
        </w:tc>
        <w:tc>
          <w:tcPr>
            <w:tcW w:w="383" w:type="pct"/>
            <w:tcBorders>
              <w:top w:val="nil"/>
              <w:left w:val="nil"/>
              <w:bottom w:val="nil"/>
              <w:right w:val="nil"/>
            </w:tcBorders>
            <w:shd w:val="clear" w:color="auto" w:fill="auto"/>
            <w:noWrap/>
            <w:vAlign w:val="center"/>
          </w:tcPr>
          <w:p w14:paraId="0F2D1E45" w14:textId="77777777" w:rsidR="00064BE2" w:rsidRDefault="00064BE2">
            <w:pPr>
              <w:spacing w:line="360" w:lineRule="auto"/>
              <w:jc w:val="both"/>
              <w:rPr>
                <w:rFonts w:ascii="Book Antiqua" w:eastAsia="Book Antiqua" w:hAnsi="Book Antiqua" w:cs="Book Antiqua"/>
                <w:color w:val="000000"/>
              </w:rPr>
            </w:pPr>
          </w:p>
        </w:tc>
      </w:tr>
      <w:tr w:rsidR="00064BE2" w14:paraId="3B425F67" w14:textId="77777777">
        <w:trPr>
          <w:trHeight w:val="300"/>
        </w:trPr>
        <w:tc>
          <w:tcPr>
            <w:tcW w:w="1095" w:type="pct"/>
            <w:tcBorders>
              <w:top w:val="nil"/>
              <w:left w:val="nil"/>
              <w:bottom w:val="single" w:sz="8" w:space="0" w:color="auto"/>
              <w:right w:val="nil"/>
            </w:tcBorders>
            <w:shd w:val="clear" w:color="auto" w:fill="auto"/>
            <w:noWrap/>
            <w:vAlign w:val="center"/>
          </w:tcPr>
          <w:p w14:paraId="7B0A451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single" w:sz="8" w:space="0" w:color="auto"/>
              <w:right w:val="nil"/>
            </w:tcBorders>
            <w:shd w:val="clear" w:color="auto" w:fill="auto"/>
            <w:noWrap/>
            <w:vAlign w:val="center"/>
          </w:tcPr>
          <w:p w14:paraId="5409A29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(4.07)</w:t>
            </w:r>
          </w:p>
        </w:tc>
        <w:tc>
          <w:tcPr>
            <w:tcW w:w="753" w:type="pct"/>
            <w:tcBorders>
              <w:top w:val="nil"/>
              <w:left w:val="nil"/>
              <w:bottom w:val="single" w:sz="8" w:space="0" w:color="auto"/>
              <w:right w:val="nil"/>
            </w:tcBorders>
            <w:shd w:val="clear" w:color="auto" w:fill="auto"/>
            <w:noWrap/>
            <w:vAlign w:val="center"/>
          </w:tcPr>
          <w:p w14:paraId="10AEE12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(1.65)</w:t>
            </w:r>
          </w:p>
        </w:tc>
        <w:tc>
          <w:tcPr>
            <w:tcW w:w="410" w:type="pct"/>
            <w:tcBorders>
              <w:top w:val="nil"/>
              <w:left w:val="nil"/>
              <w:bottom w:val="single" w:sz="8" w:space="0" w:color="auto"/>
              <w:right w:val="nil"/>
            </w:tcBorders>
            <w:shd w:val="clear" w:color="auto" w:fill="auto"/>
            <w:noWrap/>
            <w:vAlign w:val="center"/>
          </w:tcPr>
          <w:p w14:paraId="200089C2"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single" w:sz="8" w:space="0" w:color="auto"/>
              <w:right w:val="nil"/>
            </w:tcBorders>
            <w:shd w:val="clear" w:color="auto" w:fill="auto"/>
            <w:noWrap/>
            <w:vAlign w:val="center"/>
          </w:tcPr>
          <w:p w14:paraId="4FB1A33A"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single" w:sz="8" w:space="0" w:color="auto"/>
              <w:right w:val="nil"/>
            </w:tcBorders>
            <w:shd w:val="clear" w:color="auto" w:fill="auto"/>
            <w:noWrap/>
            <w:vAlign w:val="center"/>
          </w:tcPr>
          <w:p w14:paraId="6CCFDA69"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single" w:sz="8" w:space="0" w:color="auto"/>
              <w:right w:val="nil"/>
            </w:tcBorders>
            <w:shd w:val="clear" w:color="auto" w:fill="auto"/>
            <w:noWrap/>
            <w:vAlign w:val="center"/>
          </w:tcPr>
          <w:p w14:paraId="7CFACF06"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single" w:sz="8" w:space="0" w:color="auto"/>
              <w:right w:val="nil"/>
            </w:tcBorders>
            <w:shd w:val="clear" w:color="auto" w:fill="auto"/>
            <w:noWrap/>
            <w:vAlign w:val="center"/>
          </w:tcPr>
          <w:p w14:paraId="3CE51423" w14:textId="77777777" w:rsidR="00064BE2" w:rsidRDefault="00064BE2">
            <w:pPr>
              <w:spacing w:line="360" w:lineRule="auto"/>
              <w:jc w:val="both"/>
              <w:rPr>
                <w:rFonts w:ascii="Book Antiqua" w:eastAsia="Book Antiqua" w:hAnsi="Book Antiqua" w:cs="Book Antiqua"/>
                <w:color w:val="000000"/>
              </w:rPr>
            </w:pPr>
          </w:p>
        </w:tc>
      </w:tr>
    </w:tbl>
    <w:p w14:paraId="7C52C057" w14:textId="77777777" w:rsidR="00064BE2"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Fisher’s exact test; unmarked, Pearson’s chi-squared test.</w:t>
      </w:r>
    </w:p>
    <w:p w14:paraId="0DA9C6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4525E227" w14:textId="77777777" w:rsidR="00064BE2" w:rsidRDefault="00064BE2">
      <w:pPr>
        <w:spacing w:line="360" w:lineRule="auto"/>
        <w:jc w:val="both"/>
        <w:rPr>
          <w:rFonts w:ascii="Book Antiqua" w:eastAsia="宋体" w:hAnsi="Book Antiqua" w:cs="Book Antiqua"/>
          <w:color w:val="000000"/>
          <w:lang w:eastAsia="zh-CN"/>
        </w:rPr>
      </w:pPr>
    </w:p>
    <w:p w14:paraId="5961D885" w14:textId="77777777" w:rsidR="00064BE2" w:rsidRDefault="00064BE2">
      <w:pPr>
        <w:spacing w:line="360" w:lineRule="auto"/>
        <w:jc w:val="both"/>
        <w:rPr>
          <w:rFonts w:ascii="Book Antiqua" w:eastAsia="宋体" w:hAnsi="Book Antiqua" w:cs="Book Antiqua"/>
          <w:color w:val="000000"/>
          <w:lang w:eastAsia="zh-CN"/>
        </w:rPr>
        <w:sectPr w:rsidR="00064BE2">
          <w:pgSz w:w="15840" w:h="12240" w:orient="landscape"/>
          <w:pgMar w:top="1440" w:right="1440" w:bottom="1440" w:left="1440" w:header="720" w:footer="720" w:gutter="0"/>
          <w:cols w:space="720"/>
          <w:docGrid w:linePitch="360"/>
        </w:sectPr>
      </w:pPr>
    </w:p>
    <w:p w14:paraId="19BC44C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2 Pairwise Linkage Disequilibrium analysis of </w:t>
      </w:r>
      <w:r>
        <w:rPr>
          <w:rFonts w:ascii="Book Antiqua" w:eastAsia="Book Antiqua" w:hAnsi="Book Antiqua" w:cs="Book Antiqua"/>
          <w:b/>
          <w:bCs/>
          <w:color w:val="000000"/>
        </w:rPr>
        <w:t xml:space="preserve">C-reactive protein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in healthy controls</w:t>
      </w:r>
    </w:p>
    <w:tbl>
      <w:tblPr>
        <w:tblW w:w="4998" w:type="pct"/>
        <w:tblLook w:val="04A0" w:firstRow="1" w:lastRow="0" w:firstColumn="1" w:lastColumn="0" w:noHBand="0" w:noVBand="1"/>
      </w:tblPr>
      <w:tblGrid>
        <w:gridCol w:w="1399"/>
        <w:gridCol w:w="1326"/>
        <w:gridCol w:w="1326"/>
        <w:gridCol w:w="1326"/>
        <w:gridCol w:w="1326"/>
        <w:gridCol w:w="1326"/>
        <w:gridCol w:w="1327"/>
      </w:tblGrid>
      <w:tr w:rsidR="00064BE2" w14:paraId="0344D541" w14:textId="77777777">
        <w:trPr>
          <w:trHeight w:val="396"/>
        </w:trPr>
        <w:tc>
          <w:tcPr>
            <w:tcW w:w="747" w:type="pct"/>
            <w:tcBorders>
              <w:top w:val="single" w:sz="8" w:space="0" w:color="auto"/>
              <w:left w:val="nil"/>
              <w:bottom w:val="single" w:sz="8" w:space="0" w:color="auto"/>
              <w:right w:val="nil"/>
            </w:tcBorders>
            <w:shd w:val="clear" w:color="auto" w:fill="auto"/>
            <w:noWrap/>
            <w:vAlign w:val="center"/>
          </w:tcPr>
          <w:p w14:paraId="66A8482F"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r2\D'</w:t>
            </w:r>
          </w:p>
        </w:tc>
        <w:tc>
          <w:tcPr>
            <w:tcW w:w="708" w:type="pct"/>
            <w:tcBorders>
              <w:top w:val="single" w:sz="8" w:space="0" w:color="auto"/>
              <w:left w:val="nil"/>
              <w:bottom w:val="single" w:sz="8" w:space="0" w:color="auto"/>
              <w:right w:val="nil"/>
            </w:tcBorders>
            <w:shd w:val="clear" w:color="auto" w:fill="auto"/>
            <w:noWrap/>
            <w:vAlign w:val="center"/>
          </w:tcPr>
          <w:p w14:paraId="60E6198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rs3093077</w:t>
            </w:r>
          </w:p>
        </w:tc>
        <w:tc>
          <w:tcPr>
            <w:tcW w:w="708" w:type="pct"/>
            <w:tcBorders>
              <w:top w:val="single" w:sz="8" w:space="0" w:color="auto"/>
              <w:left w:val="nil"/>
              <w:bottom w:val="single" w:sz="8" w:space="0" w:color="auto"/>
              <w:right w:val="nil"/>
            </w:tcBorders>
            <w:shd w:val="clear" w:color="auto" w:fill="auto"/>
            <w:noWrap/>
            <w:vAlign w:val="center"/>
          </w:tcPr>
          <w:p w14:paraId="766D28F3"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rs1205</w:t>
            </w:r>
          </w:p>
        </w:tc>
        <w:tc>
          <w:tcPr>
            <w:tcW w:w="708" w:type="pct"/>
            <w:tcBorders>
              <w:top w:val="single" w:sz="8" w:space="0" w:color="auto"/>
              <w:left w:val="nil"/>
              <w:bottom w:val="single" w:sz="8" w:space="0" w:color="auto"/>
              <w:right w:val="nil"/>
            </w:tcBorders>
            <w:shd w:val="clear" w:color="auto" w:fill="auto"/>
            <w:noWrap/>
            <w:vAlign w:val="center"/>
          </w:tcPr>
          <w:p w14:paraId="54C8F03B"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rs1130864</w:t>
            </w:r>
          </w:p>
        </w:tc>
        <w:tc>
          <w:tcPr>
            <w:tcW w:w="708" w:type="pct"/>
            <w:tcBorders>
              <w:top w:val="single" w:sz="8" w:space="0" w:color="auto"/>
              <w:left w:val="nil"/>
              <w:bottom w:val="single" w:sz="8" w:space="0" w:color="auto"/>
              <w:right w:val="nil"/>
            </w:tcBorders>
            <w:shd w:val="clear" w:color="auto" w:fill="auto"/>
            <w:noWrap/>
            <w:vAlign w:val="center"/>
          </w:tcPr>
          <w:p w14:paraId="3BB4EE5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rs1800947</w:t>
            </w:r>
          </w:p>
        </w:tc>
        <w:tc>
          <w:tcPr>
            <w:tcW w:w="708" w:type="pct"/>
            <w:tcBorders>
              <w:top w:val="single" w:sz="8" w:space="0" w:color="auto"/>
              <w:left w:val="nil"/>
              <w:bottom w:val="single" w:sz="8" w:space="0" w:color="auto"/>
              <w:right w:val="nil"/>
            </w:tcBorders>
            <w:shd w:val="clear" w:color="auto" w:fill="auto"/>
            <w:noWrap/>
            <w:vAlign w:val="center"/>
          </w:tcPr>
          <w:p w14:paraId="2727359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rs3091244</w:t>
            </w:r>
          </w:p>
        </w:tc>
        <w:tc>
          <w:tcPr>
            <w:tcW w:w="708" w:type="pct"/>
            <w:tcBorders>
              <w:top w:val="single" w:sz="8" w:space="0" w:color="auto"/>
              <w:left w:val="nil"/>
              <w:bottom w:val="single" w:sz="8" w:space="0" w:color="auto"/>
              <w:right w:val="nil"/>
            </w:tcBorders>
            <w:shd w:val="clear" w:color="auto" w:fill="auto"/>
            <w:noWrap/>
            <w:vAlign w:val="center"/>
          </w:tcPr>
          <w:p w14:paraId="264013D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rs2794521</w:t>
            </w:r>
          </w:p>
        </w:tc>
      </w:tr>
      <w:tr w:rsidR="00064BE2" w14:paraId="6719D579" w14:textId="77777777">
        <w:trPr>
          <w:trHeight w:val="344"/>
        </w:trPr>
        <w:tc>
          <w:tcPr>
            <w:tcW w:w="747" w:type="pct"/>
            <w:tcBorders>
              <w:top w:val="single" w:sz="8" w:space="0" w:color="auto"/>
              <w:left w:val="nil"/>
              <w:bottom w:val="nil"/>
              <w:right w:val="nil"/>
            </w:tcBorders>
            <w:shd w:val="clear" w:color="auto" w:fill="auto"/>
            <w:noWrap/>
            <w:vAlign w:val="center"/>
          </w:tcPr>
          <w:p w14:paraId="02B5C5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rs3093077</w:t>
            </w:r>
          </w:p>
        </w:tc>
        <w:tc>
          <w:tcPr>
            <w:tcW w:w="708" w:type="pct"/>
            <w:tcBorders>
              <w:top w:val="single" w:sz="8" w:space="0" w:color="auto"/>
              <w:left w:val="nil"/>
              <w:bottom w:val="nil"/>
              <w:right w:val="nil"/>
            </w:tcBorders>
            <w:shd w:val="clear" w:color="auto" w:fill="auto"/>
            <w:noWrap/>
            <w:vAlign w:val="center"/>
          </w:tcPr>
          <w:p w14:paraId="12556489"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single" w:sz="8" w:space="0" w:color="auto"/>
              <w:left w:val="nil"/>
              <w:bottom w:val="nil"/>
              <w:right w:val="nil"/>
            </w:tcBorders>
            <w:shd w:val="clear" w:color="auto" w:fill="auto"/>
            <w:noWrap/>
            <w:vAlign w:val="center"/>
          </w:tcPr>
          <w:p w14:paraId="70FE99F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c>
          <w:tcPr>
            <w:tcW w:w="708" w:type="pct"/>
            <w:tcBorders>
              <w:top w:val="single" w:sz="8" w:space="0" w:color="auto"/>
              <w:left w:val="nil"/>
              <w:bottom w:val="nil"/>
              <w:right w:val="nil"/>
            </w:tcBorders>
            <w:shd w:val="clear" w:color="auto" w:fill="auto"/>
            <w:noWrap/>
            <w:vAlign w:val="center"/>
          </w:tcPr>
          <w:p w14:paraId="7265151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0.990 </w:t>
            </w:r>
          </w:p>
        </w:tc>
        <w:tc>
          <w:tcPr>
            <w:tcW w:w="708" w:type="pct"/>
            <w:tcBorders>
              <w:top w:val="single" w:sz="8" w:space="0" w:color="auto"/>
              <w:left w:val="nil"/>
              <w:bottom w:val="nil"/>
              <w:right w:val="nil"/>
            </w:tcBorders>
            <w:shd w:val="clear" w:color="auto" w:fill="auto"/>
            <w:noWrap/>
            <w:vAlign w:val="center"/>
          </w:tcPr>
          <w:p w14:paraId="2AE6763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0.985 </w:t>
            </w:r>
          </w:p>
        </w:tc>
        <w:tc>
          <w:tcPr>
            <w:tcW w:w="708" w:type="pct"/>
            <w:tcBorders>
              <w:top w:val="single" w:sz="8" w:space="0" w:color="auto"/>
              <w:left w:val="nil"/>
              <w:bottom w:val="nil"/>
              <w:right w:val="nil"/>
            </w:tcBorders>
            <w:shd w:val="clear" w:color="auto" w:fill="auto"/>
            <w:noWrap/>
            <w:vAlign w:val="center"/>
          </w:tcPr>
          <w:p w14:paraId="6651B64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0.979 </w:t>
            </w:r>
          </w:p>
        </w:tc>
        <w:tc>
          <w:tcPr>
            <w:tcW w:w="708" w:type="pct"/>
            <w:tcBorders>
              <w:top w:val="single" w:sz="8" w:space="0" w:color="auto"/>
              <w:left w:val="nil"/>
              <w:bottom w:val="nil"/>
              <w:right w:val="nil"/>
            </w:tcBorders>
            <w:shd w:val="clear" w:color="auto" w:fill="auto"/>
            <w:noWrap/>
            <w:vAlign w:val="center"/>
          </w:tcPr>
          <w:p w14:paraId="67CAB8A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0.748 </w:t>
            </w:r>
          </w:p>
        </w:tc>
      </w:tr>
      <w:tr w:rsidR="00064BE2" w14:paraId="51CC8DC9" w14:textId="77777777">
        <w:trPr>
          <w:trHeight w:val="344"/>
        </w:trPr>
        <w:tc>
          <w:tcPr>
            <w:tcW w:w="747" w:type="pct"/>
            <w:tcBorders>
              <w:top w:val="nil"/>
              <w:left w:val="nil"/>
              <w:bottom w:val="nil"/>
              <w:right w:val="nil"/>
            </w:tcBorders>
            <w:shd w:val="clear" w:color="auto" w:fill="auto"/>
            <w:noWrap/>
            <w:vAlign w:val="center"/>
          </w:tcPr>
          <w:p w14:paraId="651F6CC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rs1205</w:t>
            </w:r>
          </w:p>
        </w:tc>
        <w:tc>
          <w:tcPr>
            <w:tcW w:w="708" w:type="pct"/>
            <w:tcBorders>
              <w:top w:val="nil"/>
              <w:left w:val="nil"/>
              <w:bottom w:val="nil"/>
              <w:right w:val="nil"/>
            </w:tcBorders>
            <w:shd w:val="clear" w:color="auto" w:fill="auto"/>
            <w:noWrap/>
            <w:vAlign w:val="center"/>
          </w:tcPr>
          <w:p w14:paraId="019C143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0.278</w:t>
            </w:r>
          </w:p>
        </w:tc>
        <w:tc>
          <w:tcPr>
            <w:tcW w:w="708" w:type="pct"/>
            <w:tcBorders>
              <w:top w:val="nil"/>
              <w:left w:val="nil"/>
              <w:bottom w:val="nil"/>
              <w:right w:val="nil"/>
            </w:tcBorders>
            <w:shd w:val="clear" w:color="auto" w:fill="auto"/>
            <w:noWrap/>
            <w:vAlign w:val="center"/>
          </w:tcPr>
          <w:p w14:paraId="5BC11FC1"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1AEC26C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0.999 </w:t>
            </w:r>
          </w:p>
        </w:tc>
        <w:tc>
          <w:tcPr>
            <w:tcW w:w="708" w:type="pct"/>
            <w:tcBorders>
              <w:top w:val="nil"/>
              <w:left w:val="nil"/>
              <w:bottom w:val="nil"/>
              <w:right w:val="nil"/>
            </w:tcBorders>
            <w:shd w:val="clear" w:color="auto" w:fill="auto"/>
            <w:noWrap/>
            <w:vAlign w:val="center"/>
          </w:tcPr>
          <w:p w14:paraId="7098624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0.999 </w:t>
            </w:r>
          </w:p>
        </w:tc>
        <w:tc>
          <w:tcPr>
            <w:tcW w:w="708" w:type="pct"/>
            <w:tcBorders>
              <w:top w:val="nil"/>
              <w:left w:val="nil"/>
              <w:bottom w:val="nil"/>
              <w:right w:val="nil"/>
            </w:tcBorders>
            <w:shd w:val="clear" w:color="auto" w:fill="auto"/>
            <w:noWrap/>
            <w:vAlign w:val="center"/>
          </w:tcPr>
          <w:p w14:paraId="2100252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0.984 </w:t>
            </w:r>
          </w:p>
        </w:tc>
        <w:tc>
          <w:tcPr>
            <w:tcW w:w="708" w:type="pct"/>
            <w:tcBorders>
              <w:top w:val="nil"/>
              <w:left w:val="nil"/>
              <w:bottom w:val="nil"/>
              <w:right w:val="nil"/>
            </w:tcBorders>
            <w:shd w:val="clear" w:color="auto" w:fill="auto"/>
            <w:noWrap/>
            <w:vAlign w:val="center"/>
          </w:tcPr>
          <w:p w14:paraId="1D9E02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r>
      <w:tr w:rsidR="00064BE2" w14:paraId="2B5C5D60" w14:textId="77777777">
        <w:trPr>
          <w:trHeight w:val="344"/>
        </w:trPr>
        <w:tc>
          <w:tcPr>
            <w:tcW w:w="747" w:type="pct"/>
            <w:tcBorders>
              <w:top w:val="nil"/>
              <w:left w:val="nil"/>
              <w:bottom w:val="nil"/>
              <w:right w:val="nil"/>
            </w:tcBorders>
            <w:shd w:val="clear" w:color="auto" w:fill="auto"/>
            <w:noWrap/>
            <w:vAlign w:val="center"/>
          </w:tcPr>
          <w:p w14:paraId="2F682B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rs1130864</w:t>
            </w:r>
          </w:p>
        </w:tc>
        <w:tc>
          <w:tcPr>
            <w:tcW w:w="708" w:type="pct"/>
            <w:tcBorders>
              <w:top w:val="nil"/>
              <w:left w:val="nil"/>
              <w:bottom w:val="nil"/>
              <w:right w:val="nil"/>
            </w:tcBorders>
            <w:shd w:val="clear" w:color="auto" w:fill="auto"/>
            <w:noWrap/>
            <w:vAlign w:val="center"/>
          </w:tcPr>
          <w:p w14:paraId="4A4AE23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0.012</w:t>
            </w:r>
          </w:p>
        </w:tc>
        <w:tc>
          <w:tcPr>
            <w:tcW w:w="708" w:type="pct"/>
            <w:tcBorders>
              <w:top w:val="nil"/>
              <w:left w:val="nil"/>
              <w:bottom w:val="nil"/>
              <w:right w:val="nil"/>
            </w:tcBorders>
            <w:shd w:val="clear" w:color="auto" w:fill="auto"/>
            <w:noWrap/>
            <w:vAlign w:val="center"/>
          </w:tcPr>
          <w:p w14:paraId="35D5E47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0.082 </w:t>
            </w:r>
          </w:p>
        </w:tc>
        <w:tc>
          <w:tcPr>
            <w:tcW w:w="708" w:type="pct"/>
            <w:tcBorders>
              <w:top w:val="nil"/>
              <w:left w:val="nil"/>
              <w:bottom w:val="nil"/>
              <w:right w:val="nil"/>
            </w:tcBorders>
            <w:shd w:val="clear" w:color="auto" w:fill="auto"/>
            <w:noWrap/>
            <w:vAlign w:val="center"/>
          </w:tcPr>
          <w:p w14:paraId="69A9E2A5"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3568D01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0.986 </w:t>
            </w:r>
          </w:p>
        </w:tc>
        <w:tc>
          <w:tcPr>
            <w:tcW w:w="708" w:type="pct"/>
            <w:tcBorders>
              <w:top w:val="nil"/>
              <w:left w:val="nil"/>
              <w:bottom w:val="nil"/>
              <w:right w:val="nil"/>
            </w:tcBorders>
            <w:shd w:val="clear" w:color="auto" w:fill="auto"/>
            <w:noWrap/>
            <w:vAlign w:val="center"/>
          </w:tcPr>
          <w:p w14:paraId="1104281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c>
          <w:tcPr>
            <w:tcW w:w="708" w:type="pct"/>
            <w:tcBorders>
              <w:top w:val="nil"/>
              <w:left w:val="nil"/>
              <w:bottom w:val="nil"/>
              <w:right w:val="nil"/>
            </w:tcBorders>
            <w:shd w:val="clear" w:color="auto" w:fill="auto"/>
            <w:noWrap/>
            <w:vAlign w:val="center"/>
          </w:tcPr>
          <w:p w14:paraId="678318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0.974 </w:t>
            </w:r>
          </w:p>
        </w:tc>
      </w:tr>
      <w:tr w:rsidR="00064BE2" w14:paraId="1B1B4492" w14:textId="77777777">
        <w:trPr>
          <w:trHeight w:val="344"/>
        </w:trPr>
        <w:tc>
          <w:tcPr>
            <w:tcW w:w="747" w:type="pct"/>
            <w:tcBorders>
              <w:top w:val="nil"/>
              <w:left w:val="nil"/>
              <w:bottom w:val="nil"/>
              <w:right w:val="nil"/>
            </w:tcBorders>
            <w:shd w:val="clear" w:color="auto" w:fill="auto"/>
            <w:noWrap/>
            <w:vAlign w:val="center"/>
          </w:tcPr>
          <w:p w14:paraId="1176F5F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rs1800947</w:t>
            </w:r>
          </w:p>
        </w:tc>
        <w:tc>
          <w:tcPr>
            <w:tcW w:w="708" w:type="pct"/>
            <w:tcBorders>
              <w:top w:val="nil"/>
              <w:left w:val="nil"/>
              <w:bottom w:val="nil"/>
              <w:right w:val="nil"/>
            </w:tcBorders>
            <w:shd w:val="clear" w:color="auto" w:fill="auto"/>
            <w:noWrap/>
            <w:vAlign w:val="center"/>
          </w:tcPr>
          <w:p w14:paraId="1BC76A5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0.011</w:t>
            </w:r>
          </w:p>
        </w:tc>
        <w:tc>
          <w:tcPr>
            <w:tcW w:w="708" w:type="pct"/>
            <w:tcBorders>
              <w:top w:val="nil"/>
              <w:left w:val="nil"/>
              <w:bottom w:val="nil"/>
              <w:right w:val="nil"/>
            </w:tcBorders>
            <w:shd w:val="clear" w:color="auto" w:fill="auto"/>
            <w:noWrap/>
            <w:vAlign w:val="center"/>
          </w:tcPr>
          <w:p w14:paraId="4C46478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0.039 </w:t>
            </w:r>
          </w:p>
        </w:tc>
        <w:tc>
          <w:tcPr>
            <w:tcW w:w="708" w:type="pct"/>
            <w:tcBorders>
              <w:top w:val="nil"/>
              <w:left w:val="nil"/>
              <w:bottom w:val="nil"/>
              <w:right w:val="nil"/>
            </w:tcBorders>
            <w:shd w:val="clear" w:color="auto" w:fill="auto"/>
            <w:noWrap/>
            <w:vAlign w:val="center"/>
          </w:tcPr>
          <w:p w14:paraId="3F3285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0.003 </w:t>
            </w:r>
          </w:p>
        </w:tc>
        <w:tc>
          <w:tcPr>
            <w:tcW w:w="708" w:type="pct"/>
            <w:tcBorders>
              <w:top w:val="nil"/>
              <w:left w:val="nil"/>
              <w:bottom w:val="nil"/>
              <w:right w:val="nil"/>
            </w:tcBorders>
            <w:shd w:val="clear" w:color="auto" w:fill="auto"/>
            <w:noWrap/>
            <w:vAlign w:val="center"/>
          </w:tcPr>
          <w:p w14:paraId="103BEE9D"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663DC11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0.993 </w:t>
            </w:r>
          </w:p>
        </w:tc>
        <w:tc>
          <w:tcPr>
            <w:tcW w:w="708" w:type="pct"/>
            <w:tcBorders>
              <w:top w:val="nil"/>
              <w:left w:val="nil"/>
              <w:bottom w:val="nil"/>
              <w:right w:val="nil"/>
            </w:tcBorders>
            <w:shd w:val="clear" w:color="auto" w:fill="auto"/>
            <w:noWrap/>
            <w:vAlign w:val="center"/>
          </w:tcPr>
          <w:p w14:paraId="6A24A6A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0.986 </w:t>
            </w:r>
          </w:p>
        </w:tc>
      </w:tr>
      <w:tr w:rsidR="00064BE2" w14:paraId="1D3A66C6" w14:textId="77777777">
        <w:trPr>
          <w:trHeight w:val="344"/>
        </w:trPr>
        <w:tc>
          <w:tcPr>
            <w:tcW w:w="747" w:type="pct"/>
            <w:tcBorders>
              <w:top w:val="nil"/>
              <w:left w:val="nil"/>
              <w:bottom w:val="nil"/>
              <w:right w:val="nil"/>
            </w:tcBorders>
            <w:shd w:val="clear" w:color="auto" w:fill="auto"/>
            <w:noWrap/>
            <w:vAlign w:val="center"/>
          </w:tcPr>
          <w:p w14:paraId="002242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rs3091244</w:t>
            </w:r>
          </w:p>
        </w:tc>
        <w:tc>
          <w:tcPr>
            <w:tcW w:w="708" w:type="pct"/>
            <w:tcBorders>
              <w:top w:val="nil"/>
              <w:left w:val="nil"/>
              <w:bottom w:val="nil"/>
              <w:right w:val="nil"/>
            </w:tcBorders>
            <w:shd w:val="clear" w:color="auto" w:fill="auto"/>
            <w:noWrap/>
            <w:vAlign w:val="center"/>
          </w:tcPr>
          <w:p w14:paraId="3D700B3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0.675</w:t>
            </w:r>
          </w:p>
        </w:tc>
        <w:tc>
          <w:tcPr>
            <w:tcW w:w="708" w:type="pct"/>
            <w:tcBorders>
              <w:top w:val="nil"/>
              <w:left w:val="nil"/>
              <w:bottom w:val="nil"/>
              <w:right w:val="nil"/>
            </w:tcBorders>
            <w:shd w:val="clear" w:color="auto" w:fill="auto"/>
            <w:noWrap/>
            <w:vAlign w:val="center"/>
          </w:tcPr>
          <w:p w14:paraId="0E6A549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0.360 </w:t>
            </w:r>
          </w:p>
        </w:tc>
        <w:tc>
          <w:tcPr>
            <w:tcW w:w="708" w:type="pct"/>
            <w:tcBorders>
              <w:top w:val="nil"/>
              <w:left w:val="nil"/>
              <w:bottom w:val="nil"/>
              <w:right w:val="nil"/>
            </w:tcBorders>
            <w:shd w:val="clear" w:color="auto" w:fill="auto"/>
            <w:noWrap/>
            <w:vAlign w:val="center"/>
          </w:tcPr>
          <w:p w14:paraId="203CA59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0.212 </w:t>
            </w:r>
          </w:p>
        </w:tc>
        <w:tc>
          <w:tcPr>
            <w:tcW w:w="708" w:type="pct"/>
            <w:tcBorders>
              <w:top w:val="nil"/>
              <w:left w:val="nil"/>
              <w:bottom w:val="nil"/>
              <w:right w:val="nil"/>
            </w:tcBorders>
            <w:shd w:val="clear" w:color="auto" w:fill="auto"/>
            <w:noWrap/>
            <w:vAlign w:val="center"/>
          </w:tcPr>
          <w:p w14:paraId="51A844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0.014 </w:t>
            </w:r>
          </w:p>
        </w:tc>
        <w:tc>
          <w:tcPr>
            <w:tcW w:w="708" w:type="pct"/>
            <w:tcBorders>
              <w:top w:val="nil"/>
              <w:left w:val="nil"/>
              <w:bottom w:val="nil"/>
              <w:right w:val="nil"/>
            </w:tcBorders>
            <w:shd w:val="clear" w:color="auto" w:fill="auto"/>
            <w:noWrap/>
            <w:vAlign w:val="center"/>
          </w:tcPr>
          <w:p w14:paraId="3F521B24"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4BE7F8A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0.996 </w:t>
            </w:r>
          </w:p>
        </w:tc>
      </w:tr>
      <w:tr w:rsidR="00064BE2" w14:paraId="21D3A8C7" w14:textId="77777777">
        <w:trPr>
          <w:trHeight w:val="344"/>
        </w:trPr>
        <w:tc>
          <w:tcPr>
            <w:tcW w:w="747" w:type="pct"/>
            <w:tcBorders>
              <w:top w:val="nil"/>
              <w:left w:val="nil"/>
              <w:bottom w:val="single" w:sz="8" w:space="0" w:color="auto"/>
              <w:right w:val="nil"/>
            </w:tcBorders>
            <w:shd w:val="clear" w:color="auto" w:fill="auto"/>
            <w:noWrap/>
            <w:vAlign w:val="center"/>
          </w:tcPr>
          <w:p w14:paraId="6485806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rs2794521</w:t>
            </w:r>
          </w:p>
        </w:tc>
        <w:tc>
          <w:tcPr>
            <w:tcW w:w="708" w:type="pct"/>
            <w:tcBorders>
              <w:top w:val="nil"/>
              <w:left w:val="nil"/>
              <w:bottom w:val="single" w:sz="8" w:space="0" w:color="auto"/>
              <w:right w:val="nil"/>
            </w:tcBorders>
            <w:shd w:val="clear" w:color="auto" w:fill="auto"/>
            <w:noWrap/>
            <w:vAlign w:val="center"/>
          </w:tcPr>
          <w:p w14:paraId="709D1F9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0.019</w:t>
            </w:r>
          </w:p>
        </w:tc>
        <w:tc>
          <w:tcPr>
            <w:tcW w:w="708" w:type="pct"/>
            <w:tcBorders>
              <w:top w:val="nil"/>
              <w:left w:val="nil"/>
              <w:bottom w:val="single" w:sz="8" w:space="0" w:color="auto"/>
              <w:right w:val="nil"/>
            </w:tcBorders>
            <w:shd w:val="clear" w:color="auto" w:fill="auto"/>
            <w:noWrap/>
            <w:vAlign w:val="center"/>
          </w:tcPr>
          <w:p w14:paraId="56D24BC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0.229 </w:t>
            </w:r>
          </w:p>
        </w:tc>
        <w:tc>
          <w:tcPr>
            <w:tcW w:w="708" w:type="pct"/>
            <w:tcBorders>
              <w:top w:val="nil"/>
              <w:left w:val="nil"/>
              <w:bottom w:val="single" w:sz="8" w:space="0" w:color="auto"/>
              <w:right w:val="nil"/>
            </w:tcBorders>
            <w:shd w:val="clear" w:color="auto" w:fill="auto"/>
            <w:noWrap/>
            <w:vAlign w:val="center"/>
          </w:tcPr>
          <w:p w14:paraId="5CB1323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0.009 </w:t>
            </w:r>
          </w:p>
        </w:tc>
        <w:tc>
          <w:tcPr>
            <w:tcW w:w="708" w:type="pct"/>
            <w:tcBorders>
              <w:top w:val="nil"/>
              <w:left w:val="nil"/>
              <w:bottom w:val="single" w:sz="8" w:space="0" w:color="auto"/>
              <w:right w:val="nil"/>
            </w:tcBorders>
            <w:shd w:val="clear" w:color="auto" w:fill="auto"/>
            <w:noWrap/>
            <w:vAlign w:val="center"/>
          </w:tcPr>
          <w:p w14:paraId="14E0083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0.009 </w:t>
            </w:r>
          </w:p>
        </w:tc>
        <w:tc>
          <w:tcPr>
            <w:tcW w:w="708" w:type="pct"/>
            <w:tcBorders>
              <w:top w:val="nil"/>
              <w:left w:val="nil"/>
              <w:bottom w:val="single" w:sz="8" w:space="0" w:color="auto"/>
              <w:right w:val="nil"/>
            </w:tcBorders>
            <w:shd w:val="clear" w:color="auto" w:fill="auto"/>
            <w:noWrap/>
            <w:vAlign w:val="center"/>
          </w:tcPr>
          <w:p w14:paraId="71A76A6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0.044 </w:t>
            </w:r>
          </w:p>
        </w:tc>
        <w:tc>
          <w:tcPr>
            <w:tcW w:w="708" w:type="pct"/>
            <w:tcBorders>
              <w:top w:val="nil"/>
              <w:left w:val="nil"/>
              <w:bottom w:val="single" w:sz="8" w:space="0" w:color="auto"/>
              <w:right w:val="nil"/>
            </w:tcBorders>
            <w:shd w:val="clear" w:color="auto" w:fill="auto"/>
            <w:noWrap/>
            <w:vAlign w:val="center"/>
          </w:tcPr>
          <w:p w14:paraId="3EAA2ED6" w14:textId="77777777" w:rsidR="00064BE2" w:rsidRDefault="00064BE2">
            <w:pPr>
              <w:spacing w:line="360" w:lineRule="auto"/>
              <w:jc w:val="both"/>
              <w:rPr>
                <w:rFonts w:ascii="Book Antiqua" w:eastAsia="宋体" w:hAnsi="Book Antiqua" w:cs="Book Antiqua"/>
                <w:color w:val="000000"/>
                <w:lang w:eastAsia="zh-CN"/>
              </w:rPr>
            </w:pPr>
          </w:p>
        </w:tc>
      </w:tr>
    </w:tbl>
    <w:p w14:paraId="4FFE966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 and r2 are listed on the top right and lower left, respectively. Bold represents pairs with D’ values great than 0.8 and r2 values great than 0.33.</w:t>
      </w:r>
    </w:p>
    <w:p w14:paraId="74DC215D" w14:textId="77777777" w:rsidR="00064BE2" w:rsidRDefault="00064BE2">
      <w:pPr>
        <w:spacing w:line="360" w:lineRule="auto"/>
        <w:jc w:val="both"/>
        <w:rPr>
          <w:rFonts w:ascii="Book Antiqua" w:eastAsia="宋体" w:hAnsi="Book Antiqua" w:cs="Book Antiqua"/>
          <w:color w:val="000000"/>
          <w:lang w:eastAsia="zh-CN"/>
        </w:rPr>
      </w:pPr>
    </w:p>
    <w:p w14:paraId="3BF8DEFA"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558EEFC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3 Association of </w:t>
      </w:r>
      <w:r>
        <w:rPr>
          <w:rFonts w:ascii="Book Antiqua" w:eastAsia="Book Antiqua" w:hAnsi="Book Antiqua" w:cs="Book Antiqua"/>
          <w:b/>
          <w:bCs/>
          <w:color w:val="000000"/>
        </w:rPr>
        <w:t>C-reactive protein</w:t>
      </w:r>
      <w:r>
        <w:rPr>
          <w:rFonts w:ascii="Book Antiqua" w:eastAsia="宋体" w:hAnsi="Book Antiqua" w:cs="Book Antiqua"/>
          <w:b/>
          <w:bCs/>
          <w:color w:val="000000"/>
          <w:lang w:eastAsia="zh-CN"/>
        </w:rPr>
        <w:t xml:space="preserve"> haplotypes with risk of </w:t>
      </w:r>
      <w:r>
        <w:rPr>
          <w:rFonts w:ascii="Book Antiqua" w:eastAsia="Book Antiqua" w:hAnsi="Book Antiqua" w:cs="Book Antiqua"/>
          <w:b/>
          <w:bCs/>
          <w:color w:val="000000"/>
        </w:rPr>
        <w:t>lupus nephritis</w:t>
      </w:r>
      <w:r>
        <w:rPr>
          <w:rFonts w:ascii="Book Antiqua" w:eastAsia="宋体" w:hAnsi="Book Antiqua" w:cs="Book Antiqua"/>
          <w:b/>
          <w:bCs/>
          <w:color w:val="000000"/>
          <w:lang w:eastAsia="zh-CN"/>
        </w:rPr>
        <w:t xml:space="preserve"> </w:t>
      </w:r>
    </w:p>
    <w:tbl>
      <w:tblPr>
        <w:tblW w:w="4998" w:type="pct"/>
        <w:jc w:val="center"/>
        <w:tblLook w:val="04A0" w:firstRow="1" w:lastRow="0" w:firstColumn="1" w:lastColumn="0" w:noHBand="0" w:noVBand="1"/>
      </w:tblPr>
      <w:tblGrid>
        <w:gridCol w:w="660"/>
        <w:gridCol w:w="2631"/>
        <w:gridCol w:w="1469"/>
        <w:gridCol w:w="1806"/>
        <w:gridCol w:w="1149"/>
        <w:gridCol w:w="1641"/>
      </w:tblGrid>
      <w:tr w:rsidR="00064BE2" w14:paraId="458A608A" w14:textId="77777777">
        <w:trPr>
          <w:trHeight w:val="768"/>
          <w:jc w:val="center"/>
        </w:trPr>
        <w:tc>
          <w:tcPr>
            <w:tcW w:w="1758" w:type="pct"/>
            <w:gridSpan w:val="2"/>
            <w:tcBorders>
              <w:top w:val="single" w:sz="8" w:space="0" w:color="auto"/>
              <w:left w:val="nil"/>
              <w:bottom w:val="single" w:sz="8" w:space="0" w:color="auto"/>
              <w:right w:val="nil"/>
            </w:tcBorders>
            <w:shd w:val="clear" w:color="auto" w:fill="auto"/>
            <w:vAlign w:val="center"/>
          </w:tcPr>
          <w:p w14:paraId="67910EF6"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CRP </w:t>
            </w:r>
            <w:r>
              <w:rPr>
                <w:rFonts w:ascii="Book Antiqua" w:eastAsia="宋体" w:hAnsi="Book Antiqua" w:cs="Book Antiqua" w:hint="eastAsia"/>
                <w:b/>
                <w:bCs/>
                <w:color w:val="000000"/>
                <w:lang w:eastAsia="zh-CN"/>
              </w:rPr>
              <w:t>h</w:t>
            </w:r>
            <w:r>
              <w:rPr>
                <w:rFonts w:ascii="Book Antiqua" w:eastAsia="宋体" w:hAnsi="Book Antiqua" w:cs="Book Antiqua"/>
                <w:b/>
                <w:bCs/>
                <w:color w:val="000000"/>
                <w:lang w:eastAsia="zh-CN"/>
              </w:rPr>
              <w:t>aplotype</w:t>
            </w:r>
          </w:p>
        </w:tc>
        <w:tc>
          <w:tcPr>
            <w:tcW w:w="785" w:type="pct"/>
            <w:tcBorders>
              <w:top w:val="single" w:sz="8" w:space="0" w:color="auto"/>
              <w:left w:val="nil"/>
              <w:bottom w:val="single" w:sz="8" w:space="0" w:color="auto"/>
              <w:right w:val="nil"/>
            </w:tcBorders>
            <w:shd w:val="clear" w:color="auto" w:fill="auto"/>
            <w:vAlign w:val="center"/>
          </w:tcPr>
          <w:p w14:paraId="42F7EEA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SLE-freq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270)</w:t>
            </w:r>
          </w:p>
        </w:tc>
        <w:tc>
          <w:tcPr>
            <w:tcW w:w="964" w:type="pct"/>
            <w:tcBorders>
              <w:top w:val="single" w:sz="8" w:space="0" w:color="auto"/>
              <w:left w:val="nil"/>
              <w:bottom w:val="single" w:sz="8" w:space="0" w:color="auto"/>
              <w:right w:val="nil"/>
            </w:tcBorders>
            <w:shd w:val="clear" w:color="auto" w:fill="auto"/>
            <w:vAlign w:val="center"/>
          </w:tcPr>
          <w:p w14:paraId="3C8A423F"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Normal-freq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303)</w:t>
            </w:r>
          </w:p>
        </w:tc>
        <w:tc>
          <w:tcPr>
            <w:tcW w:w="614" w:type="pct"/>
            <w:tcBorders>
              <w:top w:val="single" w:sz="8" w:space="0" w:color="auto"/>
              <w:left w:val="nil"/>
              <w:bottom w:val="single" w:sz="8" w:space="0" w:color="auto"/>
              <w:right w:val="nil"/>
            </w:tcBorders>
            <w:shd w:val="clear" w:color="auto" w:fill="auto"/>
            <w:vAlign w:val="center"/>
          </w:tcPr>
          <w:p w14:paraId="1F1C47B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i/>
                <w:iCs/>
                <w:color w:val="000000"/>
                <w:lang w:eastAsia="zh-CN"/>
              </w:rPr>
              <w:t>χ</w:t>
            </w:r>
            <w:r>
              <w:rPr>
                <w:rFonts w:ascii="Book Antiqua" w:eastAsia="宋体" w:hAnsi="Book Antiqua" w:cs="Book Antiqua"/>
                <w:b/>
                <w:bCs/>
                <w:color w:val="000000"/>
                <w:vertAlign w:val="superscript"/>
                <w:lang w:eastAsia="zh-CN"/>
              </w:rPr>
              <w:t>2</w:t>
            </w:r>
          </w:p>
        </w:tc>
        <w:tc>
          <w:tcPr>
            <w:tcW w:w="876" w:type="pct"/>
            <w:tcBorders>
              <w:top w:val="single" w:sz="8" w:space="0" w:color="auto"/>
              <w:left w:val="nil"/>
              <w:bottom w:val="single" w:sz="8" w:space="0" w:color="auto"/>
              <w:right w:val="nil"/>
            </w:tcBorders>
            <w:shd w:val="clear" w:color="auto" w:fill="auto"/>
            <w:vAlign w:val="center"/>
          </w:tcPr>
          <w:p w14:paraId="1AF86012"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Overall </w:t>
            </w: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value</w:t>
            </w:r>
          </w:p>
        </w:tc>
      </w:tr>
      <w:tr w:rsidR="00064BE2" w14:paraId="2B904684" w14:textId="77777777">
        <w:trPr>
          <w:trHeight w:val="346"/>
          <w:jc w:val="center"/>
        </w:trPr>
        <w:tc>
          <w:tcPr>
            <w:tcW w:w="353" w:type="pct"/>
            <w:tcBorders>
              <w:top w:val="nil"/>
              <w:left w:val="nil"/>
              <w:bottom w:val="nil"/>
              <w:right w:val="nil"/>
            </w:tcBorders>
            <w:shd w:val="clear" w:color="auto" w:fill="auto"/>
            <w:noWrap/>
            <w:vAlign w:val="center"/>
          </w:tcPr>
          <w:p w14:paraId="68A66B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H1</w:t>
            </w:r>
          </w:p>
        </w:tc>
        <w:tc>
          <w:tcPr>
            <w:tcW w:w="1404" w:type="pct"/>
            <w:tcBorders>
              <w:top w:val="nil"/>
              <w:left w:val="nil"/>
              <w:bottom w:val="nil"/>
              <w:right w:val="nil"/>
            </w:tcBorders>
            <w:shd w:val="clear" w:color="auto" w:fill="auto"/>
            <w:noWrap/>
            <w:vAlign w:val="center"/>
          </w:tcPr>
          <w:p w14:paraId="5370E74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 G G G T A</w:t>
            </w:r>
          </w:p>
        </w:tc>
        <w:tc>
          <w:tcPr>
            <w:tcW w:w="785" w:type="pct"/>
            <w:tcBorders>
              <w:top w:val="nil"/>
              <w:left w:val="nil"/>
              <w:bottom w:val="nil"/>
              <w:right w:val="nil"/>
            </w:tcBorders>
            <w:shd w:val="clear" w:color="auto" w:fill="auto"/>
            <w:noWrap/>
            <w:vAlign w:val="center"/>
          </w:tcPr>
          <w:p w14:paraId="2D66A17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17.8</w:t>
            </w:r>
          </w:p>
        </w:tc>
        <w:tc>
          <w:tcPr>
            <w:tcW w:w="964" w:type="pct"/>
            <w:tcBorders>
              <w:top w:val="nil"/>
              <w:left w:val="nil"/>
              <w:bottom w:val="nil"/>
              <w:right w:val="nil"/>
            </w:tcBorders>
            <w:shd w:val="clear" w:color="auto" w:fill="auto"/>
            <w:noWrap/>
            <w:vAlign w:val="center"/>
          </w:tcPr>
          <w:p w14:paraId="554CE4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16.7</w:t>
            </w:r>
          </w:p>
        </w:tc>
        <w:tc>
          <w:tcPr>
            <w:tcW w:w="614" w:type="pct"/>
            <w:tcBorders>
              <w:top w:val="nil"/>
              <w:left w:val="nil"/>
              <w:bottom w:val="nil"/>
              <w:right w:val="nil"/>
            </w:tcBorders>
            <w:shd w:val="clear" w:color="auto" w:fill="auto"/>
            <w:noWrap/>
            <w:vAlign w:val="center"/>
          </w:tcPr>
          <w:p w14:paraId="01EA3B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3.293</w:t>
            </w:r>
          </w:p>
        </w:tc>
        <w:tc>
          <w:tcPr>
            <w:tcW w:w="876" w:type="pct"/>
            <w:tcBorders>
              <w:top w:val="nil"/>
              <w:left w:val="nil"/>
              <w:bottom w:val="nil"/>
              <w:right w:val="nil"/>
            </w:tcBorders>
            <w:shd w:val="clear" w:color="auto" w:fill="auto"/>
            <w:noWrap/>
            <w:vAlign w:val="center"/>
          </w:tcPr>
          <w:p w14:paraId="11FCD55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0.655</w:t>
            </w:r>
          </w:p>
        </w:tc>
      </w:tr>
      <w:tr w:rsidR="00064BE2" w14:paraId="275833C8" w14:textId="77777777">
        <w:trPr>
          <w:trHeight w:val="346"/>
          <w:jc w:val="center"/>
        </w:trPr>
        <w:tc>
          <w:tcPr>
            <w:tcW w:w="353" w:type="pct"/>
            <w:tcBorders>
              <w:top w:val="nil"/>
              <w:left w:val="nil"/>
              <w:bottom w:val="nil"/>
              <w:right w:val="nil"/>
            </w:tcBorders>
            <w:shd w:val="clear" w:color="auto" w:fill="auto"/>
            <w:noWrap/>
            <w:vAlign w:val="center"/>
          </w:tcPr>
          <w:p w14:paraId="58EE086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H2</w:t>
            </w:r>
          </w:p>
        </w:tc>
        <w:tc>
          <w:tcPr>
            <w:tcW w:w="1404" w:type="pct"/>
            <w:tcBorders>
              <w:top w:val="nil"/>
              <w:left w:val="nil"/>
              <w:bottom w:val="nil"/>
              <w:right w:val="nil"/>
            </w:tcBorders>
            <w:shd w:val="clear" w:color="auto" w:fill="auto"/>
            <w:noWrap/>
            <w:vAlign w:val="center"/>
          </w:tcPr>
          <w:p w14:paraId="3EC41D3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A G C G A</w:t>
            </w:r>
          </w:p>
        </w:tc>
        <w:tc>
          <w:tcPr>
            <w:tcW w:w="785" w:type="pct"/>
            <w:tcBorders>
              <w:top w:val="nil"/>
              <w:left w:val="nil"/>
              <w:bottom w:val="nil"/>
              <w:right w:val="nil"/>
            </w:tcBorders>
            <w:shd w:val="clear" w:color="auto" w:fill="auto"/>
            <w:noWrap/>
            <w:vAlign w:val="center"/>
          </w:tcPr>
          <w:p w14:paraId="04A1DF1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4.3</w:t>
            </w:r>
          </w:p>
        </w:tc>
        <w:tc>
          <w:tcPr>
            <w:tcW w:w="964" w:type="pct"/>
            <w:tcBorders>
              <w:top w:val="nil"/>
              <w:left w:val="nil"/>
              <w:bottom w:val="nil"/>
              <w:right w:val="nil"/>
            </w:tcBorders>
            <w:shd w:val="clear" w:color="auto" w:fill="auto"/>
            <w:noWrap/>
            <w:vAlign w:val="center"/>
          </w:tcPr>
          <w:p w14:paraId="50F81E7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5.1</w:t>
            </w:r>
          </w:p>
        </w:tc>
        <w:tc>
          <w:tcPr>
            <w:tcW w:w="614" w:type="pct"/>
            <w:tcBorders>
              <w:top w:val="nil"/>
              <w:left w:val="nil"/>
              <w:bottom w:val="nil"/>
              <w:right w:val="nil"/>
            </w:tcBorders>
            <w:shd w:val="clear" w:color="auto" w:fill="auto"/>
            <w:noWrap/>
            <w:vAlign w:val="center"/>
          </w:tcPr>
          <w:p w14:paraId="59B696E5"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4CC7C833" w14:textId="77777777" w:rsidR="00064BE2" w:rsidRDefault="00064BE2">
            <w:pPr>
              <w:spacing w:line="360" w:lineRule="auto"/>
              <w:jc w:val="both"/>
              <w:rPr>
                <w:rFonts w:ascii="Book Antiqua" w:eastAsia="宋体" w:hAnsi="Book Antiqua" w:cs="Book Antiqua"/>
                <w:color w:val="000000"/>
                <w:lang w:eastAsia="zh-CN"/>
              </w:rPr>
            </w:pPr>
          </w:p>
        </w:tc>
      </w:tr>
      <w:tr w:rsidR="00064BE2" w14:paraId="00F83E5B" w14:textId="77777777">
        <w:trPr>
          <w:trHeight w:val="346"/>
          <w:jc w:val="center"/>
        </w:trPr>
        <w:tc>
          <w:tcPr>
            <w:tcW w:w="353" w:type="pct"/>
            <w:tcBorders>
              <w:top w:val="nil"/>
              <w:left w:val="nil"/>
              <w:bottom w:val="nil"/>
              <w:right w:val="nil"/>
            </w:tcBorders>
            <w:shd w:val="clear" w:color="auto" w:fill="auto"/>
            <w:noWrap/>
            <w:vAlign w:val="center"/>
          </w:tcPr>
          <w:p w14:paraId="7DC73EA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H3</w:t>
            </w:r>
          </w:p>
        </w:tc>
        <w:tc>
          <w:tcPr>
            <w:tcW w:w="1404" w:type="pct"/>
            <w:tcBorders>
              <w:top w:val="nil"/>
              <w:left w:val="nil"/>
              <w:bottom w:val="nil"/>
              <w:right w:val="nil"/>
            </w:tcBorders>
            <w:shd w:val="clear" w:color="auto" w:fill="auto"/>
            <w:noWrap/>
            <w:vAlign w:val="center"/>
          </w:tcPr>
          <w:p w14:paraId="5FBC1D1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A G G G A</w:t>
            </w:r>
          </w:p>
        </w:tc>
        <w:tc>
          <w:tcPr>
            <w:tcW w:w="785" w:type="pct"/>
            <w:tcBorders>
              <w:top w:val="nil"/>
              <w:left w:val="nil"/>
              <w:bottom w:val="nil"/>
              <w:right w:val="nil"/>
            </w:tcBorders>
            <w:shd w:val="clear" w:color="auto" w:fill="auto"/>
            <w:noWrap/>
            <w:vAlign w:val="center"/>
          </w:tcPr>
          <w:p w14:paraId="4EB57FB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50.2</w:t>
            </w:r>
          </w:p>
        </w:tc>
        <w:tc>
          <w:tcPr>
            <w:tcW w:w="964" w:type="pct"/>
            <w:tcBorders>
              <w:top w:val="nil"/>
              <w:left w:val="nil"/>
              <w:bottom w:val="nil"/>
              <w:right w:val="nil"/>
            </w:tcBorders>
            <w:shd w:val="clear" w:color="auto" w:fill="auto"/>
            <w:noWrap/>
            <w:vAlign w:val="center"/>
          </w:tcPr>
          <w:p w14:paraId="23F20A7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52.8</w:t>
            </w:r>
          </w:p>
        </w:tc>
        <w:tc>
          <w:tcPr>
            <w:tcW w:w="614" w:type="pct"/>
            <w:tcBorders>
              <w:top w:val="nil"/>
              <w:left w:val="nil"/>
              <w:bottom w:val="nil"/>
              <w:right w:val="nil"/>
            </w:tcBorders>
            <w:shd w:val="clear" w:color="auto" w:fill="auto"/>
            <w:noWrap/>
            <w:vAlign w:val="center"/>
          </w:tcPr>
          <w:p w14:paraId="17894A49"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08F38314" w14:textId="77777777" w:rsidR="00064BE2" w:rsidRDefault="00064BE2">
            <w:pPr>
              <w:spacing w:line="360" w:lineRule="auto"/>
              <w:jc w:val="both"/>
              <w:rPr>
                <w:rFonts w:ascii="Book Antiqua" w:eastAsia="宋体" w:hAnsi="Book Antiqua" w:cs="Book Antiqua"/>
                <w:color w:val="000000"/>
                <w:lang w:eastAsia="zh-CN"/>
              </w:rPr>
            </w:pPr>
          </w:p>
        </w:tc>
      </w:tr>
      <w:tr w:rsidR="00064BE2" w14:paraId="3EE1E723" w14:textId="77777777">
        <w:trPr>
          <w:trHeight w:val="346"/>
          <w:jc w:val="center"/>
        </w:trPr>
        <w:tc>
          <w:tcPr>
            <w:tcW w:w="353" w:type="pct"/>
            <w:tcBorders>
              <w:top w:val="nil"/>
              <w:left w:val="nil"/>
              <w:bottom w:val="nil"/>
              <w:right w:val="nil"/>
            </w:tcBorders>
            <w:shd w:val="clear" w:color="auto" w:fill="auto"/>
            <w:noWrap/>
            <w:vAlign w:val="center"/>
          </w:tcPr>
          <w:p w14:paraId="4E7CE35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H4</w:t>
            </w:r>
          </w:p>
        </w:tc>
        <w:tc>
          <w:tcPr>
            <w:tcW w:w="1404" w:type="pct"/>
            <w:tcBorders>
              <w:top w:val="nil"/>
              <w:left w:val="nil"/>
              <w:bottom w:val="nil"/>
              <w:right w:val="nil"/>
            </w:tcBorders>
            <w:shd w:val="clear" w:color="auto" w:fill="auto"/>
            <w:noWrap/>
            <w:vAlign w:val="center"/>
          </w:tcPr>
          <w:p w14:paraId="282AD9A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G A G A A</w:t>
            </w:r>
          </w:p>
        </w:tc>
        <w:tc>
          <w:tcPr>
            <w:tcW w:w="785" w:type="pct"/>
            <w:tcBorders>
              <w:top w:val="nil"/>
              <w:left w:val="nil"/>
              <w:bottom w:val="nil"/>
              <w:right w:val="nil"/>
            </w:tcBorders>
            <w:shd w:val="clear" w:color="auto" w:fill="auto"/>
            <w:noWrap/>
            <w:vAlign w:val="center"/>
          </w:tcPr>
          <w:p w14:paraId="0EED88F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5.4</w:t>
            </w:r>
          </w:p>
        </w:tc>
        <w:tc>
          <w:tcPr>
            <w:tcW w:w="964" w:type="pct"/>
            <w:tcBorders>
              <w:top w:val="nil"/>
              <w:left w:val="nil"/>
              <w:bottom w:val="nil"/>
              <w:right w:val="nil"/>
            </w:tcBorders>
            <w:shd w:val="clear" w:color="auto" w:fill="auto"/>
            <w:noWrap/>
            <w:vAlign w:val="center"/>
          </w:tcPr>
          <w:p w14:paraId="49ABE0F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w:t>
            </w:r>
          </w:p>
        </w:tc>
        <w:tc>
          <w:tcPr>
            <w:tcW w:w="614" w:type="pct"/>
            <w:tcBorders>
              <w:top w:val="nil"/>
              <w:left w:val="nil"/>
              <w:bottom w:val="nil"/>
              <w:right w:val="nil"/>
            </w:tcBorders>
            <w:shd w:val="clear" w:color="auto" w:fill="auto"/>
            <w:noWrap/>
            <w:vAlign w:val="center"/>
          </w:tcPr>
          <w:p w14:paraId="61E15165"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1BFC7359" w14:textId="77777777" w:rsidR="00064BE2" w:rsidRDefault="00064BE2">
            <w:pPr>
              <w:spacing w:line="360" w:lineRule="auto"/>
              <w:jc w:val="both"/>
              <w:rPr>
                <w:rFonts w:ascii="Book Antiqua" w:eastAsia="宋体" w:hAnsi="Book Antiqua" w:cs="Book Antiqua"/>
                <w:color w:val="000000"/>
                <w:lang w:eastAsia="zh-CN"/>
              </w:rPr>
            </w:pPr>
          </w:p>
        </w:tc>
      </w:tr>
      <w:tr w:rsidR="00064BE2" w14:paraId="274931B6" w14:textId="77777777">
        <w:trPr>
          <w:trHeight w:val="346"/>
          <w:jc w:val="center"/>
        </w:trPr>
        <w:tc>
          <w:tcPr>
            <w:tcW w:w="353" w:type="pct"/>
            <w:tcBorders>
              <w:top w:val="nil"/>
              <w:left w:val="nil"/>
              <w:bottom w:val="nil"/>
              <w:right w:val="nil"/>
            </w:tcBorders>
            <w:shd w:val="clear" w:color="auto" w:fill="auto"/>
            <w:noWrap/>
            <w:vAlign w:val="center"/>
          </w:tcPr>
          <w:p w14:paraId="7B6D00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H5</w:t>
            </w:r>
          </w:p>
        </w:tc>
        <w:tc>
          <w:tcPr>
            <w:tcW w:w="1404" w:type="pct"/>
            <w:tcBorders>
              <w:top w:val="nil"/>
              <w:left w:val="nil"/>
              <w:bottom w:val="nil"/>
              <w:right w:val="nil"/>
            </w:tcBorders>
            <w:shd w:val="clear" w:color="auto" w:fill="auto"/>
            <w:noWrap/>
            <w:vAlign w:val="center"/>
          </w:tcPr>
          <w:p w14:paraId="1FB295D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G G G G A</w:t>
            </w:r>
          </w:p>
        </w:tc>
        <w:tc>
          <w:tcPr>
            <w:tcW w:w="785" w:type="pct"/>
            <w:tcBorders>
              <w:top w:val="nil"/>
              <w:left w:val="nil"/>
              <w:bottom w:val="nil"/>
              <w:right w:val="nil"/>
            </w:tcBorders>
            <w:shd w:val="clear" w:color="auto" w:fill="auto"/>
            <w:noWrap/>
            <w:vAlign w:val="center"/>
          </w:tcPr>
          <w:p w14:paraId="212A642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4.1</w:t>
            </w:r>
          </w:p>
        </w:tc>
        <w:tc>
          <w:tcPr>
            <w:tcW w:w="964" w:type="pct"/>
            <w:tcBorders>
              <w:top w:val="nil"/>
              <w:left w:val="nil"/>
              <w:bottom w:val="nil"/>
              <w:right w:val="nil"/>
            </w:tcBorders>
            <w:shd w:val="clear" w:color="auto" w:fill="auto"/>
            <w:noWrap/>
            <w:vAlign w:val="center"/>
          </w:tcPr>
          <w:p w14:paraId="7250A4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5.1</w:t>
            </w:r>
          </w:p>
        </w:tc>
        <w:tc>
          <w:tcPr>
            <w:tcW w:w="614" w:type="pct"/>
            <w:tcBorders>
              <w:top w:val="nil"/>
              <w:left w:val="nil"/>
              <w:bottom w:val="nil"/>
              <w:right w:val="nil"/>
            </w:tcBorders>
            <w:shd w:val="clear" w:color="auto" w:fill="auto"/>
            <w:noWrap/>
            <w:vAlign w:val="center"/>
          </w:tcPr>
          <w:p w14:paraId="1AC494A7"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02879AC5" w14:textId="77777777" w:rsidR="00064BE2" w:rsidRDefault="00064BE2">
            <w:pPr>
              <w:spacing w:line="360" w:lineRule="auto"/>
              <w:jc w:val="both"/>
              <w:rPr>
                <w:rFonts w:ascii="Book Antiqua" w:eastAsia="宋体" w:hAnsi="Book Antiqua" w:cs="Book Antiqua"/>
                <w:color w:val="000000"/>
                <w:lang w:eastAsia="zh-CN"/>
              </w:rPr>
            </w:pPr>
          </w:p>
        </w:tc>
      </w:tr>
      <w:tr w:rsidR="00064BE2" w14:paraId="4914DEA2" w14:textId="77777777">
        <w:trPr>
          <w:trHeight w:val="346"/>
          <w:jc w:val="center"/>
        </w:trPr>
        <w:tc>
          <w:tcPr>
            <w:tcW w:w="353" w:type="pct"/>
            <w:tcBorders>
              <w:top w:val="nil"/>
              <w:left w:val="nil"/>
              <w:bottom w:val="single" w:sz="8" w:space="0" w:color="auto"/>
              <w:right w:val="nil"/>
            </w:tcBorders>
            <w:shd w:val="clear" w:color="auto" w:fill="auto"/>
            <w:noWrap/>
            <w:vAlign w:val="center"/>
          </w:tcPr>
          <w:p w14:paraId="3E04EB2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H6</w:t>
            </w:r>
          </w:p>
        </w:tc>
        <w:tc>
          <w:tcPr>
            <w:tcW w:w="1404" w:type="pct"/>
            <w:tcBorders>
              <w:top w:val="nil"/>
              <w:left w:val="nil"/>
              <w:bottom w:val="single" w:sz="8" w:space="0" w:color="auto"/>
              <w:right w:val="nil"/>
            </w:tcBorders>
            <w:shd w:val="clear" w:color="auto" w:fill="auto"/>
            <w:noWrap/>
            <w:vAlign w:val="center"/>
          </w:tcPr>
          <w:p w14:paraId="5DBE5EC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G G G G G</w:t>
            </w:r>
          </w:p>
        </w:tc>
        <w:tc>
          <w:tcPr>
            <w:tcW w:w="785" w:type="pct"/>
            <w:tcBorders>
              <w:top w:val="nil"/>
              <w:left w:val="nil"/>
              <w:bottom w:val="single" w:sz="8" w:space="0" w:color="auto"/>
              <w:right w:val="nil"/>
            </w:tcBorders>
            <w:shd w:val="clear" w:color="auto" w:fill="auto"/>
            <w:noWrap/>
            <w:vAlign w:val="center"/>
          </w:tcPr>
          <w:p w14:paraId="6B47052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16.6</w:t>
            </w:r>
          </w:p>
        </w:tc>
        <w:tc>
          <w:tcPr>
            <w:tcW w:w="964" w:type="pct"/>
            <w:tcBorders>
              <w:top w:val="nil"/>
              <w:left w:val="nil"/>
              <w:bottom w:val="single" w:sz="8" w:space="0" w:color="auto"/>
              <w:right w:val="nil"/>
            </w:tcBorders>
            <w:shd w:val="clear" w:color="auto" w:fill="auto"/>
            <w:noWrap/>
            <w:vAlign w:val="center"/>
          </w:tcPr>
          <w:p w14:paraId="1E9DBBF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13.7</w:t>
            </w:r>
          </w:p>
        </w:tc>
        <w:tc>
          <w:tcPr>
            <w:tcW w:w="614" w:type="pct"/>
            <w:tcBorders>
              <w:top w:val="nil"/>
              <w:left w:val="nil"/>
              <w:bottom w:val="single" w:sz="8" w:space="0" w:color="auto"/>
              <w:right w:val="nil"/>
            </w:tcBorders>
            <w:shd w:val="clear" w:color="auto" w:fill="auto"/>
            <w:noWrap/>
            <w:vAlign w:val="center"/>
          </w:tcPr>
          <w:p w14:paraId="24405330"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single" w:sz="8" w:space="0" w:color="auto"/>
              <w:right w:val="nil"/>
            </w:tcBorders>
            <w:shd w:val="clear" w:color="auto" w:fill="auto"/>
            <w:noWrap/>
            <w:vAlign w:val="center"/>
          </w:tcPr>
          <w:p w14:paraId="52C42038" w14:textId="77777777" w:rsidR="00064BE2" w:rsidRDefault="00064BE2">
            <w:pPr>
              <w:spacing w:line="360" w:lineRule="auto"/>
              <w:jc w:val="both"/>
              <w:rPr>
                <w:rFonts w:ascii="Book Antiqua" w:eastAsia="宋体" w:hAnsi="Book Antiqua" w:cs="Book Antiqua"/>
                <w:color w:val="000000"/>
                <w:lang w:eastAsia="zh-CN"/>
              </w:rPr>
            </w:pPr>
          </w:p>
        </w:tc>
      </w:tr>
    </w:tbl>
    <w:p w14:paraId="40ADC1F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SNP order in the haplotypes is arranged according to their positions in the chromosome (rs3093077, rs1205, rs1130864, rs1800947, rs3091244, rs2794521). Only the significant haplotypes (frequency &gt; 3.0%) are shown.</w:t>
      </w:r>
    </w:p>
    <w:p w14:paraId="64F72E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Systemic lupus erythematosus</w:t>
      </w:r>
      <w:r>
        <w:rPr>
          <w:rFonts w:ascii="Book Antiqua" w:eastAsia="宋体" w:hAnsi="Book Antiqua" w:cs="Book Antiqua" w:hint="eastAsia"/>
          <w:color w:val="000000"/>
          <w:lang w:eastAsia="zh-CN"/>
        </w:rPr>
        <w:t>.</w:t>
      </w:r>
    </w:p>
    <w:p w14:paraId="79B12BBB" w14:textId="77777777" w:rsidR="00064BE2" w:rsidRDefault="00064BE2">
      <w:pPr>
        <w:spacing w:line="360" w:lineRule="auto"/>
        <w:jc w:val="both"/>
        <w:rPr>
          <w:rFonts w:ascii="Book Antiqua" w:eastAsia="宋体" w:hAnsi="Book Antiqua" w:cs="Book Antiqua"/>
          <w:color w:val="000000"/>
          <w:lang w:eastAsia="zh-CN"/>
        </w:rPr>
      </w:pPr>
    </w:p>
    <w:p w14:paraId="1CE7A849"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7E2FBC07"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4 Genotype and allele frequencies of complement factor H </w:t>
      </w:r>
      <w:bookmarkStart w:id="14" w:name="OLE_LINK1"/>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hint="eastAsia"/>
          <w:b/>
          <w:bCs/>
          <w:color w:val="000000"/>
          <w:lang w:eastAsia="zh-CN"/>
        </w:rPr>
        <w:t xml:space="preserve">, </w:t>
      </w:r>
      <w:r>
        <w:rPr>
          <w:rFonts w:ascii="Book Antiqua" w:eastAsia="宋体" w:hAnsi="Book Antiqua" w:cs="Book Antiqua"/>
          <w:b/>
          <w:bCs/>
          <w:i/>
          <w:iCs/>
          <w:color w:val="000000"/>
          <w:lang w:eastAsia="zh-CN"/>
        </w:rPr>
        <w:t>n</w:t>
      </w:r>
      <w:r>
        <w:rPr>
          <w:rFonts w:ascii="Book Antiqua" w:eastAsia="Book Antiqua" w:hAnsi="Book Antiqua" w:cs="Book Antiqua"/>
          <w:b/>
          <w:bCs/>
          <w:color w:val="000000"/>
        </w:rPr>
        <w:t xml:space="preserve"> (%)</w:t>
      </w:r>
      <w:bookmarkEnd w:id="14"/>
    </w:p>
    <w:tbl>
      <w:tblPr>
        <w:tblW w:w="4997" w:type="pct"/>
        <w:jc w:val="center"/>
        <w:tblLook w:val="04A0" w:firstRow="1" w:lastRow="0" w:firstColumn="1" w:lastColumn="0" w:noHBand="0" w:noVBand="1"/>
      </w:tblPr>
      <w:tblGrid>
        <w:gridCol w:w="2540"/>
        <w:gridCol w:w="1634"/>
        <w:gridCol w:w="1885"/>
        <w:gridCol w:w="1085"/>
        <w:gridCol w:w="1078"/>
        <w:gridCol w:w="1759"/>
        <w:gridCol w:w="1886"/>
        <w:gridCol w:w="1085"/>
      </w:tblGrid>
      <w:tr w:rsidR="00064BE2" w14:paraId="3D76A600" w14:textId="77777777">
        <w:trPr>
          <w:trHeight w:val="675"/>
          <w:jc w:val="center"/>
        </w:trPr>
        <w:tc>
          <w:tcPr>
            <w:tcW w:w="980" w:type="pct"/>
            <w:tcBorders>
              <w:top w:val="single" w:sz="8" w:space="0" w:color="auto"/>
              <w:left w:val="nil"/>
              <w:bottom w:val="single" w:sz="8" w:space="0" w:color="auto"/>
              <w:right w:val="nil"/>
            </w:tcBorders>
            <w:shd w:val="clear" w:color="auto" w:fill="auto"/>
            <w:noWrap/>
            <w:vAlign w:val="center"/>
          </w:tcPr>
          <w:p w14:paraId="084D4BA3"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Genotype</w:t>
            </w:r>
          </w:p>
        </w:tc>
        <w:tc>
          <w:tcPr>
            <w:tcW w:w="630" w:type="pct"/>
            <w:tcBorders>
              <w:top w:val="single" w:sz="8" w:space="0" w:color="auto"/>
              <w:left w:val="nil"/>
              <w:bottom w:val="single" w:sz="8" w:space="0" w:color="auto"/>
              <w:right w:val="nil"/>
            </w:tcBorders>
            <w:shd w:val="clear" w:color="auto" w:fill="auto"/>
            <w:noWrap/>
            <w:vAlign w:val="center"/>
          </w:tcPr>
          <w:p w14:paraId="185B5FB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727" w:type="pct"/>
            <w:tcBorders>
              <w:top w:val="single" w:sz="8" w:space="0" w:color="auto"/>
              <w:left w:val="nil"/>
              <w:bottom w:val="single" w:sz="8" w:space="0" w:color="auto"/>
              <w:right w:val="nil"/>
            </w:tcBorders>
            <w:shd w:val="clear" w:color="auto" w:fill="auto"/>
            <w:noWrap/>
            <w:vAlign w:val="center"/>
          </w:tcPr>
          <w:p w14:paraId="0472DAF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419" w:type="pct"/>
            <w:tcBorders>
              <w:top w:val="single" w:sz="8" w:space="0" w:color="auto"/>
              <w:left w:val="nil"/>
              <w:bottom w:val="single" w:sz="8" w:space="0" w:color="auto"/>
              <w:right w:val="nil"/>
            </w:tcBorders>
            <w:shd w:val="clear" w:color="auto" w:fill="auto"/>
            <w:noWrap/>
            <w:vAlign w:val="center"/>
          </w:tcPr>
          <w:p w14:paraId="45475BD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c>
          <w:tcPr>
            <w:tcW w:w="416" w:type="pct"/>
            <w:tcBorders>
              <w:top w:val="single" w:sz="8" w:space="0" w:color="auto"/>
              <w:left w:val="nil"/>
              <w:bottom w:val="single" w:sz="8" w:space="0" w:color="auto"/>
              <w:right w:val="nil"/>
            </w:tcBorders>
            <w:shd w:val="clear" w:color="auto" w:fill="auto"/>
            <w:noWrap/>
            <w:vAlign w:val="center"/>
          </w:tcPr>
          <w:p w14:paraId="5D9B620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Allele</w:t>
            </w:r>
          </w:p>
        </w:tc>
        <w:tc>
          <w:tcPr>
            <w:tcW w:w="678" w:type="pct"/>
            <w:tcBorders>
              <w:top w:val="single" w:sz="8" w:space="0" w:color="auto"/>
              <w:left w:val="nil"/>
              <w:bottom w:val="single" w:sz="8" w:space="0" w:color="auto"/>
              <w:right w:val="nil"/>
            </w:tcBorders>
            <w:shd w:val="clear" w:color="auto" w:fill="auto"/>
            <w:noWrap/>
            <w:vAlign w:val="center"/>
          </w:tcPr>
          <w:p w14:paraId="2D0DA53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727" w:type="pct"/>
            <w:tcBorders>
              <w:top w:val="single" w:sz="8" w:space="0" w:color="auto"/>
              <w:left w:val="nil"/>
              <w:bottom w:val="single" w:sz="8" w:space="0" w:color="auto"/>
              <w:right w:val="nil"/>
            </w:tcBorders>
            <w:shd w:val="clear" w:color="auto" w:fill="auto"/>
            <w:noWrap/>
            <w:vAlign w:val="center"/>
          </w:tcPr>
          <w:p w14:paraId="7F8787DD"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419" w:type="pct"/>
            <w:tcBorders>
              <w:top w:val="single" w:sz="8" w:space="0" w:color="auto"/>
              <w:left w:val="nil"/>
              <w:bottom w:val="single" w:sz="8" w:space="0" w:color="auto"/>
              <w:right w:val="nil"/>
            </w:tcBorders>
            <w:shd w:val="clear" w:color="auto" w:fill="auto"/>
            <w:noWrap/>
            <w:vAlign w:val="center"/>
          </w:tcPr>
          <w:p w14:paraId="0D74308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34ABC0D3" w14:textId="77777777">
        <w:trPr>
          <w:trHeight w:val="300"/>
          <w:jc w:val="center"/>
        </w:trPr>
        <w:tc>
          <w:tcPr>
            <w:tcW w:w="980" w:type="pct"/>
            <w:tcBorders>
              <w:top w:val="nil"/>
              <w:left w:val="nil"/>
              <w:bottom w:val="nil"/>
              <w:right w:val="nil"/>
            </w:tcBorders>
            <w:shd w:val="clear" w:color="auto" w:fill="auto"/>
            <w:noWrap/>
            <w:vAlign w:val="center"/>
          </w:tcPr>
          <w:p w14:paraId="0BCB2A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rs1061170 (T &gt; C)</w:t>
            </w:r>
          </w:p>
        </w:tc>
        <w:tc>
          <w:tcPr>
            <w:tcW w:w="630" w:type="pct"/>
            <w:tcBorders>
              <w:top w:val="nil"/>
              <w:left w:val="nil"/>
              <w:bottom w:val="nil"/>
              <w:right w:val="nil"/>
            </w:tcBorders>
            <w:shd w:val="clear" w:color="auto" w:fill="auto"/>
            <w:noWrap/>
            <w:vAlign w:val="center"/>
          </w:tcPr>
          <w:p w14:paraId="0C2E8FFF"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7156DDA2"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C81924E"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01D676F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1B9E4676"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2201CBDA"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39F63067" w14:textId="77777777" w:rsidR="00064BE2" w:rsidRDefault="00064BE2">
            <w:pPr>
              <w:spacing w:line="360" w:lineRule="auto"/>
              <w:jc w:val="both"/>
              <w:rPr>
                <w:rFonts w:ascii="Book Antiqua" w:eastAsia="宋体" w:hAnsi="Book Antiqua" w:cs="Book Antiqua"/>
                <w:color w:val="000000"/>
                <w:lang w:eastAsia="zh-CN"/>
              </w:rPr>
            </w:pPr>
          </w:p>
        </w:tc>
      </w:tr>
      <w:tr w:rsidR="00064BE2" w14:paraId="51B152DD" w14:textId="77777777">
        <w:trPr>
          <w:trHeight w:val="285"/>
          <w:jc w:val="center"/>
        </w:trPr>
        <w:tc>
          <w:tcPr>
            <w:tcW w:w="980" w:type="pct"/>
            <w:tcBorders>
              <w:top w:val="nil"/>
              <w:left w:val="nil"/>
              <w:bottom w:val="nil"/>
              <w:right w:val="nil"/>
            </w:tcBorders>
            <w:shd w:val="clear" w:color="auto" w:fill="auto"/>
            <w:noWrap/>
            <w:vAlign w:val="center"/>
          </w:tcPr>
          <w:p w14:paraId="3C113D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w:t>
            </w:r>
          </w:p>
        </w:tc>
        <w:tc>
          <w:tcPr>
            <w:tcW w:w="630" w:type="pct"/>
            <w:tcBorders>
              <w:top w:val="nil"/>
              <w:left w:val="nil"/>
              <w:bottom w:val="nil"/>
              <w:right w:val="nil"/>
            </w:tcBorders>
            <w:shd w:val="clear" w:color="auto" w:fill="auto"/>
            <w:noWrap/>
            <w:vAlign w:val="center"/>
          </w:tcPr>
          <w:p w14:paraId="7C7482A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235 (87.04)</w:t>
            </w:r>
          </w:p>
        </w:tc>
        <w:tc>
          <w:tcPr>
            <w:tcW w:w="727" w:type="pct"/>
            <w:tcBorders>
              <w:top w:val="nil"/>
              <w:left w:val="nil"/>
              <w:bottom w:val="nil"/>
              <w:right w:val="nil"/>
            </w:tcBorders>
            <w:shd w:val="clear" w:color="auto" w:fill="auto"/>
            <w:noWrap/>
            <w:vAlign w:val="center"/>
          </w:tcPr>
          <w:p w14:paraId="1CC50E5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258 (85.15)</w:t>
            </w:r>
          </w:p>
        </w:tc>
        <w:tc>
          <w:tcPr>
            <w:tcW w:w="419" w:type="pct"/>
            <w:tcBorders>
              <w:top w:val="nil"/>
              <w:left w:val="nil"/>
              <w:bottom w:val="nil"/>
              <w:right w:val="nil"/>
            </w:tcBorders>
            <w:shd w:val="clear" w:color="auto" w:fill="auto"/>
            <w:noWrap/>
            <w:vAlign w:val="center"/>
          </w:tcPr>
          <w:p w14:paraId="4EC513E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0.220</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799A34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w:t>
            </w:r>
          </w:p>
        </w:tc>
        <w:tc>
          <w:tcPr>
            <w:tcW w:w="678" w:type="pct"/>
            <w:tcBorders>
              <w:top w:val="nil"/>
              <w:left w:val="nil"/>
              <w:bottom w:val="nil"/>
              <w:right w:val="nil"/>
            </w:tcBorders>
            <w:shd w:val="clear" w:color="auto" w:fill="auto"/>
            <w:noWrap/>
            <w:vAlign w:val="center"/>
          </w:tcPr>
          <w:p w14:paraId="2BDDF9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503 (93.15)</w:t>
            </w:r>
          </w:p>
        </w:tc>
        <w:tc>
          <w:tcPr>
            <w:tcW w:w="727" w:type="pct"/>
            <w:tcBorders>
              <w:top w:val="nil"/>
              <w:left w:val="nil"/>
              <w:bottom w:val="nil"/>
              <w:right w:val="nil"/>
            </w:tcBorders>
            <w:shd w:val="clear" w:color="auto" w:fill="auto"/>
            <w:noWrap/>
            <w:vAlign w:val="center"/>
          </w:tcPr>
          <w:p w14:paraId="7DAD47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561 (92.57)</w:t>
            </w:r>
          </w:p>
        </w:tc>
        <w:tc>
          <w:tcPr>
            <w:tcW w:w="419" w:type="pct"/>
            <w:tcBorders>
              <w:top w:val="nil"/>
              <w:left w:val="nil"/>
              <w:bottom w:val="nil"/>
              <w:right w:val="nil"/>
            </w:tcBorders>
            <w:shd w:val="clear" w:color="auto" w:fill="auto"/>
            <w:noWrap/>
            <w:vAlign w:val="center"/>
          </w:tcPr>
          <w:p w14:paraId="7B9657C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0.707</w:t>
            </w:r>
          </w:p>
        </w:tc>
      </w:tr>
      <w:tr w:rsidR="00064BE2" w14:paraId="3849FBE4" w14:textId="77777777">
        <w:trPr>
          <w:trHeight w:val="285"/>
          <w:jc w:val="center"/>
        </w:trPr>
        <w:tc>
          <w:tcPr>
            <w:tcW w:w="980" w:type="pct"/>
            <w:tcBorders>
              <w:top w:val="nil"/>
              <w:left w:val="nil"/>
              <w:bottom w:val="nil"/>
              <w:right w:val="nil"/>
            </w:tcBorders>
            <w:shd w:val="clear" w:color="auto" w:fill="auto"/>
            <w:noWrap/>
            <w:vAlign w:val="center"/>
          </w:tcPr>
          <w:p w14:paraId="1AC4DAB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w:t>
            </w:r>
          </w:p>
        </w:tc>
        <w:tc>
          <w:tcPr>
            <w:tcW w:w="630" w:type="pct"/>
            <w:tcBorders>
              <w:top w:val="nil"/>
              <w:left w:val="nil"/>
              <w:bottom w:val="nil"/>
              <w:right w:val="nil"/>
            </w:tcBorders>
            <w:shd w:val="clear" w:color="auto" w:fill="auto"/>
            <w:noWrap/>
            <w:vAlign w:val="center"/>
          </w:tcPr>
          <w:p w14:paraId="0D06ECE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33 (12.22)</w:t>
            </w:r>
          </w:p>
        </w:tc>
        <w:tc>
          <w:tcPr>
            <w:tcW w:w="727" w:type="pct"/>
            <w:tcBorders>
              <w:top w:val="nil"/>
              <w:left w:val="nil"/>
              <w:bottom w:val="nil"/>
              <w:right w:val="nil"/>
            </w:tcBorders>
            <w:shd w:val="clear" w:color="auto" w:fill="auto"/>
            <w:noWrap/>
            <w:vAlign w:val="center"/>
          </w:tcPr>
          <w:p w14:paraId="5DBA442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419" w:type="pct"/>
            <w:tcBorders>
              <w:top w:val="nil"/>
              <w:left w:val="nil"/>
              <w:bottom w:val="nil"/>
              <w:right w:val="nil"/>
            </w:tcBorders>
            <w:shd w:val="clear" w:color="auto" w:fill="auto"/>
            <w:noWrap/>
            <w:vAlign w:val="center"/>
          </w:tcPr>
          <w:p w14:paraId="4DD4C8BB"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77259BD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78D8E5F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37 (6.85)</w:t>
            </w:r>
          </w:p>
        </w:tc>
        <w:tc>
          <w:tcPr>
            <w:tcW w:w="727" w:type="pct"/>
            <w:tcBorders>
              <w:top w:val="nil"/>
              <w:left w:val="nil"/>
              <w:bottom w:val="nil"/>
              <w:right w:val="nil"/>
            </w:tcBorders>
            <w:shd w:val="clear" w:color="auto" w:fill="auto"/>
            <w:noWrap/>
            <w:vAlign w:val="center"/>
          </w:tcPr>
          <w:p w14:paraId="33FA30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(7.43)</w:t>
            </w:r>
          </w:p>
        </w:tc>
        <w:tc>
          <w:tcPr>
            <w:tcW w:w="419" w:type="pct"/>
            <w:tcBorders>
              <w:top w:val="nil"/>
              <w:left w:val="nil"/>
              <w:bottom w:val="nil"/>
              <w:right w:val="nil"/>
            </w:tcBorders>
            <w:shd w:val="clear" w:color="auto" w:fill="auto"/>
            <w:noWrap/>
            <w:vAlign w:val="center"/>
          </w:tcPr>
          <w:p w14:paraId="201748A1" w14:textId="77777777" w:rsidR="00064BE2" w:rsidRDefault="00064BE2">
            <w:pPr>
              <w:spacing w:line="360" w:lineRule="auto"/>
              <w:jc w:val="both"/>
              <w:rPr>
                <w:rFonts w:ascii="Book Antiqua" w:eastAsia="宋体" w:hAnsi="Book Antiqua" w:cs="Book Antiqua"/>
                <w:color w:val="000000"/>
                <w:lang w:eastAsia="zh-CN"/>
              </w:rPr>
            </w:pPr>
          </w:p>
        </w:tc>
      </w:tr>
      <w:tr w:rsidR="00064BE2" w14:paraId="3EAEA0A3" w14:textId="77777777">
        <w:trPr>
          <w:trHeight w:val="285"/>
          <w:jc w:val="center"/>
        </w:trPr>
        <w:tc>
          <w:tcPr>
            <w:tcW w:w="980" w:type="pct"/>
            <w:tcBorders>
              <w:top w:val="nil"/>
              <w:left w:val="nil"/>
              <w:bottom w:val="nil"/>
              <w:right w:val="nil"/>
            </w:tcBorders>
            <w:shd w:val="clear" w:color="auto" w:fill="auto"/>
            <w:noWrap/>
            <w:vAlign w:val="center"/>
          </w:tcPr>
          <w:p w14:paraId="0951248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08F352E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nil"/>
              <w:right w:val="nil"/>
            </w:tcBorders>
            <w:shd w:val="clear" w:color="auto" w:fill="auto"/>
            <w:noWrap/>
            <w:vAlign w:val="center"/>
          </w:tcPr>
          <w:p w14:paraId="79C0CF3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nil"/>
              <w:right w:val="nil"/>
            </w:tcBorders>
            <w:shd w:val="clear" w:color="auto" w:fill="auto"/>
            <w:noWrap/>
            <w:vAlign w:val="center"/>
          </w:tcPr>
          <w:p w14:paraId="74DA8CFA"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7F5F59EA"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08095308"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68C31878"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1F8EA723" w14:textId="77777777" w:rsidR="00064BE2" w:rsidRDefault="00064BE2">
            <w:pPr>
              <w:spacing w:line="360" w:lineRule="auto"/>
              <w:jc w:val="both"/>
              <w:rPr>
                <w:rFonts w:ascii="Book Antiqua" w:eastAsia="宋体" w:hAnsi="Book Antiqua" w:cs="Book Antiqua"/>
                <w:color w:val="000000"/>
                <w:lang w:eastAsia="zh-CN"/>
              </w:rPr>
            </w:pPr>
          </w:p>
        </w:tc>
      </w:tr>
      <w:tr w:rsidR="00064BE2" w14:paraId="7DB3A2B5" w14:textId="77777777">
        <w:trPr>
          <w:trHeight w:val="300"/>
          <w:jc w:val="center"/>
        </w:trPr>
        <w:tc>
          <w:tcPr>
            <w:tcW w:w="980" w:type="pct"/>
            <w:tcBorders>
              <w:top w:val="nil"/>
              <w:left w:val="nil"/>
              <w:bottom w:val="nil"/>
              <w:right w:val="nil"/>
            </w:tcBorders>
            <w:shd w:val="clear" w:color="auto" w:fill="auto"/>
            <w:noWrap/>
            <w:vAlign w:val="center"/>
          </w:tcPr>
          <w:p w14:paraId="4C556C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rs482934 (A &gt; C)</w:t>
            </w:r>
          </w:p>
        </w:tc>
        <w:tc>
          <w:tcPr>
            <w:tcW w:w="630" w:type="pct"/>
            <w:tcBorders>
              <w:top w:val="nil"/>
              <w:left w:val="nil"/>
              <w:bottom w:val="nil"/>
              <w:right w:val="nil"/>
            </w:tcBorders>
            <w:shd w:val="clear" w:color="auto" w:fill="auto"/>
            <w:noWrap/>
            <w:vAlign w:val="center"/>
          </w:tcPr>
          <w:p w14:paraId="04312C52"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6D7DFEE2"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15A80DAE"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6B217D23"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7ECA9901"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3D5CADC7"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7839338" w14:textId="77777777" w:rsidR="00064BE2" w:rsidRDefault="00064BE2">
            <w:pPr>
              <w:spacing w:line="360" w:lineRule="auto"/>
              <w:jc w:val="both"/>
              <w:rPr>
                <w:rFonts w:ascii="Book Antiqua" w:eastAsia="宋体" w:hAnsi="Book Antiqua" w:cs="Book Antiqua"/>
                <w:color w:val="000000"/>
                <w:lang w:eastAsia="zh-CN"/>
              </w:rPr>
            </w:pPr>
          </w:p>
        </w:tc>
      </w:tr>
      <w:tr w:rsidR="00064BE2" w14:paraId="2F8AC9CC" w14:textId="77777777">
        <w:trPr>
          <w:trHeight w:val="285"/>
          <w:jc w:val="center"/>
        </w:trPr>
        <w:tc>
          <w:tcPr>
            <w:tcW w:w="980" w:type="pct"/>
            <w:tcBorders>
              <w:top w:val="nil"/>
              <w:left w:val="nil"/>
              <w:bottom w:val="nil"/>
              <w:right w:val="nil"/>
            </w:tcBorders>
            <w:shd w:val="clear" w:color="auto" w:fill="auto"/>
            <w:noWrap/>
            <w:vAlign w:val="center"/>
          </w:tcPr>
          <w:p w14:paraId="6F75F20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w:t>
            </w:r>
          </w:p>
        </w:tc>
        <w:tc>
          <w:tcPr>
            <w:tcW w:w="630" w:type="pct"/>
            <w:tcBorders>
              <w:top w:val="nil"/>
              <w:left w:val="nil"/>
              <w:bottom w:val="nil"/>
              <w:right w:val="nil"/>
            </w:tcBorders>
            <w:shd w:val="clear" w:color="auto" w:fill="auto"/>
            <w:noWrap/>
            <w:vAlign w:val="center"/>
          </w:tcPr>
          <w:p w14:paraId="1AD24B7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236 (87.41)</w:t>
            </w:r>
          </w:p>
        </w:tc>
        <w:tc>
          <w:tcPr>
            <w:tcW w:w="727" w:type="pct"/>
            <w:tcBorders>
              <w:top w:val="nil"/>
              <w:left w:val="nil"/>
              <w:bottom w:val="nil"/>
              <w:right w:val="nil"/>
            </w:tcBorders>
            <w:shd w:val="clear" w:color="auto" w:fill="auto"/>
            <w:noWrap/>
            <w:vAlign w:val="center"/>
          </w:tcPr>
          <w:p w14:paraId="10A5B6C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258 (85.15)</w:t>
            </w:r>
          </w:p>
        </w:tc>
        <w:tc>
          <w:tcPr>
            <w:tcW w:w="419" w:type="pct"/>
            <w:tcBorders>
              <w:top w:val="nil"/>
              <w:left w:val="nil"/>
              <w:bottom w:val="nil"/>
              <w:right w:val="nil"/>
            </w:tcBorders>
            <w:shd w:val="clear" w:color="auto" w:fill="auto"/>
            <w:noWrap/>
            <w:vAlign w:val="center"/>
          </w:tcPr>
          <w:p w14:paraId="406199A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0.189</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7B507FB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w:t>
            </w:r>
          </w:p>
        </w:tc>
        <w:tc>
          <w:tcPr>
            <w:tcW w:w="678" w:type="pct"/>
            <w:tcBorders>
              <w:top w:val="nil"/>
              <w:left w:val="nil"/>
              <w:bottom w:val="nil"/>
              <w:right w:val="nil"/>
            </w:tcBorders>
            <w:shd w:val="clear" w:color="auto" w:fill="auto"/>
            <w:noWrap/>
            <w:vAlign w:val="center"/>
          </w:tcPr>
          <w:p w14:paraId="5A3FBC4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504 (0.93)</w:t>
            </w:r>
          </w:p>
        </w:tc>
        <w:tc>
          <w:tcPr>
            <w:tcW w:w="727" w:type="pct"/>
            <w:tcBorders>
              <w:top w:val="nil"/>
              <w:left w:val="nil"/>
              <w:bottom w:val="nil"/>
              <w:right w:val="nil"/>
            </w:tcBorders>
            <w:shd w:val="clear" w:color="auto" w:fill="auto"/>
            <w:noWrap/>
            <w:vAlign w:val="center"/>
          </w:tcPr>
          <w:p w14:paraId="5A280B3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561 (0.93)</w:t>
            </w:r>
          </w:p>
        </w:tc>
        <w:tc>
          <w:tcPr>
            <w:tcW w:w="419" w:type="pct"/>
            <w:tcBorders>
              <w:top w:val="nil"/>
              <w:left w:val="nil"/>
              <w:bottom w:val="nil"/>
              <w:right w:val="nil"/>
            </w:tcBorders>
            <w:shd w:val="clear" w:color="auto" w:fill="auto"/>
            <w:noWrap/>
            <w:vAlign w:val="center"/>
          </w:tcPr>
          <w:p w14:paraId="4D43727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0.617</w:t>
            </w:r>
          </w:p>
        </w:tc>
      </w:tr>
      <w:tr w:rsidR="00064BE2" w14:paraId="27E3F3A3" w14:textId="77777777">
        <w:trPr>
          <w:trHeight w:val="285"/>
          <w:jc w:val="center"/>
        </w:trPr>
        <w:tc>
          <w:tcPr>
            <w:tcW w:w="980" w:type="pct"/>
            <w:tcBorders>
              <w:top w:val="nil"/>
              <w:left w:val="nil"/>
              <w:bottom w:val="nil"/>
              <w:right w:val="nil"/>
            </w:tcBorders>
            <w:shd w:val="clear" w:color="auto" w:fill="auto"/>
            <w:noWrap/>
            <w:vAlign w:val="center"/>
          </w:tcPr>
          <w:p w14:paraId="7A6C620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w:t>
            </w:r>
          </w:p>
        </w:tc>
        <w:tc>
          <w:tcPr>
            <w:tcW w:w="630" w:type="pct"/>
            <w:tcBorders>
              <w:top w:val="nil"/>
              <w:left w:val="nil"/>
              <w:bottom w:val="nil"/>
              <w:right w:val="nil"/>
            </w:tcBorders>
            <w:shd w:val="clear" w:color="auto" w:fill="auto"/>
            <w:noWrap/>
            <w:vAlign w:val="center"/>
          </w:tcPr>
          <w:p w14:paraId="2AF9E5B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 (11.85)</w:t>
            </w:r>
          </w:p>
        </w:tc>
        <w:tc>
          <w:tcPr>
            <w:tcW w:w="727" w:type="pct"/>
            <w:tcBorders>
              <w:top w:val="nil"/>
              <w:left w:val="nil"/>
              <w:bottom w:val="nil"/>
              <w:right w:val="nil"/>
            </w:tcBorders>
            <w:shd w:val="clear" w:color="auto" w:fill="auto"/>
            <w:noWrap/>
            <w:vAlign w:val="center"/>
          </w:tcPr>
          <w:p w14:paraId="4FED528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419" w:type="pct"/>
            <w:tcBorders>
              <w:top w:val="nil"/>
              <w:left w:val="nil"/>
              <w:bottom w:val="nil"/>
              <w:right w:val="nil"/>
            </w:tcBorders>
            <w:shd w:val="clear" w:color="auto" w:fill="auto"/>
            <w:noWrap/>
            <w:vAlign w:val="center"/>
          </w:tcPr>
          <w:p w14:paraId="5E82CFDD"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5B6D498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0AAB47C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36 (0.07)</w:t>
            </w:r>
          </w:p>
        </w:tc>
        <w:tc>
          <w:tcPr>
            <w:tcW w:w="727" w:type="pct"/>
            <w:tcBorders>
              <w:top w:val="nil"/>
              <w:left w:val="nil"/>
              <w:bottom w:val="nil"/>
              <w:right w:val="nil"/>
            </w:tcBorders>
            <w:shd w:val="clear" w:color="auto" w:fill="auto"/>
            <w:noWrap/>
            <w:vAlign w:val="center"/>
          </w:tcPr>
          <w:p w14:paraId="67EDF89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(0.07)</w:t>
            </w:r>
          </w:p>
        </w:tc>
        <w:tc>
          <w:tcPr>
            <w:tcW w:w="419" w:type="pct"/>
            <w:tcBorders>
              <w:top w:val="nil"/>
              <w:left w:val="nil"/>
              <w:bottom w:val="nil"/>
              <w:right w:val="nil"/>
            </w:tcBorders>
            <w:shd w:val="clear" w:color="auto" w:fill="auto"/>
            <w:noWrap/>
            <w:vAlign w:val="center"/>
          </w:tcPr>
          <w:p w14:paraId="2F67458D" w14:textId="77777777" w:rsidR="00064BE2" w:rsidRDefault="00064BE2">
            <w:pPr>
              <w:spacing w:line="360" w:lineRule="auto"/>
              <w:jc w:val="both"/>
              <w:rPr>
                <w:rFonts w:ascii="Book Antiqua" w:eastAsia="宋体" w:hAnsi="Book Antiqua" w:cs="Book Antiqua"/>
                <w:color w:val="000000"/>
                <w:lang w:eastAsia="zh-CN"/>
              </w:rPr>
            </w:pPr>
          </w:p>
        </w:tc>
      </w:tr>
      <w:tr w:rsidR="00064BE2" w14:paraId="018015AA" w14:textId="77777777">
        <w:trPr>
          <w:trHeight w:val="285"/>
          <w:jc w:val="center"/>
        </w:trPr>
        <w:tc>
          <w:tcPr>
            <w:tcW w:w="980" w:type="pct"/>
            <w:tcBorders>
              <w:top w:val="nil"/>
              <w:left w:val="nil"/>
              <w:bottom w:val="nil"/>
              <w:right w:val="nil"/>
            </w:tcBorders>
            <w:shd w:val="clear" w:color="auto" w:fill="auto"/>
            <w:noWrap/>
            <w:vAlign w:val="center"/>
          </w:tcPr>
          <w:p w14:paraId="6F067DA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670EFD1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nil"/>
              <w:right w:val="nil"/>
            </w:tcBorders>
            <w:shd w:val="clear" w:color="auto" w:fill="auto"/>
            <w:noWrap/>
            <w:vAlign w:val="center"/>
          </w:tcPr>
          <w:p w14:paraId="450FD5E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nil"/>
              <w:right w:val="nil"/>
            </w:tcBorders>
            <w:shd w:val="clear" w:color="auto" w:fill="auto"/>
            <w:noWrap/>
            <w:vAlign w:val="center"/>
          </w:tcPr>
          <w:p w14:paraId="0B8D3558"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4344163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2614D3A9"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0808BD29"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524D7B4D" w14:textId="77777777" w:rsidR="00064BE2" w:rsidRDefault="00064BE2">
            <w:pPr>
              <w:spacing w:line="360" w:lineRule="auto"/>
              <w:jc w:val="both"/>
              <w:rPr>
                <w:rFonts w:ascii="Book Antiqua" w:eastAsia="宋体" w:hAnsi="Book Antiqua" w:cs="Book Antiqua"/>
                <w:color w:val="000000"/>
                <w:lang w:eastAsia="zh-CN"/>
              </w:rPr>
            </w:pPr>
          </w:p>
        </w:tc>
      </w:tr>
      <w:tr w:rsidR="00064BE2" w14:paraId="0677CAF6" w14:textId="77777777">
        <w:trPr>
          <w:trHeight w:val="300"/>
          <w:jc w:val="center"/>
        </w:trPr>
        <w:tc>
          <w:tcPr>
            <w:tcW w:w="980" w:type="pct"/>
            <w:tcBorders>
              <w:top w:val="nil"/>
              <w:left w:val="nil"/>
              <w:bottom w:val="nil"/>
              <w:right w:val="nil"/>
            </w:tcBorders>
            <w:shd w:val="clear" w:color="auto" w:fill="auto"/>
            <w:noWrap/>
            <w:vAlign w:val="center"/>
          </w:tcPr>
          <w:p w14:paraId="29CBC25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rs1061147 (C &gt; A)</w:t>
            </w:r>
          </w:p>
        </w:tc>
        <w:tc>
          <w:tcPr>
            <w:tcW w:w="630" w:type="pct"/>
            <w:tcBorders>
              <w:top w:val="nil"/>
              <w:left w:val="nil"/>
              <w:bottom w:val="nil"/>
              <w:right w:val="nil"/>
            </w:tcBorders>
            <w:shd w:val="clear" w:color="auto" w:fill="auto"/>
            <w:noWrap/>
            <w:vAlign w:val="center"/>
          </w:tcPr>
          <w:p w14:paraId="08EA9A09"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2B240CDF"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10E8EAF"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46848C3B"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66047B8D"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5504B6B9"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30E2C3A1" w14:textId="77777777" w:rsidR="00064BE2" w:rsidRDefault="00064BE2">
            <w:pPr>
              <w:spacing w:line="360" w:lineRule="auto"/>
              <w:jc w:val="both"/>
              <w:rPr>
                <w:rFonts w:ascii="Book Antiqua" w:eastAsia="宋体" w:hAnsi="Book Antiqua" w:cs="Book Antiqua"/>
                <w:color w:val="000000"/>
                <w:lang w:eastAsia="zh-CN"/>
              </w:rPr>
            </w:pPr>
          </w:p>
        </w:tc>
      </w:tr>
      <w:tr w:rsidR="00064BE2" w14:paraId="51CF14E4" w14:textId="77777777">
        <w:trPr>
          <w:trHeight w:val="285"/>
          <w:jc w:val="center"/>
        </w:trPr>
        <w:tc>
          <w:tcPr>
            <w:tcW w:w="980" w:type="pct"/>
            <w:tcBorders>
              <w:top w:val="nil"/>
              <w:left w:val="nil"/>
              <w:bottom w:val="nil"/>
              <w:right w:val="nil"/>
            </w:tcBorders>
            <w:shd w:val="clear" w:color="auto" w:fill="auto"/>
            <w:noWrap/>
            <w:vAlign w:val="center"/>
          </w:tcPr>
          <w:p w14:paraId="3CB2002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13BDC32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235 (87.04)</w:t>
            </w:r>
          </w:p>
        </w:tc>
        <w:tc>
          <w:tcPr>
            <w:tcW w:w="727" w:type="pct"/>
            <w:tcBorders>
              <w:top w:val="nil"/>
              <w:left w:val="nil"/>
              <w:bottom w:val="nil"/>
              <w:right w:val="nil"/>
            </w:tcBorders>
            <w:shd w:val="clear" w:color="auto" w:fill="auto"/>
            <w:noWrap/>
            <w:vAlign w:val="center"/>
          </w:tcPr>
          <w:p w14:paraId="71F3510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257 (84.82)</w:t>
            </w:r>
          </w:p>
        </w:tc>
        <w:tc>
          <w:tcPr>
            <w:tcW w:w="419" w:type="pct"/>
            <w:tcBorders>
              <w:top w:val="nil"/>
              <w:left w:val="nil"/>
              <w:bottom w:val="nil"/>
              <w:right w:val="nil"/>
            </w:tcBorders>
            <w:shd w:val="clear" w:color="auto" w:fill="auto"/>
            <w:noWrap/>
            <w:vAlign w:val="center"/>
          </w:tcPr>
          <w:p w14:paraId="1E777D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0.194</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692638D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7A60AC0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503 (0.93)</w:t>
            </w:r>
          </w:p>
        </w:tc>
        <w:tc>
          <w:tcPr>
            <w:tcW w:w="727" w:type="pct"/>
            <w:tcBorders>
              <w:top w:val="nil"/>
              <w:left w:val="nil"/>
              <w:bottom w:val="nil"/>
              <w:right w:val="nil"/>
            </w:tcBorders>
            <w:shd w:val="clear" w:color="auto" w:fill="auto"/>
            <w:noWrap/>
            <w:vAlign w:val="center"/>
          </w:tcPr>
          <w:p w14:paraId="69B5AE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560 (0.92)</w:t>
            </w:r>
          </w:p>
        </w:tc>
        <w:tc>
          <w:tcPr>
            <w:tcW w:w="419" w:type="pct"/>
            <w:tcBorders>
              <w:top w:val="nil"/>
              <w:left w:val="nil"/>
              <w:bottom w:val="nil"/>
              <w:right w:val="nil"/>
            </w:tcBorders>
            <w:shd w:val="clear" w:color="auto" w:fill="auto"/>
            <w:noWrap/>
            <w:vAlign w:val="center"/>
          </w:tcPr>
          <w:p w14:paraId="79F89D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0.63</w:t>
            </w:r>
          </w:p>
        </w:tc>
      </w:tr>
      <w:tr w:rsidR="00064BE2" w14:paraId="43B19590" w14:textId="77777777">
        <w:trPr>
          <w:trHeight w:val="285"/>
          <w:jc w:val="center"/>
        </w:trPr>
        <w:tc>
          <w:tcPr>
            <w:tcW w:w="980" w:type="pct"/>
            <w:tcBorders>
              <w:top w:val="nil"/>
              <w:left w:val="nil"/>
              <w:bottom w:val="nil"/>
              <w:right w:val="nil"/>
            </w:tcBorders>
            <w:shd w:val="clear" w:color="auto" w:fill="auto"/>
            <w:noWrap/>
            <w:vAlign w:val="center"/>
          </w:tcPr>
          <w:p w14:paraId="1061447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w:t>
            </w:r>
          </w:p>
        </w:tc>
        <w:tc>
          <w:tcPr>
            <w:tcW w:w="630" w:type="pct"/>
            <w:tcBorders>
              <w:top w:val="nil"/>
              <w:left w:val="nil"/>
              <w:bottom w:val="nil"/>
              <w:right w:val="nil"/>
            </w:tcBorders>
            <w:shd w:val="clear" w:color="auto" w:fill="auto"/>
            <w:noWrap/>
            <w:vAlign w:val="center"/>
          </w:tcPr>
          <w:p w14:paraId="7E8CA1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33 (12.22)</w:t>
            </w:r>
          </w:p>
        </w:tc>
        <w:tc>
          <w:tcPr>
            <w:tcW w:w="727" w:type="pct"/>
            <w:tcBorders>
              <w:top w:val="nil"/>
              <w:left w:val="nil"/>
              <w:bottom w:val="nil"/>
              <w:right w:val="nil"/>
            </w:tcBorders>
            <w:shd w:val="clear" w:color="auto" w:fill="auto"/>
            <w:noWrap/>
            <w:vAlign w:val="center"/>
          </w:tcPr>
          <w:p w14:paraId="740AB04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(15.18)</w:t>
            </w:r>
          </w:p>
        </w:tc>
        <w:tc>
          <w:tcPr>
            <w:tcW w:w="419" w:type="pct"/>
            <w:tcBorders>
              <w:top w:val="nil"/>
              <w:left w:val="nil"/>
              <w:bottom w:val="nil"/>
              <w:right w:val="nil"/>
            </w:tcBorders>
            <w:shd w:val="clear" w:color="auto" w:fill="auto"/>
            <w:noWrap/>
            <w:vAlign w:val="center"/>
          </w:tcPr>
          <w:p w14:paraId="5918B3A9"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23B132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w:t>
            </w:r>
          </w:p>
        </w:tc>
        <w:tc>
          <w:tcPr>
            <w:tcW w:w="678" w:type="pct"/>
            <w:tcBorders>
              <w:top w:val="nil"/>
              <w:left w:val="nil"/>
              <w:bottom w:val="nil"/>
              <w:right w:val="nil"/>
            </w:tcBorders>
            <w:shd w:val="clear" w:color="auto" w:fill="auto"/>
            <w:noWrap/>
            <w:vAlign w:val="center"/>
          </w:tcPr>
          <w:p w14:paraId="5FEE765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37 (0.07)</w:t>
            </w:r>
          </w:p>
        </w:tc>
        <w:tc>
          <w:tcPr>
            <w:tcW w:w="727" w:type="pct"/>
            <w:tcBorders>
              <w:top w:val="nil"/>
              <w:left w:val="nil"/>
              <w:bottom w:val="nil"/>
              <w:right w:val="nil"/>
            </w:tcBorders>
            <w:shd w:val="clear" w:color="auto" w:fill="auto"/>
            <w:noWrap/>
            <w:vAlign w:val="center"/>
          </w:tcPr>
          <w:p w14:paraId="5A3DC26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(0.08)</w:t>
            </w:r>
          </w:p>
        </w:tc>
        <w:tc>
          <w:tcPr>
            <w:tcW w:w="419" w:type="pct"/>
            <w:tcBorders>
              <w:top w:val="nil"/>
              <w:left w:val="nil"/>
              <w:bottom w:val="nil"/>
              <w:right w:val="nil"/>
            </w:tcBorders>
            <w:shd w:val="clear" w:color="auto" w:fill="auto"/>
            <w:noWrap/>
            <w:vAlign w:val="center"/>
          </w:tcPr>
          <w:p w14:paraId="0E573C51" w14:textId="77777777" w:rsidR="00064BE2" w:rsidRDefault="00064BE2">
            <w:pPr>
              <w:spacing w:line="360" w:lineRule="auto"/>
              <w:jc w:val="both"/>
              <w:rPr>
                <w:rFonts w:ascii="Book Antiqua" w:eastAsia="宋体" w:hAnsi="Book Antiqua" w:cs="Book Antiqua"/>
                <w:color w:val="000000"/>
                <w:lang w:eastAsia="zh-CN"/>
              </w:rPr>
            </w:pPr>
          </w:p>
        </w:tc>
      </w:tr>
      <w:tr w:rsidR="00064BE2" w14:paraId="54CF2120" w14:textId="77777777">
        <w:trPr>
          <w:trHeight w:val="300"/>
          <w:jc w:val="center"/>
        </w:trPr>
        <w:tc>
          <w:tcPr>
            <w:tcW w:w="980" w:type="pct"/>
            <w:tcBorders>
              <w:top w:val="nil"/>
              <w:left w:val="nil"/>
              <w:bottom w:val="single" w:sz="8" w:space="0" w:color="auto"/>
              <w:right w:val="nil"/>
            </w:tcBorders>
            <w:shd w:val="clear" w:color="auto" w:fill="auto"/>
            <w:noWrap/>
            <w:vAlign w:val="center"/>
          </w:tcPr>
          <w:p w14:paraId="0EC3A0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w:t>
            </w:r>
          </w:p>
        </w:tc>
        <w:tc>
          <w:tcPr>
            <w:tcW w:w="630" w:type="pct"/>
            <w:tcBorders>
              <w:top w:val="nil"/>
              <w:left w:val="nil"/>
              <w:bottom w:val="single" w:sz="8" w:space="0" w:color="auto"/>
              <w:right w:val="nil"/>
            </w:tcBorders>
            <w:shd w:val="clear" w:color="auto" w:fill="auto"/>
            <w:noWrap/>
            <w:vAlign w:val="center"/>
          </w:tcPr>
          <w:p w14:paraId="01F55EB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single" w:sz="8" w:space="0" w:color="auto"/>
              <w:right w:val="nil"/>
            </w:tcBorders>
            <w:shd w:val="clear" w:color="auto" w:fill="auto"/>
            <w:noWrap/>
            <w:vAlign w:val="center"/>
          </w:tcPr>
          <w:p w14:paraId="3D3F1E0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single" w:sz="8" w:space="0" w:color="auto"/>
              <w:right w:val="nil"/>
            </w:tcBorders>
            <w:shd w:val="clear" w:color="auto" w:fill="auto"/>
            <w:noWrap/>
            <w:vAlign w:val="center"/>
          </w:tcPr>
          <w:p w14:paraId="396F7E9C"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single" w:sz="8" w:space="0" w:color="auto"/>
              <w:right w:val="nil"/>
            </w:tcBorders>
            <w:shd w:val="clear" w:color="auto" w:fill="auto"/>
            <w:noWrap/>
            <w:vAlign w:val="center"/>
          </w:tcPr>
          <w:p w14:paraId="0558FA8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single" w:sz="8" w:space="0" w:color="auto"/>
              <w:right w:val="nil"/>
            </w:tcBorders>
            <w:shd w:val="clear" w:color="auto" w:fill="auto"/>
            <w:noWrap/>
            <w:vAlign w:val="bottom"/>
          </w:tcPr>
          <w:p w14:paraId="418F7D9C"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single" w:sz="8" w:space="0" w:color="auto"/>
              <w:right w:val="nil"/>
            </w:tcBorders>
            <w:shd w:val="clear" w:color="auto" w:fill="auto"/>
            <w:noWrap/>
            <w:vAlign w:val="bottom"/>
          </w:tcPr>
          <w:p w14:paraId="38D2937A"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single" w:sz="8" w:space="0" w:color="auto"/>
              <w:right w:val="nil"/>
            </w:tcBorders>
            <w:shd w:val="clear" w:color="auto" w:fill="auto"/>
            <w:noWrap/>
            <w:vAlign w:val="center"/>
          </w:tcPr>
          <w:p w14:paraId="017085F1" w14:textId="77777777" w:rsidR="00064BE2" w:rsidRDefault="00064BE2">
            <w:pPr>
              <w:spacing w:line="360" w:lineRule="auto"/>
              <w:jc w:val="both"/>
              <w:rPr>
                <w:rFonts w:ascii="Book Antiqua" w:eastAsia="宋体" w:hAnsi="Book Antiqua" w:cs="Book Antiqua"/>
                <w:color w:val="000000"/>
                <w:lang w:eastAsia="zh-CN"/>
              </w:rPr>
            </w:pPr>
          </w:p>
        </w:tc>
      </w:tr>
    </w:tbl>
    <w:p w14:paraId="2936B9C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Fisher’s exact test; unmarked, Pearson’s chi-squared test.</w:t>
      </w:r>
    </w:p>
    <w:p w14:paraId="3381842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0AB76785" w14:textId="77777777" w:rsidR="00064BE2" w:rsidRDefault="00064BE2">
      <w:pPr>
        <w:spacing w:line="360" w:lineRule="auto"/>
        <w:jc w:val="both"/>
        <w:rPr>
          <w:rFonts w:ascii="Book Antiqua" w:eastAsia="宋体" w:hAnsi="Book Antiqua" w:cs="Book Antiqua"/>
          <w:color w:val="000000"/>
          <w:lang w:eastAsia="zh-CN"/>
        </w:rPr>
      </w:pPr>
    </w:p>
    <w:p w14:paraId="390B1842" w14:textId="77777777" w:rsidR="00064BE2" w:rsidRDefault="00064BE2">
      <w:pPr>
        <w:spacing w:line="360" w:lineRule="auto"/>
        <w:jc w:val="both"/>
        <w:rPr>
          <w:rFonts w:ascii="Book Antiqua" w:eastAsia="宋体" w:hAnsi="Book Antiqua" w:cs="Book Antiqua"/>
          <w:color w:val="000000"/>
          <w:lang w:eastAsia="zh-CN"/>
        </w:rPr>
        <w:sectPr w:rsidR="00064BE2">
          <w:pgSz w:w="15840" w:h="12240" w:orient="landscape"/>
          <w:pgMar w:top="1440" w:right="1440" w:bottom="1440" w:left="1440" w:header="720" w:footer="720" w:gutter="0"/>
          <w:cols w:space="720"/>
          <w:docGrid w:linePitch="360"/>
        </w:sectPr>
      </w:pPr>
    </w:p>
    <w:p w14:paraId="79AE65A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5 Pairwise Linkage Disequilibrium analysis of complement factor H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in healthy controls</w:t>
      </w:r>
    </w:p>
    <w:tbl>
      <w:tblPr>
        <w:tblW w:w="4997" w:type="pct"/>
        <w:jc w:val="center"/>
        <w:tblLook w:val="04A0" w:firstRow="1" w:lastRow="0" w:firstColumn="1" w:lastColumn="0" w:noHBand="0" w:noVBand="1"/>
      </w:tblPr>
      <w:tblGrid>
        <w:gridCol w:w="2394"/>
        <w:gridCol w:w="2399"/>
        <w:gridCol w:w="2163"/>
        <w:gridCol w:w="2398"/>
      </w:tblGrid>
      <w:tr w:rsidR="00064BE2" w14:paraId="37C2B01C" w14:textId="77777777">
        <w:trPr>
          <w:trHeight w:val="332"/>
          <w:jc w:val="center"/>
        </w:trPr>
        <w:tc>
          <w:tcPr>
            <w:tcW w:w="1279" w:type="pct"/>
            <w:tcBorders>
              <w:top w:val="single" w:sz="4" w:space="0" w:color="auto"/>
              <w:left w:val="nil"/>
              <w:bottom w:val="single" w:sz="4" w:space="0" w:color="auto"/>
              <w:right w:val="nil"/>
            </w:tcBorders>
            <w:shd w:val="clear" w:color="auto" w:fill="FFFFFF"/>
            <w:noWrap/>
            <w:vAlign w:val="center"/>
          </w:tcPr>
          <w:p w14:paraId="327DC088"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r2\D'</w:t>
            </w:r>
          </w:p>
        </w:tc>
        <w:tc>
          <w:tcPr>
            <w:tcW w:w="1281" w:type="pct"/>
            <w:tcBorders>
              <w:top w:val="single" w:sz="4" w:space="0" w:color="auto"/>
              <w:left w:val="nil"/>
              <w:bottom w:val="single" w:sz="4" w:space="0" w:color="auto"/>
              <w:right w:val="nil"/>
            </w:tcBorders>
            <w:shd w:val="clear" w:color="auto" w:fill="FFFFFF"/>
            <w:noWrap/>
            <w:vAlign w:val="center"/>
          </w:tcPr>
          <w:p w14:paraId="1D5002B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rs1061147</w:t>
            </w:r>
          </w:p>
        </w:tc>
        <w:tc>
          <w:tcPr>
            <w:tcW w:w="1156" w:type="pct"/>
            <w:tcBorders>
              <w:top w:val="single" w:sz="4" w:space="0" w:color="auto"/>
              <w:left w:val="nil"/>
              <w:bottom w:val="single" w:sz="4" w:space="0" w:color="auto"/>
              <w:right w:val="nil"/>
            </w:tcBorders>
            <w:shd w:val="clear" w:color="auto" w:fill="FFFFFF"/>
            <w:noWrap/>
            <w:vAlign w:val="center"/>
          </w:tcPr>
          <w:p w14:paraId="2185E4A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rs482934</w:t>
            </w:r>
          </w:p>
        </w:tc>
        <w:tc>
          <w:tcPr>
            <w:tcW w:w="1282" w:type="pct"/>
            <w:tcBorders>
              <w:top w:val="single" w:sz="4" w:space="0" w:color="auto"/>
              <w:left w:val="nil"/>
              <w:bottom w:val="single" w:sz="4" w:space="0" w:color="auto"/>
              <w:right w:val="nil"/>
            </w:tcBorders>
            <w:shd w:val="clear" w:color="auto" w:fill="FFFFFF"/>
            <w:noWrap/>
            <w:vAlign w:val="center"/>
          </w:tcPr>
          <w:p w14:paraId="28A0B168"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rs1061170</w:t>
            </w:r>
          </w:p>
        </w:tc>
      </w:tr>
      <w:tr w:rsidR="00064BE2" w14:paraId="78A7C6E2" w14:textId="77777777">
        <w:trPr>
          <w:trHeight w:val="346"/>
          <w:jc w:val="center"/>
        </w:trPr>
        <w:tc>
          <w:tcPr>
            <w:tcW w:w="2561" w:type="pct"/>
            <w:gridSpan w:val="2"/>
            <w:tcBorders>
              <w:top w:val="single" w:sz="4" w:space="0" w:color="auto"/>
              <w:left w:val="nil"/>
              <w:bottom w:val="nil"/>
              <w:right w:val="nil"/>
            </w:tcBorders>
            <w:shd w:val="clear" w:color="auto" w:fill="FFFFFF"/>
            <w:noWrap/>
            <w:vAlign w:val="center"/>
          </w:tcPr>
          <w:p w14:paraId="42EAE7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rs1061147</w:t>
            </w:r>
          </w:p>
        </w:tc>
        <w:tc>
          <w:tcPr>
            <w:tcW w:w="1156" w:type="pct"/>
            <w:tcBorders>
              <w:top w:val="single" w:sz="4" w:space="0" w:color="auto"/>
              <w:left w:val="nil"/>
              <w:bottom w:val="nil"/>
              <w:right w:val="nil"/>
            </w:tcBorders>
            <w:shd w:val="clear" w:color="auto" w:fill="FFFFFF"/>
            <w:noWrap/>
            <w:vAlign w:val="center"/>
          </w:tcPr>
          <w:p w14:paraId="48ADF4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0.976 </w:t>
            </w:r>
          </w:p>
        </w:tc>
        <w:tc>
          <w:tcPr>
            <w:tcW w:w="1282" w:type="pct"/>
            <w:tcBorders>
              <w:top w:val="single" w:sz="4" w:space="0" w:color="auto"/>
              <w:left w:val="nil"/>
              <w:bottom w:val="nil"/>
              <w:right w:val="nil"/>
            </w:tcBorders>
            <w:shd w:val="clear" w:color="auto" w:fill="FFFFFF"/>
            <w:noWrap/>
            <w:vAlign w:val="center"/>
          </w:tcPr>
          <w:p w14:paraId="549BD0D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r>
      <w:tr w:rsidR="00064BE2" w14:paraId="2031C320" w14:textId="77777777">
        <w:trPr>
          <w:trHeight w:val="346"/>
          <w:jc w:val="center"/>
        </w:trPr>
        <w:tc>
          <w:tcPr>
            <w:tcW w:w="1279" w:type="pct"/>
            <w:tcBorders>
              <w:top w:val="nil"/>
              <w:left w:val="nil"/>
              <w:bottom w:val="nil"/>
              <w:right w:val="nil"/>
            </w:tcBorders>
            <w:shd w:val="clear" w:color="auto" w:fill="FFFFFF"/>
            <w:noWrap/>
            <w:vAlign w:val="center"/>
          </w:tcPr>
          <w:p w14:paraId="5785B2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rs482934</w:t>
            </w:r>
          </w:p>
        </w:tc>
        <w:tc>
          <w:tcPr>
            <w:tcW w:w="1281" w:type="pct"/>
            <w:tcBorders>
              <w:top w:val="nil"/>
              <w:left w:val="nil"/>
              <w:bottom w:val="nil"/>
              <w:right w:val="nil"/>
            </w:tcBorders>
            <w:shd w:val="clear" w:color="auto" w:fill="FFFFFF"/>
            <w:noWrap/>
            <w:vAlign w:val="center"/>
          </w:tcPr>
          <w:p w14:paraId="3F2A4A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0.930 </w:t>
            </w:r>
          </w:p>
        </w:tc>
        <w:tc>
          <w:tcPr>
            <w:tcW w:w="1156" w:type="pct"/>
            <w:tcBorders>
              <w:top w:val="nil"/>
              <w:left w:val="nil"/>
              <w:bottom w:val="nil"/>
              <w:right w:val="nil"/>
            </w:tcBorders>
            <w:shd w:val="clear" w:color="auto" w:fill="FFFFFF"/>
            <w:noWrap/>
            <w:vAlign w:val="center"/>
          </w:tcPr>
          <w:p w14:paraId="5467C929" w14:textId="77777777" w:rsidR="00064BE2" w:rsidRDefault="00064BE2">
            <w:pPr>
              <w:spacing w:line="360" w:lineRule="auto"/>
              <w:jc w:val="both"/>
              <w:rPr>
                <w:rFonts w:ascii="Book Antiqua" w:eastAsia="宋体" w:hAnsi="Book Antiqua" w:cs="Book Antiqua"/>
                <w:color w:val="000000"/>
                <w:lang w:eastAsia="zh-CN"/>
              </w:rPr>
            </w:pPr>
          </w:p>
        </w:tc>
        <w:tc>
          <w:tcPr>
            <w:tcW w:w="1282" w:type="pct"/>
            <w:tcBorders>
              <w:top w:val="nil"/>
              <w:left w:val="nil"/>
              <w:bottom w:val="nil"/>
              <w:right w:val="nil"/>
            </w:tcBorders>
            <w:shd w:val="clear" w:color="auto" w:fill="FFFFFF"/>
            <w:noWrap/>
            <w:vAlign w:val="center"/>
          </w:tcPr>
          <w:p w14:paraId="2C9D0E1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0.976 </w:t>
            </w:r>
          </w:p>
        </w:tc>
      </w:tr>
      <w:tr w:rsidR="00064BE2" w14:paraId="340CBAEC" w14:textId="77777777">
        <w:trPr>
          <w:trHeight w:val="346"/>
          <w:jc w:val="center"/>
        </w:trPr>
        <w:tc>
          <w:tcPr>
            <w:tcW w:w="1279" w:type="pct"/>
            <w:tcBorders>
              <w:top w:val="nil"/>
              <w:left w:val="nil"/>
              <w:bottom w:val="single" w:sz="4" w:space="0" w:color="auto"/>
              <w:right w:val="nil"/>
            </w:tcBorders>
            <w:shd w:val="clear" w:color="auto" w:fill="FFFFFF"/>
            <w:noWrap/>
            <w:vAlign w:val="center"/>
          </w:tcPr>
          <w:p w14:paraId="30175C6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rs1061170</w:t>
            </w:r>
          </w:p>
        </w:tc>
        <w:tc>
          <w:tcPr>
            <w:tcW w:w="1281" w:type="pct"/>
            <w:tcBorders>
              <w:top w:val="nil"/>
              <w:left w:val="nil"/>
              <w:bottom w:val="single" w:sz="4" w:space="0" w:color="auto"/>
              <w:right w:val="nil"/>
            </w:tcBorders>
            <w:shd w:val="clear" w:color="auto" w:fill="FFFFFF"/>
            <w:noWrap/>
            <w:vAlign w:val="center"/>
          </w:tcPr>
          <w:p w14:paraId="0B406A4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0.977 </w:t>
            </w:r>
          </w:p>
        </w:tc>
        <w:tc>
          <w:tcPr>
            <w:tcW w:w="1156" w:type="pct"/>
            <w:tcBorders>
              <w:top w:val="nil"/>
              <w:left w:val="nil"/>
              <w:bottom w:val="single" w:sz="4" w:space="0" w:color="auto"/>
              <w:right w:val="nil"/>
            </w:tcBorders>
            <w:shd w:val="clear" w:color="auto" w:fill="FFFFFF"/>
            <w:noWrap/>
            <w:vAlign w:val="center"/>
          </w:tcPr>
          <w:p w14:paraId="4139181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0.952 </w:t>
            </w:r>
          </w:p>
        </w:tc>
        <w:tc>
          <w:tcPr>
            <w:tcW w:w="1282" w:type="pct"/>
            <w:tcBorders>
              <w:top w:val="nil"/>
              <w:left w:val="nil"/>
              <w:bottom w:val="single" w:sz="4" w:space="0" w:color="auto"/>
              <w:right w:val="nil"/>
            </w:tcBorders>
            <w:shd w:val="clear" w:color="auto" w:fill="FFFFFF"/>
            <w:noWrap/>
            <w:vAlign w:val="center"/>
          </w:tcPr>
          <w:p w14:paraId="465E8B24" w14:textId="77777777" w:rsidR="00064BE2" w:rsidRDefault="00064BE2">
            <w:pPr>
              <w:spacing w:line="360" w:lineRule="auto"/>
              <w:jc w:val="both"/>
              <w:rPr>
                <w:rFonts w:ascii="Book Antiqua" w:eastAsia="宋体" w:hAnsi="Book Antiqua" w:cs="Book Antiqua"/>
                <w:color w:val="000000"/>
                <w:lang w:eastAsia="zh-CN"/>
              </w:rPr>
            </w:pPr>
          </w:p>
        </w:tc>
      </w:tr>
    </w:tbl>
    <w:p w14:paraId="676BB7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 and r2 are listed on the top right and lower left, respectively. Bold represents pairs with D’ values great than 0.8 and r2 values great than 0.33.</w:t>
      </w:r>
    </w:p>
    <w:p w14:paraId="2A609DC3" w14:textId="77777777" w:rsidR="00064BE2" w:rsidRDefault="00064BE2">
      <w:pPr>
        <w:spacing w:line="360" w:lineRule="auto"/>
        <w:jc w:val="both"/>
        <w:rPr>
          <w:rFonts w:ascii="Book Antiqua" w:eastAsia="宋体" w:hAnsi="Book Antiqua" w:cs="Book Antiqua"/>
          <w:color w:val="000000"/>
          <w:lang w:eastAsia="zh-CN"/>
        </w:rPr>
      </w:pPr>
    </w:p>
    <w:p w14:paraId="57910114"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70E341C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6 Association of complement factor H haplotypes with risk of lupus nephritis </w:t>
      </w:r>
    </w:p>
    <w:tbl>
      <w:tblPr>
        <w:tblW w:w="4998" w:type="pct"/>
        <w:jc w:val="center"/>
        <w:tblLook w:val="04A0" w:firstRow="1" w:lastRow="0" w:firstColumn="1" w:lastColumn="0" w:noHBand="0" w:noVBand="1"/>
      </w:tblPr>
      <w:tblGrid>
        <w:gridCol w:w="908"/>
        <w:gridCol w:w="1835"/>
        <w:gridCol w:w="1599"/>
        <w:gridCol w:w="1838"/>
        <w:gridCol w:w="1338"/>
        <w:gridCol w:w="1838"/>
      </w:tblGrid>
      <w:tr w:rsidR="00064BE2" w14:paraId="7BE9E7A8" w14:textId="77777777">
        <w:trPr>
          <w:trHeight w:val="711"/>
          <w:jc w:val="center"/>
        </w:trPr>
        <w:tc>
          <w:tcPr>
            <w:tcW w:w="1466" w:type="pct"/>
            <w:gridSpan w:val="2"/>
            <w:tcBorders>
              <w:top w:val="single" w:sz="8" w:space="0" w:color="auto"/>
              <w:left w:val="nil"/>
              <w:bottom w:val="single" w:sz="8" w:space="0" w:color="auto"/>
              <w:right w:val="nil"/>
            </w:tcBorders>
            <w:shd w:val="clear" w:color="auto" w:fill="auto"/>
            <w:vAlign w:val="center"/>
          </w:tcPr>
          <w:p w14:paraId="595FE74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CRP Haplotype</w:t>
            </w:r>
          </w:p>
        </w:tc>
        <w:tc>
          <w:tcPr>
            <w:tcW w:w="854" w:type="pct"/>
            <w:tcBorders>
              <w:top w:val="single" w:sz="8" w:space="0" w:color="auto"/>
              <w:left w:val="nil"/>
              <w:bottom w:val="single" w:sz="8" w:space="0" w:color="auto"/>
              <w:right w:val="nil"/>
            </w:tcBorders>
            <w:shd w:val="clear" w:color="auto" w:fill="auto"/>
            <w:vAlign w:val="center"/>
          </w:tcPr>
          <w:p w14:paraId="4F397E2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LN-freq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270)</w:t>
            </w:r>
          </w:p>
        </w:tc>
        <w:tc>
          <w:tcPr>
            <w:tcW w:w="981" w:type="pct"/>
            <w:tcBorders>
              <w:top w:val="single" w:sz="8" w:space="0" w:color="auto"/>
              <w:left w:val="nil"/>
              <w:bottom w:val="single" w:sz="8" w:space="0" w:color="auto"/>
              <w:right w:val="nil"/>
            </w:tcBorders>
            <w:shd w:val="clear" w:color="auto" w:fill="auto"/>
            <w:vAlign w:val="center"/>
          </w:tcPr>
          <w:p w14:paraId="6BAA018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Normal-freq (% </w:t>
            </w:r>
            <w:r>
              <w:rPr>
                <w:rFonts w:ascii="Book Antiqua" w:eastAsia="宋体" w:hAnsi="Book Antiqua" w:cs="Book Antiqu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303)</w:t>
            </w:r>
          </w:p>
        </w:tc>
        <w:tc>
          <w:tcPr>
            <w:tcW w:w="714" w:type="pct"/>
            <w:tcBorders>
              <w:top w:val="single" w:sz="8" w:space="0" w:color="auto"/>
              <w:left w:val="nil"/>
              <w:bottom w:val="single" w:sz="8" w:space="0" w:color="auto"/>
              <w:right w:val="nil"/>
            </w:tcBorders>
            <w:shd w:val="clear" w:color="auto" w:fill="auto"/>
            <w:vAlign w:val="center"/>
          </w:tcPr>
          <w:p w14:paraId="74086915"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i/>
                <w:iCs/>
                <w:color w:val="000000"/>
                <w:lang w:eastAsia="zh-CN"/>
              </w:rPr>
              <w:t>χ</w:t>
            </w:r>
            <w:r>
              <w:rPr>
                <w:rFonts w:ascii="Book Antiqua" w:eastAsia="宋体" w:hAnsi="Book Antiqua" w:cs="Book Antiqua"/>
                <w:b/>
                <w:bCs/>
                <w:color w:val="000000"/>
                <w:vertAlign w:val="superscript"/>
                <w:lang w:eastAsia="zh-CN"/>
              </w:rPr>
              <w:t>2</w:t>
            </w:r>
          </w:p>
        </w:tc>
        <w:tc>
          <w:tcPr>
            <w:tcW w:w="981" w:type="pct"/>
            <w:tcBorders>
              <w:top w:val="single" w:sz="8" w:space="0" w:color="auto"/>
              <w:left w:val="nil"/>
              <w:bottom w:val="single" w:sz="8" w:space="0" w:color="auto"/>
              <w:right w:val="nil"/>
            </w:tcBorders>
            <w:shd w:val="clear" w:color="auto" w:fill="auto"/>
            <w:vAlign w:val="center"/>
          </w:tcPr>
          <w:p w14:paraId="01B445E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Overall </w:t>
            </w: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135C1A51" w14:textId="77777777">
        <w:trPr>
          <w:trHeight w:val="346"/>
          <w:jc w:val="center"/>
        </w:trPr>
        <w:tc>
          <w:tcPr>
            <w:tcW w:w="486" w:type="pct"/>
            <w:tcBorders>
              <w:top w:val="nil"/>
              <w:left w:val="nil"/>
              <w:bottom w:val="nil"/>
              <w:right w:val="nil"/>
            </w:tcBorders>
            <w:shd w:val="clear" w:color="auto" w:fill="auto"/>
            <w:noWrap/>
            <w:vAlign w:val="center"/>
          </w:tcPr>
          <w:p w14:paraId="5769223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H1</w:t>
            </w:r>
          </w:p>
        </w:tc>
        <w:tc>
          <w:tcPr>
            <w:tcW w:w="980" w:type="pct"/>
            <w:tcBorders>
              <w:top w:val="nil"/>
              <w:left w:val="nil"/>
              <w:bottom w:val="nil"/>
              <w:right w:val="nil"/>
            </w:tcBorders>
            <w:shd w:val="clear" w:color="auto" w:fill="auto"/>
            <w:noWrap/>
            <w:vAlign w:val="center"/>
          </w:tcPr>
          <w:p w14:paraId="7751ED5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 C G</w:t>
            </w:r>
          </w:p>
        </w:tc>
        <w:tc>
          <w:tcPr>
            <w:tcW w:w="854" w:type="pct"/>
            <w:tcBorders>
              <w:top w:val="nil"/>
              <w:left w:val="nil"/>
              <w:bottom w:val="nil"/>
              <w:right w:val="nil"/>
            </w:tcBorders>
            <w:shd w:val="clear" w:color="auto" w:fill="auto"/>
            <w:noWrap/>
            <w:vAlign w:val="center"/>
          </w:tcPr>
          <w:p w14:paraId="1D0B3B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6.3</w:t>
            </w:r>
          </w:p>
        </w:tc>
        <w:tc>
          <w:tcPr>
            <w:tcW w:w="981" w:type="pct"/>
            <w:tcBorders>
              <w:top w:val="nil"/>
              <w:left w:val="nil"/>
              <w:bottom w:val="nil"/>
              <w:right w:val="nil"/>
            </w:tcBorders>
            <w:shd w:val="clear" w:color="auto" w:fill="auto"/>
            <w:noWrap/>
            <w:vAlign w:val="center"/>
          </w:tcPr>
          <w:p w14:paraId="52FAA6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7.3</w:t>
            </w:r>
          </w:p>
        </w:tc>
        <w:tc>
          <w:tcPr>
            <w:tcW w:w="714" w:type="pct"/>
            <w:tcBorders>
              <w:top w:val="nil"/>
              <w:left w:val="nil"/>
              <w:bottom w:val="nil"/>
              <w:right w:val="nil"/>
            </w:tcBorders>
            <w:shd w:val="clear" w:color="auto" w:fill="auto"/>
            <w:noWrap/>
            <w:vAlign w:val="center"/>
          </w:tcPr>
          <w:p w14:paraId="74C75D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0.426</w:t>
            </w:r>
          </w:p>
        </w:tc>
        <w:tc>
          <w:tcPr>
            <w:tcW w:w="981" w:type="pct"/>
            <w:tcBorders>
              <w:top w:val="nil"/>
              <w:left w:val="nil"/>
              <w:bottom w:val="nil"/>
              <w:right w:val="nil"/>
            </w:tcBorders>
            <w:shd w:val="clear" w:color="auto" w:fill="auto"/>
            <w:noWrap/>
            <w:vAlign w:val="center"/>
          </w:tcPr>
          <w:p w14:paraId="1F6C288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0.514 </w:t>
            </w:r>
          </w:p>
        </w:tc>
      </w:tr>
      <w:tr w:rsidR="00064BE2" w14:paraId="2D5E8B39" w14:textId="77777777">
        <w:trPr>
          <w:trHeight w:val="346"/>
          <w:jc w:val="center"/>
        </w:trPr>
        <w:tc>
          <w:tcPr>
            <w:tcW w:w="486" w:type="pct"/>
            <w:tcBorders>
              <w:top w:val="nil"/>
              <w:left w:val="nil"/>
              <w:bottom w:val="single" w:sz="4" w:space="0" w:color="auto"/>
              <w:right w:val="nil"/>
            </w:tcBorders>
            <w:shd w:val="clear" w:color="auto" w:fill="auto"/>
            <w:noWrap/>
            <w:vAlign w:val="center"/>
          </w:tcPr>
          <w:p w14:paraId="4F6A434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H2</w:t>
            </w:r>
          </w:p>
        </w:tc>
        <w:tc>
          <w:tcPr>
            <w:tcW w:w="980" w:type="pct"/>
            <w:tcBorders>
              <w:top w:val="nil"/>
              <w:left w:val="nil"/>
              <w:bottom w:val="single" w:sz="4" w:space="0" w:color="auto"/>
              <w:right w:val="nil"/>
            </w:tcBorders>
            <w:shd w:val="clear" w:color="auto" w:fill="auto"/>
            <w:noWrap/>
            <w:vAlign w:val="center"/>
          </w:tcPr>
          <w:p w14:paraId="3AA4014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 A A</w:t>
            </w:r>
          </w:p>
        </w:tc>
        <w:tc>
          <w:tcPr>
            <w:tcW w:w="854" w:type="pct"/>
            <w:tcBorders>
              <w:top w:val="nil"/>
              <w:left w:val="nil"/>
              <w:bottom w:val="single" w:sz="4" w:space="0" w:color="auto"/>
              <w:right w:val="nil"/>
            </w:tcBorders>
            <w:shd w:val="clear" w:color="auto" w:fill="auto"/>
            <w:noWrap/>
            <w:vAlign w:val="center"/>
          </w:tcPr>
          <w:p w14:paraId="40D24F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93.3</w:t>
            </w:r>
          </w:p>
        </w:tc>
        <w:tc>
          <w:tcPr>
            <w:tcW w:w="981" w:type="pct"/>
            <w:tcBorders>
              <w:top w:val="nil"/>
              <w:left w:val="nil"/>
              <w:bottom w:val="single" w:sz="4" w:space="0" w:color="auto"/>
              <w:right w:val="nil"/>
            </w:tcBorders>
            <w:shd w:val="clear" w:color="auto" w:fill="auto"/>
            <w:noWrap/>
            <w:vAlign w:val="center"/>
          </w:tcPr>
          <w:p w14:paraId="5F3EA0E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92.2</w:t>
            </w:r>
          </w:p>
        </w:tc>
        <w:tc>
          <w:tcPr>
            <w:tcW w:w="714" w:type="pct"/>
            <w:tcBorders>
              <w:top w:val="nil"/>
              <w:left w:val="nil"/>
              <w:bottom w:val="single" w:sz="4" w:space="0" w:color="auto"/>
              <w:right w:val="nil"/>
            </w:tcBorders>
            <w:shd w:val="clear" w:color="auto" w:fill="auto"/>
            <w:noWrap/>
            <w:vAlign w:val="center"/>
          </w:tcPr>
          <w:p w14:paraId="00AFAB9E" w14:textId="77777777" w:rsidR="00064BE2" w:rsidRDefault="00064BE2">
            <w:pPr>
              <w:spacing w:line="360" w:lineRule="auto"/>
              <w:jc w:val="both"/>
              <w:rPr>
                <w:rFonts w:ascii="Book Antiqua" w:eastAsia="宋体" w:hAnsi="Book Antiqua" w:cs="Book Antiqua"/>
                <w:color w:val="000000"/>
                <w:lang w:eastAsia="zh-CN"/>
              </w:rPr>
            </w:pPr>
          </w:p>
        </w:tc>
        <w:tc>
          <w:tcPr>
            <w:tcW w:w="981" w:type="pct"/>
            <w:tcBorders>
              <w:top w:val="nil"/>
              <w:left w:val="nil"/>
              <w:bottom w:val="single" w:sz="4" w:space="0" w:color="auto"/>
              <w:right w:val="nil"/>
            </w:tcBorders>
            <w:shd w:val="clear" w:color="auto" w:fill="auto"/>
            <w:noWrap/>
            <w:vAlign w:val="center"/>
          </w:tcPr>
          <w:p w14:paraId="6E577CE0" w14:textId="77777777" w:rsidR="00064BE2" w:rsidRDefault="00064BE2">
            <w:pPr>
              <w:spacing w:line="360" w:lineRule="auto"/>
              <w:jc w:val="both"/>
              <w:rPr>
                <w:rFonts w:ascii="Book Antiqua" w:eastAsia="宋体" w:hAnsi="Book Antiqua" w:cs="Book Antiqua"/>
                <w:color w:val="000000"/>
                <w:lang w:eastAsia="zh-CN"/>
              </w:rPr>
            </w:pPr>
          </w:p>
        </w:tc>
      </w:tr>
    </w:tbl>
    <w:p w14:paraId="1F0FD3A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SNP order in the haplotypes is arranged according to their positions in the chromosome</w:t>
      </w:r>
    </w:p>
    <w:p w14:paraId="3D37DE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2370E0FA"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3C73A25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7 Genotype frequencies of combined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of C-reactive protein and complement factor H</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p>
    <w:tbl>
      <w:tblPr>
        <w:tblW w:w="4998" w:type="pct"/>
        <w:jc w:val="center"/>
        <w:tblLook w:val="04A0" w:firstRow="1" w:lastRow="0" w:firstColumn="1" w:lastColumn="0" w:noHBand="0" w:noVBand="1"/>
      </w:tblPr>
      <w:tblGrid>
        <w:gridCol w:w="3245"/>
        <w:gridCol w:w="1686"/>
        <w:gridCol w:w="1686"/>
        <w:gridCol w:w="1686"/>
      </w:tblGrid>
      <w:tr w:rsidR="00064BE2" w14:paraId="41C4B255" w14:textId="77777777">
        <w:trPr>
          <w:trHeight w:val="885"/>
          <w:jc w:val="center"/>
        </w:trPr>
        <w:tc>
          <w:tcPr>
            <w:tcW w:w="1953" w:type="pct"/>
            <w:tcBorders>
              <w:top w:val="single" w:sz="8" w:space="0" w:color="auto"/>
              <w:left w:val="nil"/>
              <w:bottom w:val="single" w:sz="8" w:space="0" w:color="auto"/>
              <w:right w:val="nil"/>
            </w:tcBorders>
            <w:shd w:val="clear" w:color="auto" w:fill="auto"/>
            <w:vAlign w:val="center"/>
          </w:tcPr>
          <w:p w14:paraId="3B280DC5"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CRP-CFH genotype combination</w:t>
            </w:r>
          </w:p>
        </w:tc>
        <w:tc>
          <w:tcPr>
            <w:tcW w:w="1015" w:type="pct"/>
            <w:tcBorders>
              <w:top w:val="single" w:sz="8" w:space="0" w:color="auto"/>
              <w:left w:val="nil"/>
              <w:bottom w:val="single" w:sz="8" w:space="0" w:color="auto"/>
              <w:right w:val="nil"/>
            </w:tcBorders>
            <w:shd w:val="clear" w:color="auto" w:fill="auto"/>
            <w:vAlign w:val="center"/>
          </w:tcPr>
          <w:p w14:paraId="0AA5057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1015" w:type="pct"/>
            <w:tcBorders>
              <w:top w:val="single" w:sz="8" w:space="0" w:color="auto"/>
              <w:left w:val="nil"/>
              <w:bottom w:val="single" w:sz="8" w:space="0" w:color="auto"/>
              <w:right w:val="nil"/>
            </w:tcBorders>
            <w:shd w:val="clear" w:color="auto" w:fill="auto"/>
            <w:vAlign w:val="center"/>
          </w:tcPr>
          <w:p w14:paraId="77CEE02B"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1015" w:type="pct"/>
            <w:tcBorders>
              <w:top w:val="single" w:sz="8" w:space="0" w:color="auto"/>
              <w:left w:val="nil"/>
              <w:bottom w:val="single" w:sz="8" w:space="0" w:color="auto"/>
              <w:right w:val="nil"/>
            </w:tcBorders>
            <w:shd w:val="clear" w:color="auto" w:fill="auto"/>
            <w:noWrap/>
            <w:vAlign w:val="center"/>
          </w:tcPr>
          <w:p w14:paraId="567AD83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6CCFC2FA" w14:textId="77777777">
        <w:trPr>
          <w:trHeight w:val="300"/>
          <w:jc w:val="center"/>
        </w:trPr>
        <w:tc>
          <w:tcPr>
            <w:tcW w:w="1953" w:type="pct"/>
            <w:tcBorders>
              <w:top w:val="nil"/>
              <w:left w:val="nil"/>
              <w:bottom w:val="nil"/>
              <w:right w:val="nil"/>
            </w:tcBorders>
            <w:shd w:val="clear" w:color="auto" w:fill="auto"/>
            <w:vAlign w:val="center"/>
          </w:tcPr>
          <w:p w14:paraId="31FA3B4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rs1205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67BFCDF4"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444D0353"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9856064" w14:textId="77777777" w:rsidR="00064BE2" w:rsidRDefault="00064BE2">
            <w:pPr>
              <w:spacing w:line="360" w:lineRule="auto"/>
              <w:jc w:val="both"/>
              <w:rPr>
                <w:rFonts w:ascii="Book Antiqua" w:eastAsia="宋体" w:hAnsi="Book Antiqua" w:cs="Book Antiqua"/>
                <w:color w:val="000000"/>
                <w:lang w:eastAsia="zh-CN"/>
              </w:rPr>
            </w:pPr>
          </w:p>
        </w:tc>
      </w:tr>
      <w:tr w:rsidR="00064BE2" w14:paraId="2D8A99E9" w14:textId="77777777">
        <w:trPr>
          <w:trHeight w:val="285"/>
          <w:jc w:val="center"/>
        </w:trPr>
        <w:tc>
          <w:tcPr>
            <w:tcW w:w="1953" w:type="pct"/>
            <w:tcBorders>
              <w:top w:val="nil"/>
              <w:left w:val="nil"/>
              <w:bottom w:val="nil"/>
              <w:right w:val="nil"/>
            </w:tcBorders>
            <w:shd w:val="clear" w:color="auto" w:fill="auto"/>
            <w:noWrap/>
          </w:tcPr>
          <w:p w14:paraId="7977EB2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08860F0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(17.10)</w:t>
            </w:r>
          </w:p>
        </w:tc>
        <w:tc>
          <w:tcPr>
            <w:tcW w:w="1015" w:type="pct"/>
            <w:tcBorders>
              <w:top w:val="nil"/>
              <w:left w:val="nil"/>
              <w:bottom w:val="nil"/>
              <w:right w:val="nil"/>
            </w:tcBorders>
            <w:shd w:val="clear" w:color="auto" w:fill="auto"/>
            <w:noWrap/>
          </w:tcPr>
          <w:p w14:paraId="19FAD51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1015" w:type="pct"/>
            <w:tcBorders>
              <w:top w:val="nil"/>
              <w:left w:val="nil"/>
              <w:bottom w:val="nil"/>
              <w:right w:val="nil"/>
            </w:tcBorders>
            <w:shd w:val="clear" w:color="auto" w:fill="auto"/>
            <w:noWrap/>
          </w:tcPr>
          <w:p w14:paraId="46CC7AA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0.105</w:t>
            </w:r>
          </w:p>
        </w:tc>
      </w:tr>
      <w:tr w:rsidR="00064BE2" w14:paraId="2100DA3F" w14:textId="77777777">
        <w:trPr>
          <w:trHeight w:val="285"/>
          <w:jc w:val="center"/>
        </w:trPr>
        <w:tc>
          <w:tcPr>
            <w:tcW w:w="1953" w:type="pct"/>
            <w:tcBorders>
              <w:top w:val="nil"/>
              <w:left w:val="nil"/>
              <w:bottom w:val="nil"/>
              <w:right w:val="nil"/>
            </w:tcBorders>
            <w:shd w:val="clear" w:color="auto" w:fill="auto"/>
            <w:noWrap/>
          </w:tcPr>
          <w:p w14:paraId="393F446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4B31000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(2.60)</w:t>
            </w:r>
          </w:p>
        </w:tc>
        <w:tc>
          <w:tcPr>
            <w:tcW w:w="1015" w:type="pct"/>
            <w:tcBorders>
              <w:top w:val="nil"/>
              <w:left w:val="nil"/>
              <w:bottom w:val="nil"/>
              <w:right w:val="nil"/>
            </w:tcBorders>
            <w:shd w:val="clear" w:color="auto" w:fill="auto"/>
            <w:noWrap/>
          </w:tcPr>
          <w:p w14:paraId="31DC1FF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(1.32)</w:t>
            </w:r>
          </w:p>
        </w:tc>
        <w:tc>
          <w:tcPr>
            <w:tcW w:w="1015" w:type="pct"/>
            <w:tcBorders>
              <w:top w:val="nil"/>
              <w:left w:val="nil"/>
              <w:bottom w:val="nil"/>
              <w:right w:val="nil"/>
            </w:tcBorders>
            <w:shd w:val="clear" w:color="auto" w:fill="auto"/>
            <w:noWrap/>
          </w:tcPr>
          <w:p w14:paraId="64C2D20B" w14:textId="77777777" w:rsidR="00064BE2" w:rsidRDefault="00064BE2">
            <w:pPr>
              <w:spacing w:line="360" w:lineRule="auto"/>
              <w:jc w:val="both"/>
              <w:rPr>
                <w:rFonts w:ascii="Book Antiqua" w:eastAsia="宋体" w:hAnsi="Book Antiqua" w:cs="Book Antiqua"/>
                <w:color w:val="000000"/>
                <w:lang w:eastAsia="zh-CN"/>
              </w:rPr>
            </w:pPr>
          </w:p>
        </w:tc>
      </w:tr>
      <w:tr w:rsidR="00064BE2" w14:paraId="74421480" w14:textId="77777777">
        <w:trPr>
          <w:trHeight w:val="285"/>
          <w:jc w:val="center"/>
        </w:trPr>
        <w:tc>
          <w:tcPr>
            <w:tcW w:w="1953" w:type="pct"/>
            <w:tcBorders>
              <w:top w:val="nil"/>
              <w:left w:val="nil"/>
              <w:bottom w:val="nil"/>
              <w:right w:val="nil"/>
            </w:tcBorders>
            <w:shd w:val="clear" w:color="auto" w:fill="auto"/>
            <w:noWrap/>
          </w:tcPr>
          <w:p w14:paraId="38C16C1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CTTT</w:t>
            </w:r>
          </w:p>
        </w:tc>
        <w:tc>
          <w:tcPr>
            <w:tcW w:w="1015" w:type="pct"/>
            <w:tcBorders>
              <w:top w:val="nil"/>
              <w:left w:val="nil"/>
              <w:bottom w:val="nil"/>
              <w:right w:val="nil"/>
            </w:tcBorders>
            <w:shd w:val="clear" w:color="auto" w:fill="auto"/>
            <w:noWrap/>
          </w:tcPr>
          <w:p w14:paraId="6F5C99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124 (46.10)</w:t>
            </w:r>
          </w:p>
        </w:tc>
        <w:tc>
          <w:tcPr>
            <w:tcW w:w="1015" w:type="pct"/>
            <w:tcBorders>
              <w:top w:val="nil"/>
              <w:left w:val="nil"/>
              <w:bottom w:val="nil"/>
              <w:right w:val="nil"/>
            </w:tcBorders>
            <w:shd w:val="clear" w:color="auto" w:fill="auto"/>
            <w:noWrap/>
          </w:tcPr>
          <w:p w14:paraId="4E8AF9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125 (41.25)</w:t>
            </w:r>
          </w:p>
        </w:tc>
        <w:tc>
          <w:tcPr>
            <w:tcW w:w="1015" w:type="pct"/>
            <w:tcBorders>
              <w:top w:val="nil"/>
              <w:left w:val="nil"/>
              <w:bottom w:val="nil"/>
              <w:right w:val="nil"/>
            </w:tcBorders>
            <w:shd w:val="clear" w:color="auto" w:fill="auto"/>
            <w:noWrap/>
          </w:tcPr>
          <w:p w14:paraId="44866E4B" w14:textId="77777777" w:rsidR="00064BE2" w:rsidRDefault="00064BE2">
            <w:pPr>
              <w:spacing w:line="360" w:lineRule="auto"/>
              <w:jc w:val="both"/>
              <w:rPr>
                <w:rFonts w:ascii="Book Antiqua" w:eastAsia="宋体" w:hAnsi="Book Antiqua" w:cs="Book Antiqua"/>
                <w:color w:val="000000"/>
                <w:lang w:eastAsia="zh-CN"/>
              </w:rPr>
            </w:pPr>
          </w:p>
        </w:tc>
      </w:tr>
      <w:tr w:rsidR="00064BE2" w14:paraId="7DEA6A4F" w14:textId="77777777">
        <w:trPr>
          <w:trHeight w:val="300"/>
          <w:jc w:val="center"/>
        </w:trPr>
        <w:tc>
          <w:tcPr>
            <w:tcW w:w="1953" w:type="pct"/>
            <w:tcBorders>
              <w:top w:val="nil"/>
              <w:left w:val="nil"/>
              <w:bottom w:val="nil"/>
              <w:right w:val="nil"/>
            </w:tcBorders>
            <w:shd w:val="clear" w:color="auto" w:fill="auto"/>
            <w:noWrap/>
          </w:tcPr>
          <w:p w14:paraId="261969D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CTTC</w:t>
            </w:r>
          </w:p>
        </w:tc>
        <w:tc>
          <w:tcPr>
            <w:tcW w:w="1015" w:type="pct"/>
            <w:tcBorders>
              <w:top w:val="nil"/>
              <w:left w:val="nil"/>
              <w:bottom w:val="nil"/>
              <w:right w:val="nil"/>
            </w:tcBorders>
            <w:shd w:val="clear" w:color="auto" w:fill="auto"/>
            <w:noWrap/>
          </w:tcPr>
          <w:p w14:paraId="37FF046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14 (5.20)</w:t>
            </w:r>
          </w:p>
        </w:tc>
        <w:tc>
          <w:tcPr>
            <w:tcW w:w="1015" w:type="pct"/>
            <w:tcBorders>
              <w:top w:val="nil"/>
              <w:left w:val="nil"/>
              <w:bottom w:val="nil"/>
              <w:right w:val="nil"/>
            </w:tcBorders>
            <w:shd w:val="clear" w:color="auto" w:fill="auto"/>
            <w:noWrap/>
          </w:tcPr>
          <w:p w14:paraId="4D5890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31 (10.23)</w:t>
            </w:r>
          </w:p>
        </w:tc>
        <w:tc>
          <w:tcPr>
            <w:tcW w:w="1015" w:type="pct"/>
            <w:tcBorders>
              <w:top w:val="nil"/>
              <w:left w:val="nil"/>
              <w:bottom w:val="nil"/>
              <w:right w:val="nil"/>
            </w:tcBorders>
            <w:shd w:val="clear" w:color="auto" w:fill="auto"/>
            <w:noWrap/>
          </w:tcPr>
          <w:p w14:paraId="59BE8B14" w14:textId="77777777" w:rsidR="00064BE2" w:rsidRDefault="00064BE2">
            <w:pPr>
              <w:spacing w:line="360" w:lineRule="auto"/>
              <w:jc w:val="both"/>
              <w:rPr>
                <w:rFonts w:ascii="Book Antiqua" w:eastAsia="宋体" w:hAnsi="Book Antiqua" w:cs="Book Antiqua"/>
                <w:color w:val="000000"/>
                <w:lang w:eastAsia="zh-CN"/>
              </w:rPr>
            </w:pPr>
          </w:p>
        </w:tc>
      </w:tr>
      <w:tr w:rsidR="00064BE2" w14:paraId="01BB2C79" w14:textId="77777777">
        <w:trPr>
          <w:trHeight w:val="285"/>
          <w:jc w:val="center"/>
        </w:trPr>
        <w:tc>
          <w:tcPr>
            <w:tcW w:w="1953" w:type="pct"/>
            <w:tcBorders>
              <w:top w:val="nil"/>
              <w:left w:val="nil"/>
              <w:bottom w:val="nil"/>
              <w:right w:val="nil"/>
            </w:tcBorders>
            <w:shd w:val="clear" w:color="auto" w:fill="auto"/>
            <w:noWrap/>
          </w:tcPr>
          <w:p w14:paraId="24FD56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TTTT</w:t>
            </w:r>
          </w:p>
        </w:tc>
        <w:tc>
          <w:tcPr>
            <w:tcW w:w="1015" w:type="pct"/>
            <w:tcBorders>
              <w:top w:val="nil"/>
              <w:left w:val="nil"/>
              <w:bottom w:val="nil"/>
              <w:right w:val="nil"/>
            </w:tcBorders>
            <w:shd w:val="clear" w:color="auto" w:fill="auto"/>
            <w:noWrap/>
          </w:tcPr>
          <w:p w14:paraId="25DB2C9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65 (24.16)</w:t>
            </w:r>
          </w:p>
        </w:tc>
        <w:tc>
          <w:tcPr>
            <w:tcW w:w="1015" w:type="pct"/>
            <w:tcBorders>
              <w:top w:val="nil"/>
              <w:left w:val="nil"/>
              <w:bottom w:val="nil"/>
              <w:right w:val="nil"/>
            </w:tcBorders>
            <w:shd w:val="clear" w:color="auto" w:fill="auto"/>
            <w:noWrap/>
          </w:tcPr>
          <w:p w14:paraId="644A0D4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88 (29.04)</w:t>
            </w:r>
          </w:p>
        </w:tc>
        <w:tc>
          <w:tcPr>
            <w:tcW w:w="1015" w:type="pct"/>
            <w:tcBorders>
              <w:top w:val="nil"/>
              <w:left w:val="nil"/>
              <w:bottom w:val="nil"/>
              <w:right w:val="nil"/>
            </w:tcBorders>
            <w:shd w:val="clear" w:color="auto" w:fill="auto"/>
            <w:noWrap/>
          </w:tcPr>
          <w:p w14:paraId="07EBF24D" w14:textId="77777777" w:rsidR="00064BE2" w:rsidRDefault="00064BE2">
            <w:pPr>
              <w:spacing w:line="360" w:lineRule="auto"/>
              <w:jc w:val="both"/>
              <w:rPr>
                <w:rFonts w:ascii="Book Antiqua" w:eastAsia="宋体" w:hAnsi="Book Antiqua" w:cs="Book Antiqua"/>
                <w:color w:val="000000"/>
                <w:lang w:eastAsia="zh-CN"/>
              </w:rPr>
            </w:pPr>
          </w:p>
        </w:tc>
      </w:tr>
      <w:tr w:rsidR="00064BE2" w14:paraId="0F2C8C73" w14:textId="77777777">
        <w:trPr>
          <w:trHeight w:val="285"/>
          <w:jc w:val="center"/>
        </w:trPr>
        <w:tc>
          <w:tcPr>
            <w:tcW w:w="1953" w:type="pct"/>
            <w:tcBorders>
              <w:top w:val="nil"/>
              <w:left w:val="nil"/>
              <w:bottom w:val="nil"/>
              <w:right w:val="nil"/>
            </w:tcBorders>
            <w:shd w:val="clear" w:color="auto" w:fill="auto"/>
            <w:noWrap/>
          </w:tcPr>
          <w:p w14:paraId="04A5CFC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TTTC</w:t>
            </w:r>
          </w:p>
        </w:tc>
        <w:tc>
          <w:tcPr>
            <w:tcW w:w="1015" w:type="pct"/>
            <w:tcBorders>
              <w:top w:val="nil"/>
              <w:left w:val="nil"/>
              <w:bottom w:val="nil"/>
              <w:right w:val="nil"/>
            </w:tcBorders>
            <w:shd w:val="clear" w:color="auto" w:fill="auto"/>
            <w:noWrap/>
          </w:tcPr>
          <w:p w14:paraId="682123D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 (4.83)</w:t>
            </w:r>
          </w:p>
        </w:tc>
        <w:tc>
          <w:tcPr>
            <w:tcW w:w="1015" w:type="pct"/>
            <w:tcBorders>
              <w:top w:val="nil"/>
              <w:left w:val="nil"/>
              <w:bottom w:val="nil"/>
              <w:right w:val="nil"/>
            </w:tcBorders>
            <w:shd w:val="clear" w:color="auto" w:fill="auto"/>
            <w:noWrap/>
          </w:tcPr>
          <w:p w14:paraId="5A68ED6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10 (3.30)</w:t>
            </w:r>
          </w:p>
        </w:tc>
        <w:tc>
          <w:tcPr>
            <w:tcW w:w="1015" w:type="pct"/>
            <w:tcBorders>
              <w:top w:val="nil"/>
              <w:left w:val="nil"/>
              <w:bottom w:val="nil"/>
              <w:right w:val="nil"/>
            </w:tcBorders>
            <w:shd w:val="clear" w:color="auto" w:fill="auto"/>
            <w:noWrap/>
          </w:tcPr>
          <w:p w14:paraId="06694299" w14:textId="77777777" w:rsidR="00064BE2" w:rsidRDefault="00064BE2">
            <w:pPr>
              <w:spacing w:line="360" w:lineRule="auto"/>
              <w:jc w:val="both"/>
              <w:rPr>
                <w:rFonts w:ascii="Book Antiqua" w:eastAsia="宋体" w:hAnsi="Book Antiqua" w:cs="Book Antiqua"/>
                <w:color w:val="000000"/>
                <w:lang w:eastAsia="zh-CN"/>
              </w:rPr>
            </w:pPr>
          </w:p>
        </w:tc>
      </w:tr>
      <w:tr w:rsidR="00064BE2" w14:paraId="38D38F23" w14:textId="77777777">
        <w:trPr>
          <w:trHeight w:val="300"/>
          <w:jc w:val="center"/>
        </w:trPr>
        <w:tc>
          <w:tcPr>
            <w:tcW w:w="1953" w:type="pct"/>
            <w:tcBorders>
              <w:top w:val="nil"/>
              <w:left w:val="nil"/>
              <w:bottom w:val="nil"/>
              <w:right w:val="nil"/>
            </w:tcBorders>
            <w:shd w:val="clear" w:color="auto" w:fill="auto"/>
            <w:noWrap/>
            <w:vAlign w:val="center"/>
          </w:tcPr>
          <w:p w14:paraId="3B14D9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rs3093077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29E2B5F9"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96BE35A"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3AFDE1FE" w14:textId="77777777" w:rsidR="00064BE2" w:rsidRDefault="00064BE2">
            <w:pPr>
              <w:spacing w:line="360" w:lineRule="auto"/>
              <w:jc w:val="both"/>
              <w:rPr>
                <w:rFonts w:ascii="Book Antiqua" w:eastAsia="宋体" w:hAnsi="Book Antiqua" w:cs="Book Antiqua"/>
                <w:color w:val="000000"/>
                <w:lang w:eastAsia="zh-CN"/>
              </w:rPr>
            </w:pPr>
          </w:p>
        </w:tc>
      </w:tr>
      <w:tr w:rsidR="00064BE2" w14:paraId="5AE954CA" w14:textId="77777777">
        <w:trPr>
          <w:trHeight w:val="300"/>
          <w:jc w:val="center"/>
        </w:trPr>
        <w:tc>
          <w:tcPr>
            <w:tcW w:w="1953" w:type="pct"/>
            <w:tcBorders>
              <w:top w:val="nil"/>
              <w:left w:val="nil"/>
              <w:bottom w:val="nil"/>
              <w:right w:val="nil"/>
            </w:tcBorders>
            <w:shd w:val="clear" w:color="auto" w:fill="auto"/>
            <w:noWrap/>
          </w:tcPr>
          <w:p w14:paraId="2726FE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AATT</w:t>
            </w:r>
          </w:p>
        </w:tc>
        <w:tc>
          <w:tcPr>
            <w:tcW w:w="1015" w:type="pct"/>
            <w:tcBorders>
              <w:top w:val="nil"/>
              <w:left w:val="nil"/>
              <w:bottom w:val="nil"/>
              <w:right w:val="nil"/>
            </w:tcBorders>
            <w:shd w:val="clear" w:color="auto" w:fill="auto"/>
            <w:noWrap/>
          </w:tcPr>
          <w:p w14:paraId="1E01CEA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150 (56.39)</w:t>
            </w:r>
          </w:p>
        </w:tc>
        <w:tc>
          <w:tcPr>
            <w:tcW w:w="1015" w:type="pct"/>
            <w:tcBorders>
              <w:top w:val="nil"/>
              <w:left w:val="nil"/>
              <w:bottom w:val="nil"/>
              <w:right w:val="nil"/>
            </w:tcBorders>
            <w:shd w:val="clear" w:color="auto" w:fill="auto"/>
            <w:noWrap/>
          </w:tcPr>
          <w:p w14:paraId="4660E64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180 (59.80)</w:t>
            </w:r>
          </w:p>
        </w:tc>
        <w:tc>
          <w:tcPr>
            <w:tcW w:w="1015" w:type="pct"/>
            <w:tcBorders>
              <w:top w:val="nil"/>
              <w:left w:val="nil"/>
              <w:bottom w:val="nil"/>
              <w:right w:val="nil"/>
            </w:tcBorders>
            <w:shd w:val="clear" w:color="auto" w:fill="auto"/>
            <w:noWrap/>
          </w:tcPr>
          <w:p w14:paraId="0E6F324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0.322</w:t>
            </w:r>
          </w:p>
        </w:tc>
      </w:tr>
      <w:tr w:rsidR="00064BE2" w14:paraId="071C1AC5" w14:textId="77777777">
        <w:trPr>
          <w:trHeight w:val="285"/>
          <w:jc w:val="center"/>
        </w:trPr>
        <w:tc>
          <w:tcPr>
            <w:tcW w:w="1953" w:type="pct"/>
            <w:tcBorders>
              <w:top w:val="nil"/>
              <w:left w:val="nil"/>
              <w:bottom w:val="nil"/>
              <w:right w:val="nil"/>
            </w:tcBorders>
            <w:shd w:val="clear" w:color="auto" w:fill="auto"/>
            <w:noWrap/>
          </w:tcPr>
          <w:p w14:paraId="4466B8A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AATC</w:t>
            </w:r>
          </w:p>
        </w:tc>
        <w:tc>
          <w:tcPr>
            <w:tcW w:w="1015" w:type="pct"/>
            <w:tcBorders>
              <w:top w:val="nil"/>
              <w:left w:val="nil"/>
              <w:bottom w:val="nil"/>
              <w:right w:val="nil"/>
            </w:tcBorders>
            <w:shd w:val="clear" w:color="auto" w:fill="auto"/>
            <w:noWrap/>
          </w:tcPr>
          <w:p w14:paraId="33C6AE6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 (8.65)</w:t>
            </w:r>
          </w:p>
        </w:tc>
        <w:tc>
          <w:tcPr>
            <w:tcW w:w="1015" w:type="pct"/>
            <w:tcBorders>
              <w:top w:val="nil"/>
              <w:left w:val="nil"/>
              <w:bottom w:val="nil"/>
              <w:right w:val="nil"/>
            </w:tcBorders>
            <w:shd w:val="clear" w:color="auto" w:fill="auto"/>
            <w:noWrap/>
          </w:tcPr>
          <w:p w14:paraId="681D165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28 (9.30)</w:t>
            </w:r>
          </w:p>
        </w:tc>
        <w:tc>
          <w:tcPr>
            <w:tcW w:w="1015" w:type="pct"/>
            <w:tcBorders>
              <w:top w:val="nil"/>
              <w:left w:val="nil"/>
              <w:bottom w:val="nil"/>
              <w:right w:val="nil"/>
            </w:tcBorders>
            <w:shd w:val="clear" w:color="auto" w:fill="auto"/>
            <w:noWrap/>
          </w:tcPr>
          <w:p w14:paraId="3EEF8DB4" w14:textId="77777777" w:rsidR="00064BE2" w:rsidRDefault="00064BE2">
            <w:pPr>
              <w:spacing w:line="360" w:lineRule="auto"/>
              <w:jc w:val="both"/>
              <w:rPr>
                <w:rFonts w:ascii="Book Antiqua" w:eastAsia="宋体" w:hAnsi="Book Antiqua" w:cs="Book Antiqua"/>
                <w:color w:val="000000"/>
                <w:lang w:eastAsia="zh-CN"/>
              </w:rPr>
            </w:pPr>
          </w:p>
        </w:tc>
      </w:tr>
      <w:tr w:rsidR="00064BE2" w14:paraId="33ED0F38" w14:textId="77777777">
        <w:trPr>
          <w:trHeight w:val="285"/>
          <w:jc w:val="center"/>
        </w:trPr>
        <w:tc>
          <w:tcPr>
            <w:tcW w:w="1953" w:type="pct"/>
            <w:tcBorders>
              <w:top w:val="nil"/>
              <w:left w:val="nil"/>
              <w:bottom w:val="nil"/>
              <w:right w:val="nil"/>
            </w:tcBorders>
            <w:shd w:val="clear" w:color="auto" w:fill="auto"/>
            <w:noWrap/>
          </w:tcPr>
          <w:p w14:paraId="5C3BAC0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ACTT</w:t>
            </w:r>
          </w:p>
        </w:tc>
        <w:tc>
          <w:tcPr>
            <w:tcW w:w="1015" w:type="pct"/>
            <w:tcBorders>
              <w:top w:val="nil"/>
              <w:left w:val="nil"/>
              <w:bottom w:val="nil"/>
              <w:right w:val="nil"/>
            </w:tcBorders>
            <w:shd w:val="clear" w:color="auto" w:fill="auto"/>
            <w:noWrap/>
          </w:tcPr>
          <w:p w14:paraId="7842F4F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81 (30.45)</w:t>
            </w:r>
          </w:p>
        </w:tc>
        <w:tc>
          <w:tcPr>
            <w:tcW w:w="1015" w:type="pct"/>
            <w:tcBorders>
              <w:top w:val="nil"/>
              <w:left w:val="nil"/>
              <w:bottom w:val="nil"/>
              <w:right w:val="nil"/>
            </w:tcBorders>
            <w:shd w:val="clear" w:color="auto" w:fill="auto"/>
            <w:noWrap/>
          </w:tcPr>
          <w:p w14:paraId="3BBD581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71 (23.59)</w:t>
            </w:r>
          </w:p>
        </w:tc>
        <w:tc>
          <w:tcPr>
            <w:tcW w:w="1015" w:type="pct"/>
            <w:tcBorders>
              <w:top w:val="nil"/>
              <w:left w:val="nil"/>
              <w:bottom w:val="nil"/>
              <w:right w:val="nil"/>
            </w:tcBorders>
            <w:shd w:val="clear" w:color="auto" w:fill="auto"/>
            <w:noWrap/>
          </w:tcPr>
          <w:p w14:paraId="69E93D99" w14:textId="77777777" w:rsidR="00064BE2" w:rsidRDefault="00064BE2">
            <w:pPr>
              <w:spacing w:line="360" w:lineRule="auto"/>
              <w:jc w:val="both"/>
              <w:rPr>
                <w:rFonts w:ascii="Book Antiqua" w:eastAsia="宋体" w:hAnsi="Book Antiqua" w:cs="Book Antiqua"/>
                <w:color w:val="000000"/>
                <w:lang w:eastAsia="zh-CN"/>
              </w:rPr>
            </w:pPr>
          </w:p>
        </w:tc>
      </w:tr>
      <w:tr w:rsidR="00064BE2" w14:paraId="01DB43B1" w14:textId="77777777">
        <w:trPr>
          <w:trHeight w:val="285"/>
          <w:jc w:val="center"/>
        </w:trPr>
        <w:tc>
          <w:tcPr>
            <w:tcW w:w="1953" w:type="pct"/>
            <w:tcBorders>
              <w:top w:val="nil"/>
              <w:left w:val="nil"/>
              <w:bottom w:val="nil"/>
              <w:right w:val="nil"/>
            </w:tcBorders>
            <w:shd w:val="clear" w:color="auto" w:fill="auto"/>
            <w:noWrap/>
          </w:tcPr>
          <w:p w14:paraId="286D9BC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ACTC</w:t>
            </w:r>
          </w:p>
        </w:tc>
        <w:tc>
          <w:tcPr>
            <w:tcW w:w="1015" w:type="pct"/>
            <w:tcBorders>
              <w:top w:val="nil"/>
              <w:left w:val="nil"/>
              <w:bottom w:val="nil"/>
              <w:right w:val="nil"/>
            </w:tcBorders>
            <w:shd w:val="clear" w:color="auto" w:fill="auto"/>
            <w:noWrap/>
          </w:tcPr>
          <w:p w14:paraId="0FFD0EB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 (3.01)</w:t>
            </w:r>
          </w:p>
        </w:tc>
        <w:tc>
          <w:tcPr>
            <w:tcW w:w="1015" w:type="pct"/>
            <w:tcBorders>
              <w:top w:val="nil"/>
              <w:left w:val="nil"/>
              <w:bottom w:val="nil"/>
              <w:right w:val="nil"/>
            </w:tcBorders>
            <w:shd w:val="clear" w:color="auto" w:fill="auto"/>
            <w:noWrap/>
          </w:tcPr>
          <w:p w14:paraId="7A2B110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 (4.98)</w:t>
            </w:r>
          </w:p>
        </w:tc>
        <w:tc>
          <w:tcPr>
            <w:tcW w:w="1015" w:type="pct"/>
            <w:tcBorders>
              <w:top w:val="nil"/>
              <w:left w:val="nil"/>
              <w:bottom w:val="nil"/>
              <w:right w:val="nil"/>
            </w:tcBorders>
            <w:shd w:val="clear" w:color="auto" w:fill="auto"/>
            <w:noWrap/>
          </w:tcPr>
          <w:p w14:paraId="6139CF86" w14:textId="77777777" w:rsidR="00064BE2" w:rsidRDefault="00064BE2">
            <w:pPr>
              <w:spacing w:line="360" w:lineRule="auto"/>
              <w:jc w:val="both"/>
              <w:rPr>
                <w:rFonts w:ascii="Book Antiqua" w:eastAsia="宋体" w:hAnsi="Book Antiqua" w:cs="Book Antiqua"/>
                <w:color w:val="000000"/>
                <w:lang w:eastAsia="zh-CN"/>
              </w:rPr>
            </w:pPr>
          </w:p>
        </w:tc>
      </w:tr>
      <w:tr w:rsidR="00064BE2" w14:paraId="43D5D2E7" w14:textId="77777777">
        <w:trPr>
          <w:trHeight w:val="285"/>
          <w:jc w:val="center"/>
        </w:trPr>
        <w:tc>
          <w:tcPr>
            <w:tcW w:w="1953" w:type="pct"/>
            <w:tcBorders>
              <w:top w:val="nil"/>
              <w:left w:val="nil"/>
              <w:bottom w:val="nil"/>
              <w:right w:val="nil"/>
            </w:tcBorders>
            <w:shd w:val="clear" w:color="auto" w:fill="auto"/>
            <w:noWrap/>
          </w:tcPr>
          <w:p w14:paraId="53C0820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1B48AD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(1.50)</w:t>
            </w:r>
          </w:p>
        </w:tc>
        <w:tc>
          <w:tcPr>
            <w:tcW w:w="1015" w:type="pct"/>
            <w:tcBorders>
              <w:top w:val="nil"/>
              <w:left w:val="nil"/>
              <w:bottom w:val="nil"/>
              <w:right w:val="nil"/>
            </w:tcBorders>
            <w:shd w:val="clear" w:color="auto" w:fill="auto"/>
            <w:noWrap/>
          </w:tcPr>
          <w:p w14:paraId="4E32BEA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(2.33)</w:t>
            </w:r>
          </w:p>
        </w:tc>
        <w:tc>
          <w:tcPr>
            <w:tcW w:w="1015" w:type="pct"/>
            <w:tcBorders>
              <w:top w:val="nil"/>
              <w:left w:val="nil"/>
              <w:bottom w:val="nil"/>
              <w:right w:val="nil"/>
            </w:tcBorders>
            <w:shd w:val="clear" w:color="auto" w:fill="auto"/>
            <w:noWrap/>
          </w:tcPr>
          <w:p w14:paraId="0BC947D8" w14:textId="77777777" w:rsidR="00064BE2" w:rsidRDefault="00064BE2">
            <w:pPr>
              <w:spacing w:line="360" w:lineRule="auto"/>
              <w:jc w:val="both"/>
              <w:rPr>
                <w:rFonts w:ascii="Book Antiqua" w:eastAsia="宋体" w:hAnsi="Book Antiqua" w:cs="Book Antiqua"/>
                <w:color w:val="000000"/>
                <w:lang w:eastAsia="zh-CN"/>
              </w:rPr>
            </w:pPr>
          </w:p>
        </w:tc>
      </w:tr>
      <w:tr w:rsidR="00064BE2" w14:paraId="5FD69D9F" w14:textId="77777777">
        <w:trPr>
          <w:trHeight w:val="300"/>
          <w:jc w:val="center"/>
        </w:trPr>
        <w:tc>
          <w:tcPr>
            <w:tcW w:w="1953" w:type="pct"/>
            <w:tcBorders>
              <w:top w:val="nil"/>
              <w:left w:val="nil"/>
              <w:bottom w:val="nil"/>
              <w:right w:val="nil"/>
            </w:tcBorders>
            <w:shd w:val="clear" w:color="auto" w:fill="auto"/>
            <w:noWrap/>
            <w:vAlign w:val="center"/>
          </w:tcPr>
          <w:p w14:paraId="7D08D2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rs3091244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56904388"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77BA13A"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CE532B1" w14:textId="77777777" w:rsidR="00064BE2" w:rsidRDefault="00064BE2">
            <w:pPr>
              <w:spacing w:line="360" w:lineRule="auto"/>
              <w:jc w:val="both"/>
              <w:rPr>
                <w:rFonts w:ascii="Book Antiqua" w:eastAsia="宋体" w:hAnsi="Book Antiqua" w:cs="Book Antiqua"/>
                <w:color w:val="000000"/>
                <w:lang w:eastAsia="zh-CN"/>
              </w:rPr>
            </w:pPr>
          </w:p>
        </w:tc>
      </w:tr>
      <w:tr w:rsidR="00064BE2" w14:paraId="34C03C02" w14:textId="77777777">
        <w:trPr>
          <w:trHeight w:val="285"/>
          <w:jc w:val="center"/>
        </w:trPr>
        <w:tc>
          <w:tcPr>
            <w:tcW w:w="1953" w:type="pct"/>
            <w:tcBorders>
              <w:top w:val="nil"/>
              <w:left w:val="nil"/>
              <w:bottom w:val="nil"/>
              <w:right w:val="nil"/>
            </w:tcBorders>
            <w:shd w:val="clear" w:color="auto" w:fill="auto"/>
            <w:noWrap/>
          </w:tcPr>
          <w:p w14:paraId="4769B72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3DA322B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133 (50.57)</w:t>
            </w:r>
          </w:p>
        </w:tc>
        <w:tc>
          <w:tcPr>
            <w:tcW w:w="1015" w:type="pct"/>
            <w:tcBorders>
              <w:top w:val="nil"/>
              <w:left w:val="nil"/>
              <w:bottom w:val="nil"/>
              <w:right w:val="nil"/>
            </w:tcBorders>
            <w:shd w:val="clear" w:color="auto" w:fill="auto"/>
            <w:noWrap/>
          </w:tcPr>
          <w:p w14:paraId="367783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155 (52.19)</w:t>
            </w:r>
          </w:p>
        </w:tc>
        <w:tc>
          <w:tcPr>
            <w:tcW w:w="1015" w:type="pct"/>
            <w:tcBorders>
              <w:top w:val="nil"/>
              <w:left w:val="nil"/>
              <w:bottom w:val="nil"/>
              <w:right w:val="nil"/>
            </w:tcBorders>
            <w:shd w:val="clear" w:color="auto" w:fill="auto"/>
            <w:noWrap/>
          </w:tcPr>
          <w:p w14:paraId="21EA4E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0.756</w:t>
            </w:r>
          </w:p>
        </w:tc>
      </w:tr>
      <w:tr w:rsidR="00064BE2" w14:paraId="624B6511" w14:textId="77777777">
        <w:trPr>
          <w:trHeight w:val="300"/>
          <w:jc w:val="center"/>
        </w:trPr>
        <w:tc>
          <w:tcPr>
            <w:tcW w:w="1953" w:type="pct"/>
            <w:tcBorders>
              <w:top w:val="nil"/>
              <w:left w:val="nil"/>
              <w:bottom w:val="nil"/>
              <w:right w:val="nil"/>
            </w:tcBorders>
            <w:shd w:val="clear" w:color="auto" w:fill="auto"/>
            <w:noWrap/>
          </w:tcPr>
          <w:p w14:paraId="4DCAEDE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7D163E5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(7.98)</w:t>
            </w:r>
          </w:p>
        </w:tc>
        <w:tc>
          <w:tcPr>
            <w:tcW w:w="1015" w:type="pct"/>
            <w:tcBorders>
              <w:top w:val="nil"/>
              <w:left w:val="nil"/>
              <w:bottom w:val="nil"/>
              <w:right w:val="nil"/>
            </w:tcBorders>
            <w:shd w:val="clear" w:color="auto" w:fill="auto"/>
            <w:noWrap/>
          </w:tcPr>
          <w:p w14:paraId="5963688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(8.42)</w:t>
            </w:r>
          </w:p>
        </w:tc>
        <w:tc>
          <w:tcPr>
            <w:tcW w:w="1015" w:type="pct"/>
            <w:tcBorders>
              <w:top w:val="nil"/>
              <w:left w:val="nil"/>
              <w:bottom w:val="nil"/>
              <w:right w:val="nil"/>
            </w:tcBorders>
            <w:shd w:val="clear" w:color="auto" w:fill="auto"/>
            <w:noWrap/>
          </w:tcPr>
          <w:p w14:paraId="55ACD3EF" w14:textId="77777777" w:rsidR="00064BE2" w:rsidRDefault="00064BE2">
            <w:pPr>
              <w:spacing w:line="360" w:lineRule="auto"/>
              <w:jc w:val="both"/>
              <w:rPr>
                <w:rFonts w:ascii="Book Antiqua" w:eastAsia="宋体" w:hAnsi="Book Antiqua" w:cs="Book Antiqua"/>
                <w:color w:val="000000"/>
                <w:lang w:eastAsia="zh-CN"/>
              </w:rPr>
            </w:pPr>
          </w:p>
        </w:tc>
      </w:tr>
      <w:tr w:rsidR="00064BE2" w14:paraId="19CEA41D" w14:textId="77777777">
        <w:trPr>
          <w:trHeight w:val="285"/>
          <w:jc w:val="center"/>
        </w:trPr>
        <w:tc>
          <w:tcPr>
            <w:tcW w:w="1953" w:type="pct"/>
            <w:tcBorders>
              <w:top w:val="nil"/>
              <w:left w:val="nil"/>
              <w:bottom w:val="nil"/>
              <w:right w:val="nil"/>
            </w:tcBorders>
            <w:shd w:val="clear" w:color="auto" w:fill="auto"/>
            <w:noWrap/>
          </w:tcPr>
          <w:p w14:paraId="017136F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CTTT</w:t>
            </w:r>
          </w:p>
        </w:tc>
        <w:tc>
          <w:tcPr>
            <w:tcW w:w="1015" w:type="pct"/>
            <w:tcBorders>
              <w:top w:val="nil"/>
              <w:left w:val="nil"/>
              <w:bottom w:val="nil"/>
              <w:right w:val="nil"/>
            </w:tcBorders>
            <w:shd w:val="clear" w:color="auto" w:fill="auto"/>
            <w:noWrap/>
          </w:tcPr>
          <w:p w14:paraId="6F554F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(7.98)</w:t>
            </w:r>
          </w:p>
        </w:tc>
        <w:tc>
          <w:tcPr>
            <w:tcW w:w="1015" w:type="pct"/>
            <w:tcBorders>
              <w:top w:val="nil"/>
              <w:left w:val="nil"/>
              <w:bottom w:val="nil"/>
              <w:right w:val="nil"/>
            </w:tcBorders>
            <w:shd w:val="clear" w:color="auto" w:fill="auto"/>
            <w:noWrap/>
          </w:tcPr>
          <w:p w14:paraId="36C5C87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(8.42)</w:t>
            </w:r>
          </w:p>
        </w:tc>
        <w:tc>
          <w:tcPr>
            <w:tcW w:w="1015" w:type="pct"/>
            <w:tcBorders>
              <w:top w:val="nil"/>
              <w:left w:val="nil"/>
              <w:bottom w:val="nil"/>
              <w:right w:val="nil"/>
            </w:tcBorders>
            <w:shd w:val="clear" w:color="auto" w:fill="auto"/>
            <w:noWrap/>
          </w:tcPr>
          <w:p w14:paraId="5CA750AB" w14:textId="77777777" w:rsidR="00064BE2" w:rsidRDefault="00064BE2">
            <w:pPr>
              <w:spacing w:line="360" w:lineRule="auto"/>
              <w:jc w:val="both"/>
              <w:rPr>
                <w:rFonts w:ascii="Book Antiqua" w:eastAsia="宋体" w:hAnsi="Book Antiqua" w:cs="Book Antiqua"/>
                <w:color w:val="000000"/>
                <w:lang w:eastAsia="zh-CN"/>
              </w:rPr>
            </w:pPr>
          </w:p>
        </w:tc>
      </w:tr>
      <w:tr w:rsidR="00064BE2" w14:paraId="5D7F8C18" w14:textId="77777777">
        <w:trPr>
          <w:trHeight w:val="285"/>
          <w:jc w:val="center"/>
        </w:trPr>
        <w:tc>
          <w:tcPr>
            <w:tcW w:w="1953" w:type="pct"/>
            <w:tcBorders>
              <w:top w:val="nil"/>
              <w:left w:val="nil"/>
              <w:bottom w:val="nil"/>
              <w:right w:val="nil"/>
            </w:tcBorders>
            <w:shd w:val="clear" w:color="auto" w:fill="auto"/>
            <w:noWrap/>
          </w:tcPr>
          <w:p w14:paraId="277AA6E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CATT</w:t>
            </w:r>
          </w:p>
        </w:tc>
        <w:tc>
          <w:tcPr>
            <w:tcW w:w="1015" w:type="pct"/>
            <w:tcBorders>
              <w:top w:val="nil"/>
              <w:left w:val="nil"/>
              <w:bottom w:val="nil"/>
              <w:right w:val="nil"/>
            </w:tcBorders>
            <w:shd w:val="clear" w:color="auto" w:fill="auto"/>
            <w:noWrap/>
          </w:tcPr>
          <w:p w14:paraId="2761D8D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71 (27.00)</w:t>
            </w:r>
          </w:p>
        </w:tc>
        <w:tc>
          <w:tcPr>
            <w:tcW w:w="1015" w:type="pct"/>
            <w:tcBorders>
              <w:top w:val="nil"/>
              <w:left w:val="nil"/>
              <w:bottom w:val="nil"/>
              <w:right w:val="nil"/>
            </w:tcBorders>
            <w:shd w:val="clear" w:color="auto" w:fill="auto"/>
            <w:noWrap/>
          </w:tcPr>
          <w:p w14:paraId="6FC9742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64 (21.55)</w:t>
            </w:r>
          </w:p>
        </w:tc>
        <w:tc>
          <w:tcPr>
            <w:tcW w:w="1015" w:type="pct"/>
            <w:tcBorders>
              <w:top w:val="nil"/>
              <w:left w:val="nil"/>
              <w:bottom w:val="nil"/>
              <w:right w:val="nil"/>
            </w:tcBorders>
            <w:shd w:val="clear" w:color="auto" w:fill="auto"/>
            <w:noWrap/>
          </w:tcPr>
          <w:p w14:paraId="1E7A8651" w14:textId="77777777" w:rsidR="00064BE2" w:rsidRDefault="00064BE2">
            <w:pPr>
              <w:spacing w:line="360" w:lineRule="auto"/>
              <w:jc w:val="both"/>
              <w:rPr>
                <w:rFonts w:ascii="Book Antiqua" w:eastAsia="宋体" w:hAnsi="Book Antiqua" w:cs="Book Antiqua"/>
                <w:color w:val="000000"/>
                <w:lang w:eastAsia="zh-CN"/>
              </w:rPr>
            </w:pPr>
          </w:p>
        </w:tc>
      </w:tr>
      <w:tr w:rsidR="00064BE2" w14:paraId="36168618" w14:textId="77777777">
        <w:trPr>
          <w:trHeight w:val="285"/>
          <w:jc w:val="center"/>
        </w:trPr>
        <w:tc>
          <w:tcPr>
            <w:tcW w:w="1953" w:type="pct"/>
            <w:tcBorders>
              <w:top w:val="nil"/>
              <w:left w:val="nil"/>
              <w:bottom w:val="nil"/>
              <w:right w:val="nil"/>
            </w:tcBorders>
            <w:shd w:val="clear" w:color="auto" w:fill="auto"/>
            <w:noWrap/>
          </w:tcPr>
          <w:p w14:paraId="012E572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CATC</w:t>
            </w:r>
          </w:p>
        </w:tc>
        <w:tc>
          <w:tcPr>
            <w:tcW w:w="1015" w:type="pct"/>
            <w:tcBorders>
              <w:top w:val="nil"/>
              <w:left w:val="nil"/>
              <w:bottom w:val="nil"/>
              <w:right w:val="nil"/>
            </w:tcBorders>
            <w:shd w:val="clear" w:color="auto" w:fill="auto"/>
            <w:noWrap/>
          </w:tcPr>
          <w:p w14:paraId="69D326B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(3.42)</w:t>
            </w:r>
          </w:p>
        </w:tc>
        <w:tc>
          <w:tcPr>
            <w:tcW w:w="1015" w:type="pct"/>
            <w:tcBorders>
              <w:top w:val="nil"/>
              <w:left w:val="nil"/>
              <w:bottom w:val="nil"/>
              <w:right w:val="nil"/>
            </w:tcBorders>
            <w:shd w:val="clear" w:color="auto" w:fill="auto"/>
            <w:noWrap/>
          </w:tcPr>
          <w:p w14:paraId="64825F9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 (5.05)</w:t>
            </w:r>
          </w:p>
        </w:tc>
        <w:tc>
          <w:tcPr>
            <w:tcW w:w="1015" w:type="pct"/>
            <w:tcBorders>
              <w:top w:val="nil"/>
              <w:left w:val="nil"/>
              <w:bottom w:val="nil"/>
              <w:right w:val="nil"/>
            </w:tcBorders>
            <w:shd w:val="clear" w:color="auto" w:fill="auto"/>
            <w:noWrap/>
          </w:tcPr>
          <w:p w14:paraId="78998F2C" w14:textId="77777777" w:rsidR="00064BE2" w:rsidRDefault="00064BE2">
            <w:pPr>
              <w:spacing w:line="360" w:lineRule="auto"/>
              <w:jc w:val="both"/>
              <w:rPr>
                <w:rFonts w:ascii="Book Antiqua" w:eastAsia="宋体" w:hAnsi="Book Antiqua" w:cs="Book Antiqua"/>
                <w:color w:val="000000"/>
                <w:lang w:eastAsia="zh-CN"/>
              </w:rPr>
            </w:pPr>
          </w:p>
        </w:tc>
      </w:tr>
      <w:tr w:rsidR="00064BE2" w14:paraId="148C020C" w14:textId="77777777">
        <w:trPr>
          <w:trHeight w:val="285"/>
          <w:jc w:val="center"/>
        </w:trPr>
        <w:tc>
          <w:tcPr>
            <w:tcW w:w="1953" w:type="pct"/>
            <w:tcBorders>
              <w:top w:val="nil"/>
              <w:left w:val="nil"/>
              <w:bottom w:val="nil"/>
              <w:right w:val="nil"/>
            </w:tcBorders>
            <w:shd w:val="clear" w:color="auto" w:fill="auto"/>
            <w:noWrap/>
          </w:tcPr>
          <w:p w14:paraId="19230AF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TATT</w:t>
            </w:r>
          </w:p>
        </w:tc>
        <w:tc>
          <w:tcPr>
            <w:tcW w:w="1015" w:type="pct"/>
            <w:tcBorders>
              <w:top w:val="nil"/>
              <w:left w:val="nil"/>
              <w:bottom w:val="nil"/>
              <w:right w:val="nil"/>
            </w:tcBorders>
            <w:shd w:val="clear" w:color="auto" w:fill="auto"/>
            <w:noWrap/>
          </w:tcPr>
          <w:p w14:paraId="706904D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(1.52)</w:t>
            </w:r>
          </w:p>
        </w:tc>
        <w:tc>
          <w:tcPr>
            <w:tcW w:w="1015" w:type="pct"/>
            <w:tcBorders>
              <w:top w:val="nil"/>
              <w:left w:val="nil"/>
              <w:bottom w:val="nil"/>
              <w:right w:val="nil"/>
            </w:tcBorders>
            <w:shd w:val="clear" w:color="auto" w:fill="auto"/>
            <w:noWrap/>
          </w:tcPr>
          <w:p w14:paraId="07EC8FA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 (2.02)</w:t>
            </w:r>
          </w:p>
        </w:tc>
        <w:tc>
          <w:tcPr>
            <w:tcW w:w="1015" w:type="pct"/>
            <w:tcBorders>
              <w:top w:val="nil"/>
              <w:left w:val="nil"/>
              <w:bottom w:val="nil"/>
              <w:right w:val="nil"/>
            </w:tcBorders>
            <w:shd w:val="clear" w:color="auto" w:fill="auto"/>
            <w:noWrap/>
          </w:tcPr>
          <w:p w14:paraId="194F5C13" w14:textId="77777777" w:rsidR="00064BE2" w:rsidRDefault="00064BE2">
            <w:pPr>
              <w:spacing w:line="360" w:lineRule="auto"/>
              <w:jc w:val="both"/>
              <w:rPr>
                <w:rFonts w:ascii="Book Antiqua" w:eastAsia="宋体" w:hAnsi="Book Antiqua" w:cs="Book Antiqua"/>
                <w:color w:val="000000"/>
                <w:lang w:eastAsia="zh-CN"/>
              </w:rPr>
            </w:pPr>
          </w:p>
        </w:tc>
      </w:tr>
      <w:tr w:rsidR="00064BE2" w14:paraId="1BCDD9BD" w14:textId="77777777">
        <w:trPr>
          <w:trHeight w:val="300"/>
          <w:jc w:val="center"/>
        </w:trPr>
        <w:tc>
          <w:tcPr>
            <w:tcW w:w="1953" w:type="pct"/>
            <w:tcBorders>
              <w:top w:val="nil"/>
              <w:left w:val="nil"/>
              <w:bottom w:val="nil"/>
              <w:right w:val="nil"/>
            </w:tcBorders>
            <w:shd w:val="clear" w:color="auto" w:fill="auto"/>
            <w:noWrap/>
          </w:tcPr>
          <w:p w14:paraId="5A37423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AATT</w:t>
            </w:r>
          </w:p>
        </w:tc>
        <w:tc>
          <w:tcPr>
            <w:tcW w:w="1015" w:type="pct"/>
            <w:tcBorders>
              <w:top w:val="nil"/>
              <w:left w:val="nil"/>
              <w:bottom w:val="nil"/>
              <w:right w:val="nil"/>
            </w:tcBorders>
            <w:shd w:val="clear" w:color="auto" w:fill="auto"/>
            <w:noWrap/>
          </w:tcPr>
          <w:p w14:paraId="14F489E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(1.52)</w:t>
            </w:r>
          </w:p>
        </w:tc>
        <w:tc>
          <w:tcPr>
            <w:tcW w:w="1015" w:type="pct"/>
            <w:tcBorders>
              <w:top w:val="nil"/>
              <w:left w:val="nil"/>
              <w:bottom w:val="nil"/>
              <w:right w:val="nil"/>
            </w:tcBorders>
            <w:shd w:val="clear" w:color="auto" w:fill="auto"/>
            <w:noWrap/>
          </w:tcPr>
          <w:p w14:paraId="045C47A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(2.36)</w:t>
            </w:r>
          </w:p>
        </w:tc>
        <w:tc>
          <w:tcPr>
            <w:tcW w:w="1015" w:type="pct"/>
            <w:tcBorders>
              <w:top w:val="nil"/>
              <w:left w:val="nil"/>
              <w:bottom w:val="nil"/>
              <w:right w:val="nil"/>
            </w:tcBorders>
            <w:shd w:val="clear" w:color="auto" w:fill="auto"/>
            <w:noWrap/>
          </w:tcPr>
          <w:p w14:paraId="6335A37D" w14:textId="77777777" w:rsidR="00064BE2" w:rsidRDefault="00064BE2">
            <w:pPr>
              <w:spacing w:line="360" w:lineRule="auto"/>
              <w:jc w:val="both"/>
              <w:rPr>
                <w:rFonts w:ascii="Book Antiqua" w:eastAsia="宋体" w:hAnsi="Book Antiqua" w:cs="Book Antiqua"/>
                <w:color w:val="000000"/>
                <w:lang w:eastAsia="zh-CN"/>
              </w:rPr>
            </w:pPr>
          </w:p>
        </w:tc>
      </w:tr>
      <w:tr w:rsidR="00064BE2" w14:paraId="3848176A" w14:textId="77777777">
        <w:trPr>
          <w:trHeight w:val="300"/>
          <w:jc w:val="center"/>
        </w:trPr>
        <w:tc>
          <w:tcPr>
            <w:tcW w:w="1953" w:type="pct"/>
            <w:tcBorders>
              <w:top w:val="nil"/>
              <w:left w:val="nil"/>
              <w:bottom w:val="nil"/>
              <w:right w:val="nil"/>
            </w:tcBorders>
            <w:shd w:val="clear" w:color="auto" w:fill="auto"/>
            <w:noWrap/>
            <w:vAlign w:val="center"/>
          </w:tcPr>
          <w:p w14:paraId="4326EDA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rs1130864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47779F71"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32C9D59"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19D3D5D" w14:textId="77777777" w:rsidR="00064BE2" w:rsidRDefault="00064BE2">
            <w:pPr>
              <w:spacing w:line="360" w:lineRule="auto"/>
              <w:jc w:val="both"/>
              <w:rPr>
                <w:rFonts w:ascii="Book Antiqua" w:eastAsia="宋体" w:hAnsi="Book Antiqua" w:cs="Book Antiqua"/>
                <w:color w:val="000000"/>
                <w:lang w:eastAsia="zh-CN"/>
              </w:rPr>
            </w:pPr>
          </w:p>
        </w:tc>
      </w:tr>
      <w:tr w:rsidR="00064BE2" w14:paraId="404914EE" w14:textId="77777777">
        <w:trPr>
          <w:trHeight w:val="285"/>
          <w:jc w:val="center"/>
        </w:trPr>
        <w:tc>
          <w:tcPr>
            <w:tcW w:w="1953" w:type="pct"/>
            <w:tcBorders>
              <w:top w:val="nil"/>
              <w:left w:val="nil"/>
              <w:bottom w:val="nil"/>
              <w:right w:val="nil"/>
            </w:tcBorders>
            <w:shd w:val="clear" w:color="auto" w:fill="auto"/>
            <w:noWrap/>
          </w:tcPr>
          <w:p w14:paraId="40B7167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GGTT</w:t>
            </w:r>
          </w:p>
        </w:tc>
        <w:tc>
          <w:tcPr>
            <w:tcW w:w="1015" w:type="pct"/>
            <w:tcBorders>
              <w:top w:val="nil"/>
              <w:left w:val="nil"/>
              <w:bottom w:val="nil"/>
              <w:right w:val="nil"/>
            </w:tcBorders>
            <w:shd w:val="clear" w:color="auto" w:fill="auto"/>
            <w:noWrap/>
          </w:tcPr>
          <w:p w14:paraId="4AE5048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208 (78.49)</w:t>
            </w:r>
          </w:p>
        </w:tc>
        <w:tc>
          <w:tcPr>
            <w:tcW w:w="1015" w:type="pct"/>
            <w:tcBorders>
              <w:top w:val="nil"/>
              <w:left w:val="nil"/>
              <w:bottom w:val="nil"/>
              <w:right w:val="nil"/>
            </w:tcBorders>
            <w:shd w:val="clear" w:color="auto" w:fill="auto"/>
            <w:noWrap/>
          </w:tcPr>
          <w:p w14:paraId="4EECA01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228 (76.25)</w:t>
            </w:r>
          </w:p>
        </w:tc>
        <w:tc>
          <w:tcPr>
            <w:tcW w:w="1015" w:type="pct"/>
            <w:tcBorders>
              <w:top w:val="nil"/>
              <w:left w:val="nil"/>
              <w:bottom w:val="nil"/>
              <w:right w:val="nil"/>
            </w:tcBorders>
            <w:shd w:val="clear" w:color="auto" w:fill="auto"/>
            <w:noWrap/>
          </w:tcPr>
          <w:p w14:paraId="66C575E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0.772</w:t>
            </w:r>
          </w:p>
        </w:tc>
      </w:tr>
      <w:tr w:rsidR="00064BE2" w14:paraId="23A6FD6E" w14:textId="77777777">
        <w:trPr>
          <w:trHeight w:val="285"/>
          <w:jc w:val="center"/>
        </w:trPr>
        <w:tc>
          <w:tcPr>
            <w:tcW w:w="1953" w:type="pct"/>
            <w:tcBorders>
              <w:top w:val="nil"/>
              <w:left w:val="nil"/>
              <w:bottom w:val="nil"/>
              <w:right w:val="nil"/>
            </w:tcBorders>
            <w:shd w:val="clear" w:color="auto" w:fill="auto"/>
            <w:noWrap/>
          </w:tcPr>
          <w:p w14:paraId="4EB4CB8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GGTC</w:t>
            </w:r>
          </w:p>
        </w:tc>
        <w:tc>
          <w:tcPr>
            <w:tcW w:w="1015" w:type="pct"/>
            <w:tcBorders>
              <w:top w:val="nil"/>
              <w:left w:val="nil"/>
              <w:bottom w:val="nil"/>
              <w:right w:val="nil"/>
            </w:tcBorders>
            <w:shd w:val="clear" w:color="auto" w:fill="auto"/>
            <w:noWrap/>
          </w:tcPr>
          <w:p w14:paraId="08F09E1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 (12.08)</w:t>
            </w:r>
          </w:p>
        </w:tc>
        <w:tc>
          <w:tcPr>
            <w:tcW w:w="1015" w:type="pct"/>
            <w:tcBorders>
              <w:top w:val="nil"/>
              <w:left w:val="nil"/>
              <w:bottom w:val="nil"/>
              <w:right w:val="nil"/>
            </w:tcBorders>
            <w:shd w:val="clear" w:color="auto" w:fill="auto"/>
            <w:noWrap/>
          </w:tcPr>
          <w:p w14:paraId="11ED73A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42 (14.05)</w:t>
            </w:r>
          </w:p>
        </w:tc>
        <w:tc>
          <w:tcPr>
            <w:tcW w:w="1015" w:type="pct"/>
            <w:tcBorders>
              <w:top w:val="nil"/>
              <w:left w:val="nil"/>
              <w:bottom w:val="nil"/>
              <w:right w:val="nil"/>
            </w:tcBorders>
            <w:shd w:val="clear" w:color="auto" w:fill="auto"/>
            <w:noWrap/>
          </w:tcPr>
          <w:p w14:paraId="5D79C5D2" w14:textId="77777777" w:rsidR="00064BE2" w:rsidRDefault="00064BE2">
            <w:pPr>
              <w:spacing w:line="360" w:lineRule="auto"/>
              <w:jc w:val="both"/>
              <w:rPr>
                <w:rFonts w:ascii="Book Antiqua" w:eastAsia="宋体" w:hAnsi="Book Antiqua" w:cs="Book Antiqua"/>
                <w:color w:val="000000"/>
                <w:lang w:eastAsia="zh-CN"/>
              </w:rPr>
            </w:pPr>
          </w:p>
        </w:tc>
      </w:tr>
      <w:tr w:rsidR="00064BE2" w14:paraId="734C32B7" w14:textId="77777777">
        <w:trPr>
          <w:trHeight w:val="300"/>
          <w:jc w:val="center"/>
        </w:trPr>
        <w:tc>
          <w:tcPr>
            <w:tcW w:w="1953" w:type="pct"/>
            <w:tcBorders>
              <w:top w:val="nil"/>
              <w:left w:val="nil"/>
              <w:bottom w:val="nil"/>
              <w:right w:val="nil"/>
            </w:tcBorders>
            <w:shd w:val="clear" w:color="auto" w:fill="auto"/>
            <w:noWrap/>
          </w:tcPr>
          <w:p w14:paraId="58552D4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GATT</w:t>
            </w:r>
          </w:p>
        </w:tc>
        <w:tc>
          <w:tcPr>
            <w:tcW w:w="1015" w:type="pct"/>
            <w:tcBorders>
              <w:top w:val="nil"/>
              <w:left w:val="nil"/>
              <w:bottom w:val="nil"/>
              <w:right w:val="nil"/>
            </w:tcBorders>
            <w:shd w:val="clear" w:color="auto" w:fill="auto"/>
            <w:noWrap/>
          </w:tcPr>
          <w:p w14:paraId="56B66E6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(9.43)</w:t>
            </w:r>
          </w:p>
        </w:tc>
        <w:tc>
          <w:tcPr>
            <w:tcW w:w="1015" w:type="pct"/>
            <w:tcBorders>
              <w:top w:val="nil"/>
              <w:left w:val="nil"/>
              <w:bottom w:val="nil"/>
              <w:right w:val="nil"/>
            </w:tcBorders>
            <w:shd w:val="clear" w:color="auto" w:fill="auto"/>
            <w:noWrap/>
          </w:tcPr>
          <w:p w14:paraId="2FB66A6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29 (9.70)</w:t>
            </w:r>
          </w:p>
        </w:tc>
        <w:tc>
          <w:tcPr>
            <w:tcW w:w="1015" w:type="pct"/>
            <w:tcBorders>
              <w:top w:val="nil"/>
              <w:left w:val="nil"/>
              <w:bottom w:val="nil"/>
              <w:right w:val="nil"/>
            </w:tcBorders>
            <w:shd w:val="clear" w:color="auto" w:fill="auto"/>
            <w:noWrap/>
          </w:tcPr>
          <w:p w14:paraId="041D4E29" w14:textId="77777777" w:rsidR="00064BE2" w:rsidRDefault="00064BE2">
            <w:pPr>
              <w:spacing w:line="360" w:lineRule="auto"/>
              <w:jc w:val="both"/>
              <w:rPr>
                <w:rFonts w:ascii="Book Antiqua" w:eastAsia="宋体" w:hAnsi="Book Antiqua" w:cs="Book Antiqua"/>
                <w:color w:val="000000"/>
                <w:lang w:eastAsia="zh-CN"/>
              </w:rPr>
            </w:pPr>
          </w:p>
        </w:tc>
      </w:tr>
      <w:tr w:rsidR="00064BE2" w14:paraId="17ADCF88" w14:textId="77777777">
        <w:trPr>
          <w:trHeight w:val="300"/>
          <w:jc w:val="center"/>
        </w:trPr>
        <w:tc>
          <w:tcPr>
            <w:tcW w:w="1953" w:type="pct"/>
            <w:tcBorders>
              <w:top w:val="nil"/>
              <w:left w:val="nil"/>
              <w:bottom w:val="nil"/>
              <w:right w:val="nil"/>
            </w:tcBorders>
            <w:shd w:val="clear" w:color="auto" w:fill="auto"/>
            <w:noWrap/>
            <w:vAlign w:val="center"/>
          </w:tcPr>
          <w:p w14:paraId="4D427CA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rs1800947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0AB61620"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067B8738"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4BFF2EA8" w14:textId="77777777" w:rsidR="00064BE2" w:rsidRDefault="00064BE2">
            <w:pPr>
              <w:spacing w:line="360" w:lineRule="auto"/>
              <w:jc w:val="both"/>
              <w:rPr>
                <w:rFonts w:ascii="Book Antiqua" w:eastAsia="宋体" w:hAnsi="Book Antiqua" w:cs="Book Antiqua"/>
                <w:color w:val="000000"/>
                <w:lang w:eastAsia="zh-CN"/>
              </w:rPr>
            </w:pPr>
          </w:p>
        </w:tc>
      </w:tr>
      <w:tr w:rsidR="00064BE2" w14:paraId="4D631F74" w14:textId="77777777">
        <w:trPr>
          <w:trHeight w:val="300"/>
          <w:jc w:val="center"/>
        </w:trPr>
        <w:tc>
          <w:tcPr>
            <w:tcW w:w="1953" w:type="pct"/>
            <w:tcBorders>
              <w:top w:val="nil"/>
              <w:left w:val="nil"/>
              <w:bottom w:val="nil"/>
              <w:right w:val="nil"/>
            </w:tcBorders>
            <w:shd w:val="clear" w:color="auto" w:fill="auto"/>
            <w:noWrap/>
          </w:tcPr>
          <w:p w14:paraId="01FF487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lastRenderedPageBreak/>
              <w:t>CCTT</w:t>
            </w:r>
          </w:p>
        </w:tc>
        <w:tc>
          <w:tcPr>
            <w:tcW w:w="1015" w:type="pct"/>
            <w:tcBorders>
              <w:top w:val="nil"/>
              <w:left w:val="nil"/>
              <w:bottom w:val="nil"/>
              <w:right w:val="nil"/>
            </w:tcBorders>
            <w:shd w:val="clear" w:color="auto" w:fill="auto"/>
            <w:noWrap/>
          </w:tcPr>
          <w:p w14:paraId="398C79B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214 (80.75)</w:t>
            </w:r>
          </w:p>
        </w:tc>
        <w:tc>
          <w:tcPr>
            <w:tcW w:w="1015" w:type="pct"/>
            <w:tcBorders>
              <w:top w:val="nil"/>
              <w:left w:val="nil"/>
              <w:bottom w:val="nil"/>
              <w:right w:val="nil"/>
            </w:tcBorders>
            <w:shd w:val="clear" w:color="auto" w:fill="auto"/>
          </w:tcPr>
          <w:p w14:paraId="5D2726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232 (77.85)</w:t>
            </w:r>
          </w:p>
        </w:tc>
        <w:tc>
          <w:tcPr>
            <w:tcW w:w="1015" w:type="pct"/>
            <w:tcBorders>
              <w:top w:val="nil"/>
              <w:left w:val="nil"/>
              <w:bottom w:val="nil"/>
              <w:right w:val="nil"/>
            </w:tcBorders>
            <w:shd w:val="clear" w:color="auto" w:fill="auto"/>
            <w:noWrap/>
          </w:tcPr>
          <w:p w14:paraId="41FACBA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0.655</w:t>
            </w:r>
          </w:p>
        </w:tc>
      </w:tr>
      <w:tr w:rsidR="00064BE2" w14:paraId="45697140" w14:textId="77777777">
        <w:trPr>
          <w:trHeight w:val="285"/>
          <w:jc w:val="center"/>
        </w:trPr>
        <w:tc>
          <w:tcPr>
            <w:tcW w:w="1953" w:type="pct"/>
            <w:tcBorders>
              <w:top w:val="nil"/>
              <w:left w:val="nil"/>
              <w:bottom w:val="nil"/>
              <w:right w:val="nil"/>
            </w:tcBorders>
            <w:shd w:val="clear" w:color="auto" w:fill="auto"/>
            <w:noWrap/>
          </w:tcPr>
          <w:p w14:paraId="6EBA8C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05BCDCC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30 (11.32)</w:t>
            </w:r>
          </w:p>
        </w:tc>
        <w:tc>
          <w:tcPr>
            <w:tcW w:w="1015" w:type="pct"/>
            <w:tcBorders>
              <w:top w:val="nil"/>
              <w:left w:val="nil"/>
              <w:bottom w:val="nil"/>
              <w:right w:val="nil"/>
            </w:tcBorders>
            <w:shd w:val="clear" w:color="auto" w:fill="auto"/>
          </w:tcPr>
          <w:p w14:paraId="396F7E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41 (13.76)</w:t>
            </w:r>
          </w:p>
        </w:tc>
        <w:tc>
          <w:tcPr>
            <w:tcW w:w="1015" w:type="pct"/>
            <w:tcBorders>
              <w:top w:val="nil"/>
              <w:left w:val="nil"/>
              <w:bottom w:val="nil"/>
              <w:right w:val="nil"/>
            </w:tcBorders>
            <w:shd w:val="clear" w:color="auto" w:fill="auto"/>
            <w:noWrap/>
          </w:tcPr>
          <w:p w14:paraId="05591439" w14:textId="77777777" w:rsidR="00064BE2" w:rsidRDefault="00064BE2">
            <w:pPr>
              <w:spacing w:line="360" w:lineRule="auto"/>
              <w:jc w:val="both"/>
              <w:rPr>
                <w:rFonts w:ascii="Book Antiqua" w:eastAsia="宋体" w:hAnsi="Book Antiqua" w:cs="Book Antiqua"/>
                <w:color w:val="000000"/>
                <w:lang w:eastAsia="zh-CN"/>
              </w:rPr>
            </w:pPr>
          </w:p>
        </w:tc>
      </w:tr>
      <w:tr w:rsidR="00064BE2" w14:paraId="0A98376D" w14:textId="77777777">
        <w:trPr>
          <w:trHeight w:val="285"/>
          <w:jc w:val="center"/>
        </w:trPr>
        <w:tc>
          <w:tcPr>
            <w:tcW w:w="1953" w:type="pct"/>
            <w:tcBorders>
              <w:top w:val="nil"/>
              <w:left w:val="nil"/>
              <w:bottom w:val="nil"/>
              <w:right w:val="nil"/>
            </w:tcBorders>
            <w:shd w:val="clear" w:color="auto" w:fill="auto"/>
            <w:noWrap/>
          </w:tcPr>
          <w:p w14:paraId="792A73F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CGTT</w:t>
            </w:r>
          </w:p>
        </w:tc>
        <w:tc>
          <w:tcPr>
            <w:tcW w:w="1015" w:type="pct"/>
            <w:tcBorders>
              <w:top w:val="nil"/>
              <w:left w:val="nil"/>
              <w:bottom w:val="nil"/>
              <w:right w:val="nil"/>
            </w:tcBorders>
            <w:shd w:val="clear" w:color="auto" w:fill="auto"/>
            <w:noWrap/>
          </w:tcPr>
          <w:p w14:paraId="6CAFFB7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(7.92)</w:t>
            </w:r>
          </w:p>
        </w:tc>
        <w:tc>
          <w:tcPr>
            <w:tcW w:w="1015" w:type="pct"/>
            <w:tcBorders>
              <w:top w:val="nil"/>
              <w:left w:val="nil"/>
              <w:bottom w:val="nil"/>
              <w:right w:val="nil"/>
            </w:tcBorders>
            <w:shd w:val="clear" w:color="auto" w:fill="auto"/>
          </w:tcPr>
          <w:p w14:paraId="364FB0C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(8.39)</w:t>
            </w:r>
          </w:p>
        </w:tc>
        <w:tc>
          <w:tcPr>
            <w:tcW w:w="1015" w:type="pct"/>
            <w:tcBorders>
              <w:top w:val="nil"/>
              <w:left w:val="nil"/>
              <w:bottom w:val="nil"/>
              <w:right w:val="nil"/>
            </w:tcBorders>
            <w:shd w:val="clear" w:color="auto" w:fill="auto"/>
            <w:noWrap/>
          </w:tcPr>
          <w:p w14:paraId="2A3D3EA0" w14:textId="77777777" w:rsidR="00064BE2" w:rsidRDefault="00064BE2">
            <w:pPr>
              <w:spacing w:line="360" w:lineRule="auto"/>
              <w:jc w:val="both"/>
              <w:rPr>
                <w:rFonts w:ascii="Book Antiqua" w:eastAsia="宋体" w:hAnsi="Book Antiqua" w:cs="Book Antiqua"/>
                <w:color w:val="000000"/>
                <w:lang w:eastAsia="zh-CN"/>
              </w:rPr>
            </w:pPr>
          </w:p>
        </w:tc>
      </w:tr>
      <w:tr w:rsidR="00064BE2" w14:paraId="0B3706AD" w14:textId="77777777">
        <w:trPr>
          <w:trHeight w:val="300"/>
          <w:jc w:val="center"/>
        </w:trPr>
        <w:tc>
          <w:tcPr>
            <w:tcW w:w="1953" w:type="pct"/>
            <w:tcBorders>
              <w:top w:val="nil"/>
              <w:left w:val="nil"/>
              <w:bottom w:val="nil"/>
              <w:right w:val="nil"/>
            </w:tcBorders>
            <w:shd w:val="clear" w:color="auto" w:fill="auto"/>
            <w:noWrap/>
            <w:vAlign w:val="center"/>
          </w:tcPr>
          <w:p w14:paraId="0C9306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rs2794521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7F5ADB35"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B9887F3"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05A44D52" w14:textId="77777777" w:rsidR="00064BE2" w:rsidRDefault="00064BE2">
            <w:pPr>
              <w:spacing w:line="360" w:lineRule="auto"/>
              <w:jc w:val="both"/>
              <w:rPr>
                <w:rFonts w:ascii="Book Antiqua" w:eastAsia="宋体" w:hAnsi="Book Antiqua" w:cs="Book Antiqua"/>
                <w:color w:val="000000"/>
                <w:lang w:eastAsia="zh-CN"/>
              </w:rPr>
            </w:pPr>
          </w:p>
        </w:tc>
      </w:tr>
      <w:tr w:rsidR="00064BE2" w14:paraId="31CB1E9F" w14:textId="77777777">
        <w:trPr>
          <w:trHeight w:val="285"/>
          <w:jc w:val="center"/>
        </w:trPr>
        <w:tc>
          <w:tcPr>
            <w:tcW w:w="1953" w:type="pct"/>
            <w:tcBorders>
              <w:top w:val="nil"/>
              <w:left w:val="nil"/>
              <w:bottom w:val="nil"/>
              <w:right w:val="nil"/>
            </w:tcBorders>
            <w:shd w:val="clear" w:color="auto" w:fill="auto"/>
            <w:noWrap/>
          </w:tcPr>
          <w:p w14:paraId="5907E40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TTTT</w:t>
            </w:r>
          </w:p>
        </w:tc>
        <w:tc>
          <w:tcPr>
            <w:tcW w:w="1015" w:type="pct"/>
            <w:tcBorders>
              <w:top w:val="nil"/>
              <w:left w:val="nil"/>
              <w:bottom w:val="nil"/>
              <w:right w:val="nil"/>
            </w:tcBorders>
            <w:shd w:val="clear" w:color="auto" w:fill="auto"/>
            <w:noWrap/>
          </w:tcPr>
          <w:p w14:paraId="1EC4B25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160 (59.93)</w:t>
            </w:r>
          </w:p>
        </w:tc>
        <w:tc>
          <w:tcPr>
            <w:tcW w:w="1015" w:type="pct"/>
            <w:tcBorders>
              <w:top w:val="nil"/>
              <w:left w:val="nil"/>
              <w:bottom w:val="nil"/>
              <w:right w:val="nil"/>
            </w:tcBorders>
            <w:shd w:val="clear" w:color="auto" w:fill="auto"/>
            <w:noWrap/>
          </w:tcPr>
          <w:p w14:paraId="7AF9C75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187 (61.92)</w:t>
            </w:r>
          </w:p>
        </w:tc>
        <w:tc>
          <w:tcPr>
            <w:tcW w:w="1015" w:type="pct"/>
            <w:tcBorders>
              <w:top w:val="nil"/>
              <w:left w:val="nil"/>
              <w:bottom w:val="nil"/>
              <w:right w:val="nil"/>
            </w:tcBorders>
            <w:shd w:val="clear" w:color="auto" w:fill="auto"/>
            <w:noWrap/>
          </w:tcPr>
          <w:p w14:paraId="5B60F6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0.431</w:t>
            </w:r>
          </w:p>
        </w:tc>
      </w:tr>
      <w:tr w:rsidR="00064BE2" w14:paraId="100A82E3" w14:textId="77777777">
        <w:trPr>
          <w:trHeight w:val="285"/>
          <w:jc w:val="center"/>
        </w:trPr>
        <w:tc>
          <w:tcPr>
            <w:tcW w:w="1953" w:type="pct"/>
            <w:tcBorders>
              <w:top w:val="nil"/>
              <w:left w:val="nil"/>
              <w:bottom w:val="nil"/>
              <w:right w:val="nil"/>
            </w:tcBorders>
            <w:shd w:val="clear" w:color="auto" w:fill="auto"/>
            <w:noWrap/>
          </w:tcPr>
          <w:p w14:paraId="5862767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TTTC</w:t>
            </w:r>
          </w:p>
        </w:tc>
        <w:tc>
          <w:tcPr>
            <w:tcW w:w="1015" w:type="pct"/>
            <w:tcBorders>
              <w:top w:val="nil"/>
              <w:left w:val="nil"/>
              <w:bottom w:val="nil"/>
              <w:right w:val="nil"/>
            </w:tcBorders>
            <w:shd w:val="clear" w:color="auto" w:fill="auto"/>
            <w:noWrap/>
          </w:tcPr>
          <w:p w14:paraId="54671EE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26 (9.74)</w:t>
            </w:r>
          </w:p>
        </w:tc>
        <w:tc>
          <w:tcPr>
            <w:tcW w:w="1015" w:type="pct"/>
            <w:tcBorders>
              <w:top w:val="nil"/>
              <w:left w:val="nil"/>
              <w:bottom w:val="nil"/>
              <w:right w:val="nil"/>
            </w:tcBorders>
            <w:shd w:val="clear" w:color="auto" w:fill="auto"/>
            <w:noWrap/>
          </w:tcPr>
          <w:p w14:paraId="131A3B5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35 (11.59)</w:t>
            </w:r>
          </w:p>
        </w:tc>
        <w:tc>
          <w:tcPr>
            <w:tcW w:w="1015" w:type="pct"/>
            <w:tcBorders>
              <w:top w:val="nil"/>
              <w:left w:val="nil"/>
              <w:bottom w:val="nil"/>
              <w:right w:val="nil"/>
            </w:tcBorders>
            <w:shd w:val="clear" w:color="auto" w:fill="auto"/>
            <w:noWrap/>
          </w:tcPr>
          <w:p w14:paraId="70628EBB" w14:textId="77777777" w:rsidR="00064BE2" w:rsidRDefault="00064BE2">
            <w:pPr>
              <w:spacing w:line="360" w:lineRule="auto"/>
              <w:jc w:val="both"/>
              <w:rPr>
                <w:rFonts w:ascii="Book Antiqua" w:eastAsia="宋体" w:hAnsi="Book Antiqua" w:cs="Book Antiqua"/>
                <w:color w:val="000000"/>
                <w:lang w:eastAsia="zh-CN"/>
              </w:rPr>
            </w:pPr>
          </w:p>
        </w:tc>
      </w:tr>
      <w:tr w:rsidR="00064BE2" w14:paraId="1FD2A475" w14:textId="77777777">
        <w:trPr>
          <w:trHeight w:val="285"/>
          <w:jc w:val="center"/>
        </w:trPr>
        <w:tc>
          <w:tcPr>
            <w:tcW w:w="1953" w:type="pct"/>
            <w:tcBorders>
              <w:top w:val="nil"/>
              <w:left w:val="nil"/>
              <w:bottom w:val="nil"/>
              <w:right w:val="nil"/>
            </w:tcBorders>
            <w:shd w:val="clear" w:color="auto" w:fill="auto"/>
            <w:noWrap/>
          </w:tcPr>
          <w:p w14:paraId="7E4C08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TCTT</w:t>
            </w:r>
          </w:p>
        </w:tc>
        <w:tc>
          <w:tcPr>
            <w:tcW w:w="1015" w:type="pct"/>
            <w:tcBorders>
              <w:top w:val="nil"/>
              <w:left w:val="nil"/>
              <w:bottom w:val="nil"/>
              <w:right w:val="nil"/>
            </w:tcBorders>
            <w:shd w:val="clear" w:color="auto" w:fill="auto"/>
            <w:noWrap/>
          </w:tcPr>
          <w:p w14:paraId="45E055F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66 (24.72)</w:t>
            </w:r>
          </w:p>
        </w:tc>
        <w:tc>
          <w:tcPr>
            <w:tcW w:w="1015" w:type="pct"/>
            <w:tcBorders>
              <w:top w:val="nil"/>
              <w:left w:val="nil"/>
              <w:bottom w:val="nil"/>
              <w:right w:val="nil"/>
            </w:tcBorders>
            <w:shd w:val="clear" w:color="auto" w:fill="auto"/>
            <w:noWrap/>
          </w:tcPr>
          <w:p w14:paraId="4A4DDFE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67 (22.19)</w:t>
            </w:r>
          </w:p>
        </w:tc>
        <w:tc>
          <w:tcPr>
            <w:tcW w:w="1015" w:type="pct"/>
            <w:tcBorders>
              <w:top w:val="nil"/>
              <w:left w:val="nil"/>
              <w:bottom w:val="nil"/>
              <w:right w:val="nil"/>
            </w:tcBorders>
            <w:shd w:val="clear" w:color="auto" w:fill="auto"/>
            <w:noWrap/>
          </w:tcPr>
          <w:p w14:paraId="2892B912" w14:textId="77777777" w:rsidR="00064BE2" w:rsidRDefault="00064BE2">
            <w:pPr>
              <w:spacing w:line="360" w:lineRule="auto"/>
              <w:jc w:val="both"/>
              <w:rPr>
                <w:rFonts w:ascii="Book Antiqua" w:eastAsia="宋体" w:hAnsi="Book Antiqua" w:cs="Book Antiqua"/>
                <w:color w:val="000000"/>
                <w:lang w:eastAsia="zh-CN"/>
              </w:rPr>
            </w:pPr>
          </w:p>
        </w:tc>
      </w:tr>
      <w:tr w:rsidR="00064BE2" w14:paraId="6E7FBFCF" w14:textId="77777777">
        <w:trPr>
          <w:trHeight w:val="285"/>
          <w:jc w:val="center"/>
        </w:trPr>
        <w:tc>
          <w:tcPr>
            <w:tcW w:w="1953" w:type="pct"/>
            <w:tcBorders>
              <w:top w:val="nil"/>
              <w:left w:val="nil"/>
              <w:bottom w:val="nil"/>
              <w:right w:val="nil"/>
            </w:tcBorders>
            <w:shd w:val="clear" w:color="auto" w:fill="auto"/>
            <w:noWrap/>
          </w:tcPr>
          <w:p w14:paraId="6EFBE9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TCTC</w:t>
            </w:r>
          </w:p>
        </w:tc>
        <w:tc>
          <w:tcPr>
            <w:tcW w:w="1015" w:type="pct"/>
            <w:tcBorders>
              <w:top w:val="nil"/>
              <w:left w:val="nil"/>
              <w:bottom w:val="nil"/>
              <w:right w:val="nil"/>
            </w:tcBorders>
            <w:shd w:val="clear" w:color="auto" w:fill="auto"/>
            <w:noWrap/>
          </w:tcPr>
          <w:p w14:paraId="5146553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 (2.25)</w:t>
            </w:r>
          </w:p>
        </w:tc>
        <w:tc>
          <w:tcPr>
            <w:tcW w:w="1015" w:type="pct"/>
            <w:tcBorders>
              <w:top w:val="nil"/>
              <w:left w:val="nil"/>
              <w:bottom w:val="nil"/>
              <w:right w:val="nil"/>
            </w:tcBorders>
            <w:shd w:val="clear" w:color="auto" w:fill="auto"/>
            <w:noWrap/>
          </w:tcPr>
          <w:p w14:paraId="1240DC4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(2.98)</w:t>
            </w:r>
          </w:p>
        </w:tc>
        <w:tc>
          <w:tcPr>
            <w:tcW w:w="1015" w:type="pct"/>
            <w:tcBorders>
              <w:top w:val="nil"/>
              <w:left w:val="nil"/>
              <w:bottom w:val="nil"/>
              <w:right w:val="nil"/>
            </w:tcBorders>
            <w:shd w:val="clear" w:color="auto" w:fill="auto"/>
            <w:noWrap/>
          </w:tcPr>
          <w:p w14:paraId="5D505953" w14:textId="77777777" w:rsidR="00064BE2" w:rsidRDefault="00064BE2">
            <w:pPr>
              <w:spacing w:line="360" w:lineRule="auto"/>
              <w:jc w:val="both"/>
              <w:rPr>
                <w:rFonts w:ascii="Book Antiqua" w:eastAsia="宋体" w:hAnsi="Book Antiqua" w:cs="Book Antiqua"/>
                <w:color w:val="000000"/>
                <w:lang w:eastAsia="zh-CN"/>
              </w:rPr>
            </w:pPr>
          </w:p>
        </w:tc>
      </w:tr>
      <w:tr w:rsidR="00064BE2" w14:paraId="4FDF272C" w14:textId="77777777">
        <w:trPr>
          <w:trHeight w:val="300"/>
          <w:jc w:val="center"/>
        </w:trPr>
        <w:tc>
          <w:tcPr>
            <w:tcW w:w="1953" w:type="pct"/>
            <w:tcBorders>
              <w:top w:val="nil"/>
              <w:left w:val="nil"/>
              <w:bottom w:val="single" w:sz="8" w:space="0" w:color="auto"/>
              <w:right w:val="nil"/>
            </w:tcBorders>
            <w:shd w:val="clear" w:color="auto" w:fill="auto"/>
            <w:noWrap/>
          </w:tcPr>
          <w:p w14:paraId="35EE4F4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single" w:sz="8" w:space="0" w:color="auto"/>
              <w:right w:val="nil"/>
            </w:tcBorders>
            <w:shd w:val="clear" w:color="auto" w:fill="auto"/>
            <w:noWrap/>
          </w:tcPr>
          <w:p w14:paraId="1265146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(3.37)</w:t>
            </w:r>
          </w:p>
        </w:tc>
        <w:tc>
          <w:tcPr>
            <w:tcW w:w="1015" w:type="pct"/>
            <w:tcBorders>
              <w:top w:val="nil"/>
              <w:left w:val="nil"/>
              <w:bottom w:val="single" w:sz="8" w:space="0" w:color="auto"/>
              <w:right w:val="nil"/>
            </w:tcBorders>
            <w:shd w:val="clear" w:color="auto" w:fill="auto"/>
            <w:noWrap/>
          </w:tcPr>
          <w:p w14:paraId="4ACCFF5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(1.32)</w:t>
            </w:r>
          </w:p>
        </w:tc>
        <w:tc>
          <w:tcPr>
            <w:tcW w:w="1015" w:type="pct"/>
            <w:tcBorders>
              <w:top w:val="nil"/>
              <w:left w:val="nil"/>
              <w:bottom w:val="single" w:sz="8" w:space="0" w:color="auto"/>
              <w:right w:val="nil"/>
            </w:tcBorders>
            <w:shd w:val="clear" w:color="auto" w:fill="auto"/>
            <w:noWrap/>
          </w:tcPr>
          <w:p w14:paraId="356DC9B0" w14:textId="77777777" w:rsidR="00064BE2" w:rsidRDefault="00064BE2">
            <w:pPr>
              <w:spacing w:line="360" w:lineRule="auto"/>
              <w:jc w:val="both"/>
              <w:rPr>
                <w:rFonts w:ascii="Book Antiqua" w:eastAsia="宋体" w:hAnsi="Book Antiqua" w:cs="Book Antiqua"/>
                <w:color w:val="000000"/>
                <w:lang w:eastAsia="zh-CN"/>
              </w:rPr>
            </w:pPr>
          </w:p>
        </w:tc>
      </w:tr>
    </w:tbl>
    <w:p w14:paraId="3EEEB2B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Pearson’s chi-squared test.</w:t>
      </w:r>
    </w:p>
    <w:p w14:paraId="664A768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CFH</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complement factor H</w:t>
      </w:r>
      <w:r>
        <w:rPr>
          <w:rFonts w:ascii="Book Antiqua" w:eastAsia="宋体" w:hAnsi="Book Antiqua" w:cs="Book Antiqua" w:hint="eastAsia"/>
          <w:color w:val="000000"/>
          <w:lang w:eastAsia="zh-CN"/>
        </w:rPr>
        <w:t xml:space="preserve">; 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51B33D9D" w14:textId="6883CB2E" w:rsidR="00282608" w:rsidRDefault="00282608">
      <w:pPr>
        <w:spacing w:line="360" w:lineRule="auto"/>
        <w:jc w:val="both"/>
        <w:rPr>
          <w:rFonts w:ascii="Book Antiqua" w:eastAsia="宋体" w:hAnsi="Book Antiqua" w:cs="Book Antiqua"/>
          <w:color w:val="000000"/>
          <w:lang w:eastAsia="zh-CN"/>
        </w:rPr>
      </w:pPr>
    </w:p>
    <w:p w14:paraId="2316A56A" w14:textId="77777777" w:rsidR="00282608" w:rsidRDefault="00282608">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36D49718" w14:textId="77777777" w:rsidR="00282608" w:rsidRPr="006D4EDA" w:rsidRDefault="00282608" w:rsidP="00282608">
      <w:pPr>
        <w:snapToGrid w:val="0"/>
        <w:ind w:leftChars="100" w:left="240"/>
        <w:jc w:val="center"/>
        <w:rPr>
          <w:rFonts w:ascii="Book Antiqua" w:hAnsi="Book Antiqua"/>
        </w:rPr>
      </w:pPr>
    </w:p>
    <w:p w14:paraId="14B5476B" w14:textId="77777777" w:rsidR="00282608" w:rsidRPr="006D4EDA" w:rsidRDefault="00282608" w:rsidP="00282608">
      <w:pPr>
        <w:snapToGrid w:val="0"/>
        <w:ind w:leftChars="100" w:left="240"/>
        <w:jc w:val="center"/>
        <w:rPr>
          <w:rFonts w:ascii="Book Antiqua" w:hAnsi="Book Antiqua"/>
        </w:rPr>
      </w:pPr>
    </w:p>
    <w:p w14:paraId="0981833B" w14:textId="77777777" w:rsidR="00282608" w:rsidRPr="006D4EDA" w:rsidRDefault="00282608" w:rsidP="00282608">
      <w:pPr>
        <w:snapToGrid w:val="0"/>
        <w:ind w:leftChars="100" w:left="240"/>
        <w:jc w:val="center"/>
        <w:rPr>
          <w:rFonts w:ascii="Book Antiqua" w:hAnsi="Book Antiqua"/>
        </w:rPr>
      </w:pPr>
    </w:p>
    <w:p w14:paraId="48941A1E" w14:textId="77777777" w:rsidR="00282608" w:rsidRPr="006D4EDA" w:rsidRDefault="00282608" w:rsidP="00282608">
      <w:pPr>
        <w:snapToGrid w:val="0"/>
        <w:ind w:leftChars="100" w:left="240"/>
        <w:jc w:val="center"/>
        <w:rPr>
          <w:rFonts w:ascii="Book Antiqua" w:hAnsi="Book Antiqua"/>
        </w:rPr>
      </w:pPr>
    </w:p>
    <w:p w14:paraId="74BAC6C3" w14:textId="77777777" w:rsidR="00282608" w:rsidRPr="006D4EDA" w:rsidRDefault="00282608" w:rsidP="00282608">
      <w:pPr>
        <w:snapToGrid w:val="0"/>
        <w:ind w:leftChars="100" w:left="240"/>
        <w:jc w:val="center"/>
        <w:rPr>
          <w:rFonts w:ascii="Book Antiqua" w:hAnsi="Book Antiqua"/>
        </w:rPr>
      </w:pPr>
      <w:r w:rsidRPr="006D4EDA">
        <w:rPr>
          <w:rFonts w:ascii="Book Antiqua" w:hAnsi="Book Antiqua"/>
          <w:noProof/>
        </w:rPr>
        <w:drawing>
          <wp:inline distT="0" distB="0" distL="0" distR="0" wp14:anchorId="1A6BE7D7" wp14:editId="38A9E0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682D30" w14:textId="77777777" w:rsidR="00282608" w:rsidRPr="006D4EDA" w:rsidRDefault="00282608" w:rsidP="00282608">
      <w:pPr>
        <w:snapToGrid w:val="0"/>
        <w:ind w:leftChars="100" w:left="240"/>
        <w:jc w:val="center"/>
        <w:rPr>
          <w:rFonts w:ascii="Book Antiqua" w:hAnsi="Book Antiqua"/>
        </w:rPr>
      </w:pPr>
    </w:p>
    <w:p w14:paraId="039A5824" w14:textId="77777777" w:rsidR="00282608" w:rsidRPr="006D4EDA" w:rsidRDefault="00282608" w:rsidP="002826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3341E6A" w14:textId="77777777" w:rsidR="00282608" w:rsidRPr="006D4EDA" w:rsidRDefault="00282608" w:rsidP="002826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17FB156" w14:textId="77777777" w:rsidR="00282608" w:rsidRPr="006D4EDA" w:rsidRDefault="00282608" w:rsidP="002826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AC2E823" w14:textId="77777777" w:rsidR="00282608" w:rsidRPr="006D4EDA" w:rsidRDefault="00282608" w:rsidP="002826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25073E2" w14:textId="77777777" w:rsidR="00282608" w:rsidRPr="006D4EDA" w:rsidRDefault="00282608" w:rsidP="002826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37A97E4" w14:textId="77777777" w:rsidR="00282608" w:rsidRPr="006D4EDA" w:rsidRDefault="00282608" w:rsidP="0028260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121EA28" w14:textId="77777777" w:rsidR="00282608" w:rsidRPr="006D4EDA" w:rsidRDefault="00282608" w:rsidP="00282608">
      <w:pPr>
        <w:snapToGrid w:val="0"/>
        <w:ind w:leftChars="100" w:left="240"/>
        <w:jc w:val="center"/>
        <w:rPr>
          <w:rFonts w:ascii="Book Antiqua" w:hAnsi="Book Antiqua"/>
        </w:rPr>
      </w:pPr>
    </w:p>
    <w:p w14:paraId="4D20E2C3" w14:textId="77777777" w:rsidR="00282608" w:rsidRPr="006D4EDA" w:rsidRDefault="00282608" w:rsidP="00282608">
      <w:pPr>
        <w:snapToGrid w:val="0"/>
        <w:ind w:leftChars="100" w:left="240"/>
        <w:jc w:val="center"/>
        <w:rPr>
          <w:rFonts w:ascii="Book Antiqua" w:hAnsi="Book Antiqua"/>
        </w:rPr>
      </w:pPr>
    </w:p>
    <w:p w14:paraId="01A831B4" w14:textId="77777777" w:rsidR="00282608" w:rsidRPr="006D4EDA" w:rsidRDefault="00282608" w:rsidP="00282608">
      <w:pPr>
        <w:snapToGrid w:val="0"/>
        <w:ind w:leftChars="100" w:left="240"/>
        <w:jc w:val="center"/>
        <w:rPr>
          <w:rFonts w:ascii="Book Antiqua" w:hAnsi="Book Antiqua"/>
        </w:rPr>
      </w:pPr>
    </w:p>
    <w:p w14:paraId="2C877838" w14:textId="77777777" w:rsidR="00282608" w:rsidRPr="006D4EDA" w:rsidRDefault="00282608" w:rsidP="00282608">
      <w:pPr>
        <w:snapToGrid w:val="0"/>
        <w:ind w:leftChars="100" w:left="240"/>
        <w:jc w:val="center"/>
        <w:rPr>
          <w:rFonts w:ascii="Book Antiqua" w:hAnsi="Book Antiqua"/>
        </w:rPr>
      </w:pPr>
      <w:r w:rsidRPr="006D4EDA">
        <w:rPr>
          <w:rFonts w:ascii="Book Antiqua" w:hAnsi="Book Antiqua"/>
          <w:noProof/>
        </w:rPr>
        <w:drawing>
          <wp:inline distT="0" distB="0" distL="0" distR="0" wp14:anchorId="680F92FC" wp14:editId="3886CE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1BCE2A" w14:textId="77777777" w:rsidR="00282608" w:rsidRPr="006D4EDA" w:rsidRDefault="00282608" w:rsidP="00282608">
      <w:pPr>
        <w:snapToGrid w:val="0"/>
        <w:ind w:leftChars="100" w:left="240"/>
        <w:jc w:val="center"/>
        <w:rPr>
          <w:rFonts w:ascii="Book Antiqua" w:hAnsi="Book Antiqua"/>
        </w:rPr>
      </w:pPr>
    </w:p>
    <w:p w14:paraId="19C11417" w14:textId="77777777" w:rsidR="00282608" w:rsidRPr="006D4EDA" w:rsidRDefault="00282608" w:rsidP="00282608">
      <w:pPr>
        <w:snapToGrid w:val="0"/>
        <w:ind w:leftChars="100" w:left="240"/>
        <w:jc w:val="center"/>
        <w:rPr>
          <w:rFonts w:ascii="Book Antiqua" w:hAnsi="Book Antiqua"/>
        </w:rPr>
      </w:pPr>
    </w:p>
    <w:p w14:paraId="1F2C64AA" w14:textId="77777777" w:rsidR="00282608" w:rsidRPr="006D4EDA" w:rsidRDefault="00282608" w:rsidP="00282608">
      <w:pPr>
        <w:snapToGrid w:val="0"/>
        <w:ind w:leftChars="100" w:left="240"/>
        <w:jc w:val="center"/>
        <w:rPr>
          <w:rFonts w:ascii="Book Antiqua" w:hAnsi="Book Antiqua"/>
        </w:rPr>
      </w:pPr>
    </w:p>
    <w:p w14:paraId="051E8AFA" w14:textId="77777777" w:rsidR="00282608" w:rsidRPr="006D4EDA" w:rsidRDefault="00282608" w:rsidP="00282608">
      <w:pPr>
        <w:snapToGrid w:val="0"/>
        <w:ind w:leftChars="100" w:left="240"/>
        <w:jc w:val="center"/>
        <w:rPr>
          <w:rFonts w:ascii="Book Antiqua" w:hAnsi="Book Antiqua"/>
        </w:rPr>
      </w:pPr>
    </w:p>
    <w:p w14:paraId="7FC65BA7" w14:textId="77777777" w:rsidR="00282608" w:rsidRPr="006D4EDA" w:rsidRDefault="00282608" w:rsidP="00282608">
      <w:pPr>
        <w:snapToGrid w:val="0"/>
        <w:ind w:leftChars="100" w:left="240"/>
        <w:jc w:val="center"/>
        <w:rPr>
          <w:rFonts w:ascii="Book Antiqua" w:hAnsi="Book Antiqua"/>
        </w:rPr>
      </w:pPr>
    </w:p>
    <w:p w14:paraId="77B716C4" w14:textId="77777777" w:rsidR="00282608" w:rsidRPr="006D4EDA" w:rsidRDefault="00282608" w:rsidP="00282608">
      <w:pPr>
        <w:snapToGrid w:val="0"/>
        <w:ind w:leftChars="100" w:left="240"/>
        <w:jc w:val="center"/>
        <w:rPr>
          <w:rFonts w:ascii="Book Antiqua" w:hAnsi="Book Antiqua"/>
        </w:rPr>
      </w:pPr>
    </w:p>
    <w:p w14:paraId="45F15C35" w14:textId="77777777" w:rsidR="00282608" w:rsidRPr="006D4EDA" w:rsidRDefault="00282608" w:rsidP="00282608">
      <w:pPr>
        <w:snapToGrid w:val="0"/>
        <w:ind w:leftChars="100" w:left="240"/>
        <w:jc w:val="center"/>
        <w:rPr>
          <w:rFonts w:ascii="Book Antiqua" w:hAnsi="Book Antiqua"/>
        </w:rPr>
      </w:pPr>
    </w:p>
    <w:p w14:paraId="576B3299" w14:textId="77777777" w:rsidR="00282608" w:rsidRPr="006D4EDA" w:rsidRDefault="00282608" w:rsidP="00282608">
      <w:pPr>
        <w:snapToGrid w:val="0"/>
        <w:ind w:leftChars="100" w:left="240"/>
        <w:jc w:val="center"/>
        <w:rPr>
          <w:rFonts w:ascii="Book Antiqua" w:hAnsi="Book Antiqua"/>
        </w:rPr>
      </w:pPr>
    </w:p>
    <w:p w14:paraId="4680ED26" w14:textId="77777777" w:rsidR="00282608" w:rsidRPr="006D4EDA" w:rsidRDefault="00282608" w:rsidP="00282608">
      <w:pPr>
        <w:snapToGrid w:val="0"/>
        <w:ind w:leftChars="100" w:left="240"/>
        <w:jc w:val="center"/>
        <w:rPr>
          <w:rFonts w:ascii="Book Antiqua" w:hAnsi="Book Antiqua"/>
        </w:rPr>
      </w:pPr>
    </w:p>
    <w:p w14:paraId="5B16B547" w14:textId="77777777" w:rsidR="00282608" w:rsidRPr="006D4EDA" w:rsidRDefault="00282608" w:rsidP="00282608">
      <w:pPr>
        <w:snapToGrid w:val="0"/>
        <w:ind w:leftChars="100" w:left="240"/>
        <w:jc w:val="right"/>
        <w:rPr>
          <w:rFonts w:ascii="Book Antiqua" w:hAnsi="Book Antiqua"/>
          <w:color w:val="000000" w:themeColor="text1"/>
        </w:rPr>
      </w:pPr>
    </w:p>
    <w:p w14:paraId="113542E8" w14:textId="77777777" w:rsidR="00282608" w:rsidRPr="006D4EDA" w:rsidRDefault="00282608" w:rsidP="0028260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3547727" w14:textId="77777777" w:rsidR="00282608" w:rsidRPr="006D4EDA" w:rsidRDefault="00282608" w:rsidP="00282608">
      <w:pPr>
        <w:rPr>
          <w:rFonts w:ascii="Book Antiqua" w:hAnsi="Book Antiqua" w:cs="Book Antiqua"/>
          <w:b/>
          <w:bCs/>
          <w:color w:val="000000"/>
        </w:rPr>
      </w:pPr>
    </w:p>
    <w:p w14:paraId="2FA859A5" w14:textId="77777777" w:rsidR="00064BE2" w:rsidRPr="00282608" w:rsidRDefault="00064BE2">
      <w:pPr>
        <w:spacing w:line="360" w:lineRule="auto"/>
        <w:jc w:val="both"/>
        <w:rPr>
          <w:rFonts w:ascii="Book Antiqua" w:eastAsia="宋体" w:hAnsi="Book Antiqua" w:cs="Book Antiqua"/>
          <w:color w:val="000000"/>
          <w:lang w:eastAsia="zh-CN"/>
        </w:rPr>
      </w:pPr>
    </w:p>
    <w:sectPr w:rsidR="00064BE2" w:rsidRPr="00282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29E0" w14:textId="77777777" w:rsidR="00AA67D4" w:rsidRDefault="00AA67D4">
      <w:r>
        <w:separator/>
      </w:r>
    </w:p>
  </w:endnote>
  <w:endnote w:type="continuationSeparator" w:id="0">
    <w:p w14:paraId="180B41E9" w14:textId="77777777" w:rsidR="00AA67D4" w:rsidRDefault="00AA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28968"/>
    </w:sdtPr>
    <w:sdtContent>
      <w:sdt>
        <w:sdtPr>
          <w:id w:val="-1769616900"/>
        </w:sdtPr>
        <w:sdtContent>
          <w:p w14:paraId="42F225DC" w14:textId="77777777" w:rsidR="00064BE2"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EA34395" w14:textId="77777777" w:rsidR="00064BE2" w:rsidRDefault="00064B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1EF9" w14:textId="77777777" w:rsidR="00AA67D4" w:rsidRDefault="00AA67D4">
      <w:r>
        <w:separator/>
      </w:r>
    </w:p>
  </w:footnote>
  <w:footnote w:type="continuationSeparator" w:id="0">
    <w:p w14:paraId="5E52EC48" w14:textId="77777777" w:rsidR="00AA67D4" w:rsidRDefault="00AA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84E38"/>
    <w:multiLevelType w:val="singleLevel"/>
    <w:tmpl w:val="64384E38"/>
    <w:lvl w:ilvl="0">
      <w:start w:val="3"/>
      <w:numFmt w:val="upperLetter"/>
      <w:suff w:val="nothing"/>
      <w:lvlText w:val="%1-"/>
      <w:lvlJc w:val="left"/>
    </w:lvl>
  </w:abstractNum>
  <w:num w:numId="1" w16cid:durableId="52895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798E"/>
    <w:rsid w:val="00064BE2"/>
    <w:rsid w:val="00097842"/>
    <w:rsid w:val="001070FE"/>
    <w:rsid w:val="0014393B"/>
    <w:rsid w:val="001D4CF7"/>
    <w:rsid w:val="001F12F3"/>
    <w:rsid w:val="0025765B"/>
    <w:rsid w:val="00282608"/>
    <w:rsid w:val="00291B18"/>
    <w:rsid w:val="003611C0"/>
    <w:rsid w:val="003958D1"/>
    <w:rsid w:val="0040231B"/>
    <w:rsid w:val="00465D14"/>
    <w:rsid w:val="0056202A"/>
    <w:rsid w:val="005A324D"/>
    <w:rsid w:val="00656D03"/>
    <w:rsid w:val="00660C19"/>
    <w:rsid w:val="006B7380"/>
    <w:rsid w:val="006C7AA3"/>
    <w:rsid w:val="007414D7"/>
    <w:rsid w:val="00776944"/>
    <w:rsid w:val="007838CC"/>
    <w:rsid w:val="00784DFD"/>
    <w:rsid w:val="007A7F69"/>
    <w:rsid w:val="007B22FB"/>
    <w:rsid w:val="007F43E7"/>
    <w:rsid w:val="00855597"/>
    <w:rsid w:val="008813B1"/>
    <w:rsid w:val="008D2C0C"/>
    <w:rsid w:val="00993C2B"/>
    <w:rsid w:val="009B7718"/>
    <w:rsid w:val="009D09F3"/>
    <w:rsid w:val="009F43B2"/>
    <w:rsid w:val="00A452E8"/>
    <w:rsid w:val="00A77B3E"/>
    <w:rsid w:val="00AA67D4"/>
    <w:rsid w:val="00AB37CA"/>
    <w:rsid w:val="00B16365"/>
    <w:rsid w:val="00BA276F"/>
    <w:rsid w:val="00C91101"/>
    <w:rsid w:val="00CA2A55"/>
    <w:rsid w:val="00CD0185"/>
    <w:rsid w:val="00D04CE1"/>
    <w:rsid w:val="00D1490A"/>
    <w:rsid w:val="00D40AA2"/>
    <w:rsid w:val="00D52DA0"/>
    <w:rsid w:val="00D5306B"/>
    <w:rsid w:val="00D85F22"/>
    <w:rsid w:val="00D87BF0"/>
    <w:rsid w:val="00DE5C84"/>
    <w:rsid w:val="00DF08A9"/>
    <w:rsid w:val="00E03138"/>
    <w:rsid w:val="00ED2185"/>
    <w:rsid w:val="00F669FB"/>
    <w:rsid w:val="0330158A"/>
    <w:rsid w:val="06197485"/>
    <w:rsid w:val="06326292"/>
    <w:rsid w:val="0AAB6DA4"/>
    <w:rsid w:val="0C2F7893"/>
    <w:rsid w:val="15E51F3A"/>
    <w:rsid w:val="182E1B9F"/>
    <w:rsid w:val="226216B7"/>
    <w:rsid w:val="282A76E8"/>
    <w:rsid w:val="2F9D5E93"/>
    <w:rsid w:val="35FA5B07"/>
    <w:rsid w:val="4567238D"/>
    <w:rsid w:val="465B715B"/>
    <w:rsid w:val="5277423B"/>
    <w:rsid w:val="5431683A"/>
    <w:rsid w:val="61637614"/>
    <w:rsid w:val="6A964F04"/>
    <w:rsid w:val="6CBA7E13"/>
    <w:rsid w:val="6FB63773"/>
    <w:rsid w:val="78E27344"/>
    <w:rsid w:val="7F6237FF"/>
    <w:rsid w:val="7FF4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385F4"/>
  <w15:docId w15:val="{DE0D2507-53BC-4BDE-8379-2BD32AF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Emphasis"/>
    <w:basedOn w:val="a0"/>
    <w:uiPriority w:val="20"/>
    <w:qFormat/>
    <w:rPr>
      <w:i/>
      <w:iCs/>
    </w:rPr>
  </w:style>
  <w:style w:type="character" w:styleId="ac">
    <w:name w:val="Hyperlink"/>
    <w:basedOn w:val="a0"/>
    <w:qFormat/>
    <w:rPr>
      <w:color w:val="0000FF" w:themeColor="hyperlink"/>
      <w:u w:val="single"/>
    </w:rPr>
  </w:style>
  <w:style w:type="character" w:styleId="ad">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eastAsia="Times New Roman"/>
      <w:sz w:val="24"/>
      <w:szCs w:val="24"/>
      <w:lang w:eastAsia="en-US"/>
    </w:rPr>
  </w:style>
  <w:style w:type="paragraph" w:styleId="ae">
    <w:name w:val="Revision"/>
    <w:hidden/>
    <w:uiPriority w:val="99"/>
    <w:semiHidden/>
    <w:rsid w:val="007769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haiy@xjt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6065</Words>
  <Characters>34577</Characters>
  <Application>Microsoft Office Word</Application>
  <DocSecurity>0</DocSecurity>
  <Lines>288</Lines>
  <Paragraphs>81</Paragraphs>
  <ScaleCrop>false</ScaleCrop>
  <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17</cp:revision>
  <dcterms:created xsi:type="dcterms:W3CDTF">2023-01-30T09:26:00Z</dcterms:created>
  <dcterms:modified xsi:type="dcterms:W3CDTF">2023-05-06T02:43:00Z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FA09C0413B4C4DBC9090E03F0C658C3D</vt:lpwstr>
  </property>
</Properties>
</file>