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Surgery</w:t>
      </w:r>
      <w:bookmarkStart w:id="0" w:name="_GoBack"/>
      <w:bookmarkEnd w:id="0"/>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80050</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color w:val="000000"/>
        </w:rPr>
        <w:t xml:space="preserve">Prognostic </w:t>
      </w:r>
      <w:r>
        <w:rPr>
          <w:rFonts w:hint="eastAsia" w:ascii="Book Antiqua" w:hAnsi="Book Antiqua" w:cs="Book Antiqua"/>
          <w:b/>
          <w:color w:val="000000"/>
          <w:lang w:eastAsia="zh-CN"/>
        </w:rPr>
        <w:t>v</w:t>
      </w:r>
      <w:r>
        <w:rPr>
          <w:rFonts w:ascii="Book Antiqua" w:hAnsi="Book Antiqua" w:eastAsia="Book Antiqua" w:cs="Book Antiqua"/>
          <w:b/>
          <w:color w:val="000000"/>
        </w:rPr>
        <w:t xml:space="preserve">alue of </w:t>
      </w:r>
      <w:r>
        <w:rPr>
          <w:rFonts w:hint="eastAsia" w:ascii="Book Antiqua" w:hAnsi="Book Antiqua" w:cs="Book Antiqua"/>
          <w:b/>
          <w:color w:val="000000"/>
          <w:lang w:eastAsia="zh-CN"/>
        </w:rPr>
        <w:t>p</w:t>
      </w:r>
      <w:r>
        <w:rPr>
          <w:rFonts w:ascii="Book Antiqua" w:hAnsi="Book Antiqua" w:eastAsia="Book Antiqua" w:cs="Book Antiqua"/>
          <w:b/>
          <w:color w:val="000000"/>
        </w:rPr>
        <w:t xml:space="preserve">reoperative </w:t>
      </w:r>
      <w:r>
        <w:rPr>
          <w:rFonts w:hint="eastAsia" w:ascii="Book Antiqua" w:hAnsi="Book Antiqua" w:cs="Book Antiqua"/>
          <w:b/>
          <w:color w:val="000000"/>
          <w:lang w:eastAsia="zh-CN"/>
        </w:rPr>
        <w:t>i</w:t>
      </w:r>
      <w:r>
        <w:rPr>
          <w:rFonts w:ascii="Book Antiqua" w:hAnsi="Book Antiqua" w:eastAsia="Book Antiqua" w:cs="Book Antiqua"/>
          <w:b/>
          <w:color w:val="000000"/>
        </w:rPr>
        <w:t>mmune-</w:t>
      </w:r>
      <w:r>
        <w:rPr>
          <w:rFonts w:hint="eastAsia" w:ascii="Book Antiqua" w:hAnsi="Book Antiqua" w:cs="Book Antiqua"/>
          <w:b/>
          <w:color w:val="000000"/>
          <w:lang w:eastAsia="zh-CN"/>
        </w:rPr>
        <w:t>n</w:t>
      </w:r>
      <w:r>
        <w:rPr>
          <w:rFonts w:ascii="Book Antiqua" w:hAnsi="Book Antiqua" w:eastAsia="Book Antiqua" w:cs="Book Antiqua"/>
          <w:b/>
          <w:color w:val="000000"/>
        </w:rPr>
        <w:t xml:space="preserve">utritional </w:t>
      </w:r>
      <w:r>
        <w:rPr>
          <w:rFonts w:hint="eastAsia" w:ascii="Book Antiqua" w:hAnsi="Book Antiqua" w:cs="Book Antiqua"/>
          <w:b/>
          <w:color w:val="000000"/>
          <w:lang w:eastAsia="zh-CN"/>
        </w:rPr>
        <w:t>s</w:t>
      </w:r>
      <w:r>
        <w:rPr>
          <w:rFonts w:ascii="Book Antiqua" w:hAnsi="Book Antiqua" w:eastAsia="Book Antiqua" w:cs="Book Antiqua"/>
          <w:b/>
          <w:color w:val="000000"/>
        </w:rPr>
        <w:t>cor</w:t>
      </w:r>
      <w:r>
        <w:rPr>
          <w:rFonts w:hint="eastAsia" w:ascii="Book Antiqua" w:hAnsi="Book Antiqua" w:eastAsia="宋体" w:cs="Book Antiqua"/>
          <w:b/>
          <w:color w:val="000000"/>
          <w:lang w:val="en-US" w:eastAsia="zh-CN"/>
        </w:rPr>
        <w:t>ing</w:t>
      </w:r>
      <w:r>
        <w:rPr>
          <w:rFonts w:ascii="Book Antiqua" w:hAnsi="Book Antiqua" w:eastAsia="Book Antiqua" w:cs="Book Antiqua"/>
          <w:b/>
          <w:color w:val="000000"/>
        </w:rPr>
        <w:t xml:space="preserve"> </w:t>
      </w:r>
      <w:r>
        <w:rPr>
          <w:rFonts w:hint="eastAsia" w:ascii="Book Antiqua" w:hAnsi="Book Antiqua" w:cs="Book Antiqua"/>
          <w:b/>
          <w:color w:val="000000"/>
          <w:lang w:eastAsia="zh-CN"/>
        </w:rPr>
        <w:t>s</w:t>
      </w:r>
      <w:r>
        <w:rPr>
          <w:rFonts w:ascii="Book Antiqua" w:hAnsi="Book Antiqua" w:eastAsia="Book Antiqua" w:cs="Book Antiqua"/>
          <w:b/>
          <w:color w:val="000000"/>
        </w:rPr>
        <w:t xml:space="preserve">ystems in </w:t>
      </w:r>
      <w:r>
        <w:rPr>
          <w:rFonts w:hint="eastAsia" w:ascii="Book Antiqua" w:hAnsi="Book Antiqua" w:cs="Book Antiqua"/>
          <w:b/>
          <w:color w:val="000000"/>
          <w:lang w:eastAsia="zh-CN"/>
        </w:rPr>
        <w:t>r</w:t>
      </w:r>
      <w:r>
        <w:rPr>
          <w:rFonts w:ascii="Book Antiqua" w:hAnsi="Book Antiqua" w:eastAsia="Book Antiqua" w:cs="Book Antiqua"/>
          <w:b/>
          <w:color w:val="000000"/>
        </w:rPr>
        <w:t xml:space="preserve">emnant </w:t>
      </w:r>
      <w:r>
        <w:rPr>
          <w:rFonts w:hint="eastAsia" w:ascii="Book Antiqua" w:hAnsi="Book Antiqua" w:cs="Book Antiqua"/>
          <w:b/>
          <w:color w:val="000000"/>
          <w:lang w:eastAsia="zh-CN"/>
        </w:rPr>
        <w:t>g</w:t>
      </w:r>
      <w:r>
        <w:rPr>
          <w:rFonts w:ascii="Book Antiqua" w:hAnsi="Book Antiqua" w:eastAsia="Book Antiqua" w:cs="Book Antiqua"/>
          <w:b/>
          <w:color w:val="000000"/>
        </w:rPr>
        <w:t xml:space="preserve">astric </w:t>
      </w:r>
      <w:r>
        <w:rPr>
          <w:rFonts w:hint="eastAsia" w:ascii="Book Antiqua" w:hAnsi="Book Antiqua" w:cs="Book Antiqua"/>
          <w:b/>
          <w:color w:val="000000"/>
          <w:lang w:eastAsia="zh-CN"/>
        </w:rPr>
        <w:t>c</w:t>
      </w:r>
      <w:r>
        <w:rPr>
          <w:rFonts w:ascii="Book Antiqua" w:hAnsi="Book Antiqua" w:eastAsia="Book Antiqua" w:cs="Book Antiqua"/>
          <w:b/>
          <w:color w:val="000000"/>
        </w:rPr>
        <w:t xml:space="preserve">ancer </w:t>
      </w:r>
      <w:r>
        <w:rPr>
          <w:rFonts w:hint="eastAsia" w:ascii="Book Antiqua" w:hAnsi="Book Antiqua" w:cs="Book Antiqua"/>
          <w:b/>
          <w:color w:val="000000"/>
          <w:lang w:eastAsia="zh-CN"/>
        </w:rPr>
        <w:t>p</w:t>
      </w:r>
      <w:r>
        <w:rPr>
          <w:rFonts w:ascii="Book Antiqua" w:hAnsi="Book Antiqua" w:eastAsia="Book Antiqua" w:cs="Book Antiqua"/>
          <w:b/>
          <w:color w:val="000000"/>
        </w:rPr>
        <w:t xml:space="preserve">atients </w:t>
      </w:r>
      <w:r>
        <w:rPr>
          <w:rFonts w:hint="eastAsia" w:ascii="Book Antiqua" w:hAnsi="Book Antiqua" w:cs="Book Antiqua"/>
          <w:b/>
          <w:color w:val="000000"/>
          <w:lang w:eastAsia="zh-CN"/>
        </w:rPr>
        <w:t>u</w:t>
      </w:r>
      <w:r>
        <w:rPr>
          <w:rFonts w:ascii="Book Antiqua" w:hAnsi="Book Antiqua" w:eastAsia="Book Antiqua" w:cs="Book Antiqua"/>
          <w:b/>
          <w:color w:val="000000"/>
        </w:rPr>
        <w:t xml:space="preserve">ndergoing </w:t>
      </w:r>
      <w:r>
        <w:rPr>
          <w:rFonts w:hint="eastAsia" w:ascii="Book Antiqua" w:hAnsi="Book Antiqua" w:cs="Book Antiqua"/>
          <w:b/>
          <w:color w:val="000000"/>
          <w:lang w:eastAsia="zh-CN"/>
        </w:rPr>
        <w:t>s</w:t>
      </w:r>
      <w:r>
        <w:rPr>
          <w:rFonts w:ascii="Book Antiqua" w:hAnsi="Book Antiqua" w:eastAsia="Book Antiqua" w:cs="Book Antiqua"/>
          <w:b/>
          <w:color w:val="000000"/>
        </w:rPr>
        <w:t>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Zhang </w:t>
      </w:r>
      <w:r>
        <w:rPr>
          <w:rFonts w:hint="eastAsia" w:ascii="Book Antiqua" w:hAnsi="Book Antiqua" w:cs="Book Antiqua"/>
          <w:color w:val="000000"/>
          <w:lang w:eastAsia="zh-CN"/>
        </w:rPr>
        <w:t xml:space="preserve">Y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Immune-</w:t>
      </w:r>
      <w:r>
        <w:rPr>
          <w:rFonts w:hint="eastAsia" w:ascii="Book Antiqua" w:hAnsi="Book Antiqua" w:cs="Book Antiqua"/>
          <w:color w:val="000000"/>
          <w:lang w:eastAsia="zh-CN"/>
        </w:rPr>
        <w:t>n</w:t>
      </w:r>
      <w:r>
        <w:rPr>
          <w:rFonts w:ascii="Book Antiqua" w:hAnsi="Book Antiqua" w:eastAsia="Book Antiqua" w:cs="Book Antiqua"/>
          <w:color w:val="000000"/>
        </w:rPr>
        <w:t xml:space="preserve">utritional </w:t>
      </w:r>
      <w:r>
        <w:rPr>
          <w:rFonts w:hint="eastAsia" w:ascii="Book Antiqua" w:hAnsi="Book Antiqua" w:cs="Book Antiqua"/>
          <w:color w:val="000000"/>
          <w:lang w:eastAsia="zh-CN"/>
        </w:rPr>
        <w:t>s</w:t>
      </w:r>
      <w:r>
        <w:rPr>
          <w:rFonts w:ascii="Book Antiqua" w:hAnsi="Book Antiqua" w:eastAsia="Book Antiqua" w:cs="Book Antiqua"/>
          <w:color w:val="000000"/>
        </w:rPr>
        <w:t>ystems in RGC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Yan Zhang, Lin</w:t>
      </w:r>
      <w:r>
        <w:rPr>
          <w:rFonts w:hint="eastAsia" w:ascii="Book Antiqua" w:hAnsi="Book Antiqua" w:cs="Book Antiqua"/>
          <w:color w:val="000000"/>
          <w:lang w:eastAsia="zh-CN"/>
        </w:rPr>
        <w:t>-J</w:t>
      </w:r>
      <w:r>
        <w:rPr>
          <w:rFonts w:ascii="Book Antiqua" w:hAnsi="Book Antiqua" w:eastAsia="Book Antiqua" w:cs="Book Antiqua"/>
          <w:color w:val="000000"/>
        </w:rPr>
        <w:t>un Wang, Qin</w:t>
      </w:r>
      <w:r>
        <w:rPr>
          <w:rFonts w:hint="eastAsia" w:ascii="Book Antiqua" w:hAnsi="Book Antiqua" w:cs="Book Antiqua"/>
          <w:color w:val="000000"/>
          <w:lang w:eastAsia="zh-CN"/>
        </w:rPr>
        <w:t>-Y</w:t>
      </w:r>
      <w:r>
        <w:rPr>
          <w:rFonts w:ascii="Book Antiqua" w:hAnsi="Book Antiqua" w:eastAsia="Book Antiqua" w:cs="Book Antiqua"/>
          <w:color w:val="000000"/>
        </w:rPr>
        <w:t>a Li, Zhen Yuan, Dian</w:t>
      </w:r>
      <w:r>
        <w:rPr>
          <w:rFonts w:hint="eastAsia" w:ascii="Book Antiqua" w:hAnsi="Book Antiqua" w:cs="Book Antiqua"/>
          <w:color w:val="000000"/>
          <w:lang w:eastAsia="zh-CN"/>
        </w:rPr>
        <w:t>-C</w:t>
      </w:r>
      <w:r>
        <w:rPr>
          <w:rFonts w:ascii="Book Antiqua" w:hAnsi="Book Antiqua" w:eastAsia="Book Antiqua" w:cs="Book Antiqua"/>
          <w:color w:val="000000"/>
        </w:rPr>
        <w:t>ai Zhang, Hao Xu, Li Yang, Xin</w:t>
      </w:r>
      <w:r>
        <w:rPr>
          <w:rFonts w:hint="eastAsia" w:ascii="Book Antiqua" w:hAnsi="Book Antiqua" w:cs="Book Antiqua"/>
          <w:color w:val="000000"/>
          <w:lang w:eastAsia="zh-CN"/>
        </w:rPr>
        <w:t>-H</w:t>
      </w:r>
      <w:r>
        <w:rPr>
          <w:rFonts w:ascii="Book Antiqua" w:hAnsi="Book Antiqua" w:eastAsia="Book Antiqua" w:cs="Book Antiqua"/>
          <w:color w:val="000000"/>
        </w:rPr>
        <w:t>ua Gu, Ze</w:t>
      </w:r>
      <w:r>
        <w:rPr>
          <w:rFonts w:hint="eastAsia" w:ascii="Book Antiqua" w:hAnsi="Book Antiqua" w:cs="Book Antiqua"/>
          <w:color w:val="000000"/>
          <w:lang w:eastAsia="zh-CN"/>
        </w:rPr>
        <w:t>-K</w:t>
      </w:r>
      <w:r>
        <w:rPr>
          <w:rFonts w:ascii="Book Antiqua" w:hAnsi="Book Antiqua" w:eastAsia="Book Antiqua" w:cs="Book Antiqua"/>
          <w:color w:val="000000"/>
        </w:rPr>
        <w:t>uan Xu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Yan Zhang, Zhen Yuan, Xin</w:t>
      </w:r>
      <w:r>
        <w:rPr>
          <w:rFonts w:hint="eastAsia" w:ascii="Book Antiqua" w:hAnsi="Book Antiqua" w:cs="Book Antiqua"/>
          <w:b/>
          <w:bCs/>
          <w:color w:val="000000"/>
          <w:lang w:eastAsia="zh-CN"/>
        </w:rPr>
        <w:t>-H</w:t>
      </w:r>
      <w:r>
        <w:rPr>
          <w:rFonts w:ascii="Book Antiqua" w:hAnsi="Book Antiqua" w:eastAsia="Book Antiqua" w:cs="Book Antiqua"/>
          <w:b/>
          <w:bCs/>
          <w:color w:val="000000"/>
        </w:rPr>
        <w:t xml:space="preserve">ua Gu, </w:t>
      </w:r>
      <w:r>
        <w:rPr>
          <w:rFonts w:ascii="Book Antiqua" w:hAnsi="Book Antiqua" w:eastAsia="Book Antiqua" w:cs="Book Antiqua"/>
          <w:color w:val="000000"/>
        </w:rPr>
        <w:t xml:space="preserve">Department of Gastrointestinal Surgery, Suzhou Municipal Hospital, Affiliated Suzhou Hospital of Nanjing Medical University, Gusu </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chool of Nanjing Medical University, Suzhou 215000, </w:t>
      </w:r>
      <w:r>
        <w:rPr>
          <w:rFonts w:hint="eastAsia" w:ascii="Book Antiqua" w:hAnsi="Book Antiqua" w:cs="Book Antiqua"/>
          <w:color w:val="000000"/>
          <w:lang w:eastAsia="zh-CN"/>
        </w:rPr>
        <w:t xml:space="preserve">Jiangsu Province, </w:t>
      </w:r>
      <w:r>
        <w:rPr>
          <w:rFonts w:ascii="Book Antiqua" w:hAnsi="Book Antiqua" w:eastAsia="Book Antiqua" w:cs="Book Antiqua"/>
          <w:color w:val="000000"/>
        </w:rPr>
        <w:t>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Lin</w:t>
      </w:r>
      <w:r>
        <w:rPr>
          <w:rFonts w:hint="eastAsia" w:ascii="Book Antiqua" w:hAnsi="Book Antiqua" w:cs="Book Antiqua"/>
          <w:b/>
          <w:bCs/>
          <w:color w:val="000000"/>
          <w:lang w:eastAsia="zh-CN"/>
        </w:rPr>
        <w:t>-J</w:t>
      </w:r>
      <w:r>
        <w:rPr>
          <w:rFonts w:ascii="Book Antiqua" w:hAnsi="Book Antiqua" w:eastAsia="Book Antiqua" w:cs="Book Antiqua"/>
          <w:b/>
          <w:bCs/>
          <w:color w:val="000000"/>
        </w:rPr>
        <w:t>un Wang, Qin</w:t>
      </w:r>
      <w:r>
        <w:rPr>
          <w:rFonts w:hint="eastAsia" w:ascii="Book Antiqua" w:hAnsi="Book Antiqua" w:cs="Book Antiqua"/>
          <w:b/>
          <w:bCs/>
          <w:color w:val="000000"/>
          <w:lang w:eastAsia="zh-CN"/>
        </w:rPr>
        <w:t>-Y</w:t>
      </w:r>
      <w:r>
        <w:rPr>
          <w:rFonts w:ascii="Book Antiqua" w:hAnsi="Book Antiqua" w:eastAsia="Book Antiqua" w:cs="Book Antiqua"/>
          <w:b/>
          <w:bCs/>
          <w:color w:val="000000"/>
        </w:rPr>
        <w:t>a Li, Dian</w:t>
      </w:r>
      <w:r>
        <w:rPr>
          <w:rFonts w:hint="eastAsia" w:ascii="Book Antiqua" w:hAnsi="Book Antiqua" w:cs="Book Antiqua"/>
          <w:b/>
          <w:bCs/>
          <w:color w:val="000000"/>
          <w:lang w:eastAsia="zh-CN"/>
        </w:rPr>
        <w:t>-C</w:t>
      </w:r>
      <w:r>
        <w:rPr>
          <w:rFonts w:ascii="Book Antiqua" w:hAnsi="Book Antiqua" w:eastAsia="Book Antiqua" w:cs="Book Antiqua"/>
          <w:b/>
          <w:bCs/>
          <w:color w:val="000000"/>
        </w:rPr>
        <w:t>ai Zhang, Hao Xu, Li Yang, Ze</w:t>
      </w:r>
      <w:r>
        <w:rPr>
          <w:rFonts w:hint="eastAsia" w:ascii="Book Antiqua" w:hAnsi="Book Antiqua" w:cs="Book Antiqua"/>
          <w:b/>
          <w:bCs/>
          <w:color w:val="000000"/>
          <w:lang w:eastAsia="zh-CN"/>
        </w:rPr>
        <w:t>-K</w:t>
      </w:r>
      <w:r>
        <w:rPr>
          <w:rFonts w:ascii="Book Antiqua" w:hAnsi="Book Antiqua" w:eastAsia="Book Antiqua" w:cs="Book Antiqua"/>
          <w:b/>
          <w:bCs/>
          <w:color w:val="000000"/>
        </w:rPr>
        <w:t xml:space="preserve">uan Xu, </w:t>
      </w:r>
      <w:r>
        <w:rPr>
          <w:rFonts w:ascii="Book Antiqua" w:hAnsi="Book Antiqua" w:eastAsia="Book Antiqua" w:cs="Book Antiqua"/>
          <w:color w:val="000000"/>
        </w:rPr>
        <w:t xml:space="preserve">Department of General Surgery, Jiangsu Province Hospital, First Affiliated Hospital of Nanjing Medical University, Nanjing 210003, </w:t>
      </w:r>
      <w:r>
        <w:rPr>
          <w:rFonts w:hint="eastAsia" w:ascii="Book Antiqua" w:hAnsi="Book Antiqua" w:cs="Book Antiqua"/>
          <w:color w:val="000000"/>
          <w:lang w:eastAsia="zh-CN"/>
        </w:rPr>
        <w:t xml:space="preserve">Jiangsu Province, </w:t>
      </w:r>
      <w:r>
        <w:rPr>
          <w:rFonts w:ascii="Book Antiqua" w:hAnsi="Book Antiqua" w:eastAsia="Book Antiqua" w:cs="Book Antiqua"/>
          <w:color w:val="000000"/>
        </w:rPr>
        <w:t>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Zhang Y</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Wang LJ</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Xu ZK contributed equally to this work; Gu XH and Xu ZK designed the research study; Zhang Y and Wang LJ performed the research; Li QY contributed analytic tools; Yuan Z, Zhang DC, Xu H</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Yang L analyzed the data and wrote the manuscript; </w:t>
      </w:r>
      <w:r>
        <w:rPr>
          <w:rFonts w:hint="eastAsia" w:ascii="Book Antiqua" w:hAnsi="Book Antiqua" w:eastAsia="宋体" w:cs="Book Antiqua"/>
          <w:color w:val="000000"/>
          <w:lang w:val="en-US" w:eastAsia="zh-CN"/>
        </w:rPr>
        <w:t>a</w:t>
      </w:r>
      <w:r>
        <w:rPr>
          <w:rFonts w:ascii="Book Antiqua" w:hAnsi="Book Antiqua" w:eastAsia="Book Antiqua" w:cs="Book Antiqua"/>
          <w:color w:val="000000"/>
        </w:rPr>
        <w:t>ll authors have read and approve</w:t>
      </w:r>
      <w:r>
        <w:rPr>
          <w:rFonts w:hint="eastAsia" w:ascii="Book Antiqua" w:hAnsi="Book Antiqua" w:eastAsia="宋体" w:cs="Book Antiqua"/>
          <w:color w:val="000000"/>
          <w:lang w:val="en-US" w:eastAsia="zh-CN"/>
        </w:rPr>
        <w:t>d</w:t>
      </w:r>
      <w:r>
        <w:rPr>
          <w:rFonts w:ascii="Book Antiqua" w:hAnsi="Book Antiqua" w:eastAsia="Book Antiqua" w:cs="Book Antiqua"/>
          <w:color w:val="000000"/>
        </w:rPr>
        <w:t xml:space="preserve">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Style w:val="8"/>
          <w:rFonts w:ascii="Book Antiqua" w:hAnsi="Book Antiqua"/>
        </w:rPr>
        <w:t>National Natural Science Foundation of China</w:t>
      </w:r>
      <w:r>
        <w:rPr>
          <w:rStyle w:val="8"/>
          <w:rFonts w:hint="eastAsia" w:ascii="Book Antiqua" w:hAnsi="Book Antiqua"/>
          <w:lang w:eastAsia="zh-CN"/>
        </w:rPr>
        <w:t xml:space="preserve">, No. </w:t>
      </w:r>
      <w:r>
        <w:rPr>
          <w:rStyle w:val="8"/>
          <w:rFonts w:ascii="Book Antiqua" w:hAnsi="Book Antiqua"/>
        </w:rPr>
        <w:t>81871946</w:t>
      </w:r>
      <w:r>
        <w:rPr>
          <w:rStyle w:val="8"/>
          <w:rFonts w:hint="eastAsia" w:ascii="Book Antiqua" w:hAnsi="Book Antiqua"/>
          <w:lang w:val="en-US" w:eastAsia="zh-CN"/>
        </w:rPr>
        <w:t xml:space="preserve"> </w:t>
      </w:r>
      <w:r>
        <w:rPr>
          <w:rStyle w:val="8"/>
          <w:rFonts w:hint="eastAsia" w:ascii="Book Antiqua" w:hAnsi="Book Antiqua"/>
          <w:lang w:eastAsia="zh-CN"/>
        </w:rPr>
        <w:t xml:space="preserve">and No. </w:t>
      </w:r>
      <w:r>
        <w:rPr>
          <w:rStyle w:val="8"/>
          <w:rFonts w:ascii="Book Antiqua" w:hAnsi="Book Antiqua"/>
        </w:rPr>
        <w:t>82072708; Suzhou Medical Key Discipline</w:t>
      </w:r>
      <w:r>
        <w:rPr>
          <w:rStyle w:val="8"/>
          <w:rFonts w:hint="eastAsia" w:ascii="Book Antiqua" w:hAnsi="Book Antiqua"/>
          <w:lang w:eastAsia="zh-CN"/>
        </w:rPr>
        <w:t xml:space="preserve">, No. </w:t>
      </w:r>
      <w:r>
        <w:rPr>
          <w:rStyle w:val="8"/>
          <w:rFonts w:ascii="Book Antiqua" w:hAnsi="Book Antiqua"/>
        </w:rPr>
        <w:t>SZXK202109; Suzhou Clinical Key Diseases Project</w:t>
      </w:r>
      <w:r>
        <w:rPr>
          <w:rStyle w:val="8"/>
          <w:rFonts w:hint="eastAsia" w:ascii="Book Antiqua" w:hAnsi="Book Antiqua"/>
          <w:lang w:eastAsia="zh-CN"/>
        </w:rPr>
        <w:t xml:space="preserve">, No. </w:t>
      </w:r>
      <w:r>
        <w:rPr>
          <w:rStyle w:val="8"/>
          <w:rFonts w:ascii="Book Antiqua" w:hAnsi="Book Antiqua"/>
        </w:rPr>
        <w:t xml:space="preserve">LCZX202111; Project of Gusu </w:t>
      </w:r>
      <w:r>
        <w:rPr>
          <w:rStyle w:val="8"/>
          <w:rFonts w:hint="eastAsia" w:ascii="Book Antiqua" w:hAnsi="Book Antiqua"/>
          <w:lang w:val="en-US" w:eastAsia="zh-CN"/>
        </w:rPr>
        <w:t>School</w:t>
      </w:r>
      <w:r>
        <w:rPr>
          <w:rStyle w:val="8"/>
          <w:rFonts w:ascii="Book Antiqua" w:hAnsi="Book Antiqua"/>
        </w:rPr>
        <w:t xml:space="preserve"> of Nanjing Medical University</w:t>
      </w:r>
      <w:r>
        <w:rPr>
          <w:rStyle w:val="8"/>
          <w:rFonts w:hint="eastAsia" w:ascii="Book Antiqua" w:hAnsi="Book Antiqua"/>
          <w:lang w:eastAsia="zh-CN"/>
        </w:rPr>
        <w:t xml:space="preserve">, No. </w:t>
      </w:r>
      <w:r>
        <w:rPr>
          <w:rStyle w:val="8"/>
          <w:rFonts w:ascii="Book Antiqua" w:hAnsi="Book Antiqua"/>
        </w:rPr>
        <w:t>GSKY20210233.</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Corresponding author: Xin</w:t>
      </w:r>
      <w:r>
        <w:rPr>
          <w:rFonts w:hint="eastAsia" w:ascii="Book Antiqua" w:hAnsi="Book Antiqua" w:cs="Book Antiqua"/>
          <w:b/>
          <w:bCs/>
          <w:color w:val="000000"/>
          <w:lang w:eastAsia="zh-CN"/>
        </w:rPr>
        <w:t>-H</w:t>
      </w:r>
      <w:r>
        <w:rPr>
          <w:rFonts w:ascii="Book Antiqua" w:hAnsi="Book Antiqua" w:eastAsia="Book Antiqua" w:cs="Book Antiqua"/>
          <w:b/>
          <w:bCs/>
          <w:color w:val="000000"/>
        </w:rPr>
        <w:t xml:space="preserve">ua Gu, Doctor, </w:t>
      </w:r>
      <w:r>
        <w:rPr>
          <w:rFonts w:ascii="Book Antiqua" w:hAnsi="Book Antiqua" w:eastAsia="Book Antiqua" w:cs="Book Antiqua"/>
          <w:color w:val="000000"/>
        </w:rPr>
        <w:t>Department of Gastrointestinal Surgery, Suzhou Municipal Hospital, Affiliated Suzhou Hospital of Nanjing Medical University, G</w:t>
      </w:r>
      <w:r>
        <w:rPr>
          <w:rFonts w:hint="eastAsia" w:ascii="Book Antiqua" w:hAnsi="Book Antiqua" w:eastAsia="Book Antiqua" w:cs="Book Antiqua"/>
          <w:color w:val="000000"/>
        </w:rPr>
        <w:t>usu</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S</w:t>
      </w:r>
      <w:r>
        <w:rPr>
          <w:rFonts w:hint="eastAsia" w:ascii="Book Antiqua" w:hAnsi="Book Antiqua" w:eastAsia="Book Antiqua" w:cs="Book Antiqua"/>
          <w:color w:val="000000"/>
        </w:rPr>
        <w:t>chool</w:t>
      </w:r>
      <w:r>
        <w:rPr>
          <w:rFonts w:ascii="Book Antiqua" w:hAnsi="Book Antiqua" w:eastAsia="Book Antiqua" w:cs="Book Antiqua"/>
          <w:color w:val="000000"/>
        </w:rPr>
        <w:t xml:space="preserve"> </w:t>
      </w:r>
      <w:r>
        <w:rPr>
          <w:rFonts w:hint="eastAsia" w:ascii="Book Antiqua" w:hAnsi="Book Antiqua" w:eastAsia="Book Antiqua" w:cs="Book Antiqua"/>
          <w:color w:val="000000"/>
        </w:rPr>
        <w:t>of</w:t>
      </w:r>
      <w:r>
        <w:rPr>
          <w:rFonts w:ascii="Book Antiqua" w:hAnsi="Book Antiqua" w:eastAsia="Book Antiqua" w:cs="Book Antiqua"/>
          <w:color w:val="000000"/>
        </w:rPr>
        <w:t xml:space="preserve"> N</w:t>
      </w:r>
      <w:r>
        <w:rPr>
          <w:rFonts w:hint="eastAsia" w:ascii="Book Antiqua" w:hAnsi="Book Antiqua" w:eastAsia="Book Antiqua" w:cs="Book Antiqua"/>
          <w:color w:val="000000"/>
        </w:rPr>
        <w:t>anjing</w:t>
      </w:r>
      <w:r>
        <w:rPr>
          <w:rFonts w:ascii="Book Antiqua" w:hAnsi="Book Antiqua" w:eastAsia="Book Antiqua" w:cs="Book Antiqua"/>
          <w:color w:val="000000"/>
        </w:rPr>
        <w:t xml:space="preserve"> M</w:t>
      </w:r>
      <w:r>
        <w:rPr>
          <w:rFonts w:hint="eastAsia" w:ascii="Book Antiqua" w:hAnsi="Book Antiqua" w:eastAsia="Book Antiqua" w:cs="Book Antiqua"/>
          <w:color w:val="000000"/>
        </w:rPr>
        <w:t>edical</w:t>
      </w:r>
      <w:r>
        <w:rPr>
          <w:rFonts w:ascii="Book Antiqua" w:hAnsi="Book Antiqua" w:eastAsia="Book Antiqua" w:cs="Book Antiqua"/>
          <w:color w:val="000000"/>
        </w:rPr>
        <w:t xml:space="preserve"> U</w:t>
      </w:r>
      <w:r>
        <w:rPr>
          <w:rFonts w:hint="eastAsia" w:ascii="Book Antiqua" w:hAnsi="Book Antiqua" w:eastAsia="Book Antiqua" w:cs="Book Antiqua"/>
          <w:color w:val="000000"/>
        </w:rPr>
        <w:t>niversity,</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No. </w:t>
      </w:r>
      <w:r>
        <w:rPr>
          <w:rFonts w:ascii="Book Antiqua" w:hAnsi="Book Antiqua" w:eastAsia="Book Antiqua" w:cs="Book Antiqua"/>
          <w:color w:val="000000"/>
        </w:rPr>
        <w:t>26</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Daoqianjie, Gusu District, Suzhou 215000, </w:t>
      </w:r>
      <w:r>
        <w:rPr>
          <w:rFonts w:hint="eastAsia" w:ascii="Book Antiqua" w:hAnsi="Book Antiqua" w:cs="Book Antiqua"/>
          <w:color w:val="000000"/>
          <w:lang w:eastAsia="zh-CN"/>
        </w:rPr>
        <w:t xml:space="preserve">Jiangsu Province, </w:t>
      </w:r>
      <w:r>
        <w:rPr>
          <w:rFonts w:ascii="Book Antiqua" w:hAnsi="Book Antiqua" w:eastAsia="Book Antiqua" w:cs="Book Antiqua"/>
          <w:color w:val="000000"/>
        </w:rPr>
        <w:t>China. 1173421755@qq.com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September 15,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rPr>
        <w:t>December 14,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lang w:eastAsia="zh-CN"/>
        </w:rPr>
        <w:t>December 31,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Remnant gastric cancer (GC) is defined as GC that occurs five years or more after gastrectomy. Systematically evaluating the preoperative immune and nutritional status of patients and analyzing its prognostic impact on postoperative </w:t>
      </w:r>
      <w:r>
        <w:rPr>
          <w:rFonts w:hint="eastAsia" w:ascii="Book Antiqua" w:hAnsi="Book Antiqua" w:cs="Book Antiqua"/>
          <w:color w:val="000000"/>
          <w:lang w:eastAsia="zh-CN"/>
        </w:rPr>
        <w:t>r</w:t>
      </w:r>
      <w:r>
        <w:rPr>
          <w:rFonts w:ascii="Book Antiqua" w:hAnsi="Book Antiqua" w:eastAsia="Book Antiqua" w:cs="Book Antiqua"/>
          <w:color w:val="000000"/>
        </w:rPr>
        <w:t xml:space="preserve">emnant gastric cancer </w:t>
      </w:r>
      <w:r>
        <w:rPr>
          <w:rFonts w:hint="eastAsia" w:ascii="Book Antiqua" w:hAnsi="Book Antiqua" w:cs="Book Antiqua"/>
          <w:color w:val="000000"/>
          <w:lang w:eastAsia="zh-CN"/>
        </w:rPr>
        <w:t>(</w:t>
      </w:r>
      <w:r>
        <w:rPr>
          <w:rFonts w:ascii="Book Antiqua" w:hAnsi="Book Antiqua" w:eastAsia="Book Antiqua" w:cs="Book Antiqua"/>
          <w:color w:val="000000"/>
        </w:rPr>
        <w:t>RGC</w:t>
      </w:r>
      <w:r>
        <w:rPr>
          <w:rFonts w:hint="eastAsia" w:ascii="Book Antiqua" w:hAnsi="Book Antiqua" w:cs="Book Antiqua"/>
          <w:color w:val="000000"/>
          <w:lang w:eastAsia="zh-CN"/>
        </w:rPr>
        <w:t>)</w:t>
      </w:r>
      <w:r>
        <w:rPr>
          <w:rFonts w:ascii="Book Antiqua" w:hAnsi="Book Antiqua" w:eastAsia="Book Antiqua" w:cs="Book Antiqua"/>
          <w:color w:val="000000"/>
        </w:rPr>
        <w:t xml:space="preserve"> patients </w:t>
      </w:r>
      <w:r>
        <w:rPr>
          <w:rFonts w:hint="eastAsia" w:ascii="Book Antiqua" w:hAnsi="Book Antiqua" w:eastAsia="宋体" w:cs="Book Antiqua"/>
          <w:color w:val="000000"/>
          <w:lang w:val="en-US" w:eastAsia="zh-CN"/>
        </w:rPr>
        <w:t>are</w:t>
      </w:r>
      <w:r>
        <w:rPr>
          <w:rFonts w:ascii="Book Antiqua" w:hAnsi="Book Antiqua" w:eastAsia="Book Antiqua" w:cs="Book Antiqua"/>
          <w:color w:val="000000"/>
        </w:rPr>
        <w:t xml:space="preserve"> crucial. A simple scoring system that combines multiple immune or nutritional indicators to identify nutritional or immune status before surgery is necessary.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 xml:space="preserve">To evaluate the </w:t>
      </w:r>
      <w:r>
        <w:rPr>
          <w:rFonts w:hint="eastAsia" w:ascii="Book Antiqua" w:hAnsi="Book Antiqua" w:eastAsia="宋体" w:cs="Book Antiqua"/>
          <w:color w:val="000000"/>
          <w:lang w:val="en-US" w:eastAsia="zh-CN"/>
        </w:rPr>
        <w:t>value</w:t>
      </w:r>
      <w:r>
        <w:rPr>
          <w:rFonts w:ascii="Book Antiqua" w:hAnsi="Book Antiqua" w:eastAsia="Book Antiqua" w:cs="Book Antiqua"/>
          <w:color w:val="000000"/>
        </w:rPr>
        <w:t xml:space="preserve"> of preoperative immune-nutritional scor</w:t>
      </w:r>
      <w:r>
        <w:rPr>
          <w:rFonts w:hint="eastAsia" w:ascii="Book Antiqua" w:hAnsi="Book Antiqua" w:eastAsia="宋体" w:cs="Book Antiqua"/>
          <w:color w:val="000000"/>
          <w:lang w:val="en-US" w:eastAsia="zh-CN"/>
        </w:rPr>
        <w:t>ing</w:t>
      </w:r>
      <w:r>
        <w:rPr>
          <w:rFonts w:ascii="Book Antiqua" w:hAnsi="Book Antiqua" w:eastAsia="Book Antiqua" w:cs="Book Antiqua"/>
          <w:color w:val="000000"/>
        </w:rPr>
        <w:t xml:space="preserve"> systems </w:t>
      </w:r>
      <w:r>
        <w:rPr>
          <w:rFonts w:hint="eastAsia" w:ascii="Book Antiqua" w:hAnsi="Book Antiqua" w:eastAsia="宋体" w:cs="Book Antiqua"/>
          <w:color w:val="000000"/>
          <w:lang w:val="en-US" w:eastAsia="zh-CN"/>
        </w:rPr>
        <w:t>i</w:t>
      </w:r>
      <w:r>
        <w:rPr>
          <w:rFonts w:ascii="Book Antiqua" w:hAnsi="Book Antiqua" w:eastAsia="Book Antiqua" w:cs="Book Antiqua"/>
          <w:color w:val="000000"/>
        </w:rPr>
        <w:t xml:space="preserve">n </w:t>
      </w:r>
      <w:r>
        <w:rPr>
          <w:rFonts w:hint="eastAsia" w:ascii="Book Antiqua" w:hAnsi="Book Antiqua" w:eastAsia="宋体" w:cs="Book Antiqua"/>
          <w:color w:val="000000"/>
          <w:lang w:val="en-US" w:eastAsia="zh-CN"/>
        </w:rPr>
        <w:t xml:space="preserve">predicting </w:t>
      </w:r>
      <w:r>
        <w:rPr>
          <w:rFonts w:ascii="Book Antiqua" w:hAnsi="Book Antiqua" w:eastAsia="Book Antiqua" w:cs="Book Antiqua"/>
          <w:color w:val="000000"/>
        </w:rPr>
        <w:t>the prognosis of patients with RGC.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The clinical data of 54 patients with RGC were collected and analyzed retrospectively. Prognostic nutritional index (PNI), controlled nutritional status (CONUT), and Naples prognostic score (NPS) were calculated by preoperative blood indicators, including absolute lymphocyte </w:t>
      </w:r>
      <w:r>
        <w:rPr>
          <w:rFonts w:hint="eastAsia" w:ascii="Book Antiqua" w:hAnsi="Book Antiqua" w:eastAsia="宋体" w:cs="Book Antiqua"/>
          <w:color w:val="000000"/>
          <w:lang w:val="en-US" w:eastAsia="zh-CN"/>
        </w:rPr>
        <w:t>count</w:t>
      </w:r>
      <w:r>
        <w:rPr>
          <w:rFonts w:ascii="Book Antiqua" w:hAnsi="Book Antiqua" w:eastAsia="Book Antiqua" w:cs="Book Antiqua"/>
          <w:color w:val="000000"/>
        </w:rPr>
        <w:t xml:space="preserve">, lymphocyte to monocyte ratio, neutrophil to lymphocyte ratio, serum albumin, and serum total cholesterol. Patients with RGC were divided into groups according to the immune-nutritional risk. The relationship between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three preoperative immune-nutritional scores and clinical characteristics was analyzed. Cox regression and Kaplan–Meier analysis was performed to analyze the difference in overall survival (OS) rate between various immune-nutritional score groups.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The median age of this cohort was 70.5 years (ranging from 39</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to 87 years). No significant correlation was found between most pathological features and immune-nutritional status (</w:t>
      </w:r>
      <w:r>
        <w:rPr>
          <w:rFonts w:hint="eastAsia" w:ascii="Book Antiqua" w:hAnsi="Book Antiqua" w:cs="Book Antiqua"/>
          <w:i/>
          <w:color w:val="000000"/>
          <w:lang w:eastAsia="zh-CN"/>
        </w:rPr>
        <w:t>P</w:t>
      </w:r>
      <w:r>
        <w:rPr>
          <w:rFonts w:ascii="Book Antiqua" w:hAnsi="Book Antiqua" w:eastAsia="Book Antiqua" w:cs="Book Antiqua"/>
          <w:color w:val="000000"/>
        </w:rPr>
        <w:t xml:space="preserve"> &gt; 0.05). Patients with </w:t>
      </w:r>
      <w:r>
        <w:rPr>
          <w:rFonts w:hint="eastAsia" w:ascii="Book Antiqua" w:hAnsi="Book Antiqua" w:eastAsia="宋体" w:cs="Book Antiqua"/>
          <w:color w:val="000000"/>
          <w:lang w:val="en-US" w:eastAsia="zh-CN"/>
        </w:rPr>
        <w:t xml:space="preserve">a </w:t>
      </w:r>
      <w:r>
        <w:rPr>
          <w:rFonts w:ascii="Book Antiqua" w:hAnsi="Book Antiqua" w:eastAsia="Book Antiqua" w:cs="Book Antiqua"/>
          <w:color w:val="000000"/>
        </w:rPr>
        <w:t>PNI score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45, CONUT score or NPS score ≥ 3 </w:t>
      </w:r>
      <w:r>
        <w:rPr>
          <w:rFonts w:hint="eastAsia" w:ascii="Book Antiqua" w:hAnsi="Book Antiqua" w:eastAsia="宋体" w:cs="Book Antiqua"/>
          <w:color w:val="000000"/>
          <w:lang w:val="en-US" w:eastAsia="zh-CN"/>
        </w:rPr>
        <w:t>were</w:t>
      </w:r>
      <w:r>
        <w:rPr>
          <w:rFonts w:ascii="Book Antiqua" w:hAnsi="Book Antiqua" w:eastAsia="Book Antiqua" w:cs="Book Antiqua"/>
          <w:color w:val="000000"/>
        </w:rPr>
        <w:t xml:space="preserve"> considered to be at high immune-nutritional risk. The area</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under</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the receiver operating characteristic curve</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of PNI, CONUT, and NPS systems for predicting postoperative survival were 0.611 </w:t>
      </w:r>
      <w:r>
        <w:rPr>
          <w:rFonts w:hint="eastAsia" w:ascii="Book Antiqua" w:hAnsi="Book Antiqua" w:cs="Book Antiqua"/>
          <w:color w:val="000000"/>
          <w:lang w:eastAsia="zh-CN"/>
        </w:rPr>
        <w:t>[</w:t>
      </w:r>
      <w:r>
        <w:rPr>
          <w:rFonts w:ascii="Book Antiqua" w:hAnsi="Book Antiqua" w:eastAsia="Book Antiqua" w:cs="Book Antiqua"/>
          <w:color w:val="000000"/>
        </w:rPr>
        <w:t xml:space="preserve">95% confidence interval </w:t>
      </w:r>
      <w:r>
        <w:rPr>
          <w:rFonts w:hint="eastAsia" w:ascii="Book Antiqua" w:hAnsi="Book Antiqua" w:cs="Book Antiqua"/>
          <w:color w:val="000000"/>
          <w:lang w:eastAsia="zh-CN"/>
        </w:rPr>
        <w:t>(</w:t>
      </w:r>
      <w:r>
        <w:rPr>
          <w:rFonts w:ascii="Book Antiqua" w:hAnsi="Book Antiqua" w:eastAsia="Book Antiqua" w:cs="Book Antiqua"/>
          <w:color w:val="000000"/>
        </w:rPr>
        <w:t>CI</w:t>
      </w:r>
      <w:r>
        <w:rPr>
          <w:rFonts w:hint="eastAsia" w:ascii="Book Antiqua" w:hAnsi="Book Antiqua" w:cs="Book Antiqua"/>
          <w:color w:val="000000"/>
          <w:lang w:eastAsia="zh-CN"/>
        </w:rPr>
        <w:t>):</w:t>
      </w:r>
      <w:r>
        <w:rPr>
          <w:rFonts w:ascii="Book Antiqua" w:hAnsi="Book Antiqua" w:eastAsia="Book Antiqua" w:cs="Book Antiqua"/>
          <w:color w:val="000000"/>
        </w:rPr>
        <w:t xml:space="preserve"> 0.460–0.763; </w:t>
      </w:r>
      <w:r>
        <w:rPr>
          <w:rFonts w:ascii="Book Antiqua" w:hAnsi="Book Antiqua" w:eastAsia="Book Antiqua" w:cs="Book Antiqua"/>
          <w:i/>
          <w:iCs/>
          <w:color w:val="000000"/>
        </w:rPr>
        <w:t>P</w:t>
      </w:r>
      <w:r>
        <w:rPr>
          <w:rFonts w:ascii="Book Antiqua" w:hAnsi="Book Antiqua" w:eastAsia="Book Antiqua" w:cs="Book Antiqua"/>
          <w:color w:val="000000"/>
        </w:rPr>
        <w:t xml:space="preserve"> = 0.161</w:t>
      </w:r>
      <w:r>
        <w:rPr>
          <w:rFonts w:hint="eastAsia" w:ascii="Book Antiqua" w:hAnsi="Book Antiqua" w:cs="Book Antiqua"/>
          <w:color w:val="000000"/>
          <w:lang w:eastAsia="zh-CN"/>
        </w:rPr>
        <w:t>]</w:t>
      </w:r>
      <w:r>
        <w:rPr>
          <w:rFonts w:ascii="Book Antiqua" w:hAnsi="Book Antiqua" w:eastAsia="Book Antiqua" w:cs="Book Antiqua"/>
          <w:color w:val="000000"/>
        </w:rPr>
        <w:t>, 0.635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0.485–0.784; </w:t>
      </w:r>
      <w:r>
        <w:rPr>
          <w:rFonts w:ascii="Book Antiqua" w:hAnsi="Book Antiqua" w:eastAsia="Book Antiqua" w:cs="Book Antiqua"/>
          <w:i/>
          <w:iCs/>
          <w:color w:val="000000"/>
        </w:rPr>
        <w:t>P</w:t>
      </w:r>
      <w:r>
        <w:rPr>
          <w:rFonts w:ascii="Book Antiqua" w:hAnsi="Book Antiqua" w:eastAsia="Book Antiqua" w:cs="Book Antiqua"/>
          <w:color w:val="000000"/>
        </w:rPr>
        <w:t xml:space="preserve"> = 0.090), and 0.707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0.566–0.848; </w:t>
      </w:r>
      <w:r>
        <w:rPr>
          <w:rFonts w:ascii="Book Antiqua" w:hAnsi="Book Antiqua" w:eastAsia="Book Antiqua" w:cs="Book Antiqua"/>
          <w:i/>
          <w:iCs/>
          <w:color w:val="000000"/>
        </w:rPr>
        <w:t>P</w:t>
      </w:r>
      <w:r>
        <w:rPr>
          <w:rFonts w:ascii="Book Antiqua" w:hAnsi="Book Antiqua" w:eastAsia="Book Antiqua" w:cs="Book Antiqua"/>
          <w:color w:val="000000"/>
        </w:rPr>
        <w:t xml:space="preserve"> = 0.009), respectively. Cox regression analysis showed that the three immune-nutritional scoring systems were significantly correlated with OS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PNI</w:t>
      </w:r>
      <w:r>
        <w:rPr>
          <w:rFonts w:hint="eastAsia" w:ascii="Book Antiqua" w:hAnsi="Book Antiqua" w:eastAsia="宋体" w:cs="Book Antiqua"/>
          <w:color w:val="000000"/>
          <w:lang w:val="en-US" w:eastAsia="zh-CN"/>
        </w:rPr>
        <w:t xml:space="preserve">: </w:t>
      </w:r>
      <w:r>
        <w:rPr>
          <w:rFonts w:ascii="Book Antiqua" w:hAnsi="Book Antiqua" w:eastAsia="Book Antiqua" w:cs="Book Antiqua"/>
          <w:i/>
          <w:iCs/>
          <w:color w:val="000000"/>
        </w:rPr>
        <w:t>P</w:t>
      </w:r>
      <w:r>
        <w:rPr>
          <w:rFonts w:ascii="Book Antiqua" w:hAnsi="Book Antiqua" w:eastAsia="Book Antiqua" w:cs="Book Antiqua"/>
          <w:color w:val="000000"/>
        </w:rPr>
        <w:t xml:space="preserve"> = 0.002</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CONUT</w:t>
      </w:r>
      <w:r>
        <w:rPr>
          <w:rFonts w:hint="eastAsia" w:ascii="Book Antiqua" w:hAnsi="Book Antiqua" w:eastAsia="宋体" w:cs="Book Antiqua"/>
          <w:color w:val="000000"/>
          <w:lang w:val="en-US" w:eastAsia="zh-CN"/>
        </w:rPr>
        <w:t xml:space="preserve">: </w:t>
      </w:r>
      <w:r>
        <w:rPr>
          <w:rFonts w:ascii="Book Antiqua" w:hAnsi="Book Antiqua" w:eastAsia="Book Antiqua" w:cs="Book Antiqua"/>
          <w:i/>
          <w:iCs/>
          <w:color w:val="000000"/>
        </w:rPr>
        <w:t>P</w:t>
      </w:r>
      <w:r>
        <w:rPr>
          <w:rFonts w:ascii="Book Antiqua" w:hAnsi="Book Antiqua" w:eastAsia="Book Antiqua" w:cs="Book Antiqua"/>
          <w:color w:val="000000"/>
        </w:rPr>
        <w:t xml:space="preserve"> = 0.039</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NPS</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w:t>
      </w:r>
      <w:r>
        <w:rPr>
          <w:rFonts w:hint="eastAsia" w:ascii="Book Antiqua" w:hAnsi="Book Antiqua" w:cs="Book Antiqua"/>
          <w:i/>
          <w:color w:val="000000"/>
          <w:lang w:eastAsia="zh-CN"/>
        </w:rPr>
        <w:t>P</w:t>
      </w:r>
      <w:r>
        <w:rPr>
          <w:rFonts w:ascii="Book Antiqua" w:hAnsi="Book Antiqua" w:eastAsia="Book Antiqua" w:cs="Book Antiqua"/>
          <w:color w:val="000000"/>
        </w:rPr>
        <w:t xml:space="preserve"> &lt; 0.001). Survival analysis revealed a significant difference in OS between different immune-nutritional groups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PNI</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75 mo </w:t>
      </w:r>
      <w:r>
        <w:rPr>
          <w:rFonts w:hint="eastAsia" w:ascii="Book Antiqua" w:hAnsi="Book Antiqua" w:eastAsia="宋体" w:cs="Book Antiqua"/>
          <w:i/>
          <w:iCs/>
          <w:color w:val="000000"/>
          <w:lang w:val="en-US" w:eastAsia="zh-CN"/>
        </w:rPr>
        <w:t>vs</w:t>
      </w:r>
      <w:r>
        <w:rPr>
          <w:rFonts w:ascii="Book Antiqua" w:hAnsi="Book Antiqua" w:eastAsia="Book Antiqua" w:cs="Book Antiqua"/>
          <w:color w:val="000000"/>
        </w:rPr>
        <w:t xml:space="preserve"> 42 mo,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CONUT</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69 mo</w:t>
      </w:r>
      <w:r>
        <w:rPr>
          <w:rFonts w:hint="eastAsia" w:ascii="Book Antiqua" w:hAnsi="Book Antiqua" w:eastAsia="宋体" w:cs="Book Antiqua"/>
          <w:color w:val="000000"/>
          <w:lang w:val="en-US" w:eastAsia="zh-CN"/>
        </w:rPr>
        <w:t xml:space="preserve"> </w:t>
      </w:r>
      <w:r>
        <w:rPr>
          <w:rFonts w:hint="eastAsia" w:ascii="Book Antiqua" w:hAnsi="Book Antiqua" w:eastAsia="宋体" w:cs="Book Antiqua"/>
          <w:i/>
          <w:iCs/>
          <w:color w:val="000000"/>
          <w:lang w:val="en-US" w:eastAsia="zh-CN"/>
        </w:rPr>
        <w:t>vs</w:t>
      </w:r>
      <w:r>
        <w:rPr>
          <w:rFonts w:ascii="Book Antiqua" w:hAnsi="Book Antiqua" w:eastAsia="Book Antiqua" w:cs="Book Antiqua"/>
          <w:color w:val="000000"/>
        </w:rPr>
        <w:t xml:space="preserve"> 48 mo, </w:t>
      </w:r>
      <w:r>
        <w:rPr>
          <w:rFonts w:ascii="Book Antiqua" w:hAnsi="Book Antiqua" w:eastAsia="Book Antiqua" w:cs="Book Antiqua"/>
          <w:i/>
          <w:iCs/>
          <w:color w:val="000000"/>
        </w:rPr>
        <w:t>P</w:t>
      </w:r>
      <w:r>
        <w:rPr>
          <w:rFonts w:ascii="Book Antiqua" w:hAnsi="Book Antiqua" w:eastAsia="Book Antiqua" w:cs="Book Antiqua"/>
          <w:color w:val="000000"/>
        </w:rPr>
        <w:t xml:space="preserve"> = 0.033; NPS</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77 mo</w:t>
      </w:r>
      <w:r>
        <w:rPr>
          <w:rFonts w:hint="eastAsia" w:ascii="Book Antiqua" w:hAnsi="Book Antiqua" w:eastAsia="宋体" w:cs="Book Antiqua"/>
          <w:color w:val="000000"/>
          <w:lang w:val="en-US" w:eastAsia="zh-CN"/>
        </w:rPr>
        <w:t xml:space="preserve"> </w:t>
      </w:r>
      <w:r>
        <w:rPr>
          <w:rFonts w:hint="eastAsia" w:ascii="Book Antiqua" w:hAnsi="Book Antiqua" w:eastAsia="宋体" w:cs="Book Antiqua"/>
          <w:i/>
          <w:iCs/>
          <w:color w:val="000000"/>
          <w:lang w:val="en-US" w:eastAsia="zh-CN"/>
        </w:rPr>
        <w:t>vs</w:t>
      </w:r>
      <w:r>
        <w:rPr>
          <w:rFonts w:ascii="Book Antiqua" w:hAnsi="Book Antiqua" w:eastAsia="Book Antiqua" w:cs="Book Antiqua"/>
          <w:color w:val="000000"/>
        </w:rPr>
        <w:t xml:space="preserve"> 40 mo</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w:t>
      </w:r>
      <w:r>
        <w:rPr>
          <w:rFonts w:ascii="Book Antiqua" w:hAnsi="Book Antiqua" w:eastAsia="Book Antiqua" w:cs="Book Antiqua"/>
          <w:i/>
          <w:color w:val="000000"/>
        </w:rPr>
        <w:t>P</w:t>
      </w:r>
      <w:r>
        <w:rPr>
          <w:rFonts w:ascii="Book Antiqua" w:hAnsi="Book Antiqua" w:eastAsia="Book Antiqua" w:cs="Book Antiqua"/>
          <w:color w:val="000000"/>
        </w:rPr>
        <w:t xml:space="preserve"> &lt; 0.001).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hint="eastAsia" w:ascii="Book Antiqua" w:hAnsi="Book Antiqua" w:eastAsia="宋体" w:cs="Book Antiqua"/>
          <w:color w:val="000000"/>
          <w:lang w:val="en-US" w:eastAsia="zh-CN"/>
        </w:rPr>
        <w:t>These p</w:t>
      </w:r>
      <w:r>
        <w:rPr>
          <w:rFonts w:ascii="Book Antiqua" w:hAnsi="Book Antiqua" w:eastAsia="Book Antiqua" w:cs="Book Antiqua"/>
          <w:color w:val="000000"/>
        </w:rPr>
        <w:t xml:space="preserve">reoperative immune-nutritional scores </w:t>
      </w:r>
      <w:r>
        <w:rPr>
          <w:rFonts w:hint="eastAsia" w:ascii="Book Antiqua" w:hAnsi="Book Antiqua" w:eastAsia="宋体" w:cs="Book Antiqua"/>
          <w:color w:val="000000"/>
          <w:lang w:val="en-US" w:eastAsia="zh-CN"/>
        </w:rPr>
        <w:t>are</w:t>
      </w:r>
      <w:r>
        <w:rPr>
          <w:rFonts w:ascii="Book Antiqua" w:hAnsi="Book Antiqua" w:eastAsia="Book Antiqua" w:cs="Book Antiqua"/>
          <w:color w:val="000000"/>
        </w:rPr>
        <w:t xml:space="preserve"> reliable multidimensional prognostic scoring system</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for predicting the prognosis of patients with RGC, in which the NPS system has relatively effective predictive performance.</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Remnant gastric cancer; Immune-nutritional score; Prognostic nutritional index; Controlled nutritional status; Naples prognostic score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Zhang Y, Wang L</w:t>
      </w:r>
      <w:r>
        <w:rPr>
          <w:rFonts w:hint="eastAsia" w:ascii="Book Antiqua" w:hAnsi="Book Antiqua" w:cs="Book Antiqua"/>
          <w:color w:val="000000"/>
          <w:lang w:eastAsia="zh-CN"/>
        </w:rPr>
        <w:t>J</w:t>
      </w:r>
      <w:r>
        <w:rPr>
          <w:rFonts w:ascii="Book Antiqua" w:hAnsi="Book Antiqua" w:eastAsia="Book Antiqua" w:cs="Book Antiqua"/>
          <w:color w:val="000000"/>
        </w:rPr>
        <w:t>, Li Q</w:t>
      </w:r>
      <w:r>
        <w:rPr>
          <w:rFonts w:hint="eastAsia" w:ascii="Book Antiqua" w:hAnsi="Book Antiqua" w:cs="Book Antiqua"/>
          <w:color w:val="000000"/>
          <w:lang w:eastAsia="zh-CN"/>
        </w:rPr>
        <w:t>Y</w:t>
      </w:r>
      <w:r>
        <w:rPr>
          <w:rFonts w:ascii="Book Antiqua" w:hAnsi="Book Antiqua" w:eastAsia="Book Antiqua" w:cs="Book Antiqua"/>
          <w:color w:val="000000"/>
        </w:rPr>
        <w:t>, Yuan Z, Zhang D</w:t>
      </w:r>
      <w:r>
        <w:rPr>
          <w:rFonts w:hint="eastAsia" w:ascii="Book Antiqua" w:hAnsi="Book Antiqua" w:cs="Book Antiqua"/>
          <w:color w:val="000000"/>
          <w:lang w:eastAsia="zh-CN"/>
        </w:rPr>
        <w:t>C</w:t>
      </w:r>
      <w:r>
        <w:rPr>
          <w:rFonts w:ascii="Book Antiqua" w:hAnsi="Book Antiqua" w:eastAsia="Book Antiqua" w:cs="Book Antiqua"/>
          <w:color w:val="000000"/>
        </w:rPr>
        <w:t>, Xu H, Yang L, Gu X</w:t>
      </w:r>
      <w:r>
        <w:rPr>
          <w:rFonts w:hint="eastAsia" w:ascii="Book Antiqua" w:hAnsi="Book Antiqua" w:cs="Book Antiqua"/>
          <w:color w:val="000000"/>
          <w:lang w:eastAsia="zh-CN"/>
        </w:rPr>
        <w:t>H</w:t>
      </w:r>
      <w:r>
        <w:rPr>
          <w:rFonts w:ascii="Book Antiqua" w:hAnsi="Book Antiqua" w:eastAsia="Book Antiqua" w:cs="Book Antiqua"/>
          <w:color w:val="000000"/>
        </w:rPr>
        <w:t>, Xu Z</w:t>
      </w:r>
      <w:r>
        <w:rPr>
          <w:rFonts w:hint="eastAsia" w:ascii="Book Antiqua" w:hAnsi="Book Antiqua" w:cs="Book Antiqua"/>
          <w:color w:val="000000"/>
          <w:lang w:eastAsia="zh-CN"/>
        </w:rPr>
        <w:t>K</w:t>
      </w:r>
      <w:r>
        <w:rPr>
          <w:rFonts w:ascii="Book Antiqua" w:hAnsi="Book Antiqua" w:eastAsia="Book Antiqua" w:cs="Book Antiqua"/>
          <w:color w:val="000000"/>
        </w:rPr>
        <w:t xml:space="preserve">. Prognostic </w:t>
      </w:r>
      <w:r>
        <w:rPr>
          <w:rFonts w:hint="eastAsia" w:ascii="Book Antiqua" w:hAnsi="Book Antiqua" w:cs="Book Antiqua"/>
          <w:color w:val="000000"/>
          <w:lang w:eastAsia="zh-CN"/>
        </w:rPr>
        <w:t>v</w:t>
      </w:r>
      <w:r>
        <w:rPr>
          <w:rFonts w:ascii="Book Antiqua" w:hAnsi="Book Antiqua" w:eastAsia="Book Antiqua" w:cs="Book Antiqua"/>
          <w:color w:val="000000"/>
        </w:rPr>
        <w:t xml:space="preserve">alue of </w:t>
      </w:r>
      <w:r>
        <w:rPr>
          <w:rFonts w:hint="eastAsia" w:ascii="Book Antiqua" w:hAnsi="Book Antiqua" w:cs="Book Antiqua"/>
          <w:color w:val="000000"/>
          <w:lang w:eastAsia="zh-CN"/>
        </w:rPr>
        <w:t>p</w:t>
      </w:r>
      <w:r>
        <w:rPr>
          <w:rFonts w:ascii="Book Antiqua" w:hAnsi="Book Antiqua" w:eastAsia="Book Antiqua" w:cs="Book Antiqua"/>
          <w:color w:val="000000"/>
        </w:rPr>
        <w:t xml:space="preserve">reoperative </w:t>
      </w:r>
      <w:r>
        <w:rPr>
          <w:rFonts w:hint="eastAsia" w:ascii="Book Antiqua" w:hAnsi="Book Antiqua" w:cs="Book Antiqua"/>
          <w:color w:val="000000"/>
          <w:lang w:eastAsia="zh-CN"/>
        </w:rPr>
        <w:t>i</w:t>
      </w:r>
      <w:r>
        <w:rPr>
          <w:rFonts w:ascii="Book Antiqua" w:hAnsi="Book Antiqua" w:eastAsia="Book Antiqua" w:cs="Book Antiqua"/>
          <w:color w:val="000000"/>
        </w:rPr>
        <w:t>mmune-</w:t>
      </w:r>
      <w:r>
        <w:rPr>
          <w:rFonts w:hint="eastAsia" w:ascii="Book Antiqua" w:hAnsi="Book Antiqua" w:cs="Book Antiqua"/>
          <w:color w:val="000000"/>
          <w:lang w:eastAsia="zh-CN"/>
        </w:rPr>
        <w:t>n</w:t>
      </w:r>
      <w:r>
        <w:rPr>
          <w:rFonts w:ascii="Book Antiqua" w:hAnsi="Book Antiqua" w:eastAsia="Book Antiqua" w:cs="Book Antiqua"/>
          <w:color w:val="000000"/>
        </w:rPr>
        <w:t xml:space="preserve">utritional </w:t>
      </w:r>
      <w:r>
        <w:rPr>
          <w:rFonts w:hint="eastAsia" w:ascii="Book Antiqua" w:hAnsi="Book Antiqua" w:cs="Book Antiqua"/>
          <w:color w:val="000000"/>
          <w:lang w:eastAsia="zh-CN"/>
        </w:rPr>
        <w:t>s</w:t>
      </w:r>
      <w:r>
        <w:rPr>
          <w:rFonts w:ascii="Book Antiqua" w:hAnsi="Book Antiqua" w:eastAsia="Book Antiqua" w:cs="Book Antiqua"/>
          <w:color w:val="000000"/>
        </w:rPr>
        <w:t>cor</w:t>
      </w:r>
      <w:r>
        <w:rPr>
          <w:rFonts w:hint="eastAsia" w:ascii="Book Antiqua" w:hAnsi="Book Antiqua" w:eastAsia="宋体" w:cs="Book Antiqua"/>
          <w:color w:val="000000"/>
          <w:lang w:val="en-US" w:eastAsia="zh-CN"/>
        </w:rPr>
        <w:t>ing</w:t>
      </w:r>
      <w:r>
        <w:rPr>
          <w:rFonts w:ascii="Book Antiqua" w:hAnsi="Book Antiqua" w:eastAsia="Book Antiqua" w:cs="Book Antiqua"/>
          <w:color w:val="000000"/>
        </w:rPr>
        <w:t xml:space="preserve"> </w:t>
      </w:r>
      <w:r>
        <w:rPr>
          <w:rFonts w:hint="eastAsia" w:ascii="Book Antiqua" w:hAnsi="Book Antiqua" w:cs="Book Antiqua"/>
          <w:color w:val="000000"/>
          <w:lang w:eastAsia="zh-CN"/>
        </w:rPr>
        <w:t>s</w:t>
      </w:r>
      <w:r>
        <w:rPr>
          <w:rFonts w:ascii="Book Antiqua" w:hAnsi="Book Antiqua" w:eastAsia="Book Antiqua" w:cs="Book Antiqua"/>
          <w:color w:val="000000"/>
        </w:rPr>
        <w:t xml:space="preserve">ystems in </w:t>
      </w:r>
      <w:r>
        <w:rPr>
          <w:rFonts w:hint="eastAsia" w:ascii="Book Antiqua" w:hAnsi="Book Antiqua" w:cs="Book Antiqua"/>
          <w:color w:val="000000"/>
          <w:lang w:eastAsia="zh-CN"/>
        </w:rPr>
        <w:t>r</w:t>
      </w:r>
      <w:r>
        <w:rPr>
          <w:rFonts w:ascii="Book Antiqua" w:hAnsi="Book Antiqua" w:eastAsia="Book Antiqua" w:cs="Book Antiqua"/>
          <w:color w:val="000000"/>
        </w:rPr>
        <w:t xml:space="preserve">emnant </w:t>
      </w:r>
      <w:r>
        <w:rPr>
          <w:rFonts w:hint="eastAsia" w:ascii="Book Antiqua" w:hAnsi="Book Antiqua" w:cs="Book Antiqua"/>
          <w:color w:val="000000"/>
          <w:lang w:eastAsia="zh-CN"/>
        </w:rPr>
        <w:t>g</w:t>
      </w:r>
      <w:r>
        <w:rPr>
          <w:rFonts w:ascii="Book Antiqua" w:hAnsi="Book Antiqua" w:eastAsia="Book Antiqua" w:cs="Book Antiqua"/>
          <w:color w:val="000000"/>
        </w:rPr>
        <w:t xml:space="preserve">astric </w:t>
      </w:r>
      <w:r>
        <w:rPr>
          <w:rFonts w:hint="eastAsia" w:ascii="Book Antiqua" w:hAnsi="Book Antiqua" w:cs="Book Antiqua"/>
          <w:color w:val="000000"/>
          <w:lang w:eastAsia="zh-CN"/>
        </w:rPr>
        <w:t>c</w:t>
      </w:r>
      <w:r>
        <w:rPr>
          <w:rFonts w:ascii="Book Antiqua" w:hAnsi="Book Antiqua" w:eastAsia="Book Antiqua" w:cs="Book Antiqua"/>
          <w:color w:val="000000"/>
        </w:rPr>
        <w:t xml:space="preserve">ancer </w:t>
      </w:r>
      <w:r>
        <w:rPr>
          <w:rFonts w:hint="eastAsia" w:ascii="Book Antiqua" w:hAnsi="Book Antiqua" w:cs="Book Antiqua"/>
          <w:color w:val="000000"/>
          <w:lang w:eastAsia="zh-CN"/>
        </w:rPr>
        <w:t>p</w:t>
      </w:r>
      <w:r>
        <w:rPr>
          <w:rFonts w:ascii="Book Antiqua" w:hAnsi="Book Antiqua" w:eastAsia="Book Antiqua" w:cs="Book Antiqua"/>
          <w:color w:val="000000"/>
        </w:rPr>
        <w:t xml:space="preserve">atients </w:t>
      </w:r>
      <w:r>
        <w:rPr>
          <w:rFonts w:hint="eastAsia" w:ascii="Book Antiqua" w:hAnsi="Book Antiqua" w:cs="Book Antiqua"/>
          <w:color w:val="000000"/>
          <w:lang w:eastAsia="zh-CN"/>
        </w:rPr>
        <w:t>u</w:t>
      </w:r>
      <w:r>
        <w:rPr>
          <w:rFonts w:ascii="Book Antiqua" w:hAnsi="Book Antiqua" w:eastAsia="Book Antiqua" w:cs="Book Antiqua"/>
          <w:color w:val="000000"/>
        </w:rPr>
        <w:t xml:space="preserve">ndergoing </w:t>
      </w:r>
      <w:r>
        <w:rPr>
          <w:rFonts w:hint="eastAsia" w:ascii="Book Antiqua" w:hAnsi="Book Antiqua" w:cs="Book Antiqua"/>
          <w:color w:val="000000"/>
          <w:lang w:eastAsia="zh-CN"/>
        </w:rPr>
        <w:t>s</w:t>
      </w:r>
      <w:r>
        <w:rPr>
          <w:rFonts w:ascii="Book Antiqua" w:hAnsi="Book Antiqua" w:eastAsia="Book Antiqua" w:cs="Book Antiqua"/>
          <w:color w:val="000000"/>
        </w:rPr>
        <w:t xml:space="preserve">urgery. </w:t>
      </w:r>
      <w:r>
        <w:rPr>
          <w:rFonts w:ascii="Book Antiqua" w:hAnsi="Book Antiqua" w:eastAsia="Book Antiqua" w:cs="Book Antiqua"/>
          <w:i/>
          <w:iCs/>
          <w:color w:val="000000"/>
        </w:rPr>
        <w:t>World J Gastrointest Surg</w:t>
      </w:r>
      <w:r>
        <w:rPr>
          <w:rFonts w:ascii="Book Antiqua" w:hAnsi="Book Antiqua" w:eastAsia="Book Antiqua" w:cs="Book Antiqua"/>
          <w:color w:val="000000"/>
        </w:rPr>
        <w:t xml:space="preserve"> 2022; In press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Three preoperative immune-nutritional scor</w:t>
      </w:r>
      <w:r>
        <w:rPr>
          <w:rFonts w:hint="eastAsia" w:ascii="Book Antiqua" w:hAnsi="Book Antiqua" w:eastAsia="宋体" w:cs="Book Antiqua"/>
          <w:color w:val="000000"/>
          <w:lang w:val="en-US" w:eastAsia="zh-CN"/>
        </w:rPr>
        <w:t>e</w:t>
      </w:r>
      <w:r>
        <w:rPr>
          <w:rFonts w:ascii="Book Antiqua" w:hAnsi="Book Antiqua" w:eastAsia="Book Antiqua" w:cs="Book Antiqua"/>
          <w:color w:val="000000"/>
        </w:rPr>
        <w:t xml:space="preserve">s of patients with remnant gastric cancer (RGC) were calculated, including </w:t>
      </w:r>
      <w:r>
        <w:rPr>
          <w:rFonts w:hint="eastAsia" w:ascii="Book Antiqua" w:hAnsi="Book Antiqua" w:eastAsia="宋体" w:cs="Book Antiqua"/>
          <w:color w:val="000000"/>
          <w:lang w:val="en-US" w:eastAsia="zh-CN"/>
        </w:rPr>
        <w:t>p</w:t>
      </w:r>
      <w:r>
        <w:rPr>
          <w:rFonts w:ascii="Book Antiqua" w:hAnsi="Book Antiqua" w:eastAsia="Book Antiqua" w:cs="Book Antiqua"/>
          <w:color w:val="000000"/>
        </w:rPr>
        <w:t>rognostic nutritional index (PNI), controlled nutritional status (CONUT), and Naples prognostic score (NPS). Patients were divided into groups according to the immune-nutritional risk. The three immune-nutritional scor</w:t>
      </w:r>
      <w:r>
        <w:rPr>
          <w:rFonts w:hint="eastAsia" w:ascii="Book Antiqua" w:hAnsi="Book Antiqua" w:eastAsia="宋体" w:cs="Book Antiqua"/>
          <w:color w:val="000000"/>
          <w:lang w:val="en-US" w:eastAsia="zh-CN"/>
        </w:rPr>
        <w:t>ing</w:t>
      </w:r>
      <w:r>
        <w:rPr>
          <w:rFonts w:hint="default" w:ascii="Book Antiqua" w:hAnsi="Book Antiqua" w:eastAsia="Book Antiqua" w:cs="Book Antiqua"/>
          <w:color w:val="000000"/>
          <w:lang w:val="en-US"/>
        </w:rPr>
        <w:t xml:space="preserve"> system</w:t>
      </w:r>
      <w:r>
        <w:rPr>
          <w:rFonts w:ascii="Book Antiqua" w:hAnsi="Book Antiqua" w:eastAsia="Book Antiqua" w:cs="Book Antiqua"/>
          <w:color w:val="000000"/>
        </w:rPr>
        <w:t>s were significantly correlated with overall survival (OS)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PNI</w:t>
      </w:r>
      <w:r>
        <w:rPr>
          <w:rFonts w:hint="eastAsia" w:ascii="Book Antiqua" w:hAnsi="Book Antiqua" w:eastAsia="宋体" w:cs="Book Antiqua"/>
          <w:color w:val="000000"/>
          <w:lang w:val="en-US" w:eastAsia="zh-CN"/>
        </w:rPr>
        <w:t xml:space="preserve">: </w:t>
      </w:r>
      <w:r>
        <w:rPr>
          <w:rFonts w:ascii="Book Antiqua" w:hAnsi="Book Antiqua" w:eastAsia="Book Antiqua" w:cs="Book Antiqua"/>
          <w:i/>
          <w:iCs/>
          <w:color w:val="000000"/>
        </w:rPr>
        <w:t>P</w:t>
      </w:r>
      <w:r>
        <w:rPr>
          <w:rFonts w:ascii="Book Antiqua" w:hAnsi="Book Antiqua" w:eastAsia="Book Antiqua" w:cs="Book Antiqua"/>
          <w:color w:val="000000"/>
        </w:rPr>
        <w:t xml:space="preserve"> = 0.002</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CONUT</w:t>
      </w:r>
      <w:r>
        <w:rPr>
          <w:rFonts w:hint="eastAsia" w:ascii="Book Antiqua" w:hAnsi="Book Antiqua" w:eastAsia="宋体" w:cs="Book Antiqua"/>
          <w:color w:val="000000"/>
          <w:lang w:val="en-US" w:eastAsia="zh-CN"/>
        </w:rPr>
        <w:t xml:space="preserve">: </w:t>
      </w:r>
      <w:r>
        <w:rPr>
          <w:rFonts w:ascii="Book Antiqua" w:hAnsi="Book Antiqua" w:eastAsia="Book Antiqua" w:cs="Book Antiqua"/>
          <w:i/>
          <w:iCs/>
          <w:color w:val="000000"/>
        </w:rPr>
        <w:t>P</w:t>
      </w:r>
      <w:r>
        <w:rPr>
          <w:rFonts w:ascii="Book Antiqua" w:hAnsi="Book Antiqua" w:eastAsia="Book Antiqua" w:cs="Book Antiqua"/>
          <w:color w:val="000000"/>
        </w:rPr>
        <w:t xml:space="preserve"> = 0.039</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NPS</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w:t>
      </w:r>
      <w:r>
        <w:rPr>
          <w:rFonts w:hint="eastAsia" w:ascii="Book Antiqua" w:hAnsi="Book Antiqua" w:cs="Book Antiqua"/>
          <w:i/>
          <w:color w:val="000000"/>
          <w:lang w:eastAsia="zh-CN"/>
        </w:rPr>
        <w:t>P</w:t>
      </w:r>
      <w:r>
        <w:rPr>
          <w:rFonts w:ascii="Book Antiqua" w:hAnsi="Book Antiqua" w:eastAsia="Book Antiqua" w:cs="Book Antiqua"/>
          <w:color w:val="000000"/>
        </w:rPr>
        <w:t xml:space="preserve"> &lt; 0.001). Survival analysis revealed a significant difference in OS between different immune-nutritional groups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PNI</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75 mo </w:t>
      </w:r>
      <w:r>
        <w:rPr>
          <w:rFonts w:hint="eastAsia" w:ascii="Book Antiqua" w:hAnsi="Book Antiqua" w:eastAsia="宋体" w:cs="Book Antiqua"/>
          <w:i/>
          <w:iCs/>
          <w:color w:val="000000"/>
          <w:lang w:val="en-US" w:eastAsia="zh-CN"/>
        </w:rPr>
        <w:t>vs</w:t>
      </w:r>
      <w:r>
        <w:rPr>
          <w:rFonts w:ascii="Book Antiqua" w:hAnsi="Book Antiqua" w:eastAsia="Book Antiqua" w:cs="Book Antiqua"/>
          <w:color w:val="000000"/>
        </w:rPr>
        <w:t xml:space="preserve"> 42 mo,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CONUT</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69 mo</w:t>
      </w:r>
      <w:r>
        <w:rPr>
          <w:rFonts w:hint="eastAsia" w:ascii="Book Antiqua" w:hAnsi="Book Antiqua" w:eastAsia="宋体" w:cs="Book Antiqua"/>
          <w:color w:val="000000"/>
          <w:lang w:val="en-US" w:eastAsia="zh-CN"/>
        </w:rPr>
        <w:t xml:space="preserve"> </w:t>
      </w:r>
      <w:r>
        <w:rPr>
          <w:rFonts w:hint="eastAsia" w:ascii="Book Antiqua" w:hAnsi="Book Antiqua" w:eastAsia="宋体" w:cs="Book Antiqua"/>
          <w:i/>
          <w:iCs/>
          <w:color w:val="000000"/>
          <w:lang w:val="en-US" w:eastAsia="zh-CN"/>
        </w:rPr>
        <w:t>vs</w:t>
      </w:r>
      <w:r>
        <w:rPr>
          <w:rFonts w:ascii="Book Antiqua" w:hAnsi="Book Antiqua" w:eastAsia="Book Antiqua" w:cs="Book Antiqua"/>
          <w:color w:val="000000"/>
        </w:rPr>
        <w:t xml:space="preserve"> 48 mo, </w:t>
      </w:r>
      <w:r>
        <w:rPr>
          <w:rFonts w:ascii="Book Antiqua" w:hAnsi="Book Antiqua" w:eastAsia="Book Antiqua" w:cs="Book Antiqua"/>
          <w:i/>
          <w:iCs/>
          <w:color w:val="000000"/>
        </w:rPr>
        <w:t>P</w:t>
      </w:r>
      <w:r>
        <w:rPr>
          <w:rFonts w:ascii="Book Antiqua" w:hAnsi="Book Antiqua" w:eastAsia="Book Antiqua" w:cs="Book Antiqua"/>
          <w:color w:val="000000"/>
        </w:rPr>
        <w:t xml:space="preserve"> = 0.033; NPS</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77 mo</w:t>
      </w:r>
      <w:r>
        <w:rPr>
          <w:rFonts w:hint="eastAsia" w:ascii="Book Antiqua" w:hAnsi="Book Antiqua" w:eastAsia="宋体" w:cs="Book Antiqua"/>
          <w:color w:val="000000"/>
          <w:lang w:val="en-US" w:eastAsia="zh-CN"/>
        </w:rPr>
        <w:t xml:space="preserve"> </w:t>
      </w:r>
      <w:r>
        <w:rPr>
          <w:rFonts w:hint="eastAsia" w:ascii="Book Antiqua" w:hAnsi="Book Antiqua" w:eastAsia="宋体" w:cs="Book Antiqua"/>
          <w:i/>
          <w:iCs/>
          <w:color w:val="000000"/>
          <w:lang w:val="en-US" w:eastAsia="zh-CN"/>
        </w:rPr>
        <w:t>vs</w:t>
      </w:r>
      <w:r>
        <w:rPr>
          <w:rFonts w:ascii="Book Antiqua" w:hAnsi="Book Antiqua" w:eastAsia="Book Antiqua" w:cs="Book Antiqua"/>
          <w:color w:val="000000"/>
        </w:rPr>
        <w:t xml:space="preserve"> 40 mo</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w:t>
      </w:r>
      <w:r>
        <w:rPr>
          <w:rFonts w:ascii="Book Antiqua" w:hAnsi="Book Antiqua" w:eastAsia="Book Antiqua" w:cs="Book Antiqua"/>
          <w:i/>
          <w:color w:val="000000"/>
        </w:rPr>
        <w:t>P</w:t>
      </w:r>
      <w:r>
        <w:rPr>
          <w:rFonts w:ascii="Book Antiqua" w:hAnsi="Book Antiqua" w:eastAsia="Book Antiqua" w:cs="Book Antiqua"/>
          <w:color w:val="000000"/>
        </w:rPr>
        <w:t xml:space="preserve"> &lt; 0.001). </w:t>
      </w:r>
      <w:r>
        <w:rPr>
          <w:rFonts w:hint="eastAsia" w:ascii="Book Antiqua" w:hAnsi="Book Antiqua" w:eastAsia="宋体" w:cs="Book Antiqua"/>
          <w:color w:val="000000"/>
          <w:lang w:val="en-US" w:eastAsia="zh-CN"/>
        </w:rPr>
        <w:t>These p</w:t>
      </w:r>
      <w:r>
        <w:rPr>
          <w:rFonts w:ascii="Book Antiqua" w:hAnsi="Book Antiqua" w:eastAsia="Book Antiqua" w:cs="Book Antiqua"/>
          <w:color w:val="000000"/>
        </w:rPr>
        <w:t>reoperative immune-nutritional score</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are</w:t>
      </w:r>
      <w:r>
        <w:rPr>
          <w:rFonts w:ascii="Book Antiqua" w:hAnsi="Book Antiqua" w:eastAsia="Book Antiqua" w:cs="Book Antiqua"/>
          <w:color w:val="000000"/>
        </w:rPr>
        <w:t xml:space="preserve"> reliable multidimensional RGC prognostic scoring system</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The incidence rate of gastric cancer (GC) ranks fifth</w:t>
      </w:r>
      <w:r>
        <w:rPr>
          <w:rFonts w:hint="eastAsia" w:ascii="Book Antiqua" w:hAnsi="Book Antiqua" w:eastAsia="宋体" w:cs="Book Antiqua"/>
          <w:color w:val="000000"/>
          <w:lang w:val="en-US" w:eastAsia="zh-CN"/>
        </w:rPr>
        <w:t xml:space="preserve"> among all malignancies</w:t>
      </w:r>
      <w:r>
        <w:rPr>
          <w:rFonts w:ascii="Book Antiqua" w:hAnsi="Book Antiqua" w:eastAsia="Book Antiqua" w:cs="Book Antiqua"/>
          <w:color w:val="000000"/>
        </w:rPr>
        <w:t>, with an annual incidence of more than one million people. Thus far, GC is still one of the diseases that seriously affect the health system</w:t>
      </w:r>
      <w:r>
        <w:rPr>
          <w:rFonts w:ascii="Book Antiqua" w:hAnsi="Book Antiqua" w:eastAsia="Book Antiqua" w:cs="Book Antiqua"/>
          <w:color w:val="000000"/>
          <w:vertAlign w:val="superscript"/>
        </w:rPr>
        <w:t>[1]</w:t>
      </w:r>
      <w:r>
        <w:rPr>
          <w:rFonts w:ascii="Book Antiqua" w:hAnsi="Book Antiqua" w:eastAsia="Book Antiqua" w:cs="Book Antiqua"/>
          <w:color w:val="000000"/>
        </w:rPr>
        <w:t>. Many high-risk factors contribute to the occurrence of GC</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one </w:t>
      </w:r>
      <w:r>
        <w:rPr>
          <w:rFonts w:hint="eastAsia" w:ascii="Book Antiqua" w:hAnsi="Book Antiqua" w:eastAsia="宋体" w:cs="Book Antiqua"/>
          <w:color w:val="000000"/>
          <w:lang w:val="en-US" w:eastAsia="zh-CN"/>
        </w:rPr>
        <w:t>of which</w:t>
      </w:r>
      <w:r>
        <w:rPr>
          <w:rFonts w:ascii="Book Antiqua" w:hAnsi="Book Antiqua" w:eastAsia="Book Antiqua" w:cs="Book Antiqua"/>
          <w:color w:val="000000"/>
        </w:rPr>
        <w:t xml:space="preserve"> is the remnant stomach after gastrectomy</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Remnant GC (RGC) is defined as GC that occurs five years or more after gastrectomy due to benign or malignant lesions. Reports </w:t>
      </w:r>
      <w:r>
        <w:rPr>
          <w:rFonts w:hint="eastAsia" w:ascii="Book Antiqua" w:hAnsi="Book Antiqua" w:eastAsia="宋体" w:cs="Book Antiqua"/>
          <w:color w:val="000000"/>
          <w:lang w:val="en-US" w:eastAsia="zh-CN"/>
        </w:rPr>
        <w:t xml:space="preserve">have </w:t>
      </w:r>
      <w:r>
        <w:rPr>
          <w:rFonts w:ascii="Book Antiqua" w:hAnsi="Book Antiqua" w:eastAsia="Book Antiqua" w:cs="Book Antiqua"/>
          <w:color w:val="000000"/>
        </w:rPr>
        <w:t>shown that approximate</w:t>
      </w:r>
      <w:r>
        <w:rPr>
          <w:rFonts w:hint="eastAsia" w:ascii="Book Antiqua" w:hAnsi="Book Antiqua" w:eastAsia="宋体" w:cs="Book Antiqua"/>
          <w:color w:val="000000"/>
          <w:lang w:val="en-US" w:eastAsia="zh-CN"/>
        </w:rPr>
        <w:t>ly</w:t>
      </w:r>
      <w:r>
        <w:rPr>
          <w:rFonts w:ascii="Book Antiqua" w:hAnsi="Book Antiqua" w:eastAsia="Book Antiqua" w:cs="Book Antiqua"/>
          <w:color w:val="000000"/>
        </w:rPr>
        <w:t xml:space="preserve"> 2%–3% of remnant stomach</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will develop RGC</w:t>
      </w:r>
      <w:r>
        <w:rPr>
          <w:rFonts w:ascii="Book Antiqua" w:hAnsi="Book Antiqua" w:eastAsia="Book Antiqua" w:cs="Book Antiqua"/>
          <w:color w:val="000000"/>
          <w:vertAlign w:val="superscript"/>
        </w:rPr>
        <w:t>[3,4]</w:t>
      </w:r>
      <w:r>
        <w:rPr>
          <w:rFonts w:ascii="Book Antiqua" w:hAnsi="Book Antiqua" w:eastAsia="Book Antiqua" w:cs="Book Antiqua"/>
          <w:color w:val="000000"/>
        </w:rPr>
        <w:t>. The mechanism of the occurrence and development of RGC remains unclear. Bile reflux, the loss of vagus nerve, and the change in gastric mucosal microenvironment may play important roles in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RGC carcinogenesis</w:t>
      </w:r>
      <w:r>
        <w:rPr>
          <w:rFonts w:ascii="Book Antiqua" w:hAnsi="Book Antiqua" w:eastAsia="Book Antiqua" w:cs="Book Antiqua"/>
          <w:color w:val="000000"/>
          <w:vertAlign w:val="superscript"/>
        </w:rPr>
        <w:t>[5-7]</w:t>
      </w:r>
      <w:r>
        <w:rPr>
          <w:rFonts w:ascii="Book Antiqua" w:hAnsi="Book Antiqua" w:eastAsia="Book Antiqua" w:cs="Book Antiqua"/>
          <w:color w:val="000000"/>
        </w:rPr>
        <w:t>.</w:t>
      </w:r>
    </w:p>
    <w:p>
      <w:pPr>
        <w:spacing w:line="360" w:lineRule="auto"/>
        <w:ind w:firstLine="480" w:firstLineChars="200"/>
        <w:jc w:val="both"/>
        <w:rPr>
          <w:rFonts w:hint="eastAsia" w:ascii="Book Antiqua" w:hAnsi="Book Antiqua" w:eastAsia="宋体"/>
          <w:lang w:val="en-US" w:eastAsia="zh-CN"/>
        </w:rPr>
      </w:pPr>
      <w:r>
        <w:rPr>
          <w:rFonts w:ascii="Book Antiqua" w:hAnsi="Book Antiqua" w:eastAsia="Book Antiqua" w:cs="Book Antiqua"/>
          <w:color w:val="000000"/>
        </w:rPr>
        <w:t xml:space="preserve">The treatment of RGC is </w:t>
      </w:r>
      <w:r>
        <w:rPr>
          <w:rFonts w:hint="eastAsia" w:ascii="Book Antiqua" w:hAnsi="Book Antiqua" w:eastAsia="宋体" w:cs="Book Antiqua"/>
          <w:color w:val="000000"/>
          <w:lang w:val="en-US" w:eastAsia="zh-CN"/>
        </w:rPr>
        <w:t>often</w:t>
      </w:r>
      <w:r>
        <w:rPr>
          <w:rFonts w:ascii="Book Antiqua" w:hAnsi="Book Antiqua" w:eastAsia="Book Antiqua" w:cs="Book Antiqua"/>
          <w:color w:val="000000"/>
        </w:rPr>
        <w:t xml:space="preserve"> comprehensively based on surgery</w:t>
      </w:r>
      <w:r>
        <w:rPr>
          <w:rFonts w:ascii="Book Antiqua" w:hAnsi="Book Antiqua" w:eastAsia="Book Antiqua" w:cs="Book Antiqua"/>
          <w:color w:val="000000"/>
          <w:vertAlign w:val="superscript"/>
        </w:rPr>
        <w:t>[8,9]</w:t>
      </w:r>
      <w:r>
        <w:rPr>
          <w:rFonts w:ascii="Book Antiqua" w:hAnsi="Book Antiqua" w:eastAsia="Book Antiqua" w:cs="Book Antiqua"/>
          <w:color w:val="000000"/>
        </w:rPr>
        <w:t>. However,</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the prognosis of RGC is often worse than that of primary GC even after radical gastrectomy</w:t>
      </w:r>
      <w:r>
        <w:rPr>
          <w:rFonts w:ascii="Book Antiqua" w:hAnsi="Book Antiqua" w:eastAsia="Book Antiqua" w:cs="Book Antiqua"/>
          <w:color w:val="000000"/>
          <w:vertAlign w:val="superscript"/>
        </w:rPr>
        <w:t>[10,11]</w:t>
      </w:r>
      <w:r>
        <w:rPr>
          <w:rFonts w:ascii="Book Antiqua" w:hAnsi="Book Antiqua" w:eastAsia="Book Antiqua" w:cs="Book Antiqua"/>
          <w:color w:val="000000"/>
        </w:rPr>
        <w:t>. Notably, patients often have malnutrition and poor immune status</w:t>
      </w:r>
      <w:r>
        <w:rPr>
          <w:rFonts w:ascii="Book Antiqua" w:hAnsi="Book Antiqua" w:eastAsia="Book Antiqua" w:cs="Book Antiqua"/>
          <w:color w:val="000000"/>
          <w:vertAlign w:val="superscript"/>
        </w:rPr>
        <w:t>[12,13]</w:t>
      </w:r>
      <w:r>
        <w:rPr>
          <w:rFonts w:ascii="Book Antiqua" w:hAnsi="Book Antiqua" w:eastAsia="Book Antiqua" w:cs="Book Antiqua"/>
          <w:color w:val="000000"/>
        </w:rPr>
        <w:t xml:space="preserve"> after gastrectomy, which may be one of the factors leading to the poor prognosis of RGC patients.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Therefore, systematically evaluating the preoperative immune and nutritional status of patients and analyzing its prognostic impact on postoperative RGC patients </w:t>
      </w:r>
      <w:r>
        <w:rPr>
          <w:rFonts w:hint="eastAsia" w:ascii="Book Antiqua" w:hAnsi="Book Antiqua" w:eastAsia="宋体" w:cs="Book Antiqua"/>
          <w:color w:val="000000"/>
          <w:lang w:val="en-US" w:eastAsia="zh-CN"/>
        </w:rPr>
        <w:t>are</w:t>
      </w:r>
      <w:r>
        <w:rPr>
          <w:rFonts w:ascii="Book Antiqua" w:hAnsi="Book Antiqua" w:eastAsia="Book Antiqua" w:cs="Book Antiqua"/>
          <w:color w:val="000000"/>
        </w:rPr>
        <w:t xml:space="preserve"> crucial.</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An increasing number of studies have shown that the immune system plays a crucial role in the tumor microenvironment</w:t>
      </w:r>
      <w:r>
        <w:rPr>
          <w:rFonts w:ascii="Book Antiqua" w:hAnsi="Book Antiqua" w:eastAsia="Book Antiqua" w:cs="Book Antiqua"/>
          <w:color w:val="000000"/>
          <w:vertAlign w:val="superscript"/>
        </w:rPr>
        <w:t>[14-16]</w:t>
      </w:r>
      <w:r>
        <w:rPr>
          <w:rFonts w:ascii="Book Antiqua" w:hAnsi="Book Antiqua" w:eastAsia="Book Antiqua" w:cs="Book Antiqua"/>
          <w:color w:val="000000"/>
        </w:rPr>
        <w:t>. Meanwhile, the nutritional status of patients often affect</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tumor growth, metastasis, angiogenesis, and the ef</w:t>
      </w:r>
      <w:r>
        <w:rPr>
          <w:rFonts w:hint="eastAsia" w:ascii="Book Antiqua" w:hAnsi="Book Antiqua" w:eastAsia="宋体" w:cs="Book Antiqua"/>
          <w:color w:val="000000"/>
          <w:lang w:val="en-US" w:eastAsia="zh-CN"/>
        </w:rPr>
        <w:t>ficacy</w:t>
      </w:r>
      <w:r>
        <w:rPr>
          <w:rFonts w:ascii="Book Antiqua" w:hAnsi="Book Antiqua" w:eastAsia="Book Antiqua" w:cs="Book Antiqua"/>
          <w:color w:val="000000"/>
        </w:rPr>
        <w:t xml:space="preserve"> of antitumor therapy</w:t>
      </w:r>
      <w:r>
        <w:rPr>
          <w:rFonts w:ascii="Book Antiqua" w:hAnsi="Book Antiqua" w:eastAsia="Book Antiqua" w:cs="Book Antiqua"/>
          <w:color w:val="000000"/>
          <w:vertAlign w:val="superscript"/>
        </w:rPr>
        <w:t>[17,18]</w:t>
      </w:r>
      <w:r>
        <w:rPr>
          <w:rFonts w:ascii="Book Antiqua" w:hAnsi="Book Antiqua" w:eastAsia="Book Antiqua" w:cs="Book Antiqua"/>
          <w:color w:val="000000"/>
        </w:rPr>
        <w:t>. Prognostic factors related to inflammation and nutrition, including neutrophil to lymphocyte ratio (NLR), platelet-to-lymphocyte ratio, lymphocyte to monocyte ratio (LMR), serum albumin (ALB), and total cholesterol (TC), are associated with the prognosis of a variety of cancers, including GC, rectal cancer, and breast cancer</w:t>
      </w:r>
      <w:r>
        <w:rPr>
          <w:rFonts w:ascii="Book Antiqua" w:hAnsi="Book Antiqua" w:eastAsia="Book Antiqua" w:cs="Book Antiqua"/>
          <w:color w:val="000000"/>
          <w:vertAlign w:val="superscript"/>
        </w:rPr>
        <w:t>[19-23]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However, prognostic</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prediction </w:t>
      </w:r>
      <w:r>
        <w:rPr>
          <w:rFonts w:hint="eastAsia" w:ascii="Book Antiqua" w:hAnsi="Book Antiqua" w:eastAsia="宋体" w:cs="Book Antiqua"/>
          <w:color w:val="000000"/>
          <w:lang w:val="en-US" w:eastAsia="zh-CN"/>
        </w:rPr>
        <w:t>based on</w:t>
      </w:r>
      <w:r>
        <w:rPr>
          <w:rFonts w:ascii="Book Antiqua" w:hAnsi="Book Antiqua" w:eastAsia="Book Antiqua" w:cs="Book Antiqua"/>
          <w:color w:val="000000"/>
        </w:rPr>
        <w:t xml:space="preserve"> a single marker is often inaccurate and may even be misleading. Therefore, a simple scoring system that combines multiple immune or nutritional indicators to identify nutritional or immune status before surgery is significantly better than single inflammatory or nutritional markers. The prognostic nutritional index (PNI), controlled nutritional status (CONUT), and a new inflammation related prognostic</w:t>
      </w:r>
      <w:r>
        <w:rPr>
          <w:rFonts w:hint="eastAsia" w:ascii="Book Antiqua" w:hAnsi="Book Antiqua" w:eastAsia="宋体" w:cs="Book Antiqua"/>
          <w:color w:val="000000"/>
          <w:lang w:val="en-US" w:eastAsia="zh-CN"/>
        </w:rPr>
        <w:t xml:space="preserve"> system named </w:t>
      </w:r>
      <w:r>
        <w:rPr>
          <w:rFonts w:ascii="Book Antiqua" w:hAnsi="Book Antiqua" w:eastAsia="Book Antiqua" w:cs="Book Antiqua"/>
          <w:color w:val="000000"/>
        </w:rPr>
        <w:t>Naples prognostic score</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(NPS) established in recent years by combining preoperative TC content, serum ALB content, LMR, and NLR have</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been widely used to predict the prognosis of a variety of tumors</w:t>
      </w:r>
      <w:r>
        <w:rPr>
          <w:rFonts w:ascii="Book Antiqua" w:hAnsi="Book Antiqua" w:eastAsia="Book Antiqua" w:cs="Book Antiqua"/>
          <w:color w:val="000000"/>
          <w:vertAlign w:val="superscript"/>
        </w:rPr>
        <w:t>[24-26]</w:t>
      </w:r>
      <w:r>
        <w:rPr>
          <w:rFonts w:ascii="Book Antiqua" w:hAnsi="Book Antiqua" w:eastAsia="Book Antiqua" w:cs="Book Antiqua"/>
          <w:color w:val="000000"/>
        </w:rPr>
        <w:t>. However, studies on the prognosis of RGC patients predicted by preoperative immune-nutritional score systems are few.</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Therefore, this retrospective cohort study aim</w:t>
      </w:r>
      <w:r>
        <w:rPr>
          <w:rFonts w:hint="eastAsia" w:ascii="Book Antiqua" w:hAnsi="Book Antiqua" w:eastAsia="宋体" w:cs="Book Antiqua"/>
          <w:color w:val="000000"/>
          <w:lang w:val="en-US" w:eastAsia="zh-CN"/>
        </w:rPr>
        <w:t>ed</w:t>
      </w:r>
      <w:r>
        <w:rPr>
          <w:rFonts w:ascii="Book Antiqua" w:hAnsi="Book Antiqua" w:eastAsia="Book Antiqua" w:cs="Book Antiqua"/>
          <w:color w:val="000000"/>
        </w:rPr>
        <w:t xml:space="preserve"> to determine the prognostic value of three</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preoperative immune-nutritional scor</w:t>
      </w:r>
      <w:r>
        <w:rPr>
          <w:rFonts w:hint="eastAsia" w:ascii="Book Antiqua" w:hAnsi="Book Antiqua" w:eastAsia="宋体" w:cs="Book Antiqua"/>
          <w:color w:val="000000"/>
          <w:lang w:val="en-US" w:eastAsia="zh-CN"/>
        </w:rPr>
        <w:t>ing</w:t>
      </w:r>
      <w:r>
        <w:rPr>
          <w:rFonts w:ascii="Book Antiqua" w:hAnsi="Book Antiqua" w:eastAsia="Book Antiqua" w:cs="Book Antiqua"/>
          <w:color w:val="000000"/>
        </w:rPr>
        <w:t xml:space="preserve"> systems, namely</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PNI, CONUT, and NPS</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in patients with RGC, </w:t>
      </w:r>
      <w:r>
        <w:rPr>
          <w:rFonts w:hint="eastAsia" w:ascii="Book Antiqua" w:hAnsi="Book Antiqua" w:eastAsia="宋体" w:cs="Book Antiqua"/>
          <w:color w:val="000000"/>
          <w:lang w:val="en-US" w:eastAsia="zh-CN"/>
        </w:rPr>
        <w:t xml:space="preserve">and </w:t>
      </w:r>
      <w:r>
        <w:rPr>
          <w:rFonts w:ascii="Book Antiqua" w:hAnsi="Book Antiqua" w:eastAsia="Book Antiqua" w:cs="Book Antiqua"/>
          <w:color w:val="000000"/>
        </w:rPr>
        <w:t>to examine their relationship with other clinicopathological features.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cs="Book Antiqua"/>
          <w:b/>
          <w:i/>
          <w:color w:val="000000"/>
          <w:lang w:eastAsia="zh-CN"/>
        </w:rPr>
      </w:pPr>
      <w:r>
        <w:rPr>
          <w:rFonts w:ascii="Book Antiqua" w:hAnsi="Book Antiqua" w:eastAsia="Book Antiqua" w:cs="Book Antiqua"/>
          <w:b/>
          <w:i/>
          <w:color w:val="000000"/>
        </w:rPr>
        <w:t>Patients</w:t>
      </w:r>
      <w:r>
        <w:rPr>
          <w:rFonts w:hint="eastAsia" w:ascii="Book Antiqua" w:hAnsi="Book Antiqua" w:cs="Book Antiqua"/>
          <w:b/>
          <w:i/>
          <w:color w:val="000000"/>
          <w:lang w:eastAsia="zh-CN"/>
        </w:rPr>
        <w:t xml:space="preserve"> </w:t>
      </w:r>
    </w:p>
    <w:p>
      <w:pPr>
        <w:spacing w:line="360" w:lineRule="auto"/>
        <w:jc w:val="both"/>
        <w:rPr>
          <w:rFonts w:ascii="Book Antiqua" w:hAnsi="Book Antiqua"/>
        </w:rPr>
      </w:pPr>
      <w:r>
        <w:rPr>
          <w:rFonts w:ascii="Book Antiqua" w:hAnsi="Book Antiqua" w:eastAsia="Book Antiqua" w:cs="Book Antiqua"/>
          <w:color w:val="000000"/>
        </w:rPr>
        <w:t xml:space="preserve">The medical data of 43 patients with RGC </w:t>
      </w:r>
      <w:r>
        <w:rPr>
          <w:rFonts w:hint="eastAsia" w:ascii="Book Antiqua" w:hAnsi="Book Antiqua" w:eastAsia="宋体" w:cs="Book Antiqua"/>
          <w:color w:val="000000"/>
          <w:lang w:val="en-US" w:eastAsia="zh-CN"/>
        </w:rPr>
        <w:t>at</w:t>
      </w:r>
      <w:r>
        <w:rPr>
          <w:rFonts w:ascii="Book Antiqua" w:hAnsi="Book Antiqua" w:eastAsia="Book Antiqua" w:cs="Book Antiqua"/>
          <w:color w:val="000000"/>
        </w:rPr>
        <w:t xml:space="preserve"> the First Affiliated Hospital of Nanjing Medical University (Jiangsu Province Hospital) and 11 patients </w:t>
      </w:r>
      <w:r>
        <w:rPr>
          <w:rFonts w:hint="eastAsia" w:ascii="Book Antiqua" w:hAnsi="Book Antiqua" w:eastAsia="宋体" w:cs="Book Antiqua"/>
          <w:color w:val="000000"/>
          <w:lang w:val="en-US" w:eastAsia="zh-CN"/>
        </w:rPr>
        <w:t>at</w:t>
      </w:r>
      <w:r>
        <w:rPr>
          <w:rFonts w:ascii="Book Antiqua" w:hAnsi="Book Antiqua" w:eastAsia="Book Antiqua" w:cs="Book Antiqua"/>
          <w:color w:val="000000"/>
        </w:rPr>
        <w:t xml:space="preserve"> the Affiliated Suzhou Hospital of Nanjing Medical University (Suzhou Municipal Hospital) from January 2009 to July 2019 were collected. The inclusion criteria of this study </w:t>
      </w:r>
      <w:r>
        <w:rPr>
          <w:rFonts w:hint="eastAsia" w:ascii="Book Antiqua" w:hAnsi="Book Antiqua" w:eastAsia="宋体" w:cs="Book Antiqua"/>
          <w:color w:val="000000"/>
          <w:lang w:val="en-US" w:eastAsia="zh-CN"/>
        </w:rPr>
        <w:t>were</w:t>
      </w:r>
      <w:r>
        <w:rPr>
          <w:rFonts w:ascii="Book Antiqua" w:hAnsi="Book Antiqua" w:eastAsia="Book Antiqua" w:cs="Book Antiqua"/>
          <w:color w:val="000000"/>
        </w:rPr>
        <w:t xml:space="preserve"> as follows</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1</w:t>
      </w:r>
      <w:r>
        <w:rPr>
          <w:rFonts w:ascii="Book Antiqua" w:hAnsi="Book Antiqua" w:eastAsia="Book Antiqua" w:cs="Book Antiqua"/>
          <w:color w:val="000000"/>
        </w:rPr>
        <w:t>) The patient ha</w:t>
      </w:r>
      <w:r>
        <w:rPr>
          <w:rFonts w:hint="eastAsia" w:ascii="Book Antiqua" w:hAnsi="Book Antiqua" w:eastAsia="宋体" w:cs="Book Antiqua"/>
          <w:color w:val="000000"/>
          <w:lang w:val="en-US" w:eastAsia="zh-CN"/>
        </w:rPr>
        <w:t>d</w:t>
      </w:r>
      <w:r>
        <w:rPr>
          <w:rFonts w:ascii="Book Antiqua" w:hAnsi="Book Antiqua" w:eastAsia="Book Antiqua" w:cs="Book Antiqua"/>
          <w:color w:val="000000"/>
        </w:rPr>
        <w:t xml:space="preserve"> a previous history of gastrectomy</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2</w:t>
      </w:r>
      <w:r>
        <w:rPr>
          <w:rFonts w:ascii="Book Antiqua" w:hAnsi="Book Antiqua" w:eastAsia="Book Antiqua" w:cs="Book Antiqua"/>
          <w:color w:val="000000"/>
        </w:rPr>
        <w:t xml:space="preserve">) The interval from the occurrence of residual GC </w:t>
      </w:r>
      <w:r>
        <w:rPr>
          <w:rFonts w:hint="eastAsia" w:ascii="Book Antiqua" w:hAnsi="Book Antiqua" w:eastAsia="宋体" w:cs="Book Antiqua"/>
          <w:color w:val="000000"/>
          <w:lang w:val="en-US" w:eastAsia="zh-CN"/>
        </w:rPr>
        <w:t>was</w:t>
      </w:r>
      <w:r>
        <w:rPr>
          <w:rFonts w:ascii="Book Antiqua" w:hAnsi="Book Antiqua" w:eastAsia="Book Antiqua" w:cs="Book Antiqua"/>
          <w:color w:val="000000"/>
        </w:rPr>
        <w:t xml:space="preserve"> five years or more</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3</w:t>
      </w:r>
      <w:r>
        <w:rPr>
          <w:rFonts w:ascii="Book Antiqua" w:hAnsi="Book Antiqua" w:eastAsia="Book Antiqua" w:cs="Book Antiqua"/>
          <w:color w:val="000000"/>
        </w:rPr>
        <w:t>) After admission, the patient underwent radical resection of residual GC</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4</w:t>
      </w:r>
      <w:r>
        <w:rPr>
          <w:rFonts w:ascii="Book Antiqua" w:hAnsi="Book Antiqua" w:eastAsia="Book Antiqua" w:cs="Book Antiqua"/>
          <w:color w:val="000000"/>
        </w:rPr>
        <w:t xml:space="preserve">) The postoperative pathological diagnosis </w:t>
      </w:r>
      <w:r>
        <w:rPr>
          <w:rFonts w:hint="eastAsia" w:ascii="Book Antiqua" w:hAnsi="Book Antiqua" w:eastAsia="宋体" w:cs="Book Antiqua"/>
          <w:color w:val="000000"/>
          <w:lang w:val="en-US" w:eastAsia="zh-CN"/>
        </w:rPr>
        <w:t>was</w:t>
      </w:r>
      <w:r>
        <w:rPr>
          <w:rFonts w:ascii="Book Antiqua" w:hAnsi="Book Antiqua" w:eastAsia="Book Antiqua" w:cs="Book Antiqua"/>
          <w:color w:val="000000"/>
        </w:rPr>
        <w:t xml:space="preserve"> gastric adenocarcinoma</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5</w:t>
      </w:r>
      <w:r>
        <w:rPr>
          <w:rFonts w:ascii="Book Antiqua" w:hAnsi="Book Antiqua" w:eastAsia="Book Antiqua" w:cs="Book Antiqua"/>
          <w:color w:val="000000"/>
        </w:rPr>
        <w:t>) The patient did not receive any anticancer treatment from the diagnosis of RGC to surgery</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6</w:t>
      </w:r>
      <w:r>
        <w:rPr>
          <w:rFonts w:ascii="Book Antiqua" w:hAnsi="Book Antiqua" w:eastAsia="Book Antiqua" w:cs="Book Antiqua"/>
          <w:color w:val="000000"/>
        </w:rPr>
        <w:t>) The patient ha</w:t>
      </w:r>
      <w:r>
        <w:rPr>
          <w:rFonts w:hint="eastAsia" w:ascii="Book Antiqua" w:hAnsi="Book Antiqua" w:eastAsia="宋体" w:cs="Book Antiqua"/>
          <w:color w:val="000000"/>
          <w:lang w:val="en-US" w:eastAsia="zh-CN"/>
        </w:rPr>
        <w:t>d</w:t>
      </w:r>
      <w:r>
        <w:rPr>
          <w:rFonts w:ascii="Book Antiqua" w:hAnsi="Book Antiqua" w:eastAsia="Book Antiqua" w:cs="Book Antiqua"/>
          <w:color w:val="000000"/>
        </w:rPr>
        <w:t xml:space="preserve"> detailed and extractable medical data and laboratory results</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and </w:t>
      </w:r>
      <w:r>
        <w:rPr>
          <w:rFonts w:ascii="Book Antiqua" w:hAnsi="Book Antiqua" w:eastAsia="Book Antiqua" w:cs="Book Antiqua"/>
          <w:color w:val="000000"/>
        </w:rPr>
        <w:t>(</w:t>
      </w:r>
      <w:r>
        <w:rPr>
          <w:rFonts w:hint="eastAsia" w:ascii="Book Antiqua" w:hAnsi="Book Antiqua" w:cs="Book Antiqua"/>
          <w:color w:val="000000"/>
          <w:lang w:eastAsia="zh-CN"/>
        </w:rPr>
        <w:t>7</w:t>
      </w:r>
      <w:r>
        <w:rPr>
          <w:rFonts w:ascii="Book Antiqua" w:hAnsi="Book Antiqua" w:eastAsia="Book Antiqua" w:cs="Book Antiqua"/>
          <w:color w:val="000000"/>
        </w:rPr>
        <w:t>) The patient ha</w:t>
      </w:r>
      <w:r>
        <w:rPr>
          <w:rFonts w:hint="eastAsia" w:ascii="Book Antiqua" w:hAnsi="Book Antiqua" w:eastAsia="宋体" w:cs="Book Antiqua"/>
          <w:color w:val="000000"/>
          <w:lang w:val="en-US" w:eastAsia="zh-CN"/>
        </w:rPr>
        <w:t>d</w:t>
      </w:r>
      <w:r>
        <w:rPr>
          <w:rFonts w:ascii="Book Antiqua" w:hAnsi="Book Antiqua" w:eastAsia="Book Antiqua" w:cs="Book Antiqua"/>
          <w:color w:val="000000"/>
        </w:rPr>
        <w:t xml:space="preserve"> survival follow-up data of three years or more. By contrast, participants who met any of the following criteria were excluded from the final analysis</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1</w:t>
      </w:r>
      <w:r>
        <w:rPr>
          <w:rFonts w:ascii="Book Antiqua" w:hAnsi="Book Antiqua" w:eastAsia="Book Antiqua" w:cs="Book Antiqua"/>
          <w:color w:val="000000"/>
        </w:rPr>
        <w:t>) The patient had any clinical evidence of infection or inflammatory disease. Infection was defined in this study as preoperative body temperature ≥</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37.5 °C or increased preoperative </w:t>
      </w:r>
      <w:r>
        <w:rPr>
          <w:rFonts w:hint="eastAsia" w:ascii="Book Antiqua" w:hAnsi="Book Antiqua"/>
          <w:lang w:eastAsia="zh-CN"/>
        </w:rPr>
        <w:t>C</w:t>
      </w:r>
      <w:r>
        <w:rPr>
          <w:rFonts w:ascii="Book Antiqua" w:hAnsi="Book Antiqua"/>
        </w:rPr>
        <w:t>-</w:t>
      </w:r>
      <w:r>
        <w:rPr>
          <w:rFonts w:hint="eastAsia" w:ascii="Book Antiqua" w:hAnsi="Book Antiqua"/>
          <w:lang w:eastAsia="zh-CN"/>
        </w:rPr>
        <w:t>r</w:t>
      </w:r>
      <w:r>
        <w:rPr>
          <w:rFonts w:ascii="Book Antiqua" w:hAnsi="Book Antiqua"/>
        </w:rPr>
        <w:t>eactive-</w:t>
      </w:r>
      <w:r>
        <w:rPr>
          <w:rFonts w:hint="eastAsia" w:ascii="Book Antiqua" w:hAnsi="Book Antiqua"/>
          <w:lang w:eastAsia="zh-CN"/>
        </w:rPr>
        <w:t>p</w:t>
      </w:r>
      <w:r>
        <w:rPr>
          <w:rFonts w:ascii="Book Antiqua" w:hAnsi="Book Antiqua"/>
        </w:rPr>
        <w:t>rotein</w:t>
      </w:r>
      <w:r>
        <w:rPr>
          <w:rFonts w:ascii="Book Antiqua" w:hAnsi="Book Antiqua" w:eastAsia="Book Antiqua" w:cs="Book Antiqua"/>
          <w:color w:val="000000"/>
        </w:rPr>
        <w:t xml:space="preserve"> levels</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and </w:t>
      </w:r>
      <w:r>
        <w:rPr>
          <w:rFonts w:ascii="Book Antiqua" w:hAnsi="Book Antiqua" w:eastAsia="Book Antiqua" w:cs="Book Antiqua"/>
          <w:color w:val="000000"/>
        </w:rPr>
        <w:t>(</w:t>
      </w:r>
      <w:r>
        <w:rPr>
          <w:rFonts w:hint="eastAsia" w:ascii="Book Antiqua" w:hAnsi="Book Antiqua" w:cs="Book Antiqua"/>
          <w:color w:val="000000"/>
          <w:lang w:eastAsia="zh-CN"/>
        </w:rPr>
        <w:t>2</w:t>
      </w:r>
      <w:r>
        <w:rPr>
          <w:rFonts w:ascii="Book Antiqua" w:hAnsi="Book Antiqua" w:eastAsia="Book Antiqua" w:cs="Book Antiqua"/>
          <w:color w:val="000000"/>
        </w:rPr>
        <w:t>) The patient ha</w:t>
      </w:r>
      <w:r>
        <w:rPr>
          <w:rFonts w:hint="eastAsia" w:ascii="Book Antiqua" w:hAnsi="Book Antiqua" w:eastAsia="宋体" w:cs="Book Antiqua"/>
          <w:color w:val="000000"/>
          <w:lang w:val="en-US" w:eastAsia="zh-CN"/>
        </w:rPr>
        <w:t>d</w:t>
      </w:r>
      <w:r>
        <w:rPr>
          <w:rFonts w:ascii="Book Antiqua" w:hAnsi="Book Antiqua" w:eastAsia="Book Antiqua" w:cs="Book Antiqua"/>
          <w:color w:val="000000"/>
        </w:rPr>
        <w:t xml:space="preserve"> a history of malignant tumors other than GC. This study was approved by the medical ethics committee of Nanjing Medical University. The data </w:t>
      </w:r>
      <w:r>
        <w:rPr>
          <w:rFonts w:hint="eastAsia" w:ascii="Book Antiqua" w:hAnsi="Book Antiqua" w:eastAsia="宋体" w:cs="Book Antiqua"/>
          <w:color w:val="000000"/>
          <w:lang w:val="en-US" w:eastAsia="zh-CN"/>
        </w:rPr>
        <w:t>were</w:t>
      </w:r>
      <w:r>
        <w:rPr>
          <w:rFonts w:ascii="Book Antiqua" w:hAnsi="Book Antiqua" w:eastAsia="Book Antiqua" w:cs="Book Antiqua"/>
          <w:color w:val="000000"/>
        </w:rPr>
        <w:t xml:space="preserve"> anonymous; therefore, relevant informed consent </w:t>
      </w:r>
      <w:r>
        <w:rPr>
          <w:rFonts w:hint="eastAsia" w:ascii="Book Antiqua" w:hAnsi="Book Antiqua" w:eastAsia="宋体" w:cs="Book Antiqua"/>
          <w:color w:val="000000"/>
          <w:lang w:val="en-US" w:eastAsia="zh-CN"/>
        </w:rPr>
        <w:t>was</w:t>
      </w:r>
      <w:r>
        <w:rPr>
          <w:rFonts w:ascii="Book Antiqua" w:hAnsi="Book Antiqua" w:eastAsia="Book Antiqua" w:cs="Book Antiqua"/>
          <w:color w:val="000000"/>
        </w:rPr>
        <w:t xml:space="preserve"> not required.</w:t>
      </w:r>
    </w:p>
    <w:p>
      <w:pPr>
        <w:spacing w:line="360" w:lineRule="auto"/>
        <w:jc w:val="both"/>
        <w:rPr>
          <w:rFonts w:ascii="Book Antiqua" w:hAnsi="Book Antiqua" w:cs="Book Antiqua"/>
          <w:color w:val="000000"/>
          <w:lang w:eastAsia="zh-CN"/>
        </w:rPr>
      </w:pPr>
    </w:p>
    <w:p>
      <w:pPr>
        <w:spacing w:line="360" w:lineRule="auto"/>
        <w:jc w:val="both"/>
        <w:rPr>
          <w:rFonts w:hint="eastAsia" w:ascii="Book Antiqua" w:hAnsi="Book Antiqua" w:eastAsia="宋体" w:cs="Book Antiqua"/>
          <w:b/>
          <w:i/>
          <w:color w:val="000000"/>
          <w:lang w:val="en-US" w:eastAsia="zh-CN"/>
        </w:rPr>
      </w:pPr>
      <w:r>
        <w:rPr>
          <w:rFonts w:ascii="Book Antiqua" w:hAnsi="Book Antiqua" w:eastAsia="Book Antiqua" w:cs="Book Antiqua"/>
          <w:b/>
          <w:i/>
          <w:color w:val="000000"/>
        </w:rPr>
        <w:t>Definition of immune-nutritional prognosis system</w:t>
      </w:r>
      <w:r>
        <w:rPr>
          <w:rFonts w:hint="eastAsia" w:ascii="Book Antiqua" w:hAnsi="Book Antiqua" w:eastAsia="宋体" w:cs="Book Antiqua"/>
          <w:b/>
          <w:i/>
          <w:color w:val="000000"/>
          <w:lang w:val="en-US" w:eastAsia="zh-CN"/>
        </w:rPr>
        <w:t>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PNI score </w:t>
      </w:r>
      <w:r>
        <w:rPr>
          <w:rFonts w:hint="default" w:ascii="Book Antiqua" w:hAnsi="Book Antiqua" w:eastAsia="Book Antiqua" w:cs="Book Antiqua"/>
          <w:color w:val="000000"/>
          <w:lang w:val="en-US"/>
        </w:rPr>
        <w:t>is</w:t>
      </w:r>
      <w:r>
        <w:rPr>
          <w:rFonts w:ascii="Book Antiqua" w:hAnsi="Book Antiqua" w:eastAsia="Book Antiqua" w:cs="Book Antiqua"/>
          <w:color w:val="000000"/>
        </w:rPr>
        <w:t xml:space="preserve"> defined as serum ALB (g/L) + 5 × Lymphocyte count (×</w:t>
      </w:r>
      <w:r>
        <w:rPr>
          <w:rFonts w:hint="eastAsia" w:ascii="Book Antiqua" w:hAnsi="Book Antiqua" w:cs="Book Antiqua"/>
          <w:color w:val="000000"/>
          <w:lang w:eastAsia="zh-CN"/>
        </w:rPr>
        <w:t xml:space="preserve"> </w:t>
      </w:r>
      <w:r>
        <w:rPr>
          <w:rFonts w:ascii="Book Antiqua" w:hAnsi="Book Antiqua" w:eastAsia="Book Antiqua" w:cs="Book Antiqua"/>
          <w:color w:val="000000"/>
        </w:rPr>
        <w:t>10</w:t>
      </w:r>
      <w:r>
        <w:rPr>
          <w:rFonts w:ascii="Book Antiqua" w:hAnsi="Book Antiqua" w:eastAsia="Book Antiqua" w:cs="Book Antiqua"/>
          <w:color w:val="000000"/>
          <w:vertAlign w:val="superscript"/>
        </w:rPr>
        <w:t>9</w:t>
      </w:r>
      <w:r>
        <w:rPr>
          <w:rFonts w:ascii="Book Antiqua" w:hAnsi="Book Antiqua" w:eastAsia="Book Antiqua" w:cs="Book Antiqua"/>
          <w:color w:val="000000"/>
        </w:rPr>
        <w:t>); a PNI score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45 indicate</w:t>
      </w:r>
      <w:r>
        <w:rPr>
          <w:rFonts w:hint="eastAsia" w:ascii="Book Antiqua" w:hAnsi="Book Antiqua" w:eastAsia="宋体" w:cs="Book Antiqua"/>
          <w:color w:val="000000"/>
          <w:lang w:val="en-US" w:eastAsia="zh-CN"/>
        </w:rPr>
        <w:t>d</w:t>
      </w:r>
      <w:r>
        <w:rPr>
          <w:rFonts w:ascii="Book Antiqua" w:hAnsi="Book Antiqua" w:eastAsia="Book Antiqua" w:cs="Book Antiqua"/>
          <w:color w:val="000000"/>
        </w:rPr>
        <w:t xml:space="preserve"> that the patient ha</w:t>
      </w:r>
      <w:r>
        <w:rPr>
          <w:rFonts w:hint="eastAsia" w:ascii="Book Antiqua" w:hAnsi="Book Antiqua" w:eastAsia="宋体" w:cs="Book Antiqua"/>
          <w:color w:val="000000"/>
          <w:lang w:val="en-US" w:eastAsia="zh-CN"/>
        </w:rPr>
        <w:t>d</w:t>
      </w:r>
      <w:r>
        <w:rPr>
          <w:rFonts w:ascii="Book Antiqua" w:hAnsi="Book Antiqua" w:eastAsia="Book Antiqua" w:cs="Book Antiqua"/>
          <w:color w:val="000000"/>
        </w:rPr>
        <w:t xml:space="preserve"> immune-nutritional risk.</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 xml:space="preserve">The CONUT score </w:t>
      </w:r>
      <w:r>
        <w:rPr>
          <w:rFonts w:hint="default" w:ascii="Book Antiqua" w:hAnsi="Book Antiqua" w:eastAsia="Book Antiqua" w:cs="Book Antiqua"/>
          <w:color w:val="000000"/>
          <w:lang w:val="en-US"/>
        </w:rPr>
        <w:t>is</w:t>
      </w:r>
      <w:r>
        <w:rPr>
          <w:rFonts w:ascii="Book Antiqua" w:hAnsi="Book Antiqua" w:eastAsia="Book Antiqua" w:cs="Book Antiqua"/>
          <w:color w:val="000000"/>
        </w:rPr>
        <w:t xml:space="preserve"> defined as the sum of the three scores based on serum ALB concentration, lymphocyte count, and TC concentration. A score ≥ 3 </w:t>
      </w:r>
      <w:r>
        <w:rPr>
          <w:rFonts w:hint="eastAsia" w:ascii="Book Antiqua" w:hAnsi="Book Antiqua" w:eastAsia="宋体" w:cs="Book Antiqua"/>
          <w:color w:val="000000"/>
          <w:lang w:val="en-US" w:eastAsia="zh-CN"/>
        </w:rPr>
        <w:t>was</w:t>
      </w:r>
      <w:r>
        <w:rPr>
          <w:rFonts w:ascii="Book Antiqua" w:hAnsi="Book Antiqua" w:eastAsia="Book Antiqua" w:cs="Book Antiqua"/>
          <w:color w:val="000000"/>
        </w:rPr>
        <w:t xml:space="preserve"> considered to be at immune-nutritional risk. </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erum ALB concentration was </w:t>
      </w:r>
      <w:r>
        <w:rPr>
          <w:rFonts w:hint="eastAsia" w:ascii="Book Antiqua" w:hAnsi="Book Antiqua" w:eastAsia="宋体" w:cs="Book Antiqua"/>
          <w:color w:val="000000"/>
          <w:lang w:val="en-US" w:eastAsia="zh-CN"/>
        </w:rPr>
        <w:t xml:space="preserve">grouped as </w:t>
      </w:r>
      <w:r>
        <w:rPr>
          <w:rFonts w:ascii="Book Antiqua" w:hAnsi="Book Antiqua" w:eastAsia="Book Antiqua" w:cs="Book Antiqua"/>
          <w:color w:val="000000"/>
        </w:rPr>
        <w:t>&gt;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35, 30–34.9, 25–29.9, and &lt; 25 (g/L), and the scores of the four groups were 0, 2, 4, and 6, respectively. </w:t>
      </w:r>
      <w:r>
        <w:rPr>
          <w:rFonts w:hint="eastAsia" w:ascii="Book Antiqua" w:hAnsi="Book Antiqua" w:eastAsia="宋体" w:cs="Book Antiqua"/>
          <w:color w:val="000000"/>
          <w:lang w:val="en-US" w:eastAsia="zh-CN"/>
        </w:rPr>
        <w:t>L</w:t>
      </w:r>
      <w:r>
        <w:rPr>
          <w:rFonts w:ascii="Book Antiqua" w:hAnsi="Book Antiqua" w:eastAsia="Book Antiqua" w:cs="Book Antiqua"/>
          <w:color w:val="000000"/>
        </w:rPr>
        <w:t xml:space="preserve">ymphocyte count was </w:t>
      </w:r>
      <w:r>
        <w:rPr>
          <w:rFonts w:hint="eastAsia" w:ascii="Book Antiqua" w:hAnsi="Book Antiqua" w:eastAsia="宋体" w:cs="Book Antiqua"/>
          <w:color w:val="000000"/>
          <w:lang w:val="en-US" w:eastAsia="zh-CN"/>
        </w:rPr>
        <w:t xml:space="preserve">grouped as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1.6, 1.2–1.5, 0.8–1.1, and &lt;</w:t>
      </w:r>
      <w:r>
        <w:rPr>
          <w:rFonts w:hint="eastAsia" w:ascii="Book Antiqua" w:hAnsi="Book Antiqua" w:cs="Book Antiqua"/>
          <w:color w:val="000000"/>
          <w:lang w:eastAsia="zh-CN"/>
        </w:rPr>
        <w:t xml:space="preserve"> </w:t>
      </w:r>
      <w:r>
        <w:rPr>
          <w:rFonts w:ascii="Book Antiqua" w:hAnsi="Book Antiqua" w:eastAsia="Book Antiqua" w:cs="Book Antiqua"/>
          <w:color w:val="000000"/>
        </w:rPr>
        <w:t>0.8 (×</w:t>
      </w:r>
      <w:r>
        <w:rPr>
          <w:rFonts w:hint="eastAsia" w:ascii="Book Antiqua" w:hAnsi="Book Antiqua" w:cs="Book Antiqua"/>
          <w:color w:val="000000"/>
          <w:lang w:eastAsia="zh-CN"/>
        </w:rPr>
        <w:t xml:space="preserve"> </w:t>
      </w:r>
      <w:r>
        <w:rPr>
          <w:rFonts w:ascii="Book Antiqua" w:hAnsi="Book Antiqua" w:eastAsia="Book Antiqua" w:cs="Book Antiqua"/>
          <w:color w:val="000000"/>
        </w:rPr>
        <w:t>10</w:t>
      </w:r>
      <w:r>
        <w:rPr>
          <w:rFonts w:ascii="Book Antiqua" w:hAnsi="Book Antiqua" w:eastAsia="Book Antiqua" w:cs="Book Antiqua"/>
          <w:color w:val="000000"/>
          <w:vertAlign w:val="superscript"/>
        </w:rPr>
        <w:t>9</w:t>
      </w:r>
      <w:r>
        <w:rPr>
          <w:rFonts w:ascii="Book Antiqua" w:hAnsi="Book Antiqua" w:eastAsia="Book Antiqua" w:cs="Book Antiqua"/>
          <w:color w:val="000000"/>
        </w:rPr>
        <w:t>), respectively</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which had</w:t>
      </w:r>
      <w:r>
        <w:rPr>
          <w:rFonts w:ascii="Book Antiqua" w:hAnsi="Book Antiqua" w:eastAsia="Book Antiqua" w:cs="Book Antiqua"/>
          <w:color w:val="000000"/>
        </w:rPr>
        <w:t xml:space="preserve"> scores of 0, 1, 2, and 3</w:t>
      </w:r>
      <w:r>
        <w:rPr>
          <w:rFonts w:hint="eastAsia" w:ascii="Book Antiqua" w:hAnsi="Book Antiqua" w:eastAsia="宋体" w:cs="Book Antiqua"/>
          <w:color w:val="000000"/>
          <w:lang w:val="en-US" w:eastAsia="zh-CN"/>
        </w:rPr>
        <w:t>, respectively</w:t>
      </w:r>
      <w:r>
        <w:rPr>
          <w:rFonts w:ascii="Book Antiqua" w:hAnsi="Book Antiqua" w:eastAsia="Book Antiqua" w:cs="Book Antiqua"/>
          <w:color w:val="000000"/>
        </w:rPr>
        <w:t>. TC concentration was divided into groups ≥</w:t>
      </w:r>
      <w:r>
        <w:rPr>
          <w:rFonts w:hint="eastAsia" w:ascii="Book Antiqua" w:hAnsi="Book Antiqua" w:cs="Book Antiqua"/>
          <w:color w:val="000000"/>
          <w:lang w:eastAsia="zh-CN"/>
        </w:rPr>
        <w:t xml:space="preserve"> </w:t>
      </w:r>
      <w:r>
        <w:rPr>
          <w:rFonts w:ascii="Book Antiqua" w:hAnsi="Book Antiqua" w:eastAsia="Book Antiqua" w:cs="Book Antiqua"/>
          <w:color w:val="000000"/>
        </w:rPr>
        <w:t>180, 140–179, 100–139, and &lt;</w:t>
      </w:r>
      <w:r>
        <w:rPr>
          <w:rFonts w:hint="eastAsia" w:ascii="Book Antiqua" w:hAnsi="Book Antiqua" w:cs="Book Antiqua"/>
          <w:color w:val="000000"/>
          <w:lang w:eastAsia="zh-CN"/>
        </w:rPr>
        <w:t xml:space="preserve"> </w:t>
      </w:r>
      <w:r>
        <w:rPr>
          <w:rFonts w:ascii="Book Antiqua" w:hAnsi="Book Antiqua" w:eastAsia="Book Antiqua" w:cs="Book Antiqua"/>
          <w:color w:val="000000"/>
        </w:rPr>
        <w:t>100 mg/dL, with scores of 0, 1, 2, and 3, respectively.</w:t>
      </w:r>
    </w:p>
    <w:p>
      <w:pPr>
        <w:spacing w:line="360" w:lineRule="auto"/>
        <w:ind w:firstLine="480" w:firstLineChars="200"/>
        <w:jc w:val="both"/>
        <w:rPr>
          <w:rFonts w:ascii="Book Antiqua" w:hAnsi="Book Antiqua"/>
        </w:rPr>
      </w:pPr>
      <w:r>
        <w:rPr>
          <w:rFonts w:ascii="Book Antiqua" w:hAnsi="Book Antiqua" w:eastAsia="Book Antiqua" w:cs="Book Antiqua"/>
          <w:color w:val="000000"/>
        </w:rPr>
        <w:t>NPS</w:t>
      </w:r>
      <w:r>
        <w:rPr>
          <w:rFonts w:hint="default" w:ascii="Book Antiqua" w:hAnsi="Book Antiqua" w:eastAsia="Book Antiqua" w:cs="Book Antiqua"/>
          <w:color w:val="000000"/>
          <w:lang w:val="en-US"/>
        </w:rPr>
        <w:t xml:space="preserve"> is</w:t>
      </w:r>
      <w:r>
        <w:rPr>
          <w:rFonts w:ascii="Book Antiqua" w:hAnsi="Book Antiqua" w:eastAsia="Book Antiqua" w:cs="Book Antiqua"/>
          <w:color w:val="000000"/>
        </w:rPr>
        <w:t xml:space="preserve"> defined on the basis of the following four parameters: </w:t>
      </w:r>
      <w:r>
        <w:rPr>
          <w:rFonts w:hint="eastAsia" w:ascii="Book Antiqua" w:hAnsi="Book Antiqua" w:cs="Book Antiqua"/>
          <w:color w:val="000000"/>
          <w:lang w:eastAsia="zh-CN"/>
        </w:rPr>
        <w:t>S</w:t>
      </w:r>
      <w:r>
        <w:rPr>
          <w:rFonts w:ascii="Book Antiqua" w:hAnsi="Book Antiqua" w:eastAsia="Book Antiqua" w:cs="Book Antiqua"/>
          <w:color w:val="000000"/>
        </w:rPr>
        <w:t xml:space="preserve">erum ALB, TC, LMR, and NLR. NLR and LMR </w:t>
      </w:r>
      <w:r>
        <w:rPr>
          <w:rFonts w:hint="default" w:ascii="Book Antiqua" w:hAnsi="Book Antiqua" w:eastAsia="Book Antiqua" w:cs="Book Antiqua"/>
          <w:color w:val="000000"/>
          <w:lang w:val="en-US"/>
        </w:rPr>
        <w:t>are</w:t>
      </w:r>
      <w:r>
        <w:rPr>
          <w:rFonts w:ascii="Book Antiqua" w:hAnsi="Book Antiqua" w:eastAsia="Book Antiqua" w:cs="Book Antiqua"/>
          <w:color w:val="000000"/>
        </w:rPr>
        <w:t xml:space="preserve"> calculated by dividing the neutrophil count by lymphocyte and monocyte counts in routine blood tests, respectively. Patients with serum ALB lower than 40 g/L, TC lower than 180 mg/dL, LMR lower than 4.44, or NLR higher than 2.96 </w:t>
      </w:r>
      <w:r>
        <w:rPr>
          <w:rFonts w:hint="default" w:ascii="Book Antiqua" w:hAnsi="Book Antiqua" w:eastAsia="Book Antiqua" w:cs="Book Antiqua"/>
          <w:color w:val="000000"/>
          <w:lang w:val="en-US"/>
        </w:rPr>
        <w:t>will</w:t>
      </w:r>
      <w:r>
        <w:rPr>
          <w:rFonts w:ascii="Book Antiqua" w:hAnsi="Book Antiqua" w:eastAsia="Book Antiqua" w:cs="Book Antiqua"/>
          <w:color w:val="000000"/>
        </w:rPr>
        <w:t xml:space="preserve"> obtain 1 point; otherwise, it </w:t>
      </w:r>
      <w:r>
        <w:rPr>
          <w:rFonts w:hint="default" w:ascii="Book Antiqua" w:hAnsi="Book Antiqua" w:eastAsia="Book Antiqua" w:cs="Book Antiqua"/>
          <w:color w:val="000000"/>
          <w:lang w:val="en-US"/>
        </w:rPr>
        <w:t>will</w:t>
      </w:r>
      <w:r>
        <w:rPr>
          <w:rFonts w:ascii="Book Antiqua" w:hAnsi="Book Antiqua" w:eastAsia="Book Antiqua" w:cs="Book Antiqua"/>
          <w:color w:val="000000"/>
        </w:rPr>
        <w:t xml:space="preserve"> be regarded as 0. The sum of the scores of the four parameters </w:t>
      </w:r>
      <w:r>
        <w:rPr>
          <w:rFonts w:hint="default" w:ascii="Book Antiqua" w:hAnsi="Book Antiqua" w:eastAsia="Book Antiqua" w:cs="Book Antiqua"/>
          <w:color w:val="000000"/>
          <w:lang w:val="en-US"/>
        </w:rPr>
        <w:t>is</w:t>
      </w:r>
      <w:r>
        <w:rPr>
          <w:rFonts w:ascii="Book Antiqua" w:hAnsi="Book Antiqua" w:eastAsia="Book Antiqua" w:cs="Book Antiqua"/>
          <w:color w:val="000000"/>
        </w:rPr>
        <w:t xml:space="preserve"> an NPS score. Patients with an NPS score of 0 </w:t>
      </w:r>
      <w:r>
        <w:rPr>
          <w:rFonts w:hint="eastAsia" w:ascii="Book Antiqua" w:hAnsi="Book Antiqua" w:eastAsia="宋体" w:cs="Book Antiqua"/>
          <w:color w:val="000000"/>
          <w:lang w:val="en-US" w:eastAsia="zh-CN"/>
        </w:rPr>
        <w:t>were</w:t>
      </w:r>
      <w:r>
        <w:rPr>
          <w:rFonts w:ascii="Book Antiqua" w:hAnsi="Book Antiqua" w:eastAsia="Book Antiqua" w:cs="Book Antiqua"/>
          <w:color w:val="000000"/>
        </w:rPr>
        <w:t xml:space="preserve"> considered to </w:t>
      </w:r>
      <w:r>
        <w:rPr>
          <w:rFonts w:hint="eastAsia" w:ascii="Book Antiqua" w:hAnsi="Book Antiqua" w:eastAsia="宋体" w:cs="Book Antiqua"/>
          <w:color w:val="000000"/>
          <w:lang w:val="en-US" w:eastAsia="zh-CN"/>
        </w:rPr>
        <w:t>have</w:t>
      </w:r>
      <w:r>
        <w:rPr>
          <w:rFonts w:ascii="Book Antiqua" w:hAnsi="Book Antiqua" w:eastAsia="Book Antiqua" w:cs="Book Antiqua"/>
          <w:color w:val="000000"/>
        </w:rPr>
        <w:t xml:space="preserve"> non-immune-nutritional risks, those with </w:t>
      </w:r>
      <w:r>
        <w:rPr>
          <w:rFonts w:hint="eastAsia" w:ascii="Book Antiqua" w:hAnsi="Book Antiqua" w:eastAsia="宋体" w:cs="Book Antiqua"/>
          <w:color w:val="000000"/>
          <w:lang w:val="en-US" w:eastAsia="zh-CN"/>
        </w:rPr>
        <w:t xml:space="preserve">an </w:t>
      </w:r>
      <w:r>
        <w:rPr>
          <w:rFonts w:ascii="Book Antiqua" w:hAnsi="Book Antiqua" w:eastAsia="Book Antiqua" w:cs="Book Antiqua"/>
          <w:color w:val="000000"/>
        </w:rPr>
        <w:t xml:space="preserve">NPS of 1 or 2 </w:t>
      </w:r>
      <w:r>
        <w:rPr>
          <w:rFonts w:hint="eastAsia" w:ascii="Book Antiqua" w:hAnsi="Book Antiqua" w:eastAsia="宋体" w:cs="Book Antiqua"/>
          <w:color w:val="000000"/>
          <w:lang w:val="en-US" w:eastAsia="zh-CN"/>
        </w:rPr>
        <w:t>were</w:t>
      </w:r>
      <w:r>
        <w:rPr>
          <w:rFonts w:ascii="Book Antiqua" w:hAnsi="Book Antiqua" w:eastAsia="Book Antiqua" w:cs="Book Antiqua"/>
          <w:color w:val="000000"/>
        </w:rPr>
        <w:t xml:space="preserve"> regarded </w:t>
      </w:r>
      <w:r>
        <w:rPr>
          <w:rFonts w:hint="eastAsia" w:ascii="Book Antiqua" w:hAnsi="Book Antiqua" w:eastAsia="宋体" w:cs="Book Antiqua"/>
          <w:color w:val="000000"/>
          <w:lang w:val="en-US" w:eastAsia="zh-CN"/>
        </w:rPr>
        <w:t>have</w:t>
      </w:r>
      <w:r>
        <w:rPr>
          <w:rFonts w:ascii="Book Antiqua" w:hAnsi="Book Antiqua" w:eastAsia="Book Antiqua" w:cs="Book Antiqua"/>
          <w:color w:val="000000"/>
        </w:rPr>
        <w:t xml:space="preserve"> mild immune-nutritional risks, and patients with </w:t>
      </w:r>
      <w:r>
        <w:rPr>
          <w:rFonts w:hint="eastAsia" w:ascii="Book Antiqua" w:hAnsi="Book Antiqua" w:eastAsia="宋体" w:cs="Book Antiqua"/>
          <w:color w:val="000000"/>
          <w:lang w:val="en-US" w:eastAsia="zh-CN"/>
        </w:rPr>
        <w:t xml:space="preserve">an </w:t>
      </w:r>
      <w:r>
        <w:rPr>
          <w:rFonts w:ascii="Book Antiqua" w:hAnsi="Book Antiqua" w:eastAsia="Book Antiqua" w:cs="Book Antiqua"/>
          <w:color w:val="000000"/>
        </w:rPr>
        <w:t xml:space="preserve">NPS of 3 or 4 </w:t>
      </w:r>
      <w:r>
        <w:rPr>
          <w:rFonts w:hint="eastAsia" w:ascii="Book Antiqua" w:hAnsi="Book Antiqua" w:eastAsia="宋体" w:cs="Book Antiqua"/>
          <w:color w:val="000000"/>
          <w:lang w:val="en-US" w:eastAsia="zh-CN"/>
        </w:rPr>
        <w:t>were</w:t>
      </w:r>
      <w:r>
        <w:rPr>
          <w:rFonts w:ascii="Book Antiqua" w:hAnsi="Book Antiqua" w:eastAsia="Book Antiqua" w:cs="Book Antiqua"/>
          <w:color w:val="000000"/>
        </w:rPr>
        <w:t xml:space="preserve"> considered to </w:t>
      </w:r>
      <w:r>
        <w:rPr>
          <w:rFonts w:hint="eastAsia" w:ascii="Book Antiqua" w:hAnsi="Book Antiqua" w:eastAsia="宋体" w:cs="Book Antiqua"/>
          <w:color w:val="000000"/>
          <w:lang w:val="en-US" w:eastAsia="zh-CN"/>
        </w:rPr>
        <w:t>have</w:t>
      </w:r>
      <w:r>
        <w:rPr>
          <w:rFonts w:ascii="Book Antiqua" w:hAnsi="Book Antiqua" w:eastAsia="Book Antiqua" w:cs="Book Antiqua"/>
          <w:color w:val="000000"/>
        </w:rPr>
        <w:t xml:space="preserve"> severe immune-nutritional risks. In the actual grouping, patients with an NPS score of 0 (6/54) are few due to the generally poor nutritional status of patients with RGC; however, this score cannot be analyzed alone. Therefore, patients with an NPS score of 0–2 (no or mild immune nutritional risk) </w:t>
      </w:r>
      <w:r>
        <w:rPr>
          <w:rFonts w:hint="eastAsia" w:ascii="Book Antiqua" w:hAnsi="Book Antiqua" w:eastAsia="宋体" w:cs="Book Antiqua"/>
          <w:color w:val="000000"/>
          <w:lang w:val="en-US" w:eastAsia="zh-CN"/>
        </w:rPr>
        <w:t>were</w:t>
      </w:r>
      <w:r>
        <w:rPr>
          <w:rFonts w:ascii="Book Antiqua" w:hAnsi="Book Antiqua" w:eastAsia="Book Antiqua" w:cs="Book Antiqua"/>
          <w:color w:val="000000"/>
        </w:rPr>
        <w:t xml:space="preserve"> regarded as one group.</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b/>
          <w:i/>
          <w:color w:val="000000"/>
          <w:lang w:eastAsia="zh-CN"/>
        </w:rPr>
      </w:pPr>
      <w:r>
        <w:rPr>
          <w:rFonts w:ascii="Book Antiqua" w:hAnsi="Book Antiqua" w:eastAsia="Book Antiqua" w:cs="Book Antiqua"/>
          <w:b/>
          <w:i/>
          <w:color w:val="000000"/>
        </w:rPr>
        <w:t>Data collection and follow-up</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The clinical characteristics and pathological parameters of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 xml:space="preserve">patients, including gender, age, histological type, pathological stage, and laboratory data, were retrospectively collected from the hospital information system. Among them, the data of neutrophils, lymphocytes, and monocytes </w:t>
      </w:r>
      <w:r>
        <w:rPr>
          <w:rFonts w:hint="eastAsia" w:ascii="Book Antiqua" w:hAnsi="Book Antiqua" w:eastAsia="宋体" w:cs="Book Antiqua"/>
          <w:color w:val="000000"/>
          <w:lang w:val="en-US" w:eastAsia="zh-CN"/>
        </w:rPr>
        <w:t>were</w:t>
      </w:r>
      <w:r>
        <w:rPr>
          <w:rFonts w:ascii="Book Antiqua" w:hAnsi="Book Antiqua" w:eastAsia="Book Antiqua" w:cs="Book Antiqua"/>
          <w:color w:val="000000"/>
        </w:rPr>
        <w:t xml:space="preserve"> from routine blood tests, the levels of serum ALB and TC </w:t>
      </w:r>
      <w:r>
        <w:rPr>
          <w:rFonts w:hint="eastAsia" w:ascii="Book Antiqua" w:hAnsi="Book Antiqua" w:eastAsia="宋体" w:cs="Book Antiqua"/>
          <w:color w:val="000000"/>
          <w:lang w:val="en-US" w:eastAsia="zh-CN"/>
        </w:rPr>
        <w:t>were</w:t>
      </w:r>
      <w:r>
        <w:rPr>
          <w:rFonts w:ascii="Book Antiqua" w:hAnsi="Book Antiqua" w:eastAsia="Book Antiqua" w:cs="Book Antiqua"/>
          <w:color w:val="000000"/>
        </w:rPr>
        <w:t xml:space="preserve"> respectively from liver and kidney function tests, and all blood samples </w:t>
      </w:r>
      <w:r>
        <w:rPr>
          <w:rFonts w:hint="eastAsia" w:ascii="Book Antiqua" w:hAnsi="Book Antiqua" w:eastAsia="宋体" w:cs="Book Antiqua"/>
          <w:color w:val="000000"/>
          <w:lang w:val="en-US" w:eastAsia="zh-CN"/>
        </w:rPr>
        <w:t>were</w:t>
      </w:r>
      <w:r>
        <w:rPr>
          <w:rFonts w:ascii="Book Antiqua" w:hAnsi="Book Antiqua" w:eastAsia="Book Antiqua" w:cs="Book Antiqua"/>
          <w:color w:val="000000"/>
        </w:rPr>
        <w:t xml:space="preserve"> fasting blood samples. All patients were followed up regularly after radical gastrectomy. This study mainly obtained the survival information of patients through postoperative medical examination or telephone contact. The follow-up interval was once every </w:t>
      </w:r>
      <w:r>
        <w:rPr>
          <w:rFonts w:hint="eastAsia" w:ascii="Book Antiqua" w:hAnsi="Book Antiqua" w:eastAsia="宋体" w:cs="Book Antiqua"/>
          <w:color w:val="000000"/>
          <w:lang w:val="en-US" w:eastAsia="zh-CN"/>
        </w:rPr>
        <w:t>6</w:t>
      </w:r>
      <w:r>
        <w:rPr>
          <w:rFonts w:ascii="Book Antiqua" w:hAnsi="Book Antiqua" w:eastAsia="Book Antiqua" w:cs="Book Antiqua"/>
          <w:color w:val="000000"/>
        </w:rPr>
        <w:t xml:space="preserve"> mo. The patient was followed up to death (event) or the last follow-up (censored).</w:t>
      </w:r>
    </w:p>
    <w:p>
      <w:pPr>
        <w:spacing w:line="360" w:lineRule="auto"/>
        <w:jc w:val="both"/>
        <w:rPr>
          <w:rFonts w:ascii="Book Antiqua" w:hAnsi="Book Antiqua"/>
          <w:lang w:eastAsia="zh-CN"/>
        </w:rPr>
      </w:pPr>
    </w:p>
    <w:p>
      <w:pPr>
        <w:spacing w:line="360" w:lineRule="auto"/>
        <w:jc w:val="both"/>
        <w:rPr>
          <w:rFonts w:ascii="Book Antiqua" w:hAnsi="Book Antiqua" w:cs="Book Antiqua"/>
          <w:b/>
          <w:i/>
          <w:color w:val="000000"/>
          <w:lang w:eastAsia="zh-CN"/>
        </w:rPr>
      </w:pPr>
      <w:r>
        <w:rPr>
          <w:rFonts w:ascii="Book Antiqua" w:hAnsi="Book Antiqua" w:eastAsia="Book Antiqua" w:cs="Book Antiqua"/>
          <w:b/>
          <w:i/>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IBM SPSS statistics 23.0 (SPSS, Inc., Chicago, Illinois, U</w:t>
      </w:r>
      <w:r>
        <w:rPr>
          <w:rFonts w:hint="eastAsia" w:ascii="Book Antiqua" w:hAnsi="Book Antiqua" w:cs="Book Antiqua"/>
          <w:color w:val="000000"/>
          <w:lang w:eastAsia="zh-CN"/>
        </w:rPr>
        <w:t>nited States</w:t>
      </w:r>
      <w:r>
        <w:rPr>
          <w:rFonts w:ascii="Book Antiqua" w:hAnsi="Book Antiqua" w:eastAsia="Book Antiqua" w:cs="Book Antiqua"/>
          <w:color w:val="000000"/>
        </w:rPr>
        <w:t>) and GraphPad prism software (version 5.0) were used for statistical analys</w:t>
      </w:r>
      <w:r>
        <w:rPr>
          <w:rFonts w:hint="eastAsia" w:ascii="Book Antiqua" w:hAnsi="Book Antiqua" w:eastAsia="宋体" w:cs="Book Antiqua"/>
          <w:color w:val="000000"/>
          <w:lang w:val="en-US" w:eastAsia="zh-CN"/>
        </w:rPr>
        <w:t>e</w:t>
      </w:r>
      <w:r>
        <w:rPr>
          <w:rFonts w:ascii="Book Antiqua" w:hAnsi="Book Antiqua" w:eastAsia="Book Antiqua" w:cs="Book Antiqua"/>
          <w:color w:val="000000"/>
        </w:rPr>
        <w:t xml:space="preserve">s and mapping, respectively. </w:t>
      </w:r>
      <w:r>
        <w:rPr>
          <w:rFonts w:ascii="Book Antiqua" w:hAnsi="Book Antiqua" w:eastAsia="Book Antiqua" w:cs="Book Antiqua"/>
          <w:i/>
          <w:iCs/>
          <w:color w:val="000000"/>
        </w:rPr>
        <w:t>T</w:t>
      </w:r>
      <w:r>
        <w:rPr>
          <w:rFonts w:ascii="Book Antiqua" w:hAnsi="Book Antiqua" w:eastAsia="Book Antiqua" w:cs="Book Antiqua"/>
          <w:color w:val="000000"/>
        </w:rPr>
        <w:t xml:space="preserve">-test or chi-square test was used to analyze the differences in statistical data between various groups. The receiver operating characteristic (ROC) curve was generated to evaluate the difference in survival prediction capability </w:t>
      </w:r>
      <w:r>
        <w:rPr>
          <w:rFonts w:hint="eastAsia" w:ascii="Book Antiqua" w:hAnsi="Book Antiqua" w:eastAsia="宋体" w:cs="Book Antiqua"/>
          <w:color w:val="000000"/>
          <w:lang w:val="en-US" w:eastAsia="zh-CN"/>
        </w:rPr>
        <w:t>between different</w:t>
      </w:r>
      <w:r>
        <w:rPr>
          <w:rFonts w:ascii="Book Antiqua" w:hAnsi="Book Antiqua" w:eastAsia="Book Antiqua" w:cs="Book Antiqua"/>
          <w:color w:val="000000"/>
        </w:rPr>
        <w:t xml:space="preserve"> scoring system</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The Kaplan–Meier method was used for survival </w:t>
      </w:r>
      <w:r>
        <w:rPr>
          <w:rFonts w:hint="eastAsia" w:ascii="Book Antiqua" w:hAnsi="Book Antiqua" w:eastAsia="宋体" w:cs="Book Antiqua"/>
          <w:color w:val="000000"/>
          <w:lang w:val="en-US" w:eastAsia="zh-CN"/>
        </w:rPr>
        <w:t>analysis</w:t>
      </w:r>
      <w:r>
        <w:rPr>
          <w:rFonts w:ascii="Book Antiqua" w:hAnsi="Book Antiqua" w:eastAsia="Book Antiqua" w:cs="Book Antiqua"/>
          <w:color w:val="000000"/>
        </w:rPr>
        <w:t xml:space="preserve">, and log-rank test was employed to compare the difference in prognosis between various immune-nutritional system groups. </w:t>
      </w:r>
      <w:r>
        <w:rPr>
          <w:rFonts w:ascii="Book Antiqua" w:hAnsi="Book Antiqua" w:eastAsia="Book Antiqua" w:cs="Book Antiqua"/>
          <w:i/>
          <w:color w:val="000000"/>
        </w:rPr>
        <w:t>P</w:t>
      </w:r>
      <w:r>
        <w:rPr>
          <w:rFonts w:ascii="Book Antiqua" w:hAnsi="Book Antiqua" w:eastAsia="Book Antiqua" w:cs="Book Antiqua"/>
          <w:color w:val="000000"/>
        </w:rPr>
        <w:t xml:space="preserve"> &lt; 0.05 was considered statistically significant.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cs="Book Antiqua"/>
          <w:b/>
          <w:i/>
          <w:color w:val="000000"/>
          <w:lang w:eastAsia="zh-CN"/>
        </w:rPr>
      </w:pPr>
      <w:r>
        <w:rPr>
          <w:rFonts w:ascii="Book Antiqua" w:hAnsi="Book Antiqua" w:eastAsia="Book Antiqua" w:cs="Book Antiqua"/>
          <w:b/>
          <w:i/>
          <w:color w:val="000000"/>
        </w:rPr>
        <w:t>Clinical characteristics of patients</w:t>
      </w:r>
    </w:p>
    <w:p>
      <w:pPr>
        <w:spacing w:line="360" w:lineRule="auto"/>
        <w:jc w:val="both"/>
        <w:rPr>
          <w:rFonts w:ascii="Book Antiqua" w:hAnsi="Book Antiqua"/>
        </w:rPr>
      </w:pPr>
      <w:r>
        <w:rPr>
          <w:rFonts w:ascii="Book Antiqua" w:hAnsi="Book Antiqua" w:eastAsia="Book Antiqua" w:cs="Book Antiqua"/>
          <w:color w:val="000000"/>
        </w:rPr>
        <w:t>According to the inclusion and exclusion criteria, a total of 54 patients with RGC were included in this study. Among these patients, 42 were male (77.8%) and 12 were female (22.2%), and the median age was 70.5 years (ranging from 39</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to 87 years). A total of 28 patients (51.9%) and 26 patients (48.1%) had better or worse histological differentiation types, respectively. In addition, 26 patients had lymph node metastasis, accounting for 48.1% of all patients. Table 1 describes the potential different immune-nutritional system scoring groups among populations with different clinical characteristics.</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results show that no significant correlation exist</w:t>
      </w:r>
      <w:r>
        <w:rPr>
          <w:rFonts w:hint="eastAsia" w:ascii="Book Antiqua" w:hAnsi="Book Antiqua" w:eastAsia="宋体" w:cs="Book Antiqua"/>
          <w:color w:val="000000"/>
          <w:lang w:val="en-US" w:eastAsia="zh-CN"/>
        </w:rPr>
        <w:t>ed</w:t>
      </w:r>
      <w:r>
        <w:rPr>
          <w:rFonts w:ascii="Book Antiqua" w:hAnsi="Book Antiqua" w:eastAsia="Book Antiqua" w:cs="Book Antiqua"/>
          <w:color w:val="000000"/>
        </w:rPr>
        <w:t xml:space="preserve"> between most pathological features and immune-nutritional status in patients with RGC.</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b/>
          <w:i/>
          <w:color w:val="000000"/>
          <w:lang w:eastAsia="zh-CN"/>
        </w:rPr>
      </w:pPr>
      <w:r>
        <w:rPr>
          <w:rFonts w:ascii="Book Antiqua" w:hAnsi="Book Antiqua" w:eastAsia="Book Antiqua" w:cs="Book Antiqua"/>
          <w:b/>
          <w:i/>
          <w:color w:val="000000"/>
        </w:rPr>
        <w:t xml:space="preserve">ROC curve </w:t>
      </w:r>
      <w:r>
        <w:rPr>
          <w:rFonts w:hint="eastAsia" w:ascii="Book Antiqua" w:hAnsi="Book Antiqua" w:eastAsia="宋体" w:cs="Book Antiqua"/>
          <w:b/>
          <w:i/>
          <w:color w:val="000000"/>
          <w:lang w:val="en-US" w:eastAsia="zh-CN"/>
        </w:rPr>
        <w:t xml:space="preserve">analysis </w:t>
      </w:r>
      <w:r>
        <w:rPr>
          <w:rFonts w:ascii="Book Antiqua" w:hAnsi="Book Antiqua" w:eastAsia="Book Antiqua" w:cs="Book Antiqua"/>
          <w:b/>
          <w:i/>
          <w:color w:val="000000"/>
        </w:rPr>
        <w:t>of immune-nutritional systems for predicting postoperative survival</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Fasting blood indicators of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 xml:space="preserve">patients </w:t>
      </w:r>
      <w:r>
        <w:rPr>
          <w:rFonts w:hint="eastAsia" w:ascii="Book Antiqua" w:hAnsi="Book Antiqua" w:eastAsia="宋体" w:cs="Book Antiqua"/>
          <w:color w:val="000000"/>
          <w:lang w:val="en-US" w:eastAsia="zh-CN"/>
        </w:rPr>
        <w:t>were</w:t>
      </w:r>
      <w:r>
        <w:rPr>
          <w:rFonts w:ascii="Book Antiqua" w:hAnsi="Book Antiqua" w:eastAsia="Book Antiqua" w:cs="Book Antiqua"/>
          <w:color w:val="000000"/>
        </w:rPr>
        <w:t xml:space="preserve"> used to calculate the immune</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nutritional </w:t>
      </w:r>
      <w:r>
        <w:rPr>
          <w:rFonts w:hint="eastAsia" w:ascii="Book Antiqua" w:hAnsi="Book Antiqua" w:eastAsia="宋体" w:cs="Book Antiqua"/>
          <w:color w:val="000000"/>
          <w:lang w:val="en-US" w:eastAsia="zh-CN"/>
        </w:rPr>
        <w:t>scores</w:t>
      </w:r>
      <w:r>
        <w:rPr>
          <w:rFonts w:ascii="Book Antiqua" w:hAnsi="Book Antiqua" w:eastAsia="Book Antiqua" w:cs="Book Antiqua"/>
          <w:color w:val="000000"/>
        </w:rPr>
        <w:t xml:space="preserve">. Among these indicators, the average level of serum ALB was 38.75 g/L </w:t>
      </w:r>
      <w:r>
        <w:rPr>
          <w:rFonts w:hint="eastAsia" w:ascii="Book Antiqua" w:hAnsi="Book Antiqua" w:cs="Book Antiqua"/>
          <w:color w:val="000000"/>
          <w:lang w:eastAsia="zh-CN"/>
        </w:rPr>
        <w:t>[</w:t>
      </w:r>
      <w:r>
        <w:rPr>
          <w:rFonts w:ascii="Book Antiqua" w:hAnsi="Book Antiqua" w:eastAsia="Book Antiqua" w:cs="Book Antiqua"/>
          <w:color w:val="000000"/>
        </w:rPr>
        <w:t xml:space="preserve">95% confidence interval </w:t>
      </w:r>
      <w:r>
        <w:rPr>
          <w:rFonts w:hint="eastAsia" w:ascii="Book Antiqua" w:hAnsi="Book Antiqua" w:cs="Book Antiqua"/>
          <w:color w:val="000000"/>
          <w:lang w:eastAsia="zh-CN"/>
        </w:rPr>
        <w:t>(</w:t>
      </w:r>
      <w:r>
        <w:rPr>
          <w:rFonts w:ascii="Book Antiqua" w:hAnsi="Book Antiqua" w:eastAsia="Book Antiqua" w:cs="Book Antiqua"/>
          <w:color w:val="000000"/>
        </w:rPr>
        <w:t>CI</w:t>
      </w:r>
      <w:r>
        <w:rPr>
          <w:rFonts w:hint="eastAsia" w:ascii="Book Antiqua" w:hAnsi="Book Antiqua" w:cs="Book Antiqua"/>
          <w:color w:val="000000"/>
          <w:lang w:eastAsia="zh-CN"/>
        </w:rPr>
        <w:t>)</w:t>
      </w:r>
      <w:r>
        <w:rPr>
          <w:rFonts w:ascii="Book Antiqua" w:hAnsi="Book Antiqua" w:eastAsia="Book Antiqua" w:cs="Book Antiqua"/>
          <w:color w:val="000000"/>
        </w:rPr>
        <w:t>: 35.98–38.93 g/L</w:t>
      </w:r>
      <w:r>
        <w:rPr>
          <w:rFonts w:hint="eastAsia" w:ascii="Book Antiqua" w:hAnsi="Book Antiqua" w:cs="Book Antiqua"/>
          <w:color w:val="000000"/>
          <w:lang w:eastAsia="zh-CN"/>
        </w:rPr>
        <w:t>]</w:t>
      </w:r>
      <w:r>
        <w:rPr>
          <w:rFonts w:ascii="Book Antiqua" w:hAnsi="Book Antiqua" w:eastAsia="Book Antiqua" w:cs="Book Antiqua"/>
          <w:color w:val="000000"/>
        </w:rPr>
        <w:t>, TC was 168 mg/dL (95%</w:t>
      </w:r>
      <w:r>
        <w:rPr>
          <w:rFonts w:hint="eastAsia" w:ascii="Book Antiqua" w:hAnsi="Book Antiqua" w:cs="Book Antiqua"/>
          <w:color w:val="000000"/>
          <w:lang w:eastAsia="zh-CN"/>
        </w:rPr>
        <w:t>CI</w:t>
      </w:r>
      <w:r>
        <w:rPr>
          <w:rFonts w:ascii="Book Antiqua" w:hAnsi="Book Antiqua" w:eastAsia="Book Antiqua" w:cs="Book Antiqua"/>
          <w:color w:val="000000"/>
        </w:rPr>
        <w:t>: 157–179 mg/dL), and the average</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lymphocyte</w:t>
      </w:r>
      <w:r>
        <w:rPr>
          <w:rFonts w:hint="eastAsia" w:ascii="Book Antiqua" w:hAnsi="Book Antiqua" w:eastAsia="宋体" w:cs="Book Antiqua"/>
          <w:color w:val="000000"/>
          <w:lang w:val="en-US" w:eastAsia="zh-CN"/>
        </w:rPr>
        <w:t xml:space="preserve"> count</w:t>
      </w:r>
      <w:r>
        <w:rPr>
          <w:rFonts w:ascii="Book Antiqua" w:hAnsi="Book Antiqua" w:eastAsia="Book Antiqua" w:cs="Book Antiqua"/>
          <w:color w:val="000000"/>
        </w:rPr>
        <w:t xml:space="preserve"> was 1.30 × 10</w:t>
      </w:r>
      <w:r>
        <w:rPr>
          <w:rFonts w:ascii="Book Antiqua" w:hAnsi="Book Antiqua" w:eastAsia="Book Antiqua" w:cs="Book Antiqua"/>
          <w:color w:val="000000"/>
          <w:vertAlign w:val="superscript"/>
        </w:rPr>
        <w:t>9</w:t>
      </w:r>
      <w:r>
        <w:rPr>
          <w:rFonts w:ascii="Book Antiqua" w:hAnsi="Book Antiqua" w:eastAsia="Book Antiqua" w:cs="Book Antiqua"/>
          <w:color w:val="000000"/>
        </w:rPr>
        <w:t>/L</w:t>
      </w:r>
      <w:r>
        <w:rPr>
          <w:rFonts w:hint="eastAsia" w:ascii="Book Antiqua" w:hAnsi="Book Antiqua" w:cs="Book Antiqua"/>
          <w:color w:val="000000"/>
          <w:lang w:eastAsia="zh-CN"/>
        </w:rPr>
        <w:t xml:space="preserve"> </w:t>
      </w:r>
      <w:r>
        <w:rPr>
          <w:rFonts w:ascii="Book Antiqua" w:hAnsi="Book Antiqua" w:eastAsia="Book Antiqua" w:cs="Book Antiqua"/>
          <w:color w:val="000000"/>
        </w:rPr>
        <w:t>(95%CI: 1.16–1.44 × 10</w:t>
      </w:r>
      <w:r>
        <w:rPr>
          <w:rFonts w:ascii="Book Antiqua" w:hAnsi="Book Antiqua" w:eastAsia="Book Antiqua" w:cs="Book Antiqua"/>
          <w:color w:val="000000"/>
          <w:vertAlign w:val="superscript"/>
        </w:rPr>
        <w:t>9</w:t>
      </w:r>
      <w:r>
        <w:rPr>
          <w:rFonts w:ascii="Book Antiqua" w:hAnsi="Book Antiqua" w:eastAsia="Book Antiqua" w:cs="Book Antiqua"/>
          <w:color w:val="000000"/>
        </w:rPr>
        <w:t>/L); the average</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monocyte</w:t>
      </w:r>
      <w:r>
        <w:rPr>
          <w:rFonts w:hint="eastAsia" w:ascii="Book Antiqua" w:hAnsi="Book Antiqua" w:eastAsia="宋体" w:cs="Book Antiqua"/>
          <w:color w:val="000000"/>
          <w:lang w:val="en-US" w:eastAsia="zh-CN"/>
        </w:rPr>
        <w:t xml:space="preserve"> count</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was</w:t>
      </w:r>
      <w:r>
        <w:rPr>
          <w:rFonts w:ascii="Book Antiqua" w:hAnsi="Book Antiqua" w:eastAsia="Book Antiqua" w:cs="Book Antiqua"/>
          <w:color w:val="000000"/>
        </w:rPr>
        <w:t xml:space="preserve"> 0.40 × 10</w:t>
      </w:r>
      <w:r>
        <w:rPr>
          <w:rFonts w:ascii="Book Antiqua" w:hAnsi="Book Antiqua" w:eastAsia="Book Antiqua" w:cs="Book Antiqua"/>
          <w:color w:val="000000"/>
          <w:vertAlign w:val="superscript"/>
        </w:rPr>
        <w:t>9</w:t>
      </w:r>
      <w:r>
        <w:rPr>
          <w:rFonts w:ascii="Book Antiqua" w:hAnsi="Book Antiqua" w:eastAsia="Book Antiqua" w:cs="Book Antiqua"/>
          <w:color w:val="000000"/>
        </w:rPr>
        <w:t>/L (95%CI: 0.35–0.44 × 10</w:t>
      </w:r>
      <w:r>
        <w:rPr>
          <w:rFonts w:ascii="Book Antiqua" w:hAnsi="Book Antiqua" w:eastAsia="Book Antiqua" w:cs="Book Antiqua"/>
          <w:color w:val="000000"/>
          <w:vertAlign w:val="superscript"/>
        </w:rPr>
        <w:t>9</w:t>
      </w:r>
      <w:r>
        <w:rPr>
          <w:rFonts w:ascii="Book Antiqua" w:hAnsi="Book Antiqua" w:eastAsia="Book Antiqua" w:cs="Book Antiqua"/>
          <w:color w:val="000000"/>
        </w:rPr>
        <w:t>/L), the average</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neutrophil</w:t>
      </w:r>
      <w:r>
        <w:rPr>
          <w:rFonts w:hint="eastAsia" w:ascii="Book Antiqua" w:hAnsi="Book Antiqua" w:eastAsia="宋体" w:cs="Book Antiqua"/>
          <w:color w:val="000000"/>
          <w:lang w:val="en-US" w:eastAsia="zh-CN"/>
        </w:rPr>
        <w:t xml:space="preserve"> count</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was</w:t>
      </w:r>
      <w:r>
        <w:rPr>
          <w:rFonts w:ascii="Book Antiqua" w:hAnsi="Book Antiqua" w:eastAsia="Book Antiqua" w:cs="Book Antiqua"/>
          <w:color w:val="000000"/>
        </w:rPr>
        <w:t xml:space="preserve"> 3.61 × 10</w:t>
      </w:r>
      <w:r>
        <w:rPr>
          <w:rFonts w:ascii="Book Antiqua" w:hAnsi="Book Antiqua" w:eastAsia="Book Antiqua" w:cs="Book Antiqua"/>
          <w:color w:val="000000"/>
          <w:vertAlign w:val="superscript"/>
        </w:rPr>
        <w:t>9</w:t>
      </w:r>
      <w:r>
        <w:rPr>
          <w:rFonts w:ascii="Book Antiqua" w:hAnsi="Book Antiqua" w:eastAsia="Book Antiqua" w:cs="Book Antiqua"/>
          <w:color w:val="000000"/>
        </w:rPr>
        <w:t>/L (95%CI: 3.04–4.17 × 10</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/L), the calculated NLR </w:t>
      </w:r>
      <w:r>
        <w:rPr>
          <w:rFonts w:hint="eastAsia" w:ascii="Book Antiqua" w:hAnsi="Book Antiqua" w:eastAsia="宋体" w:cs="Book Antiqua"/>
          <w:color w:val="000000"/>
          <w:lang w:val="en-US" w:eastAsia="zh-CN"/>
        </w:rPr>
        <w:t>was</w:t>
      </w:r>
      <w:r>
        <w:rPr>
          <w:rFonts w:ascii="Book Antiqua" w:hAnsi="Book Antiqua" w:eastAsia="Book Antiqua" w:cs="Book Antiqua"/>
          <w:color w:val="000000"/>
        </w:rPr>
        <w:t xml:space="preserve"> 3.22 (95%</w:t>
      </w:r>
      <w:r>
        <w:rPr>
          <w:rFonts w:hint="eastAsia" w:ascii="Book Antiqua" w:hAnsi="Book Antiqua" w:cs="Book Antiqua"/>
          <w:color w:val="000000"/>
          <w:lang w:eastAsia="zh-CN"/>
        </w:rPr>
        <w:t>CI</w:t>
      </w:r>
      <w:r>
        <w:rPr>
          <w:rFonts w:ascii="Book Antiqua" w:hAnsi="Book Antiqua" w:eastAsia="Book Antiqua" w:cs="Book Antiqua"/>
          <w:color w:val="000000"/>
        </w:rPr>
        <w:t xml:space="preserve">: 2.45–4.00), and the LMR </w:t>
      </w:r>
      <w:r>
        <w:rPr>
          <w:rFonts w:hint="eastAsia" w:ascii="Book Antiqua" w:hAnsi="Book Antiqua" w:eastAsia="宋体" w:cs="Book Antiqua"/>
          <w:color w:val="000000"/>
          <w:lang w:val="en-US" w:eastAsia="zh-CN"/>
        </w:rPr>
        <w:t>was</w:t>
      </w:r>
      <w:r>
        <w:rPr>
          <w:rFonts w:ascii="Book Antiqua" w:hAnsi="Book Antiqua" w:eastAsia="Book Antiqua" w:cs="Book Antiqua"/>
          <w:color w:val="000000"/>
        </w:rPr>
        <w:t xml:space="preserve"> 3.71 (95%</w:t>
      </w:r>
      <w:r>
        <w:rPr>
          <w:rFonts w:hint="eastAsia" w:ascii="Book Antiqua" w:hAnsi="Book Antiqua" w:cs="Book Antiqua"/>
          <w:color w:val="000000"/>
          <w:lang w:eastAsia="zh-CN"/>
        </w:rPr>
        <w:t>CI</w:t>
      </w:r>
      <w:r>
        <w:rPr>
          <w:rFonts w:ascii="Book Antiqua" w:hAnsi="Book Antiqua" w:eastAsia="Book Antiqua" w:cs="Book Antiqua"/>
          <w:color w:val="000000"/>
        </w:rPr>
        <w:t>: 2.21–4.21).</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curves of the three immune-nutritional scores for predicting postoperative survival were </w:t>
      </w:r>
      <w:r>
        <w:rPr>
          <w:rFonts w:hint="eastAsia" w:ascii="Book Antiqua" w:hAnsi="Book Antiqua" w:eastAsia="宋体" w:cs="Book Antiqua"/>
          <w:color w:val="000000"/>
          <w:lang w:val="en-US" w:eastAsia="zh-CN"/>
        </w:rPr>
        <w:t>plotted</w:t>
      </w:r>
      <w:r>
        <w:rPr>
          <w:rFonts w:ascii="Book Antiqua" w:hAnsi="Book Antiqua" w:eastAsia="Book Antiqua" w:cs="Book Antiqua"/>
          <w:color w:val="000000"/>
        </w:rPr>
        <w:t xml:space="preserve"> (Figure 1). NPS was found to have the largest area under the curve (AUC = 0.707;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0.566–0.848; </w:t>
      </w:r>
      <w:r>
        <w:rPr>
          <w:rFonts w:ascii="Book Antiqua" w:hAnsi="Book Antiqua" w:eastAsia="Book Antiqua" w:cs="Book Antiqua"/>
          <w:i/>
          <w:iCs/>
          <w:color w:val="000000"/>
        </w:rPr>
        <w:t>P</w:t>
      </w:r>
      <w:r>
        <w:rPr>
          <w:rFonts w:ascii="Book Antiqua" w:hAnsi="Book Antiqua" w:eastAsia="Book Antiqua" w:cs="Book Antiqua"/>
          <w:color w:val="000000"/>
        </w:rPr>
        <w:t xml:space="preserve"> = 0.009). The AUC </w:t>
      </w:r>
      <w:r>
        <w:rPr>
          <w:rFonts w:hint="eastAsia" w:ascii="Book Antiqua" w:hAnsi="Book Antiqua" w:eastAsia="宋体" w:cs="Book Antiqua"/>
          <w:color w:val="000000"/>
          <w:lang w:val="en-US" w:eastAsia="zh-CN"/>
        </w:rPr>
        <w:t xml:space="preserve">values </w:t>
      </w:r>
      <w:r>
        <w:rPr>
          <w:rFonts w:ascii="Book Antiqua" w:hAnsi="Book Antiqua" w:eastAsia="Book Antiqua" w:cs="Book Antiqua"/>
          <w:color w:val="000000"/>
        </w:rPr>
        <w:t>of PNI and CONUT were 0.611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0.460–0.763; </w:t>
      </w:r>
      <w:r>
        <w:rPr>
          <w:rFonts w:ascii="Book Antiqua" w:hAnsi="Book Antiqua" w:eastAsia="Book Antiqua" w:cs="Book Antiqua"/>
          <w:i/>
          <w:iCs/>
          <w:color w:val="000000"/>
        </w:rPr>
        <w:t>P</w:t>
      </w:r>
      <w:r>
        <w:rPr>
          <w:rFonts w:ascii="Book Antiqua" w:hAnsi="Book Antiqua" w:eastAsia="Book Antiqua" w:cs="Book Antiqua"/>
          <w:color w:val="000000"/>
        </w:rPr>
        <w:t xml:space="preserve"> = 0.161) and 0.635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0.485–0.784; </w:t>
      </w:r>
      <w:r>
        <w:rPr>
          <w:rFonts w:ascii="Book Antiqua" w:hAnsi="Book Antiqua" w:eastAsia="Book Antiqua" w:cs="Book Antiqua"/>
          <w:i/>
          <w:iCs/>
          <w:color w:val="000000"/>
        </w:rPr>
        <w:t>P</w:t>
      </w:r>
      <w:r>
        <w:rPr>
          <w:rFonts w:ascii="Book Antiqua" w:hAnsi="Book Antiqua" w:eastAsia="Book Antiqua" w:cs="Book Antiqua"/>
          <w:color w:val="000000"/>
        </w:rPr>
        <w:t xml:space="preserve"> = 0.090), respectively.</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b/>
          <w:i/>
          <w:color w:val="000000"/>
          <w:lang w:eastAsia="zh-CN"/>
        </w:rPr>
      </w:pPr>
      <w:r>
        <w:rPr>
          <w:rFonts w:ascii="Book Antiqua" w:hAnsi="Book Antiqua" w:eastAsia="Book Antiqua" w:cs="Book Antiqua"/>
          <w:b/>
          <w:i/>
          <w:color w:val="000000"/>
        </w:rPr>
        <w:t>Analysis of OS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Cox regression analysis showed that tumor gross classification (</w:t>
      </w:r>
      <w:r>
        <w:rPr>
          <w:rFonts w:ascii="Book Antiqua" w:hAnsi="Book Antiqua" w:eastAsia="Book Antiqua" w:cs="Book Antiqua"/>
          <w:i/>
          <w:iCs/>
          <w:color w:val="000000"/>
        </w:rPr>
        <w:t>P</w:t>
      </w:r>
      <w:r>
        <w:rPr>
          <w:rFonts w:ascii="Book Antiqua" w:hAnsi="Book Antiqua" w:eastAsia="Book Antiqua" w:cs="Book Antiqua"/>
          <w:color w:val="000000"/>
        </w:rPr>
        <w:t xml:space="preserve"> = 0.014), pathological differentiation type (</w:t>
      </w:r>
      <w:r>
        <w:rPr>
          <w:rFonts w:ascii="Book Antiqua" w:hAnsi="Book Antiqua" w:eastAsia="Book Antiqua" w:cs="Book Antiqua"/>
          <w:i/>
          <w:iCs/>
          <w:color w:val="000000"/>
        </w:rPr>
        <w:t>P</w:t>
      </w:r>
      <w:r>
        <w:rPr>
          <w:rFonts w:ascii="Book Antiqua" w:hAnsi="Book Antiqua" w:eastAsia="Book Antiqua" w:cs="Book Antiqua"/>
          <w:color w:val="000000"/>
        </w:rPr>
        <w:t xml:space="preserve"> = 0.032), lymph node metastasis (</w:t>
      </w:r>
      <w:r>
        <w:rPr>
          <w:rFonts w:ascii="Book Antiqua" w:hAnsi="Book Antiqua" w:eastAsia="Book Antiqua" w:cs="Book Antiqua"/>
          <w:i/>
          <w:color w:val="000000"/>
        </w:rPr>
        <w:t>P</w:t>
      </w:r>
      <w:r>
        <w:rPr>
          <w:rFonts w:ascii="Book Antiqua" w:hAnsi="Book Antiqua" w:eastAsia="Book Antiqua" w:cs="Book Antiqua"/>
          <w:color w:val="000000"/>
        </w:rPr>
        <w:t xml:space="preserve"> &lt; 0.001), </w:t>
      </w:r>
      <w:r>
        <w:rPr>
          <w:rFonts w:ascii="Book Antiqua" w:hAnsi="Book Antiqua" w:cs="Book Antiqua"/>
          <w:color w:val="000000"/>
          <w:lang w:eastAsia="zh-CN"/>
        </w:rPr>
        <w:t>c</w:t>
      </w:r>
      <w:r>
        <w:rPr>
          <w:rFonts w:ascii="Book Antiqua" w:hAnsi="Book Antiqua" w:eastAsia="Book Antiqua" w:cs="Book Antiqua"/>
          <w:color w:val="000000"/>
        </w:rPr>
        <w:t>linical Tumor-Node-Metastasis status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and three immune-nutritional scoring systems, namely</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PNI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CONUT (</w:t>
      </w:r>
      <w:r>
        <w:rPr>
          <w:rFonts w:ascii="Book Antiqua" w:hAnsi="Book Antiqua" w:eastAsia="Book Antiqua" w:cs="Book Antiqua"/>
          <w:i/>
          <w:iCs/>
          <w:color w:val="000000"/>
        </w:rPr>
        <w:t>P</w:t>
      </w:r>
      <w:r>
        <w:rPr>
          <w:rFonts w:ascii="Book Antiqua" w:hAnsi="Book Antiqua" w:eastAsia="Book Antiqua" w:cs="Book Antiqua"/>
          <w:color w:val="000000"/>
        </w:rPr>
        <w:t xml:space="preserve"> = 0.039), and NPS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were significantly correlated with OS. In addition, no significant correlation was found between age, sex, primary tumor size, </w:t>
      </w:r>
      <w:r>
        <w:rPr>
          <w:rFonts w:hint="eastAsia" w:ascii="Book Antiqua" w:hAnsi="Book Antiqua" w:eastAsia="宋体" w:cs="Book Antiqua"/>
          <w:color w:val="000000"/>
          <w:lang w:val="en-US" w:eastAsia="zh-CN"/>
        </w:rPr>
        <w:t xml:space="preserve">and </w:t>
      </w:r>
      <w:r>
        <w:rPr>
          <w:rFonts w:ascii="Book Antiqua" w:hAnsi="Book Antiqua" w:eastAsia="Book Antiqua" w:cs="Book Antiqua"/>
          <w:color w:val="000000"/>
        </w:rPr>
        <w:t>T stage</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and OS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w:t>
      </w:r>
      <w:r>
        <w:rPr>
          <w:rFonts w:hint="eastAsia" w:ascii="Book Antiqua" w:hAnsi="Book Antiqua" w:eastAsia="宋体" w:cs="Book Antiqua"/>
          <w:color w:val="000000"/>
          <w:lang w:val="en-US" w:eastAsia="zh-CN"/>
        </w:rPr>
        <w:t xml:space="preserve"> for all</w:t>
      </w:r>
      <w:r>
        <w:rPr>
          <w:rFonts w:ascii="Book Antiqua" w:hAnsi="Book Antiqua" w:eastAsia="Book Antiqua" w:cs="Book Antiqua"/>
          <w:color w:val="000000"/>
        </w:rPr>
        <w:t>) (Table 2).</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Kaplan–Meier analysis was used to analyze the relationship between PNI, CONUT, and NPS scores and prognosis. The analysis showed that the median OS of patients with </w:t>
      </w:r>
      <w:r>
        <w:rPr>
          <w:rFonts w:hint="eastAsia" w:ascii="Book Antiqua" w:hAnsi="Book Antiqua" w:eastAsia="宋体" w:cs="Book Antiqua"/>
          <w:color w:val="000000"/>
          <w:lang w:val="en-US" w:eastAsia="zh-CN"/>
        </w:rPr>
        <w:t xml:space="preserve">a </w:t>
      </w:r>
      <w:r>
        <w:rPr>
          <w:rFonts w:ascii="Book Antiqua" w:hAnsi="Book Antiqua" w:eastAsia="Book Antiqua" w:cs="Book Antiqua"/>
          <w:color w:val="000000"/>
        </w:rPr>
        <w:t xml:space="preserve">low immune-nutritional risk was significantly higher than that of patients with </w:t>
      </w:r>
      <w:r>
        <w:rPr>
          <w:rFonts w:hint="eastAsia" w:ascii="Book Antiqua" w:hAnsi="Book Antiqua" w:eastAsia="宋体" w:cs="Book Antiqua"/>
          <w:color w:val="000000"/>
          <w:lang w:val="en-US" w:eastAsia="zh-CN"/>
        </w:rPr>
        <w:t xml:space="preserve">a </w:t>
      </w:r>
      <w:r>
        <w:rPr>
          <w:rFonts w:ascii="Book Antiqua" w:hAnsi="Book Antiqua" w:eastAsia="Book Antiqua" w:cs="Book Antiqua"/>
          <w:color w:val="000000"/>
        </w:rPr>
        <w:t>high immune-nutritional risk</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PNI</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75 mo</w:t>
      </w:r>
      <w:r>
        <w:rPr>
          <w:rFonts w:hint="eastAsia" w:ascii="Book Antiqua" w:hAnsi="Book Antiqua" w:eastAsia="宋体" w:cs="Book Antiqua"/>
          <w:color w:val="000000"/>
          <w:lang w:val="en-US" w:eastAsia="zh-CN"/>
        </w:rPr>
        <w:t xml:space="preserve"> </w:t>
      </w:r>
      <w:r>
        <w:rPr>
          <w:rFonts w:hint="eastAsia" w:ascii="Book Antiqua" w:hAnsi="Book Antiqua" w:eastAsia="宋体" w:cs="Book Antiqua"/>
          <w:i/>
          <w:iCs/>
          <w:color w:val="000000"/>
          <w:lang w:val="en-US" w:eastAsia="zh-CN"/>
        </w:rPr>
        <w:t>vs</w:t>
      </w:r>
      <w:r>
        <w:rPr>
          <w:rFonts w:ascii="Book Antiqua" w:hAnsi="Book Antiqua" w:eastAsia="Book Antiqua" w:cs="Book Antiqua"/>
          <w:color w:val="000000"/>
        </w:rPr>
        <w:t xml:space="preserve"> 42 mo,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CONUT</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69 mo</w:t>
      </w:r>
      <w:r>
        <w:rPr>
          <w:rFonts w:hint="eastAsia" w:ascii="Book Antiqua" w:hAnsi="Book Antiqua" w:eastAsia="宋体" w:cs="Book Antiqua"/>
          <w:color w:val="000000"/>
          <w:lang w:val="en-US" w:eastAsia="zh-CN"/>
        </w:rPr>
        <w:t xml:space="preserve"> </w:t>
      </w:r>
      <w:r>
        <w:rPr>
          <w:rFonts w:hint="eastAsia" w:ascii="Book Antiqua" w:hAnsi="Book Antiqua" w:eastAsia="宋体" w:cs="Book Antiqua"/>
          <w:i/>
          <w:iCs/>
          <w:color w:val="000000"/>
          <w:lang w:val="en-US" w:eastAsia="zh-CN"/>
        </w:rPr>
        <w:t>vs</w:t>
      </w:r>
      <w:r>
        <w:rPr>
          <w:rFonts w:ascii="Book Antiqua" w:hAnsi="Book Antiqua" w:eastAsia="Book Antiqua" w:cs="Book Antiqua"/>
          <w:color w:val="000000"/>
        </w:rPr>
        <w:t xml:space="preserve"> 48 mo, </w:t>
      </w:r>
      <w:r>
        <w:rPr>
          <w:rFonts w:ascii="Book Antiqua" w:hAnsi="Book Antiqua" w:eastAsia="Book Antiqua" w:cs="Book Antiqua"/>
          <w:i/>
          <w:iCs/>
          <w:color w:val="000000"/>
        </w:rPr>
        <w:t>P</w:t>
      </w:r>
      <w:r>
        <w:rPr>
          <w:rFonts w:ascii="Book Antiqua" w:hAnsi="Book Antiqua" w:eastAsia="Book Antiqua" w:cs="Book Antiqua"/>
          <w:color w:val="000000"/>
        </w:rPr>
        <w:t xml:space="preserve"> = 0.033; NPS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77 mo</w:t>
      </w:r>
      <w:r>
        <w:rPr>
          <w:rFonts w:hint="eastAsia" w:ascii="Book Antiqua" w:hAnsi="Book Antiqua" w:eastAsia="宋体" w:cs="Book Antiqua"/>
          <w:color w:val="000000"/>
          <w:lang w:val="en-US" w:eastAsia="zh-CN"/>
        </w:rPr>
        <w:t xml:space="preserve"> </w:t>
      </w:r>
      <w:r>
        <w:rPr>
          <w:rFonts w:hint="eastAsia" w:ascii="Book Antiqua" w:hAnsi="Book Antiqua" w:eastAsia="宋体" w:cs="Book Antiqua"/>
          <w:i/>
          <w:iCs/>
          <w:color w:val="000000"/>
          <w:lang w:val="en-US" w:eastAsia="zh-CN"/>
        </w:rPr>
        <w:t>vs</w:t>
      </w:r>
      <w:r>
        <w:rPr>
          <w:rFonts w:ascii="Book Antiqua" w:hAnsi="Book Antiqua" w:eastAsia="Book Antiqua" w:cs="Book Antiqua"/>
          <w:color w:val="000000"/>
        </w:rPr>
        <w:t xml:space="preserve"> 40 mo;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(Figure 2). This finding </w:t>
      </w:r>
      <w:r>
        <w:rPr>
          <w:rFonts w:hint="eastAsia" w:ascii="Book Antiqua" w:hAnsi="Book Antiqua" w:eastAsia="宋体" w:cs="Book Antiqua"/>
          <w:color w:val="000000"/>
          <w:lang w:val="en-US" w:eastAsia="zh-CN"/>
        </w:rPr>
        <w:t>suggests</w:t>
      </w:r>
      <w:r>
        <w:rPr>
          <w:rFonts w:ascii="Book Antiqua" w:hAnsi="Book Antiqua" w:eastAsia="Book Antiqua" w:cs="Book Antiqua"/>
          <w:color w:val="000000"/>
        </w:rPr>
        <w:t xml:space="preserve"> that the three immune-nutritional systems can significantly predict the prognosis of patients. </w:t>
      </w:r>
      <w:r>
        <w:rPr>
          <w:rFonts w:hint="eastAsia" w:ascii="Book Antiqua" w:hAnsi="Book Antiqua" w:eastAsia="宋体" w:cs="Book Antiqua"/>
          <w:color w:val="000000"/>
          <w:lang w:val="en-US" w:eastAsia="zh-CN"/>
        </w:rPr>
        <w:t>Of note</w:t>
      </w:r>
      <w:r>
        <w:rPr>
          <w:rFonts w:ascii="Book Antiqua" w:hAnsi="Book Antiqua" w:eastAsia="Book Antiqua" w:cs="Book Antiqua"/>
          <w:color w:val="000000"/>
        </w:rPr>
        <w:t>, the NPS system demonstrate</w:t>
      </w:r>
      <w:r>
        <w:rPr>
          <w:rFonts w:hint="eastAsia" w:ascii="Book Antiqua" w:hAnsi="Book Antiqua" w:eastAsia="宋体" w:cs="Book Antiqua"/>
          <w:color w:val="000000"/>
          <w:lang w:val="en-US" w:eastAsia="zh-CN"/>
        </w:rPr>
        <w:t>d</w:t>
      </w:r>
      <w:r>
        <w:rPr>
          <w:rFonts w:ascii="Book Antiqua" w:hAnsi="Book Antiqua" w:eastAsia="Book Antiqua" w:cs="Book Antiqua"/>
          <w:color w:val="000000"/>
        </w:rPr>
        <w:t xml:space="preserve"> the best prediction capability.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An increasing number of studies have shown that immunity and nutrition are closely related to the occurrence and development of cancer, which has led to the research and development of biomarkers or prognostic scoring systems based on immunity and nutrition</w:t>
      </w:r>
      <w:r>
        <w:rPr>
          <w:rFonts w:ascii="Book Antiqua" w:hAnsi="Book Antiqua" w:eastAsia="Book Antiqua" w:cs="Book Antiqua"/>
          <w:color w:val="000000"/>
          <w:vertAlign w:val="superscript"/>
        </w:rPr>
        <w:t>[14-16]</w:t>
      </w:r>
      <w:r>
        <w:rPr>
          <w:rFonts w:ascii="Book Antiqua" w:hAnsi="Book Antiqua" w:eastAsia="Book Antiqua" w:cs="Book Antiqua"/>
          <w:color w:val="000000"/>
        </w:rPr>
        <w:t>. The nutritional status of patients is often worse after partial gastrectomy and frequently combined with poor immune status, leading to the crucial evaluation of immune-nutritional indicators in patients with RGC</w:t>
      </w:r>
      <w:r>
        <w:rPr>
          <w:rFonts w:ascii="Book Antiqua" w:hAnsi="Book Antiqua" w:eastAsia="Book Antiqua" w:cs="Book Antiqua"/>
          <w:color w:val="000000"/>
          <w:vertAlign w:val="superscript"/>
        </w:rPr>
        <w:t>[12,13]</w:t>
      </w:r>
      <w:r>
        <w:rPr>
          <w:rFonts w:ascii="Book Antiqua" w:hAnsi="Book Antiqua" w:eastAsia="Book Antiqua" w:cs="Book Antiqua"/>
          <w:color w:val="000000"/>
        </w:rPr>
        <w:t xml:space="preserve">. Appropriate treatment strategies can be formulated by evaluating the relationship between immune-nutritional systems and the postoperative prognosis of patients with RGC. Three immune-nutritional systems are analyzed in the current study based on the calculation of inflammatory cells in routine blood tests and nutritional indicators, such as ALB and TC. The results showed that PNI, CONUT, and NPS can accurately predict the postoperative OS of patients with RGC. Among the three scoring systems, NPS has </w:t>
      </w:r>
      <w:r>
        <w:rPr>
          <w:rFonts w:hint="eastAsia" w:ascii="Book Antiqua" w:hAnsi="Book Antiqua" w:eastAsia="宋体" w:cs="Book Antiqua"/>
          <w:color w:val="000000"/>
          <w:lang w:val="en-US" w:eastAsia="zh-CN"/>
        </w:rPr>
        <w:t xml:space="preserve">a </w:t>
      </w:r>
      <w:r>
        <w:rPr>
          <w:rFonts w:ascii="Book Antiqua" w:hAnsi="Book Antiqua" w:eastAsia="Book Antiqua" w:cs="Book Antiqua"/>
          <w:color w:val="000000"/>
        </w:rPr>
        <w:t>superior accuracy.</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Inflammatory cells participate in the destruction of tumor cells and angiogenesis in the tumor microenvironment and regulate the sensitivity of tumors to radiotherapy and chemotherapy drugs. Lymphocytes are the main antitumor cells and play an important role in cell-mediated immune response by recognizing and killing cancer cells</w:t>
      </w:r>
      <w:r>
        <w:rPr>
          <w:rFonts w:ascii="Book Antiqua" w:hAnsi="Book Antiqua" w:eastAsia="Book Antiqua" w:cs="Book Antiqua"/>
          <w:color w:val="000000"/>
          <w:vertAlign w:val="superscript"/>
        </w:rPr>
        <w:t>[27]</w:t>
      </w:r>
      <w:r>
        <w:rPr>
          <w:rFonts w:ascii="Book Antiqua" w:hAnsi="Book Antiqua" w:eastAsia="Book Antiqua" w:cs="Book Antiqua"/>
          <w:color w:val="000000"/>
        </w:rPr>
        <w:t>. Lymphopenia is related to the adverse reactions and prognosis of a variety of malignant tumors, including GC</w:t>
      </w:r>
      <w:r>
        <w:rPr>
          <w:rFonts w:ascii="Book Antiqua" w:hAnsi="Book Antiqua" w:eastAsia="Book Antiqua" w:cs="Book Antiqua"/>
          <w:color w:val="000000"/>
          <w:vertAlign w:val="superscript"/>
        </w:rPr>
        <w:t>[28,29]</w:t>
      </w:r>
      <w:r>
        <w:rPr>
          <w:rFonts w:ascii="Book Antiqua" w:hAnsi="Book Antiqua" w:eastAsia="Book Antiqua" w:cs="Book Antiqua"/>
          <w:color w:val="000000"/>
        </w:rPr>
        <w:t>. However, patients with malignant tumor with increased neutrophil infiltration often have poor clinical outcomes. Neutrophils can promote tumor formation by releasing cytokines and stimulate tumor cell proliferation and metastasis</w:t>
      </w:r>
      <w:r>
        <w:rPr>
          <w:rFonts w:ascii="Book Antiqua" w:hAnsi="Book Antiqua" w:eastAsia="Book Antiqua" w:cs="Book Antiqua"/>
          <w:color w:val="000000"/>
          <w:vertAlign w:val="superscript"/>
        </w:rPr>
        <w:t>[30,31]</w:t>
      </w:r>
      <w:r>
        <w:rPr>
          <w:rFonts w:ascii="Book Antiqua" w:hAnsi="Book Antiqua" w:eastAsia="Book Antiqua" w:cs="Book Antiqua"/>
          <w:color w:val="000000"/>
        </w:rPr>
        <w:t>. Tumor-associated macrophages and blood monocytes are also involved in tumor progression and metastasis and the improvement of tumor microenvironment through a variety of mechanisms</w:t>
      </w:r>
      <w:r>
        <w:rPr>
          <w:rFonts w:ascii="Book Antiqua" w:hAnsi="Book Antiqua" w:eastAsia="Book Antiqua" w:cs="Book Antiqua"/>
          <w:color w:val="000000"/>
          <w:vertAlign w:val="superscript"/>
        </w:rPr>
        <w:t>[32,33]</w:t>
      </w:r>
      <w:r>
        <w:rPr>
          <w:rFonts w:ascii="Book Antiqua" w:hAnsi="Book Antiqua" w:eastAsia="Book Antiqua" w:cs="Book Antiqua"/>
          <w:color w:val="000000"/>
        </w:rPr>
        <w:t>. Thus far, an increasing number of immune cell-based prognostic parameters, including NLR and LMR, have been studied and reported</w:t>
      </w:r>
      <w:r>
        <w:rPr>
          <w:rFonts w:ascii="Book Antiqua" w:hAnsi="Book Antiqua" w:eastAsia="Book Antiqua" w:cs="Book Antiqua"/>
          <w:color w:val="000000"/>
          <w:vertAlign w:val="superscript"/>
        </w:rPr>
        <w:t>[19,20,34]</w:t>
      </w:r>
      <w:r>
        <w:rPr>
          <w:rFonts w:ascii="Book Antiqua" w:hAnsi="Book Antiqua" w:eastAsia="Book Antiqua" w:cs="Book Antiqua"/>
          <w:color w:val="000000"/>
        </w:rPr>
        <w:t xml:space="preserve">. NLR and LMR are objective markers that reflect the inflammatory and immune status of the host. The increase in NLR and the decrease in LMR in patients are usually associated with </w:t>
      </w:r>
      <w:r>
        <w:rPr>
          <w:rFonts w:hint="eastAsia" w:ascii="Book Antiqua" w:hAnsi="Book Antiqua" w:eastAsia="宋体" w:cs="Book Antiqua"/>
          <w:color w:val="000000"/>
          <w:lang w:val="en-US" w:eastAsia="zh-CN"/>
        </w:rPr>
        <w:t xml:space="preserve">a </w:t>
      </w:r>
      <w:r>
        <w:rPr>
          <w:rFonts w:ascii="Book Antiqua" w:hAnsi="Book Antiqua" w:eastAsia="Book Antiqua" w:cs="Book Antiqua"/>
          <w:color w:val="000000"/>
        </w:rPr>
        <w:t>poor prognosis</w:t>
      </w:r>
      <w:r>
        <w:rPr>
          <w:rFonts w:ascii="Book Antiqua" w:hAnsi="Book Antiqua" w:eastAsia="Book Antiqua" w:cs="Book Antiqua"/>
          <w:color w:val="000000"/>
          <w:vertAlign w:val="superscript"/>
        </w:rPr>
        <w:t>[21,35]</w:t>
      </w:r>
      <w:r>
        <w:rPr>
          <w:rFonts w:ascii="Book Antiqua" w:hAnsi="Book Antiqua" w:eastAsia="Book Antiqua" w:cs="Book Antiqua"/>
          <w:color w:val="000000"/>
        </w:rPr>
        <w:t>.</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Malnutrition is closely related to tumor growth, angiogenesis, and progression. Serum ALB concentration is an important marker of nutrition. In a variety of tumors, patients with hypoalbuminemia usually represent a high degree of malignancy, which often indicates a poor prognosis</w:t>
      </w:r>
      <w:r>
        <w:rPr>
          <w:rFonts w:ascii="Book Antiqua" w:hAnsi="Book Antiqua" w:eastAsia="Book Antiqua" w:cs="Book Antiqua"/>
          <w:color w:val="000000"/>
          <w:vertAlign w:val="superscript"/>
        </w:rPr>
        <w:t>[23,36]</w:t>
      </w:r>
      <w:r>
        <w:rPr>
          <w:rFonts w:ascii="Book Antiqua" w:hAnsi="Book Antiqua" w:eastAsia="Book Antiqua" w:cs="Book Antiqua"/>
          <w:color w:val="000000"/>
        </w:rPr>
        <w:t xml:space="preserve">. Almost all nutritional prognosis scoring systems cover serum ALB levels, such as C-reactive protein to ALB ratio, Glasgow diagnostic score, as well as PNI, CONUT, and NPS discussed in this study, due to </w:t>
      </w:r>
      <w:r>
        <w:rPr>
          <w:rFonts w:hint="eastAsia" w:ascii="Book Antiqua" w:hAnsi="Book Antiqua" w:eastAsia="宋体" w:cs="Book Antiqua"/>
          <w:color w:val="000000"/>
          <w:lang w:val="en-US" w:eastAsia="zh-CN"/>
        </w:rPr>
        <w:t>its</w:t>
      </w:r>
      <w:r>
        <w:rPr>
          <w:rFonts w:ascii="Book Antiqua" w:hAnsi="Book Antiqua" w:eastAsia="Book Antiqua" w:cs="Book Antiqua"/>
          <w:color w:val="000000"/>
        </w:rPr>
        <w:t xml:space="preserve"> important significance in malignant tumors</w:t>
      </w:r>
      <w:r>
        <w:rPr>
          <w:rFonts w:ascii="Book Antiqua" w:hAnsi="Book Antiqua" w:eastAsia="Book Antiqua" w:cs="Book Antiqua"/>
          <w:color w:val="000000"/>
          <w:vertAlign w:val="superscript"/>
        </w:rPr>
        <w:t>[37,38]</w:t>
      </w:r>
      <w:r>
        <w:rPr>
          <w:rFonts w:ascii="Book Antiqua" w:hAnsi="Book Antiqua" w:eastAsia="Book Antiqua" w:cs="Book Antiqua"/>
          <w:color w:val="000000"/>
        </w:rPr>
        <w:t xml:space="preserve">. Simultaneously, TC content is also one of the indicators of tumor prognosis. Hypocholesterolemia is associated with </w:t>
      </w:r>
      <w:r>
        <w:rPr>
          <w:rFonts w:hint="eastAsia" w:ascii="Book Antiqua" w:hAnsi="Book Antiqua" w:eastAsia="宋体" w:cs="Book Antiqua"/>
          <w:color w:val="000000"/>
          <w:lang w:val="en-US" w:eastAsia="zh-CN"/>
        </w:rPr>
        <w:t xml:space="preserve">a </w:t>
      </w:r>
      <w:r>
        <w:rPr>
          <w:rFonts w:ascii="Book Antiqua" w:hAnsi="Book Antiqua" w:eastAsia="Book Antiqua" w:cs="Book Antiqua"/>
          <w:color w:val="000000"/>
        </w:rPr>
        <w:t xml:space="preserve">poor prognosis </w:t>
      </w:r>
      <w:r>
        <w:rPr>
          <w:rFonts w:hint="eastAsia" w:ascii="Book Antiqua" w:hAnsi="Book Antiqua" w:eastAsia="宋体" w:cs="Book Antiqua"/>
          <w:color w:val="000000"/>
          <w:lang w:val="en-US" w:eastAsia="zh-CN"/>
        </w:rPr>
        <w:t>in</w:t>
      </w:r>
      <w:r>
        <w:rPr>
          <w:rFonts w:ascii="Book Antiqua" w:hAnsi="Book Antiqua" w:eastAsia="Book Antiqua" w:cs="Book Antiqua"/>
          <w:color w:val="000000"/>
        </w:rPr>
        <w:t xml:space="preserve"> many tumors, including prostate cancer and non-small cell lung cancer</w:t>
      </w:r>
      <w:r>
        <w:rPr>
          <w:rFonts w:ascii="Book Antiqua" w:hAnsi="Book Antiqua" w:eastAsia="Book Antiqua" w:cs="Book Antiqua"/>
          <w:color w:val="000000"/>
          <w:vertAlign w:val="superscript"/>
        </w:rPr>
        <w:t>[22,39]</w:t>
      </w:r>
      <w:r>
        <w:rPr>
          <w:rFonts w:ascii="Book Antiqua" w:hAnsi="Book Antiqua" w:eastAsia="Book Antiqua" w:cs="Book Antiqua"/>
          <w:color w:val="000000"/>
        </w:rPr>
        <w:t>. Cholesterol integrates into specialized lipoprotein membrane domains, forms signal transduction mechanisms, and participates in a variety of key cellular signaling pathways</w:t>
      </w:r>
      <w:r>
        <w:rPr>
          <w:rFonts w:ascii="Book Antiqua" w:hAnsi="Book Antiqua" w:eastAsia="Book Antiqua" w:cs="Book Antiqua"/>
          <w:color w:val="000000"/>
          <w:vertAlign w:val="superscript"/>
        </w:rPr>
        <w:t>[40]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scoring system formed by combining immune and nutritional indicators can effectively reflect the physical condition of patients and improve the efficacy of predicting prognosis. This study calculated the PNI, CONUT, and NPS scores of patients according to their blood indicators. Survival analysis revealed that the three scoring systems can show good prediction efficiency. PNI, an index related to ALB concentration and lymphocyte count, has been used to predict the risk of postoperative complications and the OS of patients with GC and other cancers</w:t>
      </w:r>
      <w:r>
        <w:rPr>
          <w:rFonts w:ascii="Book Antiqua" w:hAnsi="Book Antiqua" w:eastAsia="Book Antiqua" w:cs="Book Antiqua"/>
          <w:color w:val="000000"/>
          <w:vertAlign w:val="superscript"/>
        </w:rPr>
        <w:t>[24,41,42]</w:t>
      </w:r>
      <w:r>
        <w:rPr>
          <w:rFonts w:ascii="Book Antiqua" w:hAnsi="Book Antiqua" w:eastAsia="Book Antiqua" w:cs="Book Antiqua"/>
          <w:color w:val="000000"/>
        </w:rPr>
        <w:t xml:space="preserve">. The CONUT score is an index related to ALB concentration, lymphocyte count, and TC concentration. Studies have shown that the CONUT score is strongly correlated with the survival rate of patients with thyroid cancer; it is also an independent risk factor </w:t>
      </w:r>
      <w:r>
        <w:rPr>
          <w:rFonts w:hint="eastAsia" w:ascii="Book Antiqua" w:hAnsi="Book Antiqua" w:eastAsia="宋体" w:cs="Book Antiqua"/>
          <w:color w:val="000000"/>
          <w:lang w:val="en-US" w:eastAsia="zh-CN"/>
        </w:rPr>
        <w:t>for</w:t>
      </w:r>
      <w:r>
        <w:rPr>
          <w:rFonts w:ascii="Book Antiqua" w:hAnsi="Book Antiqua" w:eastAsia="Book Antiqua" w:cs="Book Antiqua"/>
          <w:color w:val="000000"/>
        </w:rPr>
        <w:t xml:space="preserve"> lung cancer prognosis</w:t>
      </w:r>
      <w:r>
        <w:rPr>
          <w:rFonts w:ascii="Book Antiqua" w:hAnsi="Book Antiqua" w:eastAsia="Book Antiqua" w:cs="Book Antiqua"/>
          <w:color w:val="000000"/>
          <w:vertAlign w:val="superscript"/>
        </w:rPr>
        <w:t>[25,43]</w:t>
      </w:r>
      <w:r>
        <w:rPr>
          <w:rFonts w:ascii="Book Antiqua" w:hAnsi="Book Antiqua" w:eastAsia="Book Antiqua" w:cs="Book Antiqua"/>
          <w:color w:val="000000"/>
        </w:rPr>
        <w:t>. NPS is an index related to serum ALB concentration, TC concentration, LMR, and NLR and has been proven to be a predictor of OS in a variety of tumors. NPS has better predictive value than clinical prognostic parameters alone in patients with resected pancreatic cancer</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In esophageal cancer, high NPS is associated with </w:t>
      </w:r>
      <w:r>
        <w:rPr>
          <w:rFonts w:hint="eastAsia" w:ascii="Book Antiqua" w:hAnsi="Book Antiqua" w:eastAsia="宋体" w:cs="Book Antiqua"/>
          <w:color w:val="000000"/>
          <w:lang w:val="en-US" w:eastAsia="zh-CN"/>
        </w:rPr>
        <w:t xml:space="preserve">a </w:t>
      </w:r>
      <w:r>
        <w:rPr>
          <w:rFonts w:ascii="Book Antiqua" w:hAnsi="Book Antiqua" w:eastAsia="Book Antiqua" w:cs="Book Antiqua"/>
          <w:color w:val="000000"/>
        </w:rPr>
        <w:t>poor prognosis in locally advanced patients</w:t>
      </w:r>
      <w:r>
        <w:rPr>
          <w:rFonts w:ascii="Book Antiqua" w:hAnsi="Book Antiqua" w:eastAsia="Book Antiqua" w:cs="Book Antiqua"/>
          <w:color w:val="000000"/>
          <w:vertAlign w:val="superscript"/>
        </w:rPr>
        <w:t>[44]</w:t>
      </w:r>
      <w:r>
        <w:rPr>
          <w:rFonts w:ascii="Book Antiqua" w:hAnsi="Book Antiqua" w:eastAsia="Book Antiqua" w:cs="Book Antiqua"/>
          <w:color w:val="000000"/>
        </w:rPr>
        <w:t>. NPS can also predict the prognosis of endometrial cancer patients and may play an important role in clinical guidance</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RGC, the clinical data of immune-nutritional scoring systems are still lacking; particularly, no relevant literature is available for the prediction of postoperative OS. PNI, CONUT, and NPS are comprehensive predictive evaluation methods that are easy to obtain. They represent the entire systemic inflammation and nutritional status of patients with RGC from many aspects. Meanwhile, the results show that NPS has the strongest prediction efficiency among the three prediction systems according to survival analysis.</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This study</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has some limitations. First, the current study is retrospective. Although the data of two institutions </w:t>
      </w:r>
      <w:r>
        <w:rPr>
          <w:rFonts w:hint="eastAsia" w:ascii="Book Antiqua" w:hAnsi="Book Antiqua" w:eastAsia="宋体" w:cs="Book Antiqua"/>
          <w:color w:val="000000"/>
          <w:lang w:val="en-US" w:eastAsia="zh-CN"/>
        </w:rPr>
        <w:t>were</w:t>
      </w:r>
      <w:r>
        <w:rPr>
          <w:rFonts w:ascii="Book Antiqua" w:hAnsi="Book Antiqua" w:eastAsia="Book Antiqua" w:cs="Book Antiqua"/>
          <w:color w:val="000000"/>
        </w:rPr>
        <w:t xml:space="preserve"> included, the sample size of patients</w:t>
      </w:r>
      <w:r>
        <w:rPr>
          <w:rFonts w:hint="eastAsia" w:ascii="Book Antiqua" w:hAnsi="Book Antiqua" w:eastAsia="宋体" w:cs="Book Antiqua"/>
          <w:color w:val="000000"/>
          <w:lang w:val="en-US" w:eastAsia="zh-CN"/>
        </w:rPr>
        <w:t xml:space="preserve"> was</w:t>
      </w:r>
      <w:r>
        <w:rPr>
          <w:rFonts w:ascii="Book Antiqua" w:hAnsi="Book Antiqua" w:eastAsia="Book Antiqua" w:cs="Book Antiqua"/>
          <w:color w:val="000000"/>
        </w:rPr>
        <w:t xml:space="preserve"> relatively small and the selection deviation </w:t>
      </w:r>
      <w:r>
        <w:rPr>
          <w:rFonts w:hint="eastAsia" w:ascii="Book Antiqua" w:hAnsi="Book Antiqua" w:eastAsia="宋体" w:cs="Book Antiqua"/>
          <w:color w:val="000000"/>
          <w:lang w:val="en-US" w:eastAsia="zh-CN"/>
        </w:rPr>
        <w:t>was</w:t>
      </w:r>
      <w:r>
        <w:rPr>
          <w:rFonts w:ascii="Book Antiqua" w:hAnsi="Book Antiqua" w:eastAsia="Book Antiqua" w:cs="Book Antiqua"/>
          <w:color w:val="000000"/>
        </w:rPr>
        <w:t xml:space="preserve"> inevitable due to the low incidence and radical resection rate of RGC, respectively. For example, this study found significant differences in gender between different NPS groups, which may represent a selection bias. This bias may reduce the universality of the research results. Second, the </w:t>
      </w:r>
      <w:r>
        <w:rPr>
          <w:rFonts w:hint="eastAsia" w:ascii="Book Antiqua" w:hAnsi="Book Antiqua" w:eastAsia="宋体" w:cs="Book Antiqua"/>
          <w:color w:val="000000"/>
          <w:lang w:val="en-US" w:eastAsia="zh-CN"/>
        </w:rPr>
        <w:t>cutoff</w:t>
      </w:r>
      <w:r>
        <w:rPr>
          <w:rFonts w:ascii="Book Antiqua" w:hAnsi="Book Antiqua" w:eastAsia="Book Antiqua" w:cs="Book Antiqua"/>
          <w:color w:val="000000"/>
        </w:rPr>
        <w:t xml:space="preserve"> points of laboratory indicators </w:t>
      </w:r>
      <w:r>
        <w:rPr>
          <w:rFonts w:hint="eastAsia" w:ascii="Book Antiqua" w:hAnsi="Book Antiqua" w:eastAsia="宋体" w:cs="Book Antiqua"/>
          <w:color w:val="000000"/>
          <w:lang w:val="en-US" w:eastAsia="zh-CN"/>
        </w:rPr>
        <w:t>were</w:t>
      </w:r>
      <w:r>
        <w:rPr>
          <w:rFonts w:ascii="Book Antiqua" w:hAnsi="Book Antiqua" w:eastAsia="Book Antiqua" w:cs="Book Antiqua"/>
          <w:color w:val="000000"/>
        </w:rPr>
        <w:t xml:space="preserve"> obtained from previous literature reports. A new prediction system has not been developed. This system </w:t>
      </w:r>
      <w:r>
        <w:rPr>
          <w:rFonts w:hint="eastAsia" w:ascii="Book Antiqua" w:hAnsi="Book Antiqua" w:eastAsia="宋体" w:cs="Book Antiqua"/>
          <w:color w:val="000000"/>
          <w:lang w:val="en-US" w:eastAsia="zh-CN"/>
        </w:rPr>
        <w:t>should be</w:t>
      </w:r>
      <w:r>
        <w:rPr>
          <w:rFonts w:ascii="Book Antiqua" w:hAnsi="Book Antiqua" w:eastAsia="Book Antiqua" w:cs="Book Antiqua"/>
          <w:color w:val="000000"/>
        </w:rPr>
        <w:t xml:space="preserve"> established by creating new </w:t>
      </w:r>
      <w:r>
        <w:rPr>
          <w:rFonts w:hint="eastAsia" w:ascii="Book Antiqua" w:hAnsi="Book Antiqua" w:eastAsia="宋体" w:cs="Book Antiqua"/>
          <w:color w:val="000000"/>
          <w:lang w:val="en-US" w:eastAsia="zh-CN"/>
        </w:rPr>
        <w:t>cutoff</w:t>
      </w:r>
      <w:r>
        <w:rPr>
          <w:rFonts w:ascii="Book Antiqua" w:hAnsi="Book Antiqua" w:eastAsia="Book Antiqua" w:cs="Book Antiqua"/>
          <w:color w:val="000000"/>
        </w:rPr>
        <w:t xml:space="preserve"> points based 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RGC, possibly leading to the weakening of the prediction capability of immune-nutritional indicators. However, the predictive significance of the three immune-nutritional systems in the prognosis of patients with RGC still shows considerable value.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In this study,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 xml:space="preserve">immune-nutritional score systems PNI, CONUT, and NPS </w:t>
      </w:r>
      <w:r>
        <w:rPr>
          <w:rFonts w:hint="eastAsia" w:ascii="Book Antiqua" w:hAnsi="Book Antiqua" w:eastAsia="宋体" w:cs="Book Antiqua"/>
          <w:color w:val="000000"/>
          <w:lang w:val="en-US" w:eastAsia="zh-CN"/>
        </w:rPr>
        <w:t>were</w:t>
      </w:r>
      <w:r>
        <w:rPr>
          <w:rFonts w:ascii="Book Antiqua" w:hAnsi="Book Antiqua" w:eastAsia="Book Antiqua" w:cs="Book Antiqua"/>
          <w:color w:val="000000"/>
        </w:rPr>
        <w:t xml:space="preserve"> the factors that affect</w:t>
      </w:r>
      <w:r>
        <w:rPr>
          <w:rFonts w:hint="eastAsia" w:ascii="Book Antiqua" w:hAnsi="Book Antiqua" w:eastAsia="宋体" w:cs="Book Antiqua"/>
          <w:color w:val="000000"/>
          <w:lang w:val="en-US" w:eastAsia="zh-CN"/>
        </w:rPr>
        <w:t>ed</w:t>
      </w:r>
      <w:r>
        <w:rPr>
          <w:rFonts w:ascii="Book Antiqua" w:hAnsi="Book Antiqua" w:eastAsia="Book Antiqua" w:cs="Book Antiqua"/>
          <w:color w:val="000000"/>
        </w:rPr>
        <w:t xml:space="preserve"> the prognosis of patients with RGC. The results showed that poor immune-nutritional scores were associated with </w:t>
      </w:r>
      <w:r>
        <w:rPr>
          <w:rFonts w:hint="eastAsia" w:ascii="Book Antiqua" w:hAnsi="Book Antiqua" w:eastAsia="宋体" w:cs="Book Antiqua"/>
          <w:color w:val="000000"/>
          <w:lang w:val="en-US" w:eastAsia="zh-CN"/>
        </w:rPr>
        <w:t xml:space="preserve">a </w:t>
      </w:r>
      <w:r>
        <w:rPr>
          <w:rFonts w:ascii="Book Antiqua" w:hAnsi="Book Antiqua" w:eastAsia="Book Antiqua" w:cs="Book Antiqua"/>
          <w:color w:val="000000"/>
        </w:rPr>
        <w:t xml:space="preserve">poor OS. Among the three immune-nutritional scoring systems, the NPS scoring system can </w:t>
      </w:r>
      <w:r>
        <w:rPr>
          <w:rFonts w:hint="eastAsia" w:ascii="Book Antiqua" w:hAnsi="Book Antiqua" w:eastAsia="宋体" w:cs="Book Antiqua"/>
          <w:color w:val="000000"/>
          <w:lang w:val="en-US" w:eastAsia="zh-CN"/>
        </w:rPr>
        <w:t xml:space="preserve">more </w:t>
      </w:r>
      <w:r>
        <w:rPr>
          <w:rFonts w:ascii="Book Antiqua" w:hAnsi="Book Antiqua" w:eastAsia="Book Antiqua" w:cs="Book Antiqua"/>
          <w:color w:val="000000"/>
        </w:rPr>
        <w:t>accurately evaluate the prognosis of patients with RGC.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The mechanism of the occurrence and development of remnant gastric cancer (RGC) remains unclear. Systematically evaluating the preoperative immune and nutritional status of patients and analyzing its prognostic impact on postoperative RGC patients </w:t>
      </w:r>
      <w:r>
        <w:rPr>
          <w:rFonts w:hint="eastAsia" w:ascii="Book Antiqua" w:hAnsi="Book Antiqua" w:eastAsia="宋体" w:cs="Book Antiqua"/>
          <w:color w:val="000000"/>
          <w:lang w:val="en-US" w:eastAsia="zh-CN"/>
        </w:rPr>
        <w:t>are</w:t>
      </w:r>
      <w:r>
        <w:rPr>
          <w:rFonts w:ascii="Book Antiqua" w:hAnsi="Book Antiqua" w:eastAsia="Book Antiqua" w:cs="Book Antiqua"/>
          <w:color w:val="000000"/>
        </w:rPr>
        <w:t xml:space="preserve"> crucial.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In RGC, the clinical data of immune-nutritional scoring systems are still lacking; particularly, no relevant literature is available for the prediction of postoperative overall survival (OS). Prognostic nutritional index (PNI), controlled nutritional status (CONUT), and Naples prognostic score system (NPS)</w:t>
      </w:r>
      <w:r>
        <w:rPr>
          <w:rFonts w:hint="eastAsia" w:ascii="Book Antiqua" w:hAnsi="Book Antiqua" w:cs="Book Antiqua"/>
          <w:color w:val="000000"/>
          <w:lang w:eastAsia="zh-CN"/>
        </w:rPr>
        <w:t xml:space="preserve"> </w:t>
      </w:r>
      <w:r>
        <w:rPr>
          <w:rFonts w:ascii="Book Antiqua" w:hAnsi="Book Antiqua" w:eastAsia="Book Antiqua" w:cs="Book Antiqua"/>
          <w:color w:val="000000"/>
        </w:rPr>
        <w:t>are comprehensive predictive evaluation methods that are easy to obtain. They represent the entire systemic inflammation and nutritional status of patients with RGC from many aspects.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This retrospective cohort study aim</w:t>
      </w:r>
      <w:r>
        <w:rPr>
          <w:rFonts w:hint="eastAsia" w:ascii="Book Antiqua" w:hAnsi="Book Antiqua" w:eastAsia="宋体" w:cs="Book Antiqua"/>
          <w:color w:val="000000"/>
          <w:lang w:val="en-US" w:eastAsia="zh-CN"/>
        </w:rPr>
        <w:t>ed</w:t>
      </w:r>
      <w:r>
        <w:rPr>
          <w:rFonts w:ascii="Book Antiqua" w:hAnsi="Book Antiqua" w:eastAsia="Book Antiqua" w:cs="Book Antiqua"/>
          <w:color w:val="000000"/>
        </w:rPr>
        <w:t xml:space="preserve"> to determine the prognostic value of three</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preoperative immune-nutritional score systems, namely</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PNI, CONUT, and NPS</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in patients with RGC, </w:t>
      </w:r>
      <w:r>
        <w:rPr>
          <w:rFonts w:hint="eastAsia" w:ascii="Book Antiqua" w:hAnsi="Book Antiqua" w:eastAsia="宋体" w:cs="Book Antiqua"/>
          <w:color w:val="000000"/>
          <w:lang w:val="en-US" w:eastAsia="zh-CN"/>
        </w:rPr>
        <w:t xml:space="preserve">and </w:t>
      </w:r>
      <w:r>
        <w:rPr>
          <w:rFonts w:ascii="Book Antiqua" w:hAnsi="Book Antiqua" w:eastAsia="Book Antiqua" w:cs="Book Antiqua"/>
          <w:color w:val="000000"/>
        </w:rPr>
        <w:t>to examine their relationship with other clinicopathological features.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The curves of the three immune-nutritional scores for predicting postoperative survival were </w:t>
      </w:r>
      <w:r>
        <w:rPr>
          <w:rFonts w:hint="eastAsia" w:ascii="Book Antiqua" w:hAnsi="Book Antiqua" w:eastAsia="宋体" w:cs="Book Antiqua"/>
          <w:color w:val="000000"/>
          <w:lang w:val="en-US" w:eastAsia="zh-CN"/>
        </w:rPr>
        <w:t>plotted</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Kaplan–Meier analysis was used to analyze the relationship between PNI, CONUT, and NPS scores and prognosis.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NPS was found to have the largest area under the curve </w:t>
      </w:r>
      <w:r>
        <w:rPr>
          <w:rFonts w:hint="eastAsia" w:ascii="Book Antiqua" w:hAnsi="Book Antiqua" w:cs="Book Antiqua"/>
          <w:color w:val="000000"/>
          <w:lang w:eastAsia="zh-CN"/>
        </w:rPr>
        <w:t>[</w:t>
      </w:r>
      <w:r>
        <w:rPr>
          <w:rFonts w:ascii="Book Antiqua" w:hAnsi="Book Antiqua" w:eastAsia="Book Antiqua" w:cs="Book Antiqua"/>
          <w:color w:val="000000"/>
        </w:rPr>
        <w:t xml:space="preserve">AUC = 0.707; 95% confidence interval </w:t>
      </w:r>
      <w:r>
        <w:rPr>
          <w:rFonts w:hint="eastAsia" w:ascii="Book Antiqua" w:hAnsi="Book Antiqua" w:cs="Book Antiqua"/>
          <w:color w:val="000000"/>
          <w:lang w:eastAsia="zh-CN"/>
        </w:rPr>
        <w:t>(</w:t>
      </w:r>
      <w:r>
        <w:rPr>
          <w:rFonts w:ascii="Book Antiqua" w:hAnsi="Book Antiqua" w:eastAsia="Book Antiqua" w:cs="Book Antiqua"/>
          <w:color w:val="000000"/>
        </w:rPr>
        <w:t>CI</w:t>
      </w:r>
      <w:r>
        <w:rPr>
          <w:rFonts w:hint="eastAsia" w:ascii="Book Antiqua" w:hAnsi="Book Antiqua" w:cs="Book Antiqua"/>
          <w:color w:val="000000"/>
          <w:lang w:eastAsia="zh-CN"/>
        </w:rPr>
        <w:t>):</w:t>
      </w:r>
      <w:r>
        <w:rPr>
          <w:rFonts w:ascii="Book Antiqua" w:hAnsi="Book Antiqua" w:eastAsia="Book Antiqua" w:cs="Book Antiqua"/>
          <w:color w:val="000000"/>
        </w:rPr>
        <w:t xml:space="preserve"> 0.566–0.848; </w:t>
      </w:r>
      <w:r>
        <w:rPr>
          <w:rFonts w:ascii="Book Antiqua" w:hAnsi="Book Antiqua" w:eastAsia="Book Antiqua" w:cs="Book Antiqua"/>
          <w:i/>
          <w:iCs/>
          <w:color w:val="000000"/>
        </w:rPr>
        <w:t>P</w:t>
      </w:r>
      <w:r>
        <w:rPr>
          <w:rFonts w:ascii="Book Antiqua" w:hAnsi="Book Antiqua" w:eastAsia="Book Antiqua" w:cs="Book Antiqua"/>
          <w:color w:val="000000"/>
        </w:rPr>
        <w:t xml:space="preserve"> = 0.009</w:t>
      </w:r>
      <w:r>
        <w:rPr>
          <w:rFonts w:hint="eastAsia" w:ascii="Book Antiqua" w:hAnsi="Book Antiqua" w:cs="Book Antiqua"/>
          <w:color w:val="000000"/>
          <w:lang w:eastAsia="zh-CN"/>
        </w:rPr>
        <w:t>]</w:t>
      </w:r>
      <w:r>
        <w:rPr>
          <w:rFonts w:ascii="Book Antiqua" w:hAnsi="Book Antiqua" w:eastAsia="Book Antiqua" w:cs="Book Antiqua"/>
          <w:color w:val="000000"/>
        </w:rPr>
        <w:t xml:space="preserve">. The AUC </w:t>
      </w:r>
      <w:r>
        <w:rPr>
          <w:rFonts w:hint="eastAsia" w:ascii="Book Antiqua" w:hAnsi="Book Antiqua" w:eastAsia="宋体" w:cs="Book Antiqua"/>
          <w:color w:val="000000"/>
          <w:lang w:val="en-US" w:eastAsia="zh-CN"/>
        </w:rPr>
        <w:t xml:space="preserve">values </w:t>
      </w:r>
      <w:r>
        <w:rPr>
          <w:rFonts w:ascii="Book Antiqua" w:hAnsi="Book Antiqua" w:eastAsia="Book Antiqua" w:cs="Book Antiqua"/>
          <w:color w:val="000000"/>
        </w:rPr>
        <w:t>of PNI and CONUT were 0.611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0.460–0.763; </w:t>
      </w:r>
      <w:r>
        <w:rPr>
          <w:rFonts w:ascii="Book Antiqua" w:hAnsi="Book Antiqua" w:eastAsia="Book Antiqua" w:cs="Book Antiqua"/>
          <w:i/>
          <w:iCs/>
          <w:color w:val="000000"/>
        </w:rPr>
        <w:t>P</w:t>
      </w:r>
      <w:r>
        <w:rPr>
          <w:rFonts w:ascii="Book Antiqua" w:hAnsi="Book Antiqua" w:eastAsia="Book Antiqua" w:cs="Book Antiqua"/>
          <w:color w:val="000000"/>
        </w:rPr>
        <w:t xml:space="preserve"> = 0.161) and 0.635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0.485–0.784; </w:t>
      </w:r>
      <w:r>
        <w:rPr>
          <w:rFonts w:ascii="Book Antiqua" w:hAnsi="Book Antiqua" w:eastAsia="Book Antiqua" w:cs="Book Antiqua"/>
          <w:i/>
          <w:iCs/>
          <w:color w:val="000000"/>
        </w:rPr>
        <w:t>P</w:t>
      </w:r>
      <w:r>
        <w:rPr>
          <w:rFonts w:ascii="Book Antiqua" w:hAnsi="Book Antiqua" w:eastAsia="Book Antiqua" w:cs="Book Antiqua"/>
          <w:color w:val="000000"/>
        </w:rPr>
        <w:t xml:space="preserve"> = 0.090), respectively. T</w:t>
      </w:r>
      <w:r>
        <w:rPr>
          <w:rFonts w:hint="eastAsia" w:ascii="Book Antiqua" w:hAnsi="Book Antiqua" w:eastAsia="宋体" w:cs="Book Antiqua"/>
          <w:color w:val="000000"/>
          <w:lang w:val="en-US" w:eastAsia="zh-CN"/>
        </w:rPr>
        <w:t>he t</w:t>
      </w:r>
      <w:r>
        <w:rPr>
          <w:rFonts w:ascii="Book Antiqua" w:hAnsi="Book Antiqua" w:eastAsia="Book Antiqua" w:cs="Book Antiqua"/>
          <w:color w:val="000000"/>
        </w:rPr>
        <w:t>hree immune-nutritional scoring systems, PNI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CONUT (</w:t>
      </w:r>
      <w:r>
        <w:rPr>
          <w:rFonts w:ascii="Book Antiqua" w:hAnsi="Book Antiqua" w:eastAsia="Book Antiqua" w:cs="Book Antiqua"/>
          <w:i/>
          <w:iCs/>
          <w:color w:val="000000"/>
        </w:rPr>
        <w:t>P</w:t>
      </w:r>
      <w:r>
        <w:rPr>
          <w:rFonts w:ascii="Book Antiqua" w:hAnsi="Book Antiqua" w:eastAsia="Book Antiqua" w:cs="Book Antiqua"/>
          <w:color w:val="000000"/>
        </w:rPr>
        <w:t xml:space="preserve"> = 0.039), and NPS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were significantly correlated with OS. Median OS of patients with </w:t>
      </w:r>
      <w:r>
        <w:rPr>
          <w:rFonts w:hint="eastAsia" w:ascii="Book Antiqua" w:hAnsi="Book Antiqua" w:eastAsia="宋体" w:cs="Book Antiqua"/>
          <w:color w:val="000000"/>
          <w:lang w:val="en-US" w:eastAsia="zh-CN"/>
        </w:rPr>
        <w:t xml:space="preserve">a </w:t>
      </w:r>
      <w:r>
        <w:rPr>
          <w:rFonts w:ascii="Book Antiqua" w:hAnsi="Book Antiqua" w:eastAsia="Book Antiqua" w:cs="Book Antiqua"/>
          <w:color w:val="000000"/>
        </w:rPr>
        <w:t xml:space="preserve">low immune-nutritional risk was significantly higher than that of patients with </w:t>
      </w:r>
      <w:r>
        <w:rPr>
          <w:rFonts w:hint="eastAsia" w:ascii="Book Antiqua" w:hAnsi="Book Antiqua" w:eastAsia="宋体" w:cs="Book Antiqua"/>
          <w:color w:val="000000"/>
          <w:lang w:val="en-US" w:eastAsia="zh-CN"/>
        </w:rPr>
        <w:t xml:space="preserve">a </w:t>
      </w:r>
      <w:r>
        <w:rPr>
          <w:rFonts w:ascii="Book Antiqua" w:hAnsi="Book Antiqua" w:eastAsia="Book Antiqua" w:cs="Book Antiqua"/>
          <w:color w:val="000000"/>
        </w:rPr>
        <w:t>high immune-nutritional risk</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PNI</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75 mo </w:t>
      </w:r>
      <w:r>
        <w:rPr>
          <w:rFonts w:hint="eastAsia" w:ascii="Book Antiqua" w:hAnsi="Book Antiqua" w:eastAsia="宋体" w:cs="Book Antiqua"/>
          <w:i/>
          <w:iCs/>
          <w:color w:val="000000"/>
          <w:lang w:val="en-US" w:eastAsia="zh-CN"/>
        </w:rPr>
        <w:t>vs</w:t>
      </w:r>
      <w:r>
        <w:rPr>
          <w:rFonts w:ascii="Book Antiqua" w:hAnsi="Book Antiqua" w:eastAsia="Book Antiqua" w:cs="Book Antiqua"/>
          <w:color w:val="000000"/>
        </w:rPr>
        <w:t xml:space="preserve"> 42 mo,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CONUT</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69 mo</w:t>
      </w:r>
      <w:r>
        <w:rPr>
          <w:rFonts w:hint="eastAsia" w:ascii="Book Antiqua" w:hAnsi="Book Antiqua" w:eastAsia="宋体" w:cs="Book Antiqua"/>
          <w:color w:val="000000"/>
          <w:lang w:val="en-US" w:eastAsia="zh-CN"/>
        </w:rPr>
        <w:t xml:space="preserve"> </w:t>
      </w:r>
      <w:r>
        <w:rPr>
          <w:rFonts w:hint="eastAsia" w:ascii="Book Antiqua" w:hAnsi="Book Antiqua" w:eastAsia="宋体" w:cs="Book Antiqua"/>
          <w:i/>
          <w:iCs/>
          <w:color w:val="000000"/>
          <w:lang w:val="en-US" w:eastAsia="zh-CN"/>
        </w:rPr>
        <w:t>vs</w:t>
      </w:r>
      <w:r>
        <w:rPr>
          <w:rFonts w:ascii="Book Antiqua" w:hAnsi="Book Antiqua" w:eastAsia="Book Antiqua" w:cs="Book Antiqua"/>
          <w:color w:val="000000"/>
        </w:rPr>
        <w:t xml:space="preserve"> 48 mo, </w:t>
      </w:r>
      <w:r>
        <w:rPr>
          <w:rFonts w:ascii="Book Antiqua" w:hAnsi="Book Antiqua" w:eastAsia="Book Antiqua" w:cs="Book Antiqua"/>
          <w:i/>
          <w:iCs/>
          <w:color w:val="000000"/>
        </w:rPr>
        <w:t>P</w:t>
      </w:r>
      <w:r>
        <w:rPr>
          <w:rFonts w:ascii="Book Antiqua" w:hAnsi="Book Antiqua" w:eastAsia="Book Antiqua" w:cs="Book Antiqua"/>
          <w:color w:val="000000"/>
        </w:rPr>
        <w:t xml:space="preserve"> = 0.033; NPS</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77 mo</w:t>
      </w:r>
      <w:r>
        <w:rPr>
          <w:rFonts w:hint="eastAsia" w:ascii="Book Antiqua" w:hAnsi="Book Antiqua" w:eastAsia="宋体" w:cs="Book Antiqua"/>
          <w:color w:val="000000"/>
          <w:lang w:val="en-US" w:eastAsia="zh-CN"/>
        </w:rPr>
        <w:t xml:space="preserve"> </w:t>
      </w:r>
      <w:r>
        <w:rPr>
          <w:rFonts w:hint="eastAsia" w:ascii="Book Antiqua" w:hAnsi="Book Antiqua" w:eastAsia="宋体" w:cs="Book Antiqua"/>
          <w:i/>
          <w:iCs/>
          <w:color w:val="000000"/>
          <w:lang w:val="en-US" w:eastAsia="zh-CN"/>
        </w:rPr>
        <w:t>vs</w:t>
      </w:r>
      <w:r>
        <w:rPr>
          <w:rFonts w:ascii="Book Antiqua" w:hAnsi="Book Antiqua" w:eastAsia="Book Antiqua" w:cs="Book Antiqua"/>
          <w:color w:val="000000"/>
        </w:rPr>
        <w:t xml:space="preserve"> 40 mo</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w:t>
      </w:r>
      <w:r>
        <w:rPr>
          <w:rFonts w:ascii="Book Antiqua" w:hAnsi="Book Antiqua" w:eastAsia="Book Antiqua" w:cs="Book Antiqua"/>
          <w:i/>
          <w:color w:val="000000"/>
        </w:rPr>
        <w:t>P</w:t>
      </w:r>
      <w:r>
        <w:rPr>
          <w:rFonts w:ascii="Book Antiqua" w:hAnsi="Book Antiqua" w:eastAsia="Book Antiqua" w:cs="Book Antiqua"/>
          <w:color w:val="000000"/>
        </w:rPr>
        <w:t xml:space="preserve"> &lt; 0.001)</w:t>
      </w:r>
      <w:r>
        <w:rPr>
          <w:rFonts w:hint="eastAsia" w:ascii="Book Antiqua" w:hAnsi="Book Antiqua" w:eastAsia="宋体" w:cs="Book Antiqua"/>
          <w:color w:val="000000"/>
          <w:lang w:val="en-US"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 xml:space="preserve">Poor immune-nutritional scores </w:t>
      </w:r>
      <w:r>
        <w:rPr>
          <w:rFonts w:hint="eastAsia" w:ascii="Book Antiqua" w:hAnsi="Book Antiqua" w:eastAsia="宋体" w:cs="Book Antiqua"/>
          <w:color w:val="000000"/>
          <w:lang w:val="en-US" w:eastAsia="zh-CN"/>
        </w:rPr>
        <w:t>are</w:t>
      </w:r>
      <w:r>
        <w:rPr>
          <w:rFonts w:ascii="Book Antiqua" w:hAnsi="Book Antiqua" w:eastAsia="Book Antiqua" w:cs="Book Antiqua"/>
          <w:color w:val="000000"/>
        </w:rPr>
        <w:t xml:space="preserve"> associated with </w:t>
      </w:r>
      <w:r>
        <w:rPr>
          <w:rFonts w:hint="eastAsia" w:ascii="Book Antiqua" w:hAnsi="Book Antiqua" w:eastAsia="宋体" w:cs="Book Antiqua"/>
          <w:color w:val="000000"/>
          <w:lang w:val="en-US" w:eastAsia="zh-CN"/>
        </w:rPr>
        <w:t xml:space="preserve">a </w:t>
      </w:r>
      <w:r>
        <w:rPr>
          <w:rFonts w:ascii="Book Antiqua" w:hAnsi="Book Antiqua" w:eastAsia="Book Antiqua" w:cs="Book Antiqua"/>
          <w:color w:val="000000"/>
        </w:rPr>
        <w:t xml:space="preserve">poor OS. Among the three immune-nutritional scoring systems, the NPS scoring system can </w:t>
      </w:r>
      <w:r>
        <w:rPr>
          <w:rFonts w:hint="eastAsia" w:ascii="Book Antiqua" w:hAnsi="Book Antiqua" w:eastAsia="宋体" w:cs="Book Antiqua"/>
          <w:color w:val="000000"/>
          <w:lang w:val="en-US" w:eastAsia="zh-CN"/>
        </w:rPr>
        <w:t xml:space="preserve">more </w:t>
      </w:r>
      <w:r>
        <w:rPr>
          <w:rFonts w:ascii="Book Antiqua" w:hAnsi="Book Antiqua" w:eastAsia="Book Antiqua" w:cs="Book Antiqua"/>
          <w:color w:val="000000"/>
        </w:rPr>
        <w:t>accurately evaluate the prognosis of patients with RGC.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w:t>
      </w:r>
      <w:r>
        <w:rPr>
          <w:rFonts w:hint="eastAsia" w:ascii="Book Antiqua" w:hAnsi="Book Antiqua" w:eastAsia="宋体" w:cs="Book Antiqua"/>
          <w:color w:val="000000"/>
          <w:lang w:val="en-US" w:eastAsia="zh-CN"/>
        </w:rPr>
        <w:t>e</w:t>
      </w:r>
      <w:r>
        <w:rPr>
          <w:rFonts w:ascii="Book Antiqua" w:hAnsi="Book Antiqua" w:eastAsia="Book Antiqua" w:cs="Book Antiqua"/>
          <w:color w:val="000000"/>
        </w:rPr>
        <w:t xml:space="preserve"> finding shows that the three immune-nutritional systems can significantly predict the prognosis of patients. </w:t>
      </w:r>
      <w:r>
        <w:rPr>
          <w:rFonts w:hint="eastAsia" w:ascii="Book Antiqua" w:hAnsi="Book Antiqua" w:eastAsia="宋体" w:cs="Book Antiqua"/>
          <w:color w:val="000000"/>
          <w:lang w:val="en-US" w:eastAsia="zh-CN"/>
        </w:rPr>
        <w:t>Of note</w:t>
      </w:r>
      <w:r>
        <w:rPr>
          <w:rFonts w:ascii="Book Antiqua" w:hAnsi="Book Antiqua" w:eastAsia="Book Antiqua" w:cs="Book Antiqua"/>
          <w:color w:val="000000"/>
        </w:rPr>
        <w:t>, the NPS system demonstrates the best prediction capability.</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Sung H</w:t>
      </w:r>
      <w:r>
        <w:rPr>
          <w:rFonts w:ascii="Book Antiqua" w:hAnsi="Book Antiqua"/>
        </w:rPr>
        <w:t xml:space="preserve">, Ferlay J, Siegel RL, Laversanne M, Soerjomataram I, Jemal A, Bray F. Global Cancer Statistics 2020: GLOBOCAN Estimates of Incidence and Mortality Worldwide for 36 Cancers in 185 Countries. </w:t>
      </w:r>
      <w:r>
        <w:rPr>
          <w:rFonts w:ascii="Book Antiqua" w:hAnsi="Book Antiqua"/>
          <w:i/>
          <w:iCs/>
        </w:rPr>
        <w:t>CA Cancer J Clin</w:t>
      </w:r>
      <w:r>
        <w:rPr>
          <w:rFonts w:ascii="Book Antiqua" w:hAnsi="Book Antiqua"/>
        </w:rPr>
        <w:t xml:space="preserve"> 2021; </w:t>
      </w:r>
      <w:r>
        <w:rPr>
          <w:rFonts w:ascii="Book Antiqua" w:hAnsi="Book Antiqua"/>
          <w:b/>
          <w:bCs/>
        </w:rPr>
        <w:t>71</w:t>
      </w:r>
      <w:r>
        <w:rPr>
          <w:rFonts w:ascii="Book Antiqua" w:hAnsi="Book Antiqua"/>
        </w:rPr>
        <w:t>: 209-249 [PMID: 33538338 DOI: 10.3322/caac.21660]</w:t>
      </w:r>
    </w:p>
    <w:p>
      <w:pPr>
        <w:spacing w:line="360" w:lineRule="auto"/>
        <w:jc w:val="both"/>
        <w:rPr>
          <w:rFonts w:ascii="Book Antiqua" w:hAnsi="Book Antiqua"/>
        </w:rPr>
      </w:pPr>
      <w:r>
        <w:rPr>
          <w:rFonts w:ascii="Book Antiqua" w:hAnsi="Book Antiqua"/>
        </w:rPr>
        <w:t xml:space="preserve">2 </w:t>
      </w:r>
      <w:r>
        <w:rPr>
          <w:rFonts w:ascii="Book Antiqua" w:hAnsi="Book Antiqua"/>
          <w:b/>
          <w:bCs/>
        </w:rPr>
        <w:t>Hanyu T</w:t>
      </w:r>
      <w:r>
        <w:rPr>
          <w:rFonts w:ascii="Book Antiqua" w:hAnsi="Book Antiqua"/>
        </w:rPr>
        <w:t xml:space="preserve">, Wakai A, Ishikawa T, Ichikawa H, Kameyama H, Wakai T. Carcinoma in the Remnant Stomach During Long-Term Follow-up After Distal Gastrectomy for Gastric Cancer: Analysis of Cumulative Incidence and Associated Risk Factors. </w:t>
      </w:r>
      <w:r>
        <w:rPr>
          <w:rFonts w:ascii="Book Antiqua" w:hAnsi="Book Antiqua"/>
          <w:i/>
          <w:iCs/>
        </w:rPr>
        <w:t>World J Surg</w:t>
      </w:r>
      <w:r>
        <w:rPr>
          <w:rFonts w:ascii="Book Antiqua" w:hAnsi="Book Antiqua"/>
        </w:rPr>
        <w:t xml:space="preserve"> 2018; </w:t>
      </w:r>
      <w:r>
        <w:rPr>
          <w:rFonts w:ascii="Book Antiqua" w:hAnsi="Book Antiqua"/>
          <w:b/>
          <w:bCs/>
        </w:rPr>
        <w:t>42</w:t>
      </w:r>
      <w:r>
        <w:rPr>
          <w:rFonts w:ascii="Book Antiqua" w:hAnsi="Book Antiqua"/>
        </w:rPr>
        <w:t>: 782-787 [PMID: 28924721 DOI: 10.1007/s00268-017-4227-9]</w:t>
      </w:r>
    </w:p>
    <w:p>
      <w:pPr>
        <w:spacing w:line="360" w:lineRule="auto"/>
        <w:jc w:val="both"/>
        <w:rPr>
          <w:rFonts w:ascii="Book Antiqua" w:hAnsi="Book Antiqua"/>
        </w:rPr>
      </w:pPr>
      <w:r>
        <w:rPr>
          <w:rFonts w:ascii="Book Antiqua" w:hAnsi="Book Antiqua"/>
        </w:rPr>
        <w:t xml:space="preserve">3 </w:t>
      </w:r>
      <w:r>
        <w:rPr>
          <w:rFonts w:ascii="Book Antiqua" w:hAnsi="Book Antiqua"/>
          <w:b/>
          <w:bCs/>
        </w:rPr>
        <w:t>Nunobe S</w:t>
      </w:r>
      <w:r>
        <w:rPr>
          <w:rFonts w:ascii="Book Antiqua" w:hAnsi="Book Antiqua"/>
        </w:rPr>
        <w:t xml:space="preserve">, Ohyama S, Miyata S, Matsuura M, Hiki N, Fukunaga T, Seto Y, Ushijima M, Yamaguchi T. Incidence of gastric cancer in the remnant stomach after proximal gastrectomy. </w:t>
      </w:r>
      <w:r>
        <w:rPr>
          <w:rFonts w:ascii="Book Antiqua" w:hAnsi="Book Antiqua"/>
          <w:i/>
          <w:iCs/>
        </w:rPr>
        <w:t>Hepatogastroenterology</w:t>
      </w:r>
      <w:r>
        <w:rPr>
          <w:rFonts w:ascii="Book Antiqua" w:hAnsi="Book Antiqua"/>
        </w:rPr>
        <w:t xml:space="preserve"> 2008; </w:t>
      </w:r>
      <w:r>
        <w:rPr>
          <w:rFonts w:ascii="Book Antiqua" w:hAnsi="Book Antiqua"/>
          <w:b/>
          <w:bCs/>
        </w:rPr>
        <w:t>55</w:t>
      </w:r>
      <w:r>
        <w:rPr>
          <w:rFonts w:ascii="Book Antiqua" w:hAnsi="Book Antiqua"/>
        </w:rPr>
        <w:t>: 1855-1858 [PMID: 19102408]</w:t>
      </w:r>
    </w:p>
    <w:p>
      <w:pPr>
        <w:spacing w:line="360" w:lineRule="auto"/>
        <w:jc w:val="both"/>
        <w:rPr>
          <w:rFonts w:ascii="Book Antiqua" w:hAnsi="Book Antiqua"/>
        </w:rPr>
      </w:pPr>
      <w:r>
        <w:rPr>
          <w:rFonts w:ascii="Book Antiqua" w:hAnsi="Book Antiqua"/>
        </w:rPr>
        <w:t xml:space="preserve">4 </w:t>
      </w:r>
      <w:r>
        <w:rPr>
          <w:rFonts w:ascii="Book Antiqua" w:hAnsi="Book Antiqua"/>
          <w:b/>
          <w:bCs/>
        </w:rPr>
        <w:t>Mak TK</w:t>
      </w:r>
      <w:r>
        <w:rPr>
          <w:rFonts w:ascii="Book Antiqua" w:hAnsi="Book Antiqua"/>
        </w:rPr>
        <w:t xml:space="preserve">, Guan B, Peng J, Chong TH, Wang C, Huang S, Yang J. Prevalence and characteristics of gastric remnant cancer: A systematic review and meta-analysis. </w:t>
      </w:r>
      <w:r>
        <w:rPr>
          <w:rFonts w:ascii="Book Antiqua" w:hAnsi="Book Antiqua"/>
          <w:i/>
          <w:iCs/>
        </w:rPr>
        <w:t>Asian J Surg</w:t>
      </w:r>
      <w:r>
        <w:rPr>
          <w:rFonts w:ascii="Book Antiqua" w:hAnsi="Book Antiqua"/>
        </w:rPr>
        <w:t xml:space="preserve"> 2021; </w:t>
      </w:r>
      <w:r>
        <w:rPr>
          <w:rFonts w:ascii="Book Antiqua" w:hAnsi="Book Antiqua"/>
          <w:b/>
          <w:bCs/>
        </w:rPr>
        <w:t>44</w:t>
      </w:r>
      <w:r>
        <w:rPr>
          <w:rFonts w:ascii="Book Antiqua" w:hAnsi="Book Antiqua"/>
        </w:rPr>
        <w:t>: 11-17 [PMID: 32253109 DOI: 10.1016/j.asjsur.2020.03.012]</w:t>
      </w:r>
    </w:p>
    <w:p>
      <w:pPr>
        <w:spacing w:line="360" w:lineRule="auto"/>
        <w:jc w:val="both"/>
        <w:rPr>
          <w:rFonts w:ascii="Book Antiqua" w:hAnsi="Book Antiqua"/>
        </w:rPr>
      </w:pPr>
      <w:r>
        <w:rPr>
          <w:rFonts w:ascii="Book Antiqua" w:hAnsi="Book Antiqua"/>
        </w:rPr>
        <w:t xml:space="preserve">5 </w:t>
      </w:r>
      <w:r>
        <w:rPr>
          <w:rFonts w:ascii="Book Antiqua" w:hAnsi="Book Antiqua"/>
          <w:b/>
          <w:bCs/>
        </w:rPr>
        <w:t>Oymaci E</w:t>
      </w:r>
      <w:r>
        <w:rPr>
          <w:rFonts w:ascii="Book Antiqua" w:hAnsi="Book Antiqua"/>
        </w:rPr>
        <w:t xml:space="preserve">, Sari E, Uçar AD, Erkan N, Yildirim M. Gastric Remnant Cancer: Continuing Serious and Insidious Problem for Surgeons. </w:t>
      </w:r>
      <w:r>
        <w:rPr>
          <w:rFonts w:ascii="Book Antiqua" w:hAnsi="Book Antiqua"/>
          <w:i/>
          <w:iCs/>
        </w:rPr>
        <w:t>Hepatogastroenterology</w:t>
      </w:r>
      <w:r>
        <w:rPr>
          <w:rFonts w:ascii="Book Antiqua" w:hAnsi="Book Antiqua"/>
        </w:rPr>
        <w:t xml:space="preserve"> 2015; </w:t>
      </w:r>
      <w:r>
        <w:rPr>
          <w:rFonts w:ascii="Book Antiqua" w:hAnsi="Book Antiqua"/>
          <w:b/>
          <w:bCs/>
        </w:rPr>
        <w:t>62</w:t>
      </w:r>
      <w:r>
        <w:rPr>
          <w:rFonts w:ascii="Book Antiqua" w:hAnsi="Book Antiqua"/>
        </w:rPr>
        <w:t>: 727-731 [PMID: 26897962]</w:t>
      </w:r>
    </w:p>
    <w:p>
      <w:pPr>
        <w:spacing w:line="360" w:lineRule="auto"/>
        <w:jc w:val="both"/>
        <w:rPr>
          <w:rFonts w:ascii="Book Antiqua" w:hAnsi="Book Antiqua"/>
        </w:rPr>
      </w:pPr>
      <w:r>
        <w:rPr>
          <w:rFonts w:ascii="Book Antiqua" w:hAnsi="Book Antiqua"/>
        </w:rPr>
        <w:t xml:space="preserve">6 </w:t>
      </w:r>
      <w:r>
        <w:rPr>
          <w:rFonts w:ascii="Book Antiqua" w:hAnsi="Book Antiqua"/>
          <w:b/>
          <w:bCs/>
        </w:rPr>
        <w:t>Saarinen T</w:t>
      </w:r>
      <w:r>
        <w:rPr>
          <w:rFonts w:ascii="Book Antiqua" w:hAnsi="Book Antiqua"/>
        </w:rPr>
        <w:t xml:space="preserve">, Räsänen J, Salo J, Loimaala A, Pitkonen M, Leivonen M, Juuti A. Bile Reflux Scintigraphy After Mini-Gastric Bypass. </w:t>
      </w:r>
      <w:r>
        <w:rPr>
          <w:rFonts w:ascii="Book Antiqua" w:hAnsi="Book Antiqua"/>
          <w:i/>
          <w:iCs/>
        </w:rPr>
        <w:t>Obes Surg</w:t>
      </w:r>
      <w:r>
        <w:rPr>
          <w:rFonts w:ascii="Book Antiqua" w:hAnsi="Book Antiqua"/>
        </w:rPr>
        <w:t xml:space="preserve"> 2017; </w:t>
      </w:r>
      <w:r>
        <w:rPr>
          <w:rFonts w:ascii="Book Antiqua" w:hAnsi="Book Antiqua"/>
          <w:b/>
          <w:bCs/>
        </w:rPr>
        <w:t>27</w:t>
      </w:r>
      <w:r>
        <w:rPr>
          <w:rFonts w:ascii="Book Antiqua" w:hAnsi="Book Antiqua"/>
        </w:rPr>
        <w:t>: 2083-2089 [PMID: 28214959 DOI: 10.1007/s11695-017-2608-7]</w:t>
      </w:r>
    </w:p>
    <w:p>
      <w:pPr>
        <w:spacing w:line="360" w:lineRule="auto"/>
        <w:jc w:val="both"/>
        <w:rPr>
          <w:rFonts w:ascii="Book Antiqua" w:hAnsi="Book Antiqua"/>
        </w:rPr>
      </w:pPr>
      <w:r>
        <w:rPr>
          <w:rFonts w:ascii="Book Antiqua" w:hAnsi="Book Antiqua"/>
        </w:rPr>
        <w:t xml:space="preserve">7 </w:t>
      </w:r>
      <w:r>
        <w:rPr>
          <w:rFonts w:ascii="Book Antiqua" w:hAnsi="Book Antiqua"/>
          <w:b/>
          <w:bCs/>
        </w:rPr>
        <w:t>Nunobe S</w:t>
      </w:r>
      <w:r>
        <w:rPr>
          <w:rFonts w:ascii="Book Antiqua" w:hAnsi="Book Antiqua"/>
        </w:rPr>
        <w:t xml:space="preserve">, Takahashi M, Kinami S, Fujita J, Suzuki T, Suzuki A, Tanahashi T, Kawaguchi Y, Oshio A, Nakada K. Evaluation of postgastrectomy symptoms and daily lives of small remnant distal gastrectomy for upper-third gastric cancer using a large-scale questionnaire survey. </w:t>
      </w:r>
      <w:r>
        <w:rPr>
          <w:rFonts w:ascii="Book Antiqua" w:hAnsi="Book Antiqua"/>
          <w:i/>
          <w:iCs/>
        </w:rPr>
        <w:t>Ann Gastroenterol Surg</w:t>
      </w:r>
      <w:r>
        <w:rPr>
          <w:rFonts w:ascii="Book Antiqua" w:hAnsi="Book Antiqua"/>
        </w:rPr>
        <w:t xml:space="preserve"> 2022; </w:t>
      </w:r>
      <w:r>
        <w:rPr>
          <w:rFonts w:ascii="Book Antiqua" w:hAnsi="Book Antiqua"/>
          <w:b/>
          <w:bCs/>
        </w:rPr>
        <w:t>6</w:t>
      </w:r>
      <w:r>
        <w:rPr>
          <w:rFonts w:ascii="Book Antiqua" w:hAnsi="Book Antiqua"/>
        </w:rPr>
        <w:t>: 355-365 [PMID: 35634182 DOI: 10.1002/ags3.12536]</w:t>
      </w:r>
    </w:p>
    <w:p>
      <w:pPr>
        <w:spacing w:line="360" w:lineRule="auto"/>
        <w:jc w:val="both"/>
        <w:rPr>
          <w:rFonts w:ascii="Book Antiqua" w:hAnsi="Book Antiqua"/>
        </w:rPr>
      </w:pPr>
      <w:r>
        <w:rPr>
          <w:rFonts w:ascii="Book Antiqua" w:hAnsi="Book Antiqua"/>
        </w:rPr>
        <w:t xml:space="preserve">8 </w:t>
      </w:r>
      <w:r>
        <w:rPr>
          <w:rFonts w:ascii="Book Antiqua" w:hAnsi="Book Antiqua"/>
          <w:b/>
          <w:bCs/>
        </w:rPr>
        <w:t>Liao G</w:t>
      </w:r>
      <w:r>
        <w:rPr>
          <w:rFonts w:ascii="Book Antiqua" w:hAnsi="Book Antiqua"/>
        </w:rPr>
        <w:t xml:space="preserve">, Wen S, Xie X, Wu Q. Laparoscopic gastrectomy for remnant gastric cancer: Risk factors associated with conversion and a systematic analysis of literature. </w:t>
      </w:r>
      <w:r>
        <w:rPr>
          <w:rFonts w:ascii="Book Antiqua" w:hAnsi="Book Antiqua"/>
          <w:i/>
          <w:iCs/>
        </w:rPr>
        <w:t>Int J Surg</w:t>
      </w:r>
      <w:r>
        <w:rPr>
          <w:rFonts w:ascii="Book Antiqua" w:hAnsi="Book Antiqua"/>
        </w:rPr>
        <w:t xml:space="preserve"> 2016; </w:t>
      </w:r>
      <w:r>
        <w:rPr>
          <w:rFonts w:ascii="Book Antiqua" w:hAnsi="Book Antiqua"/>
          <w:b/>
          <w:bCs/>
        </w:rPr>
        <w:t>34</w:t>
      </w:r>
      <w:r>
        <w:rPr>
          <w:rFonts w:ascii="Book Antiqua" w:hAnsi="Book Antiqua"/>
        </w:rPr>
        <w:t>: 17-22 [PMID: 27543820 DOI: 10.1016/j.ijsu.2016.08.013]</w:t>
      </w:r>
    </w:p>
    <w:p>
      <w:pPr>
        <w:spacing w:line="360" w:lineRule="auto"/>
        <w:jc w:val="both"/>
        <w:rPr>
          <w:rFonts w:ascii="Book Antiqua" w:hAnsi="Book Antiqua"/>
        </w:rPr>
      </w:pPr>
      <w:r>
        <w:rPr>
          <w:rFonts w:ascii="Book Antiqua" w:hAnsi="Book Antiqua"/>
        </w:rPr>
        <w:t xml:space="preserve">9 </w:t>
      </w:r>
      <w:r>
        <w:rPr>
          <w:rFonts w:ascii="Book Antiqua" w:hAnsi="Book Antiqua"/>
          <w:b/>
          <w:bCs/>
        </w:rPr>
        <w:t>Ramos MFKP</w:t>
      </w:r>
      <w:r>
        <w:rPr>
          <w:rFonts w:ascii="Book Antiqua" w:hAnsi="Book Antiqua"/>
        </w:rPr>
        <w:t xml:space="preserve">, Pereira MCM, Oliveira YS, Pereira MA, Barchi LC, Dias AR, Zilberstein B, Ribeiro Junior U, Cecconello I. Surgical results of remnant gastric cancer treatment. </w:t>
      </w:r>
      <w:r>
        <w:rPr>
          <w:rFonts w:ascii="Book Antiqua" w:hAnsi="Book Antiqua"/>
          <w:i/>
          <w:iCs/>
        </w:rPr>
        <w:t>Rev Col Bras Cir</w:t>
      </w:r>
      <w:r>
        <w:rPr>
          <w:rFonts w:ascii="Book Antiqua" w:hAnsi="Book Antiqua"/>
        </w:rPr>
        <w:t xml:space="preserve"> 2020; </w:t>
      </w:r>
      <w:r>
        <w:rPr>
          <w:rFonts w:ascii="Book Antiqua" w:hAnsi="Book Antiqua"/>
          <w:b/>
          <w:bCs/>
        </w:rPr>
        <w:t>47</w:t>
      </w:r>
      <w:r>
        <w:rPr>
          <w:rFonts w:ascii="Book Antiqua" w:hAnsi="Book Antiqua"/>
        </w:rPr>
        <w:t>: e20202703 [PMID: 33263654 DOI: 10.1590/0100-6991e-20202703]</w:t>
      </w:r>
    </w:p>
    <w:p>
      <w:pPr>
        <w:spacing w:line="360" w:lineRule="auto"/>
        <w:jc w:val="both"/>
        <w:rPr>
          <w:rFonts w:ascii="Book Antiqua" w:hAnsi="Book Antiqua"/>
        </w:rPr>
      </w:pPr>
      <w:r>
        <w:rPr>
          <w:rFonts w:ascii="Book Antiqua" w:hAnsi="Book Antiqua"/>
        </w:rPr>
        <w:t xml:space="preserve">10 </w:t>
      </w:r>
      <w:r>
        <w:rPr>
          <w:rFonts w:ascii="Book Antiqua" w:hAnsi="Book Antiqua"/>
          <w:b/>
          <w:bCs/>
        </w:rPr>
        <w:t>Ohira M</w:t>
      </w:r>
      <w:r>
        <w:rPr>
          <w:rFonts w:ascii="Book Antiqua" w:hAnsi="Book Antiqua"/>
        </w:rPr>
        <w:t xml:space="preserve">, Toyokawa T, Sakurai K, Kubo N, Tanaka H, Muguruma K, Yashiro M, Onoda N, Hirakawa K. Current status in remnant gastric cancer after distal gastrectomy. </w:t>
      </w:r>
      <w:r>
        <w:rPr>
          <w:rFonts w:ascii="Book Antiqua" w:hAnsi="Book Antiqua"/>
          <w:i/>
          <w:iCs/>
        </w:rPr>
        <w:t>World J Gastroenterol</w:t>
      </w:r>
      <w:r>
        <w:rPr>
          <w:rFonts w:ascii="Book Antiqua" w:hAnsi="Book Antiqua"/>
        </w:rPr>
        <w:t xml:space="preserve"> 2016; </w:t>
      </w:r>
      <w:r>
        <w:rPr>
          <w:rFonts w:ascii="Book Antiqua" w:hAnsi="Book Antiqua"/>
          <w:b/>
          <w:bCs/>
        </w:rPr>
        <w:t>22</w:t>
      </w:r>
      <w:r>
        <w:rPr>
          <w:rFonts w:ascii="Book Antiqua" w:hAnsi="Book Antiqua"/>
        </w:rPr>
        <w:t>: 2424-2433 [PMID: 26937131 DOI: 10.3748/wjg.v22.i8.2424]</w:t>
      </w:r>
    </w:p>
    <w:p>
      <w:pPr>
        <w:spacing w:line="360" w:lineRule="auto"/>
        <w:jc w:val="both"/>
        <w:rPr>
          <w:rFonts w:ascii="Book Antiqua" w:hAnsi="Book Antiqua"/>
        </w:rPr>
      </w:pPr>
      <w:r>
        <w:rPr>
          <w:rFonts w:ascii="Book Antiqua" w:hAnsi="Book Antiqua"/>
        </w:rPr>
        <w:t xml:space="preserve">11 </w:t>
      </w:r>
      <w:r>
        <w:rPr>
          <w:rFonts w:ascii="Book Antiqua" w:hAnsi="Book Antiqua"/>
          <w:b/>
          <w:bCs/>
        </w:rPr>
        <w:t>Chen QY</w:t>
      </w:r>
      <w:r>
        <w:rPr>
          <w:rFonts w:ascii="Book Antiqua" w:hAnsi="Book Antiqua"/>
        </w:rPr>
        <w:t xml:space="preserve">, Zhong Q, Zhou JF, Qiu XT, Dang XY, Cai LS, Su GQ, Xu DB, Lin GT, Guo KQ, Liu ZY, Chen QX, Li P, Li TW, Xie JW, Lin SM, Wang JB, Lin JX, Lu J, Cao LL, Lin M, Zheng CH, Lin W, He QL, Huang CM. Conditional survival and recurrence of remnant gastric cancer after surgical resection: A multi-institutional study. </w:t>
      </w:r>
      <w:r>
        <w:rPr>
          <w:rFonts w:ascii="Book Antiqua" w:hAnsi="Book Antiqua"/>
          <w:i/>
          <w:iCs/>
        </w:rPr>
        <w:t>Cancer Sci</w:t>
      </w:r>
      <w:r>
        <w:rPr>
          <w:rFonts w:ascii="Book Antiqua" w:hAnsi="Book Antiqua"/>
        </w:rPr>
        <w:t xml:space="preserve"> 2020; </w:t>
      </w:r>
      <w:r>
        <w:rPr>
          <w:rFonts w:ascii="Book Antiqua" w:hAnsi="Book Antiqua"/>
          <w:b/>
          <w:bCs/>
        </w:rPr>
        <w:t>111</w:t>
      </w:r>
      <w:r>
        <w:rPr>
          <w:rFonts w:ascii="Book Antiqua" w:hAnsi="Book Antiqua"/>
        </w:rPr>
        <w:t>: 502-512 [PMID: 31710406 DOI: 10.1111/cas.14231]</w:t>
      </w:r>
    </w:p>
    <w:p>
      <w:pPr>
        <w:spacing w:line="360" w:lineRule="auto"/>
        <w:jc w:val="both"/>
        <w:rPr>
          <w:rFonts w:ascii="Book Antiqua" w:hAnsi="Book Antiqua"/>
        </w:rPr>
      </w:pPr>
      <w:r>
        <w:rPr>
          <w:rFonts w:ascii="Book Antiqua" w:hAnsi="Book Antiqua"/>
        </w:rPr>
        <w:t xml:space="preserve">12 </w:t>
      </w:r>
      <w:r>
        <w:rPr>
          <w:rFonts w:ascii="Book Antiqua" w:hAnsi="Book Antiqua"/>
          <w:b/>
          <w:bCs/>
        </w:rPr>
        <w:t>Davis JL</w:t>
      </w:r>
      <w:r>
        <w:rPr>
          <w:rFonts w:ascii="Book Antiqua" w:hAnsi="Book Antiqua"/>
        </w:rPr>
        <w:t xml:space="preserve">, Ripley RT. Postgastrectomy Syndromes and Nutritional Considerations Following Gastric Surgery. </w:t>
      </w:r>
      <w:r>
        <w:rPr>
          <w:rFonts w:ascii="Book Antiqua" w:hAnsi="Book Antiqua"/>
          <w:i/>
          <w:iCs/>
        </w:rPr>
        <w:t>Surg Clin North Am</w:t>
      </w:r>
      <w:r>
        <w:rPr>
          <w:rFonts w:ascii="Book Antiqua" w:hAnsi="Book Antiqua"/>
        </w:rPr>
        <w:t xml:space="preserve"> 2017; </w:t>
      </w:r>
      <w:r>
        <w:rPr>
          <w:rFonts w:ascii="Book Antiqua" w:hAnsi="Book Antiqua"/>
          <w:b/>
          <w:bCs/>
        </w:rPr>
        <w:t>97</w:t>
      </w:r>
      <w:r>
        <w:rPr>
          <w:rFonts w:ascii="Book Antiqua" w:hAnsi="Book Antiqua"/>
        </w:rPr>
        <w:t>: 277-293 [PMID: 28325187 DOI: 10.1016/j.suc.2016.11.005]</w:t>
      </w:r>
    </w:p>
    <w:p>
      <w:pPr>
        <w:spacing w:line="360" w:lineRule="auto"/>
        <w:jc w:val="both"/>
        <w:rPr>
          <w:rFonts w:ascii="Book Antiqua" w:hAnsi="Book Antiqua"/>
        </w:rPr>
      </w:pPr>
      <w:r>
        <w:rPr>
          <w:rFonts w:ascii="Book Antiqua" w:hAnsi="Book Antiqua"/>
        </w:rPr>
        <w:t xml:space="preserve">13 </w:t>
      </w:r>
      <w:r>
        <w:rPr>
          <w:rFonts w:ascii="Book Antiqua" w:hAnsi="Book Antiqua"/>
          <w:b/>
          <w:bCs/>
        </w:rPr>
        <w:t>Ramos MFKP</w:t>
      </w:r>
      <w:r>
        <w:rPr>
          <w:rFonts w:ascii="Book Antiqua" w:hAnsi="Book Antiqua"/>
        </w:rPr>
        <w:t xml:space="preserve">, Pereira MA, de Castria TB, Ribeiro RRE, Cardili L, de Mello ES, Zilberstein B, Ribeiro-Júnior U, Cecconello I. Remnant gastric cancer: a neglected group with high potential for immunotherapy. </w:t>
      </w:r>
      <w:r>
        <w:rPr>
          <w:rFonts w:ascii="Book Antiqua" w:hAnsi="Book Antiqua"/>
          <w:i/>
          <w:iCs/>
        </w:rPr>
        <w:t>J Cancer Res Clin Oncol</w:t>
      </w:r>
      <w:r>
        <w:rPr>
          <w:rFonts w:ascii="Book Antiqua" w:hAnsi="Book Antiqua"/>
        </w:rPr>
        <w:t xml:space="preserve"> 2020; </w:t>
      </w:r>
      <w:r>
        <w:rPr>
          <w:rFonts w:ascii="Book Antiqua" w:hAnsi="Book Antiqua"/>
          <w:b/>
          <w:bCs/>
        </w:rPr>
        <w:t>146</w:t>
      </w:r>
      <w:r>
        <w:rPr>
          <w:rFonts w:ascii="Book Antiqua" w:hAnsi="Book Antiqua"/>
        </w:rPr>
        <w:t>: 3373-3383 [PMID: 32671505 DOI: 10.1007/s00432-020-03322-7]</w:t>
      </w:r>
    </w:p>
    <w:p>
      <w:pPr>
        <w:spacing w:line="360" w:lineRule="auto"/>
        <w:jc w:val="both"/>
        <w:rPr>
          <w:rFonts w:ascii="Book Antiqua" w:hAnsi="Book Antiqua"/>
        </w:rPr>
      </w:pPr>
      <w:r>
        <w:rPr>
          <w:rFonts w:ascii="Book Antiqua" w:hAnsi="Book Antiqua"/>
        </w:rPr>
        <w:t xml:space="preserve">14 </w:t>
      </w:r>
      <w:r>
        <w:rPr>
          <w:rFonts w:ascii="Book Antiqua" w:hAnsi="Book Antiqua"/>
          <w:b/>
          <w:bCs/>
        </w:rPr>
        <w:t>Giannini R</w:t>
      </w:r>
      <w:r>
        <w:rPr>
          <w:rFonts w:ascii="Book Antiqua" w:hAnsi="Book Antiqua"/>
        </w:rPr>
        <w:t xml:space="preserve">, Zucchelli G, Giordano M, Ugolini C, Moretto R, Ambryszewska K, Leonardi M, Sensi E, Morano F, Pietrantonio F, Cremolini C, Falcone A, Fontanini G. Immune Profiling of Deficient Mismatch Repair Colorectal Cancer Tumor Microenvironment Reveals Different Levels of Immune System Activation. </w:t>
      </w:r>
      <w:r>
        <w:rPr>
          <w:rFonts w:ascii="Book Antiqua" w:hAnsi="Book Antiqua"/>
          <w:i/>
          <w:iCs/>
        </w:rPr>
        <w:t>J Mol Diagn</w:t>
      </w:r>
      <w:r>
        <w:rPr>
          <w:rFonts w:ascii="Book Antiqua" w:hAnsi="Book Antiqua"/>
        </w:rPr>
        <w:t xml:space="preserve"> 2020; </w:t>
      </w:r>
      <w:r>
        <w:rPr>
          <w:rFonts w:ascii="Book Antiqua" w:hAnsi="Book Antiqua"/>
          <w:b/>
          <w:bCs/>
        </w:rPr>
        <w:t>22</w:t>
      </w:r>
      <w:r>
        <w:rPr>
          <w:rFonts w:ascii="Book Antiqua" w:hAnsi="Book Antiqua"/>
        </w:rPr>
        <w:t>: 685-698 [PMID: 32173570 DOI: 10.1016/j.jmoldx.2020.02.008]</w:t>
      </w:r>
    </w:p>
    <w:p>
      <w:pPr>
        <w:spacing w:line="360" w:lineRule="auto"/>
        <w:jc w:val="both"/>
        <w:rPr>
          <w:rFonts w:ascii="Book Antiqua" w:hAnsi="Book Antiqua"/>
        </w:rPr>
      </w:pPr>
      <w:r>
        <w:rPr>
          <w:rFonts w:ascii="Book Antiqua" w:hAnsi="Book Antiqua"/>
        </w:rPr>
        <w:t xml:space="preserve">15 </w:t>
      </w:r>
      <w:r>
        <w:rPr>
          <w:rFonts w:ascii="Book Antiqua" w:hAnsi="Book Antiqua"/>
          <w:b/>
          <w:bCs/>
        </w:rPr>
        <w:t>Zeng Z</w:t>
      </w:r>
      <w:r>
        <w:rPr>
          <w:rFonts w:ascii="Book Antiqua" w:hAnsi="Book Antiqua"/>
        </w:rPr>
        <w:t xml:space="preserve">, Li J, Zhang J, Li Y, Liu X, Chen J, Huang Z, Wu Q, Gong Y, Xie C. Immune and stromal scoring system associated with tumor microenvironment and prognosis: a gene-based multi-cancer analysis. </w:t>
      </w:r>
      <w:r>
        <w:rPr>
          <w:rFonts w:ascii="Book Antiqua" w:hAnsi="Book Antiqua"/>
          <w:i/>
          <w:iCs/>
        </w:rPr>
        <w:t>J Transl Med</w:t>
      </w:r>
      <w:r>
        <w:rPr>
          <w:rFonts w:ascii="Book Antiqua" w:hAnsi="Book Antiqua"/>
        </w:rPr>
        <w:t xml:space="preserve"> 2021; </w:t>
      </w:r>
      <w:r>
        <w:rPr>
          <w:rFonts w:ascii="Book Antiqua" w:hAnsi="Book Antiqua"/>
          <w:b/>
          <w:bCs/>
        </w:rPr>
        <w:t>19</w:t>
      </w:r>
      <w:r>
        <w:rPr>
          <w:rFonts w:ascii="Book Antiqua" w:hAnsi="Book Antiqua"/>
        </w:rPr>
        <w:t>: 330 [PMID: 34344410 DOI: 10.1186/s12967-021-03002-1]</w:t>
      </w:r>
    </w:p>
    <w:p>
      <w:pPr>
        <w:spacing w:line="360" w:lineRule="auto"/>
        <w:jc w:val="both"/>
        <w:rPr>
          <w:rFonts w:ascii="Book Antiqua" w:hAnsi="Book Antiqua"/>
        </w:rPr>
      </w:pPr>
      <w:r>
        <w:rPr>
          <w:rFonts w:ascii="Book Antiqua" w:hAnsi="Book Antiqua"/>
        </w:rPr>
        <w:t xml:space="preserve">16 </w:t>
      </w:r>
      <w:r>
        <w:rPr>
          <w:rFonts w:ascii="Book Antiqua" w:hAnsi="Book Antiqua"/>
          <w:b/>
          <w:bCs/>
        </w:rPr>
        <w:t>Zheng X</w:t>
      </w:r>
      <w:r>
        <w:rPr>
          <w:rFonts w:ascii="Book Antiqua" w:hAnsi="Book Antiqua"/>
        </w:rPr>
        <w:t xml:space="preserve">, Li L, Yu C, Yang J, Zhao Y, Su C, Yu J, Xu M. Establishment of a tumor immune microenvironment-based molecular classification system of breast cancer for immunotherapy. </w:t>
      </w:r>
      <w:r>
        <w:rPr>
          <w:rFonts w:ascii="Book Antiqua" w:hAnsi="Book Antiqua"/>
          <w:i/>
          <w:iCs/>
        </w:rPr>
        <w:t>Aging (Albany NY)</w:t>
      </w:r>
      <w:r>
        <w:rPr>
          <w:rFonts w:ascii="Book Antiqua" w:hAnsi="Book Antiqua"/>
        </w:rPr>
        <w:t xml:space="preserve"> 2021; </w:t>
      </w:r>
      <w:r>
        <w:rPr>
          <w:rFonts w:ascii="Book Antiqua" w:hAnsi="Book Antiqua"/>
          <w:b/>
          <w:bCs/>
        </w:rPr>
        <w:t>13</w:t>
      </w:r>
      <w:r>
        <w:rPr>
          <w:rFonts w:ascii="Book Antiqua" w:hAnsi="Book Antiqua"/>
        </w:rPr>
        <w:t>: 24313-24338 [PMID: 34762599 DOI: 10.18632/aging.203682]</w:t>
      </w:r>
    </w:p>
    <w:p>
      <w:pPr>
        <w:spacing w:line="360" w:lineRule="auto"/>
        <w:jc w:val="both"/>
        <w:rPr>
          <w:rFonts w:ascii="Book Antiqua" w:hAnsi="Book Antiqua"/>
        </w:rPr>
      </w:pPr>
      <w:r>
        <w:rPr>
          <w:rFonts w:ascii="Book Antiqua" w:hAnsi="Book Antiqua"/>
        </w:rPr>
        <w:t xml:space="preserve">17 </w:t>
      </w:r>
      <w:r>
        <w:rPr>
          <w:rFonts w:ascii="Book Antiqua" w:hAnsi="Book Antiqua"/>
          <w:b/>
          <w:bCs/>
        </w:rPr>
        <w:t>Flores-Pérez JA</w:t>
      </w:r>
      <w:r>
        <w:rPr>
          <w:rFonts w:ascii="Book Antiqua" w:hAnsi="Book Antiqua"/>
        </w:rPr>
        <w:t xml:space="preserve">, de la Rosa Oliva F, Argenes Y, Meneses-Garcia A. Nutrition, Cancer and Personalized Medicine. </w:t>
      </w:r>
      <w:r>
        <w:rPr>
          <w:rFonts w:ascii="Book Antiqua" w:hAnsi="Book Antiqua"/>
          <w:i/>
          <w:iCs/>
        </w:rPr>
        <w:t>Adv Exp Med Biol</w:t>
      </w:r>
      <w:r>
        <w:rPr>
          <w:rFonts w:ascii="Book Antiqua" w:hAnsi="Book Antiqua"/>
        </w:rPr>
        <w:t xml:space="preserve"> 2019; </w:t>
      </w:r>
      <w:r>
        <w:rPr>
          <w:rFonts w:ascii="Book Antiqua" w:hAnsi="Book Antiqua"/>
          <w:b/>
          <w:bCs/>
        </w:rPr>
        <w:t>1168</w:t>
      </w:r>
      <w:r>
        <w:rPr>
          <w:rFonts w:ascii="Book Antiqua" w:hAnsi="Book Antiqua"/>
        </w:rPr>
        <w:t>: 157-168 [PMID: 31713171 DOI: 10.1007/978-3-030-24100-1_11]</w:t>
      </w:r>
    </w:p>
    <w:p>
      <w:pPr>
        <w:spacing w:line="360" w:lineRule="auto"/>
        <w:jc w:val="both"/>
        <w:rPr>
          <w:rFonts w:ascii="Book Antiqua" w:hAnsi="Book Antiqua"/>
        </w:rPr>
      </w:pPr>
      <w:r>
        <w:rPr>
          <w:rFonts w:ascii="Book Antiqua" w:hAnsi="Book Antiqua"/>
        </w:rPr>
        <w:t xml:space="preserve">18 </w:t>
      </w:r>
      <w:r>
        <w:rPr>
          <w:rFonts w:ascii="Book Antiqua" w:hAnsi="Book Antiqua"/>
          <w:b/>
          <w:bCs/>
        </w:rPr>
        <w:t>Wijler LA</w:t>
      </w:r>
      <w:r>
        <w:rPr>
          <w:rFonts w:ascii="Book Antiqua" w:hAnsi="Book Antiqua"/>
        </w:rPr>
        <w:t xml:space="preserve">, Raats DAE, Elias SG, Dijk FJ, Quirindongo H, May AM, Furber MJW, Dorresteijn B, van Dijk M, Kranenburg O. Specialized nutrition improves muscle function and physical activity without affecting chemotherapy efficacy in C26 tumour-bearing mice. </w:t>
      </w:r>
      <w:r>
        <w:rPr>
          <w:rFonts w:ascii="Book Antiqua" w:hAnsi="Book Antiqua"/>
          <w:i/>
          <w:iCs/>
        </w:rPr>
        <w:t>J Cachexia Sarcopenia Muscle</w:t>
      </w:r>
      <w:r>
        <w:rPr>
          <w:rFonts w:ascii="Book Antiqua" w:hAnsi="Book Antiqua"/>
        </w:rPr>
        <w:t xml:space="preserve"> 2021; </w:t>
      </w:r>
      <w:r>
        <w:rPr>
          <w:rFonts w:ascii="Book Antiqua" w:hAnsi="Book Antiqua"/>
          <w:b/>
          <w:bCs/>
        </w:rPr>
        <w:t>12</w:t>
      </w:r>
      <w:r>
        <w:rPr>
          <w:rFonts w:ascii="Book Antiqua" w:hAnsi="Book Antiqua"/>
        </w:rPr>
        <w:t>: 796-810 [PMID: 33956410 DOI: 10.1002/jcsm.12703]</w:t>
      </w:r>
    </w:p>
    <w:p>
      <w:pPr>
        <w:spacing w:line="360" w:lineRule="auto"/>
        <w:jc w:val="both"/>
        <w:rPr>
          <w:rFonts w:ascii="Book Antiqua" w:hAnsi="Book Antiqua"/>
        </w:rPr>
      </w:pPr>
      <w:r>
        <w:rPr>
          <w:rFonts w:ascii="Book Antiqua" w:hAnsi="Book Antiqua"/>
        </w:rPr>
        <w:t xml:space="preserve">19 </w:t>
      </w:r>
      <w:r>
        <w:rPr>
          <w:rFonts w:ascii="Book Antiqua" w:hAnsi="Book Antiqua"/>
          <w:b/>
          <w:bCs/>
        </w:rPr>
        <w:t>Pan YC</w:t>
      </w:r>
      <w:r>
        <w:rPr>
          <w:rFonts w:ascii="Book Antiqua" w:hAnsi="Book Antiqua"/>
        </w:rPr>
        <w:t xml:space="preserve">, Jia ZF, Cao DH, Wu YH, Jiang J, Wen SM, Zhao D, Zhang SL, Cao XY. Preoperative lymphocyte-to-monocyte ratio (LMR) could independently predict overall survival of resectable gastric cancer patients. </w:t>
      </w:r>
      <w:r>
        <w:rPr>
          <w:rFonts w:ascii="Book Antiqua" w:hAnsi="Book Antiqua"/>
          <w:i/>
          <w:iCs/>
        </w:rPr>
        <w:t>Medicine (Baltimore)</w:t>
      </w:r>
      <w:r>
        <w:rPr>
          <w:rFonts w:ascii="Book Antiqua" w:hAnsi="Book Antiqua"/>
        </w:rPr>
        <w:t xml:space="preserve"> 2018; </w:t>
      </w:r>
      <w:r>
        <w:rPr>
          <w:rFonts w:ascii="Book Antiqua" w:hAnsi="Book Antiqua"/>
          <w:b/>
          <w:bCs/>
        </w:rPr>
        <w:t>97</w:t>
      </w:r>
      <w:r>
        <w:rPr>
          <w:rFonts w:ascii="Book Antiqua" w:hAnsi="Book Antiqua"/>
        </w:rPr>
        <w:t>: e13896 [PMID: 30593200 DOI: 10.1097/MD.0000000000013896]</w:t>
      </w:r>
    </w:p>
    <w:p>
      <w:pPr>
        <w:spacing w:line="360" w:lineRule="auto"/>
        <w:jc w:val="both"/>
        <w:rPr>
          <w:rFonts w:ascii="Book Antiqua" w:hAnsi="Book Antiqua"/>
        </w:rPr>
      </w:pPr>
      <w:r>
        <w:rPr>
          <w:rFonts w:ascii="Book Antiqua" w:hAnsi="Book Antiqua"/>
        </w:rPr>
        <w:t xml:space="preserve">20 </w:t>
      </w:r>
      <w:r>
        <w:rPr>
          <w:rFonts w:ascii="Book Antiqua" w:hAnsi="Book Antiqua"/>
          <w:b/>
          <w:bCs/>
        </w:rPr>
        <w:t>Hamid HKS</w:t>
      </w:r>
      <w:r>
        <w:rPr>
          <w:rFonts w:ascii="Book Antiqua" w:hAnsi="Book Antiqua"/>
        </w:rPr>
        <w:t xml:space="preserve">, Davis GN, Trejo-Avila M, Igwe PO, Garcia-Marín A. Prognostic and predictive value of neutrophil-to-lymphocyte ratio after curative rectal cancer resection: A systematic review and meta-analysis. </w:t>
      </w:r>
      <w:r>
        <w:rPr>
          <w:rFonts w:ascii="Book Antiqua" w:hAnsi="Book Antiqua"/>
          <w:i/>
          <w:iCs/>
        </w:rPr>
        <w:t>Surg Oncol</w:t>
      </w:r>
      <w:r>
        <w:rPr>
          <w:rFonts w:ascii="Book Antiqua" w:hAnsi="Book Antiqua"/>
        </w:rPr>
        <w:t xml:space="preserve"> 2021; </w:t>
      </w:r>
      <w:r>
        <w:rPr>
          <w:rFonts w:ascii="Book Antiqua" w:hAnsi="Book Antiqua"/>
          <w:b/>
          <w:bCs/>
        </w:rPr>
        <w:t>37</w:t>
      </w:r>
      <w:r>
        <w:rPr>
          <w:rFonts w:ascii="Book Antiqua" w:hAnsi="Book Antiqua"/>
        </w:rPr>
        <w:t>: 101556 [PMID: 33819850 DOI: 10.1016/j.suronc.2021.101556]</w:t>
      </w:r>
    </w:p>
    <w:p>
      <w:pPr>
        <w:spacing w:line="360" w:lineRule="auto"/>
        <w:jc w:val="both"/>
        <w:rPr>
          <w:rFonts w:ascii="Book Antiqua" w:hAnsi="Book Antiqua"/>
        </w:rPr>
      </w:pPr>
      <w:r>
        <w:rPr>
          <w:rFonts w:ascii="Book Antiqua" w:hAnsi="Book Antiqua"/>
        </w:rPr>
        <w:t xml:space="preserve">21 </w:t>
      </w:r>
      <w:r>
        <w:rPr>
          <w:rFonts w:ascii="Book Antiqua" w:hAnsi="Book Antiqua"/>
          <w:b/>
          <w:bCs/>
        </w:rPr>
        <w:t>Song D</w:t>
      </w:r>
      <w:r>
        <w:rPr>
          <w:rFonts w:ascii="Book Antiqua" w:hAnsi="Book Antiqua"/>
        </w:rPr>
        <w:t xml:space="preserve">, Li X, Zhang X. Expression and prognostic value of ratios of platelet lymphocyte, neutrophil lymphocyte and lymphocyte monocyte in breast cancer patients. </w:t>
      </w:r>
      <w:r>
        <w:rPr>
          <w:rFonts w:ascii="Book Antiqua" w:hAnsi="Book Antiqua"/>
          <w:i/>
          <w:iCs/>
        </w:rPr>
        <w:t>Am J Transl Res</w:t>
      </w:r>
      <w:r>
        <w:rPr>
          <w:rFonts w:ascii="Book Antiqua" w:hAnsi="Book Antiqua"/>
        </w:rPr>
        <w:t xml:space="preserve"> 2022; </w:t>
      </w:r>
      <w:r>
        <w:rPr>
          <w:rFonts w:ascii="Book Antiqua" w:hAnsi="Book Antiqua"/>
          <w:b/>
          <w:bCs/>
        </w:rPr>
        <w:t>14</w:t>
      </w:r>
      <w:r>
        <w:rPr>
          <w:rFonts w:ascii="Book Antiqua" w:hAnsi="Book Antiqua"/>
        </w:rPr>
        <w:t>: 3233-3239 [PMID: 35702097]</w:t>
      </w:r>
    </w:p>
    <w:p>
      <w:pPr>
        <w:spacing w:line="360" w:lineRule="auto"/>
        <w:jc w:val="both"/>
        <w:rPr>
          <w:rFonts w:ascii="Book Antiqua" w:hAnsi="Book Antiqua"/>
        </w:rPr>
      </w:pPr>
      <w:r>
        <w:rPr>
          <w:rFonts w:ascii="Book Antiqua" w:hAnsi="Book Antiqua"/>
        </w:rPr>
        <w:t xml:space="preserve">22 </w:t>
      </w:r>
      <w:r>
        <w:rPr>
          <w:rFonts w:ascii="Book Antiqua" w:hAnsi="Book Antiqua"/>
          <w:b/>
          <w:bCs/>
        </w:rPr>
        <w:t>Hirano H</w:t>
      </w:r>
      <w:r>
        <w:rPr>
          <w:rFonts w:ascii="Book Antiqua" w:hAnsi="Book Antiqua"/>
        </w:rPr>
        <w:t xml:space="preserve">, Ide H, Lu Y, Inoue Y, Okada H, Horie S. Impact of Pretreatment Total Cholesterol Level Is Associated With Metastasis of Prostate Cancer. </w:t>
      </w:r>
      <w:r>
        <w:rPr>
          <w:rFonts w:ascii="Book Antiqua" w:hAnsi="Book Antiqua"/>
          <w:i/>
          <w:iCs/>
        </w:rPr>
        <w:t>Am J Mens Health</w:t>
      </w:r>
      <w:r>
        <w:rPr>
          <w:rFonts w:ascii="Book Antiqua" w:hAnsi="Book Antiqua"/>
        </w:rPr>
        <w:t xml:space="preserve"> 2020; </w:t>
      </w:r>
      <w:r>
        <w:rPr>
          <w:rFonts w:ascii="Book Antiqua" w:hAnsi="Book Antiqua"/>
          <w:b/>
          <w:bCs/>
        </w:rPr>
        <w:t>14</w:t>
      </w:r>
      <w:r>
        <w:rPr>
          <w:rFonts w:ascii="Book Antiqua" w:hAnsi="Book Antiqua"/>
        </w:rPr>
        <w:t>: 1557988320918788 [PMID: 32349610 DOI: 10.1177/1557988320918788]</w:t>
      </w:r>
    </w:p>
    <w:p>
      <w:pPr>
        <w:spacing w:line="360" w:lineRule="auto"/>
        <w:jc w:val="both"/>
        <w:rPr>
          <w:rFonts w:ascii="Book Antiqua" w:hAnsi="Book Antiqua"/>
        </w:rPr>
      </w:pPr>
      <w:r>
        <w:rPr>
          <w:rFonts w:ascii="Book Antiqua" w:hAnsi="Book Antiqua"/>
        </w:rPr>
        <w:t xml:space="preserve">23 </w:t>
      </w:r>
      <w:r>
        <w:rPr>
          <w:rFonts w:ascii="Book Antiqua" w:hAnsi="Book Antiqua"/>
          <w:b/>
          <w:bCs/>
        </w:rPr>
        <w:t>Bekos C</w:t>
      </w:r>
      <w:r>
        <w:rPr>
          <w:rFonts w:ascii="Book Antiqua" w:hAnsi="Book Antiqua"/>
        </w:rPr>
        <w:t xml:space="preserve">, Polterauer S, Seebacher V, Bartl T, Joura E, Reinthaller A, Sturdza A, Horvat R, Schwameis R, Grimm C. Pre-operative hypoalbuminemia is associated with complication rate and overall survival in patients with vulvar cancer undergoing surgery. </w:t>
      </w:r>
      <w:r>
        <w:rPr>
          <w:rFonts w:ascii="Book Antiqua" w:hAnsi="Book Antiqua"/>
          <w:i/>
          <w:iCs/>
        </w:rPr>
        <w:t>Arch Gynecol Obstet</w:t>
      </w:r>
      <w:r>
        <w:rPr>
          <w:rFonts w:ascii="Book Antiqua" w:hAnsi="Book Antiqua"/>
        </w:rPr>
        <w:t xml:space="preserve"> 2019; </w:t>
      </w:r>
      <w:r>
        <w:rPr>
          <w:rFonts w:ascii="Book Antiqua" w:hAnsi="Book Antiqua"/>
          <w:b/>
          <w:bCs/>
        </w:rPr>
        <w:t>300</w:t>
      </w:r>
      <w:r>
        <w:rPr>
          <w:rFonts w:ascii="Book Antiqua" w:hAnsi="Book Antiqua"/>
        </w:rPr>
        <w:t>: 1015-1022 [PMID: 31468203 DOI: 10.1007/s00404-019-05278-7]</w:t>
      </w:r>
    </w:p>
    <w:p>
      <w:pPr>
        <w:spacing w:line="360" w:lineRule="auto"/>
        <w:jc w:val="both"/>
        <w:rPr>
          <w:rFonts w:ascii="Book Antiqua" w:hAnsi="Book Antiqua"/>
        </w:rPr>
      </w:pPr>
      <w:r>
        <w:rPr>
          <w:rFonts w:ascii="Book Antiqua" w:hAnsi="Book Antiqua"/>
        </w:rPr>
        <w:t xml:space="preserve">24 </w:t>
      </w:r>
      <w:r>
        <w:rPr>
          <w:rFonts w:ascii="Book Antiqua" w:hAnsi="Book Antiqua"/>
          <w:b/>
          <w:bCs/>
        </w:rPr>
        <w:t>Ding P</w:t>
      </w:r>
      <w:r>
        <w:rPr>
          <w:rFonts w:ascii="Book Antiqua" w:hAnsi="Book Antiqua"/>
        </w:rPr>
        <w:t xml:space="preserve">, Guo H, Sun C, Yang P, Kim NH, Tian Y, Liu Y, Liu P, Li Y, Zhao Q. Combined systemic immune-inflammatory index (SII) and prognostic nutritional index (PNI) predicts chemotherapy response and prognosis in locally advanced gastric cancer patients receiving neoadjuvant chemotherapy with PD-1 antibody sintilimab and XELOX: a prospective study. </w:t>
      </w:r>
      <w:r>
        <w:rPr>
          <w:rFonts w:ascii="Book Antiqua" w:hAnsi="Book Antiqua"/>
          <w:i/>
          <w:iCs/>
        </w:rPr>
        <w:t>BMC Gastroenterol</w:t>
      </w:r>
      <w:r>
        <w:rPr>
          <w:rFonts w:ascii="Book Antiqua" w:hAnsi="Book Antiqua"/>
        </w:rPr>
        <w:t xml:space="preserve"> 2022; </w:t>
      </w:r>
      <w:r>
        <w:rPr>
          <w:rFonts w:ascii="Book Antiqua" w:hAnsi="Book Antiqua"/>
          <w:b/>
          <w:bCs/>
        </w:rPr>
        <w:t>22</w:t>
      </w:r>
      <w:r>
        <w:rPr>
          <w:rFonts w:ascii="Book Antiqua" w:hAnsi="Book Antiqua"/>
        </w:rPr>
        <w:t>: 121 [PMID: 35287591 DOI: 10.1186/s12876-022-02199-9]</w:t>
      </w:r>
    </w:p>
    <w:p>
      <w:pPr>
        <w:spacing w:line="360" w:lineRule="auto"/>
        <w:jc w:val="both"/>
        <w:rPr>
          <w:rFonts w:ascii="Book Antiqua" w:hAnsi="Book Antiqua"/>
        </w:rPr>
      </w:pPr>
      <w:r>
        <w:rPr>
          <w:rFonts w:ascii="Book Antiqua" w:hAnsi="Book Antiqua"/>
        </w:rPr>
        <w:t xml:space="preserve">25 </w:t>
      </w:r>
      <w:r>
        <w:rPr>
          <w:rFonts w:ascii="Book Antiqua" w:hAnsi="Book Antiqua"/>
          <w:b/>
          <w:bCs/>
        </w:rPr>
        <w:t>Dalmiglio C</w:t>
      </w:r>
      <w:r>
        <w:rPr>
          <w:rFonts w:ascii="Book Antiqua" w:hAnsi="Book Antiqua"/>
        </w:rPr>
        <w:t xml:space="preserve">, Brilli L, Campanile M, Ciuoli C, Cartocci A, Castagna MG. CONUT Score: A New Tool for Predicting Prognosis in Patients with Advanced Thyroid Cancer Treated with TKI. </w:t>
      </w:r>
      <w:r>
        <w:rPr>
          <w:rFonts w:ascii="Book Antiqua" w:hAnsi="Book Antiqua"/>
          <w:i/>
          <w:iCs/>
        </w:rPr>
        <w:t>Cancers (Basel)</w:t>
      </w:r>
      <w:r>
        <w:rPr>
          <w:rFonts w:ascii="Book Antiqua" w:hAnsi="Book Antiqua"/>
        </w:rPr>
        <w:t xml:space="preserve"> 2022; </w:t>
      </w:r>
      <w:r>
        <w:rPr>
          <w:rFonts w:ascii="Book Antiqua" w:hAnsi="Book Antiqua"/>
          <w:b/>
          <w:bCs/>
        </w:rPr>
        <w:t>14</w:t>
      </w:r>
      <w:r>
        <w:rPr>
          <w:rFonts w:ascii="Book Antiqua" w:hAnsi="Book Antiqua"/>
        </w:rPr>
        <w:t xml:space="preserve"> [PMID: 35158991 DOI: 10.3390/cancers14030724]</w:t>
      </w:r>
    </w:p>
    <w:p>
      <w:pPr>
        <w:spacing w:line="360" w:lineRule="auto"/>
        <w:jc w:val="both"/>
        <w:rPr>
          <w:rFonts w:ascii="Book Antiqua" w:hAnsi="Book Antiqua"/>
        </w:rPr>
      </w:pPr>
      <w:r>
        <w:rPr>
          <w:rFonts w:ascii="Book Antiqua" w:hAnsi="Book Antiqua"/>
        </w:rPr>
        <w:t xml:space="preserve">26 </w:t>
      </w:r>
      <w:r>
        <w:rPr>
          <w:rFonts w:ascii="Book Antiqua" w:hAnsi="Book Antiqua"/>
          <w:b/>
          <w:bCs/>
        </w:rPr>
        <w:t>Nakagawa N</w:t>
      </w:r>
      <w:r>
        <w:rPr>
          <w:rFonts w:ascii="Book Antiqua" w:hAnsi="Book Antiqua"/>
        </w:rPr>
        <w:t xml:space="preserve">, Yamada S, Sonohara F, Takami H, Hayashi M, Kanda M, Kobayashi D, Tanaka C, Nakayama G, Koike M, Fujiwara M, Kodera Y. Clinical Implications of Naples Prognostic Score in Patients with Resected Pancreatic Cancer. </w:t>
      </w:r>
      <w:r>
        <w:rPr>
          <w:rFonts w:ascii="Book Antiqua" w:hAnsi="Book Antiqua"/>
          <w:i/>
          <w:iCs/>
        </w:rPr>
        <w:t>Ann Surg Oncol</w:t>
      </w:r>
      <w:r>
        <w:rPr>
          <w:rFonts w:ascii="Book Antiqua" w:hAnsi="Book Antiqua"/>
        </w:rPr>
        <w:t xml:space="preserve"> 2020; </w:t>
      </w:r>
      <w:r>
        <w:rPr>
          <w:rFonts w:ascii="Book Antiqua" w:hAnsi="Book Antiqua"/>
          <w:b/>
          <w:bCs/>
        </w:rPr>
        <w:t>27</w:t>
      </w:r>
      <w:r>
        <w:rPr>
          <w:rFonts w:ascii="Book Antiqua" w:hAnsi="Book Antiqua"/>
        </w:rPr>
        <w:t>: 887-895 [PMID: 31848811 DOI: 10.1245/s10434-019-08047-7]</w:t>
      </w:r>
    </w:p>
    <w:p>
      <w:pPr>
        <w:spacing w:line="360" w:lineRule="auto"/>
        <w:jc w:val="both"/>
        <w:rPr>
          <w:rFonts w:ascii="Book Antiqua" w:hAnsi="Book Antiqua"/>
        </w:rPr>
      </w:pPr>
      <w:r>
        <w:rPr>
          <w:rFonts w:ascii="Book Antiqua" w:hAnsi="Book Antiqua"/>
        </w:rPr>
        <w:t xml:space="preserve">27 </w:t>
      </w:r>
      <w:r>
        <w:rPr>
          <w:rFonts w:ascii="Book Antiqua" w:hAnsi="Book Antiqua"/>
          <w:b/>
          <w:bCs/>
        </w:rPr>
        <w:t>Li T</w:t>
      </w:r>
      <w:r>
        <w:rPr>
          <w:rFonts w:ascii="Book Antiqua" w:hAnsi="Book Antiqua"/>
        </w:rPr>
        <w:t xml:space="preserve">, Wu B, Yang T, Zhang L, Jin K. The outstanding antitumor capacity of CD4(+) T helper lymphocytes. </w:t>
      </w:r>
      <w:r>
        <w:rPr>
          <w:rFonts w:ascii="Book Antiqua" w:hAnsi="Book Antiqua"/>
          <w:i/>
          <w:iCs/>
        </w:rPr>
        <w:t>Biochim Biophys Acta Rev Cancer</w:t>
      </w:r>
      <w:r>
        <w:rPr>
          <w:rFonts w:ascii="Book Antiqua" w:hAnsi="Book Antiqua"/>
        </w:rPr>
        <w:t xml:space="preserve"> 2020; </w:t>
      </w:r>
      <w:r>
        <w:rPr>
          <w:rFonts w:ascii="Book Antiqua" w:hAnsi="Book Antiqua"/>
          <w:b/>
          <w:bCs/>
        </w:rPr>
        <w:t>1874</w:t>
      </w:r>
      <w:r>
        <w:rPr>
          <w:rFonts w:ascii="Book Antiqua" w:hAnsi="Book Antiqua"/>
        </w:rPr>
        <w:t>: 188439 [PMID: 32980465 DOI: 10.1016/j.bbcan.2020.188439]</w:t>
      </w:r>
    </w:p>
    <w:p>
      <w:pPr>
        <w:spacing w:line="360" w:lineRule="auto"/>
        <w:jc w:val="both"/>
        <w:rPr>
          <w:rFonts w:ascii="Book Antiqua" w:hAnsi="Book Antiqua"/>
        </w:rPr>
      </w:pPr>
      <w:r>
        <w:rPr>
          <w:rFonts w:ascii="Book Antiqua" w:hAnsi="Book Antiqua"/>
        </w:rPr>
        <w:t xml:space="preserve">28 </w:t>
      </w:r>
      <w:r>
        <w:rPr>
          <w:rFonts w:ascii="Book Antiqua" w:hAnsi="Book Antiqua"/>
          <w:b/>
          <w:bCs/>
        </w:rPr>
        <w:t>Tatara T</w:t>
      </w:r>
      <w:r>
        <w:rPr>
          <w:rFonts w:ascii="Book Antiqua" w:hAnsi="Book Antiqua"/>
        </w:rPr>
        <w:t xml:space="preserve">, Suzuki S, Kanaji S, Yamamoto M, Matsuda Y, Hasegawa H, Yamashita K, Matsuda T, Oshikiri T, Nakamura T, Kakeji Y. Lymphopenia predicts poor prognosis in older gastric cancer patients after curative gastrectomy. </w:t>
      </w:r>
      <w:r>
        <w:rPr>
          <w:rFonts w:ascii="Book Antiqua" w:hAnsi="Book Antiqua"/>
          <w:i/>
          <w:iCs/>
        </w:rPr>
        <w:t>Geriatr Gerontol Int</w:t>
      </w:r>
      <w:r>
        <w:rPr>
          <w:rFonts w:ascii="Book Antiqua" w:hAnsi="Book Antiqua"/>
        </w:rPr>
        <w:t xml:space="preserve"> 2019; </w:t>
      </w:r>
      <w:r>
        <w:rPr>
          <w:rFonts w:ascii="Book Antiqua" w:hAnsi="Book Antiqua"/>
          <w:b/>
          <w:bCs/>
        </w:rPr>
        <w:t>19</w:t>
      </w:r>
      <w:r>
        <w:rPr>
          <w:rFonts w:ascii="Book Antiqua" w:hAnsi="Book Antiqua"/>
        </w:rPr>
        <w:t>: 1215-1219 [PMID: 31674139 DOI: 10.1111/ggi.13794]</w:t>
      </w:r>
    </w:p>
    <w:p>
      <w:pPr>
        <w:spacing w:line="360" w:lineRule="auto"/>
        <w:jc w:val="both"/>
        <w:rPr>
          <w:rFonts w:ascii="Book Antiqua" w:hAnsi="Book Antiqua"/>
        </w:rPr>
      </w:pPr>
      <w:r>
        <w:rPr>
          <w:rFonts w:ascii="Book Antiqua" w:hAnsi="Book Antiqua"/>
        </w:rPr>
        <w:t xml:space="preserve">29 </w:t>
      </w:r>
      <w:r>
        <w:rPr>
          <w:rFonts w:ascii="Book Antiqua" w:hAnsi="Book Antiqua"/>
          <w:b/>
          <w:bCs/>
        </w:rPr>
        <w:t>Eberst G</w:t>
      </w:r>
      <w:r>
        <w:rPr>
          <w:rFonts w:ascii="Book Antiqua" w:hAnsi="Book Antiqua"/>
        </w:rPr>
        <w:t xml:space="preserve">, Vernerey D, Laheurte C, Meurisse A, Kaulek V, Cuche L, Jacoulet P, Almotlak H, Lahourcade J, Gainet-Brun M, Fabre E, Le Pimpec-Barthes F, Adotevi O, Westeel V. Prognostic value of CD4+ T lymphopenia in non-small cell lung Cancer. </w:t>
      </w:r>
      <w:r>
        <w:rPr>
          <w:rFonts w:ascii="Book Antiqua" w:hAnsi="Book Antiqua"/>
          <w:i/>
          <w:iCs/>
        </w:rPr>
        <w:t>BMC Cancer</w:t>
      </w:r>
      <w:r>
        <w:rPr>
          <w:rFonts w:ascii="Book Antiqua" w:hAnsi="Book Antiqua"/>
        </w:rPr>
        <w:t xml:space="preserve"> 2022; </w:t>
      </w:r>
      <w:r>
        <w:rPr>
          <w:rFonts w:ascii="Book Antiqua" w:hAnsi="Book Antiqua"/>
          <w:b/>
          <w:bCs/>
        </w:rPr>
        <w:t>22</w:t>
      </w:r>
      <w:r>
        <w:rPr>
          <w:rFonts w:ascii="Book Antiqua" w:hAnsi="Book Antiqua"/>
        </w:rPr>
        <w:t>: 529 [PMID: 35546670 DOI: 10.1186/s12885-022-09628-8]</w:t>
      </w:r>
    </w:p>
    <w:p>
      <w:pPr>
        <w:spacing w:line="360" w:lineRule="auto"/>
        <w:jc w:val="both"/>
        <w:rPr>
          <w:rFonts w:ascii="Book Antiqua" w:hAnsi="Book Antiqua"/>
        </w:rPr>
      </w:pPr>
      <w:r>
        <w:rPr>
          <w:rFonts w:ascii="Book Antiqua" w:hAnsi="Book Antiqua"/>
        </w:rPr>
        <w:t xml:space="preserve">30 </w:t>
      </w:r>
      <w:r>
        <w:rPr>
          <w:rFonts w:ascii="Book Antiqua" w:hAnsi="Book Antiqua"/>
          <w:b/>
          <w:bCs/>
        </w:rPr>
        <w:t>Guan X</w:t>
      </w:r>
      <w:r>
        <w:rPr>
          <w:rFonts w:ascii="Book Antiqua" w:hAnsi="Book Antiqua"/>
        </w:rPr>
        <w:t xml:space="preserve">, Lu Y, Zhu H, Yu S, Zhao W, Chi X, Xie C, Yin Z. The Crosstalk Between Cancer Cells and Neutrophils Enhances Hepatocellular Carcinoma Metastasis via Neutrophil Extracellular Traps-Associated Cathepsin G Component: A Potential Therapeutic Target. </w:t>
      </w:r>
      <w:r>
        <w:rPr>
          <w:rFonts w:ascii="Book Antiqua" w:hAnsi="Book Antiqua"/>
          <w:i/>
          <w:iCs/>
        </w:rPr>
        <w:t>J Hepatocell Carcinoma</w:t>
      </w:r>
      <w:r>
        <w:rPr>
          <w:rFonts w:ascii="Book Antiqua" w:hAnsi="Book Antiqua"/>
        </w:rPr>
        <w:t xml:space="preserve"> 2021; </w:t>
      </w:r>
      <w:r>
        <w:rPr>
          <w:rFonts w:ascii="Book Antiqua" w:hAnsi="Book Antiqua"/>
          <w:b/>
          <w:bCs/>
        </w:rPr>
        <w:t>8</w:t>
      </w:r>
      <w:r>
        <w:rPr>
          <w:rFonts w:ascii="Book Antiqua" w:hAnsi="Book Antiqua"/>
        </w:rPr>
        <w:t>: 451-465 [PMID: 34046369 DOI: 10.2147/JHC.S303588]</w:t>
      </w:r>
    </w:p>
    <w:p>
      <w:pPr>
        <w:spacing w:line="360" w:lineRule="auto"/>
        <w:jc w:val="both"/>
        <w:rPr>
          <w:rFonts w:ascii="Book Antiqua" w:hAnsi="Book Antiqua"/>
        </w:rPr>
      </w:pPr>
      <w:r>
        <w:rPr>
          <w:rFonts w:ascii="Book Antiqua" w:hAnsi="Book Antiqua"/>
        </w:rPr>
        <w:t xml:space="preserve">31 </w:t>
      </w:r>
      <w:r>
        <w:rPr>
          <w:rFonts w:ascii="Book Antiqua" w:hAnsi="Book Antiqua"/>
          <w:b/>
          <w:bCs/>
        </w:rPr>
        <w:t>Xia X</w:t>
      </w:r>
      <w:r>
        <w:rPr>
          <w:rFonts w:ascii="Book Antiqua" w:hAnsi="Book Antiqua"/>
        </w:rPr>
        <w:t xml:space="preserve">, Zhang Z, Zhu C, Ni B, Wang S, Yang S, Yu F, Zhao E, Li Q, Zhao G. Neutrophil extracellular traps promote metastasis in gastric cancer patients with postoperative abdominal infectious complications. </w:t>
      </w:r>
      <w:r>
        <w:rPr>
          <w:rFonts w:ascii="Book Antiqua" w:hAnsi="Book Antiqua"/>
          <w:i/>
          <w:iCs/>
        </w:rPr>
        <w:t>Nat Commun</w:t>
      </w:r>
      <w:r>
        <w:rPr>
          <w:rFonts w:ascii="Book Antiqua" w:hAnsi="Book Antiqua"/>
        </w:rPr>
        <w:t xml:space="preserve"> 2022; </w:t>
      </w:r>
      <w:r>
        <w:rPr>
          <w:rFonts w:ascii="Book Antiqua" w:hAnsi="Book Antiqua"/>
          <w:b/>
          <w:bCs/>
        </w:rPr>
        <w:t>13</w:t>
      </w:r>
      <w:r>
        <w:rPr>
          <w:rFonts w:ascii="Book Antiqua" w:hAnsi="Book Antiqua"/>
        </w:rPr>
        <w:t>: 1017 [PMID: 35197446 DOI: 10.1038/s41467-022-28492-5]</w:t>
      </w:r>
    </w:p>
    <w:p>
      <w:pPr>
        <w:spacing w:line="360" w:lineRule="auto"/>
        <w:jc w:val="both"/>
        <w:rPr>
          <w:rFonts w:ascii="Book Antiqua" w:hAnsi="Book Antiqua"/>
        </w:rPr>
      </w:pPr>
      <w:r>
        <w:rPr>
          <w:rFonts w:ascii="Book Antiqua" w:hAnsi="Book Antiqua"/>
        </w:rPr>
        <w:t xml:space="preserve">32 </w:t>
      </w:r>
      <w:r>
        <w:rPr>
          <w:rFonts w:ascii="Book Antiqua" w:hAnsi="Book Antiqua"/>
          <w:b/>
          <w:bCs/>
        </w:rPr>
        <w:t>Wang YH</w:t>
      </w:r>
      <w:r>
        <w:rPr>
          <w:rFonts w:ascii="Book Antiqua" w:hAnsi="Book Antiqua"/>
        </w:rPr>
        <w:t xml:space="preserve">, Shen CY, Lin SC, Kuo WH, Kuo YT, Hsu YL, Wang WC, Lin KT, Wang LH. Monocytes secrete CXCL7 to promote breast cancer progression. </w:t>
      </w:r>
      <w:r>
        <w:rPr>
          <w:rFonts w:ascii="Book Antiqua" w:hAnsi="Book Antiqua"/>
          <w:i/>
          <w:iCs/>
        </w:rPr>
        <w:t>Cell Death Dis</w:t>
      </w:r>
      <w:r>
        <w:rPr>
          <w:rFonts w:ascii="Book Antiqua" w:hAnsi="Book Antiqua"/>
        </w:rPr>
        <w:t xml:space="preserve"> 2021; </w:t>
      </w:r>
      <w:r>
        <w:rPr>
          <w:rFonts w:ascii="Book Antiqua" w:hAnsi="Book Antiqua"/>
          <w:b/>
          <w:bCs/>
        </w:rPr>
        <w:t>12</w:t>
      </w:r>
      <w:r>
        <w:rPr>
          <w:rFonts w:ascii="Book Antiqua" w:hAnsi="Book Antiqua"/>
        </w:rPr>
        <w:t>: 1090 [PMID: 34789744 DOI: 10.1038/s41419-021-04231-4]</w:t>
      </w:r>
    </w:p>
    <w:p>
      <w:pPr>
        <w:spacing w:line="360" w:lineRule="auto"/>
        <w:jc w:val="both"/>
        <w:rPr>
          <w:rFonts w:ascii="Book Antiqua" w:hAnsi="Book Antiqua"/>
        </w:rPr>
      </w:pPr>
      <w:r>
        <w:rPr>
          <w:rFonts w:ascii="Book Antiqua" w:hAnsi="Book Antiqua"/>
        </w:rPr>
        <w:t xml:space="preserve">33 </w:t>
      </w:r>
      <w:r>
        <w:rPr>
          <w:rFonts w:ascii="Book Antiqua" w:hAnsi="Book Antiqua"/>
          <w:b/>
          <w:bCs/>
        </w:rPr>
        <w:t>Chen Z</w:t>
      </w:r>
      <w:r>
        <w:rPr>
          <w:rFonts w:ascii="Book Antiqua" w:hAnsi="Book Antiqua"/>
        </w:rPr>
        <w:t xml:space="preserve">, Wu J, Wang L, Zhao H, He J. Tumor-associated macrophages of the M1/M2 phenotype are involved in the regulation of malignant biological behavior of breast cancer cells through the EMT pathway. </w:t>
      </w:r>
      <w:r>
        <w:rPr>
          <w:rFonts w:ascii="Book Antiqua" w:hAnsi="Book Antiqua"/>
          <w:i/>
          <w:iCs/>
        </w:rPr>
        <w:t>Med Oncol</w:t>
      </w:r>
      <w:r>
        <w:rPr>
          <w:rFonts w:ascii="Book Antiqua" w:hAnsi="Book Antiqua"/>
        </w:rPr>
        <w:t xml:space="preserve"> 2022; </w:t>
      </w:r>
      <w:r>
        <w:rPr>
          <w:rFonts w:ascii="Book Antiqua" w:hAnsi="Book Antiqua"/>
          <w:b/>
          <w:bCs/>
        </w:rPr>
        <w:t>39</w:t>
      </w:r>
      <w:r>
        <w:rPr>
          <w:rFonts w:ascii="Book Antiqua" w:hAnsi="Book Antiqua"/>
        </w:rPr>
        <w:t>: 83 [PMID: 35570226 DOI: 10.1007/s12032-022-01670-7]</w:t>
      </w:r>
    </w:p>
    <w:p>
      <w:pPr>
        <w:spacing w:line="360" w:lineRule="auto"/>
        <w:jc w:val="both"/>
        <w:rPr>
          <w:rFonts w:ascii="Book Antiqua" w:hAnsi="Book Antiqua"/>
        </w:rPr>
      </w:pPr>
      <w:r>
        <w:rPr>
          <w:rFonts w:ascii="Book Antiqua" w:hAnsi="Book Antiqua"/>
        </w:rPr>
        <w:t xml:space="preserve">34 </w:t>
      </w:r>
      <w:r>
        <w:rPr>
          <w:rFonts w:ascii="Book Antiqua" w:hAnsi="Book Antiqua"/>
          <w:b/>
          <w:bCs/>
        </w:rPr>
        <w:t>Duan J</w:t>
      </w:r>
      <w:r>
        <w:rPr>
          <w:rFonts w:ascii="Book Antiqua" w:hAnsi="Book Antiqua"/>
        </w:rPr>
        <w:t xml:space="preserve">, Pan L, Yang M. Preoperative elevated neutrophil-to-lymphocyte ratio (NLR) and derived NLR are associated with poor prognosis in patients with breast cancer: A meta-analysis. </w:t>
      </w:r>
      <w:r>
        <w:rPr>
          <w:rFonts w:ascii="Book Antiqua" w:hAnsi="Book Antiqua"/>
          <w:i/>
          <w:iCs/>
        </w:rPr>
        <w:t>Medicine (Baltimore)</w:t>
      </w:r>
      <w:r>
        <w:rPr>
          <w:rFonts w:ascii="Book Antiqua" w:hAnsi="Book Antiqua"/>
        </w:rPr>
        <w:t xml:space="preserve"> 2018; </w:t>
      </w:r>
      <w:r>
        <w:rPr>
          <w:rFonts w:ascii="Book Antiqua" w:hAnsi="Book Antiqua"/>
          <w:b/>
          <w:bCs/>
        </w:rPr>
        <w:t>97</w:t>
      </w:r>
      <w:r>
        <w:rPr>
          <w:rFonts w:ascii="Book Antiqua" w:hAnsi="Book Antiqua"/>
        </w:rPr>
        <w:t>: e13340 [PMID: 30544398 DOI: 10.1097/MD.0000000000013340]</w:t>
      </w:r>
    </w:p>
    <w:p>
      <w:pPr>
        <w:spacing w:line="360" w:lineRule="auto"/>
        <w:jc w:val="both"/>
        <w:rPr>
          <w:rFonts w:ascii="Book Antiqua" w:hAnsi="Book Antiqua"/>
        </w:rPr>
      </w:pPr>
      <w:r>
        <w:rPr>
          <w:rFonts w:ascii="Book Antiqua" w:hAnsi="Book Antiqua"/>
        </w:rPr>
        <w:t xml:space="preserve">35 </w:t>
      </w:r>
      <w:r>
        <w:rPr>
          <w:rFonts w:ascii="Book Antiqua" w:hAnsi="Book Antiqua"/>
          <w:b/>
          <w:bCs/>
        </w:rPr>
        <w:t>Kim JH</w:t>
      </w:r>
      <w:r>
        <w:rPr>
          <w:rFonts w:ascii="Book Antiqua" w:hAnsi="Book Antiqua"/>
        </w:rPr>
        <w:t xml:space="preserve">, Lee JH, Lee HS, Shin SJ, Park EJ, Cho ES, Baik SH, Lee KY, Kang J. Elevated Neutrophil-to-Lymphocyte Ratio in Perioperative Periods is Suggestive of Poor Prognosis in Patients with Colorectal Cancer. </w:t>
      </w:r>
      <w:r>
        <w:rPr>
          <w:rFonts w:ascii="Book Antiqua" w:hAnsi="Book Antiqua"/>
          <w:i/>
          <w:iCs/>
        </w:rPr>
        <w:t>J Inflamm Res</w:t>
      </w:r>
      <w:r>
        <w:rPr>
          <w:rFonts w:ascii="Book Antiqua" w:hAnsi="Book Antiqua"/>
        </w:rPr>
        <w:t xml:space="preserve"> 2021; </w:t>
      </w:r>
      <w:r>
        <w:rPr>
          <w:rFonts w:ascii="Book Antiqua" w:hAnsi="Book Antiqua"/>
          <w:b/>
          <w:bCs/>
        </w:rPr>
        <w:t>14</w:t>
      </w:r>
      <w:r>
        <w:rPr>
          <w:rFonts w:ascii="Book Antiqua" w:hAnsi="Book Antiqua"/>
        </w:rPr>
        <w:t>: 4457-4466 [PMID: 34522115 DOI: 10.2147/JIR.S327443]</w:t>
      </w:r>
    </w:p>
    <w:p>
      <w:pPr>
        <w:spacing w:line="360" w:lineRule="auto"/>
        <w:jc w:val="both"/>
        <w:rPr>
          <w:rFonts w:ascii="Book Antiqua" w:hAnsi="Book Antiqua"/>
        </w:rPr>
      </w:pPr>
      <w:r>
        <w:rPr>
          <w:rFonts w:ascii="Book Antiqua" w:hAnsi="Book Antiqua"/>
        </w:rPr>
        <w:t xml:space="preserve">36 </w:t>
      </w:r>
      <w:r>
        <w:rPr>
          <w:rFonts w:ascii="Book Antiqua" w:hAnsi="Book Antiqua"/>
          <w:b/>
          <w:bCs/>
        </w:rPr>
        <w:t>Hardt J</w:t>
      </w:r>
      <w:r>
        <w:rPr>
          <w:rFonts w:ascii="Book Antiqua" w:hAnsi="Book Antiqua"/>
        </w:rPr>
        <w:t xml:space="preserve">, Pilz L, Magdeburg J, Kienle P, Post S, Magdeburg R. Preoperative hypoalbuminemia is an independent risk factor for increased high-grade morbidity after elective rectal cancer resection. </w:t>
      </w:r>
      <w:r>
        <w:rPr>
          <w:rFonts w:ascii="Book Antiqua" w:hAnsi="Book Antiqua"/>
          <w:i/>
          <w:iCs/>
        </w:rPr>
        <w:t>Int J Colorectal Dis</w:t>
      </w:r>
      <w:r>
        <w:rPr>
          <w:rFonts w:ascii="Book Antiqua" w:hAnsi="Book Antiqua"/>
        </w:rPr>
        <w:t xml:space="preserve"> 2017; </w:t>
      </w:r>
      <w:r>
        <w:rPr>
          <w:rFonts w:ascii="Book Antiqua" w:hAnsi="Book Antiqua"/>
          <w:b/>
          <w:bCs/>
        </w:rPr>
        <w:t>32</w:t>
      </w:r>
      <w:r>
        <w:rPr>
          <w:rFonts w:ascii="Book Antiqua" w:hAnsi="Book Antiqua"/>
        </w:rPr>
        <w:t>: 1439-1446 [PMID: 28823064 DOI: 10.1007/s00384-017-2884-7]</w:t>
      </w:r>
    </w:p>
    <w:p>
      <w:pPr>
        <w:spacing w:line="360" w:lineRule="auto"/>
        <w:jc w:val="both"/>
        <w:rPr>
          <w:rFonts w:ascii="Book Antiqua" w:hAnsi="Book Antiqua"/>
        </w:rPr>
      </w:pPr>
      <w:r>
        <w:rPr>
          <w:rFonts w:ascii="Book Antiqua" w:hAnsi="Book Antiqua"/>
        </w:rPr>
        <w:t xml:space="preserve">37 </w:t>
      </w:r>
      <w:r>
        <w:rPr>
          <w:rFonts w:ascii="Book Antiqua" w:hAnsi="Book Antiqua"/>
          <w:b/>
          <w:bCs/>
        </w:rPr>
        <w:t>Bai X</w:t>
      </w:r>
      <w:r>
        <w:rPr>
          <w:rFonts w:ascii="Book Antiqua" w:hAnsi="Book Antiqua"/>
        </w:rPr>
        <w:t xml:space="preserve">, Feng L. Correlation between Prognostic Nutritional Index, Glasgow Prognostic Score, Systemic Inflammatory Response, and TNM Staging in Colorectal Cancer Patients. </w:t>
      </w:r>
      <w:r>
        <w:rPr>
          <w:rFonts w:ascii="Book Antiqua" w:hAnsi="Book Antiqua"/>
          <w:i/>
          <w:iCs/>
        </w:rPr>
        <w:t>Nutr Cancer</w:t>
      </w:r>
      <w:r>
        <w:rPr>
          <w:rFonts w:ascii="Book Antiqua" w:hAnsi="Book Antiqua"/>
        </w:rPr>
        <w:t xml:space="preserve"> 2020; </w:t>
      </w:r>
      <w:r>
        <w:rPr>
          <w:rFonts w:ascii="Book Antiqua" w:hAnsi="Book Antiqua"/>
          <w:b/>
          <w:bCs/>
        </w:rPr>
        <w:t>72</w:t>
      </w:r>
      <w:r>
        <w:rPr>
          <w:rFonts w:ascii="Book Antiqua" w:hAnsi="Book Antiqua"/>
        </w:rPr>
        <w:t>: 1170-1177 [PMID: 31630565 DOI: 10.1080/01635581.2019.1675725]</w:t>
      </w:r>
    </w:p>
    <w:p>
      <w:pPr>
        <w:spacing w:line="360" w:lineRule="auto"/>
        <w:jc w:val="both"/>
        <w:rPr>
          <w:rFonts w:ascii="Book Antiqua" w:hAnsi="Book Antiqua"/>
        </w:rPr>
      </w:pPr>
      <w:r>
        <w:rPr>
          <w:rFonts w:ascii="Book Antiqua" w:hAnsi="Book Antiqua"/>
        </w:rPr>
        <w:t xml:space="preserve">38 </w:t>
      </w:r>
      <w:r>
        <w:rPr>
          <w:rFonts w:ascii="Book Antiqua" w:hAnsi="Book Antiqua"/>
          <w:b/>
          <w:bCs/>
        </w:rPr>
        <w:t>Liu X</w:t>
      </w:r>
      <w:r>
        <w:rPr>
          <w:rFonts w:ascii="Book Antiqua" w:hAnsi="Book Antiqua"/>
        </w:rPr>
        <w:t xml:space="preserve">, Guo X, Zhang Z. Preoperative Serum Hypersensitive-c-Reactive-Protein (Hs-CRP) to Albumin Ratio Predicts Survival in Patients with Luminal B Subtype Breast Cancer. </w:t>
      </w:r>
      <w:r>
        <w:rPr>
          <w:rFonts w:ascii="Book Antiqua" w:hAnsi="Book Antiqua"/>
          <w:i/>
          <w:iCs/>
        </w:rPr>
        <w:t>Onco Targets Ther</w:t>
      </w:r>
      <w:r>
        <w:rPr>
          <w:rFonts w:ascii="Book Antiqua" w:hAnsi="Book Antiqua"/>
        </w:rPr>
        <w:t xml:space="preserve"> 2021; </w:t>
      </w:r>
      <w:r>
        <w:rPr>
          <w:rFonts w:ascii="Book Antiqua" w:hAnsi="Book Antiqua"/>
          <w:b/>
          <w:bCs/>
        </w:rPr>
        <w:t>14</w:t>
      </w:r>
      <w:r>
        <w:rPr>
          <w:rFonts w:ascii="Book Antiqua" w:hAnsi="Book Antiqua"/>
        </w:rPr>
        <w:t>: 4137-4148 [PMID: 34276217 DOI: 10.2147/OTT.S320111]</w:t>
      </w:r>
    </w:p>
    <w:p>
      <w:pPr>
        <w:spacing w:line="360" w:lineRule="auto"/>
        <w:jc w:val="both"/>
        <w:rPr>
          <w:rFonts w:ascii="Book Antiqua" w:hAnsi="Book Antiqua"/>
        </w:rPr>
      </w:pPr>
      <w:r>
        <w:rPr>
          <w:rFonts w:ascii="Book Antiqua" w:hAnsi="Book Antiqua"/>
        </w:rPr>
        <w:t xml:space="preserve">39 </w:t>
      </w:r>
      <w:r>
        <w:rPr>
          <w:rFonts w:ascii="Book Antiqua" w:hAnsi="Book Antiqua"/>
          <w:b/>
          <w:bCs/>
        </w:rPr>
        <w:t>Zhang G</w:t>
      </w:r>
      <w:r>
        <w:rPr>
          <w:rFonts w:ascii="Book Antiqua" w:hAnsi="Book Antiqua"/>
        </w:rPr>
        <w:t xml:space="preserve">, Zhang D, Wu J, Zhang F, Zhu Z, Chen K, Zhang N, Jin J, Feng J, Lin N, Zhang Y, Yu H, Su D, Ying L. Low Serum Levels of Pre-Surgical Total Cholesterol are Associated with Unfavorable Overall Survival in Patients with Operable Non-Small Cell Lung Cancer. </w:t>
      </w:r>
      <w:r>
        <w:rPr>
          <w:rFonts w:ascii="Book Antiqua" w:hAnsi="Book Antiqua"/>
          <w:i/>
          <w:iCs/>
        </w:rPr>
        <w:t>Clin Lab</w:t>
      </w:r>
      <w:r>
        <w:rPr>
          <w:rFonts w:ascii="Book Antiqua" w:hAnsi="Book Antiqua"/>
        </w:rPr>
        <w:t xml:space="preserve"> 2018; </w:t>
      </w:r>
      <w:r>
        <w:rPr>
          <w:rFonts w:ascii="Book Antiqua" w:hAnsi="Book Antiqua"/>
          <w:b/>
          <w:bCs/>
        </w:rPr>
        <w:t>64</w:t>
      </w:r>
      <w:r>
        <w:rPr>
          <w:rFonts w:ascii="Book Antiqua" w:hAnsi="Book Antiqua"/>
        </w:rPr>
        <w:t>: 321-327 [PMID: 29739117 DOI: 10.7754/Clin.Lab.2017.170823]</w:t>
      </w:r>
    </w:p>
    <w:p>
      <w:pPr>
        <w:spacing w:line="360" w:lineRule="auto"/>
        <w:jc w:val="both"/>
        <w:rPr>
          <w:rFonts w:ascii="Book Antiqua" w:hAnsi="Book Antiqua"/>
        </w:rPr>
      </w:pPr>
      <w:r>
        <w:rPr>
          <w:rFonts w:ascii="Book Antiqua" w:hAnsi="Book Antiqua"/>
        </w:rPr>
        <w:t xml:space="preserve">40 </w:t>
      </w:r>
      <w:r>
        <w:rPr>
          <w:rFonts w:ascii="Book Antiqua" w:hAnsi="Book Antiqua"/>
          <w:b/>
          <w:bCs/>
        </w:rPr>
        <w:t>Vona R</w:t>
      </w:r>
      <w:r>
        <w:rPr>
          <w:rFonts w:ascii="Book Antiqua" w:hAnsi="Book Antiqua"/>
        </w:rPr>
        <w:t xml:space="preserve">, Iessi E, Matarrese P. Role of Cholesterol and Lipid Rafts in Cancer Signaling: A Promising Therapeutic Opportunity? </w:t>
      </w:r>
      <w:r>
        <w:rPr>
          <w:rFonts w:ascii="Book Antiqua" w:hAnsi="Book Antiqua"/>
          <w:i/>
          <w:iCs/>
        </w:rPr>
        <w:t>Front Cell Dev Biol</w:t>
      </w:r>
      <w:r>
        <w:rPr>
          <w:rFonts w:ascii="Book Antiqua" w:hAnsi="Book Antiqua"/>
        </w:rPr>
        <w:t xml:space="preserve"> 2021; </w:t>
      </w:r>
      <w:r>
        <w:rPr>
          <w:rFonts w:ascii="Book Antiqua" w:hAnsi="Book Antiqua"/>
          <w:b/>
          <w:bCs/>
        </w:rPr>
        <w:t>9</w:t>
      </w:r>
      <w:r>
        <w:rPr>
          <w:rFonts w:ascii="Book Antiqua" w:hAnsi="Book Antiqua"/>
        </w:rPr>
        <w:t>: 622908 [PMID: 33816471 DOI: 10.3389/fcell.2021.622908]</w:t>
      </w:r>
    </w:p>
    <w:p>
      <w:pPr>
        <w:spacing w:line="360" w:lineRule="auto"/>
        <w:jc w:val="both"/>
        <w:rPr>
          <w:rFonts w:ascii="Book Antiqua" w:hAnsi="Book Antiqua"/>
        </w:rPr>
      </w:pPr>
      <w:r>
        <w:rPr>
          <w:rFonts w:ascii="Book Antiqua" w:hAnsi="Book Antiqua"/>
        </w:rPr>
        <w:t xml:space="preserve">41 </w:t>
      </w:r>
      <w:r>
        <w:rPr>
          <w:rFonts w:ascii="Book Antiqua" w:hAnsi="Book Antiqua"/>
          <w:b/>
          <w:bCs/>
        </w:rPr>
        <w:t>Xishan Z</w:t>
      </w:r>
      <w:r>
        <w:rPr>
          <w:rFonts w:ascii="Book Antiqua" w:hAnsi="Book Antiqua"/>
        </w:rPr>
        <w:t xml:space="preserve">, Ye Z, Feiyan M, Liang X, Shikai W. The role of prognostic nutritional index for clinical outcomes of gastric cancer after total gastrectomy. </w:t>
      </w:r>
      <w:r>
        <w:rPr>
          <w:rFonts w:ascii="Book Antiqua" w:hAnsi="Book Antiqua"/>
          <w:i/>
          <w:iCs/>
        </w:rPr>
        <w:t>Sci Rep</w:t>
      </w:r>
      <w:r>
        <w:rPr>
          <w:rFonts w:ascii="Book Antiqua" w:hAnsi="Book Antiqua"/>
        </w:rPr>
        <w:t xml:space="preserve"> 2020; </w:t>
      </w:r>
      <w:r>
        <w:rPr>
          <w:rFonts w:ascii="Book Antiqua" w:hAnsi="Book Antiqua"/>
          <w:b/>
          <w:bCs/>
        </w:rPr>
        <w:t>10</w:t>
      </w:r>
      <w:r>
        <w:rPr>
          <w:rFonts w:ascii="Book Antiqua" w:hAnsi="Book Antiqua"/>
        </w:rPr>
        <w:t>: 17373 [PMID: 33060715 DOI: 10.1038/s41598-020-74525-8]</w:t>
      </w:r>
    </w:p>
    <w:p>
      <w:pPr>
        <w:spacing w:line="360" w:lineRule="auto"/>
        <w:jc w:val="both"/>
        <w:rPr>
          <w:rFonts w:ascii="Book Antiqua" w:hAnsi="Book Antiqua"/>
        </w:rPr>
      </w:pPr>
      <w:r>
        <w:rPr>
          <w:rFonts w:ascii="Book Antiqua" w:hAnsi="Book Antiqua"/>
        </w:rPr>
        <w:t xml:space="preserve">42 </w:t>
      </w:r>
      <w:r>
        <w:rPr>
          <w:rFonts w:ascii="Book Antiqua" w:hAnsi="Book Antiqua"/>
          <w:b/>
          <w:bCs/>
        </w:rPr>
        <w:t>Momokita M</w:t>
      </w:r>
      <w:r>
        <w:rPr>
          <w:rFonts w:ascii="Book Antiqua" w:hAnsi="Book Antiqua"/>
        </w:rPr>
        <w:t xml:space="preserve">, Abe A, Shibata K, Hayashi H, Furuta H, Taniguchi S, Nakayama A. Prognostic Nutritional Index in Patients With End-Stage Oral Cancer. </w:t>
      </w:r>
      <w:r>
        <w:rPr>
          <w:rFonts w:ascii="Book Antiqua" w:hAnsi="Book Antiqua"/>
          <w:i/>
          <w:iCs/>
        </w:rPr>
        <w:t>Am J Hosp Palliat Care</w:t>
      </w:r>
      <w:r>
        <w:rPr>
          <w:rFonts w:ascii="Book Antiqua" w:hAnsi="Book Antiqua"/>
        </w:rPr>
        <w:t xml:space="preserve"> 2022: 10499091221102581 [PMID: 35579196 DOI: 10.1177/10499091221102581]</w:t>
      </w:r>
    </w:p>
    <w:p>
      <w:pPr>
        <w:spacing w:line="360" w:lineRule="auto"/>
        <w:jc w:val="both"/>
        <w:rPr>
          <w:rFonts w:ascii="Book Antiqua" w:hAnsi="Book Antiqua"/>
        </w:rPr>
      </w:pPr>
      <w:r>
        <w:rPr>
          <w:rFonts w:ascii="Book Antiqua" w:hAnsi="Book Antiqua"/>
        </w:rPr>
        <w:t xml:space="preserve">43 </w:t>
      </w:r>
      <w:r>
        <w:rPr>
          <w:rFonts w:ascii="Book Antiqua" w:hAnsi="Book Antiqua"/>
          <w:b/>
          <w:bCs/>
        </w:rPr>
        <w:t>Shao J</w:t>
      </w:r>
      <w:r>
        <w:rPr>
          <w:rFonts w:ascii="Book Antiqua" w:hAnsi="Book Antiqua"/>
        </w:rPr>
        <w:t xml:space="preserve">, Li J, Zhang XL, Wang G. Prognostic Significance of the Preoperative Controlled Nutritional Status Score in Lung Cancer Patients Undergoing Surgical Resection. </w:t>
      </w:r>
      <w:r>
        <w:rPr>
          <w:rFonts w:ascii="Book Antiqua" w:hAnsi="Book Antiqua"/>
          <w:i/>
          <w:iCs/>
        </w:rPr>
        <w:t>Nutr Cancer</w:t>
      </w:r>
      <w:r>
        <w:rPr>
          <w:rFonts w:ascii="Book Antiqua" w:hAnsi="Book Antiqua"/>
        </w:rPr>
        <w:t xml:space="preserve"> 2021; </w:t>
      </w:r>
      <w:r>
        <w:rPr>
          <w:rFonts w:ascii="Book Antiqua" w:hAnsi="Book Antiqua"/>
          <w:b/>
          <w:bCs/>
        </w:rPr>
        <w:t>73</w:t>
      </w:r>
      <w:r>
        <w:rPr>
          <w:rFonts w:ascii="Book Antiqua" w:hAnsi="Book Antiqua"/>
        </w:rPr>
        <w:t>: 2211-2218 [PMID: 33319623 DOI: 10.1080/01635581.2020.1850814]</w:t>
      </w:r>
    </w:p>
    <w:p>
      <w:pPr>
        <w:spacing w:line="360" w:lineRule="auto"/>
        <w:jc w:val="both"/>
        <w:rPr>
          <w:rFonts w:ascii="Book Antiqua" w:hAnsi="Book Antiqua"/>
        </w:rPr>
      </w:pPr>
      <w:r>
        <w:rPr>
          <w:rFonts w:ascii="Book Antiqua" w:hAnsi="Book Antiqua"/>
        </w:rPr>
        <w:t xml:space="preserve">44 </w:t>
      </w:r>
      <w:r>
        <w:rPr>
          <w:rFonts w:ascii="Book Antiqua" w:hAnsi="Book Antiqua"/>
          <w:b/>
          <w:bCs/>
        </w:rPr>
        <w:t>Feng JF</w:t>
      </w:r>
      <w:r>
        <w:rPr>
          <w:rFonts w:ascii="Book Antiqua" w:hAnsi="Book Antiqua"/>
        </w:rPr>
        <w:t xml:space="preserve">, Zhao JM, Chen S, Chen QX. Naples Prognostic Score: A Novel Prognostic Score in Predicting Cancer-Specific Survival in Patients With Resected Esophageal Squamous Cell Carcinoma. </w:t>
      </w:r>
      <w:r>
        <w:rPr>
          <w:rFonts w:ascii="Book Antiqua" w:hAnsi="Book Antiqua"/>
          <w:i/>
          <w:iCs/>
        </w:rPr>
        <w:t>Front Oncol</w:t>
      </w:r>
      <w:r>
        <w:rPr>
          <w:rFonts w:ascii="Book Antiqua" w:hAnsi="Book Antiqua"/>
        </w:rPr>
        <w:t xml:space="preserve"> 2021; </w:t>
      </w:r>
      <w:r>
        <w:rPr>
          <w:rFonts w:ascii="Book Antiqua" w:hAnsi="Book Antiqua"/>
          <w:b/>
          <w:bCs/>
        </w:rPr>
        <w:t>11</w:t>
      </w:r>
      <w:r>
        <w:rPr>
          <w:rFonts w:ascii="Book Antiqua" w:hAnsi="Book Antiqua"/>
        </w:rPr>
        <w:t>: 652537 [PMID: 34123805 DOI: 10.3389/fonc.2021.652537]</w:t>
      </w:r>
    </w:p>
    <w:p>
      <w:pPr>
        <w:spacing w:line="360" w:lineRule="auto"/>
        <w:jc w:val="both"/>
        <w:rPr>
          <w:rFonts w:ascii="Book Antiqua" w:hAnsi="Book Antiqua"/>
        </w:rPr>
      </w:pPr>
      <w:r>
        <w:rPr>
          <w:rFonts w:ascii="Book Antiqua" w:hAnsi="Book Antiqua"/>
        </w:rPr>
        <w:t xml:space="preserve">45 </w:t>
      </w:r>
      <w:r>
        <w:rPr>
          <w:rFonts w:ascii="Book Antiqua" w:hAnsi="Book Antiqua"/>
          <w:b/>
          <w:bCs/>
        </w:rPr>
        <w:t>Li Q</w:t>
      </w:r>
      <w:r>
        <w:rPr>
          <w:rFonts w:ascii="Book Antiqua" w:hAnsi="Book Antiqua"/>
        </w:rPr>
        <w:t xml:space="preserve">, Cong R, Wang Y, Kong F, Ma J, Wu Q, Ma X. Naples prognostic score is an independent prognostic factor in patients with operable endometrial cancer: Results from a retrospective cohort study. </w:t>
      </w:r>
      <w:r>
        <w:rPr>
          <w:rFonts w:ascii="Book Antiqua" w:hAnsi="Book Antiqua"/>
          <w:i/>
          <w:iCs/>
        </w:rPr>
        <w:t>Gynecol Oncol</w:t>
      </w:r>
      <w:r>
        <w:rPr>
          <w:rFonts w:ascii="Book Antiqua" w:hAnsi="Book Antiqua"/>
        </w:rPr>
        <w:t xml:space="preserve"> 2021; </w:t>
      </w:r>
      <w:r>
        <w:rPr>
          <w:rFonts w:ascii="Book Antiqua" w:hAnsi="Book Antiqua"/>
          <w:b/>
          <w:bCs/>
        </w:rPr>
        <w:t>160</w:t>
      </w:r>
      <w:r>
        <w:rPr>
          <w:rFonts w:ascii="Book Antiqua" w:hAnsi="Book Antiqua"/>
        </w:rPr>
        <w:t>: 91-98 [PMID: 33081984 DOI: 10.1016/j.ygyno.2020.10.013]</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This study was approved by the medical ethics committee of Nanjing Medical University.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cs="Book Antiqua"/>
          <w:bCs/>
          <w:color w:val="000000"/>
        </w:rPr>
        <w:t>All the</w:t>
      </w:r>
      <w:r>
        <w:rPr>
          <w:rFonts w:ascii="Book Antiqua" w:hAnsi="Book Antiqua" w:cs="Book Antiqua"/>
          <w:b/>
          <w:bCs/>
          <w:color w:val="000000"/>
        </w:rPr>
        <w:t xml:space="preserve"> </w:t>
      </w:r>
      <w:r>
        <w:rPr>
          <w:rFonts w:ascii="Book Antiqua" w:hAnsi="Book Antiqua" w:cs="Book Antiqua"/>
          <w:color w:val="000000"/>
        </w:rPr>
        <w:t>a</w:t>
      </w:r>
      <w:r>
        <w:rPr>
          <w:rFonts w:ascii="Book Antiqua" w:hAnsi="Book Antiqua" w:eastAsia="Book Antiqua" w:cs="Book Antiqua"/>
          <w:color w:val="000000"/>
        </w:rPr>
        <w:t xml:space="preserve">uthors </w:t>
      </w:r>
      <w:r>
        <w:rPr>
          <w:rFonts w:ascii="Book Antiqua" w:hAnsi="Book Antiqua" w:cs="Book Antiqua"/>
          <w:color w:val="000000"/>
        </w:rPr>
        <w:t>report</w:t>
      </w:r>
      <w:r>
        <w:rPr>
          <w:rFonts w:ascii="Book Antiqua" w:hAnsi="Book Antiqua" w:eastAsia="Book Antiqua" w:cs="Book Antiqua"/>
          <w:color w:val="000000"/>
        </w:rPr>
        <w:t xml:space="preserve"> no </w:t>
      </w:r>
      <w:r>
        <w:rPr>
          <w:rFonts w:ascii="Book Antiqua" w:hAnsi="Book Antiqua" w:cs="Book Antiqua"/>
          <w:color w:val="000000"/>
        </w:rPr>
        <w:t xml:space="preserve">relevant </w:t>
      </w:r>
      <w:r>
        <w:rPr>
          <w:rFonts w:ascii="Book Antiqua" w:hAnsi="Book Antiqua" w:eastAsia="Book Antiqua" w:cs="Book Antiqua"/>
          <w:color w:val="000000"/>
        </w:rPr>
        <w:t>conflict</w:t>
      </w:r>
      <w:r>
        <w:rPr>
          <w:rFonts w:ascii="Book Antiqua" w:hAnsi="Book Antiqua" w:cs="Book Antiqua"/>
          <w:color w:val="000000"/>
        </w:rPr>
        <w:t>s</w:t>
      </w:r>
      <w:r>
        <w:rPr>
          <w:rFonts w:ascii="Book Antiqua" w:hAnsi="Book Antiqua" w:eastAsia="Book Antiqua" w:cs="Book Antiqua"/>
          <w:color w:val="000000"/>
        </w:rPr>
        <w:t xml:space="preserve">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September 15,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12,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Dilek ON, Turkey; Senchukova M, Russia</w:t>
      </w:r>
      <w:r>
        <w:rPr>
          <w:rFonts w:ascii="Book Antiqua" w:hAnsi="Book Antiqua" w:eastAsia="Book Antiqua" w:cs="Book Antiqua"/>
          <w:b/>
          <w:color w:val="000000"/>
        </w:rPr>
        <w:t xml:space="preserve"> S-Editor: </w:t>
      </w:r>
      <w:r>
        <w:rPr>
          <w:rFonts w:ascii="Book Antiqua" w:hAnsi="Book Antiqua" w:cs="Book Antiqua"/>
          <w:color w:val="000000"/>
          <w:lang w:eastAsia="zh-CN"/>
        </w:rPr>
        <w:t>Fan JR</w:t>
      </w:r>
      <w:r>
        <w:rPr>
          <w:rFonts w:ascii="Book Antiqua" w:hAnsi="Book Antiqua" w:eastAsia="Book Antiqua" w:cs="Book Antiqua"/>
          <w:b/>
          <w:color w:val="000000"/>
        </w:rPr>
        <w:t xml:space="preserve"> L-Editor: </w:t>
      </w:r>
      <w:r>
        <w:rPr>
          <w:rFonts w:hint="eastAsia" w:ascii="Book Antiqua" w:hAnsi="Book Antiqua" w:cs="Book Antiqua"/>
          <w:color w:val="000000"/>
          <w:lang w:val="en-US" w:eastAsia="zh-CN"/>
        </w:rPr>
        <w:t>Wang TQ</w:t>
      </w:r>
      <w:r>
        <w:rPr>
          <w:rFonts w:ascii="Book Antiqua" w:hAnsi="Book Antiqua" w:eastAsia="Book Antiqua" w:cs="Book Antiqua"/>
          <w:b/>
          <w:color w:val="000000"/>
        </w:rPr>
        <w:t xml:space="preserve"> P-Editor: </w:t>
      </w:r>
      <w:r>
        <w:rPr>
          <w:rFonts w:ascii="Book Antiqua" w:hAnsi="Book Antiqua" w:cs="Book Antiqua"/>
          <w:color w:val="000000"/>
          <w:lang w:eastAsia="zh-CN"/>
        </w:rPr>
        <w:t>Fan JR</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0" distR="0">
            <wp:extent cx="3202940" cy="2711450"/>
            <wp:effectExtent l="0" t="0" r="0" b="0"/>
            <wp:docPr id="2" name="图片 2" descr="D:\樊佳茹-工作文件\第二次定稿\稿件编辑加工\稿件\已编稿件\待排版\80050\80050-PDF\80050-Figures\8005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樊佳茹-工作文件\第二次定稿\稿件编辑加工\稿件\已编稿件\待排版\80050\80050-PDF\80050-Figures\80050-g0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202940" cy="2711450"/>
                    </a:xfrm>
                    <a:prstGeom prst="rect">
                      <a:avLst/>
                    </a:prstGeom>
                    <a:noFill/>
                    <a:ln>
                      <a:noFill/>
                    </a:ln>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iCs/>
          <w:color w:val="000000"/>
        </w:rPr>
        <w:t xml:space="preserve">Figure 1 </w:t>
      </w:r>
      <w:r>
        <w:rPr>
          <w:rFonts w:ascii="Book Antiqua" w:hAnsi="Book Antiqua" w:cs="Book Antiqua"/>
          <w:b/>
          <w:color w:val="000000"/>
          <w:lang w:eastAsia="zh-CN"/>
        </w:rPr>
        <w:t>R</w:t>
      </w:r>
      <w:r>
        <w:rPr>
          <w:rFonts w:ascii="Book Antiqua" w:hAnsi="Book Antiqua" w:eastAsia="Book Antiqua" w:cs="Book Antiqua"/>
          <w:b/>
          <w:color w:val="000000"/>
        </w:rPr>
        <w:t>eceiver operating characteristic</w:t>
      </w:r>
      <w:r>
        <w:rPr>
          <w:rFonts w:ascii="Book Antiqua" w:hAnsi="Book Antiqua" w:eastAsia="Book Antiqua" w:cs="Book Antiqua"/>
          <w:b/>
          <w:iCs/>
          <w:color w:val="000000"/>
        </w:rPr>
        <w:t xml:space="preserve"> curve analyses for </w:t>
      </w:r>
      <w:r>
        <w:rPr>
          <w:rFonts w:ascii="Book Antiqua" w:hAnsi="Book Antiqua" w:cs="Book Antiqua"/>
          <w:b/>
          <w:color w:val="000000"/>
          <w:lang w:eastAsia="zh-CN"/>
        </w:rPr>
        <w:t>p</w:t>
      </w:r>
      <w:r>
        <w:rPr>
          <w:rFonts w:ascii="Book Antiqua" w:hAnsi="Book Antiqua" w:eastAsia="Book Antiqua" w:cs="Book Antiqua"/>
          <w:b/>
          <w:color w:val="000000"/>
        </w:rPr>
        <w:t>rognostic nutritional index</w:t>
      </w:r>
      <w:r>
        <w:rPr>
          <w:rFonts w:ascii="Book Antiqua" w:hAnsi="Book Antiqua" w:eastAsia="Book Antiqua" w:cs="Book Antiqua"/>
          <w:b/>
          <w:iCs/>
          <w:color w:val="000000"/>
        </w:rPr>
        <w:t xml:space="preserve">, </w:t>
      </w:r>
      <w:r>
        <w:rPr>
          <w:rFonts w:ascii="Book Antiqua" w:hAnsi="Book Antiqua" w:cs="Book Antiqua"/>
          <w:b/>
          <w:color w:val="000000"/>
          <w:lang w:eastAsia="zh-CN"/>
        </w:rPr>
        <w:t>c</w:t>
      </w:r>
      <w:r>
        <w:rPr>
          <w:rFonts w:ascii="Book Antiqua" w:hAnsi="Book Antiqua" w:eastAsia="Book Antiqua" w:cs="Book Antiqua"/>
          <w:b/>
          <w:color w:val="000000"/>
        </w:rPr>
        <w:t>ontrolled nutritional status</w:t>
      </w:r>
      <w:r>
        <w:rPr>
          <w:rFonts w:ascii="Book Antiqua" w:hAnsi="Book Antiqua" w:eastAsia="Book Antiqua" w:cs="Book Antiqua"/>
          <w:b/>
          <w:iCs/>
          <w:color w:val="000000"/>
        </w:rPr>
        <w:t xml:space="preserve">, and </w:t>
      </w:r>
      <w:r>
        <w:rPr>
          <w:rFonts w:ascii="Book Antiqua" w:hAnsi="Book Antiqua" w:cs="Book Antiqua"/>
          <w:b/>
          <w:color w:val="000000"/>
          <w:lang w:eastAsia="zh-CN"/>
        </w:rPr>
        <w:t>N</w:t>
      </w:r>
      <w:r>
        <w:rPr>
          <w:rFonts w:ascii="Book Antiqua" w:hAnsi="Book Antiqua" w:eastAsia="Book Antiqua" w:cs="Book Antiqua"/>
          <w:b/>
          <w:color w:val="000000"/>
        </w:rPr>
        <w:t>aples prognostic score</w:t>
      </w:r>
      <w:r>
        <w:rPr>
          <w:rFonts w:ascii="Book Antiqua" w:hAnsi="Book Antiqua" w:eastAsia="Book Antiqua" w:cs="Book Antiqua"/>
          <w:b/>
          <w:iCs/>
          <w:color w:val="000000"/>
        </w:rPr>
        <w:t xml:space="preserve"> systems.</w:t>
      </w:r>
      <w:r>
        <w:rPr>
          <w:rFonts w:ascii="Book Antiqua" w:hAnsi="Book Antiqua" w:cs="Book Antiqua"/>
          <w:b/>
          <w:iCs/>
          <w:color w:val="000000"/>
          <w:lang w:eastAsia="zh-CN"/>
        </w:rPr>
        <w:t xml:space="preserve"> </w:t>
      </w:r>
      <w:r>
        <w:rPr>
          <w:rFonts w:ascii="Book Antiqua" w:hAnsi="Book Antiqua" w:cs="Book Antiqua"/>
          <w:iCs/>
          <w:color w:val="000000"/>
          <w:lang w:eastAsia="zh-CN"/>
        </w:rPr>
        <w:t xml:space="preserve">ROC: </w:t>
      </w:r>
      <w:r>
        <w:rPr>
          <w:rFonts w:ascii="Book Antiqua" w:hAnsi="Book Antiqua" w:cs="Book Antiqua"/>
          <w:color w:val="000000"/>
          <w:lang w:eastAsia="zh-CN"/>
        </w:rPr>
        <w:t>R</w:t>
      </w:r>
      <w:r>
        <w:rPr>
          <w:rFonts w:ascii="Book Antiqua" w:hAnsi="Book Antiqua" w:eastAsia="Book Antiqua" w:cs="Book Antiqua"/>
          <w:color w:val="000000"/>
        </w:rPr>
        <w:t>eceiver operating characteristic</w:t>
      </w:r>
      <w:r>
        <w:rPr>
          <w:rFonts w:ascii="Book Antiqua" w:hAnsi="Book Antiqua" w:cs="Book Antiqua"/>
          <w:color w:val="000000"/>
          <w:lang w:eastAsia="zh-CN"/>
        </w:rPr>
        <w:t xml:space="preserve">; </w:t>
      </w:r>
      <w:r>
        <w:rPr>
          <w:rFonts w:ascii="Book Antiqua" w:hAnsi="Book Antiqua" w:eastAsia="Book Antiqua" w:cs="Book Antiqua"/>
          <w:color w:val="000000"/>
        </w:rPr>
        <w:t>PNI</w:t>
      </w:r>
      <w:r>
        <w:rPr>
          <w:rFonts w:ascii="Book Antiqua" w:hAnsi="Book Antiqua" w:cs="Book Antiqua"/>
          <w:color w:val="000000"/>
          <w:lang w:eastAsia="zh-CN"/>
        </w:rPr>
        <w:t>:</w:t>
      </w:r>
      <w:r>
        <w:rPr>
          <w:rFonts w:ascii="Book Antiqua" w:hAnsi="Book Antiqua" w:eastAsia="Book Antiqua" w:cs="Book Antiqua"/>
          <w:color w:val="000000"/>
        </w:rPr>
        <w:t xml:space="preserve"> Prognostic nutritional index</w:t>
      </w:r>
      <w:r>
        <w:rPr>
          <w:rFonts w:ascii="Book Antiqua" w:hAnsi="Book Antiqua" w:cs="Book Antiqua"/>
          <w:color w:val="000000"/>
          <w:lang w:eastAsia="zh-CN"/>
        </w:rPr>
        <w:t>;</w:t>
      </w:r>
      <w:r>
        <w:rPr>
          <w:rFonts w:ascii="Book Antiqua" w:hAnsi="Book Antiqua" w:eastAsia="Book Antiqua" w:cs="Book Antiqua"/>
          <w:color w:val="000000"/>
        </w:rPr>
        <w:t xml:space="preserve"> CONUT</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C</w:t>
      </w:r>
      <w:r>
        <w:rPr>
          <w:rFonts w:ascii="Book Antiqua" w:hAnsi="Book Antiqua" w:eastAsia="Book Antiqua" w:cs="Book Antiqua"/>
          <w:color w:val="000000"/>
        </w:rPr>
        <w:t>ontrolled nutritional status</w:t>
      </w:r>
      <w:r>
        <w:rPr>
          <w:rFonts w:ascii="Book Antiqua" w:hAnsi="Book Antiqua" w:cs="Book Antiqua"/>
          <w:color w:val="000000"/>
          <w:lang w:eastAsia="zh-CN"/>
        </w:rPr>
        <w:t xml:space="preserve">; </w:t>
      </w:r>
      <w:r>
        <w:rPr>
          <w:rFonts w:ascii="Book Antiqua" w:hAnsi="Book Antiqua" w:eastAsia="Book Antiqua" w:cs="Book Antiqua"/>
          <w:color w:val="000000"/>
        </w:rPr>
        <w:t>NPS</w:t>
      </w:r>
      <w:r>
        <w:rPr>
          <w:rFonts w:ascii="Book Antiqua" w:hAnsi="Book Antiqua" w:cs="Book Antiqua"/>
          <w:color w:val="000000"/>
          <w:lang w:eastAsia="zh-CN"/>
        </w:rPr>
        <w:t>:</w:t>
      </w:r>
      <w:r>
        <w:rPr>
          <w:rFonts w:ascii="Book Antiqua" w:hAnsi="Book Antiqua" w:eastAsia="Book Antiqua" w:cs="Book Antiqua"/>
          <w:color w:val="000000"/>
        </w:rPr>
        <w:t xml:space="preserve"> Naples prognostic score</w:t>
      </w:r>
      <w:r>
        <w:rPr>
          <w:rFonts w:ascii="Book Antiqua" w:hAnsi="Book Antiqua" w:cs="Book Antiqua"/>
          <w:color w:val="000000"/>
          <w:lang w:eastAsia="zh-CN"/>
        </w:rPr>
        <w:t>.</w:t>
      </w:r>
    </w:p>
    <w:p>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lang w:eastAsia="zh-CN"/>
        </w:rPr>
        <w:drawing>
          <wp:inline distT="0" distB="0" distL="0" distR="0">
            <wp:extent cx="5943600" cy="4236720"/>
            <wp:effectExtent l="0" t="0" r="0" b="0"/>
            <wp:docPr id="4" name="图片 4" descr="D:\樊佳茹-工作文件\第二次定稿\稿件编辑加工\稿件\已编稿件\待排版\80050\80050-PDF\80050-Figures\8005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樊佳茹-工作文件\第二次定稿\稿件编辑加工\稿件\已编稿件\待排版\80050\80050-PDF\80050-Figures\80050-g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943600" cy="4237189"/>
                    </a:xfrm>
                    <a:prstGeom prst="rect">
                      <a:avLst/>
                    </a:prstGeom>
                    <a:noFill/>
                    <a:ln>
                      <a:noFill/>
                    </a:ln>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iCs/>
          <w:color w:val="000000"/>
        </w:rPr>
        <w:t xml:space="preserve">Figure 2 Kaplan-Meier survival curves for </w:t>
      </w:r>
      <w:r>
        <w:rPr>
          <w:rFonts w:ascii="Book Antiqua" w:hAnsi="Book Antiqua" w:eastAsia="Book Antiqua" w:cs="Book Antiqua"/>
          <w:b/>
          <w:color w:val="000000"/>
        </w:rPr>
        <w:t>overall survival</w:t>
      </w:r>
      <w:r>
        <w:rPr>
          <w:rFonts w:ascii="Book Antiqua" w:hAnsi="Book Antiqua" w:eastAsia="Book Antiqua" w:cs="Book Antiqua"/>
          <w:b/>
          <w:iCs/>
          <w:color w:val="000000"/>
        </w:rPr>
        <w:t xml:space="preserve"> based on </w:t>
      </w:r>
      <w:r>
        <w:rPr>
          <w:rFonts w:ascii="Book Antiqua" w:hAnsi="Book Antiqua" w:cs="Book Antiqua"/>
          <w:b/>
          <w:color w:val="000000"/>
          <w:lang w:eastAsia="zh-CN"/>
        </w:rPr>
        <w:t>p</w:t>
      </w:r>
      <w:r>
        <w:rPr>
          <w:rFonts w:ascii="Book Antiqua" w:hAnsi="Book Antiqua" w:eastAsia="Book Antiqua" w:cs="Book Antiqua"/>
          <w:b/>
          <w:color w:val="000000"/>
        </w:rPr>
        <w:t>rognostic nutritional index</w:t>
      </w:r>
      <w:r>
        <w:rPr>
          <w:rFonts w:ascii="Book Antiqua" w:hAnsi="Book Antiqua" w:eastAsia="Book Antiqua" w:cs="Book Antiqua"/>
          <w:b/>
          <w:iCs/>
          <w:color w:val="000000"/>
        </w:rPr>
        <w:t xml:space="preserve">, </w:t>
      </w:r>
      <w:r>
        <w:rPr>
          <w:rFonts w:ascii="Book Antiqua" w:hAnsi="Book Antiqua" w:cs="Book Antiqua"/>
          <w:b/>
          <w:color w:val="000000"/>
          <w:lang w:eastAsia="zh-CN"/>
        </w:rPr>
        <w:t>c</w:t>
      </w:r>
      <w:r>
        <w:rPr>
          <w:rFonts w:ascii="Book Antiqua" w:hAnsi="Book Antiqua" w:eastAsia="Book Antiqua" w:cs="Book Antiqua"/>
          <w:b/>
          <w:color w:val="000000"/>
        </w:rPr>
        <w:t>ontrolled nutritional status</w:t>
      </w:r>
      <w:r>
        <w:rPr>
          <w:rFonts w:ascii="Book Antiqua" w:hAnsi="Book Antiqua" w:eastAsia="Book Antiqua" w:cs="Book Antiqua"/>
          <w:b/>
          <w:iCs/>
          <w:color w:val="000000"/>
        </w:rPr>
        <w:t xml:space="preserve">, and </w:t>
      </w:r>
      <w:r>
        <w:rPr>
          <w:rFonts w:ascii="Book Antiqua" w:hAnsi="Book Antiqua" w:cs="Book Antiqua"/>
          <w:b/>
          <w:color w:val="000000"/>
          <w:lang w:eastAsia="zh-CN"/>
        </w:rPr>
        <w:t>N</w:t>
      </w:r>
      <w:r>
        <w:rPr>
          <w:rFonts w:ascii="Book Antiqua" w:hAnsi="Book Antiqua" w:eastAsia="Book Antiqua" w:cs="Book Antiqua"/>
          <w:b/>
          <w:color w:val="000000"/>
        </w:rPr>
        <w:t>aples prognostic score</w:t>
      </w:r>
      <w:r>
        <w:rPr>
          <w:rFonts w:ascii="Book Antiqua" w:hAnsi="Book Antiqua" w:eastAsia="Book Antiqua" w:cs="Book Antiqua"/>
          <w:b/>
          <w:iCs/>
          <w:color w:val="000000"/>
        </w:rPr>
        <w:t xml:space="preserve"> stratification.</w:t>
      </w:r>
      <w:r>
        <w:rPr>
          <w:rFonts w:ascii="Book Antiqua" w:hAnsi="Book Antiqua" w:eastAsia="Book Antiqua" w:cs="Book Antiqua"/>
          <w:iCs/>
          <w:color w:val="000000"/>
        </w:rPr>
        <w:t xml:space="preserve"> </w:t>
      </w:r>
      <w:r>
        <w:rPr>
          <w:rFonts w:ascii="Book Antiqua" w:hAnsi="Book Antiqua" w:cs="Book Antiqua"/>
          <w:iCs/>
          <w:color w:val="000000"/>
          <w:lang w:eastAsia="zh-CN"/>
        </w:rPr>
        <w:t xml:space="preserve">A: </w:t>
      </w:r>
      <w:r>
        <w:rPr>
          <w:rFonts w:ascii="Book Antiqua" w:hAnsi="Book Antiqua" w:eastAsia="Book Antiqua" w:cs="Book Antiqua"/>
          <w:color w:val="000000"/>
        </w:rPr>
        <w:t>Prognostic nutritional index</w:t>
      </w:r>
      <w:r>
        <w:rPr>
          <w:rFonts w:ascii="Book Antiqua" w:hAnsi="Book Antiqua" w:cs="Book Antiqua"/>
          <w:iCs/>
          <w:color w:val="000000"/>
          <w:lang w:eastAsia="zh-CN"/>
        </w:rPr>
        <w:t xml:space="preserve">; B: </w:t>
      </w:r>
      <w:r>
        <w:rPr>
          <w:rFonts w:ascii="Book Antiqua" w:hAnsi="Book Antiqua" w:cs="Book Antiqua"/>
          <w:color w:val="000000"/>
          <w:lang w:eastAsia="zh-CN"/>
        </w:rPr>
        <w:t>C</w:t>
      </w:r>
      <w:r>
        <w:rPr>
          <w:rFonts w:ascii="Book Antiqua" w:hAnsi="Book Antiqua" w:eastAsia="Book Antiqua" w:cs="Book Antiqua"/>
          <w:color w:val="000000"/>
        </w:rPr>
        <w:t>ontrolled nutritional status</w:t>
      </w:r>
      <w:r>
        <w:rPr>
          <w:rFonts w:ascii="Book Antiqua" w:hAnsi="Book Antiqua" w:cs="Book Antiqua"/>
          <w:iCs/>
          <w:color w:val="000000"/>
          <w:lang w:eastAsia="zh-CN"/>
        </w:rPr>
        <w:t xml:space="preserve">; C: </w:t>
      </w:r>
      <w:r>
        <w:rPr>
          <w:rFonts w:ascii="Book Antiqua" w:hAnsi="Book Antiqua" w:eastAsia="Book Antiqua" w:cs="Book Antiqua"/>
          <w:color w:val="000000"/>
        </w:rPr>
        <w:t>Naples prognostic score</w:t>
      </w:r>
      <w:r>
        <w:rPr>
          <w:rFonts w:ascii="Book Antiqua" w:hAnsi="Book Antiqua" w:cs="Book Antiqua"/>
          <w:iCs/>
          <w:color w:val="000000"/>
          <w:lang w:eastAsia="zh-CN"/>
        </w:rPr>
        <w:t xml:space="preserve">. </w:t>
      </w:r>
      <w:r>
        <w:rPr>
          <w:rFonts w:ascii="Book Antiqua" w:hAnsi="Book Antiqua" w:eastAsia="Book Antiqua" w:cs="Book Antiqua"/>
          <w:color w:val="000000"/>
        </w:rPr>
        <w:t>PNI</w:t>
      </w:r>
      <w:r>
        <w:rPr>
          <w:rFonts w:ascii="Book Antiqua" w:hAnsi="Book Antiqua" w:cs="Book Antiqua"/>
          <w:color w:val="000000"/>
          <w:lang w:eastAsia="zh-CN"/>
        </w:rPr>
        <w:t>:</w:t>
      </w:r>
      <w:r>
        <w:rPr>
          <w:rFonts w:ascii="Book Antiqua" w:hAnsi="Book Antiqua" w:eastAsia="Book Antiqua" w:cs="Book Antiqua"/>
          <w:color w:val="000000"/>
        </w:rPr>
        <w:t xml:space="preserve"> Prognostic nutritional index</w:t>
      </w:r>
      <w:r>
        <w:rPr>
          <w:rFonts w:ascii="Book Antiqua" w:hAnsi="Book Antiqua" w:cs="Book Antiqua"/>
          <w:color w:val="000000"/>
          <w:lang w:eastAsia="zh-CN"/>
        </w:rPr>
        <w:t>;</w:t>
      </w:r>
      <w:r>
        <w:rPr>
          <w:rFonts w:ascii="Book Antiqua" w:hAnsi="Book Antiqua" w:eastAsia="Book Antiqua" w:cs="Book Antiqua"/>
          <w:color w:val="000000"/>
        </w:rPr>
        <w:t xml:space="preserve"> CONUT</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C</w:t>
      </w:r>
      <w:r>
        <w:rPr>
          <w:rFonts w:ascii="Book Antiqua" w:hAnsi="Book Antiqua" w:eastAsia="Book Antiqua" w:cs="Book Antiqua"/>
          <w:color w:val="000000"/>
        </w:rPr>
        <w:t>ontrolled nutritional status</w:t>
      </w:r>
      <w:r>
        <w:rPr>
          <w:rFonts w:ascii="Book Antiqua" w:hAnsi="Book Antiqua" w:cs="Book Antiqua"/>
          <w:color w:val="000000"/>
          <w:lang w:eastAsia="zh-CN"/>
        </w:rPr>
        <w:t xml:space="preserve">; </w:t>
      </w:r>
      <w:r>
        <w:rPr>
          <w:rFonts w:ascii="Book Antiqua" w:hAnsi="Book Antiqua" w:eastAsia="Book Antiqua" w:cs="Book Antiqua"/>
          <w:color w:val="000000"/>
        </w:rPr>
        <w:t>NPS</w:t>
      </w:r>
      <w:r>
        <w:rPr>
          <w:rFonts w:ascii="Book Antiqua" w:hAnsi="Book Antiqua" w:cs="Book Antiqua"/>
          <w:color w:val="000000"/>
          <w:lang w:eastAsia="zh-CN"/>
        </w:rPr>
        <w:t>:</w:t>
      </w:r>
      <w:r>
        <w:rPr>
          <w:rFonts w:ascii="Book Antiqua" w:hAnsi="Book Antiqua" w:eastAsia="Book Antiqua" w:cs="Book Antiqua"/>
          <w:color w:val="000000"/>
        </w:rPr>
        <w:t xml:space="preserve"> Naples prognostic score</w:t>
      </w:r>
      <w:r>
        <w:rPr>
          <w:rFonts w:ascii="Book Antiqua" w:hAnsi="Book Antiqua" w:cs="Book Antiqua"/>
          <w:color w:val="000000"/>
          <w:lang w:eastAsia="zh-CN"/>
        </w:rPr>
        <w:t>.</w:t>
      </w:r>
    </w:p>
    <w:p>
      <w:pPr>
        <w:spacing w:line="360" w:lineRule="auto"/>
        <w:jc w:val="both"/>
        <w:rPr>
          <w:rFonts w:ascii="Book Antiqua" w:hAnsi="Book Antiqua" w:eastAsia="华文彩云" w:cs="Arial"/>
          <w:b/>
          <w:iCs/>
          <w:lang w:eastAsia="zh-CN"/>
        </w:rPr>
      </w:pPr>
      <w:r>
        <w:rPr>
          <w:rFonts w:ascii="Book Antiqua" w:hAnsi="Book Antiqua"/>
          <w:b/>
        </w:rPr>
        <w:br w:type="page"/>
      </w:r>
      <w:r>
        <w:rPr>
          <w:rFonts w:ascii="Book Antiqua" w:hAnsi="Book Antiqua" w:eastAsia="华文彩云" w:cs="Arial"/>
          <w:b/>
          <w:iCs/>
        </w:rPr>
        <w:t>Table1 Clinical characteristics of patients and three immune-nutritional scor</w:t>
      </w:r>
      <w:r>
        <w:rPr>
          <w:rFonts w:hint="eastAsia" w:ascii="Book Antiqua" w:hAnsi="Book Antiqua" w:eastAsia="华文彩云" w:cs="Arial"/>
          <w:b/>
          <w:iCs/>
          <w:lang w:val="en-US" w:eastAsia="zh-CN"/>
        </w:rPr>
        <w:t>ing</w:t>
      </w:r>
      <w:r>
        <w:rPr>
          <w:rFonts w:ascii="Book Antiqua" w:hAnsi="Book Antiqua" w:eastAsia="华文彩云" w:cs="Arial"/>
          <w:b/>
          <w:iCs/>
        </w:rPr>
        <w:t xml:space="preserve"> systems</w:t>
      </w:r>
    </w:p>
    <w:tbl>
      <w:tblPr>
        <w:tblStyle w:val="12"/>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9"/>
        <w:gridCol w:w="1216"/>
        <w:gridCol w:w="1279"/>
        <w:gridCol w:w="815"/>
        <w:gridCol w:w="1438"/>
        <w:gridCol w:w="819"/>
        <w:gridCol w:w="1419"/>
        <w:gridCol w:w="92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1" w:type="pct"/>
            <w:vMerge w:val="restart"/>
            <w:tcBorders>
              <w:top w:val="single" w:color="auto" w:sz="4" w:space="0"/>
              <w:bottom w:val="nil"/>
              <w:right w:val="nil"/>
            </w:tcBorders>
            <w:shd w:val="clear" w:color="auto" w:fill="auto"/>
          </w:tcPr>
          <w:p>
            <w:pPr>
              <w:spacing w:line="360" w:lineRule="auto"/>
              <w:jc w:val="both"/>
              <w:rPr>
                <w:rFonts w:ascii="Book Antiqua" w:hAnsi="Book Antiqua" w:eastAsia="华文彩云" w:cs="Arial"/>
                <w:b/>
                <w:bCs/>
                <w:i w:val="0"/>
                <w:iCs/>
                <w:kern w:val="0"/>
                <w:lang w:eastAsia="zh-CN"/>
              </w:rPr>
            </w:pPr>
            <w:r>
              <w:rPr>
                <w:rFonts w:ascii="Book Antiqua" w:hAnsi="Book Antiqua" w:eastAsia="华文彩云" w:cs="Arial"/>
                <w:b/>
                <w:bCs/>
                <w:i w:val="0"/>
                <w:iCs/>
                <w:kern w:val="0"/>
                <w:lang w:eastAsia="zh-CN"/>
              </w:rPr>
              <w:t>Characteristic</w:t>
            </w:r>
          </w:p>
        </w:tc>
        <w:tc>
          <w:tcPr>
            <w:tcW w:w="4129" w:type="pct"/>
            <w:gridSpan w:val="7"/>
            <w:tcBorders>
              <w:top w:val="single" w:color="auto" w:sz="4" w:space="0"/>
              <w:bottom w:val="single" w:color="auto" w:sz="4" w:space="0"/>
            </w:tcBorders>
            <w:shd w:val="clear" w:color="auto" w:fill="auto"/>
          </w:tcPr>
          <w:p>
            <w:pPr>
              <w:spacing w:line="360" w:lineRule="auto"/>
              <w:jc w:val="both"/>
              <w:rPr>
                <w:rFonts w:ascii="Book Antiqua" w:hAnsi="Book Antiqua" w:eastAsia="华文彩云" w:cs="Arial"/>
                <w:b/>
                <w:bCs/>
                <w:i w:val="0"/>
                <w:iCs/>
                <w:kern w:val="0"/>
                <w:lang w:eastAsia="zh-CN"/>
              </w:rPr>
            </w:pPr>
            <w:r>
              <w:rPr>
                <w:rFonts w:ascii="Book Antiqua" w:hAnsi="Book Antiqua" w:eastAsia="华文彩云" w:cs="Arial"/>
                <w:b/>
                <w:bCs/>
                <w:i w:val="0"/>
                <w:iCs/>
                <w:kern w:val="0"/>
                <w:lang w:eastAsia="zh-CN"/>
              </w:rPr>
              <w:t>Immune</w:t>
            </w:r>
            <w:r>
              <w:rPr>
                <w:rFonts w:ascii="Book Antiqua" w:hAnsi="Book Antiqua" w:eastAsia="宋体" w:cs="Arial"/>
                <w:b/>
                <w:bCs/>
                <w:i w:val="0"/>
                <w:iCs/>
                <w:kern w:val="0"/>
                <w:lang w:eastAsia="zh-CN"/>
              </w:rPr>
              <w:t>–</w:t>
            </w:r>
            <w:r>
              <w:rPr>
                <w:rFonts w:ascii="Book Antiqua" w:hAnsi="Book Antiqua" w:eastAsia="华文彩云" w:cs="Arial"/>
                <w:b/>
                <w:bCs/>
                <w:i w:val="0"/>
                <w:iCs/>
                <w:kern w:val="0"/>
                <w:lang w:eastAsia="zh-CN"/>
              </w:rPr>
              <w:t>nutritional score systems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1" w:type="pct"/>
            <w:vMerge w:val="continue"/>
            <w:tcBorders>
              <w:top w:val="nil"/>
              <w:bottom w:val="single" w:color="auto" w:sz="4" w:space="0"/>
              <w:right w:val="nil"/>
            </w:tcBorders>
            <w:shd w:val="clear" w:color="auto" w:fill="auto"/>
          </w:tcPr>
          <w:p>
            <w:pPr>
              <w:spacing w:line="360" w:lineRule="auto"/>
              <w:jc w:val="both"/>
              <w:rPr>
                <w:rFonts w:ascii="Book Antiqua" w:hAnsi="Book Antiqua" w:eastAsia="华文彩云" w:cs="Arial"/>
                <w:b/>
                <w:bCs/>
                <w:i w:val="0"/>
                <w:iCs/>
                <w:kern w:val="0"/>
                <w:lang w:eastAsia="zh-CN"/>
              </w:rPr>
            </w:pPr>
          </w:p>
        </w:tc>
        <w:tc>
          <w:tcPr>
            <w:tcW w:w="635" w:type="pct"/>
            <w:tcBorders>
              <w:top w:val="single" w:color="auto" w:sz="4" w:space="0"/>
              <w:bottom w:val="single" w:color="auto" w:sz="4" w:space="0"/>
            </w:tcBorders>
            <w:shd w:val="clear" w:color="auto" w:fill="auto"/>
          </w:tcPr>
          <w:p>
            <w:pPr>
              <w:spacing w:line="360" w:lineRule="auto"/>
              <w:jc w:val="both"/>
              <w:rPr>
                <w:rFonts w:ascii="Book Antiqua" w:hAnsi="Book Antiqua" w:eastAsia="华文彩云" w:cs="Arial"/>
                <w:b/>
                <w:bCs/>
                <w:kern w:val="0"/>
                <w:lang w:eastAsia="zh-CN"/>
              </w:rPr>
            </w:pPr>
            <w:r>
              <w:rPr>
                <w:rFonts w:ascii="Book Antiqua" w:hAnsi="Book Antiqua" w:eastAsia="华文彩云" w:cs="Arial"/>
                <w:b/>
                <w:bCs/>
                <w:kern w:val="0"/>
                <w:lang w:eastAsia="zh-CN"/>
              </w:rPr>
              <w:t>Value (</w:t>
            </w:r>
            <w:r>
              <w:rPr>
                <w:rFonts w:ascii="Book Antiqua" w:hAnsi="Book Antiqua" w:eastAsia="华文彩云" w:cs="Arial"/>
                <w:b/>
                <w:bCs/>
                <w:i/>
                <w:kern w:val="0"/>
                <w:lang w:eastAsia="zh-CN"/>
              </w:rPr>
              <w:t>n</w:t>
            </w:r>
            <w:r>
              <w:rPr>
                <w:rFonts w:ascii="Book Antiqua" w:hAnsi="Book Antiqua" w:eastAsia="华文彩云" w:cs="Arial"/>
                <w:b/>
                <w:bCs/>
                <w:kern w:val="0"/>
                <w:lang w:eastAsia="zh-CN"/>
              </w:rPr>
              <w:t xml:space="preserve"> = 54)</w:t>
            </w:r>
          </w:p>
        </w:tc>
        <w:tc>
          <w:tcPr>
            <w:tcW w:w="668" w:type="pct"/>
            <w:tcBorders>
              <w:top w:val="single" w:color="auto" w:sz="4" w:space="0"/>
              <w:bottom w:val="single" w:color="auto" w:sz="4" w:space="0"/>
            </w:tcBorders>
            <w:shd w:val="clear" w:color="auto" w:fill="auto"/>
          </w:tcPr>
          <w:p>
            <w:pPr>
              <w:spacing w:line="360" w:lineRule="auto"/>
              <w:jc w:val="both"/>
              <w:rPr>
                <w:rFonts w:ascii="Book Antiqua" w:hAnsi="Book Antiqua" w:eastAsia="华文彩云" w:cs="Arial"/>
                <w:b/>
                <w:bCs/>
                <w:kern w:val="0"/>
                <w:lang w:eastAsia="zh-CN"/>
              </w:rPr>
            </w:pPr>
            <w:r>
              <w:rPr>
                <w:rFonts w:ascii="Book Antiqua" w:hAnsi="Book Antiqua" w:eastAsia="华文彩云" w:cs="Arial"/>
                <w:b/>
                <w:bCs/>
                <w:kern w:val="0"/>
                <w:lang w:eastAsia="zh-CN"/>
              </w:rPr>
              <w:t>PNI (</w:t>
            </w:r>
            <w:r>
              <w:rPr>
                <w:rFonts w:ascii="Book Antiqua" w:hAnsi="Book Antiqua" w:eastAsia="华文彩云" w:cs="Arial"/>
                <w:b/>
                <w:bCs/>
                <w:i/>
                <w:kern w:val="0"/>
                <w:lang w:eastAsia="zh-CN"/>
              </w:rPr>
              <w:t>n</w:t>
            </w:r>
            <w:r>
              <w:rPr>
                <w:rFonts w:ascii="Book Antiqua" w:hAnsi="Book Antiqua" w:eastAsia="华文彩云" w:cs="Arial"/>
                <w:b/>
                <w:bCs/>
                <w:kern w:val="0"/>
                <w:lang w:eastAsia="zh-CN"/>
              </w:rPr>
              <w:t xml:space="preserve"> = 27/27)</w:t>
            </w:r>
          </w:p>
        </w:tc>
        <w:tc>
          <w:tcPr>
            <w:tcW w:w="426" w:type="pct"/>
            <w:tcBorders>
              <w:top w:val="single" w:color="auto" w:sz="4" w:space="0"/>
              <w:bottom w:val="single" w:color="auto" w:sz="4" w:space="0"/>
            </w:tcBorders>
            <w:shd w:val="clear" w:color="auto" w:fill="auto"/>
          </w:tcPr>
          <w:p>
            <w:pPr>
              <w:spacing w:line="360" w:lineRule="auto"/>
              <w:jc w:val="both"/>
              <w:rPr>
                <w:rFonts w:ascii="Book Antiqua" w:hAnsi="Book Antiqua" w:eastAsia="华文彩云" w:cs="Arial"/>
                <w:b/>
                <w:bCs/>
                <w:kern w:val="0"/>
                <w:lang w:eastAsia="zh-CN"/>
              </w:rPr>
            </w:pPr>
            <w:r>
              <w:rPr>
                <w:rFonts w:ascii="Book Antiqua" w:hAnsi="Book Antiqua" w:eastAsia="华文彩云" w:cs="Arial"/>
                <w:b/>
                <w:bCs/>
                <w:i/>
                <w:kern w:val="0"/>
                <w:lang w:eastAsia="zh-CN"/>
              </w:rPr>
              <w:t>P</w:t>
            </w:r>
            <w:r>
              <w:rPr>
                <w:rFonts w:ascii="Book Antiqua" w:hAnsi="Book Antiqua" w:eastAsia="华文彩云" w:cs="Arial"/>
                <w:b/>
                <w:bCs/>
                <w:kern w:val="0"/>
                <w:lang w:eastAsia="zh-CN"/>
              </w:rPr>
              <w:t xml:space="preserve"> value</w:t>
            </w:r>
          </w:p>
        </w:tc>
        <w:tc>
          <w:tcPr>
            <w:tcW w:w="751" w:type="pct"/>
            <w:tcBorders>
              <w:top w:val="single" w:color="auto" w:sz="4" w:space="0"/>
              <w:bottom w:val="single" w:color="auto" w:sz="4" w:space="0"/>
            </w:tcBorders>
            <w:shd w:val="clear" w:color="auto" w:fill="auto"/>
          </w:tcPr>
          <w:p>
            <w:pPr>
              <w:spacing w:line="360" w:lineRule="auto"/>
              <w:jc w:val="both"/>
              <w:rPr>
                <w:rFonts w:ascii="Book Antiqua" w:hAnsi="Book Antiqua" w:eastAsia="华文彩云" w:cs="Arial"/>
                <w:b/>
                <w:bCs/>
                <w:kern w:val="0"/>
                <w:lang w:eastAsia="zh-CN"/>
              </w:rPr>
            </w:pPr>
            <w:r>
              <w:rPr>
                <w:rFonts w:ascii="Book Antiqua" w:hAnsi="Book Antiqua" w:eastAsia="华文彩云" w:cs="Arial"/>
                <w:b/>
                <w:bCs/>
                <w:kern w:val="0"/>
                <w:lang w:eastAsia="zh-CN"/>
              </w:rPr>
              <w:t>CONUT (</w:t>
            </w:r>
            <w:r>
              <w:rPr>
                <w:rFonts w:ascii="Book Antiqua" w:hAnsi="Book Antiqua" w:eastAsia="华文彩云" w:cs="Arial"/>
                <w:b/>
                <w:bCs/>
                <w:i/>
                <w:kern w:val="0"/>
                <w:lang w:eastAsia="zh-CN"/>
              </w:rPr>
              <w:t>n</w:t>
            </w:r>
            <w:r>
              <w:rPr>
                <w:rFonts w:ascii="Book Antiqua" w:hAnsi="Book Antiqua" w:eastAsia="华文彩云" w:cs="Arial"/>
                <w:b/>
                <w:bCs/>
                <w:kern w:val="0"/>
                <w:lang w:eastAsia="zh-CN"/>
              </w:rPr>
              <w:t xml:space="preserve"> = 34/20)</w:t>
            </w:r>
          </w:p>
        </w:tc>
        <w:tc>
          <w:tcPr>
            <w:tcW w:w="428" w:type="pct"/>
            <w:tcBorders>
              <w:top w:val="single" w:color="auto" w:sz="4" w:space="0"/>
              <w:bottom w:val="single" w:color="auto" w:sz="4" w:space="0"/>
            </w:tcBorders>
            <w:shd w:val="clear" w:color="auto" w:fill="auto"/>
          </w:tcPr>
          <w:p>
            <w:pPr>
              <w:spacing w:line="360" w:lineRule="auto"/>
              <w:jc w:val="both"/>
              <w:rPr>
                <w:rFonts w:ascii="Book Antiqua" w:hAnsi="Book Antiqua" w:eastAsia="华文彩云" w:cs="Arial"/>
                <w:b/>
                <w:bCs/>
                <w:kern w:val="0"/>
                <w:lang w:eastAsia="zh-CN"/>
              </w:rPr>
            </w:pPr>
            <w:r>
              <w:rPr>
                <w:rFonts w:ascii="Book Antiqua" w:hAnsi="Book Antiqua" w:eastAsia="华文彩云" w:cs="Arial"/>
                <w:b/>
                <w:bCs/>
                <w:i/>
                <w:kern w:val="0"/>
                <w:lang w:eastAsia="zh-CN"/>
              </w:rPr>
              <w:t>P</w:t>
            </w:r>
            <w:r>
              <w:rPr>
                <w:rFonts w:ascii="Book Antiqua" w:hAnsi="Book Antiqua" w:eastAsia="华文彩云" w:cs="Arial"/>
                <w:b/>
                <w:bCs/>
                <w:kern w:val="0"/>
                <w:lang w:eastAsia="zh-CN"/>
              </w:rPr>
              <w:t xml:space="preserve"> value</w:t>
            </w:r>
          </w:p>
        </w:tc>
        <w:tc>
          <w:tcPr>
            <w:tcW w:w="741" w:type="pct"/>
            <w:tcBorders>
              <w:top w:val="single" w:color="auto" w:sz="4" w:space="0"/>
              <w:bottom w:val="single" w:color="auto" w:sz="4" w:space="0"/>
            </w:tcBorders>
            <w:shd w:val="clear" w:color="auto" w:fill="auto"/>
          </w:tcPr>
          <w:p>
            <w:pPr>
              <w:spacing w:line="360" w:lineRule="auto"/>
              <w:jc w:val="both"/>
              <w:rPr>
                <w:rFonts w:ascii="Book Antiqua" w:hAnsi="Book Antiqua" w:eastAsia="华文彩云" w:cs="Arial"/>
                <w:b/>
                <w:bCs/>
                <w:kern w:val="0"/>
                <w:lang w:eastAsia="zh-CN"/>
              </w:rPr>
            </w:pPr>
            <w:r>
              <w:rPr>
                <w:rFonts w:ascii="Book Antiqua" w:hAnsi="Book Antiqua" w:eastAsia="华文彩云" w:cs="Arial"/>
                <w:b/>
                <w:bCs/>
                <w:kern w:val="0"/>
                <w:lang w:eastAsia="zh-CN"/>
              </w:rPr>
              <w:t>NPS (</w:t>
            </w:r>
            <w:r>
              <w:rPr>
                <w:rFonts w:ascii="Book Antiqua" w:hAnsi="Book Antiqua" w:eastAsia="华文彩云" w:cs="Arial"/>
                <w:b/>
                <w:bCs/>
                <w:i/>
                <w:kern w:val="0"/>
                <w:lang w:eastAsia="zh-CN"/>
              </w:rPr>
              <w:t>n</w:t>
            </w:r>
            <w:r>
              <w:rPr>
                <w:rFonts w:ascii="Book Antiqua" w:hAnsi="Book Antiqua" w:eastAsia="华文彩云" w:cs="Arial"/>
                <w:b/>
                <w:bCs/>
                <w:kern w:val="0"/>
                <w:lang w:eastAsia="zh-CN"/>
              </w:rPr>
              <w:t xml:space="preserve"> = 32/22)</w:t>
            </w:r>
          </w:p>
        </w:tc>
        <w:tc>
          <w:tcPr>
            <w:tcW w:w="480" w:type="pct"/>
            <w:tcBorders>
              <w:top w:val="single" w:color="auto" w:sz="4" w:space="0"/>
              <w:bottom w:val="single" w:color="auto" w:sz="4" w:space="0"/>
            </w:tcBorders>
            <w:shd w:val="clear" w:color="auto" w:fill="auto"/>
          </w:tcPr>
          <w:p>
            <w:pPr>
              <w:spacing w:line="360" w:lineRule="auto"/>
              <w:jc w:val="both"/>
              <w:rPr>
                <w:rFonts w:ascii="Book Antiqua" w:hAnsi="Book Antiqua" w:eastAsia="华文彩云" w:cs="Arial"/>
                <w:b/>
                <w:bCs/>
                <w:kern w:val="0"/>
                <w:lang w:eastAsia="zh-CN"/>
              </w:rPr>
            </w:pPr>
            <w:r>
              <w:rPr>
                <w:rFonts w:ascii="Book Antiqua" w:hAnsi="Book Antiqua" w:eastAsia="华文彩云" w:cs="Arial"/>
                <w:b/>
                <w:bCs/>
                <w:i/>
                <w:kern w:val="0"/>
                <w:lang w:eastAsia="zh-CN"/>
              </w:rPr>
              <w:t>P</w:t>
            </w:r>
            <w:r>
              <w:rPr>
                <w:rFonts w:ascii="Book Antiqua" w:hAnsi="Book Antiqua" w:eastAsia="华文彩云" w:cs="Arial"/>
                <w:b/>
                <w:bCs/>
                <w:kern w:val="0"/>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1" w:type="pct"/>
            <w:tcBorders>
              <w:top w:val="single" w:color="auto" w:sz="4" w:space="0"/>
              <w:right w:val="nil"/>
            </w:tcBorders>
            <w:shd w:val="clear" w:color="auto" w:fill="auto"/>
          </w:tcPr>
          <w:p>
            <w:pPr>
              <w:spacing w:line="360" w:lineRule="auto"/>
              <w:jc w:val="both"/>
              <w:rPr>
                <w:rFonts w:ascii="Book Antiqua" w:hAnsi="Book Antiqua" w:eastAsia="华文彩云" w:cs="Arial"/>
                <w:b/>
                <w:bCs/>
                <w:i w:val="0"/>
                <w:iCs w:val="0"/>
                <w:kern w:val="0"/>
                <w:lang w:eastAsia="zh-CN"/>
              </w:rPr>
            </w:pPr>
            <w:r>
              <w:rPr>
                <w:rFonts w:ascii="Book Antiqua" w:hAnsi="Book Antiqua" w:eastAsia="华文彩云" w:cs="Arial"/>
                <w:b/>
                <w:bCs/>
                <w:i w:val="0"/>
                <w:iCs/>
                <w:kern w:val="0"/>
                <w:lang w:eastAsia="zh-CN"/>
              </w:rPr>
              <w:t>Age (years)</w:t>
            </w:r>
          </w:p>
        </w:tc>
        <w:tc>
          <w:tcPr>
            <w:tcW w:w="635" w:type="pct"/>
            <w:tcBorders>
              <w:top w:val="single" w:color="auto" w:sz="4" w:space="0"/>
            </w:tcBorders>
            <w:shd w:val="clear" w:color="auto" w:fill="auto"/>
          </w:tcPr>
          <w:p>
            <w:pPr>
              <w:spacing w:line="360" w:lineRule="auto"/>
              <w:jc w:val="both"/>
              <w:rPr>
                <w:rFonts w:ascii="Book Antiqua" w:hAnsi="Book Antiqua" w:eastAsia="华文彩云" w:cs="Arial"/>
                <w:bCs/>
                <w:iCs/>
                <w:kern w:val="0"/>
                <w:lang w:eastAsia="zh-CN"/>
              </w:rPr>
            </w:pPr>
          </w:p>
        </w:tc>
        <w:tc>
          <w:tcPr>
            <w:tcW w:w="668" w:type="pct"/>
            <w:tcBorders>
              <w:top w:val="single" w:color="auto" w:sz="4" w:space="0"/>
            </w:tcBorders>
            <w:shd w:val="clear" w:color="auto" w:fill="auto"/>
          </w:tcPr>
          <w:p>
            <w:pPr>
              <w:spacing w:line="360" w:lineRule="auto"/>
              <w:jc w:val="both"/>
              <w:rPr>
                <w:rFonts w:ascii="Book Antiqua" w:hAnsi="Book Antiqua" w:eastAsia="华文彩云" w:cs="Arial"/>
                <w:bCs/>
                <w:iCs/>
                <w:kern w:val="0"/>
                <w:lang w:eastAsia="zh-CN"/>
              </w:rPr>
            </w:pPr>
          </w:p>
        </w:tc>
        <w:tc>
          <w:tcPr>
            <w:tcW w:w="426" w:type="pct"/>
            <w:tcBorders>
              <w:top w:val="single" w:color="auto" w:sz="4" w:space="0"/>
            </w:tcBorders>
            <w:shd w:val="clear" w:color="auto" w:fill="auto"/>
          </w:tcPr>
          <w:p>
            <w:pPr>
              <w:spacing w:line="360" w:lineRule="auto"/>
              <w:jc w:val="both"/>
              <w:rPr>
                <w:rFonts w:ascii="Book Antiqua" w:hAnsi="Book Antiqua" w:eastAsia="华文彩云" w:cs="Arial"/>
                <w:bCs/>
                <w:iCs/>
                <w:kern w:val="0"/>
                <w:lang w:eastAsia="zh-CN"/>
              </w:rPr>
            </w:pPr>
            <w:r>
              <w:rPr>
                <w:rFonts w:ascii="Book Antiqua" w:hAnsi="Book Antiqua" w:eastAsia="华文彩云" w:cs="Arial"/>
                <w:bCs/>
                <w:iCs/>
                <w:kern w:val="0"/>
                <w:lang w:eastAsia="zh-CN"/>
              </w:rPr>
              <w:t>1.000</w:t>
            </w:r>
          </w:p>
        </w:tc>
        <w:tc>
          <w:tcPr>
            <w:tcW w:w="751" w:type="pct"/>
            <w:tcBorders>
              <w:top w:val="single" w:color="auto" w:sz="4" w:space="0"/>
            </w:tcBorders>
            <w:shd w:val="clear" w:color="auto" w:fill="auto"/>
          </w:tcPr>
          <w:p>
            <w:pPr>
              <w:spacing w:line="360" w:lineRule="auto"/>
              <w:jc w:val="both"/>
              <w:rPr>
                <w:rFonts w:ascii="Book Antiqua" w:hAnsi="Book Antiqua" w:eastAsia="华文彩云" w:cs="Arial"/>
                <w:bCs/>
                <w:iCs/>
                <w:kern w:val="0"/>
                <w:lang w:eastAsia="zh-CN"/>
              </w:rPr>
            </w:pPr>
          </w:p>
        </w:tc>
        <w:tc>
          <w:tcPr>
            <w:tcW w:w="428" w:type="pct"/>
            <w:tcBorders>
              <w:top w:val="single" w:color="auto" w:sz="4" w:space="0"/>
            </w:tcBorders>
            <w:shd w:val="clear" w:color="auto" w:fill="auto"/>
          </w:tcPr>
          <w:p>
            <w:pPr>
              <w:spacing w:line="360" w:lineRule="auto"/>
              <w:jc w:val="both"/>
              <w:rPr>
                <w:rFonts w:ascii="Book Antiqua" w:hAnsi="Book Antiqua" w:eastAsia="华文彩云" w:cs="Arial"/>
                <w:bCs/>
                <w:iCs/>
                <w:kern w:val="0"/>
                <w:lang w:eastAsia="zh-CN"/>
              </w:rPr>
            </w:pPr>
            <w:r>
              <w:rPr>
                <w:rFonts w:ascii="Book Antiqua" w:hAnsi="Book Antiqua" w:eastAsia="华文彩云" w:cs="Arial"/>
                <w:bCs/>
                <w:iCs/>
                <w:kern w:val="0"/>
                <w:lang w:eastAsia="zh-CN"/>
              </w:rPr>
              <w:t>0.368</w:t>
            </w:r>
          </w:p>
        </w:tc>
        <w:tc>
          <w:tcPr>
            <w:tcW w:w="741" w:type="pct"/>
            <w:tcBorders>
              <w:top w:val="single" w:color="auto" w:sz="4" w:space="0"/>
            </w:tcBorders>
            <w:shd w:val="clear" w:color="auto" w:fill="auto"/>
          </w:tcPr>
          <w:p>
            <w:pPr>
              <w:spacing w:line="360" w:lineRule="auto"/>
              <w:jc w:val="both"/>
              <w:rPr>
                <w:rFonts w:ascii="Book Antiqua" w:hAnsi="Book Antiqua" w:eastAsia="华文彩云" w:cs="Arial"/>
                <w:bCs/>
                <w:iCs/>
                <w:kern w:val="0"/>
                <w:lang w:eastAsia="zh-CN"/>
              </w:rPr>
            </w:pPr>
          </w:p>
        </w:tc>
        <w:tc>
          <w:tcPr>
            <w:tcW w:w="480" w:type="pct"/>
            <w:tcBorders>
              <w:top w:val="single" w:color="auto" w:sz="4" w:space="0"/>
            </w:tcBorders>
            <w:shd w:val="clear" w:color="auto" w:fill="auto"/>
          </w:tcPr>
          <w:p>
            <w:pPr>
              <w:spacing w:line="360" w:lineRule="auto"/>
              <w:jc w:val="both"/>
              <w:rPr>
                <w:rFonts w:ascii="Book Antiqua" w:hAnsi="Book Antiqua" w:eastAsia="华文彩云" w:cs="Arial"/>
                <w:bCs/>
                <w:iCs/>
                <w:kern w:val="0"/>
                <w:lang w:eastAsia="zh-CN"/>
              </w:rPr>
            </w:pPr>
            <w:r>
              <w:rPr>
                <w:rFonts w:ascii="Book Antiqua" w:hAnsi="Book Antiqua" w:eastAsia="华文彩云" w:cs="Arial"/>
                <w:bCs/>
                <w:iCs/>
                <w:kern w:val="0"/>
                <w:lang w:eastAsia="zh-CN"/>
              </w:rPr>
              <w:t>0.047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1" w:type="pct"/>
            <w:tcBorders>
              <w:right w:val="nil"/>
            </w:tcBorders>
            <w:shd w:val="clear" w:color="auto" w:fill="auto"/>
          </w:tcPr>
          <w:p>
            <w:pPr>
              <w:spacing w:line="360" w:lineRule="auto"/>
              <w:jc w:val="both"/>
              <w:rPr>
                <w:rFonts w:ascii="Book Antiqua" w:hAnsi="Book Antiqua" w:eastAsia="华文彩云" w:cs="Arial"/>
                <w:i w:val="0"/>
                <w:iCs/>
                <w:kern w:val="0"/>
                <w:lang w:eastAsia="zh-CN"/>
              </w:rPr>
            </w:pPr>
            <w:r>
              <w:rPr>
                <w:rFonts w:ascii="Book Antiqua" w:hAnsi="Book Antiqua" w:eastAsia="华文彩云" w:cs="Arial"/>
                <w:i w:val="0"/>
                <w:iCs/>
                <w:kern w:val="0"/>
                <w:lang w:eastAsia="zh-CN"/>
              </w:rPr>
              <w:t>&lt; 70</w:t>
            </w:r>
          </w:p>
        </w:tc>
        <w:tc>
          <w:tcPr>
            <w:tcW w:w="635"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26</w:t>
            </w:r>
          </w:p>
        </w:tc>
        <w:tc>
          <w:tcPr>
            <w:tcW w:w="668"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13/13</w:t>
            </w:r>
          </w:p>
        </w:tc>
        <w:tc>
          <w:tcPr>
            <w:tcW w:w="426" w:type="pct"/>
            <w:shd w:val="clear" w:color="auto" w:fill="auto"/>
          </w:tcPr>
          <w:p>
            <w:pPr>
              <w:spacing w:line="360" w:lineRule="auto"/>
              <w:ind w:left="-14" w:leftChars="-6" w:right="-19" w:rightChars="-8"/>
              <w:jc w:val="both"/>
              <w:rPr>
                <w:rFonts w:ascii="Book Antiqua" w:hAnsi="Book Antiqua" w:eastAsia="华文彩云" w:cs="Arial"/>
                <w:kern w:val="0"/>
                <w:lang w:eastAsia="zh-CN"/>
              </w:rPr>
            </w:pPr>
          </w:p>
        </w:tc>
        <w:tc>
          <w:tcPr>
            <w:tcW w:w="75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18/8</w:t>
            </w:r>
          </w:p>
        </w:tc>
        <w:tc>
          <w:tcPr>
            <w:tcW w:w="428" w:type="pct"/>
            <w:shd w:val="clear" w:color="auto" w:fill="auto"/>
          </w:tcPr>
          <w:p>
            <w:pPr>
              <w:spacing w:line="360" w:lineRule="auto"/>
              <w:jc w:val="both"/>
              <w:rPr>
                <w:rFonts w:ascii="Book Antiqua" w:hAnsi="Book Antiqua" w:eastAsia="华文彩云" w:cs="Arial"/>
                <w:kern w:val="0"/>
                <w:lang w:eastAsia="zh-CN"/>
              </w:rPr>
            </w:pPr>
          </w:p>
        </w:tc>
        <w:tc>
          <w:tcPr>
            <w:tcW w:w="74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19/7</w:t>
            </w:r>
          </w:p>
        </w:tc>
        <w:tc>
          <w:tcPr>
            <w:tcW w:w="480" w:type="pct"/>
            <w:shd w:val="clear" w:color="auto" w:fill="auto"/>
          </w:tcPr>
          <w:p>
            <w:pPr>
              <w:spacing w:line="360" w:lineRule="auto"/>
              <w:jc w:val="both"/>
              <w:rPr>
                <w:rFonts w:ascii="Book Antiqua" w:hAnsi="Book Antiqua" w:eastAsia="华文彩云" w:cs="Arial"/>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1" w:type="pct"/>
            <w:tcBorders>
              <w:right w:val="nil"/>
            </w:tcBorders>
            <w:shd w:val="clear" w:color="auto" w:fill="auto"/>
          </w:tcPr>
          <w:p>
            <w:pPr>
              <w:spacing w:line="360" w:lineRule="auto"/>
              <w:jc w:val="both"/>
              <w:rPr>
                <w:rFonts w:ascii="Book Antiqua" w:hAnsi="Book Antiqua" w:eastAsia="华文彩云" w:cs="Arial"/>
                <w:i w:val="0"/>
                <w:iCs/>
                <w:kern w:val="0"/>
                <w:lang w:eastAsia="zh-CN"/>
              </w:rPr>
            </w:pPr>
            <w:r>
              <w:rPr>
                <w:rFonts w:ascii="Book Antiqua" w:hAnsi="Book Antiqua" w:eastAsia="华文彩云" w:cs="Arial"/>
                <w:i w:val="0"/>
                <w:iCs/>
                <w:kern w:val="0"/>
                <w:lang w:eastAsia="zh-CN"/>
              </w:rPr>
              <w:t>≥ 70</w:t>
            </w:r>
          </w:p>
        </w:tc>
        <w:tc>
          <w:tcPr>
            <w:tcW w:w="635"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28</w:t>
            </w:r>
          </w:p>
        </w:tc>
        <w:tc>
          <w:tcPr>
            <w:tcW w:w="668"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14/14</w:t>
            </w:r>
          </w:p>
        </w:tc>
        <w:tc>
          <w:tcPr>
            <w:tcW w:w="426" w:type="pct"/>
            <w:shd w:val="clear" w:color="auto" w:fill="auto"/>
          </w:tcPr>
          <w:p>
            <w:pPr>
              <w:spacing w:line="360" w:lineRule="auto"/>
              <w:jc w:val="both"/>
              <w:rPr>
                <w:rFonts w:ascii="Book Antiqua" w:hAnsi="Book Antiqua" w:eastAsia="华文彩云" w:cs="Arial"/>
                <w:kern w:val="0"/>
                <w:lang w:eastAsia="zh-CN"/>
              </w:rPr>
            </w:pPr>
          </w:p>
        </w:tc>
        <w:tc>
          <w:tcPr>
            <w:tcW w:w="75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16/12</w:t>
            </w:r>
          </w:p>
        </w:tc>
        <w:tc>
          <w:tcPr>
            <w:tcW w:w="428" w:type="pct"/>
            <w:shd w:val="clear" w:color="auto" w:fill="auto"/>
          </w:tcPr>
          <w:p>
            <w:pPr>
              <w:spacing w:line="360" w:lineRule="auto"/>
              <w:jc w:val="both"/>
              <w:rPr>
                <w:rFonts w:ascii="Book Antiqua" w:hAnsi="Book Antiqua" w:eastAsia="华文彩云" w:cs="Arial"/>
                <w:kern w:val="0"/>
                <w:lang w:eastAsia="zh-CN"/>
              </w:rPr>
            </w:pPr>
          </w:p>
        </w:tc>
        <w:tc>
          <w:tcPr>
            <w:tcW w:w="74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13/15</w:t>
            </w:r>
          </w:p>
        </w:tc>
        <w:tc>
          <w:tcPr>
            <w:tcW w:w="480" w:type="pct"/>
            <w:shd w:val="clear" w:color="auto" w:fill="auto"/>
          </w:tcPr>
          <w:p>
            <w:pPr>
              <w:spacing w:line="360" w:lineRule="auto"/>
              <w:jc w:val="both"/>
              <w:rPr>
                <w:rFonts w:ascii="Book Antiqua" w:hAnsi="Book Antiqua" w:eastAsia="华文彩云" w:cs="Arial"/>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1" w:type="pct"/>
            <w:tcBorders>
              <w:right w:val="nil"/>
            </w:tcBorders>
            <w:shd w:val="clear" w:color="auto" w:fill="auto"/>
          </w:tcPr>
          <w:p>
            <w:pPr>
              <w:spacing w:line="360" w:lineRule="auto"/>
              <w:jc w:val="both"/>
              <w:rPr>
                <w:rFonts w:ascii="Book Antiqua" w:hAnsi="Book Antiqua" w:eastAsia="华文彩云" w:cs="Arial"/>
                <w:b/>
                <w:bCs/>
                <w:i w:val="0"/>
                <w:iCs w:val="0"/>
                <w:kern w:val="0"/>
                <w:lang w:eastAsia="zh-CN"/>
              </w:rPr>
            </w:pPr>
            <w:r>
              <w:rPr>
                <w:rFonts w:ascii="Book Antiqua" w:hAnsi="Book Antiqua" w:eastAsia="华文彩云" w:cs="Arial"/>
                <w:b/>
                <w:bCs/>
                <w:i w:val="0"/>
                <w:iCs/>
                <w:kern w:val="0"/>
                <w:lang w:eastAsia="zh-CN"/>
              </w:rPr>
              <w:t>Gender</w:t>
            </w:r>
          </w:p>
        </w:tc>
        <w:tc>
          <w:tcPr>
            <w:tcW w:w="635" w:type="pct"/>
            <w:shd w:val="clear" w:color="auto" w:fill="auto"/>
          </w:tcPr>
          <w:p>
            <w:pPr>
              <w:spacing w:line="360" w:lineRule="auto"/>
              <w:jc w:val="both"/>
              <w:rPr>
                <w:rFonts w:ascii="Book Antiqua" w:hAnsi="Book Antiqua" w:eastAsia="华文彩云" w:cs="Arial"/>
                <w:bCs/>
                <w:iCs/>
                <w:kern w:val="0"/>
                <w:lang w:eastAsia="zh-CN"/>
              </w:rPr>
            </w:pPr>
          </w:p>
        </w:tc>
        <w:tc>
          <w:tcPr>
            <w:tcW w:w="668" w:type="pct"/>
            <w:shd w:val="clear" w:color="auto" w:fill="auto"/>
          </w:tcPr>
          <w:p>
            <w:pPr>
              <w:spacing w:line="360" w:lineRule="auto"/>
              <w:jc w:val="both"/>
              <w:rPr>
                <w:rFonts w:ascii="Book Antiqua" w:hAnsi="Book Antiqua" w:eastAsia="华文彩云" w:cs="Arial"/>
                <w:bCs/>
                <w:iCs/>
                <w:kern w:val="0"/>
                <w:lang w:eastAsia="zh-CN"/>
              </w:rPr>
            </w:pPr>
          </w:p>
        </w:tc>
        <w:tc>
          <w:tcPr>
            <w:tcW w:w="426" w:type="pct"/>
            <w:shd w:val="clear" w:color="auto" w:fill="auto"/>
          </w:tcPr>
          <w:p>
            <w:pPr>
              <w:spacing w:line="360" w:lineRule="auto"/>
              <w:jc w:val="both"/>
              <w:rPr>
                <w:rFonts w:ascii="Book Antiqua" w:hAnsi="Book Antiqua" w:eastAsia="华文彩云" w:cs="Arial"/>
                <w:bCs/>
                <w:iCs/>
                <w:kern w:val="0"/>
                <w:lang w:eastAsia="zh-CN"/>
              </w:rPr>
            </w:pPr>
            <w:r>
              <w:rPr>
                <w:rFonts w:ascii="Book Antiqua" w:hAnsi="Book Antiqua" w:eastAsia="华文彩云" w:cs="Arial"/>
                <w:bCs/>
                <w:iCs/>
                <w:kern w:val="0"/>
                <w:lang w:eastAsia="zh-CN"/>
              </w:rPr>
              <w:t>1.000</w:t>
            </w:r>
          </w:p>
        </w:tc>
        <w:tc>
          <w:tcPr>
            <w:tcW w:w="751" w:type="pct"/>
            <w:shd w:val="clear" w:color="auto" w:fill="auto"/>
          </w:tcPr>
          <w:p>
            <w:pPr>
              <w:spacing w:line="360" w:lineRule="auto"/>
              <w:jc w:val="both"/>
              <w:rPr>
                <w:rFonts w:ascii="Book Antiqua" w:hAnsi="Book Antiqua" w:eastAsia="华文彩云" w:cs="Arial"/>
                <w:bCs/>
                <w:iCs/>
                <w:kern w:val="0"/>
                <w:lang w:eastAsia="zh-CN"/>
              </w:rPr>
            </w:pPr>
          </w:p>
        </w:tc>
        <w:tc>
          <w:tcPr>
            <w:tcW w:w="428" w:type="pct"/>
            <w:shd w:val="clear" w:color="auto" w:fill="auto"/>
          </w:tcPr>
          <w:p>
            <w:pPr>
              <w:spacing w:line="360" w:lineRule="auto"/>
              <w:jc w:val="both"/>
              <w:rPr>
                <w:rFonts w:ascii="Book Antiqua" w:hAnsi="Book Antiqua" w:eastAsia="华文彩云" w:cs="Arial"/>
                <w:bCs/>
                <w:iCs/>
                <w:kern w:val="0"/>
                <w:lang w:eastAsia="zh-CN"/>
              </w:rPr>
            </w:pPr>
            <w:r>
              <w:rPr>
                <w:rFonts w:ascii="Book Antiqua" w:hAnsi="Book Antiqua" w:eastAsia="华文彩云" w:cs="Arial"/>
                <w:bCs/>
                <w:iCs/>
                <w:kern w:val="0"/>
                <w:lang w:eastAsia="zh-CN"/>
              </w:rPr>
              <w:t>0.713</w:t>
            </w:r>
          </w:p>
        </w:tc>
        <w:tc>
          <w:tcPr>
            <w:tcW w:w="741" w:type="pct"/>
            <w:shd w:val="clear" w:color="auto" w:fill="auto"/>
          </w:tcPr>
          <w:p>
            <w:pPr>
              <w:spacing w:line="360" w:lineRule="auto"/>
              <w:jc w:val="both"/>
              <w:rPr>
                <w:rFonts w:ascii="Book Antiqua" w:hAnsi="Book Antiqua" w:eastAsia="华文彩云" w:cs="Arial"/>
                <w:bCs/>
                <w:iCs/>
                <w:kern w:val="0"/>
                <w:lang w:eastAsia="zh-CN"/>
              </w:rPr>
            </w:pPr>
          </w:p>
        </w:tc>
        <w:tc>
          <w:tcPr>
            <w:tcW w:w="480" w:type="pct"/>
            <w:shd w:val="clear" w:color="auto" w:fill="auto"/>
          </w:tcPr>
          <w:p>
            <w:pPr>
              <w:spacing w:line="360" w:lineRule="auto"/>
              <w:jc w:val="both"/>
              <w:rPr>
                <w:rFonts w:ascii="Book Antiqua" w:hAnsi="Book Antiqua" w:eastAsia="华文彩云" w:cs="Arial"/>
                <w:bCs/>
                <w:iCs/>
                <w:kern w:val="0"/>
                <w:lang w:eastAsia="zh-CN"/>
              </w:rPr>
            </w:pPr>
            <w:r>
              <w:rPr>
                <w:rFonts w:ascii="Book Antiqua" w:hAnsi="Book Antiqua" w:eastAsia="华文彩云" w:cs="Arial"/>
                <w:bCs/>
                <w:iCs/>
                <w:kern w:val="0"/>
                <w:lang w:eastAsia="zh-CN"/>
              </w:rPr>
              <w:t>0.216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1" w:type="pct"/>
            <w:tcBorders>
              <w:right w:val="nil"/>
            </w:tcBorders>
            <w:shd w:val="clear" w:color="auto" w:fill="auto"/>
          </w:tcPr>
          <w:p>
            <w:pPr>
              <w:spacing w:line="360" w:lineRule="auto"/>
              <w:jc w:val="both"/>
              <w:rPr>
                <w:rFonts w:ascii="Book Antiqua" w:hAnsi="Book Antiqua" w:eastAsia="华文彩云" w:cs="Arial"/>
                <w:i w:val="0"/>
                <w:iCs/>
                <w:kern w:val="0"/>
                <w:lang w:eastAsia="zh-CN"/>
              </w:rPr>
            </w:pPr>
            <w:r>
              <w:rPr>
                <w:rFonts w:ascii="Book Antiqua" w:hAnsi="Book Antiqua" w:eastAsia="华文彩云" w:cs="Arial"/>
                <w:i w:val="0"/>
                <w:iCs/>
                <w:kern w:val="0"/>
                <w:lang w:eastAsia="zh-CN"/>
              </w:rPr>
              <w:t>Male</w:t>
            </w:r>
          </w:p>
        </w:tc>
        <w:tc>
          <w:tcPr>
            <w:tcW w:w="635"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42</w:t>
            </w:r>
          </w:p>
        </w:tc>
        <w:tc>
          <w:tcPr>
            <w:tcW w:w="668"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21/21</w:t>
            </w:r>
          </w:p>
        </w:tc>
        <w:tc>
          <w:tcPr>
            <w:tcW w:w="426" w:type="pct"/>
            <w:shd w:val="clear" w:color="auto" w:fill="auto"/>
          </w:tcPr>
          <w:p>
            <w:pPr>
              <w:spacing w:line="360" w:lineRule="auto"/>
              <w:jc w:val="both"/>
              <w:rPr>
                <w:rFonts w:ascii="Book Antiqua" w:hAnsi="Book Antiqua" w:eastAsia="华文彩云" w:cs="Arial"/>
                <w:kern w:val="0"/>
                <w:lang w:eastAsia="zh-CN"/>
              </w:rPr>
            </w:pPr>
          </w:p>
        </w:tc>
        <w:tc>
          <w:tcPr>
            <w:tcW w:w="75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27/15</w:t>
            </w:r>
          </w:p>
        </w:tc>
        <w:tc>
          <w:tcPr>
            <w:tcW w:w="428" w:type="pct"/>
            <w:shd w:val="clear" w:color="auto" w:fill="auto"/>
          </w:tcPr>
          <w:p>
            <w:pPr>
              <w:spacing w:line="360" w:lineRule="auto"/>
              <w:jc w:val="both"/>
              <w:rPr>
                <w:rFonts w:ascii="Book Antiqua" w:hAnsi="Book Antiqua" w:eastAsia="华文彩云" w:cs="Arial"/>
                <w:kern w:val="0"/>
                <w:lang w:eastAsia="zh-CN"/>
              </w:rPr>
            </w:pPr>
          </w:p>
        </w:tc>
        <w:tc>
          <w:tcPr>
            <w:tcW w:w="74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23/19</w:t>
            </w:r>
          </w:p>
        </w:tc>
        <w:tc>
          <w:tcPr>
            <w:tcW w:w="480" w:type="pct"/>
            <w:shd w:val="clear" w:color="auto" w:fill="auto"/>
          </w:tcPr>
          <w:p>
            <w:pPr>
              <w:spacing w:line="360" w:lineRule="auto"/>
              <w:jc w:val="both"/>
              <w:rPr>
                <w:rFonts w:ascii="Book Antiqua" w:hAnsi="Book Antiqua" w:eastAsia="华文彩云" w:cs="Arial"/>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1" w:type="pct"/>
            <w:tcBorders>
              <w:right w:val="nil"/>
            </w:tcBorders>
            <w:shd w:val="clear" w:color="auto" w:fill="auto"/>
          </w:tcPr>
          <w:p>
            <w:pPr>
              <w:spacing w:line="360" w:lineRule="auto"/>
              <w:jc w:val="both"/>
              <w:rPr>
                <w:rFonts w:ascii="Book Antiqua" w:hAnsi="Book Antiqua" w:eastAsia="华文彩云" w:cs="Arial"/>
                <w:i w:val="0"/>
                <w:iCs/>
                <w:kern w:val="0"/>
                <w:lang w:eastAsia="zh-CN"/>
              </w:rPr>
            </w:pPr>
            <w:r>
              <w:rPr>
                <w:rFonts w:ascii="Book Antiqua" w:hAnsi="Book Antiqua" w:eastAsia="华文彩云" w:cs="Arial"/>
                <w:i w:val="0"/>
                <w:iCs/>
                <w:kern w:val="0"/>
                <w:lang w:eastAsia="zh-CN"/>
              </w:rPr>
              <w:t>Female</w:t>
            </w:r>
          </w:p>
        </w:tc>
        <w:tc>
          <w:tcPr>
            <w:tcW w:w="635"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12</w:t>
            </w:r>
          </w:p>
        </w:tc>
        <w:tc>
          <w:tcPr>
            <w:tcW w:w="668"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6/6</w:t>
            </w:r>
          </w:p>
        </w:tc>
        <w:tc>
          <w:tcPr>
            <w:tcW w:w="426" w:type="pct"/>
            <w:shd w:val="clear" w:color="auto" w:fill="auto"/>
          </w:tcPr>
          <w:p>
            <w:pPr>
              <w:spacing w:line="360" w:lineRule="auto"/>
              <w:jc w:val="both"/>
              <w:rPr>
                <w:rFonts w:ascii="Book Antiqua" w:hAnsi="Book Antiqua" w:eastAsia="华文彩云" w:cs="Arial"/>
                <w:kern w:val="0"/>
                <w:lang w:eastAsia="zh-CN"/>
              </w:rPr>
            </w:pPr>
          </w:p>
        </w:tc>
        <w:tc>
          <w:tcPr>
            <w:tcW w:w="75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7/5</w:t>
            </w:r>
          </w:p>
        </w:tc>
        <w:tc>
          <w:tcPr>
            <w:tcW w:w="428" w:type="pct"/>
            <w:shd w:val="clear" w:color="auto" w:fill="auto"/>
          </w:tcPr>
          <w:p>
            <w:pPr>
              <w:spacing w:line="360" w:lineRule="auto"/>
              <w:jc w:val="both"/>
              <w:rPr>
                <w:rFonts w:ascii="Book Antiqua" w:hAnsi="Book Antiqua" w:eastAsia="华文彩云" w:cs="Arial"/>
                <w:kern w:val="0"/>
                <w:lang w:eastAsia="zh-CN"/>
              </w:rPr>
            </w:pPr>
          </w:p>
        </w:tc>
        <w:tc>
          <w:tcPr>
            <w:tcW w:w="74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9/3</w:t>
            </w:r>
          </w:p>
        </w:tc>
        <w:tc>
          <w:tcPr>
            <w:tcW w:w="480" w:type="pct"/>
            <w:shd w:val="clear" w:color="auto" w:fill="auto"/>
          </w:tcPr>
          <w:p>
            <w:pPr>
              <w:spacing w:line="360" w:lineRule="auto"/>
              <w:jc w:val="both"/>
              <w:rPr>
                <w:rFonts w:ascii="Book Antiqua" w:hAnsi="Book Antiqua" w:eastAsia="华文彩云" w:cs="Arial"/>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1" w:type="pct"/>
            <w:tcBorders>
              <w:right w:val="nil"/>
            </w:tcBorders>
            <w:shd w:val="clear" w:color="auto" w:fill="auto"/>
          </w:tcPr>
          <w:p>
            <w:pPr>
              <w:spacing w:line="360" w:lineRule="auto"/>
              <w:jc w:val="both"/>
              <w:rPr>
                <w:rFonts w:ascii="Book Antiqua" w:hAnsi="Book Antiqua" w:eastAsia="华文彩云" w:cs="Arial"/>
                <w:b/>
                <w:bCs/>
                <w:i w:val="0"/>
                <w:iCs w:val="0"/>
                <w:kern w:val="0"/>
                <w:lang w:eastAsia="zh-CN"/>
              </w:rPr>
            </w:pPr>
            <w:r>
              <w:rPr>
                <w:rFonts w:ascii="Book Antiqua" w:hAnsi="Book Antiqua" w:eastAsia="华文彩云" w:cs="Arial"/>
                <w:b/>
                <w:bCs/>
                <w:i w:val="0"/>
                <w:iCs/>
                <w:kern w:val="0"/>
                <w:lang w:eastAsia="zh-CN"/>
              </w:rPr>
              <w:t>Primary tumor size</w:t>
            </w:r>
          </w:p>
        </w:tc>
        <w:tc>
          <w:tcPr>
            <w:tcW w:w="635" w:type="pct"/>
            <w:shd w:val="clear" w:color="auto" w:fill="auto"/>
          </w:tcPr>
          <w:p>
            <w:pPr>
              <w:spacing w:line="360" w:lineRule="auto"/>
              <w:jc w:val="both"/>
              <w:rPr>
                <w:rFonts w:ascii="Book Antiqua" w:hAnsi="Book Antiqua" w:eastAsia="华文彩云" w:cs="Arial"/>
                <w:bCs/>
                <w:iCs/>
                <w:kern w:val="0"/>
                <w:lang w:eastAsia="zh-CN"/>
              </w:rPr>
            </w:pPr>
          </w:p>
        </w:tc>
        <w:tc>
          <w:tcPr>
            <w:tcW w:w="668" w:type="pct"/>
            <w:shd w:val="clear" w:color="auto" w:fill="auto"/>
          </w:tcPr>
          <w:p>
            <w:pPr>
              <w:spacing w:line="360" w:lineRule="auto"/>
              <w:jc w:val="both"/>
              <w:rPr>
                <w:rFonts w:ascii="Book Antiqua" w:hAnsi="Book Antiqua" w:eastAsia="华文彩云" w:cs="Arial"/>
                <w:bCs/>
                <w:iCs/>
                <w:kern w:val="0"/>
                <w:lang w:eastAsia="zh-CN"/>
              </w:rPr>
            </w:pPr>
          </w:p>
        </w:tc>
        <w:tc>
          <w:tcPr>
            <w:tcW w:w="426" w:type="pct"/>
            <w:shd w:val="clear" w:color="auto" w:fill="auto"/>
          </w:tcPr>
          <w:p>
            <w:pPr>
              <w:spacing w:line="360" w:lineRule="auto"/>
              <w:jc w:val="both"/>
              <w:rPr>
                <w:rFonts w:ascii="Book Antiqua" w:hAnsi="Book Antiqua" w:eastAsia="华文彩云" w:cs="Arial"/>
                <w:bCs/>
                <w:iCs/>
                <w:kern w:val="0"/>
                <w:lang w:eastAsia="zh-CN"/>
              </w:rPr>
            </w:pPr>
            <w:r>
              <w:rPr>
                <w:rFonts w:ascii="Book Antiqua" w:hAnsi="Book Antiqua" w:eastAsia="华文彩云" w:cs="Arial"/>
                <w:bCs/>
                <w:iCs/>
                <w:kern w:val="0"/>
                <w:lang w:eastAsia="zh-CN"/>
              </w:rPr>
              <w:t>0.790</w:t>
            </w:r>
          </w:p>
        </w:tc>
        <w:tc>
          <w:tcPr>
            <w:tcW w:w="751" w:type="pct"/>
            <w:shd w:val="clear" w:color="auto" w:fill="auto"/>
          </w:tcPr>
          <w:p>
            <w:pPr>
              <w:spacing w:line="360" w:lineRule="auto"/>
              <w:jc w:val="both"/>
              <w:rPr>
                <w:rFonts w:ascii="Book Antiqua" w:hAnsi="Book Antiqua" w:eastAsia="华文彩云" w:cs="Arial"/>
                <w:bCs/>
                <w:iCs/>
                <w:kern w:val="0"/>
                <w:lang w:eastAsia="zh-CN"/>
              </w:rPr>
            </w:pPr>
          </w:p>
        </w:tc>
        <w:tc>
          <w:tcPr>
            <w:tcW w:w="428" w:type="pct"/>
            <w:shd w:val="clear" w:color="auto" w:fill="auto"/>
          </w:tcPr>
          <w:p>
            <w:pPr>
              <w:spacing w:line="360" w:lineRule="auto"/>
              <w:jc w:val="both"/>
              <w:rPr>
                <w:rFonts w:ascii="Book Antiqua" w:hAnsi="Book Antiqua" w:eastAsia="华文彩云" w:cs="Arial"/>
                <w:bCs/>
                <w:iCs/>
                <w:kern w:val="0"/>
                <w:lang w:eastAsia="zh-CN"/>
              </w:rPr>
            </w:pPr>
            <w:r>
              <w:rPr>
                <w:rFonts w:ascii="Book Antiqua" w:hAnsi="Book Antiqua" w:eastAsia="华文彩云" w:cs="Arial"/>
                <w:bCs/>
                <w:iCs/>
                <w:kern w:val="0"/>
                <w:lang w:eastAsia="zh-CN"/>
              </w:rPr>
              <w:t>0.581</w:t>
            </w:r>
          </w:p>
        </w:tc>
        <w:tc>
          <w:tcPr>
            <w:tcW w:w="741" w:type="pct"/>
            <w:shd w:val="clear" w:color="auto" w:fill="auto"/>
          </w:tcPr>
          <w:p>
            <w:pPr>
              <w:spacing w:line="360" w:lineRule="auto"/>
              <w:jc w:val="both"/>
              <w:rPr>
                <w:rFonts w:ascii="Book Antiqua" w:hAnsi="Book Antiqua" w:eastAsia="华文彩云" w:cs="Arial"/>
                <w:bCs/>
                <w:iCs/>
                <w:kern w:val="0"/>
                <w:lang w:eastAsia="zh-CN"/>
              </w:rPr>
            </w:pPr>
          </w:p>
        </w:tc>
        <w:tc>
          <w:tcPr>
            <w:tcW w:w="480" w:type="pct"/>
            <w:shd w:val="clear" w:color="auto" w:fill="auto"/>
          </w:tcPr>
          <w:p>
            <w:pPr>
              <w:spacing w:line="360" w:lineRule="auto"/>
              <w:jc w:val="both"/>
              <w:rPr>
                <w:rFonts w:ascii="Book Antiqua" w:hAnsi="Book Antiqua" w:eastAsia="华文彩云" w:cs="Arial"/>
                <w:bCs/>
                <w:iCs/>
                <w:kern w:val="0"/>
                <w:lang w:eastAsia="zh-CN"/>
              </w:rPr>
            </w:pPr>
            <w:r>
              <w:rPr>
                <w:rFonts w:ascii="Book Antiqua" w:hAnsi="Book Antiqua" w:eastAsia="华文彩云" w:cs="Arial"/>
                <w:bCs/>
                <w:iCs/>
                <w:kern w:val="0"/>
                <w:lang w:eastAsia="zh-CN"/>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1" w:type="pct"/>
            <w:tcBorders>
              <w:right w:val="nil"/>
            </w:tcBorders>
            <w:shd w:val="clear" w:color="auto" w:fill="auto"/>
          </w:tcPr>
          <w:p>
            <w:pPr>
              <w:spacing w:line="360" w:lineRule="auto"/>
              <w:jc w:val="both"/>
              <w:rPr>
                <w:rFonts w:ascii="Book Antiqua" w:hAnsi="Book Antiqua" w:eastAsia="华文彩云" w:cs="Arial"/>
                <w:i w:val="0"/>
                <w:iCs/>
                <w:kern w:val="0"/>
                <w:lang w:eastAsia="zh-CN"/>
              </w:rPr>
            </w:pPr>
            <w:r>
              <w:rPr>
                <w:rFonts w:ascii="Book Antiqua" w:hAnsi="Book Antiqua" w:eastAsia="华文彩云" w:cs="Arial"/>
                <w:i w:val="0"/>
                <w:iCs/>
                <w:kern w:val="0"/>
                <w:lang w:eastAsia="zh-CN"/>
              </w:rPr>
              <w:t>≤ 3 cm</w:t>
            </w:r>
          </w:p>
        </w:tc>
        <w:tc>
          <w:tcPr>
            <w:tcW w:w="635"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27</w:t>
            </w:r>
          </w:p>
        </w:tc>
        <w:tc>
          <w:tcPr>
            <w:tcW w:w="668"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13/14</w:t>
            </w:r>
          </w:p>
        </w:tc>
        <w:tc>
          <w:tcPr>
            <w:tcW w:w="426" w:type="pct"/>
            <w:shd w:val="clear" w:color="auto" w:fill="auto"/>
          </w:tcPr>
          <w:p>
            <w:pPr>
              <w:spacing w:line="360" w:lineRule="auto"/>
              <w:jc w:val="both"/>
              <w:rPr>
                <w:rFonts w:ascii="Book Antiqua" w:hAnsi="Book Antiqua" w:eastAsia="华文彩云" w:cs="Arial"/>
                <w:kern w:val="0"/>
                <w:lang w:eastAsia="zh-CN"/>
              </w:rPr>
            </w:pPr>
          </w:p>
        </w:tc>
        <w:tc>
          <w:tcPr>
            <w:tcW w:w="75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18/9</w:t>
            </w:r>
          </w:p>
        </w:tc>
        <w:tc>
          <w:tcPr>
            <w:tcW w:w="428" w:type="pct"/>
            <w:shd w:val="clear" w:color="auto" w:fill="auto"/>
          </w:tcPr>
          <w:p>
            <w:pPr>
              <w:spacing w:line="360" w:lineRule="auto"/>
              <w:jc w:val="both"/>
              <w:rPr>
                <w:rFonts w:ascii="Book Antiqua" w:hAnsi="Book Antiqua" w:eastAsia="华文彩云" w:cs="Arial"/>
                <w:kern w:val="0"/>
                <w:lang w:eastAsia="zh-CN"/>
              </w:rPr>
            </w:pPr>
          </w:p>
        </w:tc>
        <w:tc>
          <w:tcPr>
            <w:tcW w:w="74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16/11</w:t>
            </w:r>
          </w:p>
        </w:tc>
        <w:tc>
          <w:tcPr>
            <w:tcW w:w="480" w:type="pct"/>
            <w:shd w:val="clear" w:color="auto" w:fill="auto"/>
          </w:tcPr>
          <w:p>
            <w:pPr>
              <w:spacing w:line="360" w:lineRule="auto"/>
              <w:jc w:val="both"/>
              <w:rPr>
                <w:rFonts w:ascii="Book Antiqua" w:hAnsi="Book Antiqua" w:eastAsia="华文彩云" w:cs="Arial"/>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1" w:type="pct"/>
            <w:tcBorders>
              <w:right w:val="nil"/>
            </w:tcBorders>
            <w:shd w:val="clear" w:color="auto" w:fill="auto"/>
          </w:tcPr>
          <w:p>
            <w:pPr>
              <w:spacing w:line="360" w:lineRule="auto"/>
              <w:jc w:val="both"/>
              <w:rPr>
                <w:rFonts w:ascii="Book Antiqua" w:hAnsi="Book Antiqua" w:eastAsia="华文彩云" w:cs="Arial"/>
                <w:i w:val="0"/>
                <w:iCs/>
                <w:kern w:val="0"/>
                <w:lang w:eastAsia="zh-CN"/>
              </w:rPr>
            </w:pPr>
            <w:r>
              <w:rPr>
                <w:rFonts w:ascii="Book Antiqua" w:hAnsi="Book Antiqua" w:eastAsia="华文彩云" w:cs="Arial"/>
                <w:i w:val="0"/>
                <w:iCs/>
                <w:kern w:val="0"/>
                <w:lang w:eastAsia="zh-CN"/>
              </w:rPr>
              <w:t>&gt; 3 cm</w:t>
            </w:r>
          </w:p>
        </w:tc>
        <w:tc>
          <w:tcPr>
            <w:tcW w:w="635"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27</w:t>
            </w:r>
          </w:p>
        </w:tc>
        <w:tc>
          <w:tcPr>
            <w:tcW w:w="668"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14/13</w:t>
            </w:r>
          </w:p>
        </w:tc>
        <w:tc>
          <w:tcPr>
            <w:tcW w:w="426" w:type="pct"/>
            <w:shd w:val="clear" w:color="auto" w:fill="auto"/>
          </w:tcPr>
          <w:p>
            <w:pPr>
              <w:spacing w:line="360" w:lineRule="auto"/>
              <w:jc w:val="both"/>
              <w:rPr>
                <w:rFonts w:ascii="Book Antiqua" w:hAnsi="Book Antiqua" w:eastAsia="华文彩云" w:cs="Arial"/>
                <w:kern w:val="0"/>
                <w:lang w:eastAsia="zh-CN"/>
              </w:rPr>
            </w:pPr>
          </w:p>
        </w:tc>
        <w:tc>
          <w:tcPr>
            <w:tcW w:w="75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16/11</w:t>
            </w:r>
          </w:p>
        </w:tc>
        <w:tc>
          <w:tcPr>
            <w:tcW w:w="428" w:type="pct"/>
            <w:shd w:val="clear" w:color="auto" w:fill="auto"/>
          </w:tcPr>
          <w:p>
            <w:pPr>
              <w:spacing w:line="360" w:lineRule="auto"/>
              <w:jc w:val="both"/>
              <w:rPr>
                <w:rFonts w:ascii="Book Antiqua" w:hAnsi="Book Antiqua" w:eastAsia="华文彩云" w:cs="Arial"/>
                <w:kern w:val="0"/>
                <w:lang w:eastAsia="zh-CN"/>
              </w:rPr>
            </w:pPr>
          </w:p>
        </w:tc>
        <w:tc>
          <w:tcPr>
            <w:tcW w:w="74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16/11</w:t>
            </w:r>
          </w:p>
        </w:tc>
        <w:tc>
          <w:tcPr>
            <w:tcW w:w="480" w:type="pct"/>
            <w:shd w:val="clear" w:color="auto" w:fill="auto"/>
          </w:tcPr>
          <w:p>
            <w:pPr>
              <w:spacing w:line="360" w:lineRule="auto"/>
              <w:jc w:val="both"/>
              <w:rPr>
                <w:rFonts w:ascii="Book Antiqua" w:hAnsi="Book Antiqua" w:eastAsia="华文彩云" w:cs="Arial"/>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1" w:type="pct"/>
            <w:tcBorders>
              <w:right w:val="nil"/>
            </w:tcBorders>
            <w:shd w:val="clear" w:color="auto" w:fill="auto"/>
          </w:tcPr>
          <w:p>
            <w:pPr>
              <w:spacing w:line="360" w:lineRule="auto"/>
              <w:jc w:val="both"/>
              <w:rPr>
                <w:rFonts w:ascii="Book Antiqua" w:hAnsi="Book Antiqua" w:eastAsia="华文彩云" w:cs="Arial"/>
                <w:b/>
                <w:bCs/>
                <w:i w:val="0"/>
                <w:iCs w:val="0"/>
                <w:kern w:val="0"/>
                <w:lang w:eastAsia="zh-CN"/>
              </w:rPr>
            </w:pPr>
            <w:r>
              <w:rPr>
                <w:rFonts w:ascii="Book Antiqua" w:hAnsi="Book Antiqua" w:eastAsia="华文彩云" w:cs="Arial"/>
                <w:b/>
                <w:bCs/>
                <w:i w:val="0"/>
                <w:iCs/>
                <w:kern w:val="0"/>
                <w:lang w:eastAsia="zh-CN"/>
              </w:rPr>
              <w:t>Gross type</w:t>
            </w:r>
          </w:p>
        </w:tc>
        <w:tc>
          <w:tcPr>
            <w:tcW w:w="635" w:type="pct"/>
            <w:shd w:val="clear" w:color="auto" w:fill="auto"/>
          </w:tcPr>
          <w:p>
            <w:pPr>
              <w:spacing w:line="360" w:lineRule="auto"/>
              <w:jc w:val="both"/>
              <w:rPr>
                <w:rFonts w:ascii="Book Antiqua" w:hAnsi="Book Antiqua" w:eastAsia="华文彩云" w:cs="Arial"/>
                <w:bCs/>
                <w:iCs/>
                <w:kern w:val="0"/>
                <w:lang w:eastAsia="zh-CN"/>
              </w:rPr>
            </w:pPr>
          </w:p>
        </w:tc>
        <w:tc>
          <w:tcPr>
            <w:tcW w:w="668" w:type="pct"/>
            <w:shd w:val="clear" w:color="auto" w:fill="auto"/>
          </w:tcPr>
          <w:p>
            <w:pPr>
              <w:spacing w:line="360" w:lineRule="auto"/>
              <w:jc w:val="both"/>
              <w:rPr>
                <w:rFonts w:ascii="Book Antiqua" w:hAnsi="Book Antiqua" w:eastAsia="华文彩云" w:cs="Arial"/>
                <w:bCs/>
                <w:iCs/>
                <w:kern w:val="0"/>
                <w:lang w:eastAsia="zh-CN"/>
              </w:rPr>
            </w:pPr>
          </w:p>
        </w:tc>
        <w:tc>
          <w:tcPr>
            <w:tcW w:w="426" w:type="pct"/>
            <w:shd w:val="clear" w:color="auto" w:fill="auto"/>
          </w:tcPr>
          <w:p>
            <w:pPr>
              <w:spacing w:line="360" w:lineRule="auto"/>
              <w:jc w:val="both"/>
              <w:rPr>
                <w:rFonts w:ascii="Book Antiqua" w:hAnsi="Book Antiqua" w:eastAsia="华文彩云" w:cs="Arial"/>
                <w:bCs/>
                <w:iCs/>
                <w:kern w:val="0"/>
                <w:lang w:eastAsia="zh-CN"/>
              </w:rPr>
            </w:pPr>
            <w:r>
              <w:rPr>
                <w:rFonts w:ascii="Book Antiqua" w:hAnsi="Book Antiqua" w:eastAsia="华文彩云" w:cs="Arial"/>
                <w:bCs/>
                <w:iCs/>
                <w:kern w:val="0"/>
                <w:lang w:eastAsia="zh-CN"/>
              </w:rPr>
              <w:t>0.412</w:t>
            </w:r>
          </w:p>
        </w:tc>
        <w:tc>
          <w:tcPr>
            <w:tcW w:w="751" w:type="pct"/>
            <w:shd w:val="clear" w:color="auto" w:fill="auto"/>
          </w:tcPr>
          <w:p>
            <w:pPr>
              <w:spacing w:line="360" w:lineRule="auto"/>
              <w:jc w:val="both"/>
              <w:rPr>
                <w:rFonts w:ascii="Book Antiqua" w:hAnsi="Book Antiqua" w:eastAsia="华文彩云" w:cs="Arial"/>
                <w:bCs/>
                <w:iCs/>
                <w:kern w:val="0"/>
                <w:lang w:eastAsia="zh-CN"/>
              </w:rPr>
            </w:pPr>
          </w:p>
        </w:tc>
        <w:tc>
          <w:tcPr>
            <w:tcW w:w="428" w:type="pct"/>
            <w:shd w:val="clear" w:color="auto" w:fill="auto"/>
          </w:tcPr>
          <w:p>
            <w:pPr>
              <w:spacing w:line="360" w:lineRule="auto"/>
              <w:jc w:val="both"/>
              <w:rPr>
                <w:rFonts w:ascii="Book Antiqua" w:hAnsi="Book Antiqua" w:eastAsia="华文彩云" w:cs="Arial"/>
                <w:bCs/>
                <w:iCs/>
                <w:kern w:val="0"/>
                <w:lang w:eastAsia="zh-CN"/>
              </w:rPr>
            </w:pPr>
            <w:r>
              <w:rPr>
                <w:rFonts w:ascii="Book Antiqua" w:hAnsi="Book Antiqua" w:eastAsia="华文彩云" w:cs="Arial"/>
                <w:bCs/>
                <w:iCs/>
                <w:kern w:val="0"/>
                <w:lang w:eastAsia="zh-CN"/>
              </w:rPr>
              <w:t>0.313</w:t>
            </w:r>
          </w:p>
        </w:tc>
        <w:tc>
          <w:tcPr>
            <w:tcW w:w="741" w:type="pct"/>
            <w:shd w:val="clear" w:color="auto" w:fill="auto"/>
          </w:tcPr>
          <w:p>
            <w:pPr>
              <w:spacing w:line="360" w:lineRule="auto"/>
              <w:jc w:val="both"/>
              <w:rPr>
                <w:rFonts w:ascii="Book Antiqua" w:hAnsi="Book Antiqua" w:eastAsia="华文彩云" w:cs="Arial"/>
                <w:bCs/>
                <w:iCs/>
                <w:kern w:val="0"/>
                <w:lang w:eastAsia="zh-CN"/>
              </w:rPr>
            </w:pPr>
          </w:p>
        </w:tc>
        <w:tc>
          <w:tcPr>
            <w:tcW w:w="480" w:type="pct"/>
            <w:shd w:val="clear" w:color="auto" w:fill="auto"/>
          </w:tcPr>
          <w:p>
            <w:pPr>
              <w:spacing w:line="360" w:lineRule="auto"/>
              <w:jc w:val="both"/>
              <w:rPr>
                <w:rFonts w:ascii="Book Antiqua" w:hAnsi="Book Antiqua" w:eastAsia="华文彩云" w:cs="Arial"/>
                <w:bCs/>
                <w:iCs/>
                <w:kern w:val="0"/>
                <w:lang w:eastAsia="zh-CN"/>
              </w:rPr>
            </w:pPr>
            <w:r>
              <w:rPr>
                <w:rFonts w:ascii="Book Antiqua" w:hAnsi="Book Antiqua" w:eastAsia="华文彩云" w:cs="Arial"/>
                <w:bCs/>
                <w:iCs/>
                <w:kern w:val="0"/>
                <w:lang w:eastAsia="zh-CN"/>
              </w:rPr>
              <w:t>0.386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1" w:type="pct"/>
            <w:tcBorders>
              <w:right w:val="nil"/>
            </w:tcBorders>
            <w:shd w:val="clear" w:color="auto" w:fill="auto"/>
          </w:tcPr>
          <w:p>
            <w:pPr>
              <w:spacing w:line="360" w:lineRule="auto"/>
              <w:jc w:val="both"/>
              <w:rPr>
                <w:rFonts w:ascii="Book Antiqua" w:hAnsi="Book Antiqua" w:eastAsia="华文彩云" w:cs="Arial"/>
                <w:i w:val="0"/>
                <w:iCs/>
                <w:kern w:val="0"/>
                <w:lang w:eastAsia="zh-CN"/>
              </w:rPr>
            </w:pPr>
            <w:r>
              <w:rPr>
                <w:rFonts w:ascii="Book Antiqua" w:hAnsi="Book Antiqua" w:eastAsia="华文彩云" w:cs="Arial"/>
                <w:i w:val="0"/>
                <w:iCs/>
                <w:kern w:val="0"/>
                <w:lang w:eastAsia="zh-CN"/>
              </w:rPr>
              <w:t>Non-ulcerative type</w:t>
            </w:r>
          </w:p>
        </w:tc>
        <w:tc>
          <w:tcPr>
            <w:tcW w:w="635"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21</w:t>
            </w:r>
          </w:p>
        </w:tc>
        <w:tc>
          <w:tcPr>
            <w:tcW w:w="668"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12/9</w:t>
            </w:r>
          </w:p>
        </w:tc>
        <w:tc>
          <w:tcPr>
            <w:tcW w:w="426" w:type="pct"/>
            <w:shd w:val="clear" w:color="auto" w:fill="auto"/>
          </w:tcPr>
          <w:p>
            <w:pPr>
              <w:spacing w:line="360" w:lineRule="auto"/>
              <w:jc w:val="both"/>
              <w:rPr>
                <w:rFonts w:ascii="Book Antiqua" w:hAnsi="Book Antiqua" w:eastAsia="华文彩云" w:cs="Arial"/>
                <w:kern w:val="0"/>
                <w:lang w:eastAsia="zh-CN"/>
              </w:rPr>
            </w:pPr>
          </w:p>
        </w:tc>
        <w:tc>
          <w:tcPr>
            <w:tcW w:w="75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15/6</w:t>
            </w:r>
          </w:p>
        </w:tc>
        <w:tc>
          <w:tcPr>
            <w:tcW w:w="428" w:type="pct"/>
            <w:shd w:val="clear" w:color="auto" w:fill="auto"/>
          </w:tcPr>
          <w:p>
            <w:pPr>
              <w:spacing w:line="360" w:lineRule="auto"/>
              <w:jc w:val="both"/>
              <w:rPr>
                <w:rFonts w:ascii="Book Antiqua" w:hAnsi="Book Antiqua" w:eastAsia="华文彩云" w:cs="Arial"/>
                <w:kern w:val="0"/>
                <w:lang w:eastAsia="zh-CN"/>
              </w:rPr>
            </w:pPr>
          </w:p>
        </w:tc>
        <w:tc>
          <w:tcPr>
            <w:tcW w:w="74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14/7</w:t>
            </w:r>
          </w:p>
        </w:tc>
        <w:tc>
          <w:tcPr>
            <w:tcW w:w="480" w:type="pct"/>
            <w:shd w:val="clear" w:color="auto" w:fill="auto"/>
          </w:tcPr>
          <w:p>
            <w:pPr>
              <w:spacing w:line="360" w:lineRule="auto"/>
              <w:jc w:val="both"/>
              <w:rPr>
                <w:rFonts w:ascii="Book Antiqua" w:hAnsi="Book Antiqua" w:eastAsia="华文彩云" w:cs="Arial"/>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1" w:type="pct"/>
            <w:tcBorders>
              <w:right w:val="nil"/>
            </w:tcBorders>
            <w:shd w:val="clear" w:color="auto" w:fill="auto"/>
          </w:tcPr>
          <w:p>
            <w:pPr>
              <w:spacing w:line="360" w:lineRule="auto"/>
              <w:jc w:val="both"/>
              <w:rPr>
                <w:rFonts w:ascii="Book Antiqua" w:hAnsi="Book Antiqua" w:eastAsia="华文彩云" w:cs="Arial"/>
                <w:i w:val="0"/>
                <w:iCs/>
                <w:kern w:val="0"/>
                <w:lang w:eastAsia="zh-CN"/>
              </w:rPr>
            </w:pPr>
            <w:r>
              <w:rPr>
                <w:rFonts w:ascii="Book Antiqua" w:hAnsi="Book Antiqua" w:eastAsia="华文彩云" w:cs="Arial"/>
                <w:i w:val="0"/>
                <w:iCs/>
                <w:kern w:val="0"/>
                <w:lang w:eastAsia="zh-CN"/>
              </w:rPr>
              <w:t>Ulcerative type</w:t>
            </w:r>
          </w:p>
        </w:tc>
        <w:tc>
          <w:tcPr>
            <w:tcW w:w="635"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33</w:t>
            </w:r>
          </w:p>
        </w:tc>
        <w:tc>
          <w:tcPr>
            <w:tcW w:w="668"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15/18</w:t>
            </w:r>
          </w:p>
        </w:tc>
        <w:tc>
          <w:tcPr>
            <w:tcW w:w="426" w:type="pct"/>
            <w:shd w:val="clear" w:color="auto" w:fill="auto"/>
          </w:tcPr>
          <w:p>
            <w:pPr>
              <w:spacing w:line="360" w:lineRule="auto"/>
              <w:jc w:val="both"/>
              <w:rPr>
                <w:rFonts w:ascii="Book Antiqua" w:hAnsi="Book Antiqua" w:eastAsia="华文彩云" w:cs="Arial"/>
                <w:kern w:val="0"/>
                <w:lang w:eastAsia="zh-CN"/>
              </w:rPr>
            </w:pPr>
          </w:p>
        </w:tc>
        <w:tc>
          <w:tcPr>
            <w:tcW w:w="75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19/14</w:t>
            </w:r>
          </w:p>
        </w:tc>
        <w:tc>
          <w:tcPr>
            <w:tcW w:w="428" w:type="pct"/>
            <w:shd w:val="clear" w:color="auto" w:fill="auto"/>
          </w:tcPr>
          <w:p>
            <w:pPr>
              <w:spacing w:line="360" w:lineRule="auto"/>
              <w:jc w:val="both"/>
              <w:rPr>
                <w:rFonts w:ascii="Book Antiqua" w:hAnsi="Book Antiqua" w:eastAsia="华文彩云" w:cs="Arial"/>
                <w:kern w:val="0"/>
                <w:lang w:eastAsia="zh-CN"/>
              </w:rPr>
            </w:pPr>
          </w:p>
        </w:tc>
        <w:tc>
          <w:tcPr>
            <w:tcW w:w="74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18/15</w:t>
            </w:r>
          </w:p>
        </w:tc>
        <w:tc>
          <w:tcPr>
            <w:tcW w:w="480" w:type="pct"/>
            <w:shd w:val="clear" w:color="auto" w:fill="auto"/>
          </w:tcPr>
          <w:p>
            <w:pPr>
              <w:spacing w:line="360" w:lineRule="auto"/>
              <w:jc w:val="both"/>
              <w:rPr>
                <w:rFonts w:ascii="Book Antiqua" w:hAnsi="Book Antiqua" w:eastAsia="华文彩云" w:cs="Arial"/>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1" w:type="pct"/>
            <w:tcBorders>
              <w:right w:val="nil"/>
            </w:tcBorders>
            <w:shd w:val="clear" w:color="auto" w:fill="auto"/>
          </w:tcPr>
          <w:p>
            <w:pPr>
              <w:spacing w:line="360" w:lineRule="auto"/>
              <w:jc w:val="both"/>
              <w:rPr>
                <w:rFonts w:ascii="Book Antiqua" w:hAnsi="Book Antiqua" w:eastAsia="华文彩云" w:cs="Arial"/>
                <w:b/>
                <w:bCs/>
                <w:i w:val="0"/>
                <w:iCs w:val="0"/>
                <w:kern w:val="0"/>
                <w:lang w:eastAsia="zh-CN"/>
              </w:rPr>
            </w:pPr>
            <w:r>
              <w:rPr>
                <w:rFonts w:ascii="Book Antiqua" w:hAnsi="Book Antiqua" w:eastAsia="华文彩云" w:cs="Arial"/>
                <w:b/>
                <w:bCs/>
                <w:i w:val="0"/>
                <w:iCs/>
                <w:kern w:val="0"/>
                <w:lang w:eastAsia="zh-CN"/>
              </w:rPr>
              <w:t>Differentiation</w:t>
            </w:r>
          </w:p>
        </w:tc>
        <w:tc>
          <w:tcPr>
            <w:tcW w:w="635" w:type="pct"/>
            <w:shd w:val="clear" w:color="auto" w:fill="auto"/>
          </w:tcPr>
          <w:p>
            <w:pPr>
              <w:spacing w:line="360" w:lineRule="auto"/>
              <w:jc w:val="both"/>
              <w:rPr>
                <w:rFonts w:ascii="Book Antiqua" w:hAnsi="Book Antiqua" w:eastAsia="华文彩云" w:cs="Arial"/>
                <w:bCs/>
                <w:iCs/>
                <w:kern w:val="0"/>
                <w:lang w:eastAsia="zh-CN"/>
              </w:rPr>
            </w:pPr>
          </w:p>
        </w:tc>
        <w:tc>
          <w:tcPr>
            <w:tcW w:w="668" w:type="pct"/>
            <w:shd w:val="clear" w:color="auto" w:fill="auto"/>
          </w:tcPr>
          <w:p>
            <w:pPr>
              <w:spacing w:line="360" w:lineRule="auto"/>
              <w:jc w:val="both"/>
              <w:rPr>
                <w:rFonts w:ascii="Book Antiqua" w:hAnsi="Book Antiqua" w:eastAsia="华文彩云" w:cs="Arial"/>
                <w:bCs/>
                <w:iCs/>
                <w:kern w:val="0"/>
                <w:lang w:eastAsia="zh-CN"/>
              </w:rPr>
            </w:pPr>
          </w:p>
        </w:tc>
        <w:tc>
          <w:tcPr>
            <w:tcW w:w="426" w:type="pct"/>
            <w:shd w:val="clear" w:color="auto" w:fill="auto"/>
          </w:tcPr>
          <w:p>
            <w:pPr>
              <w:spacing w:line="360" w:lineRule="auto"/>
              <w:jc w:val="both"/>
              <w:rPr>
                <w:rFonts w:ascii="Book Antiqua" w:hAnsi="Book Antiqua" w:eastAsia="华文彩云" w:cs="Arial"/>
                <w:bCs/>
                <w:iCs/>
                <w:kern w:val="0"/>
                <w:lang w:eastAsia="zh-CN"/>
              </w:rPr>
            </w:pPr>
            <w:r>
              <w:rPr>
                <w:rFonts w:ascii="Book Antiqua" w:hAnsi="Book Antiqua" w:eastAsia="华文彩云" w:cs="Arial"/>
                <w:bCs/>
                <w:iCs/>
                <w:kern w:val="0"/>
                <w:lang w:eastAsia="zh-CN"/>
              </w:rPr>
              <w:t>0.285</w:t>
            </w:r>
          </w:p>
        </w:tc>
        <w:tc>
          <w:tcPr>
            <w:tcW w:w="751" w:type="pct"/>
            <w:shd w:val="clear" w:color="auto" w:fill="auto"/>
          </w:tcPr>
          <w:p>
            <w:pPr>
              <w:spacing w:line="360" w:lineRule="auto"/>
              <w:jc w:val="both"/>
              <w:rPr>
                <w:rFonts w:ascii="Book Antiqua" w:hAnsi="Book Antiqua" w:eastAsia="华文彩云" w:cs="Arial"/>
                <w:bCs/>
                <w:iCs/>
                <w:kern w:val="0"/>
                <w:lang w:eastAsia="zh-CN"/>
              </w:rPr>
            </w:pPr>
          </w:p>
        </w:tc>
        <w:tc>
          <w:tcPr>
            <w:tcW w:w="428" w:type="pct"/>
            <w:shd w:val="clear" w:color="auto" w:fill="auto"/>
          </w:tcPr>
          <w:p>
            <w:pPr>
              <w:spacing w:line="360" w:lineRule="auto"/>
              <w:jc w:val="both"/>
              <w:rPr>
                <w:rFonts w:ascii="Book Antiqua" w:hAnsi="Book Antiqua" w:eastAsia="华文彩云" w:cs="Arial"/>
                <w:bCs/>
                <w:iCs/>
                <w:kern w:val="0"/>
                <w:lang w:eastAsia="zh-CN"/>
              </w:rPr>
            </w:pPr>
            <w:r>
              <w:rPr>
                <w:rFonts w:ascii="Book Antiqua" w:hAnsi="Book Antiqua" w:eastAsia="华文彩云" w:cs="Arial"/>
                <w:bCs/>
                <w:iCs/>
                <w:kern w:val="0"/>
                <w:lang w:eastAsia="zh-CN"/>
              </w:rPr>
              <w:t>0.449</w:t>
            </w:r>
          </w:p>
        </w:tc>
        <w:tc>
          <w:tcPr>
            <w:tcW w:w="741" w:type="pct"/>
            <w:shd w:val="clear" w:color="auto" w:fill="auto"/>
          </w:tcPr>
          <w:p>
            <w:pPr>
              <w:spacing w:line="360" w:lineRule="auto"/>
              <w:jc w:val="both"/>
              <w:rPr>
                <w:rFonts w:ascii="Book Antiqua" w:hAnsi="Book Antiqua" w:eastAsia="华文彩云" w:cs="Arial"/>
                <w:bCs/>
                <w:iCs/>
                <w:kern w:val="0"/>
                <w:lang w:eastAsia="zh-CN"/>
              </w:rPr>
            </w:pPr>
          </w:p>
        </w:tc>
        <w:tc>
          <w:tcPr>
            <w:tcW w:w="480" w:type="pct"/>
            <w:shd w:val="clear" w:color="auto" w:fill="auto"/>
          </w:tcPr>
          <w:p>
            <w:pPr>
              <w:spacing w:line="360" w:lineRule="auto"/>
              <w:jc w:val="both"/>
              <w:rPr>
                <w:rFonts w:ascii="Book Antiqua" w:hAnsi="Book Antiqua" w:eastAsia="华文彩云" w:cs="Arial"/>
                <w:bCs/>
                <w:iCs/>
                <w:kern w:val="0"/>
                <w:lang w:eastAsia="zh-CN"/>
              </w:rPr>
            </w:pPr>
            <w:r>
              <w:rPr>
                <w:rFonts w:ascii="Book Antiqua" w:hAnsi="Book Antiqua" w:eastAsia="华文彩云" w:cs="Arial"/>
                <w:bCs/>
                <w:iCs/>
                <w:kern w:val="0"/>
                <w:lang w:eastAsia="zh-CN"/>
              </w:rPr>
              <w:t>0.189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1" w:type="pct"/>
            <w:tcBorders>
              <w:right w:val="nil"/>
            </w:tcBorders>
            <w:shd w:val="clear" w:color="auto" w:fill="auto"/>
          </w:tcPr>
          <w:p>
            <w:pPr>
              <w:spacing w:line="360" w:lineRule="auto"/>
              <w:jc w:val="both"/>
              <w:rPr>
                <w:rFonts w:ascii="Book Antiqua" w:hAnsi="Book Antiqua" w:eastAsia="华文彩云" w:cs="Arial"/>
                <w:i w:val="0"/>
                <w:iCs/>
                <w:kern w:val="0"/>
                <w:lang w:eastAsia="zh-CN"/>
              </w:rPr>
            </w:pPr>
            <w:r>
              <w:rPr>
                <w:rFonts w:ascii="Book Antiqua" w:hAnsi="Book Antiqua" w:eastAsia="华文彩云" w:cs="Arial"/>
                <w:i w:val="0"/>
                <w:iCs/>
                <w:kern w:val="0"/>
                <w:lang w:eastAsia="zh-CN"/>
              </w:rPr>
              <w:t>Well/Moderate</w:t>
            </w:r>
          </w:p>
        </w:tc>
        <w:tc>
          <w:tcPr>
            <w:tcW w:w="635"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28</w:t>
            </w:r>
          </w:p>
        </w:tc>
        <w:tc>
          <w:tcPr>
            <w:tcW w:w="668"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16/12</w:t>
            </w:r>
          </w:p>
        </w:tc>
        <w:tc>
          <w:tcPr>
            <w:tcW w:w="426" w:type="pct"/>
            <w:shd w:val="clear" w:color="auto" w:fill="auto"/>
          </w:tcPr>
          <w:p>
            <w:pPr>
              <w:spacing w:line="360" w:lineRule="auto"/>
              <w:jc w:val="both"/>
              <w:rPr>
                <w:rFonts w:ascii="Book Antiqua" w:hAnsi="Book Antiqua" w:eastAsia="华文彩云" w:cs="Arial"/>
                <w:kern w:val="0"/>
                <w:lang w:eastAsia="zh-CN"/>
              </w:rPr>
            </w:pPr>
          </w:p>
        </w:tc>
        <w:tc>
          <w:tcPr>
            <w:tcW w:w="75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19/9</w:t>
            </w:r>
          </w:p>
        </w:tc>
        <w:tc>
          <w:tcPr>
            <w:tcW w:w="428" w:type="pct"/>
            <w:shd w:val="clear" w:color="auto" w:fill="auto"/>
          </w:tcPr>
          <w:p>
            <w:pPr>
              <w:spacing w:line="360" w:lineRule="auto"/>
              <w:jc w:val="both"/>
              <w:rPr>
                <w:rFonts w:ascii="Book Antiqua" w:hAnsi="Book Antiqua" w:eastAsia="华文彩云" w:cs="Arial"/>
                <w:kern w:val="0"/>
                <w:lang w:eastAsia="zh-CN"/>
              </w:rPr>
            </w:pPr>
          </w:p>
        </w:tc>
        <w:tc>
          <w:tcPr>
            <w:tcW w:w="74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19/9</w:t>
            </w:r>
          </w:p>
        </w:tc>
        <w:tc>
          <w:tcPr>
            <w:tcW w:w="480" w:type="pct"/>
            <w:shd w:val="clear" w:color="auto" w:fill="auto"/>
          </w:tcPr>
          <w:p>
            <w:pPr>
              <w:spacing w:line="360" w:lineRule="auto"/>
              <w:jc w:val="both"/>
              <w:rPr>
                <w:rFonts w:ascii="Book Antiqua" w:hAnsi="Book Antiqua" w:eastAsia="华文彩云" w:cs="Arial"/>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1" w:type="pct"/>
            <w:tcBorders>
              <w:right w:val="nil"/>
            </w:tcBorders>
            <w:shd w:val="clear" w:color="auto" w:fill="auto"/>
          </w:tcPr>
          <w:p>
            <w:pPr>
              <w:spacing w:line="360" w:lineRule="auto"/>
              <w:jc w:val="both"/>
              <w:rPr>
                <w:rFonts w:ascii="Book Antiqua" w:hAnsi="Book Antiqua" w:eastAsia="华文彩云" w:cs="Arial"/>
                <w:i w:val="0"/>
                <w:iCs/>
                <w:kern w:val="0"/>
                <w:lang w:eastAsia="zh-CN"/>
              </w:rPr>
            </w:pPr>
            <w:r>
              <w:rPr>
                <w:rFonts w:ascii="Book Antiqua" w:hAnsi="Book Antiqua" w:eastAsia="华文彩云" w:cs="Arial"/>
                <w:i w:val="0"/>
                <w:iCs/>
                <w:kern w:val="0"/>
                <w:lang w:eastAsia="zh-CN"/>
              </w:rPr>
              <w:t>Poor</w:t>
            </w:r>
          </w:p>
        </w:tc>
        <w:tc>
          <w:tcPr>
            <w:tcW w:w="635"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26</w:t>
            </w:r>
          </w:p>
        </w:tc>
        <w:tc>
          <w:tcPr>
            <w:tcW w:w="668"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11/15</w:t>
            </w:r>
          </w:p>
        </w:tc>
        <w:tc>
          <w:tcPr>
            <w:tcW w:w="426" w:type="pct"/>
            <w:shd w:val="clear" w:color="auto" w:fill="auto"/>
          </w:tcPr>
          <w:p>
            <w:pPr>
              <w:spacing w:line="360" w:lineRule="auto"/>
              <w:jc w:val="both"/>
              <w:rPr>
                <w:rFonts w:ascii="Book Antiqua" w:hAnsi="Book Antiqua" w:eastAsia="华文彩云" w:cs="Arial"/>
                <w:kern w:val="0"/>
                <w:lang w:eastAsia="zh-CN"/>
              </w:rPr>
            </w:pPr>
          </w:p>
        </w:tc>
        <w:tc>
          <w:tcPr>
            <w:tcW w:w="75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15/11</w:t>
            </w:r>
          </w:p>
        </w:tc>
        <w:tc>
          <w:tcPr>
            <w:tcW w:w="428" w:type="pct"/>
            <w:shd w:val="clear" w:color="auto" w:fill="auto"/>
          </w:tcPr>
          <w:p>
            <w:pPr>
              <w:spacing w:line="360" w:lineRule="auto"/>
              <w:jc w:val="both"/>
              <w:rPr>
                <w:rFonts w:ascii="Book Antiqua" w:hAnsi="Book Antiqua" w:eastAsia="华文彩云" w:cs="Arial"/>
                <w:kern w:val="0"/>
                <w:lang w:eastAsia="zh-CN"/>
              </w:rPr>
            </w:pPr>
          </w:p>
        </w:tc>
        <w:tc>
          <w:tcPr>
            <w:tcW w:w="74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13/13</w:t>
            </w:r>
          </w:p>
        </w:tc>
        <w:tc>
          <w:tcPr>
            <w:tcW w:w="480" w:type="pct"/>
            <w:shd w:val="clear" w:color="auto" w:fill="auto"/>
          </w:tcPr>
          <w:p>
            <w:pPr>
              <w:spacing w:line="360" w:lineRule="auto"/>
              <w:jc w:val="both"/>
              <w:rPr>
                <w:rFonts w:ascii="Book Antiqua" w:hAnsi="Book Antiqua" w:eastAsia="华文彩云" w:cs="Arial"/>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1" w:type="pct"/>
            <w:tcBorders>
              <w:right w:val="nil"/>
            </w:tcBorders>
            <w:shd w:val="clear" w:color="auto" w:fill="auto"/>
          </w:tcPr>
          <w:p>
            <w:pPr>
              <w:spacing w:line="360" w:lineRule="auto"/>
              <w:jc w:val="both"/>
              <w:rPr>
                <w:rFonts w:ascii="Book Antiqua" w:hAnsi="Book Antiqua" w:eastAsia="华文彩云" w:cs="Arial"/>
                <w:b/>
                <w:bCs/>
                <w:i w:val="0"/>
                <w:iCs w:val="0"/>
                <w:kern w:val="0"/>
                <w:lang w:eastAsia="zh-CN"/>
              </w:rPr>
            </w:pPr>
            <w:r>
              <w:rPr>
                <w:rFonts w:ascii="Book Antiqua" w:hAnsi="Book Antiqua" w:eastAsia="华文彩云" w:cs="Arial"/>
                <w:b/>
                <w:bCs/>
                <w:i w:val="0"/>
                <w:iCs/>
                <w:kern w:val="0"/>
                <w:lang w:eastAsia="zh-CN"/>
              </w:rPr>
              <w:t>T stage</w:t>
            </w:r>
          </w:p>
        </w:tc>
        <w:tc>
          <w:tcPr>
            <w:tcW w:w="635" w:type="pct"/>
            <w:shd w:val="clear" w:color="auto" w:fill="auto"/>
          </w:tcPr>
          <w:p>
            <w:pPr>
              <w:spacing w:line="360" w:lineRule="auto"/>
              <w:jc w:val="both"/>
              <w:rPr>
                <w:rFonts w:ascii="Book Antiqua" w:hAnsi="Book Antiqua" w:eastAsia="华文彩云" w:cs="Arial"/>
                <w:bCs/>
                <w:iCs/>
                <w:kern w:val="0"/>
                <w:lang w:eastAsia="zh-CN"/>
              </w:rPr>
            </w:pPr>
          </w:p>
        </w:tc>
        <w:tc>
          <w:tcPr>
            <w:tcW w:w="668" w:type="pct"/>
            <w:shd w:val="clear" w:color="auto" w:fill="auto"/>
          </w:tcPr>
          <w:p>
            <w:pPr>
              <w:spacing w:line="360" w:lineRule="auto"/>
              <w:jc w:val="both"/>
              <w:rPr>
                <w:rFonts w:ascii="Book Antiqua" w:hAnsi="Book Antiqua" w:eastAsia="华文彩云" w:cs="Arial"/>
                <w:bCs/>
                <w:iCs/>
                <w:kern w:val="0"/>
                <w:lang w:eastAsia="zh-CN"/>
              </w:rPr>
            </w:pPr>
          </w:p>
        </w:tc>
        <w:tc>
          <w:tcPr>
            <w:tcW w:w="426" w:type="pct"/>
            <w:shd w:val="clear" w:color="auto" w:fill="auto"/>
          </w:tcPr>
          <w:p>
            <w:pPr>
              <w:spacing w:line="360" w:lineRule="auto"/>
              <w:jc w:val="both"/>
              <w:rPr>
                <w:rFonts w:ascii="Book Antiqua" w:hAnsi="Book Antiqua" w:eastAsia="华文彩云" w:cs="Arial"/>
                <w:bCs/>
                <w:iCs/>
                <w:kern w:val="0"/>
                <w:lang w:eastAsia="zh-CN"/>
              </w:rPr>
            </w:pPr>
            <w:r>
              <w:rPr>
                <w:rFonts w:ascii="Book Antiqua" w:hAnsi="Book Antiqua" w:eastAsia="华文彩云" w:cs="Arial"/>
                <w:bCs/>
                <w:iCs/>
                <w:kern w:val="0"/>
                <w:lang w:eastAsia="zh-CN"/>
              </w:rPr>
              <w:t>0.588</w:t>
            </w:r>
          </w:p>
        </w:tc>
        <w:tc>
          <w:tcPr>
            <w:tcW w:w="751" w:type="pct"/>
            <w:shd w:val="clear" w:color="auto" w:fill="auto"/>
          </w:tcPr>
          <w:p>
            <w:pPr>
              <w:spacing w:line="360" w:lineRule="auto"/>
              <w:jc w:val="both"/>
              <w:rPr>
                <w:rFonts w:ascii="Book Antiqua" w:hAnsi="Book Antiqua" w:eastAsia="华文彩云" w:cs="Arial"/>
                <w:bCs/>
                <w:iCs/>
                <w:kern w:val="0"/>
                <w:lang w:eastAsia="zh-CN"/>
              </w:rPr>
            </w:pPr>
          </w:p>
        </w:tc>
        <w:tc>
          <w:tcPr>
            <w:tcW w:w="428" w:type="pct"/>
            <w:shd w:val="clear" w:color="auto" w:fill="auto"/>
          </w:tcPr>
          <w:p>
            <w:pPr>
              <w:spacing w:line="360" w:lineRule="auto"/>
              <w:jc w:val="both"/>
              <w:rPr>
                <w:rFonts w:ascii="Book Antiqua" w:hAnsi="Book Antiqua" w:eastAsia="华文彩云" w:cs="Arial"/>
                <w:bCs/>
                <w:iCs/>
                <w:kern w:val="0"/>
                <w:lang w:eastAsia="zh-CN"/>
              </w:rPr>
            </w:pPr>
            <w:r>
              <w:rPr>
                <w:rFonts w:ascii="Book Antiqua" w:hAnsi="Book Antiqua" w:eastAsia="华文彩云" w:cs="Arial"/>
                <w:bCs/>
                <w:iCs/>
                <w:kern w:val="0"/>
                <w:lang w:eastAsia="zh-CN"/>
              </w:rPr>
              <w:t>0.519</w:t>
            </w:r>
          </w:p>
        </w:tc>
        <w:tc>
          <w:tcPr>
            <w:tcW w:w="741" w:type="pct"/>
            <w:shd w:val="clear" w:color="auto" w:fill="auto"/>
          </w:tcPr>
          <w:p>
            <w:pPr>
              <w:spacing w:line="360" w:lineRule="auto"/>
              <w:jc w:val="both"/>
              <w:rPr>
                <w:rFonts w:ascii="Book Antiqua" w:hAnsi="Book Antiqua" w:eastAsia="华文彩云" w:cs="Arial"/>
                <w:bCs/>
                <w:iCs/>
                <w:kern w:val="0"/>
                <w:lang w:eastAsia="zh-CN"/>
              </w:rPr>
            </w:pPr>
          </w:p>
        </w:tc>
        <w:tc>
          <w:tcPr>
            <w:tcW w:w="480" w:type="pct"/>
            <w:shd w:val="clear" w:color="auto" w:fill="auto"/>
          </w:tcPr>
          <w:p>
            <w:pPr>
              <w:spacing w:line="360" w:lineRule="auto"/>
              <w:jc w:val="both"/>
              <w:rPr>
                <w:rFonts w:ascii="Book Antiqua" w:hAnsi="Book Antiqua" w:eastAsia="华文彩云" w:cs="Arial"/>
                <w:bCs/>
                <w:iCs/>
                <w:kern w:val="0"/>
                <w:lang w:eastAsia="zh-CN"/>
              </w:rPr>
            </w:pPr>
            <w:r>
              <w:rPr>
                <w:rFonts w:ascii="Book Antiqua" w:hAnsi="Book Antiqua" w:eastAsia="华文彩云" w:cs="Arial"/>
                <w:bCs/>
                <w:iCs/>
                <w:kern w:val="0"/>
                <w:lang w:eastAsia="zh-CN"/>
              </w:rPr>
              <w:t>0.984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1" w:type="pct"/>
            <w:tcBorders>
              <w:right w:val="nil"/>
            </w:tcBorders>
            <w:shd w:val="clear" w:color="auto" w:fill="auto"/>
          </w:tcPr>
          <w:p>
            <w:pPr>
              <w:spacing w:line="360" w:lineRule="auto"/>
              <w:jc w:val="both"/>
              <w:rPr>
                <w:rFonts w:ascii="Book Antiqua" w:hAnsi="Book Antiqua" w:eastAsia="华文彩云" w:cs="Arial"/>
                <w:i w:val="0"/>
                <w:iCs/>
                <w:kern w:val="0"/>
                <w:lang w:eastAsia="zh-CN"/>
              </w:rPr>
            </w:pPr>
            <w:r>
              <w:rPr>
                <w:rFonts w:ascii="Book Antiqua" w:hAnsi="Book Antiqua" w:eastAsia="华文彩云" w:cs="Arial"/>
                <w:i w:val="0"/>
                <w:iCs/>
                <w:kern w:val="0"/>
                <w:lang w:eastAsia="zh-CN"/>
              </w:rPr>
              <w:t>T1/T2</w:t>
            </w:r>
          </w:p>
        </w:tc>
        <w:tc>
          <w:tcPr>
            <w:tcW w:w="635"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22</w:t>
            </w:r>
          </w:p>
        </w:tc>
        <w:tc>
          <w:tcPr>
            <w:tcW w:w="668"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12/10</w:t>
            </w:r>
          </w:p>
        </w:tc>
        <w:tc>
          <w:tcPr>
            <w:tcW w:w="426" w:type="pct"/>
            <w:shd w:val="clear" w:color="auto" w:fill="auto"/>
          </w:tcPr>
          <w:p>
            <w:pPr>
              <w:spacing w:line="360" w:lineRule="auto"/>
              <w:jc w:val="both"/>
              <w:rPr>
                <w:rFonts w:ascii="Book Antiqua" w:hAnsi="Book Antiqua" w:eastAsia="华文彩云" w:cs="Arial"/>
                <w:kern w:val="0"/>
                <w:lang w:eastAsia="zh-CN"/>
              </w:rPr>
            </w:pPr>
          </w:p>
        </w:tc>
        <w:tc>
          <w:tcPr>
            <w:tcW w:w="75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15/7</w:t>
            </w:r>
          </w:p>
        </w:tc>
        <w:tc>
          <w:tcPr>
            <w:tcW w:w="428" w:type="pct"/>
            <w:shd w:val="clear" w:color="auto" w:fill="auto"/>
          </w:tcPr>
          <w:p>
            <w:pPr>
              <w:spacing w:line="360" w:lineRule="auto"/>
              <w:jc w:val="both"/>
              <w:rPr>
                <w:rFonts w:ascii="Book Antiqua" w:hAnsi="Book Antiqua" w:eastAsia="华文彩云" w:cs="Arial"/>
                <w:kern w:val="0"/>
                <w:lang w:eastAsia="zh-CN"/>
              </w:rPr>
            </w:pPr>
          </w:p>
        </w:tc>
        <w:tc>
          <w:tcPr>
            <w:tcW w:w="74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13/9</w:t>
            </w:r>
          </w:p>
        </w:tc>
        <w:tc>
          <w:tcPr>
            <w:tcW w:w="480" w:type="pct"/>
            <w:shd w:val="clear" w:color="auto" w:fill="auto"/>
          </w:tcPr>
          <w:p>
            <w:pPr>
              <w:spacing w:line="360" w:lineRule="auto"/>
              <w:jc w:val="both"/>
              <w:rPr>
                <w:rFonts w:ascii="Book Antiqua" w:hAnsi="Book Antiqua" w:eastAsia="华文彩云" w:cs="Arial"/>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1" w:type="pct"/>
            <w:tcBorders>
              <w:right w:val="nil"/>
            </w:tcBorders>
            <w:shd w:val="clear" w:color="auto" w:fill="auto"/>
          </w:tcPr>
          <w:p>
            <w:pPr>
              <w:spacing w:line="360" w:lineRule="auto"/>
              <w:jc w:val="both"/>
              <w:rPr>
                <w:rFonts w:ascii="Book Antiqua" w:hAnsi="Book Antiqua" w:eastAsia="华文彩云" w:cs="Arial"/>
                <w:i w:val="0"/>
                <w:iCs/>
                <w:kern w:val="0"/>
                <w:lang w:eastAsia="zh-CN"/>
              </w:rPr>
            </w:pPr>
            <w:r>
              <w:rPr>
                <w:rFonts w:ascii="Book Antiqua" w:hAnsi="Book Antiqua" w:eastAsia="华文彩云" w:cs="Arial"/>
                <w:i w:val="0"/>
                <w:iCs/>
                <w:kern w:val="0"/>
                <w:lang w:eastAsia="zh-CN"/>
              </w:rPr>
              <w:t>T3/T4</w:t>
            </w:r>
          </w:p>
        </w:tc>
        <w:tc>
          <w:tcPr>
            <w:tcW w:w="635"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32</w:t>
            </w:r>
          </w:p>
        </w:tc>
        <w:tc>
          <w:tcPr>
            <w:tcW w:w="668"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15/17</w:t>
            </w:r>
          </w:p>
        </w:tc>
        <w:tc>
          <w:tcPr>
            <w:tcW w:w="426" w:type="pct"/>
            <w:shd w:val="clear" w:color="auto" w:fill="auto"/>
          </w:tcPr>
          <w:p>
            <w:pPr>
              <w:spacing w:line="360" w:lineRule="auto"/>
              <w:jc w:val="both"/>
              <w:rPr>
                <w:rFonts w:ascii="Book Antiqua" w:hAnsi="Book Antiqua" w:eastAsia="华文彩云" w:cs="Arial"/>
                <w:kern w:val="0"/>
                <w:lang w:eastAsia="zh-CN"/>
              </w:rPr>
            </w:pPr>
          </w:p>
        </w:tc>
        <w:tc>
          <w:tcPr>
            <w:tcW w:w="75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19/13</w:t>
            </w:r>
          </w:p>
        </w:tc>
        <w:tc>
          <w:tcPr>
            <w:tcW w:w="428" w:type="pct"/>
            <w:shd w:val="clear" w:color="auto" w:fill="auto"/>
          </w:tcPr>
          <w:p>
            <w:pPr>
              <w:spacing w:line="360" w:lineRule="auto"/>
              <w:jc w:val="both"/>
              <w:rPr>
                <w:rFonts w:ascii="Book Antiqua" w:hAnsi="Book Antiqua" w:eastAsia="华文彩云" w:cs="Arial"/>
                <w:kern w:val="0"/>
                <w:lang w:eastAsia="zh-CN"/>
              </w:rPr>
            </w:pPr>
          </w:p>
        </w:tc>
        <w:tc>
          <w:tcPr>
            <w:tcW w:w="74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19/13</w:t>
            </w:r>
          </w:p>
        </w:tc>
        <w:tc>
          <w:tcPr>
            <w:tcW w:w="480" w:type="pct"/>
            <w:shd w:val="clear" w:color="auto" w:fill="auto"/>
          </w:tcPr>
          <w:p>
            <w:pPr>
              <w:spacing w:line="360" w:lineRule="auto"/>
              <w:jc w:val="both"/>
              <w:rPr>
                <w:rFonts w:ascii="Book Antiqua" w:hAnsi="Book Antiqua" w:eastAsia="华文彩云" w:cs="Arial"/>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1" w:type="pct"/>
            <w:tcBorders>
              <w:right w:val="nil"/>
            </w:tcBorders>
            <w:shd w:val="clear" w:color="auto" w:fill="auto"/>
          </w:tcPr>
          <w:p>
            <w:pPr>
              <w:spacing w:line="360" w:lineRule="auto"/>
              <w:jc w:val="both"/>
              <w:rPr>
                <w:rFonts w:ascii="Book Antiqua" w:hAnsi="Book Antiqua" w:eastAsia="华文彩云" w:cs="Arial"/>
                <w:b/>
                <w:bCs/>
                <w:i w:val="0"/>
                <w:iCs w:val="0"/>
                <w:kern w:val="0"/>
                <w:lang w:eastAsia="zh-CN"/>
              </w:rPr>
            </w:pPr>
            <w:r>
              <w:rPr>
                <w:rFonts w:ascii="Book Antiqua" w:hAnsi="Book Antiqua" w:eastAsia="华文彩云" w:cs="Arial"/>
                <w:b/>
                <w:bCs/>
                <w:i w:val="0"/>
                <w:iCs/>
                <w:kern w:val="0"/>
                <w:lang w:eastAsia="zh-CN"/>
              </w:rPr>
              <w:t>Lymph node metastasis</w:t>
            </w:r>
          </w:p>
        </w:tc>
        <w:tc>
          <w:tcPr>
            <w:tcW w:w="635" w:type="pct"/>
            <w:shd w:val="clear" w:color="auto" w:fill="auto"/>
          </w:tcPr>
          <w:p>
            <w:pPr>
              <w:spacing w:line="360" w:lineRule="auto"/>
              <w:jc w:val="both"/>
              <w:rPr>
                <w:rFonts w:ascii="Book Antiqua" w:hAnsi="Book Antiqua" w:eastAsia="华文彩云" w:cs="Arial"/>
                <w:bCs/>
                <w:iCs/>
                <w:kern w:val="0"/>
                <w:lang w:eastAsia="zh-CN"/>
              </w:rPr>
            </w:pPr>
          </w:p>
        </w:tc>
        <w:tc>
          <w:tcPr>
            <w:tcW w:w="668" w:type="pct"/>
            <w:shd w:val="clear" w:color="auto" w:fill="auto"/>
          </w:tcPr>
          <w:p>
            <w:pPr>
              <w:spacing w:line="360" w:lineRule="auto"/>
              <w:jc w:val="both"/>
              <w:rPr>
                <w:rFonts w:ascii="Book Antiqua" w:hAnsi="Book Antiqua" w:eastAsia="华文彩云" w:cs="Arial"/>
                <w:bCs/>
                <w:iCs/>
                <w:kern w:val="0"/>
                <w:lang w:eastAsia="zh-CN"/>
              </w:rPr>
            </w:pPr>
          </w:p>
        </w:tc>
        <w:tc>
          <w:tcPr>
            <w:tcW w:w="426" w:type="pct"/>
            <w:shd w:val="clear" w:color="auto" w:fill="auto"/>
          </w:tcPr>
          <w:p>
            <w:pPr>
              <w:spacing w:line="360" w:lineRule="auto"/>
              <w:jc w:val="both"/>
              <w:rPr>
                <w:rFonts w:ascii="Book Antiqua" w:hAnsi="Book Antiqua" w:eastAsia="华文彩云" w:cs="Arial"/>
                <w:bCs/>
                <w:iCs/>
                <w:kern w:val="0"/>
                <w:lang w:eastAsia="zh-CN"/>
              </w:rPr>
            </w:pPr>
            <w:r>
              <w:rPr>
                <w:rFonts w:ascii="Book Antiqua" w:hAnsi="Book Antiqua" w:eastAsia="华文彩云" w:cs="Arial"/>
                <w:bCs/>
                <w:iCs/>
                <w:kern w:val="0"/>
                <w:lang w:eastAsia="zh-CN"/>
              </w:rPr>
              <w:t>0.106</w:t>
            </w:r>
          </w:p>
        </w:tc>
        <w:tc>
          <w:tcPr>
            <w:tcW w:w="751" w:type="pct"/>
            <w:shd w:val="clear" w:color="auto" w:fill="auto"/>
          </w:tcPr>
          <w:p>
            <w:pPr>
              <w:spacing w:line="360" w:lineRule="auto"/>
              <w:jc w:val="both"/>
              <w:rPr>
                <w:rFonts w:ascii="Book Antiqua" w:hAnsi="Book Antiqua" w:eastAsia="华文彩云" w:cs="Arial"/>
                <w:bCs/>
                <w:iCs/>
                <w:kern w:val="0"/>
                <w:lang w:eastAsia="zh-CN"/>
              </w:rPr>
            </w:pPr>
          </w:p>
        </w:tc>
        <w:tc>
          <w:tcPr>
            <w:tcW w:w="428" w:type="pct"/>
            <w:shd w:val="clear" w:color="auto" w:fill="auto"/>
          </w:tcPr>
          <w:p>
            <w:pPr>
              <w:spacing w:line="360" w:lineRule="auto"/>
              <w:jc w:val="both"/>
              <w:rPr>
                <w:rFonts w:ascii="Book Antiqua" w:hAnsi="Book Antiqua" w:eastAsia="华文彩云" w:cs="Arial"/>
                <w:bCs/>
                <w:iCs/>
                <w:kern w:val="0"/>
                <w:lang w:eastAsia="zh-CN"/>
              </w:rPr>
            </w:pPr>
            <w:r>
              <w:rPr>
                <w:rFonts w:ascii="Book Antiqua" w:hAnsi="Book Antiqua" w:eastAsia="华文彩云" w:cs="Arial"/>
                <w:bCs/>
                <w:iCs/>
                <w:kern w:val="0"/>
                <w:lang w:eastAsia="zh-CN"/>
              </w:rPr>
              <w:t>0.449</w:t>
            </w:r>
          </w:p>
        </w:tc>
        <w:tc>
          <w:tcPr>
            <w:tcW w:w="741" w:type="pct"/>
            <w:shd w:val="clear" w:color="auto" w:fill="auto"/>
          </w:tcPr>
          <w:p>
            <w:pPr>
              <w:spacing w:line="360" w:lineRule="auto"/>
              <w:jc w:val="both"/>
              <w:rPr>
                <w:rFonts w:ascii="Book Antiqua" w:hAnsi="Book Antiqua" w:eastAsia="华文彩云" w:cs="Arial"/>
                <w:bCs/>
                <w:iCs/>
                <w:kern w:val="0"/>
                <w:lang w:eastAsia="zh-CN"/>
              </w:rPr>
            </w:pPr>
          </w:p>
        </w:tc>
        <w:tc>
          <w:tcPr>
            <w:tcW w:w="480" w:type="pct"/>
            <w:shd w:val="clear" w:color="auto" w:fill="auto"/>
          </w:tcPr>
          <w:p>
            <w:pPr>
              <w:spacing w:line="360" w:lineRule="auto"/>
              <w:jc w:val="both"/>
              <w:rPr>
                <w:rFonts w:ascii="Book Antiqua" w:hAnsi="Book Antiqua" w:eastAsia="华文彩云" w:cs="Arial"/>
                <w:bCs/>
                <w:iCs/>
                <w:kern w:val="0"/>
                <w:lang w:eastAsia="zh-CN"/>
              </w:rPr>
            </w:pPr>
            <w:r>
              <w:rPr>
                <w:rFonts w:ascii="Book Antiqua" w:hAnsi="Book Antiqua" w:eastAsia="华文彩云" w:cs="Arial"/>
                <w:bCs/>
                <w:iCs/>
                <w:kern w:val="0"/>
                <w:lang w:eastAsia="zh-CN"/>
              </w:rPr>
              <w:t>0.445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1" w:type="pct"/>
            <w:tcBorders>
              <w:right w:val="nil"/>
            </w:tcBorders>
            <w:shd w:val="clear" w:color="auto" w:fill="auto"/>
          </w:tcPr>
          <w:p>
            <w:pPr>
              <w:spacing w:line="360" w:lineRule="auto"/>
              <w:jc w:val="both"/>
              <w:rPr>
                <w:rFonts w:ascii="Book Antiqua" w:hAnsi="Book Antiqua" w:eastAsia="华文彩云" w:cs="Arial"/>
                <w:i w:val="0"/>
                <w:iCs/>
                <w:kern w:val="0"/>
                <w:lang w:eastAsia="zh-CN"/>
              </w:rPr>
            </w:pPr>
            <w:r>
              <w:rPr>
                <w:rFonts w:ascii="Book Antiqua" w:hAnsi="Book Antiqua" w:eastAsia="华文彩云" w:cs="Arial"/>
                <w:i w:val="0"/>
                <w:iCs/>
                <w:kern w:val="0"/>
                <w:lang w:eastAsia="zh-CN"/>
              </w:rPr>
              <w:t>No</w:t>
            </w:r>
          </w:p>
        </w:tc>
        <w:tc>
          <w:tcPr>
            <w:tcW w:w="635"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28</w:t>
            </w:r>
          </w:p>
        </w:tc>
        <w:tc>
          <w:tcPr>
            <w:tcW w:w="668"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17/11</w:t>
            </w:r>
          </w:p>
        </w:tc>
        <w:tc>
          <w:tcPr>
            <w:tcW w:w="426" w:type="pct"/>
            <w:shd w:val="clear" w:color="auto" w:fill="auto"/>
          </w:tcPr>
          <w:p>
            <w:pPr>
              <w:spacing w:line="360" w:lineRule="auto"/>
              <w:jc w:val="both"/>
              <w:rPr>
                <w:rFonts w:ascii="Book Antiqua" w:hAnsi="Book Antiqua" w:eastAsia="华文彩云" w:cs="Arial"/>
                <w:kern w:val="0"/>
                <w:lang w:eastAsia="zh-CN"/>
              </w:rPr>
            </w:pPr>
          </w:p>
        </w:tc>
        <w:tc>
          <w:tcPr>
            <w:tcW w:w="75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19/9</w:t>
            </w:r>
          </w:p>
        </w:tc>
        <w:tc>
          <w:tcPr>
            <w:tcW w:w="428" w:type="pct"/>
            <w:shd w:val="clear" w:color="auto" w:fill="auto"/>
          </w:tcPr>
          <w:p>
            <w:pPr>
              <w:spacing w:line="360" w:lineRule="auto"/>
              <w:jc w:val="both"/>
              <w:rPr>
                <w:rFonts w:ascii="Book Antiqua" w:hAnsi="Book Antiqua" w:eastAsia="华文彩云" w:cs="Arial"/>
                <w:kern w:val="0"/>
                <w:lang w:eastAsia="zh-CN"/>
              </w:rPr>
            </w:pPr>
          </w:p>
        </w:tc>
        <w:tc>
          <w:tcPr>
            <w:tcW w:w="74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18/10</w:t>
            </w:r>
          </w:p>
        </w:tc>
        <w:tc>
          <w:tcPr>
            <w:tcW w:w="480" w:type="pct"/>
            <w:shd w:val="clear" w:color="auto" w:fill="auto"/>
          </w:tcPr>
          <w:p>
            <w:pPr>
              <w:spacing w:line="360" w:lineRule="auto"/>
              <w:jc w:val="both"/>
              <w:rPr>
                <w:rFonts w:ascii="Book Antiqua" w:hAnsi="Book Antiqua" w:eastAsia="华文彩云" w:cs="Arial"/>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1" w:type="pct"/>
            <w:tcBorders>
              <w:right w:val="nil"/>
            </w:tcBorders>
            <w:shd w:val="clear" w:color="auto" w:fill="auto"/>
          </w:tcPr>
          <w:p>
            <w:pPr>
              <w:spacing w:line="360" w:lineRule="auto"/>
              <w:jc w:val="both"/>
              <w:rPr>
                <w:rFonts w:ascii="Book Antiqua" w:hAnsi="Book Antiqua" w:eastAsia="华文彩云" w:cs="Arial"/>
                <w:i w:val="0"/>
                <w:iCs/>
                <w:kern w:val="0"/>
                <w:lang w:eastAsia="zh-CN"/>
              </w:rPr>
            </w:pPr>
            <w:r>
              <w:rPr>
                <w:rFonts w:ascii="Book Antiqua" w:hAnsi="Book Antiqua" w:eastAsia="华文彩云" w:cs="Arial"/>
                <w:i w:val="0"/>
                <w:iCs/>
                <w:kern w:val="0"/>
                <w:lang w:eastAsia="zh-CN"/>
              </w:rPr>
              <w:t>Yes</w:t>
            </w:r>
          </w:p>
        </w:tc>
        <w:tc>
          <w:tcPr>
            <w:tcW w:w="635"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26</w:t>
            </w:r>
          </w:p>
        </w:tc>
        <w:tc>
          <w:tcPr>
            <w:tcW w:w="668"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10/16</w:t>
            </w:r>
          </w:p>
        </w:tc>
        <w:tc>
          <w:tcPr>
            <w:tcW w:w="426" w:type="pct"/>
            <w:shd w:val="clear" w:color="auto" w:fill="auto"/>
          </w:tcPr>
          <w:p>
            <w:pPr>
              <w:spacing w:line="360" w:lineRule="auto"/>
              <w:jc w:val="both"/>
              <w:rPr>
                <w:rFonts w:ascii="Book Antiqua" w:hAnsi="Book Antiqua" w:eastAsia="华文彩云" w:cs="Arial"/>
                <w:kern w:val="0"/>
                <w:lang w:eastAsia="zh-CN"/>
              </w:rPr>
            </w:pPr>
          </w:p>
        </w:tc>
        <w:tc>
          <w:tcPr>
            <w:tcW w:w="75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15/11</w:t>
            </w:r>
          </w:p>
        </w:tc>
        <w:tc>
          <w:tcPr>
            <w:tcW w:w="428" w:type="pct"/>
            <w:shd w:val="clear" w:color="auto" w:fill="auto"/>
          </w:tcPr>
          <w:p>
            <w:pPr>
              <w:spacing w:line="360" w:lineRule="auto"/>
              <w:jc w:val="both"/>
              <w:rPr>
                <w:rFonts w:ascii="Book Antiqua" w:hAnsi="Book Antiqua" w:eastAsia="华文彩云" w:cs="Arial"/>
                <w:kern w:val="0"/>
                <w:lang w:eastAsia="zh-CN"/>
              </w:rPr>
            </w:pPr>
          </w:p>
        </w:tc>
        <w:tc>
          <w:tcPr>
            <w:tcW w:w="74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14/12</w:t>
            </w:r>
          </w:p>
        </w:tc>
        <w:tc>
          <w:tcPr>
            <w:tcW w:w="480" w:type="pct"/>
            <w:shd w:val="clear" w:color="auto" w:fill="auto"/>
          </w:tcPr>
          <w:p>
            <w:pPr>
              <w:spacing w:line="360" w:lineRule="auto"/>
              <w:jc w:val="both"/>
              <w:rPr>
                <w:rFonts w:ascii="Book Antiqua" w:hAnsi="Book Antiqua" w:eastAsia="华文彩云" w:cs="Arial"/>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1" w:type="pct"/>
            <w:tcBorders>
              <w:right w:val="nil"/>
            </w:tcBorders>
            <w:shd w:val="clear" w:color="auto" w:fill="auto"/>
          </w:tcPr>
          <w:p>
            <w:pPr>
              <w:spacing w:line="360" w:lineRule="auto"/>
              <w:jc w:val="both"/>
              <w:rPr>
                <w:rFonts w:hint="default" w:ascii="Book Antiqua" w:hAnsi="Book Antiqua" w:eastAsia="华文彩云" w:cs="Arial"/>
                <w:b/>
                <w:bCs/>
                <w:i w:val="0"/>
                <w:iCs/>
                <w:kern w:val="0"/>
                <w:lang w:val="en-US" w:eastAsia="zh-CN"/>
              </w:rPr>
            </w:pPr>
            <w:r>
              <w:rPr>
                <w:rFonts w:ascii="Book Antiqua" w:hAnsi="Book Antiqua" w:eastAsia="华文彩云" w:cs="Arial"/>
                <w:b/>
                <w:bCs/>
                <w:i w:val="0"/>
                <w:iCs/>
                <w:kern w:val="0"/>
                <w:lang w:eastAsia="zh-CN"/>
              </w:rPr>
              <w:t>cTNM sta</w:t>
            </w:r>
            <w:r>
              <w:rPr>
                <w:rFonts w:hint="eastAsia" w:ascii="Book Antiqua" w:hAnsi="Book Antiqua" w:eastAsia="华文彩云" w:cs="Arial"/>
                <w:b/>
                <w:bCs/>
                <w:i w:val="0"/>
                <w:iCs/>
                <w:kern w:val="0"/>
                <w:lang w:val="en-US" w:eastAsia="zh-CN"/>
              </w:rPr>
              <w:t>ge</w:t>
            </w:r>
          </w:p>
        </w:tc>
        <w:tc>
          <w:tcPr>
            <w:tcW w:w="635" w:type="pct"/>
            <w:shd w:val="clear" w:color="auto" w:fill="auto"/>
          </w:tcPr>
          <w:p>
            <w:pPr>
              <w:spacing w:line="360" w:lineRule="auto"/>
              <w:jc w:val="both"/>
              <w:rPr>
                <w:rFonts w:ascii="Book Antiqua" w:hAnsi="Book Antiqua" w:eastAsia="华文彩云" w:cs="Arial"/>
                <w:bCs/>
                <w:kern w:val="0"/>
                <w:lang w:eastAsia="zh-CN"/>
              </w:rPr>
            </w:pPr>
          </w:p>
        </w:tc>
        <w:tc>
          <w:tcPr>
            <w:tcW w:w="668" w:type="pct"/>
            <w:shd w:val="clear" w:color="auto" w:fill="auto"/>
          </w:tcPr>
          <w:p>
            <w:pPr>
              <w:spacing w:line="360" w:lineRule="auto"/>
              <w:jc w:val="both"/>
              <w:rPr>
                <w:rFonts w:ascii="Book Antiqua" w:hAnsi="Book Antiqua" w:eastAsia="华文彩云" w:cs="Arial"/>
                <w:bCs/>
                <w:kern w:val="0"/>
                <w:lang w:eastAsia="zh-CN"/>
              </w:rPr>
            </w:pPr>
          </w:p>
        </w:tc>
        <w:tc>
          <w:tcPr>
            <w:tcW w:w="426" w:type="pct"/>
            <w:shd w:val="clear" w:color="auto" w:fill="auto"/>
          </w:tcPr>
          <w:p>
            <w:pPr>
              <w:spacing w:line="360" w:lineRule="auto"/>
              <w:jc w:val="both"/>
              <w:rPr>
                <w:rFonts w:ascii="Book Antiqua" w:hAnsi="Book Antiqua" w:eastAsia="华文彩云" w:cs="Arial"/>
                <w:bCs/>
                <w:kern w:val="0"/>
                <w:lang w:eastAsia="zh-CN"/>
              </w:rPr>
            </w:pPr>
            <w:r>
              <w:rPr>
                <w:rFonts w:ascii="Book Antiqua" w:hAnsi="Book Antiqua" w:eastAsia="华文彩云" w:cs="Arial"/>
                <w:bCs/>
                <w:kern w:val="0"/>
                <w:lang w:eastAsia="zh-CN"/>
              </w:rPr>
              <w:t>0.282</w:t>
            </w:r>
          </w:p>
        </w:tc>
        <w:tc>
          <w:tcPr>
            <w:tcW w:w="751" w:type="pct"/>
            <w:shd w:val="clear" w:color="auto" w:fill="auto"/>
          </w:tcPr>
          <w:p>
            <w:pPr>
              <w:spacing w:line="360" w:lineRule="auto"/>
              <w:jc w:val="both"/>
              <w:rPr>
                <w:rFonts w:ascii="Book Antiqua" w:hAnsi="Book Antiqua" w:eastAsia="华文彩云" w:cs="Arial"/>
                <w:bCs/>
                <w:kern w:val="0"/>
                <w:lang w:eastAsia="zh-CN"/>
              </w:rPr>
            </w:pPr>
          </w:p>
        </w:tc>
        <w:tc>
          <w:tcPr>
            <w:tcW w:w="428" w:type="pct"/>
            <w:shd w:val="clear" w:color="auto" w:fill="auto"/>
          </w:tcPr>
          <w:p>
            <w:pPr>
              <w:spacing w:line="360" w:lineRule="auto"/>
              <w:jc w:val="both"/>
              <w:rPr>
                <w:rFonts w:ascii="Book Antiqua" w:hAnsi="Book Antiqua" w:eastAsia="华文彩云" w:cs="Arial"/>
                <w:bCs/>
                <w:kern w:val="0"/>
                <w:lang w:eastAsia="zh-CN"/>
              </w:rPr>
            </w:pPr>
            <w:r>
              <w:rPr>
                <w:rFonts w:ascii="Book Antiqua" w:hAnsi="Book Antiqua" w:eastAsia="华文彩云" w:cs="Arial"/>
                <w:bCs/>
                <w:kern w:val="0"/>
                <w:lang w:eastAsia="zh-CN"/>
              </w:rPr>
              <w:t>0.538</w:t>
            </w:r>
          </w:p>
        </w:tc>
        <w:tc>
          <w:tcPr>
            <w:tcW w:w="741" w:type="pct"/>
            <w:shd w:val="clear" w:color="auto" w:fill="auto"/>
          </w:tcPr>
          <w:p>
            <w:pPr>
              <w:spacing w:line="360" w:lineRule="auto"/>
              <w:jc w:val="both"/>
              <w:rPr>
                <w:rFonts w:ascii="Book Antiqua" w:hAnsi="Book Antiqua" w:eastAsia="华文彩云" w:cs="Arial"/>
                <w:bCs/>
                <w:kern w:val="0"/>
                <w:lang w:eastAsia="zh-CN"/>
              </w:rPr>
            </w:pPr>
          </w:p>
        </w:tc>
        <w:tc>
          <w:tcPr>
            <w:tcW w:w="480" w:type="pct"/>
            <w:shd w:val="clear" w:color="auto" w:fill="auto"/>
          </w:tcPr>
          <w:p>
            <w:pPr>
              <w:spacing w:line="360" w:lineRule="auto"/>
              <w:jc w:val="both"/>
              <w:rPr>
                <w:rFonts w:ascii="Book Antiqua" w:hAnsi="Book Antiqua" w:eastAsia="华文彩云" w:cs="Arial"/>
                <w:bCs/>
                <w:kern w:val="0"/>
                <w:lang w:eastAsia="zh-CN"/>
              </w:rPr>
            </w:pPr>
            <w:r>
              <w:rPr>
                <w:rFonts w:ascii="Book Antiqua" w:hAnsi="Book Antiqua" w:eastAsia="华文彩云" w:cs="Arial"/>
                <w:bCs/>
                <w:kern w:val="0"/>
                <w:lang w:eastAsia="zh-CN"/>
              </w:rP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1" w:type="pct"/>
            <w:tcBorders>
              <w:right w:val="nil"/>
            </w:tcBorders>
            <w:shd w:val="clear" w:color="auto" w:fill="auto"/>
          </w:tcPr>
          <w:p>
            <w:pPr>
              <w:spacing w:line="360" w:lineRule="auto"/>
              <w:jc w:val="both"/>
              <w:rPr>
                <w:rFonts w:ascii="Book Antiqua" w:hAnsi="Book Antiqua" w:eastAsia="华文彩云" w:cs="Arial"/>
                <w:i w:val="0"/>
                <w:iCs/>
                <w:kern w:val="0"/>
                <w:lang w:eastAsia="zh-CN"/>
              </w:rPr>
            </w:pPr>
            <w:r>
              <w:rPr>
                <w:rFonts w:ascii="Book Antiqua" w:hAnsi="Book Antiqua" w:eastAsia="华文彩云" w:cs="Arial"/>
                <w:i w:val="0"/>
                <w:iCs/>
                <w:kern w:val="0"/>
                <w:lang w:eastAsia="zh-CN"/>
              </w:rPr>
              <w:t>I/II</w:t>
            </w:r>
          </w:p>
        </w:tc>
        <w:tc>
          <w:tcPr>
            <w:tcW w:w="635"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30</w:t>
            </w:r>
          </w:p>
        </w:tc>
        <w:tc>
          <w:tcPr>
            <w:tcW w:w="668"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17/13</w:t>
            </w:r>
          </w:p>
        </w:tc>
        <w:tc>
          <w:tcPr>
            <w:tcW w:w="426" w:type="pct"/>
            <w:shd w:val="clear" w:color="auto" w:fill="auto"/>
          </w:tcPr>
          <w:p>
            <w:pPr>
              <w:spacing w:line="360" w:lineRule="auto"/>
              <w:jc w:val="both"/>
              <w:rPr>
                <w:rFonts w:ascii="Book Antiqua" w:hAnsi="Book Antiqua" w:eastAsia="华文彩云" w:cs="Arial"/>
                <w:kern w:val="0"/>
                <w:lang w:eastAsia="zh-CN"/>
              </w:rPr>
            </w:pPr>
          </w:p>
        </w:tc>
        <w:tc>
          <w:tcPr>
            <w:tcW w:w="75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20/10</w:t>
            </w:r>
          </w:p>
        </w:tc>
        <w:tc>
          <w:tcPr>
            <w:tcW w:w="428" w:type="pct"/>
            <w:shd w:val="clear" w:color="auto" w:fill="auto"/>
          </w:tcPr>
          <w:p>
            <w:pPr>
              <w:spacing w:line="360" w:lineRule="auto"/>
              <w:jc w:val="both"/>
              <w:rPr>
                <w:rFonts w:ascii="Book Antiqua" w:hAnsi="Book Antiqua" w:eastAsia="华文彩云" w:cs="Arial"/>
                <w:kern w:val="0"/>
                <w:lang w:eastAsia="zh-CN"/>
              </w:rPr>
            </w:pPr>
          </w:p>
        </w:tc>
        <w:tc>
          <w:tcPr>
            <w:tcW w:w="74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21/9</w:t>
            </w:r>
          </w:p>
        </w:tc>
        <w:tc>
          <w:tcPr>
            <w:tcW w:w="480" w:type="pct"/>
            <w:shd w:val="clear" w:color="auto" w:fill="auto"/>
          </w:tcPr>
          <w:p>
            <w:pPr>
              <w:spacing w:line="360" w:lineRule="auto"/>
              <w:jc w:val="both"/>
              <w:rPr>
                <w:rFonts w:ascii="Book Antiqua" w:hAnsi="Book Antiqua" w:eastAsia="华文彩云" w:cs="Arial"/>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1" w:type="pct"/>
            <w:tcBorders>
              <w:right w:val="nil"/>
            </w:tcBorders>
            <w:shd w:val="clear" w:color="auto" w:fill="auto"/>
          </w:tcPr>
          <w:p>
            <w:pPr>
              <w:spacing w:line="360" w:lineRule="auto"/>
              <w:jc w:val="both"/>
              <w:rPr>
                <w:rFonts w:ascii="Book Antiqua" w:hAnsi="Book Antiqua" w:eastAsia="华文彩云" w:cs="Arial"/>
                <w:i w:val="0"/>
                <w:iCs/>
                <w:kern w:val="0"/>
                <w:lang w:eastAsia="zh-CN"/>
              </w:rPr>
            </w:pPr>
            <w:r>
              <w:rPr>
                <w:rFonts w:ascii="Book Antiqua" w:hAnsi="Book Antiqua" w:eastAsia="华文彩云" w:cs="Arial"/>
                <w:i w:val="0"/>
                <w:iCs/>
                <w:kern w:val="0"/>
                <w:lang w:eastAsia="zh-CN"/>
              </w:rPr>
              <w:t>III</w:t>
            </w:r>
          </w:p>
        </w:tc>
        <w:tc>
          <w:tcPr>
            <w:tcW w:w="635"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24</w:t>
            </w:r>
          </w:p>
        </w:tc>
        <w:tc>
          <w:tcPr>
            <w:tcW w:w="668"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10/14</w:t>
            </w:r>
          </w:p>
        </w:tc>
        <w:tc>
          <w:tcPr>
            <w:tcW w:w="426" w:type="pct"/>
            <w:shd w:val="clear" w:color="auto" w:fill="auto"/>
          </w:tcPr>
          <w:p>
            <w:pPr>
              <w:spacing w:line="360" w:lineRule="auto"/>
              <w:jc w:val="both"/>
              <w:rPr>
                <w:rFonts w:ascii="Book Antiqua" w:hAnsi="Book Antiqua" w:eastAsia="华文彩云" w:cs="Arial"/>
                <w:kern w:val="0"/>
                <w:lang w:eastAsia="zh-CN"/>
              </w:rPr>
            </w:pPr>
          </w:p>
        </w:tc>
        <w:tc>
          <w:tcPr>
            <w:tcW w:w="75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14/10</w:t>
            </w:r>
          </w:p>
        </w:tc>
        <w:tc>
          <w:tcPr>
            <w:tcW w:w="428" w:type="pct"/>
            <w:shd w:val="clear" w:color="auto" w:fill="auto"/>
          </w:tcPr>
          <w:p>
            <w:pPr>
              <w:spacing w:line="360" w:lineRule="auto"/>
              <w:jc w:val="both"/>
              <w:rPr>
                <w:rFonts w:ascii="Book Antiqua" w:hAnsi="Book Antiqua" w:eastAsia="华文彩云" w:cs="Arial"/>
                <w:kern w:val="0"/>
                <w:lang w:eastAsia="zh-CN"/>
              </w:rPr>
            </w:pPr>
          </w:p>
        </w:tc>
        <w:tc>
          <w:tcPr>
            <w:tcW w:w="741" w:type="pct"/>
            <w:shd w:val="clear" w:color="auto" w:fill="auto"/>
          </w:tcPr>
          <w:p>
            <w:pPr>
              <w:spacing w:line="360" w:lineRule="auto"/>
              <w:jc w:val="both"/>
              <w:rPr>
                <w:rFonts w:ascii="Book Antiqua" w:hAnsi="Book Antiqua" w:eastAsia="华文彩云" w:cs="Arial"/>
                <w:kern w:val="0"/>
                <w:lang w:eastAsia="zh-CN"/>
              </w:rPr>
            </w:pPr>
            <w:r>
              <w:rPr>
                <w:rFonts w:ascii="Book Antiqua" w:hAnsi="Book Antiqua" w:eastAsia="华文彩云" w:cs="Arial"/>
                <w:kern w:val="0"/>
                <w:lang w:eastAsia="zh-CN"/>
              </w:rPr>
              <w:t>11/13</w:t>
            </w:r>
          </w:p>
        </w:tc>
        <w:tc>
          <w:tcPr>
            <w:tcW w:w="480" w:type="pct"/>
            <w:shd w:val="clear" w:color="auto" w:fill="auto"/>
          </w:tcPr>
          <w:p>
            <w:pPr>
              <w:spacing w:line="360" w:lineRule="auto"/>
              <w:jc w:val="both"/>
              <w:rPr>
                <w:rFonts w:ascii="Book Antiqua" w:hAnsi="Book Antiqua" w:eastAsia="华文彩云" w:cs="Arial"/>
                <w:kern w:val="0"/>
                <w:lang w:eastAsia="zh-CN"/>
              </w:rPr>
            </w:pPr>
          </w:p>
        </w:tc>
      </w:tr>
    </w:tbl>
    <w:p>
      <w:pPr>
        <w:spacing w:line="360" w:lineRule="auto"/>
        <w:jc w:val="both"/>
        <w:rPr>
          <w:rFonts w:ascii="Book Antiqua" w:hAnsi="Book Antiqua" w:cs="Book Antiqua"/>
          <w:color w:val="000000"/>
          <w:lang w:eastAsia="zh-CN"/>
        </w:rPr>
      </w:pPr>
      <w:r>
        <w:rPr>
          <w:rFonts w:ascii="Book Antiqua" w:hAnsi="Book Antiqua" w:eastAsia="华文彩云" w:cs="Arial"/>
          <w:iCs/>
        </w:rPr>
        <w:t>The number of cases</w:t>
      </w:r>
      <w:r>
        <w:rPr>
          <w:rFonts w:hint="eastAsia" w:ascii="Book Antiqua" w:hAnsi="Book Antiqua" w:eastAsia="华文彩云" w:cs="Arial"/>
          <w:iCs/>
          <w:lang w:val="en-US" w:eastAsia="zh-CN"/>
        </w:rPr>
        <w:t xml:space="preserve"> and</w:t>
      </w:r>
      <w:r>
        <w:rPr>
          <w:rFonts w:ascii="Book Antiqua" w:hAnsi="Book Antiqua" w:eastAsia="华文彩云" w:cs="Arial"/>
          <w:iCs/>
        </w:rPr>
        <w:t xml:space="preserve"> low risk cases/high risk cases </w:t>
      </w:r>
      <w:r>
        <w:rPr>
          <w:rFonts w:hint="eastAsia" w:ascii="Book Antiqua" w:hAnsi="Book Antiqua" w:eastAsia="华文彩云" w:cs="Arial"/>
          <w:iCs/>
          <w:lang w:val="en-US" w:eastAsia="zh-CN"/>
        </w:rPr>
        <w:t>are</w:t>
      </w:r>
      <w:r>
        <w:rPr>
          <w:rFonts w:ascii="Book Antiqua" w:hAnsi="Book Antiqua" w:eastAsia="华文彩云" w:cs="Arial"/>
          <w:iCs/>
        </w:rPr>
        <w:t xml:space="preserve"> shown</w:t>
      </w:r>
      <w:r>
        <w:rPr>
          <w:rFonts w:hint="eastAsia" w:ascii="Book Antiqua" w:hAnsi="Book Antiqua" w:eastAsia="华文彩云" w:cs="Arial"/>
          <w:iCs/>
          <w:lang w:val="en-US" w:eastAsia="zh-CN"/>
        </w:rPr>
        <w:t>.</w:t>
      </w:r>
      <w:r>
        <w:rPr>
          <w:rFonts w:ascii="Book Antiqua" w:hAnsi="Book Antiqua"/>
        </w:rPr>
        <w:t xml:space="preserve"> </w:t>
      </w:r>
      <w:r>
        <w:rPr>
          <w:rFonts w:hint="eastAsia" w:ascii="Book Antiqua" w:hAnsi="Book Antiqua" w:eastAsia="华文彩云" w:cs="Arial"/>
          <w:i/>
          <w:iCs w:val="0"/>
          <w:lang w:val="en-US" w:eastAsia="zh-CN"/>
        </w:rPr>
        <w:t>P</w:t>
      </w:r>
      <w:r>
        <w:rPr>
          <w:rFonts w:ascii="Book Antiqua" w:hAnsi="Book Antiqua" w:eastAsia="华文彩云" w:cs="Arial"/>
          <w:iCs/>
        </w:rPr>
        <w:t>-value</w:t>
      </w:r>
      <w:r>
        <w:rPr>
          <w:rFonts w:hint="eastAsia" w:ascii="Book Antiqua" w:hAnsi="Book Antiqua" w:eastAsia="华文彩云" w:cs="Arial"/>
          <w:iCs/>
          <w:lang w:val="en-US" w:eastAsia="zh-CN"/>
        </w:rPr>
        <w:t>s</w:t>
      </w:r>
      <w:r>
        <w:rPr>
          <w:rFonts w:ascii="Book Antiqua" w:hAnsi="Book Antiqua" w:eastAsia="华文彩云" w:cs="Arial"/>
          <w:iCs/>
        </w:rPr>
        <w:t xml:space="preserve"> indicate the significance of different immune-nutritional risk between patients with different clinical characteristics</w:t>
      </w:r>
      <w:r>
        <w:rPr>
          <w:rFonts w:ascii="Book Antiqua" w:hAnsi="Book Antiqua" w:eastAsia="华文彩云" w:cs="Arial"/>
          <w:iCs/>
          <w:lang w:eastAsia="zh-CN"/>
        </w:rPr>
        <w:t xml:space="preserve">. </w:t>
      </w:r>
      <w:r>
        <w:rPr>
          <w:rFonts w:ascii="Book Antiqua" w:hAnsi="Book Antiqua" w:eastAsia="Book Antiqua" w:cs="Book Antiqua"/>
          <w:color w:val="000000"/>
        </w:rPr>
        <w:t>PNI</w:t>
      </w:r>
      <w:r>
        <w:rPr>
          <w:rFonts w:ascii="Book Antiqua" w:hAnsi="Book Antiqua" w:cs="Book Antiqua"/>
          <w:color w:val="000000"/>
          <w:lang w:eastAsia="zh-CN"/>
        </w:rPr>
        <w:t>:</w:t>
      </w:r>
      <w:r>
        <w:rPr>
          <w:rFonts w:ascii="Book Antiqua" w:hAnsi="Book Antiqua" w:eastAsia="Book Antiqua" w:cs="Book Antiqua"/>
          <w:color w:val="000000"/>
        </w:rPr>
        <w:t xml:space="preserve"> Prognostic nutritional index</w:t>
      </w:r>
      <w:r>
        <w:rPr>
          <w:rFonts w:ascii="Book Antiqua" w:hAnsi="Book Antiqua" w:cs="Book Antiqua"/>
          <w:color w:val="000000"/>
          <w:lang w:eastAsia="zh-CN"/>
        </w:rPr>
        <w:t>;</w:t>
      </w:r>
      <w:r>
        <w:rPr>
          <w:rFonts w:ascii="Book Antiqua" w:hAnsi="Book Antiqua" w:eastAsia="Book Antiqua" w:cs="Book Antiqua"/>
          <w:color w:val="000000"/>
        </w:rPr>
        <w:t xml:space="preserve"> CONUT</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C</w:t>
      </w:r>
      <w:r>
        <w:rPr>
          <w:rFonts w:ascii="Book Antiqua" w:hAnsi="Book Antiqua" w:eastAsia="Book Antiqua" w:cs="Book Antiqua"/>
          <w:color w:val="000000"/>
        </w:rPr>
        <w:t>ontrolled nutritional status</w:t>
      </w:r>
      <w:r>
        <w:rPr>
          <w:rFonts w:ascii="Book Antiqua" w:hAnsi="Book Antiqua" w:cs="Book Antiqua"/>
          <w:color w:val="000000"/>
          <w:lang w:eastAsia="zh-CN"/>
        </w:rPr>
        <w:t xml:space="preserve">; </w:t>
      </w:r>
      <w:r>
        <w:rPr>
          <w:rFonts w:ascii="Book Antiqua" w:hAnsi="Book Antiqua" w:eastAsia="Book Antiqua" w:cs="Book Antiqua"/>
          <w:color w:val="000000"/>
        </w:rPr>
        <w:t>NPS</w:t>
      </w:r>
      <w:r>
        <w:rPr>
          <w:rFonts w:ascii="Book Antiqua" w:hAnsi="Book Antiqua" w:cs="Book Antiqua"/>
          <w:color w:val="000000"/>
          <w:lang w:eastAsia="zh-CN"/>
        </w:rPr>
        <w:t>:</w:t>
      </w:r>
      <w:r>
        <w:rPr>
          <w:rFonts w:ascii="Book Antiqua" w:hAnsi="Book Antiqua" w:eastAsia="Book Antiqua" w:cs="Book Antiqua"/>
          <w:color w:val="000000"/>
        </w:rPr>
        <w:t xml:space="preserve"> Naples prognostic score</w:t>
      </w:r>
      <w:r>
        <w:rPr>
          <w:rFonts w:ascii="Book Antiqua" w:hAnsi="Book Antiqua" w:cs="Book Antiqua"/>
          <w:color w:val="000000"/>
          <w:lang w:eastAsia="zh-CN"/>
        </w:rPr>
        <w:t xml:space="preserve">; </w:t>
      </w:r>
      <w:r>
        <w:rPr>
          <w:rFonts w:ascii="Book Antiqua" w:hAnsi="Book Antiqua" w:eastAsia="Book Antiqua" w:cs="Book Antiqua"/>
          <w:color w:val="000000"/>
        </w:rPr>
        <w:t>cTNM: Clinical Tumor-Node-Metastasis</w:t>
      </w:r>
      <w:r>
        <w:rPr>
          <w:rFonts w:ascii="Book Antiqua" w:hAnsi="Book Antiqua" w:cs="Book Antiqua"/>
          <w:color w:val="000000"/>
          <w:lang w:eastAsia="zh-CN"/>
        </w:rPr>
        <w:t>.</w:t>
      </w:r>
    </w:p>
    <w:p>
      <w:pPr>
        <w:spacing w:line="360" w:lineRule="auto"/>
        <w:jc w:val="both"/>
        <w:rPr>
          <w:rFonts w:ascii="Book Antiqua" w:hAnsi="Book Antiqua"/>
          <w:b/>
          <w:lang w:eastAsia="zh-CN"/>
        </w:rPr>
      </w:pPr>
    </w:p>
    <w:p>
      <w:pPr>
        <w:spacing w:line="360" w:lineRule="auto"/>
        <w:jc w:val="both"/>
        <w:rPr>
          <w:rFonts w:ascii="Book Antiqua" w:hAnsi="Book Antiqua" w:cs="Book Antiqua"/>
          <w:b/>
          <w:color w:val="000000"/>
          <w:lang w:eastAsia="zh-CN"/>
        </w:rPr>
      </w:pPr>
      <w:r>
        <w:rPr>
          <w:rFonts w:ascii="Book Antiqua" w:hAnsi="Book Antiqua"/>
          <w:b/>
          <w:lang w:eastAsia="zh-CN"/>
        </w:rPr>
        <w:br w:type="page"/>
      </w:r>
      <w:r>
        <w:rPr>
          <w:rFonts w:ascii="Book Antiqua" w:hAnsi="Book Antiqua" w:eastAsia="华文彩云" w:cs="Arial"/>
          <w:b/>
          <w:iCs/>
        </w:rPr>
        <w:t xml:space="preserve">Table 2 Cox </w:t>
      </w:r>
      <w:r>
        <w:rPr>
          <w:rFonts w:ascii="Book Antiqua" w:hAnsi="Book Antiqua" w:eastAsia="华文彩云" w:cs="Arial"/>
          <w:b/>
          <w:iCs/>
          <w:lang w:eastAsia="zh-CN"/>
        </w:rPr>
        <w:t>r</w:t>
      </w:r>
      <w:r>
        <w:rPr>
          <w:rFonts w:ascii="Book Antiqua" w:hAnsi="Book Antiqua" w:eastAsia="华文彩云" w:cs="Arial"/>
          <w:b/>
          <w:iCs/>
        </w:rPr>
        <w:t xml:space="preserve">egression </w:t>
      </w:r>
      <w:r>
        <w:rPr>
          <w:rFonts w:ascii="Book Antiqua" w:hAnsi="Book Antiqua" w:eastAsia="华文彩云" w:cs="Arial"/>
          <w:b/>
          <w:iCs/>
          <w:lang w:eastAsia="zh-CN"/>
        </w:rPr>
        <w:t>a</w:t>
      </w:r>
      <w:r>
        <w:rPr>
          <w:rFonts w:ascii="Book Antiqua" w:hAnsi="Book Antiqua" w:eastAsia="华文彩云" w:cs="Arial"/>
          <w:b/>
          <w:iCs/>
        </w:rPr>
        <w:t xml:space="preserve">nalysis of </w:t>
      </w:r>
      <w:r>
        <w:rPr>
          <w:rFonts w:ascii="Book Antiqua" w:hAnsi="Book Antiqua" w:eastAsia="Book Antiqua" w:cs="Book Antiqua"/>
          <w:b/>
          <w:color w:val="000000"/>
        </w:rPr>
        <w:t>overall survival</w:t>
      </w:r>
    </w:p>
    <w:tbl>
      <w:tblPr>
        <w:tblStyle w:val="13"/>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53"/>
        <w:gridCol w:w="1390"/>
        <w:gridCol w:w="2474"/>
        <w:gridCol w:w="165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vMerge w:val="restart"/>
            <w:tcBorders>
              <w:top w:val="single" w:color="auto" w:sz="4" w:space="0"/>
              <w:bottom w:val="nil"/>
              <w:right w:val="nil"/>
            </w:tcBorders>
            <w:shd w:val="clear" w:color="auto" w:fill="auto"/>
          </w:tcPr>
          <w:p>
            <w:pPr>
              <w:spacing w:line="360" w:lineRule="auto"/>
              <w:jc w:val="both"/>
              <w:rPr>
                <w:rFonts w:ascii="Book Antiqua" w:hAnsi="Book Antiqua" w:eastAsia="华文彩云" w:cs="Arial"/>
                <w:b/>
                <w:bCs/>
                <w:i w:val="0"/>
                <w:iCs/>
                <w:color w:val="auto"/>
                <w:kern w:val="0"/>
                <w:lang w:eastAsia="zh-CN"/>
              </w:rPr>
            </w:pPr>
            <w:r>
              <w:rPr>
                <w:rFonts w:ascii="Book Antiqua" w:hAnsi="Book Antiqua" w:eastAsia="华文彩云" w:cs="Arial"/>
                <w:b/>
                <w:bCs/>
                <w:i w:val="0"/>
                <w:iCs/>
                <w:color w:val="auto"/>
                <w:kern w:val="0"/>
                <w:lang w:eastAsia="zh-CN"/>
              </w:rPr>
              <w:t>Characteristic</w:t>
            </w:r>
          </w:p>
        </w:tc>
        <w:tc>
          <w:tcPr>
            <w:tcW w:w="2884" w:type="pct"/>
            <w:gridSpan w:val="3"/>
            <w:tcBorders>
              <w:top w:val="single" w:color="auto" w:sz="4" w:space="0"/>
              <w:bottom w:val="single" w:color="auto" w:sz="4" w:space="0"/>
            </w:tcBorders>
            <w:shd w:val="clear" w:color="auto" w:fill="auto"/>
          </w:tcPr>
          <w:p>
            <w:pPr>
              <w:spacing w:line="360" w:lineRule="auto"/>
              <w:jc w:val="both"/>
              <w:rPr>
                <w:rFonts w:ascii="Book Antiqua" w:hAnsi="Book Antiqua" w:eastAsia="华文彩云" w:cs="Arial"/>
                <w:b/>
                <w:bCs/>
                <w:i w:val="0"/>
                <w:iCs/>
                <w:color w:val="auto"/>
                <w:kern w:val="0"/>
                <w:lang w:eastAsia="zh-CN"/>
              </w:rPr>
            </w:pPr>
            <w:r>
              <w:rPr>
                <w:rFonts w:ascii="Book Antiqua" w:hAnsi="Book Antiqua" w:eastAsia="华文彩云" w:cs="Arial"/>
                <w:b/>
                <w:bCs/>
                <w:i w:val="0"/>
                <w:iCs/>
                <w:color w:val="auto"/>
                <w:kern w:val="0"/>
                <w:lang w:eastAsia="zh-CN"/>
              </w:rPr>
              <w:t>OS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vMerge w:val="continue"/>
            <w:tcBorders>
              <w:top w:val="nil"/>
              <w:bottom w:val="single" w:color="auto" w:sz="4" w:space="0"/>
              <w:right w:val="nil"/>
            </w:tcBorders>
            <w:shd w:val="clear" w:color="auto" w:fill="auto"/>
          </w:tcPr>
          <w:p>
            <w:pPr>
              <w:spacing w:line="360" w:lineRule="auto"/>
              <w:jc w:val="both"/>
              <w:rPr>
                <w:rFonts w:ascii="Book Antiqua" w:hAnsi="Book Antiqua" w:eastAsia="华文彩云" w:cs="Arial"/>
                <w:b/>
                <w:bCs/>
                <w:i w:val="0"/>
                <w:iCs/>
                <w:color w:val="auto"/>
                <w:kern w:val="0"/>
                <w:lang w:eastAsia="zh-CN"/>
              </w:rPr>
            </w:pPr>
          </w:p>
        </w:tc>
        <w:tc>
          <w:tcPr>
            <w:tcW w:w="726" w:type="pct"/>
            <w:tcBorders>
              <w:top w:val="single" w:color="auto" w:sz="4" w:space="0"/>
              <w:bottom w:val="single" w:color="auto" w:sz="4" w:space="0"/>
            </w:tcBorders>
            <w:shd w:val="clear" w:color="auto" w:fill="auto"/>
          </w:tcPr>
          <w:p>
            <w:pPr>
              <w:spacing w:line="360" w:lineRule="auto"/>
              <w:jc w:val="both"/>
              <w:rPr>
                <w:rFonts w:ascii="Book Antiqua" w:hAnsi="Book Antiqua" w:eastAsia="华文彩云" w:cs="Arial"/>
                <w:b/>
                <w:bCs/>
                <w:color w:val="auto"/>
                <w:kern w:val="0"/>
                <w:lang w:eastAsia="zh-CN"/>
              </w:rPr>
            </w:pPr>
            <w:r>
              <w:rPr>
                <w:rFonts w:ascii="Book Antiqua" w:hAnsi="Book Antiqua" w:eastAsia="华文彩云" w:cs="Arial"/>
                <w:b/>
                <w:bCs/>
                <w:color w:val="auto"/>
                <w:kern w:val="0"/>
                <w:lang w:eastAsia="zh-CN"/>
              </w:rPr>
              <w:t>HR</w:t>
            </w:r>
          </w:p>
        </w:tc>
        <w:tc>
          <w:tcPr>
            <w:tcW w:w="1292" w:type="pct"/>
            <w:tcBorders>
              <w:top w:val="single" w:color="auto" w:sz="4" w:space="0"/>
              <w:bottom w:val="single" w:color="auto" w:sz="4" w:space="0"/>
            </w:tcBorders>
            <w:shd w:val="clear" w:color="auto" w:fill="auto"/>
          </w:tcPr>
          <w:p>
            <w:pPr>
              <w:spacing w:line="360" w:lineRule="auto"/>
              <w:jc w:val="both"/>
              <w:rPr>
                <w:rFonts w:ascii="Book Antiqua" w:hAnsi="Book Antiqua" w:eastAsia="华文彩云" w:cs="Arial"/>
                <w:b/>
                <w:bCs/>
                <w:color w:val="auto"/>
                <w:kern w:val="0"/>
                <w:lang w:eastAsia="zh-CN"/>
              </w:rPr>
            </w:pPr>
            <w:r>
              <w:rPr>
                <w:rFonts w:ascii="Book Antiqua" w:hAnsi="Book Antiqua" w:eastAsia="华文彩云" w:cs="Arial"/>
                <w:b/>
                <w:bCs/>
                <w:color w:val="auto"/>
                <w:kern w:val="0"/>
                <w:lang w:eastAsia="zh-CN"/>
              </w:rPr>
              <w:t>95%CI</w:t>
            </w:r>
          </w:p>
        </w:tc>
        <w:tc>
          <w:tcPr>
            <w:tcW w:w="867" w:type="pct"/>
            <w:tcBorders>
              <w:top w:val="single" w:color="auto" w:sz="4" w:space="0"/>
              <w:bottom w:val="single" w:color="auto" w:sz="4" w:space="0"/>
            </w:tcBorders>
            <w:shd w:val="clear" w:color="auto" w:fill="auto"/>
          </w:tcPr>
          <w:p>
            <w:pPr>
              <w:spacing w:line="360" w:lineRule="auto"/>
              <w:jc w:val="both"/>
              <w:rPr>
                <w:rFonts w:ascii="Book Antiqua" w:hAnsi="Book Antiqua" w:eastAsia="华文彩云" w:cs="Arial"/>
                <w:b/>
                <w:bCs/>
                <w:color w:val="auto"/>
                <w:kern w:val="0"/>
                <w:lang w:eastAsia="zh-CN"/>
              </w:rPr>
            </w:pPr>
            <w:r>
              <w:rPr>
                <w:rFonts w:ascii="Book Antiqua" w:hAnsi="Book Antiqua" w:eastAsia="华文彩云" w:cs="Arial"/>
                <w:b/>
                <w:bCs/>
                <w:i/>
                <w:color w:val="auto"/>
                <w:kern w:val="0"/>
                <w:lang w:eastAsia="zh-CN"/>
              </w:rPr>
              <w:t>P</w:t>
            </w:r>
            <w:r>
              <w:rPr>
                <w:rFonts w:ascii="Book Antiqua" w:hAnsi="Book Antiqua" w:eastAsia="华文彩云" w:cs="Arial"/>
                <w:b/>
                <w:bCs/>
                <w:color w:val="auto"/>
                <w:kern w:val="0"/>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top w:val="single" w:color="auto" w:sz="4" w:space="0"/>
              <w:right w:val="nil"/>
            </w:tcBorders>
            <w:shd w:val="clear" w:color="auto" w:fill="auto"/>
          </w:tcPr>
          <w:p>
            <w:pPr>
              <w:spacing w:line="360" w:lineRule="auto"/>
              <w:jc w:val="both"/>
              <w:rPr>
                <w:rFonts w:ascii="Book Antiqua" w:hAnsi="Book Antiqua" w:eastAsia="华文彩云" w:cs="Arial"/>
                <w:b/>
                <w:bCs/>
                <w:i w:val="0"/>
                <w:iCs w:val="0"/>
                <w:color w:val="auto"/>
                <w:kern w:val="0"/>
                <w:lang w:eastAsia="zh-CN"/>
              </w:rPr>
            </w:pPr>
            <w:r>
              <w:rPr>
                <w:rFonts w:ascii="Book Antiqua" w:hAnsi="Book Antiqua" w:eastAsia="华文彩云" w:cs="Arial"/>
                <w:b/>
                <w:bCs/>
                <w:i w:val="0"/>
                <w:iCs/>
                <w:color w:val="auto"/>
                <w:kern w:val="0"/>
                <w:lang w:eastAsia="zh-CN"/>
              </w:rPr>
              <w:t>Age (years)</w:t>
            </w:r>
          </w:p>
        </w:tc>
        <w:tc>
          <w:tcPr>
            <w:tcW w:w="726" w:type="pct"/>
            <w:tcBorders>
              <w:top w:val="single" w:color="auto" w:sz="4" w:space="0"/>
            </w:tcBorders>
            <w:shd w:val="clear" w:color="auto" w:fill="auto"/>
          </w:tcPr>
          <w:p>
            <w:pPr>
              <w:spacing w:line="360" w:lineRule="auto"/>
              <w:jc w:val="both"/>
              <w:rPr>
                <w:rFonts w:ascii="Book Antiqua" w:hAnsi="Book Antiqua" w:eastAsia="华文彩云" w:cs="Arial"/>
                <w:b/>
                <w:bCs/>
                <w:iCs/>
                <w:color w:val="auto"/>
                <w:kern w:val="0"/>
                <w:lang w:eastAsia="zh-CN"/>
              </w:rPr>
            </w:pPr>
          </w:p>
        </w:tc>
        <w:tc>
          <w:tcPr>
            <w:tcW w:w="1292" w:type="pct"/>
            <w:tcBorders>
              <w:top w:val="single" w:color="auto" w:sz="4" w:space="0"/>
            </w:tcBorders>
            <w:shd w:val="clear" w:color="auto" w:fill="auto"/>
          </w:tcPr>
          <w:p>
            <w:pPr>
              <w:spacing w:line="360" w:lineRule="auto"/>
              <w:jc w:val="both"/>
              <w:rPr>
                <w:rFonts w:ascii="Book Antiqua" w:hAnsi="Book Antiqua" w:eastAsia="华文彩云" w:cs="Arial"/>
                <w:b/>
                <w:bCs/>
                <w:iCs/>
                <w:color w:val="auto"/>
                <w:kern w:val="0"/>
                <w:lang w:eastAsia="zh-CN"/>
              </w:rPr>
            </w:pPr>
          </w:p>
        </w:tc>
        <w:tc>
          <w:tcPr>
            <w:tcW w:w="867" w:type="pct"/>
            <w:tcBorders>
              <w:top w:val="single" w:color="auto" w:sz="4" w:space="0"/>
            </w:tcBorders>
            <w:shd w:val="clear" w:color="auto" w:fill="auto"/>
          </w:tcPr>
          <w:p>
            <w:pPr>
              <w:spacing w:line="360" w:lineRule="auto"/>
              <w:jc w:val="both"/>
              <w:rPr>
                <w:rFonts w:ascii="Book Antiqua" w:hAnsi="Book Antiqua" w:eastAsia="华文彩云" w:cs="Arial"/>
                <w:bCs/>
                <w:iCs/>
                <w:color w:val="auto"/>
                <w:kern w:val="0"/>
                <w:lang w:eastAsia="zh-CN"/>
              </w:rPr>
            </w:pPr>
            <w:r>
              <w:rPr>
                <w:rFonts w:ascii="Book Antiqua" w:hAnsi="Book Antiqua" w:eastAsia="华文彩云" w:cs="Arial"/>
                <w:bCs/>
                <w:iCs/>
                <w:color w:val="auto"/>
                <w:kern w:val="0"/>
                <w:lang w:eastAsia="zh-CN"/>
              </w:rPr>
              <w:t>0.500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i w:val="0"/>
                <w:iCs/>
                <w:color w:val="auto"/>
                <w:kern w:val="0"/>
                <w:lang w:eastAsia="zh-CN"/>
              </w:rPr>
            </w:pPr>
            <w:r>
              <w:rPr>
                <w:rFonts w:ascii="Book Antiqua" w:hAnsi="Book Antiqua" w:eastAsia="华文彩云" w:cs="Arial"/>
                <w:i w:val="0"/>
                <w:iCs/>
                <w:color w:val="auto"/>
                <w:kern w:val="0"/>
                <w:lang w:eastAsia="zh-CN"/>
              </w:rPr>
              <w:t>&lt; 70</w:t>
            </w:r>
          </w:p>
        </w:tc>
        <w:tc>
          <w:tcPr>
            <w:tcW w:w="726" w:type="pc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1.000</w:t>
            </w:r>
          </w:p>
        </w:tc>
        <w:tc>
          <w:tcPr>
            <w:tcW w:w="1292" w:type="pct"/>
            <w:vMerge w:val="restar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0.605-2.796</w:t>
            </w:r>
          </w:p>
        </w:tc>
        <w:tc>
          <w:tcPr>
            <w:tcW w:w="867" w:type="pct"/>
            <w:vMerge w:val="restart"/>
            <w:shd w:val="clear" w:color="auto" w:fill="auto"/>
          </w:tcPr>
          <w:p>
            <w:pPr>
              <w:spacing w:line="360" w:lineRule="auto"/>
              <w:jc w:val="both"/>
              <w:rPr>
                <w:rFonts w:ascii="Book Antiqua" w:hAnsi="Book Antiqua" w:eastAsia="华文彩云" w:cs="Arial"/>
                <w:color w:val="auto"/>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i w:val="0"/>
                <w:iCs/>
                <w:color w:val="auto"/>
                <w:kern w:val="0"/>
                <w:lang w:eastAsia="zh-CN"/>
              </w:rPr>
            </w:pPr>
            <w:r>
              <w:rPr>
                <w:rFonts w:ascii="Book Antiqua" w:hAnsi="Book Antiqua" w:eastAsia="华文彩云" w:cs="Arial"/>
                <w:i w:val="0"/>
                <w:iCs/>
                <w:color w:val="auto"/>
                <w:kern w:val="0"/>
                <w:lang w:eastAsia="zh-CN"/>
              </w:rPr>
              <w:t>≥ 70</w:t>
            </w:r>
          </w:p>
        </w:tc>
        <w:tc>
          <w:tcPr>
            <w:tcW w:w="726" w:type="pc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1.301</w:t>
            </w:r>
          </w:p>
        </w:tc>
        <w:tc>
          <w:tcPr>
            <w:tcW w:w="1292" w:type="pct"/>
            <w:vMerge w:val="continue"/>
            <w:shd w:val="clear" w:color="auto" w:fill="auto"/>
          </w:tcPr>
          <w:p>
            <w:pPr>
              <w:spacing w:line="360" w:lineRule="auto"/>
              <w:jc w:val="both"/>
              <w:rPr>
                <w:rFonts w:ascii="Book Antiqua" w:hAnsi="Book Antiqua" w:eastAsia="华文彩云" w:cs="Arial"/>
                <w:color w:val="auto"/>
                <w:kern w:val="0"/>
                <w:lang w:eastAsia="zh-CN"/>
              </w:rPr>
            </w:pPr>
          </w:p>
        </w:tc>
        <w:tc>
          <w:tcPr>
            <w:tcW w:w="867" w:type="pct"/>
            <w:vMerge w:val="continue"/>
            <w:shd w:val="clear" w:color="auto" w:fill="auto"/>
          </w:tcPr>
          <w:p>
            <w:pPr>
              <w:spacing w:line="360" w:lineRule="auto"/>
              <w:jc w:val="both"/>
              <w:rPr>
                <w:rFonts w:ascii="Book Antiqua" w:hAnsi="Book Antiqua" w:eastAsia="华文彩云" w:cs="Arial"/>
                <w:color w:val="auto"/>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b/>
                <w:bCs/>
                <w:i w:val="0"/>
                <w:iCs w:val="0"/>
                <w:color w:val="auto"/>
                <w:kern w:val="0"/>
                <w:lang w:eastAsia="zh-CN"/>
              </w:rPr>
            </w:pPr>
            <w:r>
              <w:rPr>
                <w:rFonts w:ascii="Book Antiqua" w:hAnsi="Book Antiqua" w:eastAsia="华文彩云" w:cs="Arial"/>
                <w:b/>
                <w:bCs/>
                <w:i w:val="0"/>
                <w:iCs/>
                <w:color w:val="auto"/>
                <w:kern w:val="0"/>
                <w:lang w:eastAsia="zh-CN"/>
              </w:rPr>
              <w:t>Gender</w:t>
            </w:r>
          </w:p>
        </w:tc>
        <w:tc>
          <w:tcPr>
            <w:tcW w:w="726" w:type="pct"/>
            <w:shd w:val="clear" w:color="auto" w:fill="auto"/>
          </w:tcPr>
          <w:p>
            <w:pPr>
              <w:spacing w:line="360" w:lineRule="auto"/>
              <w:jc w:val="both"/>
              <w:rPr>
                <w:rFonts w:ascii="Book Antiqua" w:hAnsi="Book Antiqua" w:eastAsia="华文彩云" w:cs="Arial"/>
                <w:b/>
                <w:bCs/>
                <w:iCs/>
                <w:color w:val="auto"/>
                <w:kern w:val="0"/>
                <w:lang w:eastAsia="zh-CN"/>
              </w:rPr>
            </w:pPr>
          </w:p>
        </w:tc>
        <w:tc>
          <w:tcPr>
            <w:tcW w:w="1292" w:type="pct"/>
            <w:shd w:val="clear" w:color="auto" w:fill="auto"/>
          </w:tcPr>
          <w:p>
            <w:pPr>
              <w:spacing w:line="360" w:lineRule="auto"/>
              <w:jc w:val="both"/>
              <w:rPr>
                <w:rFonts w:ascii="Book Antiqua" w:hAnsi="Book Antiqua" w:eastAsia="华文彩云" w:cs="Arial"/>
                <w:b/>
                <w:bCs/>
                <w:iCs/>
                <w:color w:val="auto"/>
                <w:kern w:val="0"/>
                <w:lang w:eastAsia="zh-CN"/>
              </w:rPr>
            </w:pPr>
          </w:p>
        </w:tc>
        <w:tc>
          <w:tcPr>
            <w:tcW w:w="867" w:type="pct"/>
            <w:shd w:val="clear" w:color="auto" w:fill="auto"/>
          </w:tcPr>
          <w:p>
            <w:pPr>
              <w:spacing w:line="360" w:lineRule="auto"/>
              <w:jc w:val="both"/>
              <w:rPr>
                <w:rFonts w:ascii="Book Antiqua" w:hAnsi="Book Antiqua" w:eastAsia="华文彩云" w:cs="Arial"/>
                <w:bCs/>
                <w:iCs/>
                <w:color w:val="auto"/>
                <w:kern w:val="0"/>
                <w:lang w:eastAsia="zh-CN"/>
              </w:rPr>
            </w:pPr>
            <w:r>
              <w:rPr>
                <w:rFonts w:ascii="Book Antiqua" w:hAnsi="Book Antiqua" w:eastAsia="华文彩云" w:cs="Arial"/>
                <w:bCs/>
                <w:iCs/>
                <w:color w:val="auto"/>
                <w:kern w:val="0"/>
                <w:lang w:eastAsia="zh-CN"/>
              </w:rPr>
              <w:t>0.451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i w:val="0"/>
                <w:iCs/>
                <w:color w:val="auto"/>
                <w:kern w:val="0"/>
                <w:lang w:eastAsia="zh-CN"/>
              </w:rPr>
            </w:pPr>
            <w:r>
              <w:rPr>
                <w:rFonts w:ascii="Book Antiqua" w:hAnsi="Book Antiqua" w:eastAsia="华文彩云" w:cs="Arial"/>
                <w:i w:val="0"/>
                <w:iCs/>
                <w:color w:val="auto"/>
                <w:kern w:val="0"/>
                <w:lang w:eastAsia="zh-CN"/>
              </w:rPr>
              <w:t>Male</w:t>
            </w:r>
          </w:p>
        </w:tc>
        <w:tc>
          <w:tcPr>
            <w:tcW w:w="726" w:type="pc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1.000</w:t>
            </w:r>
          </w:p>
        </w:tc>
        <w:tc>
          <w:tcPr>
            <w:tcW w:w="1292" w:type="pct"/>
            <w:vMerge w:val="restar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0.261-1.1.816</w:t>
            </w:r>
          </w:p>
        </w:tc>
        <w:tc>
          <w:tcPr>
            <w:tcW w:w="867" w:type="pct"/>
            <w:vMerge w:val="restart"/>
            <w:shd w:val="clear" w:color="auto" w:fill="auto"/>
          </w:tcPr>
          <w:p>
            <w:pPr>
              <w:spacing w:line="360" w:lineRule="auto"/>
              <w:jc w:val="both"/>
              <w:rPr>
                <w:rFonts w:ascii="Book Antiqua" w:hAnsi="Book Antiqua" w:eastAsia="华文彩云" w:cs="Arial"/>
                <w:color w:val="auto"/>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i w:val="0"/>
                <w:iCs/>
                <w:color w:val="auto"/>
                <w:kern w:val="0"/>
                <w:lang w:eastAsia="zh-CN"/>
              </w:rPr>
            </w:pPr>
            <w:r>
              <w:rPr>
                <w:rFonts w:ascii="Book Antiqua" w:hAnsi="Book Antiqua" w:eastAsia="华文彩云" w:cs="Arial"/>
                <w:i w:val="0"/>
                <w:iCs/>
                <w:color w:val="auto"/>
                <w:kern w:val="0"/>
                <w:lang w:eastAsia="zh-CN"/>
              </w:rPr>
              <w:t>Female</w:t>
            </w:r>
          </w:p>
        </w:tc>
        <w:tc>
          <w:tcPr>
            <w:tcW w:w="726" w:type="pc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0.689</w:t>
            </w:r>
          </w:p>
        </w:tc>
        <w:tc>
          <w:tcPr>
            <w:tcW w:w="1292" w:type="pct"/>
            <w:vMerge w:val="continue"/>
            <w:shd w:val="clear" w:color="auto" w:fill="auto"/>
          </w:tcPr>
          <w:p>
            <w:pPr>
              <w:spacing w:line="360" w:lineRule="auto"/>
              <w:jc w:val="both"/>
              <w:rPr>
                <w:rFonts w:ascii="Book Antiqua" w:hAnsi="Book Antiqua" w:eastAsia="华文彩云" w:cs="Arial"/>
                <w:color w:val="auto"/>
                <w:kern w:val="0"/>
                <w:lang w:eastAsia="zh-CN"/>
              </w:rPr>
            </w:pPr>
          </w:p>
        </w:tc>
        <w:tc>
          <w:tcPr>
            <w:tcW w:w="867" w:type="pct"/>
            <w:vMerge w:val="continue"/>
            <w:shd w:val="clear" w:color="auto" w:fill="auto"/>
          </w:tcPr>
          <w:p>
            <w:pPr>
              <w:spacing w:line="360" w:lineRule="auto"/>
              <w:jc w:val="both"/>
              <w:rPr>
                <w:rFonts w:ascii="Book Antiqua" w:hAnsi="Book Antiqua" w:eastAsia="华文彩云" w:cs="Arial"/>
                <w:color w:val="auto"/>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b/>
                <w:bCs/>
                <w:i w:val="0"/>
                <w:iCs w:val="0"/>
                <w:color w:val="auto"/>
                <w:kern w:val="0"/>
                <w:lang w:eastAsia="zh-CN"/>
              </w:rPr>
            </w:pPr>
            <w:r>
              <w:rPr>
                <w:rFonts w:ascii="Book Antiqua" w:hAnsi="Book Antiqua" w:eastAsia="华文彩云" w:cs="Arial"/>
                <w:b/>
                <w:bCs/>
                <w:i w:val="0"/>
                <w:iCs/>
                <w:color w:val="auto"/>
                <w:kern w:val="0"/>
                <w:lang w:eastAsia="zh-CN"/>
              </w:rPr>
              <w:t>Primary tumor size</w:t>
            </w:r>
          </w:p>
        </w:tc>
        <w:tc>
          <w:tcPr>
            <w:tcW w:w="726" w:type="pct"/>
            <w:shd w:val="clear" w:color="auto" w:fill="auto"/>
          </w:tcPr>
          <w:p>
            <w:pPr>
              <w:spacing w:line="360" w:lineRule="auto"/>
              <w:jc w:val="both"/>
              <w:rPr>
                <w:rFonts w:ascii="Book Antiqua" w:hAnsi="Book Antiqua" w:eastAsia="华文彩云" w:cs="Arial"/>
                <w:b/>
                <w:bCs/>
                <w:iCs/>
                <w:color w:val="auto"/>
                <w:kern w:val="0"/>
                <w:lang w:eastAsia="zh-CN"/>
              </w:rPr>
            </w:pPr>
          </w:p>
        </w:tc>
        <w:tc>
          <w:tcPr>
            <w:tcW w:w="1292" w:type="pct"/>
            <w:shd w:val="clear" w:color="auto" w:fill="auto"/>
          </w:tcPr>
          <w:p>
            <w:pPr>
              <w:spacing w:line="360" w:lineRule="auto"/>
              <w:jc w:val="both"/>
              <w:rPr>
                <w:rFonts w:ascii="Book Antiqua" w:hAnsi="Book Antiqua" w:eastAsia="华文彩云" w:cs="Arial"/>
                <w:b/>
                <w:bCs/>
                <w:iCs/>
                <w:color w:val="auto"/>
                <w:kern w:val="0"/>
                <w:lang w:eastAsia="zh-CN"/>
              </w:rPr>
            </w:pPr>
          </w:p>
        </w:tc>
        <w:tc>
          <w:tcPr>
            <w:tcW w:w="867" w:type="pct"/>
            <w:shd w:val="clear" w:color="auto" w:fill="auto"/>
          </w:tcPr>
          <w:p>
            <w:pPr>
              <w:spacing w:line="360" w:lineRule="auto"/>
              <w:jc w:val="both"/>
              <w:rPr>
                <w:rFonts w:ascii="Book Antiqua" w:hAnsi="Book Antiqua" w:eastAsia="华文彩云" w:cs="Arial"/>
                <w:bCs/>
                <w:iCs/>
                <w:color w:val="auto"/>
                <w:kern w:val="0"/>
                <w:lang w:eastAsia="zh-CN"/>
              </w:rPr>
            </w:pPr>
            <w:r>
              <w:rPr>
                <w:rFonts w:ascii="Book Antiqua" w:hAnsi="Book Antiqua" w:eastAsia="华文彩云" w:cs="Arial"/>
                <w:bCs/>
                <w:iCs/>
                <w:color w:val="auto"/>
                <w:kern w:val="0"/>
                <w:lang w:eastAsia="zh-CN"/>
              </w:rPr>
              <w:t>0.926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i w:val="0"/>
                <w:iCs/>
                <w:color w:val="auto"/>
                <w:kern w:val="0"/>
                <w:lang w:eastAsia="zh-CN"/>
              </w:rPr>
            </w:pPr>
            <w:r>
              <w:rPr>
                <w:rFonts w:ascii="Book Antiqua" w:hAnsi="Book Antiqua" w:eastAsia="华文彩云" w:cs="Arial"/>
                <w:i w:val="0"/>
                <w:iCs/>
                <w:color w:val="auto"/>
                <w:kern w:val="0"/>
                <w:lang w:eastAsia="zh-CN"/>
              </w:rPr>
              <w:t>≤ 3 cm</w:t>
            </w:r>
          </w:p>
        </w:tc>
        <w:tc>
          <w:tcPr>
            <w:tcW w:w="726" w:type="pc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1.000</w:t>
            </w:r>
          </w:p>
        </w:tc>
        <w:tc>
          <w:tcPr>
            <w:tcW w:w="1292" w:type="pct"/>
            <w:vMerge w:val="restar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0.479-2.242</w:t>
            </w:r>
          </w:p>
        </w:tc>
        <w:tc>
          <w:tcPr>
            <w:tcW w:w="867" w:type="pct"/>
            <w:vMerge w:val="restart"/>
            <w:shd w:val="clear" w:color="auto" w:fill="auto"/>
          </w:tcPr>
          <w:p>
            <w:pPr>
              <w:spacing w:line="360" w:lineRule="auto"/>
              <w:jc w:val="both"/>
              <w:rPr>
                <w:rFonts w:ascii="Book Antiqua" w:hAnsi="Book Antiqua" w:eastAsia="华文彩云" w:cs="Arial"/>
                <w:color w:val="auto"/>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i w:val="0"/>
                <w:iCs/>
                <w:color w:val="auto"/>
                <w:kern w:val="0"/>
                <w:lang w:eastAsia="zh-CN"/>
              </w:rPr>
            </w:pPr>
            <w:r>
              <w:rPr>
                <w:rFonts w:ascii="Book Antiqua" w:hAnsi="Book Antiqua" w:eastAsia="华文彩云" w:cs="Arial"/>
                <w:i w:val="0"/>
                <w:iCs/>
                <w:color w:val="auto"/>
                <w:kern w:val="0"/>
                <w:lang w:eastAsia="zh-CN"/>
              </w:rPr>
              <w:t>&gt; 3 cm</w:t>
            </w:r>
          </w:p>
        </w:tc>
        <w:tc>
          <w:tcPr>
            <w:tcW w:w="726" w:type="pc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1.037</w:t>
            </w:r>
          </w:p>
        </w:tc>
        <w:tc>
          <w:tcPr>
            <w:tcW w:w="1292" w:type="pct"/>
            <w:vMerge w:val="continue"/>
            <w:shd w:val="clear" w:color="auto" w:fill="auto"/>
          </w:tcPr>
          <w:p>
            <w:pPr>
              <w:spacing w:line="360" w:lineRule="auto"/>
              <w:jc w:val="both"/>
              <w:rPr>
                <w:rFonts w:ascii="Book Antiqua" w:hAnsi="Book Antiqua" w:eastAsia="华文彩云" w:cs="Arial"/>
                <w:color w:val="auto"/>
                <w:kern w:val="0"/>
                <w:lang w:eastAsia="zh-CN"/>
              </w:rPr>
            </w:pPr>
          </w:p>
        </w:tc>
        <w:tc>
          <w:tcPr>
            <w:tcW w:w="867" w:type="pct"/>
            <w:vMerge w:val="continue"/>
            <w:shd w:val="clear" w:color="auto" w:fill="auto"/>
          </w:tcPr>
          <w:p>
            <w:pPr>
              <w:spacing w:line="360" w:lineRule="auto"/>
              <w:jc w:val="both"/>
              <w:rPr>
                <w:rFonts w:ascii="Book Antiqua" w:hAnsi="Book Antiqua" w:eastAsia="华文彩云" w:cs="Arial"/>
                <w:color w:val="auto"/>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b/>
                <w:bCs/>
                <w:i w:val="0"/>
                <w:iCs w:val="0"/>
                <w:color w:val="auto"/>
                <w:kern w:val="0"/>
                <w:lang w:eastAsia="zh-CN"/>
              </w:rPr>
            </w:pPr>
            <w:r>
              <w:rPr>
                <w:rFonts w:ascii="Book Antiqua" w:hAnsi="Book Antiqua" w:eastAsia="华文彩云" w:cs="Arial"/>
                <w:b/>
                <w:bCs/>
                <w:i w:val="0"/>
                <w:iCs/>
                <w:color w:val="auto"/>
                <w:kern w:val="0"/>
                <w:lang w:eastAsia="zh-CN"/>
              </w:rPr>
              <w:t>Gross type</w:t>
            </w:r>
          </w:p>
        </w:tc>
        <w:tc>
          <w:tcPr>
            <w:tcW w:w="726" w:type="pct"/>
            <w:shd w:val="clear" w:color="auto" w:fill="auto"/>
          </w:tcPr>
          <w:p>
            <w:pPr>
              <w:spacing w:line="360" w:lineRule="auto"/>
              <w:jc w:val="both"/>
              <w:rPr>
                <w:rFonts w:ascii="Book Antiqua" w:hAnsi="Book Antiqua" w:eastAsia="华文彩云" w:cs="Arial"/>
                <w:b/>
                <w:bCs/>
                <w:iCs/>
                <w:color w:val="auto"/>
                <w:kern w:val="0"/>
                <w:lang w:eastAsia="zh-CN"/>
              </w:rPr>
            </w:pPr>
          </w:p>
        </w:tc>
        <w:tc>
          <w:tcPr>
            <w:tcW w:w="1292" w:type="pct"/>
            <w:shd w:val="clear" w:color="auto" w:fill="auto"/>
          </w:tcPr>
          <w:p>
            <w:pPr>
              <w:spacing w:line="360" w:lineRule="auto"/>
              <w:jc w:val="both"/>
              <w:rPr>
                <w:rFonts w:ascii="Book Antiqua" w:hAnsi="Book Antiqua" w:eastAsia="华文彩云" w:cs="Arial"/>
                <w:b/>
                <w:bCs/>
                <w:iCs/>
                <w:color w:val="auto"/>
                <w:kern w:val="0"/>
                <w:lang w:eastAsia="zh-CN"/>
              </w:rPr>
            </w:pPr>
          </w:p>
        </w:tc>
        <w:tc>
          <w:tcPr>
            <w:tcW w:w="867" w:type="pct"/>
            <w:shd w:val="clear" w:color="auto" w:fill="auto"/>
          </w:tcPr>
          <w:p>
            <w:pPr>
              <w:spacing w:line="360" w:lineRule="auto"/>
              <w:jc w:val="both"/>
              <w:rPr>
                <w:rFonts w:ascii="Book Antiqua" w:hAnsi="Book Antiqua" w:eastAsia="华文彩云" w:cs="Arial"/>
                <w:bCs/>
                <w:iCs/>
                <w:color w:val="auto"/>
                <w:kern w:val="0"/>
                <w:lang w:eastAsia="zh-CN"/>
              </w:rPr>
            </w:pPr>
            <w:r>
              <w:rPr>
                <w:rFonts w:ascii="Book Antiqua" w:hAnsi="Book Antiqua" w:eastAsia="华文彩云" w:cs="Arial"/>
                <w:bCs/>
                <w:iCs/>
                <w:color w:val="auto"/>
                <w:kern w:val="0"/>
                <w:lang w:eastAsia="zh-CN"/>
              </w:rPr>
              <w:t>0.014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i w:val="0"/>
                <w:iCs/>
                <w:color w:val="auto"/>
                <w:kern w:val="0"/>
                <w:lang w:eastAsia="zh-CN"/>
              </w:rPr>
            </w:pPr>
            <w:r>
              <w:rPr>
                <w:rFonts w:ascii="Book Antiqua" w:hAnsi="Book Antiqua" w:eastAsia="华文彩云" w:cs="Arial"/>
                <w:i w:val="0"/>
                <w:iCs/>
                <w:color w:val="auto"/>
                <w:kern w:val="0"/>
                <w:lang w:eastAsia="zh-CN"/>
              </w:rPr>
              <w:t>Non-ulcerative type</w:t>
            </w:r>
          </w:p>
        </w:tc>
        <w:tc>
          <w:tcPr>
            <w:tcW w:w="726" w:type="pc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1.000</w:t>
            </w:r>
          </w:p>
        </w:tc>
        <w:tc>
          <w:tcPr>
            <w:tcW w:w="1292" w:type="pct"/>
            <w:vMerge w:val="restar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1.285-8.932</w:t>
            </w:r>
          </w:p>
        </w:tc>
        <w:tc>
          <w:tcPr>
            <w:tcW w:w="867" w:type="pct"/>
            <w:vMerge w:val="restart"/>
            <w:shd w:val="clear" w:color="auto" w:fill="auto"/>
          </w:tcPr>
          <w:p>
            <w:pPr>
              <w:spacing w:line="360" w:lineRule="auto"/>
              <w:jc w:val="both"/>
              <w:rPr>
                <w:rFonts w:ascii="Book Antiqua" w:hAnsi="Book Antiqua" w:eastAsia="华文彩云" w:cs="Arial"/>
                <w:color w:val="auto"/>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i w:val="0"/>
                <w:iCs/>
                <w:color w:val="auto"/>
                <w:kern w:val="0"/>
                <w:lang w:eastAsia="zh-CN"/>
              </w:rPr>
            </w:pPr>
            <w:r>
              <w:rPr>
                <w:rFonts w:ascii="Book Antiqua" w:hAnsi="Book Antiqua" w:eastAsia="华文彩云" w:cs="Arial"/>
                <w:i w:val="0"/>
                <w:iCs/>
                <w:color w:val="auto"/>
                <w:kern w:val="0"/>
                <w:lang w:eastAsia="zh-CN"/>
              </w:rPr>
              <w:t>Ulcerative type</w:t>
            </w:r>
          </w:p>
        </w:tc>
        <w:tc>
          <w:tcPr>
            <w:tcW w:w="726" w:type="pc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3.388</w:t>
            </w:r>
          </w:p>
        </w:tc>
        <w:tc>
          <w:tcPr>
            <w:tcW w:w="1292" w:type="pct"/>
            <w:vMerge w:val="continue"/>
            <w:shd w:val="clear" w:color="auto" w:fill="auto"/>
          </w:tcPr>
          <w:p>
            <w:pPr>
              <w:spacing w:line="360" w:lineRule="auto"/>
              <w:jc w:val="both"/>
              <w:rPr>
                <w:rFonts w:ascii="Book Antiqua" w:hAnsi="Book Antiqua" w:eastAsia="华文彩云" w:cs="Arial"/>
                <w:color w:val="auto"/>
                <w:kern w:val="0"/>
                <w:lang w:eastAsia="zh-CN"/>
              </w:rPr>
            </w:pPr>
          </w:p>
        </w:tc>
        <w:tc>
          <w:tcPr>
            <w:tcW w:w="867" w:type="pct"/>
            <w:vMerge w:val="continue"/>
            <w:shd w:val="clear" w:color="auto" w:fill="auto"/>
          </w:tcPr>
          <w:p>
            <w:pPr>
              <w:spacing w:line="360" w:lineRule="auto"/>
              <w:jc w:val="both"/>
              <w:rPr>
                <w:rFonts w:ascii="Book Antiqua" w:hAnsi="Book Antiqua" w:eastAsia="华文彩云" w:cs="Arial"/>
                <w:color w:val="auto"/>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b/>
                <w:bCs/>
                <w:i w:val="0"/>
                <w:iCs w:val="0"/>
                <w:color w:val="auto"/>
                <w:kern w:val="0"/>
                <w:lang w:eastAsia="zh-CN"/>
              </w:rPr>
            </w:pPr>
            <w:r>
              <w:rPr>
                <w:rFonts w:ascii="Book Antiqua" w:hAnsi="Book Antiqua" w:eastAsia="华文彩云" w:cs="Arial"/>
                <w:b/>
                <w:bCs/>
                <w:i w:val="0"/>
                <w:iCs/>
                <w:color w:val="auto"/>
                <w:kern w:val="0"/>
                <w:lang w:eastAsia="zh-CN"/>
              </w:rPr>
              <w:t>Differentiation</w:t>
            </w:r>
          </w:p>
        </w:tc>
        <w:tc>
          <w:tcPr>
            <w:tcW w:w="726" w:type="pct"/>
            <w:shd w:val="clear" w:color="auto" w:fill="auto"/>
          </w:tcPr>
          <w:p>
            <w:pPr>
              <w:spacing w:line="360" w:lineRule="auto"/>
              <w:jc w:val="both"/>
              <w:rPr>
                <w:rFonts w:ascii="Book Antiqua" w:hAnsi="Book Antiqua" w:eastAsia="华文彩云" w:cs="Arial"/>
                <w:b/>
                <w:bCs/>
                <w:iCs/>
                <w:color w:val="auto"/>
                <w:kern w:val="0"/>
                <w:lang w:eastAsia="zh-CN"/>
              </w:rPr>
            </w:pPr>
          </w:p>
        </w:tc>
        <w:tc>
          <w:tcPr>
            <w:tcW w:w="1292" w:type="pct"/>
            <w:shd w:val="clear" w:color="auto" w:fill="auto"/>
          </w:tcPr>
          <w:p>
            <w:pPr>
              <w:spacing w:line="360" w:lineRule="auto"/>
              <w:jc w:val="both"/>
              <w:rPr>
                <w:rFonts w:ascii="Book Antiqua" w:hAnsi="Book Antiqua" w:eastAsia="华文彩云" w:cs="Arial"/>
                <w:b/>
                <w:bCs/>
                <w:iCs/>
                <w:color w:val="auto"/>
                <w:kern w:val="0"/>
                <w:lang w:eastAsia="zh-CN"/>
              </w:rPr>
            </w:pPr>
          </w:p>
        </w:tc>
        <w:tc>
          <w:tcPr>
            <w:tcW w:w="867" w:type="pct"/>
            <w:shd w:val="clear" w:color="auto" w:fill="auto"/>
          </w:tcPr>
          <w:p>
            <w:pPr>
              <w:spacing w:line="360" w:lineRule="auto"/>
              <w:jc w:val="both"/>
              <w:rPr>
                <w:rFonts w:ascii="Book Antiqua" w:hAnsi="Book Antiqua" w:eastAsia="华文彩云" w:cs="Arial"/>
                <w:bCs/>
                <w:iCs/>
                <w:color w:val="auto"/>
                <w:kern w:val="0"/>
                <w:lang w:eastAsia="zh-CN"/>
              </w:rPr>
            </w:pPr>
            <w:r>
              <w:rPr>
                <w:rFonts w:ascii="Book Antiqua" w:hAnsi="Book Antiqua" w:eastAsia="华文彩云" w:cs="Arial"/>
                <w:bCs/>
                <w:iCs/>
                <w:color w:val="auto"/>
                <w:kern w:val="0"/>
                <w:lang w:eastAsia="zh-CN"/>
              </w:rPr>
              <w:t>0.032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i w:val="0"/>
                <w:iCs/>
                <w:color w:val="auto"/>
                <w:kern w:val="0"/>
                <w:lang w:eastAsia="zh-CN"/>
              </w:rPr>
            </w:pPr>
            <w:r>
              <w:rPr>
                <w:rFonts w:ascii="Book Antiqua" w:hAnsi="Book Antiqua" w:eastAsia="华文彩云" w:cs="Arial"/>
                <w:i w:val="0"/>
                <w:iCs/>
                <w:color w:val="auto"/>
                <w:kern w:val="0"/>
                <w:lang w:eastAsia="zh-CN"/>
              </w:rPr>
              <w:t>Well/Moderate</w:t>
            </w:r>
          </w:p>
        </w:tc>
        <w:tc>
          <w:tcPr>
            <w:tcW w:w="726" w:type="pc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1.000</w:t>
            </w:r>
          </w:p>
        </w:tc>
        <w:tc>
          <w:tcPr>
            <w:tcW w:w="1292" w:type="pct"/>
            <w:vMerge w:val="restar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1.083-5.629</w:t>
            </w:r>
          </w:p>
        </w:tc>
        <w:tc>
          <w:tcPr>
            <w:tcW w:w="867" w:type="pct"/>
            <w:vMerge w:val="restart"/>
            <w:shd w:val="clear" w:color="auto" w:fill="auto"/>
          </w:tcPr>
          <w:p>
            <w:pPr>
              <w:spacing w:line="360" w:lineRule="auto"/>
              <w:jc w:val="both"/>
              <w:rPr>
                <w:rFonts w:ascii="Book Antiqua" w:hAnsi="Book Antiqua" w:eastAsia="华文彩云" w:cs="Arial"/>
                <w:color w:val="auto"/>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i w:val="0"/>
                <w:iCs/>
                <w:color w:val="auto"/>
                <w:kern w:val="0"/>
                <w:lang w:eastAsia="zh-CN"/>
              </w:rPr>
            </w:pPr>
            <w:r>
              <w:rPr>
                <w:rFonts w:ascii="Book Antiqua" w:hAnsi="Book Antiqua" w:eastAsia="华文彩云" w:cs="Arial"/>
                <w:i w:val="0"/>
                <w:iCs/>
                <w:color w:val="auto"/>
                <w:kern w:val="0"/>
                <w:lang w:eastAsia="zh-CN"/>
              </w:rPr>
              <w:t>Poor</w:t>
            </w:r>
          </w:p>
        </w:tc>
        <w:tc>
          <w:tcPr>
            <w:tcW w:w="726" w:type="pc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2.469</w:t>
            </w:r>
          </w:p>
        </w:tc>
        <w:tc>
          <w:tcPr>
            <w:tcW w:w="1292" w:type="pct"/>
            <w:vMerge w:val="continue"/>
            <w:shd w:val="clear" w:color="auto" w:fill="auto"/>
          </w:tcPr>
          <w:p>
            <w:pPr>
              <w:spacing w:line="360" w:lineRule="auto"/>
              <w:jc w:val="both"/>
              <w:rPr>
                <w:rFonts w:ascii="Book Antiqua" w:hAnsi="Book Antiqua" w:eastAsia="华文彩云" w:cs="Arial"/>
                <w:color w:val="auto"/>
                <w:kern w:val="0"/>
                <w:lang w:eastAsia="zh-CN"/>
              </w:rPr>
            </w:pPr>
          </w:p>
        </w:tc>
        <w:tc>
          <w:tcPr>
            <w:tcW w:w="867" w:type="pct"/>
            <w:vMerge w:val="continue"/>
            <w:shd w:val="clear" w:color="auto" w:fill="auto"/>
          </w:tcPr>
          <w:p>
            <w:pPr>
              <w:spacing w:line="360" w:lineRule="auto"/>
              <w:jc w:val="both"/>
              <w:rPr>
                <w:rFonts w:ascii="Book Antiqua" w:hAnsi="Book Antiqua" w:eastAsia="华文彩云" w:cs="Arial"/>
                <w:color w:val="auto"/>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b/>
                <w:bCs/>
                <w:i w:val="0"/>
                <w:iCs w:val="0"/>
                <w:color w:val="auto"/>
                <w:kern w:val="0"/>
                <w:lang w:eastAsia="zh-CN"/>
              </w:rPr>
            </w:pPr>
            <w:r>
              <w:rPr>
                <w:rFonts w:ascii="Book Antiqua" w:hAnsi="Book Antiqua" w:eastAsia="华文彩云" w:cs="Arial"/>
                <w:b/>
                <w:bCs/>
                <w:i w:val="0"/>
                <w:iCs/>
                <w:color w:val="auto"/>
                <w:kern w:val="0"/>
                <w:lang w:eastAsia="zh-CN"/>
              </w:rPr>
              <w:t>T stage</w:t>
            </w:r>
          </w:p>
        </w:tc>
        <w:tc>
          <w:tcPr>
            <w:tcW w:w="726" w:type="pct"/>
            <w:shd w:val="clear" w:color="auto" w:fill="auto"/>
          </w:tcPr>
          <w:p>
            <w:pPr>
              <w:spacing w:line="360" w:lineRule="auto"/>
              <w:jc w:val="both"/>
              <w:rPr>
                <w:rFonts w:ascii="Book Antiqua" w:hAnsi="Book Antiqua" w:eastAsia="华文彩云" w:cs="Arial"/>
                <w:b/>
                <w:bCs/>
                <w:iCs/>
                <w:color w:val="auto"/>
                <w:kern w:val="0"/>
                <w:lang w:eastAsia="zh-CN"/>
              </w:rPr>
            </w:pPr>
          </w:p>
        </w:tc>
        <w:tc>
          <w:tcPr>
            <w:tcW w:w="1292" w:type="pct"/>
            <w:shd w:val="clear" w:color="auto" w:fill="auto"/>
          </w:tcPr>
          <w:p>
            <w:pPr>
              <w:spacing w:line="360" w:lineRule="auto"/>
              <w:jc w:val="both"/>
              <w:rPr>
                <w:rFonts w:ascii="Book Antiqua" w:hAnsi="Book Antiqua" w:eastAsia="华文彩云" w:cs="Arial"/>
                <w:b/>
                <w:bCs/>
                <w:iCs/>
                <w:color w:val="auto"/>
                <w:kern w:val="0"/>
                <w:lang w:eastAsia="zh-CN"/>
              </w:rPr>
            </w:pPr>
          </w:p>
        </w:tc>
        <w:tc>
          <w:tcPr>
            <w:tcW w:w="867" w:type="pct"/>
            <w:shd w:val="clear" w:color="auto" w:fill="auto"/>
          </w:tcPr>
          <w:p>
            <w:pPr>
              <w:spacing w:line="360" w:lineRule="auto"/>
              <w:jc w:val="both"/>
              <w:rPr>
                <w:rFonts w:ascii="Book Antiqua" w:hAnsi="Book Antiqua" w:eastAsia="华文彩云" w:cs="Arial"/>
                <w:bCs/>
                <w:iCs/>
                <w:color w:val="auto"/>
                <w:kern w:val="0"/>
                <w:lang w:eastAsia="zh-CN"/>
              </w:rPr>
            </w:pPr>
            <w:r>
              <w:rPr>
                <w:rFonts w:ascii="Book Antiqua" w:hAnsi="Book Antiqua" w:eastAsia="华文彩云" w:cs="Arial"/>
                <w:bCs/>
                <w:iCs/>
                <w:color w:val="auto"/>
                <w:kern w:val="0"/>
                <w:lang w:eastAsia="zh-CN"/>
              </w:rPr>
              <w:t>0.289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i w:val="0"/>
                <w:iCs/>
                <w:color w:val="auto"/>
                <w:kern w:val="0"/>
                <w:lang w:eastAsia="zh-CN"/>
              </w:rPr>
            </w:pPr>
            <w:r>
              <w:rPr>
                <w:rFonts w:ascii="Book Antiqua" w:hAnsi="Book Antiqua" w:eastAsia="华文彩云" w:cs="Arial"/>
                <w:i w:val="0"/>
                <w:iCs/>
                <w:color w:val="auto"/>
                <w:kern w:val="0"/>
                <w:lang w:eastAsia="zh-CN"/>
              </w:rPr>
              <w:t>T1/T2</w:t>
            </w:r>
          </w:p>
        </w:tc>
        <w:tc>
          <w:tcPr>
            <w:tcW w:w="726" w:type="pc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1.000</w:t>
            </w:r>
          </w:p>
        </w:tc>
        <w:tc>
          <w:tcPr>
            <w:tcW w:w="1292" w:type="pct"/>
            <w:vMerge w:val="restar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0.671-3.823</w:t>
            </w:r>
          </w:p>
        </w:tc>
        <w:tc>
          <w:tcPr>
            <w:tcW w:w="867" w:type="pct"/>
            <w:vMerge w:val="restart"/>
            <w:shd w:val="clear" w:color="auto" w:fill="auto"/>
          </w:tcPr>
          <w:p>
            <w:pPr>
              <w:spacing w:line="360" w:lineRule="auto"/>
              <w:jc w:val="both"/>
              <w:rPr>
                <w:rFonts w:ascii="Book Antiqua" w:hAnsi="Book Antiqua" w:eastAsia="华文彩云" w:cs="Arial"/>
                <w:color w:val="auto"/>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i w:val="0"/>
                <w:iCs/>
                <w:color w:val="auto"/>
                <w:kern w:val="0"/>
                <w:lang w:eastAsia="zh-CN"/>
              </w:rPr>
            </w:pPr>
            <w:r>
              <w:rPr>
                <w:rFonts w:ascii="Book Antiqua" w:hAnsi="Book Antiqua" w:eastAsia="华文彩云" w:cs="Arial"/>
                <w:i w:val="0"/>
                <w:iCs/>
                <w:color w:val="auto"/>
                <w:kern w:val="0"/>
                <w:lang w:eastAsia="zh-CN"/>
              </w:rPr>
              <w:t>T3/T4</w:t>
            </w:r>
          </w:p>
        </w:tc>
        <w:tc>
          <w:tcPr>
            <w:tcW w:w="726" w:type="pc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1.601</w:t>
            </w:r>
          </w:p>
        </w:tc>
        <w:tc>
          <w:tcPr>
            <w:tcW w:w="1292" w:type="pct"/>
            <w:vMerge w:val="continue"/>
            <w:shd w:val="clear" w:color="auto" w:fill="auto"/>
          </w:tcPr>
          <w:p>
            <w:pPr>
              <w:spacing w:line="360" w:lineRule="auto"/>
              <w:jc w:val="both"/>
              <w:rPr>
                <w:rFonts w:ascii="Book Antiqua" w:hAnsi="Book Antiqua" w:eastAsia="华文彩云" w:cs="Arial"/>
                <w:color w:val="auto"/>
                <w:kern w:val="0"/>
                <w:lang w:eastAsia="zh-CN"/>
              </w:rPr>
            </w:pPr>
          </w:p>
        </w:tc>
        <w:tc>
          <w:tcPr>
            <w:tcW w:w="867" w:type="pct"/>
            <w:vMerge w:val="continue"/>
            <w:shd w:val="clear" w:color="auto" w:fill="auto"/>
          </w:tcPr>
          <w:p>
            <w:pPr>
              <w:spacing w:line="360" w:lineRule="auto"/>
              <w:jc w:val="both"/>
              <w:rPr>
                <w:rFonts w:ascii="Book Antiqua" w:hAnsi="Book Antiqua" w:eastAsia="华文彩云" w:cs="Arial"/>
                <w:color w:val="auto"/>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b/>
                <w:bCs/>
                <w:i w:val="0"/>
                <w:iCs w:val="0"/>
                <w:color w:val="auto"/>
                <w:kern w:val="0"/>
                <w:lang w:eastAsia="zh-CN"/>
              </w:rPr>
            </w:pPr>
            <w:r>
              <w:rPr>
                <w:rFonts w:ascii="Book Antiqua" w:hAnsi="Book Antiqua" w:eastAsia="华文彩云" w:cs="Arial"/>
                <w:b/>
                <w:bCs/>
                <w:i w:val="0"/>
                <w:iCs/>
                <w:color w:val="auto"/>
                <w:kern w:val="0"/>
                <w:lang w:eastAsia="zh-CN"/>
              </w:rPr>
              <w:t>Lymph node metastasis</w:t>
            </w:r>
          </w:p>
        </w:tc>
        <w:tc>
          <w:tcPr>
            <w:tcW w:w="726" w:type="pct"/>
            <w:shd w:val="clear" w:color="auto" w:fill="auto"/>
          </w:tcPr>
          <w:p>
            <w:pPr>
              <w:spacing w:line="360" w:lineRule="auto"/>
              <w:jc w:val="both"/>
              <w:rPr>
                <w:rFonts w:ascii="Book Antiqua" w:hAnsi="Book Antiqua" w:eastAsia="华文彩云" w:cs="Arial"/>
                <w:b/>
                <w:bCs/>
                <w:iCs/>
                <w:color w:val="auto"/>
                <w:kern w:val="0"/>
                <w:lang w:eastAsia="zh-CN"/>
              </w:rPr>
            </w:pPr>
          </w:p>
        </w:tc>
        <w:tc>
          <w:tcPr>
            <w:tcW w:w="1292" w:type="pct"/>
            <w:shd w:val="clear" w:color="auto" w:fill="auto"/>
          </w:tcPr>
          <w:p>
            <w:pPr>
              <w:spacing w:line="360" w:lineRule="auto"/>
              <w:jc w:val="both"/>
              <w:rPr>
                <w:rFonts w:ascii="Book Antiqua" w:hAnsi="Book Antiqua" w:eastAsia="华文彩云" w:cs="Arial"/>
                <w:b/>
                <w:bCs/>
                <w:iCs/>
                <w:color w:val="auto"/>
                <w:kern w:val="0"/>
                <w:lang w:eastAsia="zh-CN"/>
              </w:rPr>
            </w:pPr>
          </w:p>
        </w:tc>
        <w:tc>
          <w:tcPr>
            <w:tcW w:w="867" w:type="pct"/>
            <w:shd w:val="clear" w:color="auto" w:fill="auto"/>
          </w:tcPr>
          <w:p>
            <w:pPr>
              <w:spacing w:line="360" w:lineRule="auto"/>
              <w:jc w:val="both"/>
              <w:rPr>
                <w:rFonts w:ascii="Book Antiqua" w:hAnsi="Book Antiqua" w:eastAsia="华文彩云" w:cs="Arial"/>
                <w:bCs/>
                <w:iCs/>
                <w:color w:val="auto"/>
                <w:kern w:val="0"/>
                <w:lang w:eastAsia="zh-CN"/>
              </w:rPr>
            </w:pPr>
            <w:r>
              <w:rPr>
                <w:rFonts w:ascii="Book Antiqua" w:hAnsi="Book Antiqua" w:eastAsia="华文彩云" w:cs="Arial"/>
                <w:bCs/>
                <w:iCs/>
                <w:color w:val="auto"/>
                <w:kern w:val="0"/>
                <w:lang w:eastAsia="zh-CN"/>
              </w:rPr>
              <w:t>&lt;0.001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i w:val="0"/>
                <w:iCs/>
                <w:color w:val="auto"/>
                <w:kern w:val="0"/>
                <w:lang w:eastAsia="zh-CN"/>
              </w:rPr>
            </w:pPr>
            <w:r>
              <w:rPr>
                <w:rFonts w:ascii="Book Antiqua" w:hAnsi="Book Antiqua" w:eastAsia="华文彩云" w:cs="Arial"/>
                <w:i w:val="0"/>
                <w:iCs/>
                <w:color w:val="auto"/>
                <w:kern w:val="0"/>
                <w:lang w:eastAsia="zh-CN"/>
              </w:rPr>
              <w:t>No</w:t>
            </w:r>
          </w:p>
        </w:tc>
        <w:tc>
          <w:tcPr>
            <w:tcW w:w="726" w:type="pc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1.000</w:t>
            </w:r>
          </w:p>
        </w:tc>
        <w:tc>
          <w:tcPr>
            <w:tcW w:w="1292" w:type="pct"/>
            <w:vMerge w:val="restar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1.963-10.472</w:t>
            </w:r>
          </w:p>
        </w:tc>
        <w:tc>
          <w:tcPr>
            <w:tcW w:w="867" w:type="pct"/>
            <w:vMerge w:val="restart"/>
            <w:shd w:val="clear" w:color="auto" w:fill="auto"/>
          </w:tcPr>
          <w:p>
            <w:pPr>
              <w:spacing w:line="360" w:lineRule="auto"/>
              <w:jc w:val="both"/>
              <w:rPr>
                <w:rFonts w:ascii="Book Antiqua" w:hAnsi="Book Antiqua" w:eastAsia="华文彩云" w:cs="Arial"/>
                <w:color w:val="auto"/>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i w:val="0"/>
                <w:iCs/>
                <w:color w:val="auto"/>
                <w:kern w:val="0"/>
                <w:lang w:eastAsia="zh-CN"/>
              </w:rPr>
            </w:pPr>
            <w:r>
              <w:rPr>
                <w:rFonts w:ascii="Book Antiqua" w:hAnsi="Book Antiqua" w:eastAsia="华文彩云" w:cs="Arial"/>
                <w:i w:val="0"/>
                <w:iCs/>
                <w:color w:val="auto"/>
                <w:kern w:val="0"/>
                <w:lang w:eastAsia="zh-CN"/>
              </w:rPr>
              <w:t>Yes</w:t>
            </w:r>
          </w:p>
        </w:tc>
        <w:tc>
          <w:tcPr>
            <w:tcW w:w="726" w:type="pc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4.534</w:t>
            </w:r>
          </w:p>
        </w:tc>
        <w:tc>
          <w:tcPr>
            <w:tcW w:w="1292" w:type="pct"/>
            <w:vMerge w:val="continue"/>
            <w:shd w:val="clear" w:color="auto" w:fill="auto"/>
          </w:tcPr>
          <w:p>
            <w:pPr>
              <w:spacing w:line="360" w:lineRule="auto"/>
              <w:jc w:val="both"/>
              <w:rPr>
                <w:rFonts w:ascii="Book Antiqua" w:hAnsi="Book Antiqua" w:eastAsia="华文彩云" w:cs="Arial"/>
                <w:color w:val="auto"/>
                <w:kern w:val="0"/>
                <w:lang w:eastAsia="zh-CN"/>
              </w:rPr>
            </w:pPr>
          </w:p>
        </w:tc>
        <w:tc>
          <w:tcPr>
            <w:tcW w:w="867" w:type="pct"/>
            <w:vMerge w:val="continue"/>
            <w:shd w:val="clear" w:color="auto" w:fill="auto"/>
          </w:tcPr>
          <w:p>
            <w:pPr>
              <w:spacing w:line="360" w:lineRule="auto"/>
              <w:jc w:val="both"/>
              <w:rPr>
                <w:rFonts w:ascii="Book Antiqua" w:hAnsi="Book Antiqua" w:eastAsia="华文彩云" w:cs="Arial"/>
                <w:color w:val="auto"/>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hint="default" w:ascii="Book Antiqua" w:hAnsi="Book Antiqua" w:eastAsia="华文彩云" w:cs="Arial"/>
                <w:b/>
                <w:bCs/>
                <w:i w:val="0"/>
                <w:iCs w:val="0"/>
                <w:color w:val="auto"/>
                <w:kern w:val="0"/>
                <w:lang w:val="en-US" w:eastAsia="zh-CN"/>
              </w:rPr>
            </w:pPr>
            <w:r>
              <w:rPr>
                <w:rFonts w:ascii="Book Antiqua" w:hAnsi="Book Antiqua" w:eastAsia="华文彩云" w:cs="Arial"/>
                <w:b/>
                <w:bCs/>
                <w:i w:val="0"/>
                <w:iCs/>
                <w:color w:val="auto"/>
                <w:kern w:val="0"/>
                <w:lang w:eastAsia="zh-CN"/>
              </w:rPr>
              <w:t>cTNM sta</w:t>
            </w:r>
            <w:r>
              <w:rPr>
                <w:rFonts w:hint="eastAsia" w:ascii="Book Antiqua" w:hAnsi="Book Antiqua" w:eastAsia="华文彩云" w:cs="Arial"/>
                <w:b/>
                <w:bCs/>
                <w:i w:val="0"/>
                <w:iCs/>
                <w:color w:val="auto"/>
                <w:kern w:val="0"/>
                <w:lang w:val="en-US" w:eastAsia="zh-CN"/>
              </w:rPr>
              <w:t>ge</w:t>
            </w:r>
          </w:p>
        </w:tc>
        <w:tc>
          <w:tcPr>
            <w:tcW w:w="726" w:type="pct"/>
            <w:shd w:val="clear" w:color="auto" w:fill="auto"/>
          </w:tcPr>
          <w:p>
            <w:pPr>
              <w:spacing w:line="360" w:lineRule="auto"/>
              <w:jc w:val="both"/>
              <w:rPr>
                <w:rFonts w:ascii="Book Antiqua" w:hAnsi="Book Antiqua" w:eastAsia="华文彩云" w:cs="Arial"/>
                <w:b/>
                <w:bCs/>
                <w:iCs/>
                <w:color w:val="auto"/>
                <w:kern w:val="0"/>
                <w:lang w:eastAsia="zh-CN"/>
              </w:rPr>
            </w:pPr>
          </w:p>
        </w:tc>
        <w:tc>
          <w:tcPr>
            <w:tcW w:w="1292" w:type="pct"/>
            <w:shd w:val="clear" w:color="auto" w:fill="auto"/>
          </w:tcPr>
          <w:p>
            <w:pPr>
              <w:spacing w:line="360" w:lineRule="auto"/>
              <w:jc w:val="both"/>
              <w:rPr>
                <w:rFonts w:ascii="Book Antiqua" w:hAnsi="Book Antiqua" w:eastAsia="华文彩云" w:cs="Arial"/>
                <w:b/>
                <w:bCs/>
                <w:iCs/>
                <w:color w:val="auto"/>
                <w:kern w:val="0"/>
                <w:lang w:eastAsia="zh-CN"/>
              </w:rPr>
            </w:pPr>
          </w:p>
        </w:tc>
        <w:tc>
          <w:tcPr>
            <w:tcW w:w="867" w:type="pct"/>
            <w:shd w:val="clear" w:color="auto" w:fill="auto"/>
          </w:tcPr>
          <w:p>
            <w:pPr>
              <w:spacing w:line="360" w:lineRule="auto"/>
              <w:jc w:val="both"/>
              <w:rPr>
                <w:rFonts w:ascii="Book Antiqua" w:hAnsi="Book Antiqua" w:eastAsia="华文彩云" w:cs="Arial"/>
                <w:bCs/>
                <w:iCs/>
                <w:color w:val="auto"/>
                <w:kern w:val="0"/>
                <w:lang w:eastAsia="zh-CN"/>
              </w:rPr>
            </w:pPr>
            <w:r>
              <w:rPr>
                <w:rFonts w:ascii="Book Antiqua" w:hAnsi="Book Antiqua" w:eastAsia="华文彩云" w:cs="Arial"/>
                <w:bCs/>
                <w:iCs/>
                <w:color w:val="auto"/>
                <w:kern w:val="0"/>
                <w:lang w:eastAsia="zh-CN"/>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i w:val="0"/>
                <w:iCs/>
                <w:color w:val="auto"/>
                <w:kern w:val="0"/>
                <w:lang w:eastAsia="zh-CN"/>
              </w:rPr>
            </w:pPr>
            <w:r>
              <w:rPr>
                <w:rFonts w:ascii="Book Antiqua" w:hAnsi="Book Antiqua" w:eastAsia="华文彩云" w:cs="Arial"/>
                <w:i w:val="0"/>
                <w:iCs/>
                <w:color w:val="auto"/>
                <w:kern w:val="0"/>
                <w:lang w:eastAsia="zh-CN"/>
              </w:rPr>
              <w:t>I/II</w:t>
            </w:r>
          </w:p>
        </w:tc>
        <w:tc>
          <w:tcPr>
            <w:tcW w:w="726" w:type="pc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1.000</w:t>
            </w:r>
          </w:p>
        </w:tc>
        <w:tc>
          <w:tcPr>
            <w:tcW w:w="1292" w:type="pct"/>
            <w:vMerge w:val="restar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1.734-9.117</w:t>
            </w:r>
          </w:p>
        </w:tc>
        <w:tc>
          <w:tcPr>
            <w:tcW w:w="867" w:type="pct"/>
            <w:vMerge w:val="restart"/>
            <w:shd w:val="clear" w:color="auto" w:fill="auto"/>
          </w:tcPr>
          <w:p>
            <w:pPr>
              <w:spacing w:line="360" w:lineRule="auto"/>
              <w:jc w:val="both"/>
              <w:rPr>
                <w:rFonts w:ascii="Book Antiqua" w:hAnsi="Book Antiqua" w:eastAsia="华文彩云" w:cs="Arial"/>
                <w:color w:val="auto"/>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i w:val="0"/>
                <w:iCs/>
                <w:color w:val="auto"/>
                <w:kern w:val="0"/>
                <w:lang w:eastAsia="zh-CN"/>
              </w:rPr>
            </w:pPr>
            <w:r>
              <w:rPr>
                <w:rFonts w:ascii="Book Antiqua" w:hAnsi="Book Antiqua" w:eastAsia="华文彩云" w:cs="Arial"/>
                <w:i w:val="0"/>
                <w:iCs/>
                <w:color w:val="auto"/>
                <w:kern w:val="0"/>
                <w:lang w:eastAsia="zh-CN"/>
              </w:rPr>
              <w:t>III</w:t>
            </w:r>
          </w:p>
        </w:tc>
        <w:tc>
          <w:tcPr>
            <w:tcW w:w="726" w:type="pc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3.976</w:t>
            </w:r>
          </w:p>
        </w:tc>
        <w:tc>
          <w:tcPr>
            <w:tcW w:w="1292" w:type="pct"/>
            <w:vMerge w:val="continue"/>
            <w:shd w:val="clear" w:color="auto" w:fill="auto"/>
          </w:tcPr>
          <w:p>
            <w:pPr>
              <w:spacing w:line="360" w:lineRule="auto"/>
              <w:jc w:val="both"/>
              <w:rPr>
                <w:rFonts w:ascii="Book Antiqua" w:hAnsi="Book Antiqua" w:eastAsia="华文彩云" w:cs="Arial"/>
                <w:color w:val="auto"/>
                <w:kern w:val="0"/>
                <w:lang w:eastAsia="zh-CN"/>
              </w:rPr>
            </w:pPr>
          </w:p>
        </w:tc>
        <w:tc>
          <w:tcPr>
            <w:tcW w:w="867" w:type="pct"/>
            <w:vMerge w:val="continue"/>
            <w:shd w:val="clear" w:color="auto" w:fill="auto"/>
          </w:tcPr>
          <w:p>
            <w:pPr>
              <w:spacing w:line="360" w:lineRule="auto"/>
              <w:jc w:val="both"/>
              <w:rPr>
                <w:rFonts w:ascii="Book Antiqua" w:hAnsi="Book Antiqua" w:eastAsia="华文彩云" w:cs="Arial"/>
                <w:color w:val="auto"/>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b/>
                <w:bCs/>
                <w:i w:val="0"/>
                <w:iCs w:val="0"/>
                <w:color w:val="auto"/>
                <w:kern w:val="0"/>
                <w:lang w:eastAsia="zh-CN"/>
              </w:rPr>
            </w:pPr>
            <w:r>
              <w:rPr>
                <w:rFonts w:ascii="Book Antiqua" w:hAnsi="Book Antiqua" w:eastAsia="华文彩云" w:cs="Arial"/>
                <w:b/>
                <w:bCs/>
                <w:i w:val="0"/>
                <w:iCs/>
                <w:color w:val="auto"/>
                <w:kern w:val="0"/>
                <w:lang w:eastAsia="zh-CN"/>
              </w:rPr>
              <w:t>PNI group</w:t>
            </w:r>
          </w:p>
        </w:tc>
        <w:tc>
          <w:tcPr>
            <w:tcW w:w="726" w:type="pct"/>
            <w:shd w:val="clear" w:color="auto" w:fill="auto"/>
          </w:tcPr>
          <w:p>
            <w:pPr>
              <w:spacing w:line="360" w:lineRule="auto"/>
              <w:jc w:val="both"/>
              <w:rPr>
                <w:rFonts w:ascii="Book Antiqua" w:hAnsi="Book Antiqua" w:eastAsia="华文彩云" w:cs="Arial"/>
                <w:b/>
                <w:bCs/>
                <w:iCs/>
                <w:color w:val="auto"/>
                <w:kern w:val="0"/>
                <w:lang w:eastAsia="zh-CN"/>
              </w:rPr>
            </w:pPr>
          </w:p>
        </w:tc>
        <w:tc>
          <w:tcPr>
            <w:tcW w:w="1292" w:type="pct"/>
            <w:shd w:val="clear" w:color="auto" w:fill="auto"/>
          </w:tcPr>
          <w:p>
            <w:pPr>
              <w:spacing w:line="360" w:lineRule="auto"/>
              <w:jc w:val="both"/>
              <w:rPr>
                <w:rFonts w:ascii="Book Antiqua" w:hAnsi="Book Antiqua" w:eastAsia="华文彩云" w:cs="Arial"/>
                <w:b/>
                <w:bCs/>
                <w:iCs/>
                <w:color w:val="auto"/>
                <w:kern w:val="0"/>
                <w:lang w:eastAsia="zh-CN"/>
              </w:rPr>
            </w:pPr>
          </w:p>
        </w:tc>
        <w:tc>
          <w:tcPr>
            <w:tcW w:w="867" w:type="pct"/>
            <w:shd w:val="clear" w:color="auto" w:fill="auto"/>
          </w:tcPr>
          <w:p>
            <w:pPr>
              <w:spacing w:line="360" w:lineRule="auto"/>
              <w:jc w:val="both"/>
              <w:rPr>
                <w:rFonts w:ascii="Book Antiqua" w:hAnsi="Book Antiqua" w:eastAsia="华文彩云" w:cs="Arial"/>
                <w:bCs/>
                <w:iCs/>
                <w:color w:val="auto"/>
                <w:kern w:val="0"/>
                <w:lang w:eastAsia="zh-CN"/>
              </w:rPr>
            </w:pPr>
            <w:r>
              <w:rPr>
                <w:rFonts w:ascii="Book Antiqua" w:hAnsi="Book Antiqua" w:eastAsia="华文彩云" w:cs="Arial"/>
                <w:bCs/>
                <w:iCs/>
                <w:color w:val="auto"/>
                <w:kern w:val="0"/>
                <w:lang w:eastAsia="zh-CN"/>
              </w:rPr>
              <w:t>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i w:val="0"/>
                <w:iCs/>
                <w:color w:val="auto"/>
                <w:kern w:val="0"/>
                <w:lang w:eastAsia="zh-CN"/>
              </w:rPr>
            </w:pPr>
            <w:r>
              <w:rPr>
                <w:rFonts w:ascii="Book Antiqua" w:hAnsi="Book Antiqua" w:eastAsia="华文彩云" w:cs="Arial"/>
                <w:i w:val="0"/>
                <w:iCs/>
                <w:color w:val="auto"/>
                <w:kern w:val="0"/>
                <w:lang w:eastAsia="zh-CN"/>
              </w:rPr>
              <w:t>Low risk</w:t>
            </w:r>
          </w:p>
        </w:tc>
        <w:tc>
          <w:tcPr>
            <w:tcW w:w="726" w:type="pc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1.000</w:t>
            </w:r>
          </w:p>
        </w:tc>
        <w:tc>
          <w:tcPr>
            <w:tcW w:w="1292" w:type="pct"/>
            <w:vMerge w:val="restar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1.724-10.030</w:t>
            </w:r>
          </w:p>
        </w:tc>
        <w:tc>
          <w:tcPr>
            <w:tcW w:w="867" w:type="pct"/>
            <w:vMerge w:val="restart"/>
            <w:shd w:val="clear" w:color="auto" w:fill="auto"/>
          </w:tcPr>
          <w:p>
            <w:pPr>
              <w:spacing w:line="360" w:lineRule="auto"/>
              <w:jc w:val="both"/>
              <w:rPr>
                <w:rFonts w:ascii="Book Antiqua" w:hAnsi="Book Antiqua" w:eastAsia="华文彩云" w:cs="Arial"/>
                <w:color w:val="auto"/>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i w:val="0"/>
                <w:iCs/>
                <w:color w:val="auto"/>
                <w:kern w:val="0"/>
                <w:lang w:eastAsia="zh-CN"/>
              </w:rPr>
            </w:pPr>
            <w:r>
              <w:rPr>
                <w:rFonts w:ascii="Book Antiqua" w:hAnsi="Book Antiqua" w:eastAsia="华文彩云" w:cs="Arial"/>
                <w:i w:val="0"/>
                <w:iCs/>
                <w:color w:val="auto"/>
                <w:kern w:val="0"/>
                <w:lang w:eastAsia="zh-CN"/>
              </w:rPr>
              <w:t>High risk</w:t>
            </w:r>
          </w:p>
        </w:tc>
        <w:tc>
          <w:tcPr>
            <w:tcW w:w="726" w:type="pc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4.158</w:t>
            </w:r>
          </w:p>
        </w:tc>
        <w:tc>
          <w:tcPr>
            <w:tcW w:w="1292" w:type="pct"/>
            <w:vMerge w:val="continue"/>
            <w:shd w:val="clear" w:color="auto" w:fill="auto"/>
          </w:tcPr>
          <w:p>
            <w:pPr>
              <w:spacing w:line="360" w:lineRule="auto"/>
              <w:jc w:val="both"/>
              <w:rPr>
                <w:rFonts w:ascii="Book Antiqua" w:hAnsi="Book Antiqua" w:eastAsia="华文彩云" w:cs="Arial"/>
                <w:color w:val="auto"/>
                <w:kern w:val="0"/>
                <w:lang w:eastAsia="zh-CN"/>
              </w:rPr>
            </w:pPr>
          </w:p>
        </w:tc>
        <w:tc>
          <w:tcPr>
            <w:tcW w:w="867" w:type="pct"/>
            <w:vMerge w:val="continue"/>
            <w:shd w:val="clear" w:color="auto" w:fill="auto"/>
          </w:tcPr>
          <w:p>
            <w:pPr>
              <w:spacing w:line="360" w:lineRule="auto"/>
              <w:jc w:val="both"/>
              <w:rPr>
                <w:rFonts w:ascii="Book Antiqua" w:hAnsi="Book Antiqua" w:eastAsia="华文彩云" w:cs="Arial"/>
                <w:color w:val="auto"/>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b/>
                <w:bCs/>
                <w:i w:val="0"/>
                <w:iCs w:val="0"/>
                <w:color w:val="auto"/>
                <w:kern w:val="0"/>
                <w:lang w:eastAsia="zh-CN"/>
              </w:rPr>
            </w:pPr>
            <w:r>
              <w:rPr>
                <w:rFonts w:ascii="Book Antiqua" w:hAnsi="Book Antiqua" w:eastAsia="华文彩云" w:cs="Arial"/>
                <w:b/>
                <w:bCs/>
                <w:i w:val="0"/>
                <w:iCs/>
                <w:color w:val="auto"/>
                <w:kern w:val="0"/>
                <w:lang w:eastAsia="zh-CN"/>
              </w:rPr>
              <w:t>CONUT group</w:t>
            </w:r>
          </w:p>
        </w:tc>
        <w:tc>
          <w:tcPr>
            <w:tcW w:w="726" w:type="pct"/>
            <w:shd w:val="clear" w:color="auto" w:fill="auto"/>
          </w:tcPr>
          <w:p>
            <w:pPr>
              <w:spacing w:line="360" w:lineRule="auto"/>
              <w:jc w:val="both"/>
              <w:rPr>
                <w:rFonts w:ascii="Book Antiqua" w:hAnsi="Book Antiqua" w:eastAsia="华文彩云" w:cs="Arial"/>
                <w:b/>
                <w:bCs/>
                <w:iCs/>
                <w:color w:val="auto"/>
                <w:kern w:val="0"/>
                <w:lang w:eastAsia="zh-CN"/>
              </w:rPr>
            </w:pPr>
          </w:p>
        </w:tc>
        <w:tc>
          <w:tcPr>
            <w:tcW w:w="1292" w:type="pct"/>
            <w:shd w:val="clear" w:color="auto" w:fill="auto"/>
          </w:tcPr>
          <w:p>
            <w:pPr>
              <w:spacing w:line="360" w:lineRule="auto"/>
              <w:jc w:val="both"/>
              <w:rPr>
                <w:rFonts w:ascii="Book Antiqua" w:hAnsi="Book Antiqua" w:eastAsia="华文彩云" w:cs="Arial"/>
                <w:b/>
                <w:bCs/>
                <w:iCs/>
                <w:color w:val="auto"/>
                <w:kern w:val="0"/>
                <w:lang w:eastAsia="zh-CN"/>
              </w:rPr>
            </w:pPr>
          </w:p>
        </w:tc>
        <w:tc>
          <w:tcPr>
            <w:tcW w:w="867" w:type="pct"/>
            <w:shd w:val="clear" w:color="auto" w:fill="auto"/>
          </w:tcPr>
          <w:p>
            <w:pPr>
              <w:spacing w:line="360" w:lineRule="auto"/>
              <w:jc w:val="both"/>
              <w:rPr>
                <w:rFonts w:ascii="Book Antiqua" w:hAnsi="Book Antiqua" w:eastAsia="华文彩云" w:cs="Arial"/>
                <w:bCs/>
                <w:iCs/>
                <w:color w:val="auto"/>
                <w:kern w:val="0"/>
                <w:lang w:eastAsia="zh-CN"/>
              </w:rPr>
            </w:pPr>
            <w:r>
              <w:rPr>
                <w:rFonts w:ascii="Book Antiqua" w:hAnsi="Book Antiqua" w:eastAsia="华文彩云" w:cs="Arial"/>
                <w:bCs/>
                <w:iCs/>
                <w:color w:val="auto"/>
                <w:kern w:val="0"/>
                <w:lang w:eastAsia="zh-CN"/>
              </w:rPr>
              <w:t>0.039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i w:val="0"/>
                <w:iCs/>
                <w:color w:val="auto"/>
                <w:kern w:val="0"/>
                <w:lang w:eastAsia="zh-CN"/>
              </w:rPr>
            </w:pPr>
            <w:r>
              <w:rPr>
                <w:rFonts w:ascii="Book Antiqua" w:hAnsi="Book Antiqua" w:eastAsia="华文彩云" w:cs="Arial"/>
                <w:i w:val="0"/>
                <w:iCs/>
                <w:color w:val="auto"/>
                <w:kern w:val="0"/>
                <w:lang w:eastAsia="zh-CN"/>
              </w:rPr>
              <w:t>Low risk</w:t>
            </w:r>
          </w:p>
        </w:tc>
        <w:tc>
          <w:tcPr>
            <w:tcW w:w="726" w:type="pc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1.000</w:t>
            </w:r>
          </w:p>
        </w:tc>
        <w:tc>
          <w:tcPr>
            <w:tcW w:w="1292" w:type="pct"/>
            <w:vMerge w:val="restar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1.041-4.666</w:t>
            </w:r>
          </w:p>
        </w:tc>
        <w:tc>
          <w:tcPr>
            <w:tcW w:w="867" w:type="pct"/>
            <w:vMerge w:val="restart"/>
            <w:shd w:val="clear" w:color="auto" w:fill="auto"/>
          </w:tcPr>
          <w:p>
            <w:pPr>
              <w:spacing w:line="360" w:lineRule="auto"/>
              <w:jc w:val="both"/>
              <w:rPr>
                <w:rFonts w:ascii="Book Antiqua" w:hAnsi="Book Antiqua" w:eastAsia="华文彩云" w:cs="Arial"/>
                <w:color w:val="auto"/>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i w:val="0"/>
                <w:iCs/>
                <w:color w:val="auto"/>
                <w:kern w:val="0"/>
                <w:lang w:eastAsia="zh-CN"/>
              </w:rPr>
            </w:pPr>
            <w:r>
              <w:rPr>
                <w:rFonts w:ascii="Book Antiqua" w:hAnsi="Book Antiqua" w:eastAsia="华文彩云" w:cs="Arial"/>
                <w:i w:val="0"/>
                <w:iCs/>
                <w:color w:val="auto"/>
                <w:kern w:val="0"/>
                <w:lang w:eastAsia="zh-CN"/>
              </w:rPr>
              <w:t>High risk</w:t>
            </w:r>
          </w:p>
        </w:tc>
        <w:tc>
          <w:tcPr>
            <w:tcW w:w="726" w:type="pc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2.204</w:t>
            </w:r>
          </w:p>
        </w:tc>
        <w:tc>
          <w:tcPr>
            <w:tcW w:w="1292" w:type="pct"/>
            <w:vMerge w:val="continue"/>
            <w:shd w:val="clear" w:color="auto" w:fill="auto"/>
          </w:tcPr>
          <w:p>
            <w:pPr>
              <w:spacing w:line="360" w:lineRule="auto"/>
              <w:jc w:val="both"/>
              <w:rPr>
                <w:rFonts w:ascii="Book Antiqua" w:hAnsi="Book Antiqua" w:eastAsia="华文彩云" w:cs="Arial"/>
                <w:color w:val="auto"/>
                <w:kern w:val="0"/>
                <w:lang w:eastAsia="zh-CN"/>
              </w:rPr>
            </w:pPr>
          </w:p>
        </w:tc>
        <w:tc>
          <w:tcPr>
            <w:tcW w:w="867" w:type="pct"/>
            <w:vMerge w:val="continue"/>
            <w:shd w:val="clear" w:color="auto" w:fill="auto"/>
          </w:tcPr>
          <w:p>
            <w:pPr>
              <w:spacing w:line="360" w:lineRule="auto"/>
              <w:jc w:val="both"/>
              <w:rPr>
                <w:rFonts w:ascii="Book Antiqua" w:hAnsi="Book Antiqua" w:eastAsia="华文彩云" w:cs="Arial"/>
                <w:color w:val="auto"/>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b/>
                <w:bCs/>
                <w:i w:val="0"/>
                <w:iCs w:val="0"/>
                <w:color w:val="auto"/>
                <w:kern w:val="0"/>
                <w:lang w:eastAsia="zh-CN"/>
              </w:rPr>
            </w:pPr>
            <w:r>
              <w:rPr>
                <w:rFonts w:ascii="Book Antiqua" w:hAnsi="Book Antiqua" w:eastAsia="华文彩云" w:cs="Arial"/>
                <w:b/>
                <w:bCs/>
                <w:i w:val="0"/>
                <w:iCs/>
                <w:color w:val="auto"/>
                <w:kern w:val="0"/>
                <w:lang w:eastAsia="zh-CN"/>
              </w:rPr>
              <w:t xml:space="preserve">NPS </w:t>
            </w:r>
            <w:r>
              <w:rPr>
                <w:rFonts w:hint="eastAsia" w:ascii="Book Antiqua" w:hAnsi="Book Antiqua" w:eastAsia="华文彩云" w:cs="Arial"/>
                <w:b/>
                <w:bCs/>
                <w:i w:val="0"/>
                <w:iCs/>
                <w:color w:val="auto"/>
                <w:kern w:val="0"/>
                <w:lang w:val="en-US" w:eastAsia="zh-CN"/>
              </w:rPr>
              <w:t>g</w:t>
            </w:r>
            <w:r>
              <w:rPr>
                <w:rFonts w:ascii="Book Antiqua" w:hAnsi="Book Antiqua" w:eastAsia="华文彩云" w:cs="Arial"/>
                <w:b/>
                <w:bCs/>
                <w:i w:val="0"/>
                <w:iCs/>
                <w:color w:val="auto"/>
                <w:kern w:val="0"/>
                <w:lang w:eastAsia="zh-CN"/>
              </w:rPr>
              <w:t>roup</w:t>
            </w:r>
          </w:p>
        </w:tc>
        <w:tc>
          <w:tcPr>
            <w:tcW w:w="726" w:type="pct"/>
            <w:shd w:val="clear" w:color="auto" w:fill="auto"/>
          </w:tcPr>
          <w:p>
            <w:pPr>
              <w:spacing w:line="360" w:lineRule="auto"/>
              <w:jc w:val="both"/>
              <w:rPr>
                <w:rFonts w:ascii="Book Antiqua" w:hAnsi="Book Antiqua" w:eastAsia="华文彩云" w:cs="Arial"/>
                <w:b/>
                <w:bCs/>
                <w:iCs/>
                <w:color w:val="auto"/>
                <w:kern w:val="0"/>
                <w:lang w:eastAsia="zh-CN"/>
              </w:rPr>
            </w:pPr>
          </w:p>
        </w:tc>
        <w:tc>
          <w:tcPr>
            <w:tcW w:w="1292" w:type="pct"/>
            <w:shd w:val="clear" w:color="auto" w:fill="auto"/>
          </w:tcPr>
          <w:p>
            <w:pPr>
              <w:spacing w:line="360" w:lineRule="auto"/>
              <w:jc w:val="both"/>
              <w:rPr>
                <w:rFonts w:ascii="Book Antiqua" w:hAnsi="Book Antiqua" w:eastAsia="华文彩云" w:cs="Arial"/>
                <w:b/>
                <w:bCs/>
                <w:iCs/>
                <w:color w:val="auto"/>
                <w:kern w:val="0"/>
                <w:lang w:eastAsia="zh-CN"/>
              </w:rPr>
            </w:pPr>
          </w:p>
        </w:tc>
        <w:tc>
          <w:tcPr>
            <w:tcW w:w="867" w:type="pct"/>
            <w:shd w:val="clear" w:color="auto" w:fill="auto"/>
          </w:tcPr>
          <w:p>
            <w:pPr>
              <w:spacing w:line="360" w:lineRule="auto"/>
              <w:jc w:val="both"/>
              <w:rPr>
                <w:rFonts w:ascii="Book Antiqua" w:hAnsi="Book Antiqua" w:eastAsia="华文彩云" w:cs="Arial"/>
                <w:bCs/>
                <w:iCs/>
                <w:color w:val="auto"/>
                <w:kern w:val="0"/>
                <w:lang w:eastAsia="zh-CN"/>
              </w:rPr>
            </w:pPr>
            <w:r>
              <w:rPr>
                <w:rFonts w:ascii="Book Antiqua" w:hAnsi="Book Antiqua" w:eastAsia="华文彩云" w:cs="Arial"/>
                <w:bCs/>
                <w:iCs/>
                <w:color w:val="auto"/>
                <w:kern w:val="0"/>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i w:val="0"/>
                <w:iCs/>
                <w:color w:val="auto"/>
                <w:kern w:val="0"/>
                <w:lang w:eastAsia="zh-CN"/>
              </w:rPr>
            </w:pPr>
            <w:r>
              <w:rPr>
                <w:rFonts w:ascii="Book Antiqua" w:hAnsi="Book Antiqua" w:eastAsia="华文彩云" w:cs="Arial"/>
                <w:i w:val="0"/>
                <w:iCs/>
                <w:color w:val="auto"/>
                <w:kern w:val="0"/>
                <w:lang w:eastAsia="zh-CN"/>
              </w:rPr>
              <w:t>Low risk</w:t>
            </w:r>
          </w:p>
        </w:tc>
        <w:tc>
          <w:tcPr>
            <w:tcW w:w="726" w:type="pc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1.000</w:t>
            </w:r>
          </w:p>
        </w:tc>
        <w:tc>
          <w:tcPr>
            <w:tcW w:w="1292" w:type="pct"/>
            <w:vMerge w:val="restar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1.879-9.425-</w:t>
            </w:r>
          </w:p>
        </w:tc>
        <w:tc>
          <w:tcPr>
            <w:tcW w:w="867" w:type="pct"/>
            <w:vMerge w:val="restart"/>
            <w:shd w:val="clear" w:color="auto" w:fill="auto"/>
          </w:tcPr>
          <w:p>
            <w:pPr>
              <w:spacing w:line="360" w:lineRule="auto"/>
              <w:jc w:val="both"/>
              <w:rPr>
                <w:rFonts w:ascii="Book Antiqua" w:hAnsi="Book Antiqua" w:eastAsia="华文彩云" w:cs="Arial"/>
                <w:color w:val="auto"/>
                <w:kern w:val="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116" w:type="pct"/>
            <w:tcBorders>
              <w:right w:val="nil"/>
            </w:tcBorders>
            <w:shd w:val="clear" w:color="auto" w:fill="auto"/>
          </w:tcPr>
          <w:p>
            <w:pPr>
              <w:spacing w:line="360" w:lineRule="auto"/>
              <w:jc w:val="both"/>
              <w:rPr>
                <w:rFonts w:ascii="Book Antiqua" w:hAnsi="Book Antiqua" w:eastAsia="华文彩云" w:cs="Arial"/>
                <w:i w:val="0"/>
                <w:iCs/>
                <w:color w:val="auto"/>
                <w:kern w:val="0"/>
                <w:lang w:eastAsia="zh-CN"/>
              </w:rPr>
            </w:pPr>
            <w:r>
              <w:rPr>
                <w:rFonts w:ascii="Book Antiqua" w:hAnsi="Book Antiqua" w:eastAsia="华文彩云" w:cs="Arial"/>
                <w:i w:val="0"/>
                <w:iCs/>
                <w:color w:val="auto"/>
                <w:kern w:val="0"/>
                <w:lang w:eastAsia="zh-CN"/>
              </w:rPr>
              <w:t>High risk</w:t>
            </w:r>
          </w:p>
        </w:tc>
        <w:tc>
          <w:tcPr>
            <w:tcW w:w="726" w:type="pct"/>
            <w:shd w:val="clear" w:color="auto" w:fill="auto"/>
          </w:tcPr>
          <w:p>
            <w:pPr>
              <w:spacing w:line="360" w:lineRule="auto"/>
              <w:jc w:val="both"/>
              <w:rPr>
                <w:rFonts w:ascii="Book Antiqua" w:hAnsi="Book Antiqua" w:eastAsia="华文彩云" w:cs="Arial"/>
                <w:color w:val="auto"/>
                <w:kern w:val="0"/>
                <w:lang w:eastAsia="zh-CN"/>
              </w:rPr>
            </w:pPr>
            <w:r>
              <w:rPr>
                <w:rFonts w:ascii="Book Antiqua" w:hAnsi="Book Antiqua" w:eastAsia="华文彩云" w:cs="Arial"/>
                <w:color w:val="auto"/>
                <w:kern w:val="0"/>
                <w:lang w:eastAsia="zh-CN"/>
              </w:rPr>
              <w:t>4.208</w:t>
            </w:r>
          </w:p>
        </w:tc>
        <w:tc>
          <w:tcPr>
            <w:tcW w:w="1292" w:type="pct"/>
            <w:vMerge w:val="continue"/>
            <w:shd w:val="clear" w:color="auto" w:fill="auto"/>
          </w:tcPr>
          <w:p>
            <w:pPr>
              <w:spacing w:line="360" w:lineRule="auto"/>
              <w:jc w:val="both"/>
              <w:rPr>
                <w:rFonts w:ascii="Book Antiqua" w:hAnsi="Book Antiqua" w:eastAsia="华文彩云" w:cs="Arial"/>
                <w:color w:val="auto"/>
                <w:kern w:val="0"/>
                <w:lang w:eastAsia="zh-CN"/>
              </w:rPr>
            </w:pPr>
          </w:p>
        </w:tc>
        <w:tc>
          <w:tcPr>
            <w:tcW w:w="867" w:type="pct"/>
            <w:vMerge w:val="continue"/>
            <w:shd w:val="clear" w:color="auto" w:fill="auto"/>
          </w:tcPr>
          <w:p>
            <w:pPr>
              <w:spacing w:line="360" w:lineRule="auto"/>
              <w:jc w:val="both"/>
              <w:rPr>
                <w:rFonts w:ascii="Book Antiqua" w:hAnsi="Book Antiqua" w:eastAsia="华文彩云" w:cs="Arial"/>
                <w:color w:val="auto"/>
                <w:kern w:val="0"/>
                <w:lang w:eastAsia="zh-CN"/>
              </w:rPr>
            </w:pPr>
          </w:p>
        </w:tc>
      </w:tr>
    </w:tbl>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PNI: Prognostic nutritional index; CONUT: Controlled nutritional status; NPS: Naples prognostic score; cTNM: Clinical Tumor-Node-Metastasis; OS: Overall survival; HR: Hazard ratio; CI: Confidence interval.</w:t>
      </w:r>
    </w:p>
    <w:p>
      <w:pPr>
        <w:spacing w:line="360" w:lineRule="auto"/>
        <w:jc w:val="both"/>
        <w:rPr>
          <w:rFonts w:ascii="Book Antiqua" w:hAnsi="Book Antiqua" w:cs="Arial"/>
          <w:i/>
          <w:iCs/>
          <w:lang w:eastAsia="zh-CN"/>
        </w:rPr>
      </w:pPr>
    </w:p>
    <w:p>
      <w:pPr>
        <w:spacing w:line="360" w:lineRule="auto"/>
        <w:jc w:val="both"/>
        <w:rPr>
          <w:rFonts w:ascii="Book Antiqua" w:hAnsi="Book Antiqua"/>
          <w:b/>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6106527"/>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28</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wNzExN2U4MjUzZDA2YjZiMzYzZDI2YTI3YzZiYzMifQ=="/>
  </w:docVars>
  <w:rsids>
    <w:rsidRoot w:val="00A77B3E"/>
    <w:rsid w:val="00006554"/>
    <w:rsid w:val="0001607B"/>
    <w:rsid w:val="00033ED1"/>
    <w:rsid w:val="00041643"/>
    <w:rsid w:val="00044E7C"/>
    <w:rsid w:val="000520C0"/>
    <w:rsid w:val="0009662E"/>
    <w:rsid w:val="000C2F07"/>
    <w:rsid w:val="00101D8F"/>
    <w:rsid w:val="00133B92"/>
    <w:rsid w:val="00166BAF"/>
    <w:rsid w:val="001746B1"/>
    <w:rsid w:val="001A38EE"/>
    <w:rsid w:val="001B3B11"/>
    <w:rsid w:val="001C6747"/>
    <w:rsid w:val="00226666"/>
    <w:rsid w:val="00230F69"/>
    <w:rsid w:val="002824FB"/>
    <w:rsid w:val="002D1424"/>
    <w:rsid w:val="002E28A8"/>
    <w:rsid w:val="003408C5"/>
    <w:rsid w:val="00343DF1"/>
    <w:rsid w:val="00355853"/>
    <w:rsid w:val="00371E76"/>
    <w:rsid w:val="003A1EE8"/>
    <w:rsid w:val="003D3C60"/>
    <w:rsid w:val="003F4A55"/>
    <w:rsid w:val="004D3EC1"/>
    <w:rsid w:val="00503814"/>
    <w:rsid w:val="005137E3"/>
    <w:rsid w:val="00551743"/>
    <w:rsid w:val="00554BEC"/>
    <w:rsid w:val="005B4096"/>
    <w:rsid w:val="005C3DCA"/>
    <w:rsid w:val="005D635C"/>
    <w:rsid w:val="005E333D"/>
    <w:rsid w:val="005F5451"/>
    <w:rsid w:val="006319D6"/>
    <w:rsid w:val="00633A8F"/>
    <w:rsid w:val="00634055"/>
    <w:rsid w:val="00636A9C"/>
    <w:rsid w:val="006410FC"/>
    <w:rsid w:val="00672FA5"/>
    <w:rsid w:val="006D0813"/>
    <w:rsid w:val="006D1E67"/>
    <w:rsid w:val="006F7745"/>
    <w:rsid w:val="007C0A2A"/>
    <w:rsid w:val="00861573"/>
    <w:rsid w:val="008670DE"/>
    <w:rsid w:val="008B612A"/>
    <w:rsid w:val="008C2527"/>
    <w:rsid w:val="008C4F0D"/>
    <w:rsid w:val="008F5147"/>
    <w:rsid w:val="00916CAC"/>
    <w:rsid w:val="00931709"/>
    <w:rsid w:val="009471A4"/>
    <w:rsid w:val="009A7BBC"/>
    <w:rsid w:val="009C1ADE"/>
    <w:rsid w:val="009E5ECB"/>
    <w:rsid w:val="00A23A83"/>
    <w:rsid w:val="00A27CCF"/>
    <w:rsid w:val="00A475AF"/>
    <w:rsid w:val="00A66A71"/>
    <w:rsid w:val="00A77B3E"/>
    <w:rsid w:val="00A87FF1"/>
    <w:rsid w:val="00AD2F09"/>
    <w:rsid w:val="00AD519B"/>
    <w:rsid w:val="00AF0939"/>
    <w:rsid w:val="00B741D2"/>
    <w:rsid w:val="00BB68F6"/>
    <w:rsid w:val="00BC4F05"/>
    <w:rsid w:val="00BD6F8B"/>
    <w:rsid w:val="00C0260F"/>
    <w:rsid w:val="00C11289"/>
    <w:rsid w:val="00C21982"/>
    <w:rsid w:val="00C2452C"/>
    <w:rsid w:val="00C738CA"/>
    <w:rsid w:val="00C75021"/>
    <w:rsid w:val="00CA2A55"/>
    <w:rsid w:val="00CC178B"/>
    <w:rsid w:val="00CC5DBA"/>
    <w:rsid w:val="00CF5979"/>
    <w:rsid w:val="00D248F6"/>
    <w:rsid w:val="00D26F74"/>
    <w:rsid w:val="00D92124"/>
    <w:rsid w:val="00DB6761"/>
    <w:rsid w:val="00E468C3"/>
    <w:rsid w:val="00E900A7"/>
    <w:rsid w:val="00EC479D"/>
    <w:rsid w:val="00F105AF"/>
    <w:rsid w:val="00F30552"/>
    <w:rsid w:val="00F402FB"/>
    <w:rsid w:val="00F5159A"/>
    <w:rsid w:val="00F67F1A"/>
    <w:rsid w:val="00F756EC"/>
    <w:rsid w:val="00FC2000"/>
    <w:rsid w:val="00FD7A61"/>
    <w:rsid w:val="00FF031F"/>
    <w:rsid w:val="00FF2DFA"/>
    <w:rsid w:val="015E545C"/>
    <w:rsid w:val="06BC305D"/>
    <w:rsid w:val="07B228ED"/>
    <w:rsid w:val="10BA4A45"/>
    <w:rsid w:val="1E907E90"/>
    <w:rsid w:val="23CF373B"/>
    <w:rsid w:val="341C036C"/>
    <w:rsid w:val="3A0B10F0"/>
    <w:rsid w:val="57217ACE"/>
    <w:rsid w:val="63CA113B"/>
    <w:rsid w:val="76B85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0"/>
    <w:uiPriority w:val="99"/>
    <w:pPr>
      <w:tabs>
        <w:tab w:val="center" w:pos="4153"/>
        <w:tab w:val="right" w:pos="8306"/>
      </w:tabs>
      <w:snapToGrid w:val="0"/>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0"/>
    <w:rPr>
      <w:color w:val="0000FF" w:themeColor="hyperlink"/>
      <w:u w:val="single"/>
      <w14:textFill>
        <w14:solidFill>
          <w14:schemeClr w14:val="hlink"/>
        </w14:solidFill>
      </w14:textFill>
    </w:rPr>
  </w:style>
  <w:style w:type="character" w:customStyle="1" w:styleId="8">
    <w:name w:val="dxebase_office2010blue"/>
    <w:basedOn w:val="6"/>
    <w:uiPriority w:val="0"/>
  </w:style>
  <w:style w:type="character" w:customStyle="1" w:styleId="9">
    <w:name w:val="Header Char"/>
    <w:basedOn w:val="6"/>
    <w:link w:val="4"/>
    <w:uiPriority w:val="0"/>
    <w:rPr>
      <w:sz w:val="18"/>
      <w:szCs w:val="18"/>
    </w:rPr>
  </w:style>
  <w:style w:type="character" w:customStyle="1" w:styleId="10">
    <w:name w:val="Footer Char"/>
    <w:basedOn w:val="6"/>
    <w:link w:val="3"/>
    <w:uiPriority w:val="99"/>
    <w:rPr>
      <w:sz w:val="18"/>
      <w:szCs w:val="18"/>
    </w:rPr>
  </w:style>
  <w:style w:type="character" w:customStyle="1" w:styleId="11">
    <w:name w:val="Balloon Text Char"/>
    <w:basedOn w:val="6"/>
    <w:link w:val="2"/>
    <w:uiPriority w:val="0"/>
    <w:rPr>
      <w:sz w:val="18"/>
      <w:szCs w:val="18"/>
    </w:rPr>
  </w:style>
  <w:style w:type="table" w:customStyle="1" w:styleId="12">
    <w:name w:val="无格式表格 51"/>
    <w:basedOn w:val="5"/>
    <w:uiPriority w:val="45"/>
    <w:rPr>
      <w:rFonts w:asciiTheme="minorHAnsi" w:hAnsiTheme="minorHAnsi" w:cstheme="minorBidi"/>
      <w:kern w:val="2"/>
      <w:sz w:val="21"/>
      <w:szCs w:val="22"/>
      <w:lang w:eastAsia="zh-CN"/>
    </w:r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13">
    <w:name w:val="清单表 7 彩色 - 着色 31"/>
    <w:basedOn w:val="5"/>
    <w:uiPriority w:val="52"/>
    <w:rPr>
      <w:rFonts w:asciiTheme="minorHAnsi" w:hAnsiTheme="minorHAnsi" w:cstheme="minorBidi"/>
      <w:color w:val="77933C" w:themeColor="accent3" w:themeShade="BF"/>
      <w:kern w:val="2"/>
      <w:sz w:val="21"/>
      <w:szCs w:val="22"/>
      <w:lang w:eastAsia="zh-CN"/>
    </w:rPr>
    <w:tblStylePr w:type="firstRow">
      <w:rPr>
        <w:rFonts w:asciiTheme="majorHAnsi" w:hAnsiTheme="majorHAnsi" w:eastAsiaTheme="majorEastAsia" w:cstheme="majorBidi"/>
        <w:i/>
        <w:iCs/>
        <w:sz w:val="26"/>
      </w:rPr>
      <w:tcPr>
        <w:tcBorders>
          <w:bottom w:val="single" w:color="9BBB59"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9BBB5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9BBB59"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9BBB59" w:themeColor="accent3" w:sz="4" w:space="0"/>
        </w:tcBorders>
        <w:shd w:val="clear" w:color="auto" w:fill="FFFFFF" w:themeFill="background1"/>
      </w:tcPr>
    </w:tblStylePr>
    <w:tblStylePr w:type="band1Vert">
      <w:tcPr>
        <w:shd w:val="clear" w:color="auto" w:fill="EAF1DD" w:themeFill="accent3" w:themeFillTint="33"/>
      </w:tcPr>
    </w:tblStylePr>
    <w:tblStylePr w:type="band1Horz">
      <w:tcPr>
        <w:shd w:val="clear" w:color="auto" w:fill="EAF1DD"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customStyle="1" w:styleId="14">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5">
    <w:name w:val="Unresolved Mention1"/>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6421</Words>
  <Characters>36391</Characters>
  <Lines>296</Lines>
  <Paragraphs>83</Paragraphs>
  <TotalTime>5</TotalTime>
  <ScaleCrop>false</ScaleCrop>
  <LinksUpToDate>false</LinksUpToDate>
  <CharactersWithSpaces>42364</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2023-01-01T01:38:00Z</dcterms:created>
  <dc:creator>baden</dc:creator>
  <cp:lastModifiedBy>WPS_1673360041</cp:lastModifiedBy>
  <dcterms:modified xsi:type="dcterms:W3CDTF">2023-01-24T13:41:00Z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37A0FAF98A714AF0A00A5CFE7891150A</vt:lpwstr>
  </property>
</Properties>
</file>