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F83E"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Name of Journal: </w:t>
      </w:r>
      <w:r w:rsidRPr="00880FA7">
        <w:rPr>
          <w:rFonts w:ascii="Book Antiqua" w:eastAsia="Book Antiqua" w:hAnsi="Book Antiqua" w:cs="Book Antiqua"/>
          <w:i/>
          <w:color w:val="000000"/>
        </w:rPr>
        <w:t>World Journal of Gastroenterology</w:t>
      </w:r>
    </w:p>
    <w:p w14:paraId="392F16E6"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Manuscript NO: </w:t>
      </w:r>
      <w:r w:rsidRPr="00880FA7">
        <w:rPr>
          <w:rFonts w:ascii="Book Antiqua" w:eastAsia="Book Antiqua" w:hAnsi="Book Antiqua" w:cs="Book Antiqua"/>
          <w:color w:val="000000"/>
        </w:rPr>
        <w:t>80428</w:t>
      </w:r>
    </w:p>
    <w:p w14:paraId="5E8E4E1E"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Manuscript Type: </w:t>
      </w:r>
      <w:r w:rsidRPr="00880FA7">
        <w:rPr>
          <w:rFonts w:ascii="Book Antiqua" w:eastAsia="Book Antiqua" w:hAnsi="Book Antiqua" w:cs="Book Antiqua"/>
          <w:color w:val="000000"/>
        </w:rPr>
        <w:t>MINIREVIEWS</w:t>
      </w:r>
    </w:p>
    <w:p w14:paraId="1457C991" w14:textId="77777777" w:rsidR="00A77B3E" w:rsidRPr="00880FA7" w:rsidRDefault="00A77B3E" w:rsidP="00D33124">
      <w:pPr>
        <w:spacing w:line="360" w:lineRule="auto"/>
        <w:jc w:val="both"/>
        <w:rPr>
          <w:rFonts w:ascii="Book Antiqua" w:hAnsi="Book Antiqua"/>
        </w:rPr>
      </w:pPr>
    </w:p>
    <w:p w14:paraId="06DC6C0A"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Systemic </w:t>
      </w:r>
      <w:r w:rsidR="008F3CE1" w:rsidRPr="00880FA7">
        <w:rPr>
          <w:rFonts w:ascii="Book Antiqua" w:hAnsi="Book Antiqua" w:cs="Book Antiqua" w:hint="eastAsia"/>
          <w:b/>
          <w:color w:val="000000"/>
          <w:lang w:eastAsia="zh-CN"/>
        </w:rPr>
        <w:t>t</w:t>
      </w:r>
      <w:r w:rsidRPr="00880FA7">
        <w:rPr>
          <w:rFonts w:ascii="Book Antiqua" w:eastAsia="Book Antiqua" w:hAnsi="Book Antiqua" w:cs="Book Antiqua"/>
          <w:b/>
          <w:color w:val="000000"/>
        </w:rPr>
        <w:t xml:space="preserve">reatment for </w:t>
      </w:r>
      <w:r w:rsidR="008F3CE1" w:rsidRPr="00880FA7">
        <w:rPr>
          <w:rFonts w:ascii="Book Antiqua" w:hAnsi="Book Antiqua" w:cs="Book Antiqua" w:hint="eastAsia"/>
          <w:b/>
          <w:color w:val="000000"/>
          <w:lang w:eastAsia="zh-CN"/>
        </w:rPr>
        <w:t>u</w:t>
      </w:r>
      <w:r w:rsidRPr="00880FA7">
        <w:rPr>
          <w:rFonts w:ascii="Book Antiqua" w:eastAsia="Book Antiqua" w:hAnsi="Book Antiqua" w:cs="Book Antiqua"/>
          <w:b/>
          <w:color w:val="000000"/>
        </w:rPr>
        <w:t xml:space="preserve">nresectable </w:t>
      </w:r>
      <w:r w:rsidR="008F3CE1" w:rsidRPr="00880FA7">
        <w:rPr>
          <w:rFonts w:ascii="Book Antiqua" w:hAnsi="Book Antiqua" w:cs="Book Antiqua" w:hint="eastAsia"/>
          <w:b/>
          <w:color w:val="000000"/>
          <w:lang w:eastAsia="zh-CN"/>
        </w:rPr>
        <w:t>h</w:t>
      </w:r>
      <w:r w:rsidRPr="00880FA7">
        <w:rPr>
          <w:rFonts w:ascii="Book Antiqua" w:eastAsia="Book Antiqua" w:hAnsi="Book Antiqua" w:cs="Book Antiqua"/>
          <w:b/>
          <w:color w:val="000000"/>
        </w:rPr>
        <w:t xml:space="preserve">epatocellular </w:t>
      </w:r>
      <w:r w:rsidR="008F3CE1" w:rsidRPr="00880FA7">
        <w:rPr>
          <w:rFonts w:ascii="Book Antiqua" w:hAnsi="Book Antiqua" w:cs="Book Antiqua" w:hint="eastAsia"/>
          <w:b/>
          <w:color w:val="000000"/>
          <w:lang w:eastAsia="zh-CN"/>
        </w:rPr>
        <w:t>c</w:t>
      </w:r>
      <w:r w:rsidRPr="00880FA7">
        <w:rPr>
          <w:rFonts w:ascii="Book Antiqua" w:eastAsia="Book Antiqua" w:hAnsi="Book Antiqua" w:cs="Book Antiqua"/>
          <w:b/>
          <w:color w:val="000000"/>
        </w:rPr>
        <w:t>arcinoma</w:t>
      </w:r>
    </w:p>
    <w:p w14:paraId="51295D20" w14:textId="77777777" w:rsidR="00A77B3E" w:rsidRPr="00880FA7" w:rsidRDefault="00A77B3E" w:rsidP="00D33124">
      <w:pPr>
        <w:spacing w:line="360" w:lineRule="auto"/>
        <w:jc w:val="both"/>
        <w:rPr>
          <w:rFonts w:ascii="Book Antiqua" w:hAnsi="Book Antiqua"/>
        </w:rPr>
      </w:pPr>
    </w:p>
    <w:p w14:paraId="3AE675E2" w14:textId="77777777" w:rsidR="00A77B3E" w:rsidRPr="00880FA7" w:rsidRDefault="009A51EC" w:rsidP="00D33124">
      <w:pPr>
        <w:spacing w:line="360" w:lineRule="auto"/>
        <w:jc w:val="both"/>
        <w:rPr>
          <w:rFonts w:ascii="Book Antiqua" w:hAnsi="Book Antiqua"/>
        </w:rPr>
      </w:pPr>
      <w:r w:rsidRPr="00880FA7">
        <w:rPr>
          <w:rFonts w:ascii="Book Antiqua" w:eastAsia="Book Antiqua" w:hAnsi="Book Antiqua" w:cs="Book Antiqua"/>
          <w:color w:val="000000"/>
        </w:rPr>
        <w:t xml:space="preserve">Leowattana </w:t>
      </w:r>
      <w:r w:rsidRPr="00880FA7">
        <w:rPr>
          <w:rFonts w:ascii="Book Antiqua" w:hAnsi="Book Antiqua" w:cs="Book Antiqua" w:hint="eastAsia"/>
          <w:color w:val="000000"/>
          <w:lang w:eastAsia="zh-CN"/>
        </w:rPr>
        <w:t xml:space="preserve">W </w:t>
      </w:r>
      <w:r w:rsidRPr="00880FA7">
        <w:rPr>
          <w:rFonts w:ascii="Book Antiqua" w:hAnsi="Book Antiqua" w:cs="Book Antiqua" w:hint="eastAsia"/>
          <w:i/>
          <w:color w:val="000000"/>
          <w:lang w:eastAsia="zh-CN"/>
        </w:rPr>
        <w:t>et al</w:t>
      </w:r>
      <w:r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 xml:space="preserve">Systemic </w:t>
      </w:r>
      <w:r w:rsidRPr="00880FA7">
        <w:rPr>
          <w:rFonts w:ascii="Book Antiqua" w:hAnsi="Book Antiqua" w:cs="Book Antiqua" w:hint="eastAsia"/>
          <w:color w:val="000000"/>
          <w:lang w:eastAsia="zh-CN"/>
        </w:rPr>
        <w:t>t</w:t>
      </w:r>
      <w:r w:rsidR="00A92039" w:rsidRPr="00880FA7">
        <w:rPr>
          <w:rFonts w:ascii="Book Antiqua" w:eastAsia="Book Antiqua" w:hAnsi="Book Antiqua" w:cs="Book Antiqua"/>
          <w:color w:val="000000"/>
        </w:rPr>
        <w:t>reatment for uHCC</w:t>
      </w:r>
    </w:p>
    <w:p w14:paraId="3645301A" w14:textId="77777777" w:rsidR="00A77B3E" w:rsidRPr="00880FA7" w:rsidRDefault="00A77B3E" w:rsidP="00D33124">
      <w:pPr>
        <w:spacing w:line="360" w:lineRule="auto"/>
        <w:jc w:val="both"/>
        <w:rPr>
          <w:rFonts w:ascii="Book Antiqua" w:hAnsi="Book Antiqua"/>
        </w:rPr>
      </w:pPr>
    </w:p>
    <w:p w14:paraId="1753167C"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Wattana Leowattana, Tawithep Leowattana, PathompThep Leowattana</w:t>
      </w:r>
    </w:p>
    <w:p w14:paraId="69925FFF" w14:textId="77777777" w:rsidR="00A77B3E" w:rsidRPr="00880FA7" w:rsidRDefault="00A77B3E" w:rsidP="00D33124">
      <w:pPr>
        <w:spacing w:line="360" w:lineRule="auto"/>
        <w:jc w:val="both"/>
        <w:rPr>
          <w:rFonts w:ascii="Book Antiqua" w:hAnsi="Book Antiqua"/>
        </w:rPr>
      </w:pPr>
    </w:p>
    <w:p w14:paraId="2F79A862"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Wattana Leowattana, </w:t>
      </w:r>
      <w:r w:rsidR="00EF2484" w:rsidRPr="00880FA7">
        <w:rPr>
          <w:rFonts w:ascii="Book Antiqua" w:eastAsia="Book Antiqua" w:hAnsi="Book Antiqua" w:cs="Book Antiqua"/>
          <w:b/>
          <w:bCs/>
          <w:color w:val="000000"/>
        </w:rPr>
        <w:t xml:space="preserve">PathompThep Leowattana, </w:t>
      </w:r>
      <w:r w:rsidRPr="00880FA7">
        <w:rPr>
          <w:rFonts w:ascii="Book Antiqua" w:eastAsia="Book Antiqua" w:hAnsi="Book Antiqua" w:cs="Book Antiqua"/>
          <w:color w:val="000000"/>
        </w:rPr>
        <w:t>Department of Clinical Tropical Medicine, Faculty of Tropical Medicine, Mahidol University, Bangkok 10400, Thailand</w:t>
      </w:r>
    </w:p>
    <w:p w14:paraId="693D7CE8" w14:textId="77777777" w:rsidR="00A77B3E" w:rsidRPr="00880FA7" w:rsidRDefault="00A77B3E" w:rsidP="00D33124">
      <w:pPr>
        <w:spacing w:line="360" w:lineRule="auto"/>
        <w:jc w:val="both"/>
        <w:rPr>
          <w:rFonts w:ascii="Book Antiqua" w:hAnsi="Book Antiqua"/>
        </w:rPr>
      </w:pPr>
    </w:p>
    <w:p w14:paraId="76EDD128"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Tawithep Leowattana, </w:t>
      </w:r>
      <w:r w:rsidRPr="00880FA7">
        <w:rPr>
          <w:rFonts w:ascii="Book Antiqua" w:eastAsia="Book Antiqua" w:hAnsi="Book Antiqua" w:cs="Book Antiqua"/>
          <w:color w:val="000000"/>
        </w:rPr>
        <w:t>Department of Medicine, Faculty of Medicine, Srinakharinwirot University, Bangkok 10110, Thailand</w:t>
      </w:r>
    </w:p>
    <w:p w14:paraId="1C7DD58F" w14:textId="77777777" w:rsidR="00A77B3E" w:rsidRPr="00880FA7" w:rsidRDefault="00A77B3E" w:rsidP="00D33124">
      <w:pPr>
        <w:spacing w:line="360" w:lineRule="auto"/>
        <w:jc w:val="both"/>
        <w:rPr>
          <w:rFonts w:ascii="Book Antiqua" w:hAnsi="Book Antiqua"/>
        </w:rPr>
      </w:pPr>
    </w:p>
    <w:p w14:paraId="22768354"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Author contributions: </w:t>
      </w:r>
      <w:r w:rsidRPr="00880FA7">
        <w:rPr>
          <w:rFonts w:ascii="Book Antiqua" w:eastAsia="Book Antiqua" w:hAnsi="Book Antiqua" w:cs="Book Antiqua"/>
          <w:color w:val="000000"/>
        </w:rPr>
        <w:t>Leowattana W wrote the paper; Leowattana T and Leowattana P collected the data.</w:t>
      </w:r>
    </w:p>
    <w:p w14:paraId="3798DFB8" w14:textId="77777777" w:rsidR="00A77B3E" w:rsidRPr="00880FA7" w:rsidRDefault="00A77B3E" w:rsidP="00D33124">
      <w:pPr>
        <w:spacing w:line="360" w:lineRule="auto"/>
        <w:jc w:val="both"/>
        <w:rPr>
          <w:rFonts w:ascii="Book Antiqua" w:hAnsi="Book Antiqua"/>
        </w:rPr>
      </w:pPr>
    </w:p>
    <w:p w14:paraId="7ECB6424"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Corresponding author: Wattana Leowattana, BMed, MD, MSc, PhD, Full Professor, </w:t>
      </w:r>
      <w:r w:rsidRPr="00880FA7">
        <w:rPr>
          <w:rFonts w:ascii="Book Antiqua" w:eastAsia="Book Antiqua" w:hAnsi="Book Antiqua" w:cs="Book Antiqua"/>
          <w:color w:val="000000"/>
        </w:rPr>
        <w:t>Department of Clinical Tropical Medicine, Faculty of Tropical Medicine, Mahidol University, 420/6 Rajavithi Road, Rachatawee, Bangkok 10400, Thailand. wattana.leo@mahidol.ac.th</w:t>
      </w:r>
    </w:p>
    <w:p w14:paraId="5BCDB229" w14:textId="77777777" w:rsidR="00A77B3E" w:rsidRPr="00880FA7" w:rsidRDefault="00A77B3E" w:rsidP="00D33124">
      <w:pPr>
        <w:spacing w:line="360" w:lineRule="auto"/>
        <w:jc w:val="both"/>
        <w:rPr>
          <w:rFonts w:ascii="Book Antiqua" w:hAnsi="Book Antiqua"/>
        </w:rPr>
      </w:pPr>
    </w:p>
    <w:p w14:paraId="7D38BD1C"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Received: </w:t>
      </w:r>
      <w:r w:rsidRPr="00880FA7">
        <w:rPr>
          <w:rFonts w:ascii="Book Antiqua" w:eastAsia="Book Antiqua" w:hAnsi="Book Antiqua" w:cs="Book Antiqua"/>
          <w:color w:val="000000"/>
        </w:rPr>
        <w:t>September 27, 2022</w:t>
      </w:r>
    </w:p>
    <w:p w14:paraId="04BBE2CC"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Revised: </w:t>
      </w:r>
      <w:r w:rsidR="0099320B" w:rsidRPr="00880FA7">
        <w:rPr>
          <w:rFonts w:ascii="Book Antiqua" w:hAnsi="Book Antiqua"/>
        </w:rPr>
        <w:t>January 8, 2023</w:t>
      </w:r>
    </w:p>
    <w:p w14:paraId="081BB918" w14:textId="11A9F4FB" w:rsidR="00A71B4F" w:rsidRPr="00880FA7" w:rsidRDefault="00A92039" w:rsidP="00D33124">
      <w:pPr>
        <w:spacing w:line="360" w:lineRule="auto"/>
        <w:jc w:val="both"/>
        <w:rPr>
          <w:rFonts w:ascii="Book Antiqua" w:eastAsia="Book Antiqua" w:hAnsi="Book Antiqua" w:cs="Book Antiqua"/>
          <w:b/>
          <w:bCs/>
          <w:color w:val="000000"/>
        </w:rPr>
      </w:pPr>
      <w:r w:rsidRPr="00880FA7">
        <w:rPr>
          <w:rFonts w:ascii="Book Antiqua" w:eastAsia="Book Antiqua" w:hAnsi="Book Antiqua" w:cs="Book Antiqua"/>
          <w:b/>
          <w:bCs/>
          <w:color w:val="000000"/>
        </w:rPr>
        <w:t xml:space="preserve">Accepted: </w:t>
      </w:r>
      <w:r w:rsidR="00A71B4F" w:rsidRPr="00880FA7">
        <w:rPr>
          <w:rFonts w:ascii="Book Antiqua" w:eastAsia="Book Antiqua" w:hAnsi="Book Antiqua" w:cs="Book Antiqua"/>
          <w:color w:val="000000"/>
        </w:rPr>
        <w:t>February 22, 2023</w:t>
      </w:r>
    </w:p>
    <w:p w14:paraId="702A5E2A" w14:textId="1E746D8A"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Published online: </w:t>
      </w:r>
      <w:r w:rsidR="00BF4AA2" w:rsidRPr="00880FA7">
        <w:rPr>
          <w:rFonts w:ascii="Book Antiqua" w:hAnsi="Book Antiqua"/>
          <w:color w:val="000000"/>
          <w:shd w:val="clear" w:color="auto" w:fill="FFFFFF"/>
        </w:rPr>
        <w:t>M</w:t>
      </w:r>
      <w:r w:rsidR="00BF4AA2" w:rsidRPr="00880FA7">
        <w:rPr>
          <w:rFonts w:ascii="Book Antiqua" w:eastAsia="Book Antiqua" w:hAnsi="Book Antiqua" w:cs="Book Antiqua"/>
          <w:color w:val="000000"/>
        </w:rPr>
        <w:t>arch 14</w:t>
      </w:r>
      <w:r w:rsidR="00BF4AA2" w:rsidRPr="00880FA7">
        <w:rPr>
          <w:rFonts w:ascii="Book Antiqua" w:eastAsia="Book Antiqua" w:hAnsi="Book Antiqua" w:cs="Book Antiqua" w:hint="eastAsia"/>
          <w:color w:val="000000"/>
        </w:rPr>
        <w:t>,</w:t>
      </w:r>
      <w:r w:rsidR="00BF4AA2" w:rsidRPr="00880FA7">
        <w:rPr>
          <w:rFonts w:ascii="Book Antiqua" w:eastAsia="Book Antiqua" w:hAnsi="Book Antiqua" w:cs="Book Antiqua"/>
          <w:color w:val="000000"/>
        </w:rPr>
        <w:t xml:space="preserve"> 2023</w:t>
      </w:r>
    </w:p>
    <w:p w14:paraId="246B5C55" w14:textId="77777777" w:rsidR="00A77B3E" w:rsidRPr="00880FA7" w:rsidRDefault="00A77B3E" w:rsidP="00D33124">
      <w:pPr>
        <w:spacing w:line="360" w:lineRule="auto"/>
        <w:jc w:val="both"/>
        <w:rPr>
          <w:rFonts w:ascii="Book Antiqua" w:hAnsi="Book Antiqua"/>
        </w:rPr>
        <w:sectPr w:rsidR="00A77B3E" w:rsidRPr="00880FA7">
          <w:footerReference w:type="default" r:id="rId6"/>
          <w:pgSz w:w="12240" w:h="15840"/>
          <w:pgMar w:top="1440" w:right="1440" w:bottom="1440" w:left="1440" w:header="720" w:footer="720" w:gutter="0"/>
          <w:cols w:space="720"/>
          <w:docGrid w:linePitch="360"/>
        </w:sectPr>
      </w:pPr>
    </w:p>
    <w:p w14:paraId="45C1F215"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lastRenderedPageBreak/>
        <w:t>Abstract</w:t>
      </w:r>
    </w:p>
    <w:p w14:paraId="3C70FB3A"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Hepatocellular carcinoma (HCC) is most commonly found in the context of liver cirrhosis and, in rare cases, in a healthy liver. Its prevalence has risen in recent years, particularly in Western nations, due to the increasing frequency of non-alcoholic fatty liver disease. Advanced HCC has a poor prognosis. For many years, the only proven therapy for unresectable HCC (uHCC) was sorafenib, a tyrosine kinase inhibitor. Recently, the synergistic effect of an immune checkpoint inhibitor, atezolizumab, and bevacizumab outperformed sorafenib alone in terms of survival, making it the recommended first-line therapy. Other multikinase inhibitors, lenvatinib and regorafenib, were also recommended as first and second-line drugs, respectively. Intermediate-stage HCC patients with retained liver function, particularly uHCC without extrahepatic metastasis, may benefit from trans-arterial chemoembolization. The current problem in uHCC is selecting a patient for the best treatment while considering the preexisting liver condition and liver function. Indeed, all study patients had a Child-Pugh class A, and the best therapy for other individuals is unknown. Additionally, in the absence of a medical contraindication, atezolizumab could be combined with bevacizumab for uHCC systemic therapy. Several studies are now underway to evaluate immune checkpoint inhibitors in combination with anti-angiogenic drugs, and the first findings are encouraging. The paradigm of uHCC therapy is changing dramatically, and many obstacles remain for optimum patient management in the near future. The purpose of this commentary review was to give an insight into current systemic treatment options for patients with uHCC who are not candidates for surgery to cure the disease.</w:t>
      </w:r>
    </w:p>
    <w:p w14:paraId="5562B39D" w14:textId="77777777" w:rsidR="00A77B3E" w:rsidRPr="00880FA7" w:rsidRDefault="00A77B3E" w:rsidP="00D33124">
      <w:pPr>
        <w:spacing w:line="360" w:lineRule="auto"/>
        <w:jc w:val="both"/>
        <w:rPr>
          <w:rFonts w:ascii="Book Antiqua" w:hAnsi="Book Antiqua"/>
        </w:rPr>
      </w:pPr>
    </w:p>
    <w:p w14:paraId="46917C2E"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Key Words: </w:t>
      </w:r>
      <w:r w:rsidRPr="00880FA7">
        <w:rPr>
          <w:rFonts w:ascii="Book Antiqua" w:eastAsia="Book Antiqua" w:hAnsi="Book Antiqua" w:cs="Book Antiqua"/>
          <w:color w:val="000000"/>
        </w:rPr>
        <w:t>Hepatocellular carcinoma; Unresectable hepatocellular carcinoma; Non-alcoholic fatty liver disease; Tyrosine kinase inhibitor; Sorafenib; Lenvatinib; Immune checkpoint inhibitor; Atezolizumab; Bevacizumab</w:t>
      </w:r>
    </w:p>
    <w:p w14:paraId="5655CB00" w14:textId="77777777" w:rsidR="00A77B3E" w:rsidRPr="00880FA7" w:rsidRDefault="00A77B3E" w:rsidP="00D33124">
      <w:pPr>
        <w:spacing w:line="360" w:lineRule="auto"/>
        <w:jc w:val="both"/>
        <w:rPr>
          <w:rFonts w:ascii="Book Antiqua" w:hAnsi="Book Antiqua"/>
        </w:rPr>
      </w:pPr>
    </w:p>
    <w:p w14:paraId="53B8F548" w14:textId="77777777" w:rsidR="00880FA7" w:rsidRPr="00880FA7" w:rsidRDefault="00880FA7" w:rsidP="00880FA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80FA7">
        <w:rPr>
          <w:rFonts w:ascii="Book Antiqua" w:eastAsia="Book Antiqua" w:hAnsi="Book Antiqua" w:cs="Book Antiqua" w:hint="eastAsia"/>
          <w:b/>
          <w:color w:val="000000"/>
        </w:rPr>
        <w:t>©</w:t>
      </w:r>
      <w:r w:rsidRPr="00880FA7">
        <w:rPr>
          <w:rFonts w:ascii="Book Antiqua" w:eastAsia="Book Antiqua" w:hAnsi="Book Antiqua" w:cs="Book Antiqua"/>
          <w:b/>
          <w:color w:val="000000"/>
        </w:rPr>
        <w:t>The</w:t>
      </w:r>
      <w:r w:rsidRPr="00880FA7">
        <w:rPr>
          <w:rFonts w:ascii="Book Antiqua" w:eastAsia="Book Antiqua" w:hAnsi="Book Antiqua" w:cs="Book Antiqua"/>
          <w:color w:val="000000"/>
        </w:rPr>
        <w:t xml:space="preserve"> </w:t>
      </w:r>
      <w:r w:rsidRPr="00880FA7">
        <w:rPr>
          <w:rFonts w:ascii="Book Antiqua" w:eastAsia="Book Antiqua" w:hAnsi="Book Antiqua" w:cs="Book Antiqua"/>
          <w:b/>
          <w:color w:val="000000"/>
        </w:rPr>
        <w:t xml:space="preserve">Author(s) 2023. </w:t>
      </w:r>
      <w:r w:rsidRPr="00880FA7">
        <w:rPr>
          <w:rFonts w:ascii="Book Antiqua" w:eastAsia="Book Antiqua" w:hAnsi="Book Antiqua" w:cs="Book Antiqua"/>
          <w:color w:val="000000"/>
        </w:rPr>
        <w:t>Published by Baishideng Publishing Group Inc. All rights reserved.</w:t>
      </w:r>
      <w:bookmarkEnd w:id="0"/>
      <w:r w:rsidRPr="00880FA7">
        <w:rPr>
          <w:rFonts w:ascii="Book Antiqua" w:eastAsia="Book Antiqua" w:hAnsi="Book Antiqua" w:cs="Book Antiqua"/>
          <w:color w:val="000000"/>
        </w:rPr>
        <w:t xml:space="preserve"> </w:t>
      </w:r>
    </w:p>
    <w:bookmarkEnd w:id="1"/>
    <w:p w14:paraId="79A6BFBE" w14:textId="77777777" w:rsidR="00880FA7" w:rsidRPr="00880FA7" w:rsidRDefault="00880FA7" w:rsidP="00880FA7">
      <w:pPr>
        <w:spacing w:line="360" w:lineRule="auto"/>
        <w:jc w:val="both"/>
        <w:rPr>
          <w:lang w:eastAsia="zh-CN"/>
        </w:rPr>
      </w:pPr>
    </w:p>
    <w:p w14:paraId="3503AC63" w14:textId="24278FF1" w:rsidR="00880FA7" w:rsidRPr="00880FA7" w:rsidRDefault="00880FA7" w:rsidP="00880FA7">
      <w:pPr>
        <w:spacing w:line="360" w:lineRule="auto"/>
        <w:jc w:val="both"/>
        <w:rPr>
          <w:rFonts w:ascii="Book Antiqua" w:eastAsia="Book Antiqua" w:hAnsi="Book Antiqua" w:cs="Book Antiqua"/>
          <w:color w:val="000000"/>
        </w:rPr>
      </w:pPr>
      <w:bookmarkStart w:id="4" w:name="_Hlk88512899"/>
      <w:bookmarkStart w:id="5" w:name="_Hlk88512352"/>
      <w:bookmarkEnd w:id="2"/>
      <w:r w:rsidRPr="00880FA7">
        <w:rPr>
          <w:rFonts w:ascii="Book Antiqua" w:hAnsi="Book Antiqua" w:cs="Book Antiqua" w:hint="eastAsia"/>
          <w:b/>
          <w:color w:val="000000"/>
          <w:lang w:eastAsia="zh-CN"/>
        </w:rPr>
        <w:lastRenderedPageBreak/>
        <w:t>Citation:</w:t>
      </w:r>
      <w:bookmarkEnd w:id="3"/>
      <w:bookmarkEnd w:id="4"/>
      <w:r w:rsidRPr="00880FA7">
        <w:rPr>
          <w:rFonts w:ascii="Book Antiqua" w:hAnsi="Book Antiqua" w:cs="Book Antiqua" w:hint="eastAsia"/>
          <w:color w:val="000000"/>
          <w:lang w:eastAsia="zh-CN"/>
        </w:rPr>
        <w:t xml:space="preserve"> </w:t>
      </w:r>
      <w:bookmarkEnd w:id="5"/>
      <w:r w:rsidR="00A92039" w:rsidRPr="00880FA7">
        <w:rPr>
          <w:rFonts w:ascii="Book Antiqua" w:eastAsia="Book Antiqua" w:hAnsi="Book Antiqua" w:cs="Book Antiqua"/>
          <w:color w:val="000000"/>
        </w:rPr>
        <w:t xml:space="preserve">Leowattana W, Leowattana T, Leowattana P. </w:t>
      </w:r>
      <w:r w:rsidR="003E01A8" w:rsidRPr="00880FA7">
        <w:rPr>
          <w:rFonts w:ascii="Book Antiqua" w:eastAsia="Book Antiqua" w:hAnsi="Book Antiqua" w:cs="Book Antiqua"/>
          <w:color w:val="000000"/>
        </w:rPr>
        <w:t xml:space="preserve">Systemic </w:t>
      </w:r>
      <w:r w:rsidR="003E01A8" w:rsidRPr="00880FA7">
        <w:rPr>
          <w:rFonts w:ascii="Book Antiqua" w:hAnsi="Book Antiqua" w:cs="Book Antiqua" w:hint="eastAsia"/>
          <w:color w:val="000000"/>
          <w:lang w:eastAsia="zh-CN"/>
        </w:rPr>
        <w:t>t</w:t>
      </w:r>
      <w:r w:rsidR="003E01A8" w:rsidRPr="00880FA7">
        <w:rPr>
          <w:rFonts w:ascii="Book Antiqua" w:eastAsia="Book Antiqua" w:hAnsi="Book Antiqua" w:cs="Book Antiqua"/>
          <w:color w:val="000000"/>
        </w:rPr>
        <w:t xml:space="preserve">reatment for </w:t>
      </w:r>
      <w:r w:rsidR="003E01A8" w:rsidRPr="00880FA7">
        <w:rPr>
          <w:rFonts w:ascii="Book Antiqua" w:hAnsi="Book Antiqua" w:cs="Book Antiqua" w:hint="eastAsia"/>
          <w:color w:val="000000"/>
          <w:lang w:eastAsia="zh-CN"/>
        </w:rPr>
        <w:t>u</w:t>
      </w:r>
      <w:r w:rsidR="003E01A8" w:rsidRPr="00880FA7">
        <w:rPr>
          <w:rFonts w:ascii="Book Antiqua" w:eastAsia="Book Antiqua" w:hAnsi="Book Antiqua" w:cs="Book Antiqua"/>
          <w:color w:val="000000"/>
        </w:rPr>
        <w:t xml:space="preserve">nresectable </w:t>
      </w:r>
      <w:r w:rsidR="003E01A8" w:rsidRPr="00880FA7">
        <w:rPr>
          <w:rFonts w:ascii="Book Antiqua" w:hAnsi="Book Antiqua" w:cs="Book Antiqua" w:hint="eastAsia"/>
          <w:color w:val="000000"/>
          <w:lang w:eastAsia="zh-CN"/>
        </w:rPr>
        <w:t>h</w:t>
      </w:r>
      <w:r w:rsidR="003E01A8" w:rsidRPr="00880FA7">
        <w:rPr>
          <w:rFonts w:ascii="Book Antiqua" w:eastAsia="Book Antiqua" w:hAnsi="Book Antiqua" w:cs="Book Antiqua"/>
          <w:color w:val="000000"/>
        </w:rPr>
        <w:t xml:space="preserve">epatocellular </w:t>
      </w:r>
      <w:r w:rsidR="003E01A8" w:rsidRPr="00880FA7">
        <w:rPr>
          <w:rFonts w:ascii="Book Antiqua" w:hAnsi="Book Antiqua" w:cs="Book Antiqua" w:hint="eastAsia"/>
          <w:color w:val="000000"/>
          <w:lang w:eastAsia="zh-CN"/>
        </w:rPr>
        <w:t>c</w:t>
      </w:r>
      <w:r w:rsidR="003E01A8" w:rsidRPr="00880FA7">
        <w:rPr>
          <w:rFonts w:ascii="Book Antiqua" w:eastAsia="Book Antiqua" w:hAnsi="Book Antiqua" w:cs="Book Antiqua"/>
          <w:color w:val="000000"/>
        </w:rPr>
        <w:t>arcinoma</w:t>
      </w:r>
      <w:r w:rsidR="00A92039" w:rsidRPr="00880FA7">
        <w:rPr>
          <w:rFonts w:ascii="Book Antiqua" w:eastAsia="Book Antiqua" w:hAnsi="Book Antiqua" w:cs="Book Antiqua"/>
          <w:color w:val="000000"/>
        </w:rPr>
        <w:t xml:space="preserve">. </w:t>
      </w:r>
      <w:r w:rsidR="00A92039" w:rsidRPr="00880FA7">
        <w:rPr>
          <w:rFonts w:ascii="Book Antiqua" w:eastAsia="Book Antiqua" w:hAnsi="Book Antiqua" w:cs="Book Antiqua"/>
          <w:i/>
          <w:iCs/>
          <w:color w:val="000000"/>
        </w:rPr>
        <w:t>World J Gastroenterol</w:t>
      </w:r>
      <w:r w:rsidR="00A92039" w:rsidRPr="00880FA7">
        <w:rPr>
          <w:rFonts w:ascii="Book Antiqua" w:eastAsia="Book Antiqua" w:hAnsi="Book Antiqua" w:cs="Book Antiqua"/>
          <w:color w:val="000000"/>
        </w:rPr>
        <w:t xml:space="preserve"> 2023; </w:t>
      </w:r>
      <w:r w:rsidR="00BF4AA2" w:rsidRPr="00880FA7">
        <w:rPr>
          <w:rFonts w:ascii="Book Antiqua" w:eastAsia="Book Antiqua" w:hAnsi="Book Antiqua" w:cs="Book Antiqua"/>
          <w:color w:val="000000"/>
        </w:rPr>
        <w:t xml:space="preserve">29(10): </w:t>
      </w:r>
      <w:r w:rsidRPr="00880FA7">
        <w:rPr>
          <w:rFonts w:ascii="Book Antiqua" w:eastAsia="Book Antiqua" w:hAnsi="Book Antiqua" w:cs="Book Antiqua"/>
          <w:color w:val="000000"/>
        </w:rPr>
        <w:t>1</w:t>
      </w:r>
      <w:r w:rsidR="00CF3A0D">
        <w:rPr>
          <w:rFonts w:ascii="Book Antiqua" w:eastAsia="Book Antiqua" w:hAnsi="Book Antiqua" w:cs="Book Antiqua"/>
          <w:color w:val="000000"/>
        </w:rPr>
        <w:t>551-1568</w:t>
      </w:r>
    </w:p>
    <w:p w14:paraId="3508F2C2" w14:textId="5ABB29F3" w:rsidR="00880FA7" w:rsidRPr="00880FA7" w:rsidRDefault="00BF4AA2" w:rsidP="00880FA7">
      <w:pPr>
        <w:spacing w:line="360" w:lineRule="auto"/>
        <w:jc w:val="both"/>
        <w:rPr>
          <w:rFonts w:ascii="Book Antiqua" w:eastAsia="Book Antiqua" w:hAnsi="Book Antiqua" w:cs="Book Antiqua"/>
          <w:color w:val="000000"/>
        </w:rPr>
      </w:pPr>
      <w:r w:rsidRPr="00880FA7">
        <w:rPr>
          <w:rFonts w:ascii="Book Antiqua" w:eastAsia="Book Antiqua" w:hAnsi="Book Antiqua" w:cs="Book Antiqua"/>
          <w:b/>
          <w:bCs/>
          <w:color w:val="000000"/>
        </w:rPr>
        <w:t xml:space="preserve">URL: </w:t>
      </w:r>
      <w:hyperlink r:id="rId7" w:history="1">
        <w:r w:rsidR="00CF3A0D" w:rsidRPr="00F9689C">
          <w:rPr>
            <w:rStyle w:val="af0"/>
            <w:rFonts w:ascii="Book Antiqua" w:eastAsia="Book Antiqua" w:hAnsi="Book Antiqua" w:cs="Book Antiqua"/>
          </w:rPr>
          <w:t>https://www.wjgnet.com/1007-9327/full/v29/i10/1551.htm</w:t>
        </w:r>
      </w:hyperlink>
    </w:p>
    <w:p w14:paraId="0E02E80B" w14:textId="5E7DAC05" w:rsidR="00BF4AA2" w:rsidRPr="00880FA7" w:rsidRDefault="00BF4AA2" w:rsidP="00880FA7">
      <w:pPr>
        <w:spacing w:line="360" w:lineRule="auto"/>
        <w:jc w:val="both"/>
        <w:rPr>
          <w:rFonts w:ascii="Book Antiqua" w:hAnsi="Book Antiqua"/>
        </w:rPr>
      </w:pPr>
      <w:r w:rsidRPr="00880FA7">
        <w:rPr>
          <w:rFonts w:ascii="Book Antiqua" w:eastAsia="Book Antiqua" w:hAnsi="Book Antiqua" w:cs="Book Antiqua"/>
          <w:b/>
          <w:bCs/>
          <w:color w:val="000000"/>
        </w:rPr>
        <w:t xml:space="preserve">DOI: </w:t>
      </w:r>
      <w:r w:rsidRPr="00880FA7">
        <w:rPr>
          <w:rFonts w:ascii="Book Antiqua" w:eastAsia="Book Antiqua" w:hAnsi="Book Antiqua" w:cs="Book Antiqua"/>
          <w:color w:val="000000"/>
        </w:rPr>
        <w:t>https://dx.doi.org/10.3748/wjg.v29.i10.</w:t>
      </w:r>
      <w:r w:rsidR="00880FA7" w:rsidRPr="00880FA7">
        <w:rPr>
          <w:rFonts w:ascii="Book Antiqua" w:eastAsia="Book Antiqua" w:hAnsi="Book Antiqua" w:cs="Book Antiqua"/>
          <w:color w:val="000000"/>
        </w:rPr>
        <w:t>1</w:t>
      </w:r>
      <w:r w:rsidR="00CF3A0D">
        <w:rPr>
          <w:rFonts w:ascii="Book Antiqua" w:eastAsia="Book Antiqua" w:hAnsi="Book Antiqua" w:cs="Book Antiqua"/>
          <w:color w:val="000000"/>
        </w:rPr>
        <w:t>551</w:t>
      </w:r>
    </w:p>
    <w:p w14:paraId="3459941F" w14:textId="208CB5C8" w:rsidR="00A77B3E" w:rsidRPr="00880FA7" w:rsidRDefault="00A77B3E" w:rsidP="00D33124">
      <w:pPr>
        <w:spacing w:line="360" w:lineRule="auto"/>
        <w:jc w:val="both"/>
        <w:rPr>
          <w:rFonts w:ascii="Book Antiqua" w:hAnsi="Book Antiqua"/>
        </w:rPr>
      </w:pPr>
    </w:p>
    <w:p w14:paraId="6B9429EC" w14:textId="77777777" w:rsidR="00A77B3E" w:rsidRPr="00880FA7" w:rsidRDefault="00A77B3E" w:rsidP="00D33124">
      <w:pPr>
        <w:spacing w:line="360" w:lineRule="auto"/>
        <w:jc w:val="both"/>
        <w:rPr>
          <w:rFonts w:ascii="Book Antiqua" w:hAnsi="Book Antiqua"/>
        </w:rPr>
      </w:pPr>
    </w:p>
    <w:p w14:paraId="2E193992" w14:textId="420C3DDC"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Core Tip: </w:t>
      </w:r>
      <w:r w:rsidR="00E93E10" w:rsidRPr="00880FA7">
        <w:rPr>
          <w:rFonts w:ascii="Book Antiqua" w:eastAsia="Book Antiqua" w:hAnsi="Book Antiqua" w:cs="Book Antiqua"/>
          <w:color w:val="000000"/>
        </w:rPr>
        <w:t>Hepatocellular carcinoma (HCC) is a major health problem that is the fourth leading cause of cancer-related mortality worldwide</w:t>
      </w:r>
      <w:r w:rsidRPr="00880FA7">
        <w:rPr>
          <w:rFonts w:ascii="Book Antiqua" w:eastAsia="Book Antiqua" w:hAnsi="Book Antiqua" w:cs="Book Antiqua"/>
          <w:color w:val="000000"/>
        </w:rPr>
        <w:t xml:space="preserve">. The </w:t>
      </w:r>
      <w:r w:rsidR="00E0308E" w:rsidRPr="00880FA7">
        <w:rPr>
          <w:rFonts w:ascii="Book Antiqua" w:eastAsia="Book Antiqua" w:hAnsi="Book Antiqua" w:cs="Book Antiqua"/>
          <w:color w:val="000000"/>
        </w:rPr>
        <w:t>5</w:t>
      </w:r>
      <w:r w:rsidRPr="00880FA7">
        <w:rPr>
          <w:rFonts w:ascii="Book Antiqua" w:eastAsia="Book Antiqua" w:hAnsi="Book Antiqua" w:cs="Book Antiqua"/>
          <w:color w:val="000000"/>
        </w:rPr>
        <w:t xml:space="preserve">-year survival rate was nearly 19%, but only 2% in metastatic HCC. The first oral multikinase inhibitor for the systemic treatment of advanced or unresectable HCC (uHCC) was sorafenib. </w:t>
      </w:r>
      <w:r w:rsidR="00E93E10" w:rsidRPr="00880FA7">
        <w:rPr>
          <w:rFonts w:ascii="Book Antiqua" w:eastAsia="Book Antiqua" w:hAnsi="Book Antiqua" w:cs="Book Antiqua"/>
          <w:color w:val="000000"/>
        </w:rPr>
        <w:t>However, when compared to sorafenib, the combination of atezolizumab and bevacizumab increased survival rates and was authorized as first-line treatment for uHCC</w:t>
      </w:r>
      <w:r w:rsidRPr="00880FA7">
        <w:rPr>
          <w:rFonts w:ascii="Book Antiqua" w:eastAsia="Book Antiqua" w:hAnsi="Book Antiqua" w:cs="Book Antiqua"/>
          <w:color w:val="000000"/>
        </w:rPr>
        <w:t>. Regorafenib and cabozantinib are suggested for use as second-line drugs in the event that the disease progresses. Transarterial chemoembolization for palliative care or downstaging is also suggested. This review focused on systemic therapy for uHCC patients who are not appropriate for liver-directed therapy.</w:t>
      </w:r>
    </w:p>
    <w:p w14:paraId="18C2732D" w14:textId="77777777" w:rsidR="00A77B3E" w:rsidRPr="00880FA7" w:rsidRDefault="00A77B3E" w:rsidP="00D33124">
      <w:pPr>
        <w:spacing w:line="360" w:lineRule="auto"/>
        <w:jc w:val="both"/>
        <w:rPr>
          <w:rFonts w:ascii="Book Antiqua" w:hAnsi="Book Antiqua"/>
        </w:rPr>
      </w:pPr>
    </w:p>
    <w:p w14:paraId="76C956B7"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aps/>
          <w:color w:val="000000"/>
          <w:u w:val="single"/>
        </w:rPr>
        <w:t>INTRODUCTION</w:t>
      </w:r>
    </w:p>
    <w:p w14:paraId="2510B4BA" w14:textId="4B9F46D8" w:rsidR="00A77B3E" w:rsidRPr="00880FA7" w:rsidRDefault="007D6563" w:rsidP="00D33124">
      <w:pPr>
        <w:spacing w:line="360" w:lineRule="auto"/>
        <w:jc w:val="both"/>
        <w:rPr>
          <w:rFonts w:ascii="Book Antiqua" w:hAnsi="Book Antiqua"/>
        </w:rPr>
      </w:pPr>
      <w:r w:rsidRPr="00880FA7">
        <w:rPr>
          <w:rFonts w:ascii="Book Antiqua" w:eastAsia="Book Antiqua" w:hAnsi="Book Antiqua" w:cs="Book Antiqua"/>
          <w:color w:val="000000"/>
        </w:rPr>
        <w:t>Hepatocellular carcinoma (HCC) is the most common kind of primary liver cancer and a serious public health concern globally</w:t>
      </w:r>
      <w:r w:rsidR="00A92039" w:rsidRPr="00880FA7">
        <w:rPr>
          <w:rFonts w:ascii="Book Antiqua" w:eastAsia="Book Antiqua" w:hAnsi="Book Antiqua" w:cs="Book Antiqua"/>
          <w:color w:val="000000"/>
        </w:rPr>
        <w:t xml:space="preserve">. </w:t>
      </w:r>
      <w:r w:rsidR="00960BEC" w:rsidRPr="00880FA7">
        <w:rPr>
          <w:rFonts w:ascii="Book Antiqua" w:eastAsia="Book Antiqua" w:hAnsi="Book Antiqua" w:cs="Book Antiqua"/>
          <w:color w:val="000000"/>
        </w:rPr>
        <w:t>With 905677 new cases and 830</w:t>
      </w:r>
      <w:r w:rsidR="00A676F0" w:rsidRPr="00880FA7">
        <w:rPr>
          <w:rFonts w:ascii="Book Antiqua" w:eastAsia="Book Antiqua" w:hAnsi="Book Antiqua" w:cs="Book Antiqua"/>
          <w:color w:val="000000"/>
        </w:rPr>
        <w:t>180 fatalities in 2020, liver cancer is the sixth most common malignancy and the third major cause of cancer mortality</w:t>
      </w:r>
      <w:r w:rsidR="00A92039" w:rsidRPr="00880FA7">
        <w:rPr>
          <w:rFonts w:ascii="Book Antiqua" w:eastAsia="Book Antiqua" w:hAnsi="Book Antiqua" w:cs="Book Antiqua"/>
          <w:color w:val="000000"/>
        </w:rPr>
        <w:t>. The age-adjusted global incidence is 9.5 deaths</w:t>
      </w:r>
      <w:r w:rsidR="00960BEC" w:rsidRPr="00880FA7">
        <w:rPr>
          <w:rFonts w:ascii="Book Antiqua" w:hAnsi="Book Antiqua" w:cs="Book Antiqua" w:hint="eastAsia"/>
          <w:color w:val="000000"/>
          <w:lang w:eastAsia="zh-CN"/>
        </w:rPr>
        <w:t xml:space="preserve"> </w:t>
      </w:r>
      <w:r w:rsidR="00960BEC" w:rsidRPr="00880FA7">
        <w:rPr>
          <w:rFonts w:ascii="Book Antiqua" w:eastAsia="Book Antiqua" w:hAnsi="Book Antiqua" w:cs="Book Antiqua"/>
          <w:color w:val="000000"/>
        </w:rPr>
        <w:t>per 100</w:t>
      </w:r>
      <w:r w:rsidR="00A92039" w:rsidRPr="00880FA7">
        <w:rPr>
          <w:rFonts w:ascii="Book Antiqua" w:eastAsia="Book Antiqua" w:hAnsi="Book Antiqua" w:cs="Book Antiqua"/>
          <w:color w:val="000000"/>
        </w:rPr>
        <w:t>000 and th</w:t>
      </w:r>
      <w:r w:rsidR="00960BEC" w:rsidRPr="00880FA7">
        <w:rPr>
          <w:rFonts w:ascii="Book Antiqua" w:eastAsia="Book Antiqua" w:hAnsi="Book Antiqua" w:cs="Book Antiqua"/>
          <w:color w:val="000000"/>
        </w:rPr>
        <w:t>e mortality rate is 8.7 per 100</w:t>
      </w:r>
      <w:r w:rsidR="00A92039" w:rsidRPr="00880FA7">
        <w:rPr>
          <w:rFonts w:ascii="Book Antiqua" w:eastAsia="Book Antiqua" w:hAnsi="Book Antiqua" w:cs="Book Antiqua"/>
          <w:color w:val="000000"/>
        </w:rPr>
        <w:t>000 people</w:t>
      </w:r>
      <w:r w:rsidR="00A92039" w:rsidRPr="00880FA7">
        <w:rPr>
          <w:rFonts w:ascii="Book Antiqua" w:eastAsia="Book Antiqua" w:hAnsi="Book Antiqua" w:cs="Book Antiqua"/>
          <w:color w:val="000000"/>
          <w:vertAlign w:val="superscript"/>
        </w:rPr>
        <w:t>[1]</w:t>
      </w:r>
      <w:r w:rsidR="00960BEC" w:rsidRPr="00880FA7">
        <w:rPr>
          <w:rFonts w:ascii="Book Antiqua" w:eastAsia="Book Antiqua" w:hAnsi="Book Antiqua" w:cs="Book Antiqua"/>
          <w:color w:val="000000"/>
        </w:rPr>
        <w:t xml:space="preserve">. </w:t>
      </w:r>
      <w:r w:rsidR="00A92039" w:rsidRPr="00880FA7">
        <w:rPr>
          <w:rFonts w:ascii="Book Antiqua" w:eastAsia="Book Antiqua" w:hAnsi="Book Antiqua" w:cs="Book Antiqua"/>
          <w:color w:val="000000"/>
        </w:rPr>
        <w:t xml:space="preserve">HCC typically develops in the presence of cirrhosis, less frequently in chronic liver disease that is not cirrhotic, and very rarely in a healthy liver. </w:t>
      </w:r>
      <w:r w:rsidR="0023263F" w:rsidRPr="00880FA7">
        <w:rPr>
          <w:rFonts w:ascii="Book Antiqua" w:eastAsia="Book Antiqua" w:hAnsi="Book Antiqua" w:cs="Book Antiqua"/>
          <w:color w:val="000000"/>
        </w:rPr>
        <w:t xml:space="preserve">The risk factors for HCC are well-known and vary by geographic location. In Asia and Africa, viral hepatitis is the main cause of HCC, but in North America and </w:t>
      </w:r>
      <w:r w:rsidR="00960BEC" w:rsidRPr="00880FA7">
        <w:rPr>
          <w:rFonts w:ascii="Book Antiqua" w:hAnsi="Book Antiqua" w:cs="Book Antiqua" w:hint="eastAsia"/>
          <w:color w:val="000000"/>
          <w:lang w:eastAsia="zh-CN"/>
        </w:rPr>
        <w:t>W</w:t>
      </w:r>
      <w:r w:rsidR="0023263F" w:rsidRPr="00880FA7">
        <w:rPr>
          <w:rFonts w:ascii="Book Antiqua" w:eastAsia="Book Antiqua" w:hAnsi="Book Antiqua" w:cs="Book Antiqua"/>
          <w:color w:val="000000"/>
        </w:rPr>
        <w:t>estern Europe, fatty liver disease and obesity are the main causes. The length of time that these risk factors have been detected in human populations is strongly correlated with the global increase in HCC incidence</w:t>
      </w:r>
      <w:r w:rsidR="00A92039" w:rsidRPr="00880FA7">
        <w:rPr>
          <w:rFonts w:ascii="Book Antiqua" w:eastAsia="Book Antiqua" w:hAnsi="Book Antiqua" w:cs="Book Antiqua"/>
          <w:color w:val="000000"/>
          <w:vertAlign w:val="superscript"/>
        </w:rPr>
        <w:t>[2-4]</w:t>
      </w:r>
      <w:r w:rsidR="00A92039" w:rsidRPr="00880FA7">
        <w:rPr>
          <w:rFonts w:ascii="Book Antiqua" w:eastAsia="Book Antiqua" w:hAnsi="Book Antiqua" w:cs="Book Antiqua"/>
          <w:color w:val="000000"/>
        </w:rPr>
        <w:t xml:space="preserve">. </w:t>
      </w:r>
      <w:r w:rsidR="00B2678A" w:rsidRPr="00880FA7">
        <w:rPr>
          <w:rFonts w:ascii="Book Antiqua" w:eastAsia="Book Antiqua" w:hAnsi="Book Antiqua" w:cs="Book Antiqua"/>
          <w:color w:val="000000"/>
        </w:rPr>
        <w:t xml:space="preserve">Depending on the tumor stage and liver </w:t>
      </w:r>
      <w:r w:rsidR="00B2678A" w:rsidRPr="00880FA7">
        <w:rPr>
          <w:rFonts w:ascii="Book Antiqua" w:eastAsia="Book Antiqua" w:hAnsi="Book Antiqua" w:cs="Book Antiqua"/>
          <w:color w:val="000000"/>
        </w:rPr>
        <w:lastRenderedPageBreak/>
        <w:t xml:space="preserve">function, the prognosis and treatment plan for HCC in cirrhotic livers are determined (Child–Pugh score). With a 5-year relative survival rate of 18.4%, </w:t>
      </w:r>
      <w:r w:rsidR="007C068D" w:rsidRPr="00880FA7">
        <w:rPr>
          <w:rFonts w:ascii="Book Antiqua" w:eastAsia="Book Antiqua" w:hAnsi="Book Antiqua" w:cs="Book Antiqua"/>
          <w:color w:val="000000"/>
        </w:rPr>
        <w:t>overall survival (OS)</w:t>
      </w:r>
      <w:r w:rsidR="00B2678A" w:rsidRPr="00880FA7">
        <w:rPr>
          <w:rFonts w:ascii="Book Antiqua" w:eastAsia="Book Antiqua" w:hAnsi="Book Antiqua" w:cs="Book Antiqua"/>
          <w:color w:val="000000"/>
        </w:rPr>
        <w:t xml:space="preserve"> is poor</w:t>
      </w:r>
      <w:r w:rsidR="00A92039" w:rsidRPr="00880FA7">
        <w:rPr>
          <w:rFonts w:ascii="Book Antiqua" w:eastAsia="Book Antiqua" w:hAnsi="Book Antiqua" w:cs="Book Antiqua"/>
          <w:color w:val="000000"/>
        </w:rPr>
        <w:t>. Patients with localized, regional, and metastasis have 5-year survival rates of 33%, 10%, and 2%, respectively</w:t>
      </w:r>
      <w:r w:rsidR="00A92039" w:rsidRPr="00880FA7">
        <w:rPr>
          <w:rFonts w:ascii="Book Antiqua" w:eastAsia="Book Antiqua" w:hAnsi="Book Antiqua" w:cs="Book Antiqua"/>
          <w:color w:val="000000"/>
          <w:vertAlign w:val="superscript"/>
        </w:rPr>
        <w:t>[5]</w:t>
      </w:r>
      <w:r w:rsidR="00A92039" w:rsidRPr="00880FA7">
        <w:rPr>
          <w:rFonts w:ascii="Book Antiqua" w:eastAsia="Book Antiqua" w:hAnsi="Book Antiqua" w:cs="Book Antiqua"/>
          <w:color w:val="000000"/>
        </w:rPr>
        <w:t>. HCC may be treatable in its early stages by resection, liver transplantation, or ablation.</w:t>
      </w:r>
      <w:r w:rsidR="00C12AFD"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However, patients are typically identified at intermediate or advanced stages due to a lack of symptoms.</w:t>
      </w:r>
    </w:p>
    <w:p w14:paraId="0CF1FBFF" w14:textId="2E54A9B4" w:rsidR="00A77B3E" w:rsidRPr="00880FA7" w:rsidRDefault="00A92039" w:rsidP="00C12AFD">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For patients with HCC, the Barcelona Clinic Liver Cancer (BCLC) staging system employs many factors to direct the treatment course of action. </w:t>
      </w:r>
      <w:r w:rsidR="00B2678A" w:rsidRPr="00880FA7">
        <w:rPr>
          <w:rFonts w:ascii="Book Antiqua" w:eastAsia="Book Antiqua" w:hAnsi="Book Antiqua" w:cs="Book Antiqua"/>
          <w:color w:val="000000"/>
        </w:rPr>
        <w:t xml:space="preserve">The Child-Pugh score is comprised of the Eastern Cooperative Oncology Group (ECOG) </w:t>
      </w:r>
      <w:r w:rsidR="00FB18A6" w:rsidRPr="00880FA7">
        <w:rPr>
          <w:rFonts w:ascii="Book Antiqua" w:eastAsia="Book Antiqua" w:hAnsi="Book Antiqua" w:cs="Book Antiqua"/>
          <w:color w:val="000000"/>
        </w:rPr>
        <w:t>performance status (PS)</w:t>
      </w:r>
      <w:r w:rsidR="00B2678A" w:rsidRPr="00880FA7">
        <w:rPr>
          <w:rFonts w:ascii="Book Antiqua" w:eastAsia="Book Antiqua" w:hAnsi="Book Antiqua" w:cs="Book Antiqua"/>
          <w:color w:val="000000"/>
        </w:rPr>
        <w:t xml:space="preserve">, tumor burden (including portal invasion status and hepatic spread), and an estimation of the underlying liver function that should be estimated in addition to the Child-Pugh score using the Model for End-Stage Liver Disease score in cases of decompensated cirrhosis or the alpha-fetoprotein (AFP) concentration and albumin-bilirubin score </w:t>
      </w:r>
      <w:r w:rsidRPr="00880FA7">
        <w:rPr>
          <w:rFonts w:ascii="Book Antiqua" w:eastAsia="Book Antiqua" w:hAnsi="Book Antiqua" w:cs="Book Antiqua"/>
          <w:color w:val="000000"/>
        </w:rPr>
        <w:t xml:space="preserve">in cases of compensated liver disease. </w:t>
      </w:r>
      <w:r w:rsidR="00FB48FA" w:rsidRPr="00880FA7">
        <w:rPr>
          <w:rFonts w:ascii="Book Antiqua" w:eastAsia="Book Antiqua" w:hAnsi="Book Antiqua" w:cs="Book Antiqua"/>
          <w:color w:val="000000"/>
        </w:rPr>
        <w:t xml:space="preserve">HCC patients are classified into four stages: </w:t>
      </w:r>
      <w:r w:rsidR="00452F0B" w:rsidRPr="00880FA7">
        <w:rPr>
          <w:rFonts w:ascii="Book Antiqua" w:hAnsi="Book Antiqua" w:cs="Book Antiqua" w:hint="eastAsia"/>
          <w:color w:val="000000"/>
          <w:lang w:eastAsia="zh-CN"/>
        </w:rPr>
        <w:t>V</w:t>
      </w:r>
      <w:r w:rsidR="00FB48FA" w:rsidRPr="00880FA7">
        <w:rPr>
          <w:rFonts w:ascii="Book Antiqua" w:eastAsia="Book Antiqua" w:hAnsi="Book Antiqua" w:cs="Book Antiqua"/>
          <w:color w:val="000000"/>
        </w:rPr>
        <w:t>ery</w:t>
      </w:r>
      <w:r w:rsidR="00AE7ADC" w:rsidRPr="00880FA7">
        <w:rPr>
          <w:rFonts w:ascii="Book Antiqua" w:hAnsi="Book Antiqua" w:cs="Book Antiqua" w:hint="eastAsia"/>
          <w:color w:val="000000"/>
          <w:lang w:eastAsia="zh-CN"/>
        </w:rPr>
        <w:t xml:space="preserve"> </w:t>
      </w:r>
      <w:r w:rsidR="00FB48FA" w:rsidRPr="00880FA7">
        <w:rPr>
          <w:rFonts w:ascii="Book Antiqua" w:eastAsia="Book Antiqua" w:hAnsi="Book Antiqua" w:cs="Book Antiqua"/>
          <w:color w:val="000000"/>
        </w:rPr>
        <w:t>early (BCLC 0), early (BCLC A), intermediate (BCLC B), unresectable (BCLC C), and end-stages (BCLC D)</w:t>
      </w:r>
      <w:r w:rsidRPr="00880FA7">
        <w:rPr>
          <w:rFonts w:ascii="Book Antiqua" w:eastAsia="Book Antiqua" w:hAnsi="Book Antiqua" w:cs="Book Antiqua"/>
          <w:color w:val="000000"/>
        </w:rPr>
        <w:t xml:space="preserve">. </w:t>
      </w:r>
      <w:r w:rsidR="00F22691" w:rsidRPr="00880FA7">
        <w:rPr>
          <w:rFonts w:ascii="Book Antiqua" w:eastAsia="Book Antiqua" w:hAnsi="Book Antiqua" w:cs="Book Antiqua"/>
          <w:color w:val="000000"/>
        </w:rPr>
        <w:t>Nearly 40% of HCC patients have an early diagnosis, making them eligible for curative procedures such</w:t>
      </w:r>
      <w:r w:rsidR="006513C9" w:rsidRPr="00880FA7">
        <w:rPr>
          <w:rFonts w:ascii="Book Antiqua" w:eastAsia="Book Antiqua" w:hAnsi="Book Antiqua" w:cs="Book Antiqua"/>
          <w:color w:val="000000"/>
        </w:rPr>
        <w:t xml:space="preserve"> as</w:t>
      </w:r>
      <w:r w:rsidR="00F22691" w:rsidRPr="00880FA7">
        <w:rPr>
          <w:rFonts w:ascii="Book Antiqua" w:eastAsia="Book Antiqua" w:hAnsi="Book Antiqua" w:cs="Book Antiqua"/>
          <w:color w:val="000000"/>
        </w:rPr>
        <w:t xml:space="preserve"> local radiofrequency ablation or surgery (liver transplantation or hepatic resection). A systemic, chemoemboliz</w:t>
      </w:r>
      <w:r w:rsidR="00324DDC" w:rsidRPr="00880FA7">
        <w:rPr>
          <w:rFonts w:ascii="Book Antiqua" w:eastAsia="Book Antiqua" w:hAnsi="Book Antiqua" w:cs="Book Antiqua"/>
          <w:color w:val="000000"/>
        </w:rPr>
        <w:t>ation</w:t>
      </w:r>
      <w:r w:rsidR="00F22691" w:rsidRPr="00880FA7">
        <w:rPr>
          <w:rFonts w:ascii="Book Antiqua" w:eastAsia="Book Antiqua" w:hAnsi="Book Antiqua" w:cs="Book Antiqua"/>
          <w:color w:val="000000"/>
        </w:rPr>
        <w:t>, or radioemboliz</w:t>
      </w:r>
      <w:r w:rsidR="00324DDC" w:rsidRPr="00880FA7">
        <w:rPr>
          <w:rFonts w:ascii="Book Antiqua" w:eastAsia="Book Antiqua" w:hAnsi="Book Antiqua" w:cs="Book Antiqua"/>
          <w:color w:val="000000"/>
        </w:rPr>
        <w:t>ation</w:t>
      </w:r>
      <w:r w:rsidR="00F22691" w:rsidRPr="00880FA7">
        <w:rPr>
          <w:rFonts w:ascii="Book Antiqua" w:eastAsia="Book Antiqua" w:hAnsi="Book Antiqua" w:cs="Book Antiqua"/>
          <w:color w:val="000000"/>
        </w:rPr>
        <w:t xml:space="preserve"> treatment is necessary for more than half of them, which is in the intermediate stage and is unresectable (BCLC B and C)</w:t>
      </w:r>
      <w:r w:rsidRPr="00880FA7">
        <w:rPr>
          <w:rFonts w:ascii="Book Antiqua" w:eastAsia="Book Antiqua" w:hAnsi="Book Antiqua" w:cs="Book Antiqua"/>
          <w:color w:val="000000"/>
          <w:vertAlign w:val="superscript"/>
        </w:rPr>
        <w:t>[6]</w:t>
      </w:r>
      <w:r w:rsidRPr="00880FA7">
        <w:rPr>
          <w:rFonts w:ascii="Book Antiqua" w:eastAsia="Book Antiqua" w:hAnsi="Book Antiqua" w:cs="Book Antiqua"/>
          <w:color w:val="000000"/>
        </w:rPr>
        <w:t xml:space="preserve">. </w:t>
      </w:r>
    </w:p>
    <w:p w14:paraId="3A5D107F" w14:textId="00FF3623" w:rsidR="00A77B3E" w:rsidRPr="00880FA7" w:rsidRDefault="00A92039" w:rsidP="00AE7ADC">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Unfortunately, systemic therapy is the only treatment available for individuals with HCC because more than 50% of cases are discovered at an advanced stage. In addition, recurrences occur in around 70% of individuals who have had their main tumor surgically removed</w:t>
      </w:r>
      <w:r w:rsidRPr="00880FA7">
        <w:rPr>
          <w:rFonts w:ascii="Book Antiqua" w:eastAsia="Book Antiqua" w:hAnsi="Book Antiqua" w:cs="Book Antiqua"/>
          <w:color w:val="000000"/>
          <w:vertAlign w:val="superscript"/>
        </w:rPr>
        <w:t>[7]</w:t>
      </w:r>
      <w:r w:rsidRPr="00880FA7">
        <w:rPr>
          <w:rFonts w:ascii="Book Antiqua" w:eastAsia="Book Antiqua" w:hAnsi="Book Antiqua" w:cs="Book Antiqua"/>
          <w:color w:val="000000"/>
        </w:rPr>
        <w:t>. When liver-directed medicines are not a possibility or the patient has experienced a significant recurrence, systemic therapy is chosen. Systemic treatments, including tyrosine kinase inhibitors</w:t>
      </w:r>
      <w:r w:rsidR="00661F57" w:rsidRPr="00880FA7">
        <w:rPr>
          <w:rFonts w:ascii="Book Antiqua" w:hAnsi="Book Antiqua" w:cs="Book Antiqua" w:hint="eastAsia"/>
          <w:color w:val="000000"/>
          <w:lang w:eastAsia="zh-CN"/>
        </w:rPr>
        <w:t xml:space="preserve"> (TKI</w:t>
      </w:r>
      <w:r w:rsidR="002C2453" w:rsidRPr="00880FA7">
        <w:rPr>
          <w:rFonts w:ascii="Book Antiqua" w:hAnsi="Book Antiqua" w:cs="Book Antiqua"/>
          <w:color w:val="000000"/>
          <w:lang w:eastAsia="zh-CN"/>
        </w:rPr>
        <w:t>s</w:t>
      </w:r>
      <w:r w:rsidR="00661F57"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 xml:space="preserve">, monoclonal antibodies, and immune checkpoint inhibitors, have been made possible by recent technological advancements. </w:t>
      </w:r>
      <w:r w:rsidR="001225E9" w:rsidRPr="00880FA7">
        <w:rPr>
          <w:rFonts w:ascii="Book Antiqua" w:eastAsia="Book Antiqua" w:hAnsi="Book Antiqua" w:cs="Book Antiqua"/>
          <w:color w:val="000000"/>
        </w:rPr>
        <w:t>The FDA has officially authorized sorafenib and lenvatinib as first-line therapies for advanced HCC</w:t>
      </w:r>
      <w:r w:rsidRPr="00880FA7">
        <w:rPr>
          <w:rFonts w:ascii="Book Antiqua" w:eastAsia="Book Antiqua" w:hAnsi="Book Antiqua" w:cs="Book Antiqua"/>
          <w:color w:val="000000"/>
        </w:rPr>
        <w:t xml:space="preserve">. Second-line treatments for individuals who advanced or did not tolerate </w:t>
      </w:r>
      <w:r w:rsidRPr="00880FA7">
        <w:rPr>
          <w:rFonts w:ascii="Book Antiqua" w:eastAsia="Book Antiqua" w:hAnsi="Book Antiqua" w:cs="Book Antiqua"/>
          <w:color w:val="000000"/>
        </w:rPr>
        <w:lastRenderedPageBreak/>
        <w:t>sorafenib include cabozantinib, regorafenib, ramucirumab, nivolumab, and pembrolizumab. The U</w:t>
      </w:r>
      <w:r w:rsidR="00AE7ADC" w:rsidRPr="00880FA7">
        <w:rPr>
          <w:rFonts w:ascii="Book Antiqua" w:hAnsi="Book Antiqua" w:cs="Book Antiqua" w:hint="eastAsia"/>
          <w:color w:val="000000"/>
          <w:lang w:eastAsia="zh-CN"/>
        </w:rPr>
        <w:t>nited States</w:t>
      </w:r>
      <w:r w:rsidRPr="00880FA7">
        <w:rPr>
          <w:rFonts w:ascii="Book Antiqua" w:eastAsia="Book Antiqua" w:hAnsi="Book Antiqua" w:cs="Book Antiqua"/>
          <w:color w:val="000000"/>
        </w:rPr>
        <w:t xml:space="preserve"> FDA</w:t>
      </w:r>
      <w:r w:rsidR="00AE7ADC"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recently approved the use of neurotrophic tyrosine receptor kinase (NTRK)</w:t>
      </w:r>
      <w:r w:rsidR="00AE7ADC"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inhibitors,</w:t>
      </w:r>
      <w:r w:rsidR="00AE7ADC"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larotrectinib or entrectinib, in HCC patients with NTRK fusion-positive solid tumors. Although cytokine treatment </w:t>
      </w:r>
      <w:r w:rsidR="00724AF2"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interferon alpha-2b, interleukin</w:t>
      </w:r>
      <w:r w:rsidR="00724AF2" w:rsidRPr="00880FA7">
        <w:rPr>
          <w:rFonts w:ascii="Book Antiqua" w:hAnsi="Book Antiqua" w:cs="Book Antiqua" w:hint="eastAsia"/>
          <w:color w:val="000000"/>
          <w:lang w:eastAsia="zh-CN"/>
        </w:rPr>
        <w:t xml:space="preserve"> (IL)</w:t>
      </w:r>
      <w:r w:rsidRPr="00880FA7">
        <w:rPr>
          <w:rFonts w:ascii="Book Antiqua" w:eastAsia="Book Antiqua" w:hAnsi="Book Antiqua" w:cs="Book Antiqua"/>
          <w:color w:val="000000"/>
        </w:rPr>
        <w:t>-12</w:t>
      </w:r>
      <w:r w:rsidR="00724AF2"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 xml:space="preserve"> produced disappointing results, nivolumab and pembrolizumab have shown promising outcomes in phase II studies in terms of progression-free survival (PFS)</w:t>
      </w:r>
      <w:r w:rsidRPr="00880FA7">
        <w:rPr>
          <w:rFonts w:ascii="Book Antiqua" w:eastAsia="Book Antiqua" w:hAnsi="Book Antiqua" w:cs="Book Antiqua"/>
          <w:color w:val="000000"/>
          <w:vertAlign w:val="superscript"/>
        </w:rPr>
        <w:t>[8-11]</w:t>
      </w:r>
      <w:r w:rsidRPr="00880FA7">
        <w:rPr>
          <w:rFonts w:ascii="Book Antiqua" w:eastAsia="Book Antiqua" w:hAnsi="Book Antiqua" w:cs="Book Antiqua"/>
          <w:color w:val="000000"/>
        </w:rPr>
        <w:t xml:space="preserve">. </w:t>
      </w:r>
      <w:r w:rsidR="004838AF" w:rsidRPr="00880FA7">
        <w:rPr>
          <w:rFonts w:ascii="Book Antiqua" w:eastAsia="Book Antiqua" w:hAnsi="Book Antiqua" w:cs="Book Antiqua"/>
          <w:color w:val="000000"/>
        </w:rPr>
        <w:t>Nivolumab in first-line treatment and pembrolizumab in second-line therapy phase III trials'</w:t>
      </w:r>
      <w:r w:rsidR="00D93BA4" w:rsidRPr="00880FA7">
        <w:rPr>
          <w:rFonts w:ascii="Book Antiqua" w:eastAsia="Book Antiqua" w:hAnsi="Book Antiqua" w:cs="Book Antiqua"/>
          <w:color w:val="000000"/>
        </w:rPr>
        <w:t xml:space="preserve"> </w:t>
      </w:r>
      <w:r w:rsidR="004838AF" w:rsidRPr="00880FA7">
        <w:rPr>
          <w:rFonts w:ascii="Book Antiqua" w:eastAsia="Book Antiqua" w:hAnsi="Book Antiqua" w:cs="Book Antiqua"/>
          <w:color w:val="000000"/>
        </w:rPr>
        <w:t>primary endpoints, however, were not achieved</w:t>
      </w:r>
      <w:r w:rsidR="007C068D" w:rsidRPr="00880FA7">
        <w:rPr>
          <w:rFonts w:ascii="Book Antiqua" w:eastAsia="Book Antiqua" w:hAnsi="Book Antiqua" w:cs="Book Antiqua"/>
          <w:color w:val="000000"/>
          <w:vertAlign w:val="superscript"/>
        </w:rPr>
        <w:t>[12,</w:t>
      </w:r>
      <w:r w:rsidRPr="00880FA7">
        <w:rPr>
          <w:rFonts w:ascii="Book Antiqua" w:eastAsia="Book Antiqua" w:hAnsi="Book Antiqua" w:cs="Book Antiqua"/>
          <w:color w:val="000000"/>
          <w:vertAlign w:val="superscript"/>
        </w:rPr>
        <w:t>13]</w:t>
      </w:r>
      <w:r w:rsidRPr="00880FA7">
        <w:rPr>
          <w:rFonts w:ascii="Book Antiqua" w:eastAsia="Book Antiqua" w:hAnsi="Book Antiqua" w:cs="Book Antiqua"/>
          <w:color w:val="000000"/>
        </w:rPr>
        <w:t>. The preliminary findings of a phase III study showed that atezolizumab with bevacizumab improved OS</w:t>
      </w:r>
      <w:r w:rsidR="007C068D"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and PFS when compared to sorafenib as first-line therapy for HCC</w:t>
      </w:r>
      <w:r w:rsidRPr="00880FA7">
        <w:rPr>
          <w:rFonts w:ascii="Book Antiqua" w:eastAsia="Book Antiqua" w:hAnsi="Book Antiqua" w:cs="Book Antiqua"/>
          <w:color w:val="000000"/>
          <w:vertAlign w:val="superscript"/>
        </w:rPr>
        <w:t>[14]</w:t>
      </w:r>
      <w:r w:rsidRPr="00880FA7">
        <w:rPr>
          <w:rFonts w:ascii="Book Antiqua" w:eastAsia="Book Antiqua" w:hAnsi="Book Antiqua" w:cs="Book Antiqua"/>
          <w:color w:val="000000"/>
        </w:rPr>
        <w:t>.</w:t>
      </w:r>
    </w:p>
    <w:p w14:paraId="1F4EAE15" w14:textId="77777777" w:rsidR="00A77B3E" w:rsidRPr="00880FA7" w:rsidRDefault="00A92039" w:rsidP="007C068D">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The development of effective HCC therapeutics is complicated by tumor heterogeneity caused by multiple risk factors. Greater understanding of the heterogenic tumorigenic pathways should provide information on tumor biomarkers, genomes, and other tumor characteristics that predict response to targeted treatment in HCC. In this review, we aimed to address the carcinogenesis of HCC, clinical trials that assessed medications targeting these tumorigenic pathways, and future directions of targeted treatment in advanced HCC.</w:t>
      </w:r>
    </w:p>
    <w:p w14:paraId="28791C38" w14:textId="77777777" w:rsidR="00A77B3E" w:rsidRPr="00880FA7" w:rsidRDefault="00A77B3E" w:rsidP="00D33124">
      <w:pPr>
        <w:spacing w:line="360" w:lineRule="auto"/>
        <w:jc w:val="both"/>
        <w:rPr>
          <w:rFonts w:ascii="Book Antiqua" w:hAnsi="Book Antiqua"/>
        </w:rPr>
      </w:pPr>
    </w:p>
    <w:p w14:paraId="493C59D9"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aps/>
          <w:color w:val="000000"/>
          <w:u w:val="single"/>
        </w:rPr>
        <w:t>pathogenesis</w:t>
      </w:r>
    </w:p>
    <w:p w14:paraId="2B4FBAF1"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Several pathways have been associated with the development of HCC. These pathways have served as the primary targets for systemic therapy development.</w:t>
      </w:r>
    </w:p>
    <w:p w14:paraId="2CC3729D" w14:textId="77777777" w:rsidR="007C068D" w:rsidRPr="00880FA7" w:rsidRDefault="007C068D" w:rsidP="00D33124">
      <w:pPr>
        <w:spacing w:line="360" w:lineRule="auto"/>
        <w:jc w:val="both"/>
        <w:rPr>
          <w:rFonts w:ascii="Book Antiqua" w:hAnsi="Book Antiqua" w:cs="Book Antiqua"/>
          <w:b/>
          <w:bCs/>
          <w:i/>
          <w:iCs/>
          <w:color w:val="000000"/>
          <w:u w:val="single"/>
          <w:lang w:eastAsia="zh-CN"/>
        </w:rPr>
      </w:pPr>
    </w:p>
    <w:p w14:paraId="6110BA50" w14:textId="77777777" w:rsidR="00A77B3E" w:rsidRPr="00880FA7" w:rsidRDefault="007C068D" w:rsidP="00D33124">
      <w:pPr>
        <w:spacing w:line="360" w:lineRule="auto"/>
        <w:jc w:val="both"/>
        <w:rPr>
          <w:rFonts w:ascii="Book Antiqua" w:eastAsia="Book Antiqua" w:hAnsi="Book Antiqua" w:cs="Book Antiqua"/>
          <w:b/>
          <w:i/>
          <w:color w:val="000000"/>
        </w:rPr>
      </w:pPr>
      <w:r w:rsidRPr="00880FA7">
        <w:rPr>
          <w:rFonts w:ascii="Book Antiqua" w:hAnsi="Book Antiqua" w:cs="Book Antiqua" w:hint="eastAsia"/>
          <w:b/>
          <w:i/>
          <w:color w:val="000000"/>
          <w:lang w:eastAsia="zh-CN"/>
        </w:rPr>
        <w:t>M</w:t>
      </w:r>
      <w:r w:rsidRPr="00880FA7">
        <w:rPr>
          <w:rFonts w:ascii="Book Antiqua" w:eastAsia="Book Antiqua" w:hAnsi="Book Antiqua" w:cs="Book Antiqua"/>
          <w:b/>
          <w:i/>
          <w:color w:val="000000"/>
        </w:rPr>
        <w:t>itogen-activated protein kinase</w:t>
      </w:r>
      <w:r w:rsidR="00A92039" w:rsidRPr="00880FA7">
        <w:rPr>
          <w:rFonts w:ascii="Book Antiqua" w:eastAsia="Book Antiqua" w:hAnsi="Book Antiqua" w:cs="Book Antiqua"/>
          <w:b/>
          <w:i/>
          <w:color w:val="000000"/>
        </w:rPr>
        <w:t xml:space="preserve"> </w:t>
      </w:r>
      <w:r w:rsidRPr="00880FA7">
        <w:rPr>
          <w:rFonts w:ascii="Book Antiqua" w:eastAsia="Book Antiqua" w:hAnsi="Book Antiqua" w:cs="Book Antiqua"/>
          <w:b/>
          <w:i/>
          <w:color w:val="000000"/>
        </w:rPr>
        <w:t>pathway</w:t>
      </w:r>
    </w:p>
    <w:p w14:paraId="59C881A0" w14:textId="0D3B8CBB" w:rsidR="00A77B3E" w:rsidRPr="00880FA7" w:rsidRDefault="0043183D" w:rsidP="00D33124">
      <w:pPr>
        <w:spacing w:line="360" w:lineRule="auto"/>
        <w:jc w:val="both"/>
        <w:rPr>
          <w:rFonts w:ascii="Book Antiqua" w:hAnsi="Book Antiqua"/>
        </w:rPr>
      </w:pPr>
      <w:r w:rsidRPr="00880FA7">
        <w:rPr>
          <w:rFonts w:ascii="Book Antiqua" w:eastAsia="Book Antiqua" w:hAnsi="Book Antiqua" w:cs="Book Antiqua"/>
          <w:color w:val="000000"/>
        </w:rPr>
        <w:t>In order to activate or deactivate their target, the mitogen-activated protein kinases (MAPK) phosphorylate either their own dual serine and threonine residues or those present on their substrates.</w:t>
      </w:r>
      <w:r w:rsidR="00A92039" w:rsidRPr="00880FA7">
        <w:rPr>
          <w:rFonts w:ascii="Book Antiqua" w:eastAsia="Book Antiqua" w:hAnsi="Book Antiqua" w:cs="Book Antiqua"/>
          <w:color w:val="000000"/>
        </w:rPr>
        <w:t xml:space="preserve"> </w:t>
      </w:r>
      <w:r w:rsidR="00D82816" w:rsidRPr="00880FA7">
        <w:rPr>
          <w:rFonts w:ascii="Book Antiqua" w:eastAsia="Book Antiqua" w:hAnsi="Book Antiqua" w:cs="Book Antiqua"/>
          <w:color w:val="000000"/>
        </w:rPr>
        <w:t>As a common downstream pathway for numerous tyrosine kinase receptors, the MAPK pathway is a biological signaling system that controls crucial physiological processes such</w:t>
      </w:r>
      <w:r w:rsidR="000A4803" w:rsidRPr="00880FA7">
        <w:rPr>
          <w:rFonts w:ascii="Book Antiqua" w:eastAsia="Book Antiqua" w:hAnsi="Book Antiqua" w:cs="Book Antiqua"/>
          <w:color w:val="000000"/>
        </w:rPr>
        <w:t xml:space="preserve"> as</w:t>
      </w:r>
      <w:r w:rsidR="00D82816" w:rsidRPr="00880FA7">
        <w:rPr>
          <w:rFonts w:ascii="Book Antiqua" w:eastAsia="Book Antiqua" w:hAnsi="Book Antiqua" w:cs="Book Antiqua"/>
          <w:color w:val="000000"/>
        </w:rPr>
        <w:t xml:space="preserve"> cell proliferation, cell differentiation, stress responses, apoptosis, and immune defense</w:t>
      </w:r>
      <w:r w:rsidR="00A92039" w:rsidRPr="00880FA7">
        <w:rPr>
          <w:rFonts w:ascii="Book Antiqua" w:eastAsia="Book Antiqua" w:hAnsi="Book Antiqua" w:cs="Book Antiqua"/>
          <w:color w:val="000000"/>
        </w:rPr>
        <w:t xml:space="preserve">. When external growth stimuli bind to these tyrosine </w:t>
      </w:r>
      <w:r w:rsidR="00A92039" w:rsidRPr="00880FA7">
        <w:rPr>
          <w:rFonts w:ascii="Book Antiqua" w:eastAsia="Book Antiqua" w:hAnsi="Book Antiqua" w:cs="Book Antiqua"/>
          <w:color w:val="000000"/>
        </w:rPr>
        <w:lastRenderedPageBreak/>
        <w:t xml:space="preserve">kinase receptors, the MAPK cascade is initiated. </w:t>
      </w:r>
      <w:r w:rsidR="00E10460" w:rsidRPr="00880FA7">
        <w:rPr>
          <w:rFonts w:ascii="Book Antiqua" w:eastAsia="Book Antiqua" w:hAnsi="Book Antiqua" w:cs="Book Antiqua"/>
          <w:color w:val="000000"/>
        </w:rPr>
        <w:t>A</w:t>
      </w:r>
      <w:r w:rsidR="002A5872" w:rsidRPr="00880FA7">
        <w:rPr>
          <w:rFonts w:ascii="Book Antiqua" w:eastAsia="Book Antiqua" w:hAnsi="Book Antiqua" w:cs="Book Antiqua"/>
          <w:color w:val="000000"/>
        </w:rPr>
        <w:t>n</w:t>
      </w:r>
      <w:r w:rsidR="00E10460" w:rsidRPr="00880FA7">
        <w:rPr>
          <w:rFonts w:ascii="Book Antiqua" w:eastAsia="Book Antiqua" w:hAnsi="Book Antiqua" w:cs="Book Antiqua"/>
          <w:color w:val="000000"/>
        </w:rPr>
        <w:t xml:space="preserve"> MAP3K stimulates a</w:t>
      </w:r>
      <w:r w:rsidR="002A5872" w:rsidRPr="00880FA7">
        <w:rPr>
          <w:rFonts w:ascii="Book Antiqua" w:eastAsia="Book Antiqua" w:hAnsi="Book Antiqua" w:cs="Book Antiqua"/>
          <w:color w:val="000000"/>
        </w:rPr>
        <w:t>n</w:t>
      </w:r>
      <w:r w:rsidR="00E10460" w:rsidRPr="00880FA7">
        <w:rPr>
          <w:rFonts w:ascii="Book Antiqua" w:eastAsia="Book Antiqua" w:hAnsi="Book Antiqua" w:cs="Book Antiqua"/>
          <w:color w:val="000000"/>
        </w:rPr>
        <w:t xml:space="preserve"> MAP2K, which in turn activates a</w:t>
      </w:r>
      <w:r w:rsidR="002A5872" w:rsidRPr="00880FA7">
        <w:rPr>
          <w:rFonts w:ascii="Book Antiqua" w:eastAsia="Book Antiqua" w:hAnsi="Book Antiqua" w:cs="Book Antiqua"/>
          <w:color w:val="000000"/>
        </w:rPr>
        <w:t>n</w:t>
      </w:r>
      <w:r w:rsidR="00E10460" w:rsidRPr="00880FA7">
        <w:rPr>
          <w:rFonts w:ascii="Book Antiqua" w:eastAsia="Book Antiqua" w:hAnsi="Book Antiqua" w:cs="Book Antiqua"/>
          <w:color w:val="000000"/>
        </w:rPr>
        <w:t xml:space="preserve"> MAPK, in a</w:t>
      </w:r>
      <w:r w:rsidR="002A5872" w:rsidRPr="00880FA7">
        <w:rPr>
          <w:rFonts w:ascii="Book Antiqua" w:eastAsia="Book Antiqua" w:hAnsi="Book Antiqua" w:cs="Book Antiqua"/>
          <w:color w:val="000000"/>
        </w:rPr>
        <w:t>n</w:t>
      </w:r>
      <w:r w:rsidR="00E10460" w:rsidRPr="00880FA7">
        <w:rPr>
          <w:rFonts w:ascii="Book Antiqua" w:eastAsia="Book Antiqua" w:hAnsi="Book Antiqua" w:cs="Book Antiqua"/>
          <w:color w:val="000000"/>
        </w:rPr>
        <w:t xml:space="preserve"> MAPK module. MAPK protein phosphatases, which dephosphorylate both phosphothreonine and phosphotyrosine residues on MAPKs, can inhibit MAPK phosphorylation processes</w:t>
      </w:r>
      <w:r w:rsidR="00A92039" w:rsidRPr="00880FA7">
        <w:rPr>
          <w:rFonts w:ascii="Book Antiqua" w:eastAsia="Book Antiqua" w:hAnsi="Book Antiqua" w:cs="Book Antiqua"/>
          <w:color w:val="000000"/>
        </w:rPr>
        <w:t xml:space="preserve">. </w:t>
      </w:r>
      <w:r w:rsidR="0079069C" w:rsidRPr="00880FA7">
        <w:rPr>
          <w:rFonts w:ascii="Book Antiqua" w:eastAsia="Book Antiqua" w:hAnsi="Book Antiqua" w:cs="Book Antiqua"/>
          <w:color w:val="000000"/>
        </w:rPr>
        <w:t>The most prevalent tyrosine kinase receptors are the insulin-like growth factor receptor, platelet-derived growth factor receptor (PDGFR), vascular endothelial growth factor receptor (VEGFR), and epidermal growth factor receptor (EGFR)</w:t>
      </w:r>
      <w:r w:rsidR="00A92039" w:rsidRPr="00880FA7">
        <w:rPr>
          <w:rFonts w:ascii="Book Antiqua" w:eastAsia="Book Antiqua" w:hAnsi="Book Antiqua" w:cs="Book Antiqua"/>
          <w:color w:val="000000"/>
        </w:rPr>
        <w:t xml:space="preserve">. </w:t>
      </w:r>
      <w:r w:rsidR="00F93CC8" w:rsidRPr="00880FA7">
        <w:rPr>
          <w:rFonts w:ascii="Book Antiqua" w:eastAsia="Book Antiqua" w:hAnsi="Book Antiqua" w:cs="Book Antiqua"/>
          <w:color w:val="000000"/>
        </w:rPr>
        <w:t xml:space="preserve">Growth factors that bind to these receptors cause a phosphorylation cascade, which in turn activates the adaptor molecular complex </w:t>
      </w:r>
      <w:r w:rsidR="007C068D" w:rsidRPr="00880FA7">
        <w:rPr>
          <w:rFonts w:ascii="Book Antiqua" w:hAnsi="Book Antiqua" w:cs="Book Antiqua" w:hint="eastAsia"/>
          <w:color w:val="000000"/>
          <w:lang w:eastAsia="zh-CN"/>
        </w:rPr>
        <w:t>(</w:t>
      </w:r>
      <w:r w:rsidR="00F93CC8" w:rsidRPr="00880FA7">
        <w:rPr>
          <w:rFonts w:ascii="Book Antiqua" w:eastAsia="Book Antiqua" w:hAnsi="Book Antiqua" w:cs="Book Antiqua"/>
          <w:color w:val="000000"/>
        </w:rPr>
        <w:t>growth factor receptor-bound protein 2</w:t>
      </w:r>
      <w:r w:rsidR="007C068D" w:rsidRPr="00880FA7">
        <w:rPr>
          <w:rFonts w:ascii="Book Antiqua" w:eastAsia="Book Antiqua" w:hAnsi="Book Antiqua" w:cs="Book Antiqua"/>
          <w:color w:val="000000"/>
        </w:rPr>
        <w:t>-Src homology and collagen</w:t>
      </w:r>
      <w:r w:rsidR="00F93CC8" w:rsidRPr="00880FA7">
        <w:rPr>
          <w:rFonts w:ascii="Book Antiqua" w:eastAsia="Book Antiqua" w:hAnsi="Book Antiqua" w:cs="Book Antiqua"/>
          <w:color w:val="000000"/>
        </w:rPr>
        <w:t>-son of sevenless</w:t>
      </w:r>
      <w:r w:rsidR="007C068D" w:rsidRPr="00880FA7">
        <w:rPr>
          <w:rFonts w:ascii="Book Antiqua" w:eastAsia="Book Antiqua" w:hAnsi="Book Antiqua" w:cs="Book Antiqua"/>
          <w:color w:val="000000"/>
        </w:rPr>
        <w:t>)</w:t>
      </w:r>
      <w:r w:rsidR="00A92039" w:rsidRPr="00880FA7">
        <w:rPr>
          <w:rFonts w:ascii="Book Antiqua" w:eastAsia="Book Antiqua" w:hAnsi="Book Antiqua" w:cs="Book Antiqua"/>
          <w:color w:val="000000"/>
        </w:rPr>
        <w:t xml:space="preserve">. </w:t>
      </w:r>
      <w:r w:rsidR="00BA7268" w:rsidRPr="00880FA7">
        <w:rPr>
          <w:rFonts w:ascii="Book Antiqua" w:eastAsia="Book Antiqua" w:hAnsi="Book Antiqua" w:cs="Book Antiqua"/>
          <w:color w:val="000000"/>
        </w:rPr>
        <w:t>The proto-oncogenes rat sarcoma virus (Ras), rapidly accelerated fibrosarcoma (Raf), and guanosine triphosphatase are subsequently activated by this complex, leading to the activation of mitogen-activated protein kinase (MEK) 1/2 and extracellular signal-regulated kinase (ERK) 1/2 downstream</w:t>
      </w:r>
      <w:r w:rsidR="00A92039" w:rsidRPr="00880FA7">
        <w:rPr>
          <w:rFonts w:ascii="Book Antiqua" w:eastAsia="Book Antiqua" w:hAnsi="Book Antiqua" w:cs="Book Antiqua"/>
          <w:color w:val="000000"/>
        </w:rPr>
        <w:t xml:space="preserve">. </w:t>
      </w:r>
      <w:r w:rsidR="00490E19" w:rsidRPr="00880FA7">
        <w:rPr>
          <w:rFonts w:ascii="Book Antiqua" w:eastAsia="Book Antiqua" w:hAnsi="Book Antiqua" w:cs="Book Antiqua"/>
          <w:color w:val="000000"/>
        </w:rPr>
        <w:t>Eventually, this pathway results in the upregulation of gene transcription, which encourages cell proliferation, through the transcriptional activators c-Jun and c-Fos</w:t>
      </w:r>
      <w:r w:rsidR="00A92039" w:rsidRPr="00880FA7">
        <w:rPr>
          <w:rFonts w:ascii="Book Antiqua" w:eastAsia="Book Antiqua" w:hAnsi="Book Antiqua" w:cs="Book Antiqua"/>
          <w:color w:val="000000"/>
          <w:vertAlign w:val="superscript"/>
        </w:rPr>
        <w:t>[15,16]</w:t>
      </w:r>
      <w:r w:rsidR="00A92039" w:rsidRPr="00880FA7">
        <w:rPr>
          <w:rFonts w:ascii="Book Antiqua" w:eastAsia="Book Antiqua" w:hAnsi="Book Antiqua" w:cs="Book Antiqua"/>
          <w:color w:val="000000"/>
        </w:rPr>
        <w:t>. It has also been demonstrated that ERK phosphorylates proteins</w:t>
      </w:r>
      <w:r w:rsidR="00004480" w:rsidRPr="00880FA7">
        <w:rPr>
          <w:rFonts w:ascii="Book Antiqua" w:eastAsia="Book Antiqua" w:hAnsi="Book Antiqua" w:cs="Book Antiqua"/>
          <w:color w:val="000000"/>
        </w:rPr>
        <w:t xml:space="preserve"> are</w:t>
      </w:r>
      <w:r w:rsidR="00A92039" w:rsidRPr="00880FA7">
        <w:rPr>
          <w:rFonts w:ascii="Book Antiqua" w:eastAsia="Book Antiqua" w:hAnsi="Book Antiqua" w:cs="Book Antiqua"/>
          <w:color w:val="000000"/>
        </w:rPr>
        <w:t xml:space="preserve"> involved in cell proliferation, apoptosis resistance, and angiogenesis in HCC</w:t>
      </w:r>
      <w:r w:rsidR="00A92039" w:rsidRPr="00880FA7">
        <w:rPr>
          <w:rFonts w:ascii="Book Antiqua" w:eastAsia="Book Antiqua" w:hAnsi="Book Antiqua" w:cs="Book Antiqua"/>
          <w:color w:val="000000"/>
          <w:vertAlign w:val="superscript"/>
        </w:rPr>
        <w:t>[17,18]</w:t>
      </w:r>
      <w:r w:rsidR="00A92039" w:rsidRPr="00880FA7">
        <w:rPr>
          <w:rFonts w:ascii="Book Antiqua" w:eastAsia="Book Antiqua" w:hAnsi="Book Antiqua" w:cs="Book Antiqua"/>
          <w:color w:val="000000"/>
        </w:rPr>
        <w:t xml:space="preserve">. </w:t>
      </w:r>
      <w:r w:rsidR="005D54AB" w:rsidRPr="00880FA7">
        <w:rPr>
          <w:rFonts w:ascii="Book Antiqua" w:eastAsia="Book Antiqua" w:hAnsi="Book Antiqua" w:cs="Book Antiqua"/>
          <w:color w:val="000000"/>
        </w:rPr>
        <w:t>Ras mutations were discovered to occur often in HCC, according to several studies, and overexpression of this pathway, particularly in high-grade tumors, has been reported in HCC</w:t>
      </w:r>
      <w:r w:rsidR="00A92039" w:rsidRPr="00880FA7">
        <w:rPr>
          <w:rFonts w:ascii="Book Antiqua" w:eastAsia="Book Antiqua" w:hAnsi="Book Antiqua" w:cs="Book Antiqua"/>
          <w:color w:val="000000"/>
          <w:vertAlign w:val="superscript"/>
        </w:rPr>
        <w:t>[19,20]</w:t>
      </w:r>
      <w:r w:rsidR="00A92039" w:rsidRPr="00880FA7">
        <w:rPr>
          <w:rFonts w:ascii="Book Antiqua" w:eastAsia="Book Antiqua" w:hAnsi="Book Antiqua" w:cs="Book Antiqua"/>
          <w:color w:val="000000"/>
        </w:rPr>
        <w:t>. Sorafenib, which inhibits the Raf serine/threonine kinase as well as several other receptors, was developed on the basis of this pathway</w:t>
      </w:r>
      <w:r w:rsidR="00A92039" w:rsidRPr="00880FA7">
        <w:rPr>
          <w:rFonts w:ascii="Book Antiqua" w:eastAsia="Book Antiqua" w:hAnsi="Book Antiqua" w:cs="Book Antiqua"/>
          <w:color w:val="000000"/>
          <w:vertAlign w:val="superscript"/>
        </w:rPr>
        <w:t>[21,22]</w:t>
      </w:r>
      <w:r w:rsidR="00A92039" w:rsidRPr="00880FA7">
        <w:rPr>
          <w:rFonts w:ascii="Book Antiqua" w:eastAsia="Book Antiqua" w:hAnsi="Book Antiqua" w:cs="Book Antiqua"/>
          <w:color w:val="000000"/>
        </w:rPr>
        <w:t>.</w:t>
      </w:r>
    </w:p>
    <w:p w14:paraId="7C21CCE9" w14:textId="77777777" w:rsidR="006E5167" w:rsidRPr="00880FA7" w:rsidRDefault="006E5167" w:rsidP="00D33124">
      <w:pPr>
        <w:spacing w:line="360" w:lineRule="auto"/>
        <w:jc w:val="both"/>
        <w:rPr>
          <w:rFonts w:ascii="Book Antiqua" w:hAnsi="Book Antiqua" w:cs="Book Antiqua"/>
          <w:b/>
          <w:bCs/>
          <w:i/>
          <w:iCs/>
          <w:caps/>
          <w:color w:val="000000"/>
          <w:u w:val="single"/>
          <w:lang w:eastAsia="zh-CN"/>
        </w:rPr>
      </w:pPr>
    </w:p>
    <w:p w14:paraId="37BEF52A" w14:textId="77777777" w:rsidR="00A77B3E" w:rsidRPr="00880FA7" w:rsidRDefault="006E5167" w:rsidP="00D33124">
      <w:pPr>
        <w:spacing w:line="360" w:lineRule="auto"/>
        <w:jc w:val="both"/>
        <w:rPr>
          <w:rFonts w:ascii="Book Antiqua" w:hAnsi="Book Antiqua"/>
          <w:b/>
          <w:i/>
        </w:rPr>
      </w:pPr>
      <w:r w:rsidRPr="00880FA7">
        <w:rPr>
          <w:rFonts w:ascii="Book Antiqua" w:hAnsi="Book Antiqua" w:cs="Book Antiqua" w:hint="eastAsia"/>
          <w:b/>
          <w:i/>
          <w:color w:val="000000"/>
          <w:lang w:eastAsia="zh-CN"/>
        </w:rPr>
        <w:t>P</w:t>
      </w:r>
      <w:r w:rsidRPr="00880FA7">
        <w:rPr>
          <w:rFonts w:ascii="Book Antiqua" w:eastAsia="Book Antiqua" w:hAnsi="Book Antiqua" w:cs="Book Antiqua"/>
          <w:b/>
          <w:i/>
          <w:color w:val="000000"/>
        </w:rPr>
        <w:t>hosphoinositide 3-kinase</w:t>
      </w:r>
      <w:r w:rsidR="00A92039" w:rsidRPr="00880FA7">
        <w:rPr>
          <w:rFonts w:ascii="Book Antiqua" w:eastAsia="Book Antiqua" w:hAnsi="Book Antiqua" w:cs="Book Antiqua"/>
          <w:b/>
          <w:bCs/>
          <w:i/>
          <w:iCs/>
          <w:caps/>
          <w:color w:val="000000"/>
        </w:rPr>
        <w:t>–</w:t>
      </w:r>
      <w:r w:rsidRPr="00880FA7">
        <w:rPr>
          <w:rFonts w:ascii="Book Antiqua" w:eastAsia="Book Antiqua" w:hAnsi="Book Antiqua" w:cs="Book Antiqua"/>
          <w:b/>
          <w:i/>
          <w:color w:val="000000"/>
        </w:rPr>
        <w:t>Ak strain transforming</w:t>
      </w:r>
      <w:r w:rsidR="00A92039" w:rsidRPr="00880FA7">
        <w:rPr>
          <w:rFonts w:ascii="Book Antiqua" w:eastAsia="Book Antiqua" w:hAnsi="Book Antiqua" w:cs="Book Antiqua"/>
          <w:b/>
          <w:bCs/>
          <w:i/>
          <w:iCs/>
          <w:caps/>
          <w:color w:val="000000"/>
        </w:rPr>
        <w:t>–</w:t>
      </w:r>
      <w:r w:rsidRPr="00880FA7">
        <w:rPr>
          <w:rFonts w:ascii="Book Antiqua" w:eastAsia="Book Antiqua" w:hAnsi="Book Antiqua" w:cs="Book Antiqua"/>
          <w:b/>
          <w:i/>
          <w:color w:val="000000"/>
        </w:rPr>
        <w:t>mammalian target of rapamycin pathway</w:t>
      </w:r>
    </w:p>
    <w:p w14:paraId="33D0231A" w14:textId="77777777" w:rsidR="00A77B3E" w:rsidRPr="00880FA7" w:rsidRDefault="005A13AC" w:rsidP="00D33124">
      <w:pPr>
        <w:spacing w:line="360" w:lineRule="auto"/>
        <w:jc w:val="both"/>
        <w:rPr>
          <w:rFonts w:ascii="Book Antiqua" w:hAnsi="Book Antiqua"/>
        </w:rPr>
      </w:pPr>
      <w:r w:rsidRPr="00880FA7">
        <w:rPr>
          <w:rFonts w:ascii="Book Antiqua" w:eastAsia="Book Antiqua" w:hAnsi="Book Antiqua" w:cs="Book Antiqua"/>
          <w:color w:val="000000"/>
        </w:rPr>
        <w:t>Cell development and regulation also depend on the phosphoinositide 3-kinase (PI3K)-Ak strain transforming (AKT)-mammalian target of rapamycin (mTOR) signaling pathway</w:t>
      </w:r>
      <w:r w:rsidR="00A92039" w:rsidRPr="00880FA7">
        <w:rPr>
          <w:rFonts w:ascii="Book Antiqua" w:eastAsia="Book Antiqua" w:hAnsi="Book Antiqua" w:cs="Book Antiqua"/>
          <w:color w:val="000000"/>
        </w:rPr>
        <w:t xml:space="preserve">. </w:t>
      </w:r>
      <w:r w:rsidR="003302FA" w:rsidRPr="00880FA7">
        <w:rPr>
          <w:rFonts w:ascii="Book Antiqua" w:eastAsia="Book Antiqua" w:hAnsi="Book Antiqua" w:cs="Book Antiqua"/>
          <w:color w:val="000000"/>
        </w:rPr>
        <w:t xml:space="preserve">Growth factors including epidermal growth factor and </w:t>
      </w:r>
      <w:r w:rsidR="00724AF2" w:rsidRPr="00880FA7">
        <w:rPr>
          <w:rFonts w:ascii="Book Antiqua" w:eastAsia="Book Antiqua" w:hAnsi="Book Antiqua" w:cs="Book Antiqua"/>
          <w:color w:val="000000"/>
        </w:rPr>
        <w:t>IL-2</w:t>
      </w:r>
      <w:r w:rsidR="003302FA" w:rsidRPr="00880FA7">
        <w:rPr>
          <w:rFonts w:ascii="Book Antiqua" w:eastAsia="Book Antiqua" w:hAnsi="Book Antiqua" w:cs="Book Antiqua"/>
          <w:color w:val="000000"/>
        </w:rPr>
        <w:t xml:space="preserve"> bind to their associated tyrosine kinase receptors to activate PI3K. Phosphoinositol triphosphate, a lipid second messenger produced by PI3K, activates the serine/threonine kinase AKT </w:t>
      </w:r>
      <w:r w:rsidR="003302FA" w:rsidRPr="00880FA7">
        <w:rPr>
          <w:rFonts w:ascii="Book Antiqua" w:eastAsia="Book Antiqua" w:hAnsi="Book Antiqua" w:cs="Book Antiqua"/>
          <w:color w:val="000000"/>
        </w:rPr>
        <w:lastRenderedPageBreak/>
        <w:t xml:space="preserve">(protein kinase B). After that, AKT phosphorylates a number of proteins, including the proapoptotic protein Bcl-2 opponent of cell death, to activate the </w:t>
      </w:r>
      <w:r w:rsidR="00724AF2" w:rsidRPr="00880FA7">
        <w:rPr>
          <w:rFonts w:ascii="Book Antiqua" w:eastAsia="Book Antiqua" w:hAnsi="Book Antiqua" w:cs="Book Antiqua"/>
          <w:color w:val="000000"/>
        </w:rPr>
        <w:t>mTOR</w:t>
      </w:r>
      <w:r w:rsidR="003302FA" w:rsidRPr="00880FA7">
        <w:rPr>
          <w:rFonts w:ascii="Book Antiqua" w:eastAsia="Book Antiqua" w:hAnsi="Book Antiqua" w:cs="Book Antiqua"/>
          <w:color w:val="000000"/>
        </w:rPr>
        <w:t xml:space="preserve"> family of proteins (BAD)</w:t>
      </w:r>
      <w:r w:rsidR="00A92039" w:rsidRPr="00880FA7">
        <w:rPr>
          <w:rFonts w:ascii="Book Antiqua" w:eastAsia="Book Antiqua" w:hAnsi="Book Antiqua" w:cs="Book Antiqua"/>
          <w:color w:val="000000"/>
        </w:rPr>
        <w:t xml:space="preserve">. </w:t>
      </w:r>
      <w:r w:rsidR="003302FA" w:rsidRPr="00880FA7">
        <w:rPr>
          <w:rFonts w:ascii="Book Antiqua" w:eastAsia="Book Antiqua" w:hAnsi="Book Antiqua" w:cs="Book Antiqua"/>
          <w:color w:val="000000"/>
        </w:rPr>
        <w:t>To promote cell cycle progression and unrestricted growth and proliferation, mTOR regulates the phosphorylation of the translational repressor proteins ribosomal protein S6 kinase beta-1 (P70S6 kinase) and eukaryotic translation initiation factor 4E-binding protein 1 (EIF4EBP1 or 4E-BP-1)</w:t>
      </w:r>
      <w:r w:rsidR="00A92039" w:rsidRPr="00880FA7">
        <w:rPr>
          <w:rFonts w:ascii="Book Antiqua" w:eastAsia="Book Antiqua" w:hAnsi="Book Antiqua" w:cs="Book Antiqua"/>
          <w:color w:val="000000"/>
          <w:vertAlign w:val="superscript"/>
        </w:rPr>
        <w:t>[23-25]</w:t>
      </w:r>
      <w:r w:rsidR="00A92039" w:rsidRPr="00880FA7">
        <w:rPr>
          <w:rFonts w:ascii="Book Antiqua" w:eastAsia="Book Antiqua" w:hAnsi="Book Antiqua" w:cs="Book Antiqua"/>
          <w:color w:val="000000"/>
        </w:rPr>
        <w:t xml:space="preserve">. </w:t>
      </w:r>
      <w:r w:rsidR="00A85F94" w:rsidRPr="00880FA7">
        <w:rPr>
          <w:rFonts w:ascii="Book Antiqua" w:eastAsia="Book Antiqua" w:hAnsi="Book Antiqua" w:cs="Book Antiqua"/>
          <w:color w:val="000000"/>
        </w:rPr>
        <w:t>Studies have shown that cancers with abnormal expression of the pathway including phosphatase and tensin homolog (PTEN), AKT, and PS6 are more severe and have a poorer prognosis overall than tissues with normal expression</w:t>
      </w:r>
      <w:r w:rsidR="00A92039" w:rsidRPr="00880FA7">
        <w:rPr>
          <w:rFonts w:ascii="Book Antiqua" w:eastAsia="Book Antiqua" w:hAnsi="Book Antiqua" w:cs="Book Antiqua"/>
          <w:color w:val="000000"/>
          <w:vertAlign w:val="superscript"/>
        </w:rPr>
        <w:t>[26,27]</w:t>
      </w:r>
      <w:r w:rsidR="00A92039" w:rsidRPr="00880FA7">
        <w:rPr>
          <w:rFonts w:ascii="Book Antiqua" w:eastAsia="Book Antiqua" w:hAnsi="Book Antiqua" w:cs="Book Antiqua"/>
          <w:color w:val="000000"/>
        </w:rPr>
        <w:t xml:space="preserve">. In approximately half of all HCC patients, expression of the tumor suppressor gene product PTEN, which generally suppresses PI3K activity, is significantly decreased. </w:t>
      </w:r>
      <w:r w:rsidR="004D6359" w:rsidRPr="00880FA7">
        <w:rPr>
          <w:rFonts w:ascii="Book Antiqua" w:eastAsia="Book Antiqua" w:hAnsi="Book Antiqua" w:cs="Book Antiqua"/>
          <w:color w:val="000000"/>
        </w:rPr>
        <w:t>Due to the gene deletion process, PTEN is inactivated, which results in uncontrolled PI3K activity and downstream phosphorylation of proteins that inhibit apoptosis and encourage tumor growth</w:t>
      </w:r>
      <w:r w:rsidR="00A92039" w:rsidRPr="00880FA7">
        <w:rPr>
          <w:rFonts w:ascii="Book Antiqua" w:eastAsia="Book Antiqua" w:hAnsi="Book Antiqua" w:cs="Book Antiqua"/>
          <w:color w:val="000000"/>
          <w:vertAlign w:val="superscript"/>
        </w:rPr>
        <w:t>[28,29]</w:t>
      </w:r>
      <w:r w:rsidR="00A92039" w:rsidRPr="00880FA7">
        <w:rPr>
          <w:rFonts w:ascii="Book Antiqua" w:eastAsia="Book Antiqua" w:hAnsi="Book Antiqua" w:cs="Book Antiqua"/>
          <w:color w:val="000000"/>
        </w:rPr>
        <w:t>.</w:t>
      </w:r>
    </w:p>
    <w:p w14:paraId="52DF63ED" w14:textId="77777777" w:rsidR="00924D30" w:rsidRPr="00880FA7" w:rsidRDefault="00924D30" w:rsidP="00D33124">
      <w:pPr>
        <w:spacing w:line="360" w:lineRule="auto"/>
        <w:jc w:val="both"/>
        <w:rPr>
          <w:rFonts w:ascii="Book Antiqua" w:hAnsi="Book Antiqua" w:cs="Book Antiqua"/>
          <w:b/>
          <w:bCs/>
          <w:i/>
          <w:iCs/>
          <w:caps/>
          <w:color w:val="000000"/>
          <w:u w:val="single"/>
          <w:lang w:eastAsia="zh-CN"/>
        </w:rPr>
      </w:pPr>
    </w:p>
    <w:p w14:paraId="5F095FE0" w14:textId="77777777" w:rsidR="00A77B3E" w:rsidRPr="00880FA7" w:rsidRDefault="00924D30" w:rsidP="00D33124">
      <w:pPr>
        <w:spacing w:line="360" w:lineRule="auto"/>
        <w:jc w:val="both"/>
        <w:rPr>
          <w:rFonts w:ascii="Book Antiqua" w:hAnsi="Book Antiqua"/>
          <w:b/>
          <w:i/>
        </w:rPr>
      </w:pPr>
      <w:r w:rsidRPr="00880FA7">
        <w:rPr>
          <w:rFonts w:ascii="Book Antiqua" w:eastAsia="Book Antiqua" w:hAnsi="Book Antiqua" w:cs="Book Antiqua"/>
          <w:b/>
          <w:i/>
          <w:color w:val="000000"/>
        </w:rPr>
        <w:t>Wingless and Int-1/β</w:t>
      </w:r>
      <w:r w:rsidR="00A92039" w:rsidRPr="00880FA7">
        <w:rPr>
          <w:rFonts w:ascii="Book Antiqua" w:eastAsia="Book Antiqua" w:hAnsi="Book Antiqua" w:cs="Book Antiqua"/>
          <w:b/>
          <w:bCs/>
          <w:i/>
          <w:iCs/>
          <w:caps/>
          <w:color w:val="000000"/>
        </w:rPr>
        <w:t>-</w:t>
      </w:r>
      <w:r w:rsidRPr="00880FA7">
        <w:rPr>
          <w:rFonts w:ascii="Book Antiqua" w:eastAsia="Book Antiqua" w:hAnsi="Book Antiqua" w:cs="Book Antiqua"/>
          <w:b/>
          <w:i/>
          <w:color w:val="000000"/>
        </w:rPr>
        <w:t>catenin</w:t>
      </w:r>
      <w:r w:rsidR="00A92039" w:rsidRPr="00880FA7">
        <w:rPr>
          <w:rFonts w:ascii="Book Antiqua" w:eastAsia="Book Antiqua" w:hAnsi="Book Antiqua" w:cs="Book Antiqua"/>
          <w:b/>
          <w:bCs/>
          <w:i/>
          <w:iCs/>
          <w:caps/>
          <w:color w:val="000000"/>
        </w:rPr>
        <w:t xml:space="preserve"> </w:t>
      </w:r>
      <w:r w:rsidRPr="00880FA7">
        <w:rPr>
          <w:rFonts w:ascii="Book Antiqua" w:eastAsia="Book Antiqua" w:hAnsi="Book Antiqua" w:cs="Book Antiqua"/>
          <w:b/>
          <w:i/>
          <w:color w:val="000000"/>
        </w:rPr>
        <w:t>pathway</w:t>
      </w:r>
    </w:p>
    <w:p w14:paraId="05AFF9FB"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 xml:space="preserve">The </w:t>
      </w:r>
      <w:r w:rsidR="00924D30" w:rsidRPr="00880FA7">
        <w:rPr>
          <w:rFonts w:ascii="Book Antiqua" w:eastAsia="Book Antiqua" w:hAnsi="Book Antiqua" w:cs="Book Antiqua"/>
          <w:color w:val="000000"/>
        </w:rPr>
        <w:t>Wingless and Int-1</w:t>
      </w:r>
      <w:r w:rsidRPr="00880FA7">
        <w:rPr>
          <w:rFonts w:ascii="Book Antiqua" w:eastAsia="Book Antiqua" w:hAnsi="Book Antiqua" w:cs="Book Antiqua"/>
          <w:color w:val="000000"/>
        </w:rPr>
        <w:t xml:space="preserve"> (</w:t>
      </w:r>
      <w:r w:rsidR="00924D30" w:rsidRPr="00880FA7">
        <w:rPr>
          <w:rFonts w:ascii="Book Antiqua" w:eastAsia="Book Antiqua" w:hAnsi="Book Antiqua" w:cs="Book Antiqua"/>
          <w:color w:val="000000"/>
        </w:rPr>
        <w:t>WNT</w:t>
      </w:r>
      <w:r w:rsidRPr="00880FA7">
        <w:rPr>
          <w:rFonts w:ascii="Book Antiqua" w:eastAsia="Book Antiqua" w:hAnsi="Book Antiqua" w:cs="Book Antiqua"/>
          <w:color w:val="000000"/>
        </w:rPr>
        <w:t xml:space="preserve">)/β-catenin signaling system regulates embryonic development, cellular proliferation, and differentiation. It is a highly conserved and carefully regulated molecular process. Notably, growing data suggests that abnormal WNT/β-catenin signaling increases the formation and progression of HCC. The two distinct WNT signaling pathways, known as non-canonical and canonical, with the latter including β-catenin activation. </w:t>
      </w:r>
      <w:r w:rsidR="006B0C83" w:rsidRPr="00880FA7">
        <w:rPr>
          <w:rFonts w:ascii="Book Antiqua" w:eastAsia="Book Antiqua" w:hAnsi="Book Antiqua" w:cs="Book Antiqua"/>
          <w:color w:val="000000"/>
        </w:rPr>
        <w:t>Comprehensive genomic analyses have revealed that β-catenin-encoding CTNNB1 and AXIN1 gain-of-function mutations are present in about 35% of human HCC samples</w:t>
      </w:r>
      <w:r w:rsidRPr="00880FA7">
        <w:rPr>
          <w:rFonts w:ascii="Book Antiqua" w:eastAsia="Book Antiqua" w:hAnsi="Book Antiqua" w:cs="Book Antiqua"/>
          <w:color w:val="000000"/>
        </w:rPr>
        <w:t xml:space="preserve">. </w:t>
      </w:r>
      <w:r w:rsidR="00CB3E64" w:rsidRPr="00880FA7">
        <w:rPr>
          <w:rFonts w:ascii="Book Antiqua" w:eastAsia="Book Antiqua" w:hAnsi="Book Antiqua" w:cs="Book Antiqua"/>
          <w:color w:val="000000"/>
        </w:rPr>
        <w:t>Human HCCs with activated WNT/</w:t>
      </w:r>
      <w:r w:rsidR="004237E7" w:rsidRPr="00880FA7">
        <w:rPr>
          <w:rFonts w:ascii="Book Antiqua" w:eastAsia="Book Antiqua" w:hAnsi="Book Antiqua" w:cs="Book Antiqua"/>
          <w:color w:val="000000"/>
        </w:rPr>
        <w:t>β-catenin pathways display unique gene expression patterns and malignant properties</w:t>
      </w:r>
      <w:r w:rsidRPr="00880FA7">
        <w:rPr>
          <w:rFonts w:ascii="Book Antiqua" w:eastAsia="Book Antiqua" w:hAnsi="Book Antiqua" w:cs="Book Antiqua"/>
          <w:color w:val="000000"/>
        </w:rPr>
        <w:t xml:space="preserve">. </w:t>
      </w:r>
      <w:r w:rsidR="00F73D95" w:rsidRPr="00880FA7">
        <w:rPr>
          <w:rFonts w:ascii="Book Antiqua" w:eastAsia="Book Antiqua" w:hAnsi="Book Antiqua" w:cs="Book Antiqua"/>
          <w:color w:val="000000"/>
        </w:rPr>
        <w:t>Through its downstream effectors, activated WN</w:t>
      </w:r>
      <w:r w:rsidR="00CB3E64" w:rsidRPr="00880FA7">
        <w:rPr>
          <w:rFonts w:ascii="Book Antiqua" w:eastAsia="Book Antiqua" w:hAnsi="Book Antiqua" w:cs="Book Antiqua"/>
          <w:color w:val="000000"/>
        </w:rPr>
        <w:t>T/</w:t>
      </w:r>
      <w:r w:rsidR="00F73D95" w:rsidRPr="00880FA7">
        <w:rPr>
          <w:rFonts w:ascii="Book Antiqua" w:eastAsia="Book Antiqua" w:hAnsi="Book Antiqua" w:cs="Book Antiqua"/>
          <w:color w:val="000000"/>
        </w:rPr>
        <w:t>β-catenin interacts with a variety of signaling pathways to encourage the development of HCC. As a resul</w:t>
      </w:r>
      <w:r w:rsidR="00CB3E64" w:rsidRPr="00880FA7">
        <w:rPr>
          <w:rFonts w:ascii="Book Antiqua" w:eastAsia="Book Antiqua" w:hAnsi="Book Antiqua" w:cs="Book Antiqua"/>
          <w:color w:val="000000"/>
        </w:rPr>
        <w:t>t, medications that target WNT/</w:t>
      </w:r>
      <w:r w:rsidR="00F73D95" w:rsidRPr="00880FA7">
        <w:rPr>
          <w:rFonts w:ascii="Book Antiqua" w:eastAsia="Book Antiqua" w:hAnsi="Book Antiqua" w:cs="Book Antiqua"/>
          <w:color w:val="000000"/>
        </w:rPr>
        <w:t>β-catenin have being looked into as possible HCC treatments</w:t>
      </w:r>
      <w:r w:rsidRPr="00880FA7">
        <w:rPr>
          <w:rFonts w:ascii="Book Antiqua" w:eastAsia="Book Antiqua" w:hAnsi="Book Antiqua" w:cs="Book Antiqua"/>
          <w:color w:val="000000"/>
          <w:vertAlign w:val="superscript"/>
        </w:rPr>
        <w:t>[30,31]</w:t>
      </w:r>
      <w:r w:rsidRPr="00880FA7">
        <w:rPr>
          <w:rFonts w:ascii="Book Antiqua" w:eastAsia="Book Antiqua" w:hAnsi="Book Antiqua" w:cs="Book Antiqua"/>
          <w:color w:val="000000"/>
        </w:rPr>
        <w:t>.</w:t>
      </w:r>
    </w:p>
    <w:p w14:paraId="4B15D159" w14:textId="77777777" w:rsidR="00A77B3E" w:rsidRPr="00880FA7" w:rsidRDefault="00A77B3E" w:rsidP="00D33124">
      <w:pPr>
        <w:spacing w:line="360" w:lineRule="auto"/>
        <w:jc w:val="both"/>
        <w:rPr>
          <w:rFonts w:ascii="Book Antiqua" w:hAnsi="Book Antiqua"/>
        </w:rPr>
      </w:pPr>
    </w:p>
    <w:p w14:paraId="1F0D21E5"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aps/>
          <w:color w:val="000000"/>
          <w:u w:val="single"/>
        </w:rPr>
        <w:t>SYSTEMIC TREATMENT FOR UNRESECTABLE HCC</w:t>
      </w:r>
    </w:p>
    <w:p w14:paraId="55DA0A82" w14:textId="77777777" w:rsidR="00A77B3E" w:rsidRPr="00880FA7" w:rsidRDefault="007D28BA" w:rsidP="00D33124">
      <w:pPr>
        <w:spacing w:line="360" w:lineRule="auto"/>
        <w:jc w:val="both"/>
        <w:rPr>
          <w:rFonts w:ascii="Book Antiqua" w:hAnsi="Book Antiqua"/>
          <w:b/>
          <w:i/>
        </w:rPr>
      </w:pPr>
      <w:r w:rsidRPr="00880FA7">
        <w:rPr>
          <w:rFonts w:ascii="Book Antiqua" w:hAnsi="Book Antiqua" w:cs="Book Antiqua" w:hint="eastAsia"/>
          <w:b/>
          <w:i/>
          <w:color w:val="000000"/>
          <w:lang w:eastAsia="zh-CN"/>
        </w:rPr>
        <w:lastRenderedPageBreak/>
        <w:t>F</w:t>
      </w:r>
      <w:r w:rsidRPr="00880FA7">
        <w:rPr>
          <w:rFonts w:ascii="Book Antiqua" w:eastAsia="Book Antiqua" w:hAnsi="Book Antiqua" w:cs="Book Antiqua"/>
          <w:b/>
          <w:i/>
          <w:color w:val="000000"/>
        </w:rPr>
        <w:t>irst-line systemic therapy</w:t>
      </w:r>
    </w:p>
    <w:p w14:paraId="28D1FF89" w14:textId="7F5FB289" w:rsidR="00A77B3E" w:rsidRPr="00880FA7" w:rsidRDefault="007D28BA" w:rsidP="00D33124">
      <w:pPr>
        <w:spacing w:line="360" w:lineRule="auto"/>
        <w:jc w:val="both"/>
        <w:rPr>
          <w:rFonts w:ascii="Book Antiqua" w:hAnsi="Book Antiqua" w:cs="Book Antiqua"/>
          <w:color w:val="000000"/>
          <w:lang w:eastAsia="zh-CN"/>
        </w:rPr>
      </w:pPr>
      <w:r w:rsidRPr="00880FA7">
        <w:rPr>
          <w:rFonts w:ascii="Book Antiqua" w:eastAsia="Book Antiqua" w:hAnsi="Book Antiqua" w:cs="Book Antiqua"/>
          <w:b/>
          <w:color w:val="000000"/>
        </w:rPr>
        <w:t>Single</w:t>
      </w:r>
      <w:r w:rsidRPr="00880FA7">
        <w:rPr>
          <w:rFonts w:ascii="Book Antiqua" w:eastAsia="Book Antiqua" w:hAnsi="Book Antiqua" w:cs="Book Antiqua" w:hint="eastAsia"/>
          <w:b/>
          <w:color w:val="000000"/>
        </w:rPr>
        <w:t xml:space="preserve"> drug</w:t>
      </w:r>
      <w:r w:rsidR="00A92039" w:rsidRPr="00880FA7">
        <w:rPr>
          <w:rFonts w:ascii="Book Antiqua" w:eastAsia="Book Antiqua" w:hAnsi="Book Antiqua" w:cs="Book Antiqua"/>
          <w:b/>
          <w:color w:val="000000"/>
        </w:rPr>
        <w:t xml:space="preserve"> </w:t>
      </w:r>
      <w:r w:rsidR="004B67DE" w:rsidRPr="00880FA7">
        <w:rPr>
          <w:rFonts w:ascii="Book Antiqua" w:hAnsi="Book Antiqua" w:cs="Book Antiqua" w:hint="eastAsia"/>
          <w:b/>
          <w:color w:val="000000"/>
          <w:lang w:eastAsia="zh-CN"/>
        </w:rPr>
        <w:t>m</w:t>
      </w:r>
      <w:r w:rsidR="00A92039" w:rsidRPr="00880FA7">
        <w:rPr>
          <w:rFonts w:ascii="Book Antiqua" w:eastAsia="Book Antiqua" w:hAnsi="Book Antiqua" w:cs="Book Antiqua"/>
          <w:b/>
          <w:color w:val="000000"/>
        </w:rPr>
        <w:t xml:space="preserve">ultikinase </w:t>
      </w:r>
      <w:r w:rsidR="004B67DE" w:rsidRPr="00880FA7">
        <w:rPr>
          <w:rFonts w:ascii="Book Antiqua" w:hAnsi="Book Antiqua" w:cs="Book Antiqua" w:hint="eastAsia"/>
          <w:b/>
          <w:color w:val="000000"/>
          <w:lang w:eastAsia="zh-CN"/>
        </w:rPr>
        <w:t>i</w:t>
      </w:r>
      <w:r w:rsidR="00A92039" w:rsidRPr="00880FA7">
        <w:rPr>
          <w:rFonts w:ascii="Book Antiqua" w:eastAsia="Book Antiqua" w:hAnsi="Book Antiqua" w:cs="Book Antiqua"/>
          <w:b/>
          <w:color w:val="000000"/>
        </w:rPr>
        <w:t>nhibitor</w:t>
      </w:r>
      <w:r w:rsidR="004B67DE" w:rsidRPr="00880FA7">
        <w:rPr>
          <w:rFonts w:ascii="Book Antiqua" w:hAnsi="Book Antiqua" w:cs="Book Antiqua" w:hint="eastAsia"/>
          <w:b/>
          <w:color w:val="000000"/>
          <w:lang w:eastAsia="zh-CN"/>
        </w:rPr>
        <w:t xml:space="preserve">: </w:t>
      </w:r>
      <w:r w:rsidR="00A92039" w:rsidRPr="00880FA7">
        <w:rPr>
          <w:rFonts w:ascii="Book Antiqua" w:eastAsia="Book Antiqua" w:hAnsi="Book Antiqua" w:cs="Book Antiqua"/>
          <w:bCs/>
          <w:iCs/>
          <w:color w:val="000000"/>
        </w:rPr>
        <w:t>Sorafenib</w:t>
      </w:r>
      <w:r w:rsidR="000C62CB" w:rsidRPr="00880FA7">
        <w:rPr>
          <w:rFonts w:ascii="Book Antiqua" w:hAnsi="Book Antiqua" w:cs="Book Antiqua" w:hint="eastAsia"/>
          <w:bCs/>
          <w:iCs/>
          <w:color w:val="000000"/>
          <w:lang w:eastAsia="zh-CN"/>
        </w:rPr>
        <w:t>-</w:t>
      </w:r>
      <w:r w:rsidR="00A33B66" w:rsidRPr="00880FA7">
        <w:rPr>
          <w:rFonts w:ascii="Book Antiqua" w:eastAsia="Book Antiqua" w:hAnsi="Book Antiqua" w:cs="Book Antiqua"/>
          <w:color w:val="000000"/>
        </w:rPr>
        <w:t>A multikinase inhibitor (MTKI), sorafenib blocks tyrosine kinases and pathways essential for angiogenesis and cell proliferation. VEGFR-1, VEGFR-2, VEGFR-3, PDGFR-</w:t>
      </w:r>
      <w:r w:rsidR="007136A9" w:rsidRPr="00880FA7">
        <w:rPr>
          <w:rFonts w:ascii="Book Antiqua" w:eastAsia="Book Antiqua" w:hAnsi="Book Antiqua" w:cs="Book Antiqua"/>
          <w:color w:val="000000"/>
        </w:rPr>
        <w:t>β</w:t>
      </w:r>
      <w:r w:rsidR="00A33B66" w:rsidRPr="00880FA7">
        <w:rPr>
          <w:rFonts w:ascii="Book Antiqua" w:eastAsia="Book Antiqua" w:hAnsi="Book Antiqua" w:cs="Book Antiqua"/>
          <w:color w:val="000000"/>
        </w:rPr>
        <w:t>, KIT, RET, RAS/RAF/MAPK, FLT-3, and Janus kinase/signal transducer and activator of transcription protein are among the receptors that it inhibits (STAT)</w:t>
      </w:r>
      <w:r w:rsidR="00A92039" w:rsidRPr="00880FA7">
        <w:rPr>
          <w:rFonts w:ascii="Book Antiqua" w:eastAsia="Book Antiqua" w:hAnsi="Book Antiqua" w:cs="Book Antiqua"/>
          <w:color w:val="000000"/>
          <w:vertAlign w:val="superscript"/>
        </w:rPr>
        <w:t>[32]</w:t>
      </w:r>
      <w:r w:rsidR="00A92039" w:rsidRPr="00880FA7">
        <w:rPr>
          <w:rFonts w:ascii="Book Antiqua" w:eastAsia="Book Antiqua" w:hAnsi="Book Antiqua" w:cs="Book Antiqua"/>
          <w:color w:val="000000"/>
        </w:rPr>
        <w:t xml:space="preserve">. </w:t>
      </w:r>
      <w:r w:rsidR="00911495" w:rsidRPr="00880FA7">
        <w:rPr>
          <w:rFonts w:ascii="Book Antiqua" w:eastAsia="Book Antiqua" w:hAnsi="Book Antiqua" w:cs="Book Antiqua"/>
          <w:color w:val="000000"/>
        </w:rPr>
        <w:t>The multicenter phase III European Sorafenib Hepatocellular Carcinoma Assessment Randomized Protocol (SHARP) research and the Asia-Pacific trial on OS benefit compared with placebo both supported the efficacy of first-line sorafenib for uHCC patients with Child-Pugh class A cirrhosis</w:t>
      </w:r>
      <w:r w:rsidR="00A92039" w:rsidRPr="00880FA7">
        <w:rPr>
          <w:rFonts w:ascii="Book Antiqua" w:eastAsia="Book Antiqua" w:hAnsi="Book Antiqua" w:cs="Book Antiqua"/>
          <w:color w:val="000000"/>
        </w:rPr>
        <w:t xml:space="preserve">. </w:t>
      </w:r>
      <w:r w:rsidR="00911495" w:rsidRPr="00880FA7">
        <w:rPr>
          <w:rFonts w:ascii="Book Antiqua" w:eastAsia="Book Antiqua" w:hAnsi="Book Antiqua" w:cs="Book Antiqua"/>
          <w:color w:val="000000"/>
        </w:rPr>
        <w:t xml:space="preserve">The inclusion criteria for both studies were the same: </w:t>
      </w:r>
      <w:r w:rsidR="004A1612" w:rsidRPr="00880FA7">
        <w:rPr>
          <w:rFonts w:ascii="Book Antiqua" w:hAnsi="Book Antiqua" w:cs="Book Antiqua" w:hint="eastAsia"/>
          <w:color w:val="000000"/>
          <w:lang w:eastAsia="zh-CN"/>
        </w:rPr>
        <w:t>A</w:t>
      </w:r>
      <w:r w:rsidR="00911495" w:rsidRPr="00880FA7">
        <w:rPr>
          <w:rFonts w:ascii="Book Antiqua" w:eastAsia="Book Antiqua" w:hAnsi="Book Antiqua" w:cs="Book Antiqua"/>
          <w:color w:val="000000"/>
        </w:rPr>
        <w:t xml:space="preserve">dvanced HCC with detectable illness, </w:t>
      </w:r>
      <w:r w:rsidR="000B4F98" w:rsidRPr="00880FA7">
        <w:rPr>
          <w:rFonts w:ascii="Book Antiqua" w:eastAsia="Book Antiqua" w:hAnsi="Book Antiqua" w:cs="Book Antiqua"/>
          <w:color w:val="000000"/>
        </w:rPr>
        <w:t xml:space="preserve">mostly Child-Pugh class A cirrhosis, </w:t>
      </w:r>
      <w:r w:rsidR="00911495" w:rsidRPr="00880FA7">
        <w:rPr>
          <w:rFonts w:ascii="Book Antiqua" w:eastAsia="Book Antiqua" w:hAnsi="Book Antiqua" w:cs="Book Antiqua"/>
          <w:color w:val="000000"/>
        </w:rPr>
        <w:t xml:space="preserve">no prior systemic therapy, </w:t>
      </w:r>
      <w:r w:rsidR="000B4F98" w:rsidRPr="00880FA7">
        <w:rPr>
          <w:rFonts w:ascii="Book Antiqua" w:eastAsia="Book Antiqua" w:hAnsi="Book Antiqua" w:cs="Book Antiqua"/>
          <w:color w:val="000000"/>
        </w:rPr>
        <w:t xml:space="preserve">adequate hematological, renal, and hepatic function, and </w:t>
      </w:r>
      <w:r w:rsidR="00911495" w:rsidRPr="00880FA7">
        <w:rPr>
          <w:rFonts w:ascii="Book Antiqua" w:eastAsia="Book Antiqua" w:hAnsi="Book Antiqua" w:cs="Book Antiqua"/>
          <w:color w:val="000000"/>
        </w:rPr>
        <w:t>a life expectancy of at least 12 wk</w:t>
      </w:r>
      <w:r w:rsidR="00A92039" w:rsidRPr="00880FA7">
        <w:rPr>
          <w:rFonts w:ascii="Book Antiqua" w:eastAsia="Book Antiqua" w:hAnsi="Book Antiqua" w:cs="Book Antiqua"/>
          <w:color w:val="000000"/>
        </w:rPr>
        <w:t xml:space="preserve">. </w:t>
      </w:r>
      <w:r w:rsidR="00471003" w:rsidRPr="00880FA7">
        <w:rPr>
          <w:rFonts w:ascii="Book Antiqua" w:eastAsia="Book Antiqua" w:hAnsi="Book Antiqua" w:cs="Book Antiqua"/>
          <w:color w:val="000000"/>
        </w:rPr>
        <w:t>Six hundred and two untreated uHCC patients from Europe, North America, South America, and Australia were included in the SHARP study</w:t>
      </w:r>
      <w:r w:rsidR="00A92039" w:rsidRPr="00880FA7">
        <w:rPr>
          <w:rFonts w:ascii="Book Antiqua" w:eastAsia="Book Antiqua" w:hAnsi="Book Antiqua" w:cs="Book Antiqua"/>
          <w:color w:val="000000"/>
        </w:rPr>
        <w:t xml:space="preserve">. </w:t>
      </w:r>
      <w:r w:rsidR="006612BF" w:rsidRPr="00880FA7">
        <w:rPr>
          <w:rFonts w:ascii="Book Antiqua" w:eastAsia="Book Antiqua" w:hAnsi="Book Antiqua" w:cs="Book Antiqua"/>
          <w:color w:val="000000"/>
        </w:rPr>
        <w:t xml:space="preserve">Two groups of patients were randomly </w:t>
      </w:r>
      <w:r w:rsidR="00E35D6D" w:rsidRPr="00880FA7">
        <w:rPr>
          <w:rFonts w:ascii="Book Antiqua" w:eastAsia="Book Antiqua" w:hAnsi="Book Antiqua" w:cs="Book Antiqua"/>
          <w:color w:val="000000"/>
        </w:rPr>
        <w:t>treat</w:t>
      </w:r>
      <w:r w:rsidR="006612BF" w:rsidRPr="00880FA7">
        <w:rPr>
          <w:rFonts w:ascii="Book Antiqua" w:eastAsia="Book Antiqua" w:hAnsi="Book Antiqua" w:cs="Book Antiqua"/>
          <w:color w:val="000000"/>
        </w:rPr>
        <w:t xml:space="preserve">ed </w:t>
      </w:r>
      <w:r w:rsidR="00E35D6D" w:rsidRPr="00880FA7">
        <w:rPr>
          <w:rFonts w:ascii="Book Antiqua" w:eastAsia="Book Antiqua" w:hAnsi="Book Antiqua" w:cs="Book Antiqua"/>
          <w:color w:val="000000"/>
        </w:rPr>
        <w:t>with</w:t>
      </w:r>
      <w:r w:rsidR="006612BF" w:rsidRPr="00880FA7">
        <w:rPr>
          <w:rFonts w:ascii="Book Antiqua" w:eastAsia="Book Antiqua" w:hAnsi="Book Antiqua" w:cs="Book Antiqua"/>
          <w:color w:val="000000"/>
        </w:rPr>
        <w:t xml:space="preserve"> either sorafenib 400 mg </w:t>
      </w:r>
      <w:r w:rsidR="002951A8" w:rsidRPr="00880FA7">
        <w:rPr>
          <w:rFonts w:ascii="Book Antiqua" w:eastAsia="Book Antiqua" w:hAnsi="Book Antiqua" w:cs="Book Antiqua"/>
          <w:color w:val="000000"/>
        </w:rPr>
        <w:t>(</w:t>
      </w:r>
      <w:r w:rsidR="002951A8" w:rsidRPr="00880FA7">
        <w:rPr>
          <w:rFonts w:ascii="Book Antiqua" w:eastAsia="Book Antiqua" w:hAnsi="Book Antiqua" w:cs="Book Antiqua"/>
          <w:i/>
          <w:color w:val="000000"/>
        </w:rPr>
        <w:t>n</w:t>
      </w:r>
      <w:r w:rsidR="000C62CB" w:rsidRPr="00880FA7">
        <w:rPr>
          <w:rFonts w:ascii="Book Antiqua" w:hAnsi="Book Antiqua" w:cs="Book Antiqua" w:hint="eastAsia"/>
          <w:color w:val="000000"/>
          <w:lang w:eastAsia="zh-CN"/>
        </w:rPr>
        <w:t xml:space="preserve"> </w:t>
      </w:r>
      <w:r w:rsidR="002951A8" w:rsidRPr="00880FA7">
        <w:rPr>
          <w:rFonts w:ascii="Book Antiqua" w:eastAsia="Book Antiqua" w:hAnsi="Book Antiqua" w:cs="Book Antiqua"/>
          <w:color w:val="000000"/>
        </w:rPr>
        <w:t>= 299)</w:t>
      </w:r>
      <w:r w:rsidR="000C62CB" w:rsidRPr="00880FA7">
        <w:rPr>
          <w:rFonts w:ascii="Book Antiqua" w:hAnsi="Book Antiqua" w:cs="Book Antiqua" w:hint="eastAsia"/>
          <w:color w:val="000000"/>
          <w:lang w:eastAsia="zh-CN"/>
        </w:rPr>
        <w:t xml:space="preserve"> </w:t>
      </w:r>
      <w:r w:rsidR="006612BF" w:rsidRPr="00880FA7">
        <w:rPr>
          <w:rFonts w:ascii="Book Antiqua" w:eastAsia="Book Antiqua" w:hAnsi="Book Antiqua" w:cs="Book Antiqua"/>
          <w:color w:val="000000"/>
        </w:rPr>
        <w:t>twice daily or a placebo (</w:t>
      </w:r>
      <w:r w:rsidR="000C62CB" w:rsidRPr="00880FA7">
        <w:rPr>
          <w:rFonts w:ascii="Book Antiqua" w:eastAsia="Book Antiqua" w:hAnsi="Book Antiqua" w:cs="Book Antiqua"/>
          <w:i/>
          <w:color w:val="000000"/>
        </w:rPr>
        <w:t>n</w:t>
      </w:r>
      <w:r w:rsidR="006612BF" w:rsidRPr="00880FA7">
        <w:rPr>
          <w:rFonts w:ascii="Book Antiqua" w:eastAsia="Book Antiqua" w:hAnsi="Book Antiqua" w:cs="Book Antiqua"/>
          <w:color w:val="000000"/>
        </w:rPr>
        <w:t xml:space="preserve"> = 303)</w:t>
      </w:r>
      <w:r w:rsidR="00A92039" w:rsidRPr="00880FA7">
        <w:rPr>
          <w:rFonts w:ascii="Book Antiqua" w:eastAsia="Book Antiqua" w:hAnsi="Book Antiqua" w:cs="Book Antiqua"/>
          <w:color w:val="000000"/>
        </w:rPr>
        <w:t xml:space="preserve">. </w:t>
      </w:r>
      <w:r w:rsidR="003D4786" w:rsidRPr="00880FA7">
        <w:rPr>
          <w:rFonts w:ascii="Book Antiqua" w:eastAsia="Book Antiqua" w:hAnsi="Book Antiqua" w:cs="Book Antiqua"/>
          <w:color w:val="000000"/>
        </w:rPr>
        <w:t>Treatment with s</w:t>
      </w:r>
      <w:r w:rsidR="00C37DC7" w:rsidRPr="00880FA7">
        <w:rPr>
          <w:rFonts w:ascii="Book Antiqua" w:eastAsia="Book Antiqua" w:hAnsi="Book Antiqua" w:cs="Book Antiqua"/>
          <w:color w:val="000000"/>
        </w:rPr>
        <w:t>orafenib was continued until the illness became worse, the toxicity was too much, or someone passed away</w:t>
      </w:r>
      <w:r w:rsidR="00A92039" w:rsidRPr="00880FA7">
        <w:rPr>
          <w:rFonts w:ascii="Book Antiqua" w:eastAsia="Book Antiqua" w:hAnsi="Book Antiqua" w:cs="Book Antiqua"/>
          <w:color w:val="000000"/>
        </w:rPr>
        <w:t xml:space="preserve">. Patients receiving sorafenib experienced response rates of just 2%, compared with only 1% in the placebo group. </w:t>
      </w:r>
      <w:r w:rsidR="001E1199" w:rsidRPr="00880FA7">
        <w:rPr>
          <w:rFonts w:ascii="Book Antiqua" w:eastAsia="Book Antiqua" w:hAnsi="Book Antiqua" w:cs="Book Antiqua"/>
          <w:color w:val="000000"/>
        </w:rPr>
        <w:t>Clinical outcomes w</w:t>
      </w:r>
      <w:r w:rsidR="00F23A3B" w:rsidRPr="00880FA7">
        <w:rPr>
          <w:rFonts w:ascii="Book Antiqua" w:eastAsia="Book Antiqua" w:hAnsi="Book Antiqua" w:cs="Book Antiqua"/>
          <w:color w:val="000000"/>
        </w:rPr>
        <w:t>ere</w:t>
      </w:r>
      <w:r w:rsidR="001E1199" w:rsidRPr="00880FA7">
        <w:rPr>
          <w:rFonts w:ascii="Book Antiqua" w:eastAsia="Book Antiqua" w:hAnsi="Book Antiqua" w:cs="Book Antiqua"/>
          <w:color w:val="000000"/>
        </w:rPr>
        <w:t xml:space="preserve"> achieved in 43% and 32% of patients in the sorafenib and placebo groups, respectively (</w:t>
      </w:r>
      <w:r w:rsidR="001E1199" w:rsidRPr="00880FA7">
        <w:rPr>
          <w:rFonts w:ascii="Book Antiqua" w:eastAsia="Book Antiqua" w:hAnsi="Book Antiqua" w:cs="Book Antiqua"/>
          <w:i/>
          <w:iCs/>
          <w:color w:val="000000"/>
        </w:rPr>
        <w:t>P</w:t>
      </w:r>
      <w:r w:rsidR="001E1199" w:rsidRPr="00880FA7">
        <w:rPr>
          <w:rFonts w:ascii="Book Antiqua" w:eastAsia="Book Antiqua" w:hAnsi="Book Antiqua" w:cs="Book Antiqua"/>
          <w:color w:val="000000"/>
        </w:rPr>
        <w:t xml:space="preserve"> = 0.002)</w:t>
      </w:r>
      <w:r w:rsidR="00A92039" w:rsidRPr="00880FA7">
        <w:rPr>
          <w:rFonts w:ascii="Book Antiqua" w:eastAsia="Book Antiqua" w:hAnsi="Book Antiqua" w:cs="Book Antiqua"/>
          <w:color w:val="000000"/>
        </w:rPr>
        <w:t xml:space="preserve">. </w:t>
      </w:r>
      <w:r w:rsidR="00A10597" w:rsidRPr="00880FA7">
        <w:rPr>
          <w:rFonts w:ascii="Book Antiqua" w:eastAsia="Book Antiqua" w:hAnsi="Book Antiqua" w:cs="Book Antiqua"/>
          <w:color w:val="000000"/>
        </w:rPr>
        <w:t xml:space="preserve">The project was halted after a second planned interim analysis </w:t>
      </w:r>
      <w:r w:rsidR="00F23A3B" w:rsidRPr="00880FA7">
        <w:rPr>
          <w:rFonts w:ascii="Book Antiqua" w:eastAsia="Book Antiqua" w:hAnsi="Book Antiqua" w:cs="Book Antiqua"/>
          <w:color w:val="000000"/>
        </w:rPr>
        <w:t>show</w:t>
      </w:r>
      <w:r w:rsidR="00A10597" w:rsidRPr="00880FA7">
        <w:rPr>
          <w:rFonts w:ascii="Book Antiqua" w:eastAsia="Book Antiqua" w:hAnsi="Book Antiqua" w:cs="Book Antiqua"/>
          <w:color w:val="000000"/>
        </w:rPr>
        <w:t>ed that the median OS with sorafenib was significantly longer at 10.7 mo compared to 7.9 mo with placebo (</w:t>
      </w:r>
      <w:r w:rsidR="00A10597" w:rsidRPr="00880FA7">
        <w:rPr>
          <w:rFonts w:ascii="Book Antiqua" w:eastAsia="Book Antiqua" w:hAnsi="Book Antiqua" w:cs="Book Antiqua"/>
          <w:i/>
          <w:iCs/>
          <w:color w:val="000000"/>
        </w:rPr>
        <w:t>P</w:t>
      </w:r>
      <w:r w:rsidR="00A10597" w:rsidRPr="00880FA7">
        <w:rPr>
          <w:rFonts w:ascii="Book Antiqua" w:eastAsia="Book Antiqua" w:hAnsi="Book Antiqua" w:cs="Book Antiqua"/>
          <w:color w:val="000000"/>
        </w:rPr>
        <w:t xml:space="preserve"> &lt; 0.01)</w:t>
      </w:r>
      <w:r w:rsidR="00A92039" w:rsidRPr="00880FA7">
        <w:rPr>
          <w:rFonts w:ascii="Book Antiqua" w:eastAsia="Book Antiqua" w:hAnsi="Book Antiqua" w:cs="Book Antiqua"/>
          <w:color w:val="000000"/>
        </w:rPr>
        <w:t xml:space="preserve">. With sorafenib, </w:t>
      </w:r>
      <w:r w:rsidR="00E0308E" w:rsidRPr="00880FA7">
        <w:rPr>
          <w:rFonts w:ascii="Book Antiqua" w:eastAsia="Book Antiqua" w:hAnsi="Book Antiqua" w:cs="Book Antiqua"/>
          <w:color w:val="000000"/>
        </w:rPr>
        <w:t>1</w:t>
      </w:r>
      <w:r w:rsidR="00A92039" w:rsidRPr="00880FA7">
        <w:rPr>
          <w:rFonts w:ascii="Book Antiqua" w:eastAsia="Book Antiqua" w:hAnsi="Book Antiqua" w:cs="Book Antiqua"/>
          <w:color w:val="000000"/>
        </w:rPr>
        <w:t>-year survival rates were 44%, while with placebo, they were 33% (</w:t>
      </w:r>
      <w:r w:rsidR="00A10597" w:rsidRPr="00880FA7">
        <w:rPr>
          <w:rFonts w:ascii="Book Antiqua" w:eastAsia="Book Antiqua" w:hAnsi="Book Antiqua" w:cs="Book Antiqua"/>
          <w:i/>
          <w:iCs/>
          <w:color w:val="000000"/>
        </w:rPr>
        <w:t>P</w:t>
      </w:r>
      <w:r w:rsidR="00A92039" w:rsidRPr="00880FA7">
        <w:rPr>
          <w:rFonts w:ascii="Book Antiqua" w:eastAsia="Book Antiqua" w:hAnsi="Book Antiqua" w:cs="Book Antiqua"/>
          <w:color w:val="000000"/>
        </w:rPr>
        <w:t xml:space="preserve"> &lt; 0.01). The most common treatment-related side effects in people taking sorafenib were diarrhea, weight loss, hand-foot syndrome (HFS), and hypophosphatemia</w:t>
      </w:r>
      <w:r w:rsidR="00A92039" w:rsidRPr="00880FA7">
        <w:rPr>
          <w:rFonts w:ascii="Book Antiqua" w:eastAsia="Book Antiqua" w:hAnsi="Book Antiqua" w:cs="Book Antiqua"/>
          <w:color w:val="000000"/>
          <w:vertAlign w:val="superscript"/>
        </w:rPr>
        <w:t xml:space="preserve">[33] </w:t>
      </w:r>
      <w:r w:rsidR="00A92039" w:rsidRPr="00880FA7">
        <w:rPr>
          <w:rFonts w:ascii="Book Antiqua" w:eastAsia="Book Antiqua" w:hAnsi="Book Antiqua" w:cs="Book Antiqua"/>
          <w:color w:val="000000"/>
        </w:rPr>
        <w:t>(</w:t>
      </w:r>
      <w:r w:rsidR="00A92039" w:rsidRPr="00880FA7">
        <w:rPr>
          <w:rFonts w:ascii="Book Antiqua" w:eastAsia="Book Antiqua" w:hAnsi="Book Antiqua" w:cs="Book Antiqua"/>
          <w:bCs/>
          <w:color w:val="000000"/>
        </w:rPr>
        <w:t>Table 1</w:t>
      </w:r>
      <w:r w:rsidR="00A92039" w:rsidRPr="00880FA7">
        <w:rPr>
          <w:rFonts w:ascii="Book Antiqua" w:eastAsia="Book Antiqua" w:hAnsi="Book Antiqua" w:cs="Book Antiqua"/>
          <w:color w:val="000000"/>
        </w:rPr>
        <w:t xml:space="preserve">). </w:t>
      </w:r>
    </w:p>
    <w:p w14:paraId="1B44EA3D" w14:textId="0223CCDC" w:rsidR="00A77B3E" w:rsidRPr="00880FA7" w:rsidRDefault="00792B75" w:rsidP="000C62CB">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The Asia-Pacific study, which ran alongside the SHARP trial, was designed to look at the </w:t>
      </w:r>
      <w:r w:rsidR="004E0D29" w:rsidRPr="00880FA7">
        <w:rPr>
          <w:rFonts w:ascii="Book Antiqua" w:eastAsia="Book Antiqua" w:hAnsi="Book Antiqua" w:cs="Book Antiqua"/>
          <w:color w:val="000000"/>
        </w:rPr>
        <w:t xml:space="preserve">safety and </w:t>
      </w:r>
      <w:r w:rsidRPr="00880FA7">
        <w:rPr>
          <w:rFonts w:ascii="Book Antiqua" w:eastAsia="Book Antiqua" w:hAnsi="Book Antiqua" w:cs="Book Antiqua"/>
          <w:color w:val="000000"/>
        </w:rPr>
        <w:t xml:space="preserve">activity of sorafenib in </w:t>
      </w:r>
      <w:r w:rsidR="004E0D29" w:rsidRPr="00880FA7">
        <w:rPr>
          <w:rFonts w:ascii="Book Antiqua" w:eastAsia="Book Antiqua" w:hAnsi="Book Antiqua" w:cs="Book Antiqua"/>
          <w:color w:val="000000"/>
        </w:rPr>
        <w:t xml:space="preserve">uHCC </w:t>
      </w:r>
      <w:r w:rsidRPr="00880FA7">
        <w:rPr>
          <w:rFonts w:ascii="Book Antiqua" w:eastAsia="Book Antiqua" w:hAnsi="Book Antiqua" w:cs="Book Antiqua"/>
          <w:color w:val="000000"/>
        </w:rPr>
        <w:t>patients</w:t>
      </w:r>
      <w:r w:rsidR="00A92039" w:rsidRPr="00880FA7">
        <w:rPr>
          <w:rFonts w:ascii="Book Antiqua" w:eastAsia="Book Antiqua" w:hAnsi="Book Antiqua" w:cs="Book Antiqua"/>
          <w:color w:val="000000"/>
        </w:rPr>
        <w:t xml:space="preserve">. </w:t>
      </w:r>
      <w:r w:rsidR="00E22BC3" w:rsidRPr="00880FA7">
        <w:rPr>
          <w:rFonts w:ascii="Book Antiqua" w:eastAsia="Book Antiqua" w:hAnsi="Book Antiqua" w:cs="Book Antiqua"/>
          <w:color w:val="000000"/>
        </w:rPr>
        <w:t>They randomly assigned 150 of the 226</w:t>
      </w:r>
      <w:r w:rsidR="00FB18A6" w:rsidRPr="00880FA7">
        <w:rPr>
          <w:rFonts w:ascii="Book Antiqua" w:hAnsi="Book Antiqua" w:cs="Book Antiqua" w:hint="eastAsia"/>
          <w:color w:val="000000"/>
          <w:lang w:eastAsia="zh-CN"/>
        </w:rPr>
        <w:t xml:space="preserve"> </w:t>
      </w:r>
      <w:r w:rsidR="00E22BC3" w:rsidRPr="00880FA7">
        <w:rPr>
          <w:rFonts w:ascii="Book Antiqua" w:eastAsia="Book Antiqua" w:hAnsi="Book Antiqua" w:cs="Book Antiqua"/>
          <w:color w:val="000000"/>
        </w:rPr>
        <w:t xml:space="preserve">participants who were drawn from 23 locations in China, South Korea, and Taiwan to </w:t>
      </w:r>
      <w:r w:rsidR="00B73DD2" w:rsidRPr="00880FA7">
        <w:rPr>
          <w:rFonts w:ascii="Book Antiqua" w:eastAsia="Book Antiqua" w:hAnsi="Book Antiqua" w:cs="Book Antiqua"/>
          <w:color w:val="000000"/>
        </w:rPr>
        <w:t>treat with</w:t>
      </w:r>
      <w:r w:rsidR="00E22BC3" w:rsidRPr="00880FA7">
        <w:rPr>
          <w:rFonts w:ascii="Book Antiqua" w:eastAsia="Book Antiqua" w:hAnsi="Book Antiqua" w:cs="Book Antiqua"/>
          <w:color w:val="000000"/>
        </w:rPr>
        <w:t xml:space="preserve"> sorafenib 400 mg twice da</w:t>
      </w:r>
      <w:r w:rsidR="00B73DD2" w:rsidRPr="00880FA7">
        <w:rPr>
          <w:rFonts w:ascii="Book Antiqua" w:eastAsia="Book Antiqua" w:hAnsi="Book Antiqua" w:cs="Book Antiqua"/>
          <w:color w:val="000000"/>
        </w:rPr>
        <w:t>ily</w:t>
      </w:r>
      <w:r w:rsidR="00E22BC3" w:rsidRPr="00880FA7">
        <w:rPr>
          <w:rFonts w:ascii="Book Antiqua" w:eastAsia="Book Antiqua" w:hAnsi="Book Antiqua" w:cs="Book Antiqua"/>
          <w:color w:val="000000"/>
        </w:rPr>
        <w:t xml:space="preserve"> or a placebo (</w:t>
      </w:r>
      <w:r w:rsidR="00E22BC3" w:rsidRPr="00880FA7">
        <w:rPr>
          <w:rFonts w:ascii="Book Antiqua" w:eastAsia="Book Antiqua" w:hAnsi="Book Antiqua" w:cs="Book Antiqua"/>
          <w:i/>
          <w:color w:val="000000"/>
        </w:rPr>
        <w:t>n</w:t>
      </w:r>
      <w:r w:rsidR="00E22BC3" w:rsidRPr="00880FA7">
        <w:rPr>
          <w:rFonts w:ascii="Book Antiqua" w:eastAsia="Book Antiqua" w:hAnsi="Book Antiqua" w:cs="Book Antiqua"/>
          <w:color w:val="000000"/>
        </w:rPr>
        <w:t xml:space="preserve"> =</w:t>
      </w:r>
      <w:r w:rsidR="000B4F98" w:rsidRPr="00880FA7">
        <w:rPr>
          <w:rFonts w:ascii="Book Antiqua" w:eastAsia="Book Antiqua" w:hAnsi="Book Antiqua" w:cs="Book Antiqua"/>
          <w:color w:val="000000"/>
        </w:rPr>
        <w:t xml:space="preserve"> </w:t>
      </w:r>
      <w:r w:rsidR="00E22BC3" w:rsidRPr="00880FA7">
        <w:rPr>
          <w:rFonts w:ascii="Book Antiqua" w:eastAsia="Book Antiqua" w:hAnsi="Book Antiqua" w:cs="Book Antiqua"/>
          <w:color w:val="000000"/>
        </w:rPr>
        <w:t>76)</w:t>
      </w:r>
      <w:r w:rsidR="00A92039" w:rsidRPr="00880FA7">
        <w:rPr>
          <w:rFonts w:ascii="Book Antiqua" w:eastAsia="Book Antiqua" w:hAnsi="Book Antiqua" w:cs="Book Antiqua"/>
          <w:color w:val="000000"/>
        </w:rPr>
        <w:t xml:space="preserve">. </w:t>
      </w:r>
      <w:r w:rsidR="00E22BC3" w:rsidRPr="00880FA7">
        <w:rPr>
          <w:rFonts w:ascii="Book Antiqua" w:eastAsia="Book Antiqua" w:hAnsi="Book Antiqua" w:cs="Book Antiqua"/>
          <w:color w:val="000000"/>
        </w:rPr>
        <w:t xml:space="preserve">Similar to the SHARP study, sorafenib had a low response rate (3.3% </w:t>
      </w:r>
      <w:r w:rsidR="00E22BC3" w:rsidRPr="00880FA7">
        <w:rPr>
          <w:rFonts w:ascii="Book Antiqua" w:eastAsia="Book Antiqua" w:hAnsi="Book Antiqua" w:cs="Book Antiqua"/>
          <w:i/>
          <w:iCs/>
          <w:color w:val="000000"/>
        </w:rPr>
        <w:t>vs</w:t>
      </w:r>
      <w:r w:rsidR="00E22BC3" w:rsidRPr="00880FA7">
        <w:rPr>
          <w:rFonts w:ascii="Book Antiqua" w:eastAsia="Book Antiqua" w:hAnsi="Book Antiqua" w:cs="Book Antiqua"/>
          <w:color w:val="000000"/>
        </w:rPr>
        <w:t xml:space="preserve"> 1.3% for placebo)</w:t>
      </w:r>
      <w:r w:rsidR="00A92039" w:rsidRPr="00880FA7">
        <w:rPr>
          <w:rFonts w:ascii="Book Antiqua" w:eastAsia="Book Antiqua" w:hAnsi="Book Antiqua" w:cs="Book Antiqua"/>
          <w:color w:val="000000"/>
        </w:rPr>
        <w:t xml:space="preserve">. </w:t>
      </w:r>
      <w:r w:rsidR="00A94D4F" w:rsidRPr="00880FA7">
        <w:rPr>
          <w:rFonts w:ascii="Book Antiqua" w:eastAsia="Book Antiqua" w:hAnsi="Book Antiqua" w:cs="Book Antiqua"/>
          <w:color w:val="000000"/>
        </w:rPr>
        <w:t xml:space="preserve">Sorafenib </w:t>
      </w:r>
      <w:r w:rsidR="00A94D4F" w:rsidRPr="00880FA7">
        <w:rPr>
          <w:rFonts w:ascii="Book Antiqua" w:eastAsia="Book Antiqua" w:hAnsi="Book Antiqua" w:cs="Book Antiqua"/>
          <w:color w:val="000000"/>
        </w:rPr>
        <w:lastRenderedPageBreak/>
        <w:t>had a disease control rate of 35.3% whereas a placebo had a rate of 15.8% (</w:t>
      </w:r>
      <w:r w:rsidR="00A94D4F" w:rsidRPr="00880FA7">
        <w:rPr>
          <w:rFonts w:ascii="Book Antiqua" w:eastAsia="Book Antiqua" w:hAnsi="Book Antiqua" w:cs="Book Antiqua"/>
          <w:i/>
          <w:iCs/>
          <w:color w:val="000000"/>
        </w:rPr>
        <w:t>P</w:t>
      </w:r>
      <w:r w:rsidR="00A94D4F" w:rsidRPr="00880FA7">
        <w:rPr>
          <w:rFonts w:ascii="Book Antiqua" w:eastAsia="Book Antiqua" w:hAnsi="Book Antiqua" w:cs="Book Antiqua"/>
          <w:color w:val="000000"/>
        </w:rPr>
        <w:t xml:space="preserve"> &lt; 0.001)</w:t>
      </w:r>
      <w:r w:rsidR="00A92039" w:rsidRPr="00880FA7">
        <w:rPr>
          <w:rFonts w:ascii="Book Antiqua" w:eastAsia="Book Antiqua" w:hAnsi="Book Antiqua" w:cs="Book Antiqua"/>
          <w:color w:val="000000"/>
        </w:rPr>
        <w:t xml:space="preserve">. </w:t>
      </w:r>
      <w:r w:rsidR="007F2BF1" w:rsidRPr="00880FA7">
        <w:rPr>
          <w:rFonts w:ascii="Book Antiqua" w:eastAsia="Book Antiqua" w:hAnsi="Book Antiqua" w:cs="Book Antiqua"/>
          <w:color w:val="000000"/>
        </w:rPr>
        <w:t xml:space="preserve">The median OS periods for sorafenib and the placebo were 6.5 </w:t>
      </w:r>
      <w:r w:rsidR="00E0308E" w:rsidRPr="00880FA7">
        <w:rPr>
          <w:rFonts w:ascii="Book Antiqua" w:eastAsia="Book Antiqua" w:hAnsi="Book Antiqua" w:cs="Book Antiqua"/>
          <w:color w:val="000000"/>
        </w:rPr>
        <w:t xml:space="preserve">mo </w:t>
      </w:r>
      <w:r w:rsidR="007F2BF1" w:rsidRPr="00880FA7">
        <w:rPr>
          <w:rFonts w:ascii="Book Antiqua" w:eastAsia="Book Antiqua" w:hAnsi="Book Antiqua" w:cs="Book Antiqua"/>
          <w:color w:val="000000"/>
        </w:rPr>
        <w:t xml:space="preserve">and 4.2 </w:t>
      </w:r>
      <w:r w:rsidR="00C72E12" w:rsidRPr="00880FA7">
        <w:rPr>
          <w:rFonts w:ascii="Book Antiqua" w:eastAsia="Book Antiqua" w:hAnsi="Book Antiqua" w:cs="Book Antiqua"/>
          <w:color w:val="000000"/>
        </w:rPr>
        <w:t>mo</w:t>
      </w:r>
      <w:r w:rsidR="007F2BF1" w:rsidRPr="00880FA7">
        <w:rPr>
          <w:rFonts w:ascii="Book Antiqua" w:eastAsia="Book Antiqua" w:hAnsi="Book Antiqua" w:cs="Book Antiqua"/>
          <w:color w:val="000000"/>
        </w:rPr>
        <w:t>, respectively (</w:t>
      </w:r>
      <w:r w:rsidR="007F2BF1" w:rsidRPr="00880FA7">
        <w:rPr>
          <w:rFonts w:ascii="Book Antiqua" w:eastAsia="Book Antiqua" w:hAnsi="Book Antiqua" w:cs="Book Antiqua"/>
          <w:i/>
          <w:iCs/>
          <w:color w:val="000000"/>
        </w:rPr>
        <w:t>P</w:t>
      </w:r>
      <w:r w:rsidR="007F2BF1" w:rsidRPr="00880FA7">
        <w:rPr>
          <w:rFonts w:ascii="Book Antiqua" w:eastAsia="Book Antiqua" w:hAnsi="Book Antiqua" w:cs="Book Antiqua"/>
          <w:color w:val="000000"/>
        </w:rPr>
        <w:t xml:space="preserve"> = 0.014)</w:t>
      </w:r>
      <w:r w:rsidR="00A92039" w:rsidRPr="00880FA7">
        <w:rPr>
          <w:rFonts w:ascii="Book Antiqua" w:eastAsia="Book Antiqua" w:hAnsi="Book Antiqua" w:cs="Book Antiqua"/>
          <w:color w:val="000000"/>
        </w:rPr>
        <w:t xml:space="preserve">. </w:t>
      </w:r>
      <w:r w:rsidR="007F2BF1" w:rsidRPr="00880FA7">
        <w:rPr>
          <w:rFonts w:ascii="Book Antiqua" w:eastAsia="Book Antiqua" w:hAnsi="Book Antiqua" w:cs="Book Antiqua"/>
          <w:color w:val="000000"/>
        </w:rPr>
        <w:t>Despite the fact that both studies utilized the identical eligibility standards and treatment strategy</w:t>
      </w:r>
      <w:r w:rsidR="00A92039" w:rsidRPr="00880FA7">
        <w:rPr>
          <w:rFonts w:ascii="Book Antiqua" w:eastAsia="Book Antiqua" w:hAnsi="Book Antiqua" w:cs="Book Antiqua"/>
          <w:color w:val="000000"/>
        </w:rPr>
        <w:t xml:space="preserve">, the Asia-Pacific trial's patients had more extrahepatic disease, more hepatic lesions, a worse </w:t>
      </w:r>
      <w:r w:rsidR="00FB18A6" w:rsidRPr="00880FA7">
        <w:rPr>
          <w:rFonts w:ascii="Book Antiqua" w:eastAsia="Book Antiqua" w:hAnsi="Book Antiqua" w:cs="Book Antiqua"/>
          <w:color w:val="000000"/>
        </w:rPr>
        <w:t>PS</w:t>
      </w:r>
      <w:r w:rsidR="00A92039" w:rsidRPr="00880FA7">
        <w:rPr>
          <w:rFonts w:ascii="Book Antiqua" w:eastAsia="Book Antiqua" w:hAnsi="Book Antiqua" w:cs="Book Antiqua"/>
          <w:color w:val="000000"/>
        </w:rPr>
        <w:t xml:space="preserve">, more advanced disease, and a higher rate of AFP elevation. </w:t>
      </w:r>
      <w:r w:rsidR="00547FC6" w:rsidRPr="00880FA7">
        <w:rPr>
          <w:rFonts w:ascii="Book Antiqua" w:eastAsia="Book Antiqua" w:hAnsi="Book Antiqua" w:cs="Book Antiqua"/>
          <w:color w:val="000000"/>
        </w:rPr>
        <w:t xml:space="preserve">Because of this, their sorafenib-related survival in the Asia-Pacific study (6.5 </w:t>
      </w:r>
      <w:r w:rsidR="00C72E12" w:rsidRPr="00880FA7">
        <w:rPr>
          <w:rFonts w:ascii="Book Antiqua" w:eastAsia="Book Antiqua" w:hAnsi="Book Antiqua" w:cs="Book Antiqua"/>
          <w:color w:val="000000"/>
        </w:rPr>
        <w:t>mo</w:t>
      </w:r>
      <w:r w:rsidR="00547FC6" w:rsidRPr="00880FA7">
        <w:rPr>
          <w:rFonts w:ascii="Book Antiqua" w:eastAsia="Book Antiqua" w:hAnsi="Book Antiqua" w:cs="Book Antiqua"/>
          <w:color w:val="000000"/>
        </w:rPr>
        <w:t xml:space="preserve">) was lower than in the SHARP trial (10.7 </w:t>
      </w:r>
      <w:r w:rsidR="00C72E12" w:rsidRPr="00880FA7">
        <w:rPr>
          <w:rFonts w:ascii="Book Antiqua" w:eastAsia="Book Antiqua" w:hAnsi="Book Antiqua" w:cs="Book Antiqua"/>
          <w:color w:val="000000"/>
        </w:rPr>
        <w:t>mo</w:t>
      </w:r>
      <w:r w:rsidR="00547FC6" w:rsidRPr="00880FA7">
        <w:rPr>
          <w:rFonts w:ascii="Book Antiqua" w:eastAsia="Book Antiqua" w:hAnsi="Book Antiqua" w:cs="Book Antiqua"/>
          <w:color w:val="000000"/>
        </w:rPr>
        <w:t>)</w:t>
      </w:r>
      <w:r w:rsidR="00A92039" w:rsidRPr="00880FA7">
        <w:rPr>
          <w:rFonts w:ascii="Book Antiqua" w:eastAsia="Book Antiqua" w:hAnsi="Book Antiqua" w:cs="Book Antiqua"/>
          <w:color w:val="000000"/>
        </w:rPr>
        <w:t xml:space="preserve">. </w:t>
      </w:r>
      <w:r w:rsidR="009662B5" w:rsidRPr="00880FA7">
        <w:rPr>
          <w:rFonts w:ascii="Book Antiqua" w:eastAsia="Book Antiqua" w:hAnsi="Book Antiqua" w:cs="Book Antiqua"/>
          <w:color w:val="000000"/>
        </w:rPr>
        <w:t xml:space="preserve">In the subgroup analysis, sorafenib showed higher efficacy in patients without extrahepatic spread </w:t>
      </w:r>
      <w:r w:rsidR="00FB18A6" w:rsidRPr="00880FA7">
        <w:rPr>
          <w:rFonts w:ascii="Book Antiqua" w:eastAsia="Book Antiqua" w:hAnsi="Book Antiqua" w:cs="Book Antiqua" w:hint="eastAsia"/>
          <w:color w:val="000000"/>
        </w:rPr>
        <w:t>[</w:t>
      </w:r>
      <w:r w:rsidR="00FB18A6" w:rsidRPr="00880FA7">
        <w:rPr>
          <w:rFonts w:ascii="Book Antiqua" w:eastAsia="Book Antiqua" w:hAnsi="Book Antiqua" w:cs="Book Antiqua"/>
          <w:color w:val="000000"/>
        </w:rPr>
        <w:t xml:space="preserve">hazard ratio </w:t>
      </w:r>
      <w:r w:rsidR="00FB18A6" w:rsidRPr="00880FA7">
        <w:rPr>
          <w:rFonts w:ascii="Book Antiqua" w:eastAsia="Book Antiqua" w:hAnsi="Book Antiqua" w:cs="Book Antiqua" w:hint="eastAsia"/>
          <w:color w:val="000000"/>
        </w:rPr>
        <w:t>(</w:t>
      </w:r>
      <w:r w:rsidR="009662B5" w:rsidRPr="00880FA7">
        <w:rPr>
          <w:rFonts w:ascii="Book Antiqua" w:eastAsia="Book Antiqua" w:hAnsi="Book Antiqua" w:cs="Book Antiqua"/>
          <w:color w:val="000000"/>
        </w:rPr>
        <w:t>HR</w:t>
      </w:r>
      <w:r w:rsidR="00FB18A6" w:rsidRPr="00880FA7">
        <w:rPr>
          <w:rFonts w:ascii="Book Antiqua" w:eastAsia="Book Antiqua" w:hAnsi="Book Antiqua" w:cs="Book Antiqua" w:hint="eastAsia"/>
          <w:color w:val="000000"/>
        </w:rPr>
        <w:t>):</w:t>
      </w:r>
      <w:r w:rsidR="009662B5" w:rsidRPr="00880FA7">
        <w:rPr>
          <w:rFonts w:ascii="Book Antiqua" w:eastAsia="Book Antiqua" w:hAnsi="Book Antiqua" w:cs="Book Antiqua"/>
          <w:color w:val="000000"/>
        </w:rPr>
        <w:t xml:space="preserve"> 0.55 </w:t>
      </w:r>
      <w:r w:rsidR="009662B5" w:rsidRPr="00880FA7">
        <w:rPr>
          <w:rFonts w:ascii="Book Antiqua" w:eastAsia="Book Antiqua" w:hAnsi="Book Antiqua" w:cs="Book Antiqua"/>
          <w:i/>
          <w:color w:val="000000"/>
        </w:rPr>
        <w:t>vs</w:t>
      </w:r>
      <w:r w:rsidR="009662B5" w:rsidRPr="00880FA7">
        <w:rPr>
          <w:rFonts w:ascii="Book Antiqua" w:eastAsia="Book Antiqua" w:hAnsi="Book Antiqua" w:cs="Book Antiqua"/>
          <w:color w:val="000000"/>
        </w:rPr>
        <w:t xml:space="preserve"> 0.84</w:t>
      </w:r>
      <w:r w:rsidR="00FB18A6" w:rsidRPr="00880FA7">
        <w:rPr>
          <w:rFonts w:ascii="Book Antiqua" w:eastAsia="Book Antiqua" w:hAnsi="Book Antiqua" w:cs="Book Antiqua" w:hint="eastAsia"/>
          <w:color w:val="000000"/>
        </w:rPr>
        <w:t>]</w:t>
      </w:r>
      <w:r w:rsidR="009662B5" w:rsidRPr="00880FA7">
        <w:rPr>
          <w:rFonts w:ascii="Book Antiqua" w:eastAsia="Book Antiqua" w:hAnsi="Book Antiqua" w:cs="Book Antiqua"/>
          <w:color w:val="000000"/>
        </w:rPr>
        <w:t>, with hepatitis C-associated illness (HR</w:t>
      </w:r>
      <w:r w:rsidR="00FB18A6" w:rsidRPr="00880FA7">
        <w:rPr>
          <w:rFonts w:ascii="Book Antiqua" w:hAnsi="Book Antiqua" w:cs="Book Antiqua" w:hint="eastAsia"/>
          <w:color w:val="000000"/>
          <w:lang w:eastAsia="zh-CN"/>
        </w:rPr>
        <w:t>:</w:t>
      </w:r>
      <w:r w:rsidR="009662B5" w:rsidRPr="00880FA7">
        <w:rPr>
          <w:rFonts w:ascii="Book Antiqua" w:eastAsia="Book Antiqua" w:hAnsi="Book Antiqua" w:cs="Book Antiqua"/>
          <w:color w:val="000000"/>
        </w:rPr>
        <w:t xml:space="preserve"> 0.47 </w:t>
      </w:r>
      <w:r w:rsidR="009662B5" w:rsidRPr="00880FA7">
        <w:rPr>
          <w:rFonts w:ascii="Book Antiqua" w:eastAsia="Book Antiqua" w:hAnsi="Book Antiqua" w:cs="Book Antiqua"/>
          <w:i/>
          <w:iCs/>
          <w:color w:val="000000"/>
        </w:rPr>
        <w:t>vs</w:t>
      </w:r>
      <w:r w:rsidR="009662B5" w:rsidRPr="00880FA7">
        <w:rPr>
          <w:rFonts w:ascii="Book Antiqua" w:eastAsia="Book Antiqua" w:hAnsi="Book Antiqua" w:cs="Book Antiqua"/>
          <w:color w:val="000000"/>
        </w:rPr>
        <w:t xml:space="preserve"> 0.81), and with a low neutrophil-to-lymphocyte ratio (HR</w:t>
      </w:r>
      <w:r w:rsidR="00FB18A6" w:rsidRPr="00880FA7">
        <w:rPr>
          <w:rFonts w:ascii="Book Antiqua" w:hAnsi="Book Antiqua" w:cs="Book Antiqua" w:hint="eastAsia"/>
          <w:color w:val="000000"/>
          <w:lang w:eastAsia="zh-CN"/>
        </w:rPr>
        <w:t>:</w:t>
      </w:r>
      <w:r w:rsidR="009662B5" w:rsidRPr="00880FA7">
        <w:rPr>
          <w:rFonts w:ascii="Book Antiqua" w:eastAsia="Book Antiqua" w:hAnsi="Book Antiqua" w:cs="Book Antiqua"/>
          <w:color w:val="000000"/>
        </w:rPr>
        <w:t xml:space="preserve"> 0.59 </w:t>
      </w:r>
      <w:r w:rsidR="009662B5" w:rsidRPr="00880FA7">
        <w:rPr>
          <w:rFonts w:ascii="Book Antiqua" w:eastAsia="Book Antiqua" w:hAnsi="Book Antiqua" w:cs="Book Antiqua"/>
          <w:i/>
          <w:iCs/>
          <w:color w:val="000000"/>
        </w:rPr>
        <w:t>vs</w:t>
      </w:r>
      <w:r w:rsidR="009662B5" w:rsidRPr="00880FA7">
        <w:rPr>
          <w:rFonts w:ascii="Book Antiqua" w:eastAsia="Book Antiqua" w:hAnsi="Book Antiqua" w:cs="Book Antiqua"/>
          <w:color w:val="000000"/>
        </w:rPr>
        <w:t xml:space="preserve"> 0.84)</w:t>
      </w:r>
      <w:r w:rsidR="00A92039" w:rsidRPr="00880FA7">
        <w:rPr>
          <w:rFonts w:ascii="Book Antiqua" w:eastAsia="Book Antiqua" w:hAnsi="Book Antiqua" w:cs="Book Antiqua"/>
          <w:color w:val="000000"/>
          <w:vertAlign w:val="superscript"/>
        </w:rPr>
        <w:t>[34]</w:t>
      </w:r>
      <w:r w:rsidR="00A3456B" w:rsidRPr="00880FA7">
        <w:rPr>
          <w:rFonts w:ascii="Book Antiqua" w:eastAsia="Book Antiqua" w:hAnsi="Book Antiqua" w:cs="Book Antiqua"/>
          <w:color w:val="000000"/>
        </w:rPr>
        <w:t xml:space="preserve"> (</w:t>
      </w:r>
      <w:r w:rsidR="00A3456B" w:rsidRPr="00880FA7">
        <w:rPr>
          <w:rFonts w:ascii="Book Antiqua" w:eastAsia="Book Antiqua" w:hAnsi="Book Antiqua" w:cs="Book Antiqua"/>
          <w:bCs/>
          <w:color w:val="000000"/>
        </w:rPr>
        <w:t>Table 2</w:t>
      </w:r>
      <w:r w:rsidR="00A3456B" w:rsidRPr="00880FA7">
        <w:rPr>
          <w:rFonts w:ascii="Book Antiqua" w:eastAsia="Book Antiqua" w:hAnsi="Book Antiqua" w:cs="Book Antiqua"/>
          <w:color w:val="000000"/>
        </w:rPr>
        <w:t>)</w:t>
      </w:r>
      <w:r w:rsidR="00A92039" w:rsidRPr="00880FA7">
        <w:rPr>
          <w:rFonts w:ascii="Book Antiqua" w:eastAsia="Book Antiqua" w:hAnsi="Book Antiqua" w:cs="Book Antiqua"/>
          <w:color w:val="000000"/>
        </w:rPr>
        <w:t>.</w:t>
      </w:r>
    </w:p>
    <w:p w14:paraId="3DDAD3DE" w14:textId="3276C3E1" w:rsidR="00A77B3E" w:rsidRPr="00880FA7" w:rsidRDefault="00C93CCA" w:rsidP="00FB18A6">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In a subset analysis of the SHARP trial, Bruix </w:t>
      </w:r>
      <w:r w:rsidRPr="00880FA7">
        <w:rPr>
          <w:rFonts w:ascii="Book Antiqua" w:eastAsia="Book Antiqua" w:hAnsi="Book Antiqua" w:cs="Book Antiqua"/>
          <w:i/>
          <w:iCs/>
          <w:color w:val="000000"/>
        </w:rPr>
        <w:t>et al</w:t>
      </w:r>
      <w:r w:rsidRPr="00880FA7">
        <w:rPr>
          <w:rFonts w:ascii="Book Antiqua" w:eastAsia="Book Antiqua" w:hAnsi="Book Antiqua" w:cs="Book Antiqua"/>
          <w:color w:val="000000"/>
          <w:vertAlign w:val="superscript"/>
        </w:rPr>
        <w:t>[35]</w:t>
      </w:r>
      <w:r w:rsidRPr="00880FA7">
        <w:rPr>
          <w:rFonts w:ascii="Book Antiqua" w:eastAsia="Book Antiqua" w:hAnsi="Book Antiqua" w:cs="Book Antiqua"/>
          <w:color w:val="000000"/>
        </w:rPr>
        <w:t xml:space="preserve"> looked at how the etiology of the illness, the tumor load, PS, the tumor stage, and past treatments affected survival, </w:t>
      </w:r>
      <w:r w:rsidR="00797B70" w:rsidRPr="00880FA7">
        <w:rPr>
          <w:rFonts w:ascii="Book Antiqua" w:eastAsia="Book Antiqua" w:hAnsi="Book Antiqua" w:cs="Book Antiqua"/>
          <w:color w:val="000000"/>
        </w:rPr>
        <w:t xml:space="preserve">disease control, </w:t>
      </w:r>
      <w:r w:rsidRPr="00880FA7">
        <w:rPr>
          <w:rFonts w:ascii="Book Antiqua" w:eastAsia="Book Antiqua" w:hAnsi="Book Antiqua" w:cs="Book Antiqua"/>
          <w:color w:val="000000"/>
        </w:rPr>
        <w:t>time to progression (TTP), and safety</w:t>
      </w:r>
      <w:r w:rsidR="00A92039" w:rsidRPr="00880FA7">
        <w:rPr>
          <w:rFonts w:ascii="Book Antiqua" w:eastAsia="Book Antiqua" w:hAnsi="Book Antiqua" w:cs="Book Antiqua"/>
          <w:color w:val="000000"/>
        </w:rPr>
        <w:t xml:space="preserve">. </w:t>
      </w:r>
      <w:r w:rsidR="00B06C35" w:rsidRPr="00880FA7">
        <w:rPr>
          <w:rFonts w:ascii="Book Antiqua" w:eastAsia="Book Antiqua" w:hAnsi="Book Antiqua" w:cs="Book Antiqua"/>
          <w:color w:val="000000"/>
        </w:rPr>
        <w:t>Compared to placebo, sorafenib treatment significantly enhanced survival and disease control regardless of the etiology, tumor load, PS, tumor stage, or previous therapy</w:t>
      </w:r>
      <w:r w:rsidR="00A92039" w:rsidRPr="00880FA7">
        <w:rPr>
          <w:rFonts w:ascii="Book Antiqua" w:eastAsia="Book Antiqua" w:hAnsi="Book Antiqua" w:cs="Book Antiqua"/>
          <w:color w:val="000000"/>
        </w:rPr>
        <w:t>. Except for individuals who were hepatitis B virus (HBV)</w:t>
      </w:r>
      <w:r w:rsidR="000A26D0" w:rsidRPr="00880FA7">
        <w:rPr>
          <w:rFonts w:ascii="Book Antiqua" w:eastAsia="Book Antiqua" w:hAnsi="Book Antiqua" w:cs="Book Antiqua"/>
          <w:color w:val="000000"/>
        </w:rPr>
        <w:t>-</w:t>
      </w:r>
      <w:r w:rsidR="00A92039" w:rsidRPr="00880FA7">
        <w:rPr>
          <w:rFonts w:ascii="Book Antiqua" w:eastAsia="Book Antiqua" w:hAnsi="Book Antiqua" w:cs="Book Antiqua"/>
          <w:color w:val="000000"/>
        </w:rPr>
        <w:t xml:space="preserve">positive, sorafenib also reliably reduced the median time to progression (MTP). </w:t>
      </w:r>
      <w:r w:rsidR="00FE17BE" w:rsidRPr="00880FA7">
        <w:rPr>
          <w:rFonts w:ascii="Book Antiqua" w:eastAsia="Book Antiqua" w:hAnsi="Book Antiqua" w:cs="Book Antiqua"/>
          <w:color w:val="000000"/>
        </w:rPr>
        <w:t>The relationship between the pre-study liver state and the effects of sorafenib on liver function were investigated in a second subgroup analysis of the SHARP trial data</w:t>
      </w:r>
      <w:r w:rsidR="00A92039" w:rsidRPr="00880FA7">
        <w:rPr>
          <w:rFonts w:ascii="Book Antiqua" w:eastAsia="Book Antiqua" w:hAnsi="Book Antiqua" w:cs="Book Antiqua"/>
          <w:color w:val="000000"/>
        </w:rPr>
        <w:t xml:space="preserve">. </w:t>
      </w:r>
      <w:r w:rsidR="00624E93" w:rsidRPr="00880FA7">
        <w:rPr>
          <w:rFonts w:ascii="Book Antiqua" w:eastAsia="Book Antiqua" w:hAnsi="Book Antiqua" w:cs="Book Antiqua"/>
          <w:color w:val="000000"/>
        </w:rPr>
        <w:t xml:space="preserve">Individuals with baseline transaminase, AFP, or bilirubin levels </w:t>
      </w:r>
      <w:r w:rsidR="00A36BFD" w:rsidRPr="00880FA7">
        <w:rPr>
          <w:rFonts w:ascii="Book Antiqua" w:eastAsia="Book Antiqua" w:hAnsi="Book Antiqua" w:cs="Book Antiqua"/>
          <w:color w:val="000000"/>
        </w:rPr>
        <w:t xml:space="preserve">elevation </w:t>
      </w:r>
      <w:r w:rsidR="00624E93" w:rsidRPr="00880FA7">
        <w:rPr>
          <w:rFonts w:ascii="Book Antiqua" w:eastAsia="Book Antiqua" w:hAnsi="Book Antiqua" w:cs="Book Antiqua"/>
          <w:color w:val="000000"/>
        </w:rPr>
        <w:t>showed shorter survival periods than those with normal baseline values, regardless of therapy</w:t>
      </w:r>
      <w:r w:rsidR="00A92039" w:rsidRPr="00880FA7">
        <w:rPr>
          <w:rFonts w:ascii="Book Antiqua" w:eastAsia="Book Antiqua" w:hAnsi="Book Antiqua" w:cs="Book Antiqua"/>
          <w:color w:val="000000"/>
        </w:rPr>
        <w:t>. Patients with normal or high liver markers experienced the same level of safety. The investigators came up with the conclusion that sorafenib was safe and efficient independent of the liver biomarkers present at baseline and that bilirubin levels, which are used to evaluate hepatic function, were consistent during sorafenib treatment. It should be highlighted that the majority of the trial participants had Child-Pugh class</w:t>
      </w:r>
      <w:r w:rsidR="008661E4"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A cirrhosis. Therefore</w:t>
      </w:r>
      <w:r w:rsidR="0036781F" w:rsidRPr="00880FA7">
        <w:rPr>
          <w:rFonts w:ascii="Book Antiqua" w:eastAsia="Book Antiqua" w:hAnsi="Book Antiqua" w:cs="Book Antiqua"/>
          <w:color w:val="000000"/>
        </w:rPr>
        <w:t>,</w:t>
      </w:r>
      <w:r w:rsidR="00A92039" w:rsidRPr="00880FA7">
        <w:rPr>
          <w:rFonts w:ascii="Book Antiqua" w:eastAsia="Book Antiqua" w:hAnsi="Book Antiqua" w:cs="Book Antiqua"/>
          <w:color w:val="000000"/>
        </w:rPr>
        <w:t xml:space="preserve"> individuals with more severe cases (Child-Pugh class B and C) should not extrapolate from these findings</w:t>
      </w:r>
      <w:r w:rsidR="00A92039" w:rsidRPr="00880FA7">
        <w:rPr>
          <w:rFonts w:ascii="Book Antiqua" w:eastAsia="Book Antiqua" w:hAnsi="Book Antiqua" w:cs="Book Antiqua"/>
          <w:color w:val="000000"/>
          <w:vertAlign w:val="superscript"/>
        </w:rPr>
        <w:t>[36]</w:t>
      </w:r>
      <w:r w:rsidR="00A92039" w:rsidRPr="00880FA7">
        <w:rPr>
          <w:rFonts w:ascii="Book Antiqua" w:eastAsia="Book Antiqua" w:hAnsi="Book Antiqua" w:cs="Book Antiqua"/>
          <w:color w:val="000000"/>
        </w:rPr>
        <w:t>.</w:t>
      </w:r>
    </w:p>
    <w:p w14:paraId="0EFEBDD9" w14:textId="77777777" w:rsidR="00A77B3E" w:rsidRPr="00880FA7" w:rsidRDefault="00A92039" w:rsidP="008661E4">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Sorafenib was also further</w:t>
      </w:r>
      <w:r w:rsidR="008661E4"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studied in two large prospective observational trials, GIDEON and INSIGHT. </w:t>
      </w:r>
      <w:r w:rsidR="00675E51" w:rsidRPr="00880FA7">
        <w:rPr>
          <w:rFonts w:ascii="Book Antiqua" w:eastAsia="Book Antiqua" w:hAnsi="Book Antiqua" w:cs="Book Antiqua"/>
          <w:color w:val="000000"/>
        </w:rPr>
        <w:t xml:space="preserve">The GIDEON research, or Global Investigation of Therapeutic </w:t>
      </w:r>
      <w:r w:rsidR="00675E51" w:rsidRPr="00880FA7">
        <w:rPr>
          <w:rFonts w:ascii="Book Antiqua" w:eastAsia="Book Antiqua" w:hAnsi="Book Antiqua" w:cs="Book Antiqua"/>
          <w:color w:val="000000"/>
        </w:rPr>
        <w:lastRenderedPageBreak/>
        <w:t xml:space="preserve">DEcisions in </w:t>
      </w:r>
      <w:r w:rsidR="00661F57" w:rsidRPr="00880FA7">
        <w:rPr>
          <w:rFonts w:ascii="Book Antiqua" w:hAnsi="Book Antiqua" w:cs="Book Antiqua" w:hint="eastAsia"/>
          <w:color w:val="000000"/>
          <w:lang w:eastAsia="zh-CN"/>
        </w:rPr>
        <w:t>HCC</w:t>
      </w:r>
      <w:r w:rsidR="00675E51" w:rsidRPr="00880FA7">
        <w:rPr>
          <w:rFonts w:ascii="Book Antiqua" w:eastAsia="Book Antiqua" w:hAnsi="Book Antiqua" w:cs="Book Antiqua"/>
          <w:color w:val="000000"/>
        </w:rPr>
        <w:t xml:space="preserve"> and </w:t>
      </w:r>
      <w:r w:rsidR="00434F14" w:rsidRPr="00880FA7">
        <w:rPr>
          <w:rFonts w:ascii="Book Antiqua" w:hAnsi="Book Antiqua" w:cs="Book Antiqua" w:hint="eastAsia"/>
          <w:color w:val="000000"/>
          <w:lang w:eastAsia="zh-CN"/>
        </w:rPr>
        <w:t>o</w:t>
      </w:r>
      <w:r w:rsidR="00675E51" w:rsidRPr="00880FA7">
        <w:rPr>
          <w:rFonts w:ascii="Book Antiqua" w:eastAsia="Book Antiqua" w:hAnsi="Book Antiqua" w:cs="Book Antiqua"/>
          <w:color w:val="000000"/>
        </w:rPr>
        <w:t>f its Treatment with Sorafenib, examined the safety and tolerability of sorafenib in patients with advanced HCC in actual clinical settings</w:t>
      </w:r>
      <w:r w:rsidRPr="00880FA7">
        <w:rPr>
          <w:rFonts w:ascii="Book Antiqua" w:eastAsia="Book Antiqua" w:hAnsi="Book Antiqua" w:cs="Book Antiqua"/>
          <w:color w:val="000000"/>
        </w:rPr>
        <w:t xml:space="preserve">. All treatment choices in this study were made by the patient's attending physician. </w:t>
      </w:r>
      <w:r w:rsidR="00675E51" w:rsidRPr="00880FA7">
        <w:rPr>
          <w:rFonts w:ascii="Book Antiqua" w:eastAsia="Book Antiqua" w:hAnsi="Book Antiqua" w:cs="Book Antiqua"/>
          <w:color w:val="000000"/>
        </w:rPr>
        <w:t xml:space="preserve">When </w:t>
      </w:r>
      <w:r w:rsidR="00E568D5" w:rsidRPr="00880FA7">
        <w:rPr>
          <w:rFonts w:ascii="Book Antiqua" w:eastAsia="Book Antiqua" w:hAnsi="Book Antiqua" w:cs="Book Antiqua"/>
          <w:color w:val="000000"/>
        </w:rPr>
        <w:t>therapy first started, out of 2</w:t>
      </w:r>
      <w:r w:rsidR="00675E51" w:rsidRPr="00880FA7">
        <w:rPr>
          <w:rFonts w:ascii="Book Antiqua" w:eastAsia="Book Antiqua" w:hAnsi="Book Antiqua" w:cs="Book Antiqua"/>
          <w:color w:val="000000"/>
        </w:rPr>
        <w:t>708 people, 72.7% were categorized as Child-Pugh class A, 24.5% as class B, and 2.7% as class C</w:t>
      </w:r>
      <w:r w:rsidRPr="00880FA7">
        <w:rPr>
          <w:rFonts w:ascii="Book Antiqua" w:eastAsia="Book Antiqua" w:hAnsi="Book Antiqua" w:cs="Book Antiqua"/>
          <w:color w:val="000000"/>
        </w:rPr>
        <w:t xml:space="preserve">. </w:t>
      </w:r>
      <w:r w:rsidR="004F4ED7" w:rsidRPr="00880FA7">
        <w:rPr>
          <w:rFonts w:ascii="Book Antiqua" w:eastAsia="Book Antiqua" w:hAnsi="Book Antiqua" w:cs="Book Antiqua"/>
          <w:color w:val="000000"/>
        </w:rPr>
        <w:t xml:space="preserve">Sorafenib's starting dosage was 400 mg twice daily. Child-Pugh class A, B, and C patients experienced </w:t>
      </w:r>
      <w:r w:rsidR="001F351B" w:rsidRPr="00880FA7">
        <w:rPr>
          <w:rFonts w:ascii="Book Antiqua" w:eastAsia="Book Antiqua" w:hAnsi="Book Antiqua" w:cs="Book Antiqua"/>
          <w:color w:val="000000"/>
        </w:rPr>
        <w:t>adverse events (AEs)</w:t>
      </w:r>
      <w:r w:rsidR="004F4ED7" w:rsidRPr="00880FA7">
        <w:rPr>
          <w:rFonts w:ascii="Book Antiqua" w:eastAsia="Book Antiqua" w:hAnsi="Book Antiqua" w:cs="Book Antiqua"/>
          <w:color w:val="000000"/>
        </w:rPr>
        <w:t xml:space="preserve"> at rates of 69%, 64%, and 39%, respectively, whereas 9%, 14%, and 3% of patients experienced serious medication responses</w:t>
      </w:r>
      <w:r w:rsidRPr="00880FA7">
        <w:rPr>
          <w:rFonts w:ascii="Book Antiqua" w:eastAsia="Book Antiqua" w:hAnsi="Book Antiqua" w:cs="Book Antiqua"/>
          <w:color w:val="000000"/>
        </w:rPr>
        <w:t xml:space="preserve">. </w:t>
      </w:r>
      <w:r w:rsidR="00074296" w:rsidRPr="00880FA7">
        <w:rPr>
          <w:rFonts w:ascii="Book Antiqua" w:eastAsia="Book Antiqua" w:hAnsi="Book Antiqua" w:cs="Book Antiqua"/>
          <w:color w:val="000000"/>
        </w:rPr>
        <w:t xml:space="preserve">The most frequent </w:t>
      </w:r>
      <w:r w:rsidR="001F351B" w:rsidRPr="00880FA7">
        <w:rPr>
          <w:rFonts w:ascii="Book Antiqua" w:eastAsia="Book Antiqua" w:hAnsi="Book Antiqua" w:cs="Book Antiqua"/>
          <w:color w:val="000000"/>
        </w:rPr>
        <w:t>AEs</w:t>
      </w:r>
      <w:r w:rsidR="00074296" w:rsidRPr="00880FA7">
        <w:rPr>
          <w:rFonts w:ascii="Book Antiqua" w:eastAsia="Book Antiqua" w:hAnsi="Book Antiqua" w:cs="Book Antiqua"/>
          <w:color w:val="000000"/>
        </w:rPr>
        <w:t xml:space="preserve"> were </w:t>
      </w:r>
      <w:r w:rsidR="00A63AF6" w:rsidRPr="00880FA7">
        <w:rPr>
          <w:rFonts w:ascii="Book Antiqua" w:eastAsia="Book Antiqua" w:hAnsi="Book Antiqua" w:cs="Book Antiqua"/>
          <w:color w:val="000000"/>
        </w:rPr>
        <w:t xml:space="preserve">HFS (32%, 17%, and 5%), </w:t>
      </w:r>
      <w:r w:rsidR="00074296" w:rsidRPr="00880FA7">
        <w:rPr>
          <w:rFonts w:ascii="Book Antiqua" w:eastAsia="Book Antiqua" w:hAnsi="Book Antiqua" w:cs="Book Antiqua"/>
          <w:color w:val="000000"/>
        </w:rPr>
        <w:t>diarrhea (28%, 26%, and 11%), and exhaustion (16%, 14%, and 14%) in patients with Child-Pugh classes A, B, and C scores</w:t>
      </w:r>
      <w:r w:rsidRPr="00880FA7">
        <w:rPr>
          <w:rFonts w:ascii="Book Antiqua" w:eastAsia="Book Antiqua" w:hAnsi="Book Antiqua" w:cs="Book Antiqua"/>
          <w:color w:val="000000"/>
        </w:rPr>
        <w:t xml:space="preserve">. </w:t>
      </w:r>
      <w:r w:rsidR="00074296" w:rsidRPr="00880FA7">
        <w:rPr>
          <w:rFonts w:ascii="Book Antiqua" w:eastAsia="Book Antiqua" w:hAnsi="Book Antiqua" w:cs="Book Antiqua"/>
          <w:color w:val="000000"/>
        </w:rPr>
        <w:t>Patients in Child-Pugh class A had a longer median OS</w:t>
      </w:r>
      <w:r w:rsidR="00E568D5" w:rsidRPr="00880FA7">
        <w:rPr>
          <w:rFonts w:ascii="Book Antiqua" w:hAnsi="Book Antiqua" w:cs="Book Antiqua" w:hint="eastAsia"/>
          <w:color w:val="000000"/>
          <w:lang w:eastAsia="zh-CN"/>
        </w:rPr>
        <w:t xml:space="preserve"> </w:t>
      </w:r>
      <w:r w:rsidR="00074296" w:rsidRPr="00880FA7">
        <w:rPr>
          <w:rFonts w:ascii="Book Antiqua" w:eastAsia="Book Antiqua" w:hAnsi="Book Antiqua" w:cs="Book Antiqua"/>
          <w:color w:val="000000"/>
        </w:rPr>
        <w:t>(13.6 mo) than those in Child-Pugh class B or C (5.2 mo) (2.6 mo)</w:t>
      </w:r>
      <w:r w:rsidRPr="00880FA7">
        <w:rPr>
          <w:rFonts w:ascii="Book Antiqua" w:eastAsia="Book Antiqua" w:hAnsi="Book Antiqua" w:cs="Book Antiqua"/>
          <w:color w:val="000000"/>
        </w:rPr>
        <w:t xml:space="preserve">. The GIDEON study showed that the most prevalent drug-related side effects, as well as sorafenib tolerance, were comparable between Child-Pugh class A and Child-Pugh class B patients. </w:t>
      </w:r>
      <w:r w:rsidR="00D02EA2" w:rsidRPr="00880FA7">
        <w:rPr>
          <w:rFonts w:ascii="Book Antiqua" w:eastAsia="Book Antiqua" w:hAnsi="Book Antiqua" w:cs="Book Antiqua"/>
          <w:color w:val="000000"/>
        </w:rPr>
        <w:t>They discovered that some individuals with Child-Pugh class B cirrhosis might receive sorafenib safely</w:t>
      </w:r>
      <w:r w:rsidRPr="00880FA7">
        <w:rPr>
          <w:rFonts w:ascii="Book Antiqua" w:eastAsia="Book Antiqua" w:hAnsi="Book Antiqua" w:cs="Book Antiqua"/>
          <w:color w:val="000000"/>
        </w:rPr>
        <w:t>. Because of the variety of individuals with Child-Pugh class B conditions, patients should be carefully selected for sorafenib treatment based on a thorough evaluation of their hepatic condition</w:t>
      </w:r>
      <w:r w:rsidRPr="00880FA7">
        <w:rPr>
          <w:rFonts w:ascii="Book Antiqua" w:eastAsia="Book Antiqua" w:hAnsi="Book Antiqua" w:cs="Book Antiqua"/>
          <w:color w:val="000000"/>
          <w:vertAlign w:val="superscript"/>
        </w:rPr>
        <w:t>[37]</w:t>
      </w:r>
    </w:p>
    <w:p w14:paraId="5DC5EB46" w14:textId="77777777" w:rsidR="00A77B3E" w:rsidRPr="00880FA7" w:rsidRDefault="00A92039" w:rsidP="00E568D5">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The INSIGHT study was a prospective multicenter trial that recruited 788 uHCC patients who were treated with sorafenib. The main objective was to assess sorafenib's safety and efficacy, especially TTP and OS. Sorafenib was generally given at a dosage of 800 mg daily. </w:t>
      </w:r>
      <w:r w:rsidR="00DC3681" w:rsidRPr="00880FA7">
        <w:rPr>
          <w:rFonts w:ascii="Book Antiqua" w:eastAsia="Book Antiqua" w:hAnsi="Book Antiqua" w:cs="Book Antiqua"/>
          <w:color w:val="000000"/>
        </w:rPr>
        <w:t>The prevalence of cirrhosis among the patients was 56.7% Child-Pugh class A, 23.3% Child-Pugh class B, and 3.3% Child-Pugh class C. Patients in Child-Pugh classes A, B, and C experienced an OS of 17.6, 8.1, and 5.6 mo, respectively (</w:t>
      </w:r>
      <w:r w:rsidR="00DC3681" w:rsidRPr="00880FA7">
        <w:rPr>
          <w:rFonts w:ascii="Book Antiqua" w:eastAsia="Book Antiqua" w:hAnsi="Book Antiqua" w:cs="Book Antiqua"/>
          <w:i/>
          <w:iCs/>
          <w:color w:val="000000"/>
        </w:rPr>
        <w:t xml:space="preserve">P </w:t>
      </w:r>
      <w:r w:rsidR="00FF2863" w:rsidRPr="00880FA7">
        <w:rPr>
          <w:rFonts w:ascii="Book Antiqua" w:eastAsia="Book Antiqua" w:hAnsi="Book Antiqua" w:cs="Book Antiqua"/>
          <w:color w:val="000000"/>
        </w:rPr>
        <w:t xml:space="preserve">&lt; </w:t>
      </w:r>
      <w:r w:rsidR="00DC3681" w:rsidRPr="00880FA7">
        <w:rPr>
          <w:rFonts w:ascii="Book Antiqua" w:eastAsia="Book Antiqua" w:hAnsi="Book Antiqua" w:cs="Book Antiqua"/>
          <w:color w:val="000000"/>
        </w:rPr>
        <w:t>0.01)</w:t>
      </w:r>
      <w:r w:rsidRPr="00880FA7">
        <w:rPr>
          <w:rFonts w:ascii="Book Antiqua" w:eastAsia="Book Antiqua" w:hAnsi="Book Antiqua" w:cs="Book Antiqua"/>
          <w:color w:val="000000"/>
        </w:rPr>
        <w:t xml:space="preserve">. Sorafenib-related </w:t>
      </w:r>
      <w:r w:rsidR="001F351B" w:rsidRPr="00880FA7">
        <w:rPr>
          <w:rFonts w:ascii="Book Antiqua" w:eastAsia="Book Antiqua" w:hAnsi="Book Antiqua" w:cs="Book Antiqua"/>
          <w:color w:val="000000"/>
        </w:rPr>
        <w:t>AEs</w:t>
      </w:r>
      <w:r w:rsidRPr="00880FA7">
        <w:rPr>
          <w:rFonts w:ascii="Book Antiqua" w:eastAsia="Book Antiqua" w:hAnsi="Book Antiqua" w:cs="Book Antiqua"/>
          <w:color w:val="000000"/>
        </w:rPr>
        <w:t xml:space="preserve"> occurred in 64.9% of patients and were regarded as severe in 9.8%. </w:t>
      </w:r>
      <w:r w:rsidR="004578EB" w:rsidRPr="00880FA7">
        <w:rPr>
          <w:rFonts w:ascii="Book Antiqua" w:eastAsia="Book Antiqua" w:hAnsi="Book Antiqua" w:cs="Book Antiqua"/>
          <w:color w:val="000000"/>
        </w:rPr>
        <w:t>The most frequent serious adverse medication event (5.2%) was diarrhea</w:t>
      </w:r>
      <w:r w:rsidRPr="00880FA7">
        <w:rPr>
          <w:rFonts w:ascii="Book Antiqua" w:eastAsia="Book Antiqua" w:hAnsi="Book Antiqua" w:cs="Book Antiqua"/>
          <w:color w:val="000000"/>
        </w:rPr>
        <w:t xml:space="preserve">. </w:t>
      </w:r>
      <w:r w:rsidR="004578EB" w:rsidRPr="00880FA7">
        <w:rPr>
          <w:rFonts w:ascii="Book Antiqua" w:eastAsia="Book Antiqua" w:hAnsi="Book Antiqua" w:cs="Book Antiqua"/>
          <w:color w:val="000000"/>
        </w:rPr>
        <w:t>HFS (16.5%), nausea (8.0%), and exhaustion (7.9%) were other notable medication side effects</w:t>
      </w:r>
      <w:r w:rsidRPr="00880FA7">
        <w:rPr>
          <w:rFonts w:ascii="Book Antiqua" w:eastAsia="Book Antiqua" w:hAnsi="Book Antiqua" w:cs="Book Antiqua"/>
          <w:color w:val="000000"/>
        </w:rPr>
        <w:t xml:space="preserve">. Both MTP and survival decreased dramatically when Child-Pugh scores increased. </w:t>
      </w:r>
      <w:r w:rsidR="0091265F" w:rsidRPr="00880FA7">
        <w:rPr>
          <w:rFonts w:ascii="Book Antiqua" w:eastAsia="Book Antiqua" w:hAnsi="Book Antiqua" w:cs="Book Antiqua"/>
          <w:color w:val="000000"/>
        </w:rPr>
        <w:t>Patients having a Child-Pugh score of 7 and those with a score of 8 had comparable MTP and survival rates</w:t>
      </w:r>
      <w:r w:rsidRPr="00880FA7">
        <w:rPr>
          <w:rFonts w:ascii="Book Antiqua" w:eastAsia="Book Antiqua" w:hAnsi="Book Antiqua" w:cs="Book Antiqua"/>
          <w:color w:val="000000"/>
        </w:rPr>
        <w:t xml:space="preserve">. </w:t>
      </w:r>
      <w:r w:rsidR="008E5E9D" w:rsidRPr="00880FA7">
        <w:rPr>
          <w:rFonts w:ascii="Book Antiqua" w:eastAsia="Book Antiqua" w:hAnsi="Book Antiqua" w:cs="Book Antiqua"/>
          <w:color w:val="000000"/>
        </w:rPr>
        <w:lastRenderedPageBreak/>
        <w:t>Patients with a 9 on the Child-Pugh scale had substantially reduced MTP and survival (</w:t>
      </w:r>
      <w:r w:rsidR="008E5E9D" w:rsidRPr="00880FA7">
        <w:rPr>
          <w:rFonts w:ascii="Book Antiqua" w:eastAsia="Book Antiqua" w:hAnsi="Book Antiqua" w:cs="Book Antiqua"/>
          <w:i/>
          <w:iCs/>
          <w:color w:val="000000"/>
        </w:rPr>
        <w:t>P</w:t>
      </w:r>
      <w:r w:rsidR="008E5E9D" w:rsidRPr="00880FA7">
        <w:rPr>
          <w:rFonts w:ascii="Book Antiqua" w:eastAsia="Book Antiqua" w:hAnsi="Book Antiqua" w:cs="Book Antiqua"/>
          <w:color w:val="000000"/>
        </w:rPr>
        <w:t xml:space="preserve"> &lt; 0.01 and </w:t>
      </w:r>
      <w:r w:rsidR="008E5E9D" w:rsidRPr="00880FA7">
        <w:rPr>
          <w:rFonts w:ascii="Book Antiqua" w:eastAsia="Book Antiqua" w:hAnsi="Book Antiqua" w:cs="Book Antiqua"/>
          <w:i/>
          <w:iCs/>
          <w:color w:val="000000"/>
        </w:rPr>
        <w:t>P</w:t>
      </w:r>
      <w:r w:rsidR="008E5E9D" w:rsidRPr="00880FA7">
        <w:rPr>
          <w:rFonts w:ascii="Book Antiqua" w:eastAsia="Book Antiqua" w:hAnsi="Book Antiqua" w:cs="Book Antiqua"/>
          <w:color w:val="000000"/>
        </w:rPr>
        <w:t xml:space="preserve"> = 0.003, respectively)</w:t>
      </w:r>
      <w:r w:rsidRPr="00880FA7">
        <w:rPr>
          <w:rFonts w:ascii="Book Antiqua" w:eastAsia="Book Antiqua" w:hAnsi="Book Antiqua" w:cs="Book Antiqua"/>
          <w:color w:val="000000"/>
          <w:vertAlign w:val="superscript"/>
        </w:rPr>
        <w:t>[38]</w:t>
      </w:r>
      <w:r w:rsidRPr="00880FA7">
        <w:rPr>
          <w:rFonts w:ascii="Book Antiqua" w:eastAsia="Book Antiqua" w:hAnsi="Book Antiqua" w:cs="Book Antiqua"/>
          <w:color w:val="000000"/>
        </w:rPr>
        <w:t>.</w:t>
      </w:r>
    </w:p>
    <w:p w14:paraId="0CDFB42D" w14:textId="30467A7F" w:rsidR="00A77B3E" w:rsidRPr="00880FA7" w:rsidRDefault="00A92039" w:rsidP="00E568D5">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McNamara </w:t>
      </w:r>
      <w:r w:rsidRPr="00880FA7">
        <w:rPr>
          <w:rFonts w:ascii="Book Antiqua" w:eastAsia="Book Antiqua" w:hAnsi="Book Antiqua" w:cs="Book Antiqua"/>
          <w:i/>
          <w:iCs/>
          <w:color w:val="000000"/>
        </w:rPr>
        <w:t>et al</w:t>
      </w:r>
      <w:r w:rsidRPr="00880FA7">
        <w:rPr>
          <w:rFonts w:ascii="Book Antiqua" w:eastAsia="Book Antiqua" w:hAnsi="Book Antiqua" w:cs="Book Antiqua"/>
          <w:color w:val="000000"/>
          <w:vertAlign w:val="superscript"/>
        </w:rPr>
        <w:t>[39]</w:t>
      </w:r>
      <w:r w:rsidRPr="00880FA7">
        <w:rPr>
          <w:rFonts w:ascii="Book Antiqua" w:eastAsia="Book Antiqua" w:hAnsi="Book Antiqua" w:cs="Book Antiqua"/>
          <w:color w:val="000000"/>
        </w:rPr>
        <w:t xml:space="preserve"> performed a meta-analysis of sorafenib therapy in patients with Child-Pugh class B cirrh</w:t>
      </w:r>
      <w:r w:rsidR="00E568D5" w:rsidRPr="00880FA7">
        <w:rPr>
          <w:rFonts w:ascii="Book Antiqua" w:eastAsia="Book Antiqua" w:hAnsi="Book Antiqua" w:cs="Book Antiqua"/>
          <w:color w:val="000000"/>
        </w:rPr>
        <w:t>osis, including 30 trials and 8</w:t>
      </w:r>
      <w:r w:rsidRPr="00880FA7">
        <w:rPr>
          <w:rFonts w:ascii="Book Antiqua" w:eastAsia="Book Antiqua" w:hAnsi="Book Antiqua" w:cs="Book Antiqua"/>
          <w:color w:val="000000"/>
        </w:rPr>
        <w:t>678 participants.</w:t>
      </w:r>
      <w:r w:rsidR="00ED5E16" w:rsidRPr="00880FA7">
        <w:rPr>
          <w:rFonts w:ascii="Book Antiqua" w:eastAsia="Book Antiqua" w:hAnsi="Book Antiqua" w:cs="Book Antiqua"/>
          <w:color w:val="000000"/>
        </w:rPr>
        <w:t xml:space="preserve"> </w:t>
      </w:r>
      <w:r w:rsidR="00F1463C" w:rsidRPr="00880FA7">
        <w:rPr>
          <w:rFonts w:ascii="Book Antiqua" w:eastAsia="Book Antiqua" w:hAnsi="Book Antiqua" w:cs="Book Antiqua"/>
          <w:color w:val="000000"/>
        </w:rPr>
        <w:t>M</w:t>
      </w:r>
      <w:r w:rsidR="00ED5E16" w:rsidRPr="00880FA7">
        <w:rPr>
          <w:rFonts w:ascii="Book Antiqua" w:eastAsia="Book Antiqua" w:hAnsi="Book Antiqua" w:cs="Book Antiqua"/>
          <w:color w:val="000000"/>
        </w:rPr>
        <w:t>ost of the investigations were retrospective or prospective single-institution studies. Child-Pugh class A participants had an objective response rate of 4.6%, whereas Child-Pugh class B participants had an objective response rate of 4.2%. The distribution of Child-Pugh status was 79% Child-Pugh class A and 19% Child-Pugh class B</w:t>
      </w:r>
      <w:r w:rsidRPr="00880FA7">
        <w:rPr>
          <w:rFonts w:ascii="Book Antiqua" w:eastAsia="Book Antiqua" w:hAnsi="Book Antiqua" w:cs="Book Antiqua"/>
          <w:color w:val="000000"/>
        </w:rPr>
        <w:t>. The assessed median OS</w:t>
      </w:r>
      <w:r w:rsidR="00E568D5"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for Child-Pugh class A patients was 8.8 </w:t>
      </w:r>
      <w:r w:rsidR="00C72E12"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and 4.6 </w:t>
      </w:r>
      <w:r w:rsidR="00C72E12"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for Child-Pugh class B patients. There was an inverse relationship between OS</w:t>
      </w:r>
      <w:r w:rsidR="00E568D5"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and Child-Pugh class B hepatic</w:t>
      </w:r>
      <w:r w:rsidR="00E568D5"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dysfunction. Child-Pugh class B patients had considerably lower survival, according to four studies that compared patients with Child-Pugh classes A and B using several variables (</w:t>
      </w:r>
      <w:r w:rsidR="00E568D5" w:rsidRPr="00880FA7">
        <w:rPr>
          <w:rFonts w:ascii="Book Antiqua" w:hAnsi="Book Antiqua" w:cs="Book Antiqua" w:hint="eastAsia"/>
          <w:i/>
          <w:color w:val="000000"/>
          <w:lang w:eastAsia="zh-CN"/>
        </w:rPr>
        <w:t>P</w:t>
      </w:r>
      <w:r w:rsidRPr="00880FA7">
        <w:rPr>
          <w:rFonts w:ascii="Book Antiqua" w:eastAsia="Book Antiqua" w:hAnsi="Book Antiqua" w:cs="Book Antiqua"/>
          <w:color w:val="000000"/>
        </w:rPr>
        <w:t xml:space="preserve"> &lt; 0.001). In 35% of individuals with Child-Pugh class A or B, there was grade 3 or 4</w:t>
      </w:r>
      <w:r w:rsidR="00CF3BCE" w:rsidRPr="00880FA7">
        <w:rPr>
          <w:rFonts w:ascii="Book Antiqua" w:eastAsia="Book Antiqua" w:hAnsi="Book Antiqua" w:cs="Book Antiqua"/>
          <w:color w:val="000000"/>
        </w:rPr>
        <w:t xml:space="preserve"> </w:t>
      </w:r>
      <w:r w:rsidR="00914E4C" w:rsidRPr="00880FA7">
        <w:rPr>
          <w:rFonts w:ascii="Book Antiqua" w:eastAsia="Book Antiqua" w:hAnsi="Book Antiqua" w:cs="Book Antiqua"/>
          <w:color w:val="000000"/>
        </w:rPr>
        <w:t>toxicities</w:t>
      </w:r>
      <w:r w:rsidRPr="00880FA7">
        <w:rPr>
          <w:rFonts w:ascii="Book Antiqua" w:eastAsia="Book Antiqua" w:hAnsi="Book Antiqua" w:cs="Book Antiqua"/>
          <w:color w:val="000000"/>
        </w:rPr>
        <w:t xml:space="preserve">. The rates of treatment termination without progress and treatment-related mortality were comparable. </w:t>
      </w:r>
      <w:r w:rsidR="00C3357B" w:rsidRPr="00880FA7">
        <w:rPr>
          <w:rFonts w:ascii="Book Antiqua" w:eastAsia="Book Antiqua" w:hAnsi="Book Antiqua" w:cs="Book Antiqua"/>
          <w:color w:val="000000"/>
        </w:rPr>
        <w:t>The study's findings revealed that while sorafenib response, safety, and tolerability were unaffected by the Child-Pugh score, survival was strongly impacted by these factors</w:t>
      </w:r>
      <w:r w:rsidRPr="00880FA7">
        <w:rPr>
          <w:rFonts w:ascii="Book Antiqua" w:eastAsia="Book Antiqua" w:hAnsi="Book Antiqua" w:cs="Book Antiqua"/>
          <w:color w:val="000000"/>
        </w:rPr>
        <w:t xml:space="preserve">. </w:t>
      </w:r>
      <w:r w:rsidR="00FC1CC2" w:rsidRPr="00880FA7">
        <w:rPr>
          <w:rFonts w:ascii="Book Antiqua" w:eastAsia="Book Antiqua" w:hAnsi="Book Antiqua" w:cs="Book Antiqua"/>
          <w:color w:val="000000"/>
        </w:rPr>
        <w:t>No research involving patients with Child-Pugh class B cirrhosis were controlled trials, despite the large number of such studies that have been done</w:t>
      </w:r>
      <w:r w:rsidRPr="00880FA7">
        <w:rPr>
          <w:rFonts w:ascii="Book Antiqua" w:eastAsia="Book Antiqua" w:hAnsi="Book Antiqua" w:cs="Book Antiqua"/>
          <w:color w:val="000000"/>
        </w:rPr>
        <w:t xml:space="preserve">, and the information that is now available is insufficient to draw firm conclusions on the use of sorafenib in such individuals. </w:t>
      </w:r>
      <w:r w:rsidR="00196620" w:rsidRPr="00880FA7">
        <w:rPr>
          <w:rFonts w:ascii="Book Antiqua" w:eastAsia="Book Antiqua" w:hAnsi="Book Antiqua" w:cs="Book Antiqua"/>
          <w:color w:val="000000"/>
        </w:rPr>
        <w:t>This meta-analysis proved that certain individuals with Child-Pugh class B cirrhosis can get sorafenib safely</w:t>
      </w:r>
      <w:r w:rsidRPr="00880FA7">
        <w:rPr>
          <w:rFonts w:ascii="Book Antiqua" w:eastAsia="Book Antiqua" w:hAnsi="Book Antiqua" w:cs="Book Antiqua"/>
          <w:color w:val="000000"/>
        </w:rPr>
        <w:t>. Patients with Child-Pugh scores of 7 or less seem to be the safest group to treat with</w:t>
      </w:r>
      <w:r w:rsidR="00E568D5"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sorafenib,</w:t>
      </w:r>
      <w:r w:rsidR="00E568D5"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and patients with Child-Pugh scores </w:t>
      </w:r>
      <w:r w:rsidR="00E568D5" w:rsidRPr="00880FA7">
        <w:rPr>
          <w:rFonts w:ascii="Book Antiqua" w:eastAsia="Book Antiqua" w:hAnsi="Book Antiqua" w:cs="Book Antiqua"/>
          <w:color w:val="000000"/>
        </w:rPr>
        <w:t>≥</w:t>
      </w:r>
      <w:r w:rsidR="00E568D5"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8 should be cautioned. Selected Child-Pugh class B patients may benefit from sorafenib even if Child-Pugh class A patients have much higher survival rates than Child-Pugh class B patients.</w:t>
      </w:r>
    </w:p>
    <w:p w14:paraId="7D0FCA5B" w14:textId="222B2252" w:rsidR="00793C29" w:rsidRPr="00880FA7" w:rsidRDefault="00A92039" w:rsidP="00E568D5">
      <w:pPr>
        <w:spacing w:line="360" w:lineRule="auto"/>
        <w:ind w:firstLineChars="200" w:firstLine="480"/>
        <w:jc w:val="both"/>
        <w:rPr>
          <w:rFonts w:ascii="Book Antiqua" w:hAnsi="Book Antiqua" w:cs="Book Antiqua"/>
          <w:color w:val="000000"/>
          <w:lang w:eastAsia="zh-CN"/>
        </w:rPr>
      </w:pPr>
      <w:r w:rsidRPr="00880FA7">
        <w:rPr>
          <w:rFonts w:ascii="Book Antiqua" w:eastAsia="Book Antiqua" w:hAnsi="Book Antiqua" w:cs="Book Antiqua"/>
          <w:color w:val="000000"/>
        </w:rPr>
        <w:t>Other MTKIs such as brivanib, sunitinib, linifanib, erlotinib, and everolimus were also investigated, but none of them demonstrated superiority over</w:t>
      </w:r>
      <w:r w:rsidR="00E568D5"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sorafenib</w:t>
      </w:r>
      <w:r w:rsidRPr="00880FA7">
        <w:rPr>
          <w:rFonts w:ascii="Book Antiqua" w:eastAsia="Book Antiqua" w:hAnsi="Book Antiqua" w:cs="Book Antiqua"/>
          <w:color w:val="000000"/>
          <w:vertAlign w:val="superscript"/>
        </w:rPr>
        <w:t>[40-44]</w:t>
      </w:r>
      <w:r w:rsidRPr="00880FA7">
        <w:rPr>
          <w:rFonts w:ascii="Book Antiqua" w:eastAsia="Book Antiqua" w:hAnsi="Book Antiqua" w:cs="Book Antiqua"/>
          <w:color w:val="000000"/>
        </w:rPr>
        <w:t xml:space="preserve">. </w:t>
      </w:r>
      <w:r w:rsidR="00A8199B" w:rsidRPr="00880FA7">
        <w:rPr>
          <w:rFonts w:ascii="Book Antiqua" w:eastAsia="Book Antiqua" w:hAnsi="Book Antiqua" w:cs="Book Antiqua"/>
          <w:color w:val="000000"/>
        </w:rPr>
        <w:t>Prior to regorafenib's approval for second-line therapy in April 2017 and</w:t>
      </w:r>
      <w:r w:rsidR="00133D26" w:rsidRPr="00880FA7">
        <w:rPr>
          <w:rFonts w:ascii="Book Antiqua" w:eastAsia="Book Antiqua" w:hAnsi="Book Antiqua" w:cs="Book Antiqua"/>
          <w:color w:val="000000"/>
        </w:rPr>
        <w:t xml:space="preserve"> l</w:t>
      </w:r>
      <w:r w:rsidR="00914E4C" w:rsidRPr="00880FA7">
        <w:rPr>
          <w:rFonts w:ascii="Book Antiqua" w:eastAsia="Book Antiqua" w:hAnsi="Book Antiqua" w:cs="Book Antiqua"/>
          <w:color w:val="000000"/>
        </w:rPr>
        <w:t>envatinib</w:t>
      </w:r>
      <w:r w:rsidR="00133D26" w:rsidRPr="00880FA7">
        <w:rPr>
          <w:rFonts w:ascii="Book Antiqua" w:eastAsia="Book Antiqua" w:hAnsi="Book Antiqua" w:cs="Book Antiqua"/>
          <w:color w:val="000000"/>
        </w:rPr>
        <w:t>’s</w:t>
      </w:r>
      <w:r w:rsidR="00A8199B" w:rsidRPr="00880FA7">
        <w:rPr>
          <w:rFonts w:ascii="Book Antiqua" w:eastAsia="Book Antiqua" w:hAnsi="Book Antiqua" w:cs="Book Antiqua"/>
          <w:color w:val="000000"/>
        </w:rPr>
        <w:t xml:space="preserve"> approval </w:t>
      </w:r>
      <w:r w:rsidR="00A8199B" w:rsidRPr="00880FA7">
        <w:rPr>
          <w:rFonts w:ascii="Book Antiqua" w:eastAsia="Book Antiqua" w:hAnsi="Book Antiqua" w:cs="Book Antiqua"/>
          <w:color w:val="000000"/>
        </w:rPr>
        <w:lastRenderedPageBreak/>
        <w:t>for first-line therapy in August 2018, sorafenib was the sole FDA-approved therapeutic option for uHCC</w:t>
      </w:r>
      <w:r w:rsidR="00C72E12" w:rsidRPr="00880FA7">
        <w:rPr>
          <w:rFonts w:ascii="Book Antiqua" w:eastAsia="Book Antiqua" w:hAnsi="Book Antiqua" w:cs="Book Antiqua"/>
          <w:color w:val="000000"/>
          <w:vertAlign w:val="superscript"/>
        </w:rPr>
        <w:t>[45,</w:t>
      </w:r>
      <w:r w:rsidRPr="00880FA7">
        <w:rPr>
          <w:rFonts w:ascii="Book Antiqua" w:eastAsia="Book Antiqua" w:hAnsi="Book Antiqua" w:cs="Book Antiqua"/>
          <w:color w:val="000000"/>
          <w:vertAlign w:val="superscript"/>
        </w:rPr>
        <w:t>46]</w:t>
      </w:r>
      <w:r w:rsidRPr="00880FA7">
        <w:rPr>
          <w:rFonts w:ascii="Book Antiqua" w:eastAsia="Book Antiqua" w:hAnsi="Book Antiqua" w:cs="Book Antiqua"/>
          <w:color w:val="000000"/>
        </w:rPr>
        <w:t>.</w:t>
      </w:r>
      <w:r w:rsidR="00793C29" w:rsidRPr="00880FA7">
        <w:rPr>
          <w:rFonts w:ascii="Book Antiqua" w:hAnsi="Book Antiqua" w:cs="Book Antiqua" w:hint="eastAsia"/>
          <w:color w:val="000000"/>
          <w:lang w:eastAsia="zh-CN"/>
        </w:rPr>
        <w:t xml:space="preserve"> </w:t>
      </w:r>
    </w:p>
    <w:p w14:paraId="61D3051C" w14:textId="1A9701D4" w:rsidR="00A77B3E" w:rsidRPr="00880FA7" w:rsidRDefault="00A92039" w:rsidP="00793C29">
      <w:pPr>
        <w:spacing w:line="360" w:lineRule="auto"/>
        <w:ind w:firstLineChars="200" w:firstLine="480"/>
        <w:jc w:val="both"/>
        <w:rPr>
          <w:rFonts w:ascii="Book Antiqua" w:hAnsi="Book Antiqua"/>
        </w:rPr>
      </w:pPr>
      <w:r w:rsidRPr="00880FA7">
        <w:rPr>
          <w:rFonts w:ascii="Book Antiqua" w:eastAsia="Book Antiqua" w:hAnsi="Book Antiqua" w:cs="Book Antiqua"/>
          <w:bCs/>
          <w:iCs/>
          <w:color w:val="000000"/>
        </w:rPr>
        <w:t>Lenvatinib</w:t>
      </w:r>
      <w:r w:rsidR="00793C29" w:rsidRPr="00880FA7">
        <w:rPr>
          <w:rFonts w:ascii="Book Antiqua" w:hAnsi="Book Antiqua" w:hint="eastAsia"/>
          <w:lang w:eastAsia="zh-CN"/>
        </w:rPr>
        <w:t>-</w:t>
      </w:r>
      <w:r w:rsidRPr="00880FA7">
        <w:rPr>
          <w:rFonts w:ascii="Book Antiqua" w:eastAsia="Book Antiqua" w:hAnsi="Book Antiqua" w:cs="Book Antiqua"/>
          <w:color w:val="000000"/>
        </w:rPr>
        <w:t xml:space="preserve">Lenvatinib is a MTKI that targets VEGFR-1, VEGFR-2, VEGFR-3, </w:t>
      </w:r>
      <w:r w:rsidR="002D5003" w:rsidRPr="00880FA7">
        <w:rPr>
          <w:rFonts w:ascii="Book Antiqua" w:eastAsia="Book Antiqua" w:hAnsi="Book Antiqua" w:cs="Book Antiqua"/>
          <w:color w:val="000000"/>
        </w:rPr>
        <w:t xml:space="preserve">PDGFR-β, </w:t>
      </w:r>
      <w:r w:rsidRPr="00880FA7">
        <w:rPr>
          <w:rFonts w:ascii="Book Antiqua" w:eastAsia="Book Antiqua" w:hAnsi="Book Antiqua" w:cs="Book Antiqua"/>
          <w:color w:val="000000"/>
        </w:rPr>
        <w:t xml:space="preserve">FGFR-1, FGFR-2, FGFR-3, FGFR-4, </w:t>
      </w:r>
      <w:r w:rsidR="002D5003" w:rsidRPr="00880FA7">
        <w:rPr>
          <w:rFonts w:ascii="Book Antiqua" w:eastAsia="Book Antiqua" w:hAnsi="Book Antiqua" w:cs="Book Antiqua"/>
          <w:color w:val="000000"/>
        </w:rPr>
        <w:t>KIT</w:t>
      </w:r>
      <w:r w:rsidRPr="00880FA7">
        <w:rPr>
          <w:rFonts w:ascii="Book Antiqua" w:eastAsia="Book Antiqua" w:hAnsi="Book Antiqua" w:cs="Book Antiqua"/>
          <w:color w:val="000000"/>
        </w:rPr>
        <w:t xml:space="preserve">, and </w:t>
      </w:r>
      <w:r w:rsidR="002D5003" w:rsidRPr="00880FA7">
        <w:rPr>
          <w:rFonts w:ascii="Book Antiqua" w:eastAsia="Book Antiqua" w:hAnsi="Book Antiqua" w:cs="Book Antiqua"/>
          <w:color w:val="000000"/>
        </w:rPr>
        <w:t>RET</w:t>
      </w:r>
      <w:r w:rsidRPr="00880FA7">
        <w:rPr>
          <w:rFonts w:ascii="Book Antiqua" w:eastAsia="Book Antiqua" w:hAnsi="Book Antiqua" w:cs="Book Antiqua"/>
          <w:color w:val="000000"/>
        </w:rPr>
        <w:t xml:space="preserve">. Lenvatinib is approved as the first-line treatment for uHCC patients. Patients who weigh 60 kg or more should take 12 mg daily, while those who weigh less should take 8 mg. Patients with uHCC who have Child-Pugh class A cirrhosis should not have their doses reduced, and there is no suggested dose for those with Child-Pugh class B or C cirrhosis. </w:t>
      </w:r>
      <w:r w:rsidR="002E177A" w:rsidRPr="00880FA7">
        <w:rPr>
          <w:rFonts w:ascii="Book Antiqua" w:eastAsia="Book Antiqua" w:hAnsi="Book Antiqua" w:cs="Book Antiqua"/>
          <w:color w:val="000000"/>
        </w:rPr>
        <w:t>Based on the REFLECT trial, a noninferiority phase 3 research,</w:t>
      </w:r>
      <w:r w:rsidR="008B59D9" w:rsidRPr="00880FA7">
        <w:rPr>
          <w:rFonts w:ascii="Book Antiqua" w:eastAsia="Book Antiqua" w:hAnsi="Book Antiqua" w:cs="Book Antiqua"/>
          <w:color w:val="000000"/>
        </w:rPr>
        <w:t xml:space="preserve"> lenvatinib </w:t>
      </w:r>
      <w:r w:rsidR="002E177A" w:rsidRPr="00880FA7">
        <w:rPr>
          <w:rFonts w:ascii="Book Antiqua" w:eastAsia="Book Antiqua" w:hAnsi="Book Antiqua" w:cs="Book Antiqua"/>
          <w:color w:val="000000"/>
        </w:rPr>
        <w:t>was authorized</w:t>
      </w:r>
      <w:r w:rsidRPr="00880FA7">
        <w:rPr>
          <w:rFonts w:ascii="Book Antiqua" w:eastAsia="Book Antiqua" w:hAnsi="Book Antiqua" w:cs="Book Antiqua"/>
          <w:color w:val="000000"/>
        </w:rPr>
        <w:t xml:space="preserve">. </w:t>
      </w:r>
      <w:r w:rsidR="00B6523B" w:rsidRPr="00880FA7">
        <w:rPr>
          <w:rFonts w:ascii="Book Antiqua" w:eastAsia="Book Antiqua" w:hAnsi="Book Antiqua" w:cs="Book Antiqua"/>
          <w:color w:val="000000"/>
        </w:rPr>
        <w:t>In this trial, there were 954 untreated patients with uHCC with Child-Pugh class A cirrhosis from 154 locations in 20 nations throughout the Asia-Pacific, European, and North American continents</w:t>
      </w:r>
      <w:r w:rsidRPr="00880FA7">
        <w:rPr>
          <w:rFonts w:ascii="Book Antiqua" w:eastAsia="Book Antiqua" w:hAnsi="Book Antiqua" w:cs="Book Antiqua"/>
          <w:color w:val="000000"/>
        </w:rPr>
        <w:t xml:space="preserve">. </w:t>
      </w:r>
      <w:r w:rsidR="00A3071C" w:rsidRPr="00880FA7">
        <w:rPr>
          <w:rFonts w:ascii="Book Antiqua" w:eastAsia="Book Antiqua" w:hAnsi="Book Antiqua" w:cs="Book Antiqua"/>
          <w:color w:val="000000"/>
        </w:rPr>
        <w:t xml:space="preserve">Lenvatinib at a daily dose of 12 mg </w:t>
      </w:r>
      <w:r w:rsidR="00AB23A1" w:rsidRPr="00880FA7">
        <w:rPr>
          <w:rFonts w:ascii="Book Antiqua" w:eastAsia="Book Antiqua" w:hAnsi="Book Antiqua" w:cs="Book Antiqua"/>
          <w:color w:val="000000"/>
        </w:rPr>
        <w:t>(</w:t>
      </w:r>
      <w:r w:rsidR="00AB23A1" w:rsidRPr="00880FA7">
        <w:rPr>
          <w:rFonts w:ascii="Book Antiqua" w:eastAsia="Book Antiqua" w:hAnsi="Book Antiqua" w:cs="Book Antiqua"/>
          <w:i/>
          <w:color w:val="000000"/>
        </w:rPr>
        <w:t>n</w:t>
      </w:r>
      <w:r w:rsidR="00AB23A1" w:rsidRPr="00880FA7">
        <w:rPr>
          <w:rFonts w:ascii="Book Antiqua" w:eastAsia="Book Antiqua" w:hAnsi="Book Antiqua" w:cs="Book Antiqua"/>
          <w:color w:val="000000"/>
        </w:rPr>
        <w:t xml:space="preserve"> = 478) </w:t>
      </w:r>
      <w:r w:rsidR="00A3071C" w:rsidRPr="00880FA7">
        <w:rPr>
          <w:rFonts w:ascii="Book Antiqua" w:eastAsia="Book Antiqua" w:hAnsi="Book Antiqua" w:cs="Book Antiqua"/>
          <w:color w:val="000000"/>
        </w:rPr>
        <w:t xml:space="preserve">(for </w:t>
      </w:r>
      <w:r w:rsidR="003F31AB" w:rsidRPr="00880FA7">
        <w:rPr>
          <w:rFonts w:ascii="Book Antiqua" w:eastAsia="Book Antiqua" w:hAnsi="Book Antiqua" w:cs="Book Antiqua"/>
          <w:color w:val="000000"/>
        </w:rPr>
        <w:t>patients’</w:t>
      </w:r>
      <w:r w:rsidR="00A3071C" w:rsidRPr="00880FA7">
        <w:rPr>
          <w:rFonts w:ascii="Book Antiqua" w:eastAsia="Book Antiqua" w:hAnsi="Book Antiqua" w:cs="Book Antiqua"/>
          <w:color w:val="000000"/>
        </w:rPr>
        <w:t xml:space="preserve"> weight &gt; 60 kg) or 8 mg (for patients weighing 60 kg) was given to patients at random, while sorafenib (</w:t>
      </w:r>
      <w:r w:rsidR="00A3071C" w:rsidRPr="00880FA7">
        <w:rPr>
          <w:rFonts w:ascii="Book Antiqua" w:eastAsia="Book Antiqua" w:hAnsi="Book Antiqua" w:cs="Book Antiqua"/>
          <w:i/>
          <w:color w:val="000000"/>
        </w:rPr>
        <w:t>n</w:t>
      </w:r>
      <w:r w:rsidR="00A3071C" w:rsidRPr="00880FA7">
        <w:rPr>
          <w:rFonts w:ascii="Book Antiqua" w:eastAsia="Book Antiqua" w:hAnsi="Book Antiqua" w:cs="Book Antiqua"/>
          <w:color w:val="000000"/>
        </w:rPr>
        <w:t xml:space="preserve"> = 476) was given at a dose of 400 mg twice daily</w:t>
      </w:r>
      <w:r w:rsidRPr="00880FA7">
        <w:rPr>
          <w:rFonts w:ascii="Book Antiqua" w:eastAsia="Book Antiqua" w:hAnsi="Book Antiqua" w:cs="Book Antiqua"/>
          <w:color w:val="000000"/>
        </w:rPr>
        <w:t xml:space="preserve">. </w:t>
      </w:r>
      <w:r w:rsidR="00516C50" w:rsidRPr="00880FA7">
        <w:rPr>
          <w:rFonts w:ascii="Book Antiqua" w:eastAsia="Book Antiqua" w:hAnsi="Book Antiqua" w:cs="Book Antiqua"/>
          <w:color w:val="000000"/>
        </w:rPr>
        <w:t>OS was the primary aim, and patients were treated up until their radiological state worsened or they developed significant toxicity</w:t>
      </w:r>
      <w:r w:rsidRPr="00880FA7">
        <w:rPr>
          <w:rFonts w:ascii="Book Antiqua" w:eastAsia="Book Antiqua" w:hAnsi="Book Antiqua" w:cs="Book Antiqua"/>
          <w:color w:val="000000"/>
        </w:rPr>
        <w:t>. Response rate, TTP, and PFS</w:t>
      </w:r>
      <w:r w:rsidR="00D8495C"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were secondary endpoints. </w:t>
      </w:r>
      <w:r w:rsidR="00D266D5" w:rsidRPr="00880FA7">
        <w:rPr>
          <w:rFonts w:ascii="Book Antiqua" w:eastAsia="Book Antiqua" w:hAnsi="Book Antiqua" w:cs="Book Antiqua"/>
          <w:color w:val="000000"/>
        </w:rPr>
        <w:t>Lenvatinib was comparable to sorafenib in terms of survival, with a median OS of 13.6 mo</w:t>
      </w:r>
      <w:r w:rsidR="00D8495C" w:rsidRPr="00880FA7">
        <w:rPr>
          <w:rFonts w:ascii="Book Antiqua" w:hAnsi="Book Antiqua" w:cs="Book Antiqua" w:hint="eastAsia"/>
          <w:color w:val="000000"/>
          <w:lang w:eastAsia="zh-CN"/>
        </w:rPr>
        <w:t xml:space="preserve"> </w:t>
      </w:r>
      <w:r w:rsidR="00D266D5" w:rsidRPr="00880FA7">
        <w:rPr>
          <w:rFonts w:ascii="Book Antiqua" w:eastAsia="Book Antiqua" w:hAnsi="Book Antiqua" w:cs="Book Antiqua"/>
          <w:color w:val="000000"/>
        </w:rPr>
        <w:t xml:space="preserve">and 12.3 </w:t>
      </w:r>
      <w:r w:rsidR="00502B6B" w:rsidRPr="00880FA7">
        <w:rPr>
          <w:rFonts w:ascii="Book Antiqua" w:eastAsia="Book Antiqua" w:hAnsi="Book Antiqua" w:cs="Book Antiqua"/>
          <w:color w:val="000000"/>
        </w:rPr>
        <w:t>mo</w:t>
      </w:r>
      <w:r w:rsidR="00D266D5" w:rsidRPr="00880FA7">
        <w:rPr>
          <w:rFonts w:ascii="Book Antiqua" w:eastAsia="Book Antiqua" w:hAnsi="Book Antiqua" w:cs="Book Antiqua"/>
          <w:color w:val="000000"/>
        </w:rPr>
        <w:t xml:space="preserve">, respectively </w:t>
      </w:r>
      <w:r w:rsidR="00C450F9" w:rsidRPr="00880FA7">
        <w:rPr>
          <w:rFonts w:ascii="Book Antiqua" w:hAnsi="Book Antiqua" w:cs="Book Antiqua" w:hint="eastAsia"/>
          <w:color w:val="000000"/>
          <w:lang w:eastAsia="zh-CN"/>
        </w:rPr>
        <w:t>[</w:t>
      </w:r>
      <w:r w:rsidR="00D266D5" w:rsidRPr="00880FA7">
        <w:rPr>
          <w:rFonts w:ascii="Book Antiqua" w:eastAsia="Book Antiqua" w:hAnsi="Book Antiqua" w:cs="Book Antiqua"/>
          <w:color w:val="000000"/>
        </w:rPr>
        <w:t>HR</w:t>
      </w:r>
      <w:r w:rsidR="00D8495C" w:rsidRPr="00880FA7">
        <w:rPr>
          <w:rFonts w:ascii="Book Antiqua" w:hAnsi="Book Antiqua" w:cs="Book Antiqua" w:hint="eastAsia"/>
          <w:color w:val="000000"/>
          <w:lang w:eastAsia="zh-CN"/>
        </w:rPr>
        <w:t>:</w:t>
      </w:r>
      <w:r w:rsidR="00D266D5" w:rsidRPr="00880FA7">
        <w:rPr>
          <w:rFonts w:ascii="Book Antiqua" w:eastAsia="Book Antiqua" w:hAnsi="Book Antiqua" w:cs="Book Antiqua"/>
          <w:color w:val="000000"/>
        </w:rPr>
        <w:t xml:space="preserve"> 0.92; </w:t>
      </w:r>
      <w:r w:rsidR="00D8495C" w:rsidRPr="00880FA7">
        <w:rPr>
          <w:rFonts w:ascii="Book Antiqua" w:eastAsia="Book Antiqua" w:hAnsi="Book Antiqua" w:cs="Book Antiqua"/>
          <w:color w:val="000000"/>
        </w:rPr>
        <w:t>95% confidence interval</w:t>
      </w:r>
      <w:r w:rsidR="00D8495C" w:rsidRPr="00880FA7">
        <w:rPr>
          <w:rFonts w:ascii="Book Antiqua" w:eastAsia="Book Antiqua" w:hAnsi="Book Antiqua" w:cs="Book Antiqua" w:hint="eastAsia"/>
          <w:color w:val="000000"/>
        </w:rPr>
        <w:t xml:space="preserve"> (95%CI):</w:t>
      </w:r>
      <w:r w:rsidR="00D266D5" w:rsidRPr="00880FA7">
        <w:rPr>
          <w:rFonts w:ascii="Book Antiqua" w:eastAsia="Book Antiqua" w:hAnsi="Book Antiqua" w:cs="Book Antiqua"/>
          <w:color w:val="000000"/>
        </w:rPr>
        <w:t xml:space="preserve"> 0.79-1.06</w:t>
      </w:r>
      <w:r w:rsidR="00C450F9"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 xml:space="preserve">. </w:t>
      </w:r>
      <w:r w:rsidR="00514FC2" w:rsidRPr="00880FA7">
        <w:rPr>
          <w:rFonts w:ascii="Book Antiqua" w:eastAsia="Book Antiqua" w:hAnsi="Book Antiqua" w:cs="Book Antiqua"/>
          <w:color w:val="000000"/>
        </w:rPr>
        <w:t>According to baseline features, these effects were discovered to be constant across all patient groupings</w:t>
      </w:r>
      <w:r w:rsidRPr="00880FA7">
        <w:rPr>
          <w:rFonts w:ascii="Book Antiqua" w:eastAsia="Book Antiqua" w:hAnsi="Book Antiqua" w:cs="Book Antiqua"/>
          <w:color w:val="000000"/>
        </w:rPr>
        <w:t>. In terms of all secondary objectives,</w:t>
      </w:r>
      <w:r w:rsidR="00780091" w:rsidRPr="00880FA7">
        <w:rPr>
          <w:rFonts w:ascii="Book Antiqua" w:eastAsia="Book Antiqua" w:hAnsi="Book Antiqua" w:cs="Book Antiqua"/>
          <w:color w:val="000000"/>
        </w:rPr>
        <w:t xml:space="preserve"> l</w:t>
      </w:r>
      <w:r w:rsidR="00914E4C" w:rsidRPr="00880FA7">
        <w:rPr>
          <w:rFonts w:ascii="Book Antiqua" w:eastAsia="Book Antiqua" w:hAnsi="Book Antiqua" w:cs="Book Antiqua"/>
          <w:color w:val="000000"/>
        </w:rPr>
        <w:t>envatini</w:t>
      </w:r>
      <w:r w:rsidR="00780091" w:rsidRPr="00880FA7">
        <w:rPr>
          <w:rFonts w:ascii="Book Antiqua" w:eastAsia="Book Antiqua" w:hAnsi="Book Antiqua" w:cs="Book Antiqua"/>
          <w:color w:val="000000"/>
        </w:rPr>
        <w:t>b</w:t>
      </w:r>
      <w:r w:rsidRPr="00880FA7">
        <w:rPr>
          <w:rFonts w:ascii="Book Antiqua" w:eastAsia="Book Antiqua" w:hAnsi="Book Antiqua" w:cs="Book Antiqua"/>
          <w:color w:val="000000"/>
        </w:rPr>
        <w:t xml:space="preserve"> was considerably more successful than sorafenib, according to an independent imaging analysis. </w:t>
      </w:r>
      <w:r w:rsidR="003A0855" w:rsidRPr="00880FA7">
        <w:rPr>
          <w:rFonts w:ascii="Book Antiqua" w:eastAsia="Book Antiqua" w:hAnsi="Book Antiqua" w:cs="Book Antiqua"/>
          <w:color w:val="000000"/>
        </w:rPr>
        <w:t xml:space="preserve">Response rates were 40.6% </w:t>
      </w:r>
      <w:r w:rsidR="003A0855" w:rsidRPr="00880FA7">
        <w:rPr>
          <w:rFonts w:ascii="Book Antiqua" w:eastAsia="Book Antiqua" w:hAnsi="Book Antiqua" w:cs="Book Antiqua"/>
          <w:i/>
          <w:iCs/>
          <w:color w:val="000000"/>
        </w:rPr>
        <w:t>vs</w:t>
      </w:r>
      <w:r w:rsidR="003A0855" w:rsidRPr="00880FA7">
        <w:rPr>
          <w:rFonts w:ascii="Book Antiqua" w:eastAsia="Book Antiqua" w:hAnsi="Book Antiqua" w:cs="Book Antiqua"/>
          <w:color w:val="000000"/>
        </w:rPr>
        <w:t xml:space="preserve"> 12.4% (</w:t>
      </w:r>
      <w:r w:rsidR="00C74557" w:rsidRPr="00880FA7">
        <w:rPr>
          <w:rFonts w:ascii="Book Antiqua" w:eastAsia="Book Antiqua" w:hAnsi="Book Antiqua" w:cs="Book Antiqua"/>
          <w:i/>
          <w:iCs/>
          <w:color w:val="000000"/>
        </w:rPr>
        <w:t>P</w:t>
      </w:r>
      <w:r w:rsidR="003A0855" w:rsidRPr="00880FA7">
        <w:rPr>
          <w:rFonts w:ascii="Book Antiqua" w:eastAsia="Book Antiqua" w:hAnsi="Book Antiqua" w:cs="Book Antiqua"/>
          <w:color w:val="000000"/>
        </w:rPr>
        <w:t xml:space="preserve"> </w:t>
      </w:r>
      <w:r w:rsidR="00C74557" w:rsidRPr="00880FA7">
        <w:rPr>
          <w:rFonts w:ascii="Book Antiqua" w:eastAsia="Book Antiqua" w:hAnsi="Book Antiqua" w:cs="Book Antiqua"/>
          <w:color w:val="000000"/>
        </w:rPr>
        <w:t xml:space="preserve">&lt; </w:t>
      </w:r>
      <w:r w:rsidR="003A0855" w:rsidRPr="00880FA7">
        <w:rPr>
          <w:rFonts w:ascii="Book Antiqua" w:eastAsia="Book Antiqua" w:hAnsi="Book Antiqua" w:cs="Book Antiqua"/>
          <w:color w:val="000000"/>
        </w:rPr>
        <w:t xml:space="preserve">0.001) for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w:t>
      </w:r>
      <w:r w:rsidR="00780091" w:rsidRPr="00880FA7">
        <w:rPr>
          <w:rFonts w:ascii="Book Antiqua" w:eastAsia="Book Antiqua" w:hAnsi="Book Antiqua" w:cs="Book Antiqua"/>
          <w:color w:val="000000"/>
        </w:rPr>
        <w:t>b</w:t>
      </w:r>
      <w:r w:rsidR="003A0855" w:rsidRPr="00880FA7">
        <w:rPr>
          <w:rFonts w:ascii="Book Antiqua" w:eastAsia="Book Antiqua" w:hAnsi="Book Antiqua" w:cs="Book Antiqua"/>
          <w:color w:val="000000"/>
        </w:rPr>
        <w:t xml:space="preserve"> </w:t>
      </w:r>
      <w:r w:rsidR="003A0855" w:rsidRPr="00880FA7">
        <w:rPr>
          <w:rFonts w:ascii="Book Antiqua" w:eastAsia="Book Antiqua" w:hAnsi="Book Antiqua" w:cs="Book Antiqua"/>
          <w:i/>
          <w:iCs/>
          <w:color w:val="000000"/>
        </w:rPr>
        <w:t>vs</w:t>
      </w:r>
      <w:r w:rsidR="003A0855" w:rsidRPr="00880FA7">
        <w:rPr>
          <w:rFonts w:ascii="Book Antiqua" w:eastAsia="Book Antiqua" w:hAnsi="Book Antiqua" w:cs="Book Antiqua"/>
          <w:color w:val="000000"/>
        </w:rPr>
        <w:t xml:space="preserve"> sorafenib; disease control rates were 73.8% </w:t>
      </w:r>
      <w:r w:rsidR="003A0855" w:rsidRPr="00880FA7">
        <w:rPr>
          <w:rFonts w:ascii="Book Antiqua" w:eastAsia="Book Antiqua" w:hAnsi="Book Antiqua" w:cs="Book Antiqua"/>
          <w:i/>
          <w:iCs/>
          <w:color w:val="000000"/>
        </w:rPr>
        <w:t>vs</w:t>
      </w:r>
      <w:r w:rsidR="003A0855" w:rsidRPr="00880FA7">
        <w:rPr>
          <w:rFonts w:ascii="Book Antiqua" w:eastAsia="Book Antiqua" w:hAnsi="Book Antiqua" w:cs="Book Antiqua"/>
          <w:color w:val="000000"/>
        </w:rPr>
        <w:t xml:space="preserve"> 58.4%; MTP rates were 7.4</w:t>
      </w:r>
      <w:r w:rsidR="00D50C70" w:rsidRPr="00880FA7">
        <w:rPr>
          <w:rFonts w:ascii="Book Antiqua" w:eastAsia="Book Antiqua" w:hAnsi="Book Antiqua" w:cs="Book Antiqua"/>
          <w:color w:val="000000"/>
        </w:rPr>
        <w:t xml:space="preserve"> mo</w:t>
      </w:r>
      <w:r w:rsidR="003A0855" w:rsidRPr="00880FA7">
        <w:rPr>
          <w:rFonts w:ascii="Book Antiqua" w:eastAsia="Book Antiqua" w:hAnsi="Book Antiqua" w:cs="Book Antiqua"/>
          <w:color w:val="000000"/>
        </w:rPr>
        <w:t xml:space="preserve"> </w:t>
      </w:r>
      <w:r w:rsidR="003A0855" w:rsidRPr="00880FA7">
        <w:rPr>
          <w:rFonts w:ascii="Book Antiqua" w:eastAsia="Book Antiqua" w:hAnsi="Book Antiqua" w:cs="Book Antiqua"/>
          <w:i/>
          <w:iCs/>
          <w:color w:val="000000"/>
        </w:rPr>
        <w:t>vs</w:t>
      </w:r>
      <w:r w:rsidR="003A0855" w:rsidRPr="00880FA7">
        <w:rPr>
          <w:rFonts w:ascii="Book Antiqua" w:eastAsia="Book Antiqua" w:hAnsi="Book Antiqua" w:cs="Book Antiqua"/>
          <w:color w:val="000000"/>
        </w:rPr>
        <w:t xml:space="preserve"> 3.7 </w:t>
      </w:r>
      <w:r w:rsidR="00387EEC" w:rsidRPr="00880FA7">
        <w:rPr>
          <w:rFonts w:ascii="Book Antiqua" w:eastAsia="Book Antiqua" w:hAnsi="Book Antiqua" w:cs="Book Antiqua"/>
          <w:color w:val="000000"/>
        </w:rPr>
        <w:t>mo</w:t>
      </w:r>
      <w:r w:rsidR="003A0855" w:rsidRPr="00880FA7">
        <w:rPr>
          <w:rFonts w:ascii="Book Antiqua" w:eastAsia="Book Antiqua" w:hAnsi="Book Antiqua" w:cs="Book Antiqua"/>
          <w:color w:val="000000"/>
        </w:rPr>
        <w:t xml:space="preserve"> (</w:t>
      </w:r>
      <w:r w:rsidR="00C74557" w:rsidRPr="00880FA7">
        <w:rPr>
          <w:rFonts w:ascii="Book Antiqua" w:eastAsia="Book Antiqua" w:hAnsi="Book Antiqua" w:cs="Book Antiqua"/>
          <w:i/>
          <w:iCs/>
          <w:color w:val="000000"/>
        </w:rPr>
        <w:t>P</w:t>
      </w:r>
      <w:r w:rsidR="00C74557" w:rsidRPr="00880FA7">
        <w:rPr>
          <w:rFonts w:ascii="Book Antiqua" w:eastAsia="Book Antiqua" w:hAnsi="Book Antiqua" w:cs="Book Antiqua"/>
          <w:color w:val="000000"/>
        </w:rPr>
        <w:t xml:space="preserve"> &lt;</w:t>
      </w:r>
      <w:r w:rsidR="003A0855" w:rsidRPr="00880FA7">
        <w:rPr>
          <w:rFonts w:ascii="Book Antiqua" w:eastAsia="Book Antiqua" w:hAnsi="Book Antiqua" w:cs="Book Antiqua"/>
          <w:color w:val="000000"/>
        </w:rPr>
        <w:t xml:space="preserve"> 0.001); and median PFS rates were 7.3 </w:t>
      </w:r>
      <w:r w:rsidR="00D50C70" w:rsidRPr="00880FA7">
        <w:rPr>
          <w:rFonts w:ascii="Book Antiqua" w:eastAsia="Book Antiqua" w:hAnsi="Book Antiqua" w:cs="Book Antiqua"/>
          <w:color w:val="000000"/>
        </w:rPr>
        <w:t xml:space="preserve">mo </w:t>
      </w:r>
      <w:r w:rsidR="003A0855" w:rsidRPr="00880FA7">
        <w:rPr>
          <w:rFonts w:ascii="Book Antiqua" w:eastAsia="Book Antiqua" w:hAnsi="Book Antiqua" w:cs="Book Antiqua"/>
          <w:i/>
          <w:iCs/>
          <w:color w:val="000000"/>
        </w:rPr>
        <w:t>vs</w:t>
      </w:r>
      <w:r w:rsidR="003A0855" w:rsidRPr="00880FA7">
        <w:rPr>
          <w:rFonts w:ascii="Book Antiqua" w:eastAsia="Book Antiqua" w:hAnsi="Book Antiqua" w:cs="Book Antiqua"/>
          <w:color w:val="000000"/>
        </w:rPr>
        <w:t xml:space="preserve"> 3.6 </w:t>
      </w:r>
      <w:r w:rsidR="00387EEC" w:rsidRPr="00880FA7">
        <w:rPr>
          <w:rFonts w:ascii="Book Antiqua" w:eastAsia="Book Antiqua" w:hAnsi="Book Antiqua" w:cs="Book Antiqua"/>
          <w:color w:val="000000"/>
        </w:rPr>
        <w:t>mo</w:t>
      </w:r>
      <w:r w:rsidR="003A0855" w:rsidRPr="00880FA7">
        <w:rPr>
          <w:rFonts w:ascii="Book Antiqua" w:eastAsia="Book Antiqua" w:hAnsi="Book Antiqua" w:cs="Book Antiqua"/>
          <w:color w:val="000000"/>
        </w:rPr>
        <w:t xml:space="preserve"> (</w:t>
      </w:r>
      <w:r w:rsidR="00C74557" w:rsidRPr="00880FA7">
        <w:rPr>
          <w:rFonts w:ascii="Book Antiqua" w:eastAsia="Book Antiqua" w:hAnsi="Book Antiqua" w:cs="Book Antiqua"/>
          <w:i/>
          <w:iCs/>
          <w:color w:val="000000"/>
        </w:rPr>
        <w:t>P</w:t>
      </w:r>
      <w:r w:rsidR="00C74557" w:rsidRPr="00880FA7">
        <w:rPr>
          <w:rFonts w:ascii="Book Antiqua" w:eastAsia="Book Antiqua" w:hAnsi="Book Antiqua" w:cs="Book Antiqua"/>
          <w:color w:val="000000"/>
        </w:rPr>
        <w:t xml:space="preserve"> &lt;</w:t>
      </w:r>
      <w:r w:rsidR="003A0855" w:rsidRPr="00880FA7">
        <w:rPr>
          <w:rFonts w:ascii="Book Antiqua" w:eastAsia="Book Antiqua" w:hAnsi="Book Antiqua" w:cs="Book Antiqua"/>
          <w:color w:val="000000"/>
        </w:rPr>
        <w:t xml:space="preserve"> 0.001)</w:t>
      </w:r>
      <w:r w:rsidRPr="00880FA7">
        <w:rPr>
          <w:rFonts w:ascii="Book Antiqua" w:eastAsia="Book Antiqua" w:hAnsi="Book Antiqua" w:cs="Book Antiqua"/>
          <w:color w:val="000000"/>
        </w:rPr>
        <w:t xml:space="preserve">. </w:t>
      </w:r>
      <w:r w:rsidR="00A94D67" w:rsidRPr="00880FA7">
        <w:rPr>
          <w:rFonts w:ascii="Book Antiqua" w:eastAsia="Book Antiqua" w:hAnsi="Book Antiqua" w:cs="Book Antiqua"/>
          <w:color w:val="000000"/>
        </w:rPr>
        <w:t xml:space="preserve">When compared to sorafenib, </w:t>
      </w:r>
      <w:r w:rsidR="00780091" w:rsidRPr="00880FA7">
        <w:rPr>
          <w:rFonts w:ascii="Book Antiqua" w:eastAsia="Book Antiqua" w:hAnsi="Book Antiqua" w:cs="Book Antiqua"/>
          <w:color w:val="000000"/>
        </w:rPr>
        <w:t xml:space="preserve">lenvatinib </w:t>
      </w:r>
      <w:r w:rsidR="00A94D67" w:rsidRPr="00880FA7">
        <w:rPr>
          <w:rFonts w:ascii="Book Antiqua" w:eastAsia="Book Antiqua" w:hAnsi="Book Antiqua" w:cs="Book Antiqua"/>
          <w:color w:val="000000"/>
        </w:rPr>
        <w:t xml:space="preserve">was related with </w:t>
      </w:r>
      <w:r w:rsidR="00E95B32" w:rsidRPr="00880FA7">
        <w:rPr>
          <w:rFonts w:ascii="Book Antiqua" w:eastAsia="Book Antiqua" w:hAnsi="Book Antiqua" w:cs="Book Antiqua"/>
          <w:color w:val="000000"/>
        </w:rPr>
        <w:t>more incidence</w:t>
      </w:r>
      <w:r w:rsidR="00A94D67" w:rsidRPr="00880FA7">
        <w:rPr>
          <w:rFonts w:ascii="Book Antiqua" w:eastAsia="Book Antiqua" w:hAnsi="Book Antiqua" w:cs="Book Antiqua"/>
          <w:color w:val="000000"/>
        </w:rPr>
        <w:t>s of hypertension</w:t>
      </w:r>
      <w:r w:rsidR="00E95B32" w:rsidRPr="00880FA7">
        <w:rPr>
          <w:rFonts w:ascii="Book Antiqua" w:eastAsia="Book Antiqua" w:hAnsi="Book Antiqua" w:cs="Book Antiqua"/>
          <w:color w:val="000000"/>
        </w:rPr>
        <w:t xml:space="preserve"> associated with treatment</w:t>
      </w:r>
      <w:r w:rsidR="00A94D67" w:rsidRPr="00880FA7">
        <w:rPr>
          <w:rFonts w:ascii="Book Antiqua" w:eastAsia="Book Antiqua" w:hAnsi="Book Antiqua" w:cs="Book Antiqua"/>
          <w:color w:val="000000"/>
        </w:rPr>
        <w:t xml:space="preserve"> (42% </w:t>
      </w:r>
      <w:r w:rsidR="00A94D67" w:rsidRPr="00880FA7">
        <w:rPr>
          <w:rFonts w:ascii="Book Antiqua" w:eastAsia="Book Antiqua" w:hAnsi="Book Antiqua" w:cs="Book Antiqua"/>
          <w:i/>
          <w:iCs/>
          <w:color w:val="000000"/>
        </w:rPr>
        <w:t>vs</w:t>
      </w:r>
      <w:r w:rsidR="00A94D67" w:rsidRPr="00880FA7">
        <w:rPr>
          <w:rFonts w:ascii="Book Antiqua" w:eastAsia="Book Antiqua" w:hAnsi="Book Antiqua" w:cs="Book Antiqua"/>
          <w:color w:val="000000"/>
        </w:rPr>
        <w:t xml:space="preserve"> 30%), proteinuria (25% </w:t>
      </w:r>
      <w:r w:rsidR="00A94D67" w:rsidRPr="00880FA7">
        <w:rPr>
          <w:rFonts w:ascii="Book Antiqua" w:eastAsia="Book Antiqua" w:hAnsi="Book Antiqua" w:cs="Book Antiqua"/>
          <w:i/>
          <w:iCs/>
          <w:color w:val="000000"/>
        </w:rPr>
        <w:t>vs</w:t>
      </w:r>
      <w:r w:rsidR="00A94D67" w:rsidRPr="00880FA7">
        <w:rPr>
          <w:rFonts w:ascii="Book Antiqua" w:eastAsia="Book Antiqua" w:hAnsi="Book Antiqua" w:cs="Book Antiqua"/>
          <w:color w:val="000000"/>
        </w:rPr>
        <w:t xml:space="preserve"> 11%), and hypothyroidism (16% </w:t>
      </w:r>
      <w:r w:rsidR="00A94D67" w:rsidRPr="00880FA7">
        <w:rPr>
          <w:rFonts w:ascii="Book Antiqua" w:eastAsia="Book Antiqua" w:hAnsi="Book Antiqua" w:cs="Book Antiqua"/>
          <w:i/>
          <w:iCs/>
          <w:color w:val="000000"/>
        </w:rPr>
        <w:t>vs</w:t>
      </w:r>
      <w:r w:rsidR="00A94D67" w:rsidRPr="00880FA7">
        <w:rPr>
          <w:rFonts w:ascii="Book Antiqua" w:eastAsia="Book Antiqua" w:hAnsi="Book Antiqua" w:cs="Book Antiqua"/>
          <w:color w:val="000000"/>
        </w:rPr>
        <w:t xml:space="preserve"> 2%), and lower rates of </w:t>
      </w:r>
      <w:r w:rsidR="00AF5038" w:rsidRPr="00880FA7">
        <w:rPr>
          <w:rFonts w:ascii="Book Antiqua" w:eastAsia="Book Antiqua" w:hAnsi="Book Antiqua" w:cs="Book Antiqua"/>
          <w:color w:val="000000"/>
        </w:rPr>
        <w:t xml:space="preserve">alopecia (3% </w:t>
      </w:r>
      <w:r w:rsidR="00AF5038" w:rsidRPr="00880FA7">
        <w:rPr>
          <w:rFonts w:ascii="Book Antiqua" w:eastAsia="Book Antiqua" w:hAnsi="Book Antiqua" w:cs="Book Antiqua"/>
          <w:i/>
          <w:iCs/>
          <w:color w:val="000000"/>
        </w:rPr>
        <w:t>vs</w:t>
      </w:r>
      <w:r w:rsidR="00AF5038" w:rsidRPr="00880FA7">
        <w:rPr>
          <w:rFonts w:ascii="Book Antiqua" w:eastAsia="Book Antiqua" w:hAnsi="Book Antiqua" w:cs="Book Antiqua"/>
          <w:color w:val="000000"/>
        </w:rPr>
        <w:t xml:space="preserve"> 25%), </w:t>
      </w:r>
      <w:r w:rsidR="00A94D67" w:rsidRPr="00880FA7">
        <w:rPr>
          <w:rFonts w:ascii="Book Antiqua" w:eastAsia="Book Antiqua" w:hAnsi="Book Antiqua" w:cs="Book Antiqua"/>
          <w:color w:val="000000"/>
        </w:rPr>
        <w:t xml:space="preserve">HFS (27% </w:t>
      </w:r>
      <w:r w:rsidR="00A94D67" w:rsidRPr="00880FA7">
        <w:rPr>
          <w:rFonts w:ascii="Book Antiqua" w:eastAsia="Book Antiqua" w:hAnsi="Book Antiqua" w:cs="Book Antiqua"/>
          <w:i/>
          <w:iCs/>
          <w:color w:val="000000"/>
        </w:rPr>
        <w:t>vs</w:t>
      </w:r>
      <w:r w:rsidR="00A94D67" w:rsidRPr="00880FA7">
        <w:rPr>
          <w:rFonts w:ascii="Book Antiqua" w:eastAsia="Book Antiqua" w:hAnsi="Book Antiqua" w:cs="Book Antiqua"/>
          <w:color w:val="000000"/>
        </w:rPr>
        <w:t xml:space="preserve"> 52%), </w:t>
      </w:r>
      <w:r w:rsidR="00AF5038" w:rsidRPr="00880FA7">
        <w:rPr>
          <w:rFonts w:ascii="Book Antiqua" w:eastAsia="Book Antiqua" w:hAnsi="Book Antiqua" w:cs="Book Antiqua"/>
          <w:color w:val="000000"/>
        </w:rPr>
        <w:t xml:space="preserve">and </w:t>
      </w:r>
      <w:r w:rsidR="00A94D67" w:rsidRPr="00880FA7">
        <w:rPr>
          <w:rFonts w:ascii="Book Antiqua" w:eastAsia="Book Antiqua" w:hAnsi="Book Antiqua" w:cs="Book Antiqua"/>
          <w:color w:val="000000"/>
        </w:rPr>
        <w:t xml:space="preserve">diarrhea (39% </w:t>
      </w:r>
      <w:r w:rsidR="00A94D67" w:rsidRPr="00880FA7">
        <w:rPr>
          <w:rFonts w:ascii="Book Antiqua" w:eastAsia="Book Antiqua" w:hAnsi="Book Antiqua" w:cs="Book Antiqua"/>
          <w:i/>
          <w:iCs/>
          <w:color w:val="000000"/>
        </w:rPr>
        <w:t>vs</w:t>
      </w:r>
      <w:r w:rsidR="00A94D67" w:rsidRPr="00880FA7">
        <w:rPr>
          <w:rFonts w:ascii="Book Antiqua" w:eastAsia="Book Antiqua" w:hAnsi="Book Antiqua" w:cs="Book Antiqua"/>
          <w:color w:val="000000"/>
        </w:rPr>
        <w:t xml:space="preserve"> 46%)</w:t>
      </w:r>
      <w:r w:rsidRPr="00880FA7">
        <w:rPr>
          <w:rFonts w:ascii="Book Antiqua" w:eastAsia="Book Antiqua" w:hAnsi="Book Antiqua" w:cs="Book Antiqua"/>
          <w:color w:val="000000"/>
        </w:rPr>
        <w:t xml:space="preserve">. </w:t>
      </w:r>
      <w:r w:rsidR="00A13060" w:rsidRPr="00880FA7">
        <w:rPr>
          <w:rFonts w:ascii="Book Antiqua" w:eastAsia="Book Antiqua" w:hAnsi="Book Antiqua" w:cs="Book Antiqua"/>
          <w:color w:val="000000"/>
        </w:rPr>
        <w:t>The</w:t>
      </w:r>
      <w:r w:rsidR="00CD1B48" w:rsidRPr="00880FA7">
        <w:rPr>
          <w:rFonts w:ascii="Book Antiqua" w:eastAsia="Book Antiqua" w:hAnsi="Book Antiqua" w:cs="Book Antiqua"/>
          <w:color w:val="000000"/>
        </w:rPr>
        <w:t xml:space="preserve"> reductions</w:t>
      </w:r>
      <w:r w:rsidR="00A13060" w:rsidRPr="00880FA7">
        <w:rPr>
          <w:rFonts w:ascii="Book Antiqua" w:eastAsia="Book Antiqua" w:hAnsi="Book Antiqua" w:cs="Book Antiqua"/>
          <w:color w:val="000000"/>
        </w:rPr>
        <w:t xml:space="preserve"> of dosage</w:t>
      </w:r>
      <w:r w:rsidR="00CD1B48" w:rsidRPr="00880FA7">
        <w:rPr>
          <w:rFonts w:ascii="Book Antiqua" w:eastAsia="Book Antiqua" w:hAnsi="Book Antiqua" w:cs="Book Antiqua"/>
          <w:color w:val="000000"/>
        </w:rPr>
        <w:t xml:space="preserve">, </w:t>
      </w:r>
      <w:r w:rsidR="00A13060" w:rsidRPr="00880FA7">
        <w:rPr>
          <w:rFonts w:ascii="Book Antiqua" w:eastAsia="Book Antiqua" w:hAnsi="Book Antiqua" w:cs="Book Antiqua"/>
          <w:color w:val="000000"/>
        </w:rPr>
        <w:t xml:space="preserve">treatment </w:t>
      </w:r>
      <w:r w:rsidR="00CD1B48" w:rsidRPr="00880FA7">
        <w:rPr>
          <w:rFonts w:ascii="Book Antiqua" w:eastAsia="Book Antiqua" w:hAnsi="Book Antiqua" w:cs="Book Antiqua"/>
          <w:color w:val="000000"/>
        </w:rPr>
        <w:t xml:space="preserve">suspensions, and </w:t>
      </w:r>
      <w:r w:rsidR="00A13060" w:rsidRPr="00880FA7">
        <w:rPr>
          <w:rFonts w:ascii="Book Antiqua" w:eastAsia="Book Antiqua" w:hAnsi="Book Antiqua" w:cs="Book Antiqua"/>
          <w:color w:val="000000"/>
        </w:rPr>
        <w:t xml:space="preserve">drugs </w:t>
      </w:r>
      <w:r w:rsidR="00CD1B48" w:rsidRPr="00880FA7">
        <w:rPr>
          <w:rFonts w:ascii="Book Antiqua" w:eastAsia="Book Antiqua" w:hAnsi="Book Antiqua" w:cs="Book Antiqua"/>
          <w:color w:val="000000"/>
        </w:rPr>
        <w:t>discontinuations were re</w:t>
      </w:r>
      <w:r w:rsidR="00A13060" w:rsidRPr="00880FA7">
        <w:rPr>
          <w:rFonts w:ascii="Book Antiqua" w:eastAsia="Book Antiqua" w:hAnsi="Book Antiqua" w:cs="Book Antiqua"/>
          <w:color w:val="000000"/>
        </w:rPr>
        <w:t>port</w:t>
      </w:r>
      <w:r w:rsidR="00CD1B48" w:rsidRPr="00880FA7">
        <w:rPr>
          <w:rFonts w:ascii="Book Antiqua" w:eastAsia="Book Antiqua" w:hAnsi="Book Antiqua" w:cs="Book Antiqua"/>
          <w:color w:val="000000"/>
        </w:rPr>
        <w:t xml:space="preserve">ed by 40%, 37%, and 9% of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CD1B48" w:rsidRPr="00880FA7">
        <w:rPr>
          <w:rFonts w:ascii="Book Antiqua" w:eastAsia="Book Antiqua" w:hAnsi="Book Antiqua" w:cs="Book Antiqua"/>
          <w:color w:val="000000"/>
        </w:rPr>
        <w:t xml:space="preserve">-treated patients, respectively, and 32%, 38%, and 7% of </w:t>
      </w:r>
      <w:r w:rsidR="006C6D0A" w:rsidRPr="00880FA7">
        <w:rPr>
          <w:rFonts w:ascii="Book Antiqua" w:eastAsia="Book Antiqua" w:hAnsi="Book Antiqua" w:cs="Book Antiqua"/>
          <w:color w:val="000000"/>
        </w:rPr>
        <w:t xml:space="preserve">patients who were treated with </w:t>
      </w:r>
      <w:r w:rsidR="00CD1B48" w:rsidRPr="00880FA7">
        <w:rPr>
          <w:rFonts w:ascii="Book Antiqua" w:eastAsia="Book Antiqua" w:hAnsi="Book Antiqua" w:cs="Book Antiqua"/>
          <w:color w:val="000000"/>
        </w:rPr>
        <w:t xml:space="preserve">sorafenib, </w:t>
      </w:r>
      <w:r w:rsidR="00CD1B48" w:rsidRPr="00880FA7">
        <w:rPr>
          <w:rFonts w:ascii="Book Antiqua" w:eastAsia="Book Antiqua" w:hAnsi="Book Antiqua" w:cs="Book Antiqua"/>
          <w:color w:val="000000"/>
        </w:rPr>
        <w:lastRenderedPageBreak/>
        <w:t>respectively</w:t>
      </w:r>
      <w:r w:rsidRPr="00880FA7">
        <w:rPr>
          <w:rFonts w:ascii="Book Antiqua" w:eastAsia="Book Antiqua" w:hAnsi="Book Antiqua" w:cs="Book Antiqua"/>
          <w:color w:val="000000"/>
        </w:rPr>
        <w:t xml:space="preserve">. </w:t>
      </w:r>
      <w:r w:rsidR="00C4237E" w:rsidRPr="00880FA7">
        <w:rPr>
          <w:rFonts w:ascii="Book Antiqua" w:eastAsia="Book Antiqua" w:hAnsi="Book Antiqua" w:cs="Book Antiqua"/>
          <w:color w:val="000000"/>
        </w:rPr>
        <w:t xml:space="preserve">During the REFLECT trial's follow-up period, 33% of </w:t>
      </w:r>
      <w:r w:rsidR="00FB4406" w:rsidRPr="00880FA7">
        <w:rPr>
          <w:rFonts w:ascii="Book Antiqua" w:eastAsia="Book Antiqua" w:hAnsi="Book Antiqua" w:cs="Book Antiqua"/>
          <w:color w:val="000000"/>
        </w:rPr>
        <w:t xml:space="preserve">patients who were treated with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C4237E" w:rsidRPr="00880FA7">
        <w:rPr>
          <w:rFonts w:ascii="Book Antiqua" w:eastAsia="Book Antiqua" w:hAnsi="Book Antiqua" w:cs="Book Antiqua"/>
          <w:color w:val="000000"/>
        </w:rPr>
        <w:t xml:space="preserve"> and 39% of </w:t>
      </w:r>
      <w:r w:rsidR="00FB4406" w:rsidRPr="00880FA7">
        <w:rPr>
          <w:rFonts w:ascii="Book Antiqua" w:eastAsia="Book Antiqua" w:hAnsi="Book Antiqua" w:cs="Book Antiqua"/>
          <w:color w:val="000000"/>
        </w:rPr>
        <w:t xml:space="preserve">patients who were treated with </w:t>
      </w:r>
      <w:r w:rsidR="00C4237E" w:rsidRPr="00880FA7">
        <w:rPr>
          <w:rFonts w:ascii="Book Antiqua" w:eastAsia="Book Antiqua" w:hAnsi="Book Antiqua" w:cs="Book Antiqua"/>
          <w:color w:val="000000"/>
        </w:rPr>
        <w:t xml:space="preserve">sorafenib received antineoplastic </w:t>
      </w:r>
      <w:r w:rsidR="00FB4406" w:rsidRPr="00880FA7">
        <w:rPr>
          <w:rFonts w:ascii="Book Antiqua" w:eastAsia="Book Antiqua" w:hAnsi="Book Antiqua" w:cs="Book Antiqua"/>
          <w:color w:val="000000"/>
        </w:rPr>
        <w:t>drug</w:t>
      </w:r>
      <w:r w:rsidR="00C4237E" w:rsidRPr="00880FA7">
        <w:rPr>
          <w:rFonts w:ascii="Book Antiqua" w:eastAsia="Book Antiqua" w:hAnsi="Book Antiqua" w:cs="Book Antiqua"/>
          <w:color w:val="000000"/>
        </w:rPr>
        <w:t>s</w:t>
      </w:r>
      <w:r w:rsidRPr="00880FA7">
        <w:rPr>
          <w:rFonts w:ascii="Book Antiqua" w:eastAsia="Book Antiqua" w:hAnsi="Book Antiqua" w:cs="Book Antiqua"/>
          <w:color w:val="000000"/>
        </w:rPr>
        <w:t xml:space="preserve">. The median survival time among patients who did not get further treatment with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Pr="00880FA7">
        <w:rPr>
          <w:rFonts w:ascii="Book Antiqua" w:eastAsia="Book Antiqua" w:hAnsi="Book Antiqua" w:cs="Book Antiqua"/>
          <w:color w:val="000000"/>
        </w:rPr>
        <w:t xml:space="preserve"> was 11.5 </w:t>
      </w:r>
      <w:r w:rsidR="00387EEC"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and 9.1 </w:t>
      </w:r>
      <w:r w:rsidR="00387EEC"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with sorafenib. Patients who underwent further therapy following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Pr="00880FA7">
        <w:rPr>
          <w:rFonts w:ascii="Book Antiqua" w:eastAsia="Book Antiqua" w:hAnsi="Book Antiqua" w:cs="Book Antiqua"/>
          <w:color w:val="000000"/>
        </w:rPr>
        <w:t xml:space="preserve"> therapy and sorafenib therapy had median survival lengths of 20.8 </w:t>
      </w:r>
      <w:r w:rsidR="00387EEC"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and 17.0 </w:t>
      </w:r>
      <w:r w:rsidR="00387EEC" w:rsidRPr="00880FA7">
        <w:rPr>
          <w:rFonts w:ascii="Book Antiqua" w:eastAsia="Book Antiqua" w:hAnsi="Book Antiqua" w:cs="Book Antiqua"/>
          <w:color w:val="000000"/>
        </w:rPr>
        <w:t>mo</w:t>
      </w:r>
      <w:r w:rsidRPr="00880FA7">
        <w:rPr>
          <w:rFonts w:ascii="Book Antiqua" w:eastAsia="Book Antiqua" w:hAnsi="Book Antiqua" w:cs="Book Antiqua"/>
          <w:color w:val="000000"/>
        </w:rPr>
        <w:t>, respectively. This was one of the earliest signs that sequential treatment might enhance survival</w:t>
      </w:r>
      <w:r w:rsidRPr="00880FA7">
        <w:rPr>
          <w:rFonts w:ascii="Book Antiqua" w:eastAsia="Book Antiqua" w:hAnsi="Book Antiqua" w:cs="Book Antiqua"/>
          <w:color w:val="000000"/>
          <w:vertAlign w:val="superscript"/>
        </w:rPr>
        <w:t>[47]</w:t>
      </w:r>
      <w:r w:rsidRPr="00880FA7">
        <w:rPr>
          <w:rFonts w:ascii="Book Antiqua" w:eastAsia="Book Antiqua" w:hAnsi="Book Antiqua" w:cs="Book Antiqua"/>
          <w:color w:val="000000"/>
        </w:rPr>
        <w:t xml:space="preserve">. </w:t>
      </w:r>
    </w:p>
    <w:p w14:paraId="7777ED58" w14:textId="50DF6101" w:rsidR="00A77B3E" w:rsidRPr="00880FA7" w:rsidRDefault="00A92039" w:rsidP="00B349FF">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Finn </w:t>
      </w:r>
      <w:r w:rsidRPr="00880FA7">
        <w:rPr>
          <w:rFonts w:ascii="Book Antiqua" w:eastAsia="Book Antiqua" w:hAnsi="Book Antiqua" w:cs="Book Antiqua"/>
          <w:i/>
          <w:iCs/>
          <w:color w:val="000000"/>
        </w:rPr>
        <w:t>et al</w:t>
      </w:r>
      <w:r w:rsidRPr="00880FA7">
        <w:rPr>
          <w:rFonts w:ascii="Book Antiqua" w:eastAsia="Book Antiqua" w:hAnsi="Book Antiqua" w:cs="Book Antiqua"/>
          <w:color w:val="000000"/>
          <w:vertAlign w:val="superscript"/>
        </w:rPr>
        <w:t>[48]</w:t>
      </w:r>
      <w:r w:rsidRPr="00880FA7">
        <w:rPr>
          <w:rFonts w:ascii="Book Antiqua" w:eastAsia="Book Antiqua" w:hAnsi="Book Antiqua" w:cs="Book Antiqua"/>
          <w:color w:val="000000"/>
        </w:rPr>
        <w:t xml:space="preserve"> investigated the relationships between serum or tissue biomarkers and effectiveness outcomes from the REFLECT study. ELISA was used to assess serum biomarkers [VEGF, angiopoietin-2 (ANG2), FGF19, FGF21, and FGF23]. The nCounter PanCancer Pathways Panel assessed gene expression in tumor tissues. Pharmacodynamic variations in serum biomarker levels from baseline were investigated, as were clinical outcome relationships with baseline biomarker levels. </w:t>
      </w:r>
      <w:r w:rsidR="00C4237E" w:rsidRPr="00880FA7">
        <w:rPr>
          <w:rFonts w:ascii="Book Antiqua" w:eastAsia="Book Antiqua" w:hAnsi="Book Antiqua" w:cs="Book Antiqua"/>
          <w:color w:val="000000"/>
        </w:rPr>
        <w:t>They included 407 people in the serum analysis group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C4237E" w:rsidRPr="00880FA7">
        <w:rPr>
          <w:rFonts w:ascii="Book Antiqua" w:eastAsia="Book Antiqua" w:hAnsi="Book Antiqua" w:cs="Book Antiqua"/>
          <w:color w:val="000000"/>
        </w:rPr>
        <w:t xml:space="preserve"> </w:t>
      </w:r>
      <w:r w:rsidR="00C4237E" w:rsidRPr="00880FA7">
        <w:rPr>
          <w:rFonts w:ascii="Book Antiqua" w:eastAsia="Book Antiqua" w:hAnsi="Book Antiqua" w:cs="Book Antiqua"/>
          <w:i/>
          <w:color w:val="000000"/>
        </w:rPr>
        <w:t>n</w:t>
      </w:r>
      <w:r w:rsidR="00C4237E" w:rsidRPr="00880FA7">
        <w:rPr>
          <w:rFonts w:ascii="Book Antiqua" w:eastAsia="Book Antiqua" w:hAnsi="Book Antiqua" w:cs="Book Antiqua"/>
          <w:color w:val="000000"/>
        </w:rPr>
        <w:t xml:space="preserve"> = 279, sorafenib </w:t>
      </w:r>
      <w:r w:rsidR="00B349FF" w:rsidRPr="00880FA7">
        <w:rPr>
          <w:rFonts w:ascii="Book Antiqua" w:eastAsia="Book Antiqua" w:hAnsi="Book Antiqua" w:cs="Book Antiqua"/>
          <w:i/>
          <w:color w:val="000000"/>
        </w:rPr>
        <w:t>n</w:t>
      </w:r>
      <w:r w:rsidR="00C4237E" w:rsidRPr="00880FA7">
        <w:rPr>
          <w:rFonts w:ascii="Book Antiqua" w:eastAsia="Book Antiqua" w:hAnsi="Book Antiqua" w:cs="Book Antiqua"/>
          <w:color w:val="000000"/>
        </w:rPr>
        <w:t xml:space="preserve"> = 128) and 58 people in the gene-expression analysis group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C4237E" w:rsidRPr="00880FA7">
        <w:rPr>
          <w:rFonts w:ascii="Book Antiqua" w:eastAsia="Book Antiqua" w:hAnsi="Book Antiqua" w:cs="Book Antiqua"/>
          <w:color w:val="000000"/>
        </w:rPr>
        <w:t xml:space="preserve"> </w:t>
      </w:r>
      <w:r w:rsidR="00B349FF" w:rsidRPr="00880FA7">
        <w:rPr>
          <w:rFonts w:ascii="Book Antiqua" w:eastAsia="Book Antiqua" w:hAnsi="Book Antiqua" w:cs="Book Antiqua"/>
          <w:i/>
          <w:color w:val="000000"/>
        </w:rPr>
        <w:t>n</w:t>
      </w:r>
      <w:r w:rsidR="00C4237E" w:rsidRPr="00880FA7">
        <w:rPr>
          <w:rFonts w:ascii="Book Antiqua" w:eastAsia="Book Antiqua" w:hAnsi="Book Antiqua" w:cs="Book Antiqua"/>
          <w:color w:val="000000"/>
        </w:rPr>
        <w:t xml:space="preserve"> = 34, sorafenib </w:t>
      </w:r>
      <w:r w:rsidR="00B349FF" w:rsidRPr="00880FA7">
        <w:rPr>
          <w:rFonts w:ascii="Book Antiqua" w:eastAsia="Book Antiqua" w:hAnsi="Book Antiqua" w:cs="Book Antiqua"/>
          <w:i/>
          <w:color w:val="000000"/>
        </w:rPr>
        <w:t>n</w:t>
      </w:r>
      <w:r w:rsidR="00C4237E" w:rsidRPr="00880FA7">
        <w:rPr>
          <w:rFonts w:ascii="Book Antiqua" w:eastAsia="Book Antiqua" w:hAnsi="Book Antiqua" w:cs="Book Antiqua"/>
          <w:color w:val="000000"/>
        </w:rPr>
        <w:t xml:space="preserve"> = 24). </w:t>
      </w:r>
      <w:r w:rsidR="00C07439" w:rsidRPr="00880FA7">
        <w:rPr>
          <w:rFonts w:ascii="Book Antiqua" w:eastAsia="Book Antiqua" w:hAnsi="Book Antiqua" w:cs="Book Antiqua"/>
          <w:color w:val="000000"/>
        </w:rPr>
        <w:t xml:space="preserve">They observed that, whereas both treatments were associated with increases in VEGF, only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C07439" w:rsidRPr="00880FA7">
        <w:rPr>
          <w:rFonts w:ascii="Book Antiqua" w:eastAsia="Book Antiqua" w:hAnsi="Book Antiqua" w:cs="Book Antiqua"/>
          <w:color w:val="000000"/>
        </w:rPr>
        <w:t xml:space="preserve"> was associated with increases in FGF19 and FGF23 across the whole study period</w:t>
      </w:r>
      <w:r w:rsidRPr="00880FA7">
        <w:rPr>
          <w:rFonts w:ascii="Book Antiqua" w:eastAsia="Book Antiqua" w:hAnsi="Book Antiqua" w:cs="Book Antiqua"/>
          <w:color w:val="000000"/>
        </w:rPr>
        <w:t xml:space="preserve">. </w:t>
      </w:r>
      <w:r w:rsidR="00D06EA3" w:rsidRPr="00880FA7">
        <w:rPr>
          <w:rFonts w:ascii="Book Antiqua" w:eastAsia="Book Antiqua" w:hAnsi="Book Antiqua" w:cs="Book Antiqua"/>
          <w:color w:val="000000"/>
        </w:rPr>
        <w:t xml:space="preserve">Responders had greater levels of FGF19 and FGF23 on cycle 4, day 1 than non-responders (FGF19: 55.2% </w:t>
      </w:r>
      <w:r w:rsidR="00D06EA3" w:rsidRPr="00880FA7">
        <w:rPr>
          <w:rFonts w:ascii="Book Antiqua" w:eastAsia="Book Antiqua" w:hAnsi="Book Antiqua" w:cs="Book Antiqua"/>
          <w:i/>
          <w:iCs/>
          <w:color w:val="000000"/>
        </w:rPr>
        <w:t>vs</w:t>
      </w:r>
      <w:r w:rsidR="00D06EA3" w:rsidRPr="00880FA7">
        <w:rPr>
          <w:rFonts w:ascii="Book Antiqua" w:eastAsia="Book Antiqua" w:hAnsi="Book Antiqua" w:cs="Book Antiqua"/>
          <w:color w:val="000000"/>
        </w:rPr>
        <w:t xml:space="preserve"> 18.3%, </w:t>
      </w:r>
      <w:r w:rsidR="00D06EA3" w:rsidRPr="00880FA7">
        <w:rPr>
          <w:rFonts w:ascii="Book Antiqua" w:eastAsia="Book Antiqua" w:hAnsi="Book Antiqua" w:cs="Book Antiqua"/>
          <w:i/>
          <w:iCs/>
          <w:color w:val="000000"/>
        </w:rPr>
        <w:t>P</w:t>
      </w:r>
      <w:r w:rsidR="00D06EA3" w:rsidRPr="00880FA7">
        <w:rPr>
          <w:rFonts w:ascii="Book Antiqua" w:eastAsia="Book Antiqua" w:hAnsi="Book Antiqua" w:cs="Book Antiqua"/>
          <w:color w:val="000000"/>
        </w:rPr>
        <w:t xml:space="preserve"> = 0.014; FGF23: 48.4% </w:t>
      </w:r>
      <w:r w:rsidR="00D06EA3" w:rsidRPr="00880FA7">
        <w:rPr>
          <w:rFonts w:ascii="Book Antiqua" w:eastAsia="Book Antiqua" w:hAnsi="Book Antiqua" w:cs="Book Antiqua"/>
          <w:i/>
          <w:iCs/>
          <w:color w:val="000000"/>
        </w:rPr>
        <w:t>vs</w:t>
      </w:r>
      <w:r w:rsidR="00D06EA3" w:rsidRPr="00880FA7">
        <w:rPr>
          <w:rFonts w:ascii="Book Antiqua" w:eastAsia="Book Antiqua" w:hAnsi="Book Antiqua" w:cs="Book Antiqua"/>
          <w:color w:val="000000"/>
        </w:rPr>
        <w:t xml:space="preserve"> 16.4%, </w:t>
      </w:r>
      <w:r w:rsidR="00D06EA3" w:rsidRPr="00880FA7">
        <w:rPr>
          <w:rFonts w:ascii="Book Antiqua" w:eastAsia="Book Antiqua" w:hAnsi="Book Antiqua" w:cs="Book Antiqua"/>
          <w:i/>
          <w:iCs/>
          <w:color w:val="000000"/>
        </w:rPr>
        <w:t>P</w:t>
      </w:r>
      <w:r w:rsidR="00D06EA3" w:rsidRPr="00880FA7">
        <w:rPr>
          <w:rFonts w:ascii="Book Antiqua" w:eastAsia="Book Antiqua" w:hAnsi="Book Antiqua" w:cs="Book Antiqua"/>
          <w:color w:val="000000"/>
        </w:rPr>
        <w:t xml:space="preserve"> = 0.002, respectively)</w:t>
      </w:r>
      <w:r w:rsidRPr="00880FA7">
        <w:rPr>
          <w:rFonts w:ascii="Book Antiqua" w:eastAsia="Book Antiqua" w:hAnsi="Book Antiqua" w:cs="Book Antiqua"/>
          <w:color w:val="000000"/>
        </w:rPr>
        <w:t xml:space="preserve">. In both therapy groups, higher baseline VEGF, ANG2, and FGF21 Levels were associated with a shorter OS. With greater baseline FGF21,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Pr="00880FA7">
        <w:rPr>
          <w:rFonts w:ascii="Book Antiqua" w:eastAsia="Book Antiqua" w:hAnsi="Book Antiqua" w:cs="Book Antiqua"/>
          <w:color w:val="000000"/>
        </w:rPr>
        <w:t xml:space="preserve"> had a longer OS than sorafenib [10.9</w:t>
      </w:r>
      <w:r w:rsidR="00D50C70" w:rsidRPr="00880FA7">
        <w:rPr>
          <w:rFonts w:ascii="Book Antiqua" w:eastAsia="Book Antiqua" w:hAnsi="Book Antiqua" w:cs="Book Antiqua"/>
          <w:color w:val="000000"/>
        </w:rPr>
        <w:t xml:space="preserve"> mo</w:t>
      </w:r>
      <w:r w:rsidRPr="00880FA7">
        <w:rPr>
          <w:rFonts w:ascii="Book Antiqua" w:eastAsia="Book Antiqua" w:hAnsi="Book Antiqua" w:cs="Book Antiqua"/>
          <w:color w:val="000000"/>
        </w:rPr>
        <w:t xml:space="preserve"> </w:t>
      </w:r>
      <w:r w:rsidRPr="00880FA7">
        <w:rPr>
          <w:rFonts w:ascii="Book Antiqua" w:eastAsia="Book Antiqua" w:hAnsi="Book Antiqua" w:cs="Book Antiqua"/>
          <w:i/>
          <w:iCs/>
          <w:color w:val="000000"/>
        </w:rPr>
        <w:t>vs</w:t>
      </w:r>
      <w:r w:rsidRPr="00880FA7">
        <w:rPr>
          <w:rFonts w:ascii="Book Antiqua" w:eastAsia="Book Antiqua" w:hAnsi="Book Antiqua" w:cs="Book Antiqua"/>
          <w:color w:val="000000"/>
        </w:rPr>
        <w:t xml:space="preserve"> 6.8 </w:t>
      </w:r>
      <w:r w:rsidR="00C665E6" w:rsidRPr="00880FA7">
        <w:rPr>
          <w:rFonts w:ascii="Book Antiqua" w:eastAsia="Book Antiqua" w:hAnsi="Book Antiqua" w:cs="Book Antiqua"/>
          <w:color w:val="000000"/>
        </w:rPr>
        <w:t>mo</w:t>
      </w:r>
      <w:r w:rsidRPr="00880FA7">
        <w:rPr>
          <w:rFonts w:ascii="Book Antiqua" w:eastAsia="Book Antiqua" w:hAnsi="Book Antiqua" w:cs="Book Antiqua"/>
          <w:color w:val="000000"/>
        </w:rPr>
        <w:t>, respectively; HR</w:t>
      </w:r>
      <w:r w:rsidR="00B349FF"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 xml:space="preserve"> 0.53; 95%CI</w:t>
      </w:r>
      <w:r w:rsidR="00B349FF" w:rsidRPr="00880FA7">
        <w:rPr>
          <w:rFonts w:ascii="Book Antiqua" w:hAnsi="Book Antiqua" w:cs="Book Antiqua" w:hint="eastAsia"/>
          <w:color w:val="000000"/>
          <w:lang w:eastAsia="zh-CN"/>
        </w:rPr>
        <w:t>:</w:t>
      </w:r>
      <w:r w:rsidR="00B349FF" w:rsidRPr="00880FA7">
        <w:rPr>
          <w:rFonts w:ascii="Book Antiqua" w:eastAsia="Book Antiqua" w:hAnsi="Book Antiqua" w:cs="Book Antiqua"/>
          <w:color w:val="000000"/>
        </w:rPr>
        <w:t xml:space="preserve"> 0.33-</w:t>
      </w:r>
      <w:r w:rsidRPr="00880FA7">
        <w:rPr>
          <w:rFonts w:ascii="Book Antiqua" w:eastAsia="Book Antiqua" w:hAnsi="Book Antiqua" w:cs="Book Antiqua"/>
          <w:color w:val="000000"/>
        </w:rPr>
        <w:t xml:space="preserve">0.85; </w:t>
      </w:r>
      <w:r w:rsidRPr="00880FA7">
        <w:rPr>
          <w:rFonts w:ascii="Book Antiqua" w:eastAsia="Book Antiqua" w:hAnsi="Book Antiqua" w:cs="Book Antiqua"/>
          <w:i/>
          <w:iCs/>
          <w:color w:val="000000"/>
        </w:rPr>
        <w:t>P</w:t>
      </w:r>
      <w:r w:rsidRPr="00880FA7">
        <w:rPr>
          <w:rFonts w:ascii="Book Antiqua" w:eastAsia="Book Antiqua" w:hAnsi="Book Antiqua" w:cs="Book Antiqua"/>
          <w:color w:val="000000"/>
        </w:rPr>
        <w:t xml:space="preserve"> = 0.0397]. In a biomarker examination of tumor tissue, VEGF/FGF-enriched groups outlived the intermediate VEGF/FGF group (HR</w:t>
      </w:r>
      <w:r w:rsidR="00B349FF"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 xml:space="preserve"> 0.39; 95%CI</w:t>
      </w:r>
      <w:r w:rsidR="00B349FF" w:rsidRPr="00880FA7">
        <w:rPr>
          <w:rFonts w:ascii="Book Antiqua" w:hAnsi="Book Antiqua" w:cs="Book Antiqua" w:hint="eastAsia"/>
          <w:color w:val="000000"/>
          <w:lang w:eastAsia="zh-CN"/>
        </w:rPr>
        <w:t>:</w:t>
      </w:r>
      <w:r w:rsidR="00B349FF" w:rsidRPr="00880FA7">
        <w:rPr>
          <w:rFonts w:ascii="Book Antiqua" w:eastAsia="Book Antiqua" w:hAnsi="Book Antiqua" w:cs="Book Antiqua"/>
          <w:color w:val="000000"/>
        </w:rPr>
        <w:t xml:space="preserve"> 0.16-</w:t>
      </w:r>
      <w:r w:rsidRPr="00880FA7">
        <w:rPr>
          <w:rFonts w:ascii="Book Antiqua" w:eastAsia="Book Antiqua" w:hAnsi="Book Antiqua" w:cs="Book Antiqua"/>
          <w:color w:val="000000"/>
        </w:rPr>
        <w:t xml:space="preserve">0.91; </w:t>
      </w:r>
      <w:r w:rsidRPr="00880FA7">
        <w:rPr>
          <w:rFonts w:ascii="Book Antiqua" w:eastAsia="Book Antiqua" w:hAnsi="Book Antiqua" w:cs="Book Antiqua"/>
          <w:i/>
          <w:iCs/>
          <w:color w:val="000000"/>
        </w:rPr>
        <w:t>P</w:t>
      </w:r>
      <w:r w:rsidRPr="00880FA7">
        <w:rPr>
          <w:rFonts w:ascii="Book Antiqua" w:eastAsia="Book Antiqua" w:hAnsi="Book Antiqua" w:cs="Book Antiqua"/>
          <w:color w:val="000000"/>
        </w:rPr>
        <w:t xml:space="preserve"> = 0.0253). They concluded that shorter OS may be predicted by increased baseline levels of VEGF, FGF21, and ANG2. Lenvatinib's superior OS </w:t>
      </w:r>
      <w:r w:rsidRPr="00880FA7">
        <w:rPr>
          <w:rFonts w:ascii="Book Antiqua" w:eastAsia="Book Antiqua" w:hAnsi="Book Antiqua" w:cs="Book Antiqua"/>
          <w:i/>
          <w:iCs/>
          <w:color w:val="000000"/>
        </w:rPr>
        <w:t>vs</w:t>
      </w:r>
      <w:r w:rsidRPr="00880FA7">
        <w:rPr>
          <w:rFonts w:ascii="Book Antiqua" w:eastAsia="Book Antiqua" w:hAnsi="Book Antiqua" w:cs="Book Antiqua"/>
          <w:color w:val="000000"/>
        </w:rPr>
        <w:t xml:space="preserve"> sorafenib may be predicted by higher baseline FGF21, but further research is required to prove this.</w:t>
      </w:r>
    </w:p>
    <w:p w14:paraId="4ED93191" w14:textId="25BC8657" w:rsidR="00A77B3E" w:rsidRPr="00880FA7" w:rsidRDefault="0077358D" w:rsidP="00B349FF">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Now, uHCC has an additional first-line MTKI option in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Pr="00880FA7">
        <w:rPr>
          <w:rFonts w:ascii="Book Antiqua" w:eastAsia="Book Antiqua" w:hAnsi="Book Antiqua" w:cs="Book Antiqua"/>
          <w:color w:val="000000"/>
        </w:rPr>
        <w:t xml:space="preserve">. </w:t>
      </w:r>
      <w:r w:rsidR="006574CF" w:rsidRPr="00880FA7">
        <w:rPr>
          <w:rFonts w:ascii="Book Antiqua" w:eastAsia="Book Antiqua" w:hAnsi="Book Antiqua" w:cs="Book Antiqua"/>
          <w:color w:val="000000"/>
        </w:rPr>
        <w:t xml:space="preserve">In March 2018, it was approved in </w:t>
      </w:r>
      <w:r w:rsidRPr="00880FA7">
        <w:rPr>
          <w:rFonts w:ascii="Book Antiqua" w:eastAsia="Book Antiqua" w:hAnsi="Book Antiqua" w:cs="Book Antiqua"/>
          <w:color w:val="000000"/>
        </w:rPr>
        <w:t>Japan</w:t>
      </w:r>
      <w:r w:rsidR="00A92039" w:rsidRPr="00880FA7">
        <w:rPr>
          <w:rFonts w:ascii="Book Antiqua" w:eastAsia="Book Antiqua" w:hAnsi="Book Antiqua" w:cs="Book Antiqua"/>
          <w:color w:val="000000"/>
        </w:rPr>
        <w:t xml:space="preserve">. </w:t>
      </w:r>
      <w:r w:rsidR="002F3627" w:rsidRPr="00880FA7">
        <w:rPr>
          <w:rFonts w:ascii="Book Antiqua" w:eastAsia="Book Antiqua" w:hAnsi="Book Antiqua" w:cs="Book Antiqua"/>
          <w:color w:val="000000"/>
        </w:rPr>
        <w:t xml:space="preserve">It </w:t>
      </w:r>
      <w:r w:rsidR="006574CF" w:rsidRPr="00880FA7">
        <w:rPr>
          <w:rFonts w:ascii="Book Antiqua" w:eastAsia="Book Antiqua" w:hAnsi="Book Antiqua" w:cs="Book Antiqua"/>
          <w:color w:val="000000"/>
        </w:rPr>
        <w:t xml:space="preserve">was also </w:t>
      </w:r>
      <w:r w:rsidR="002F3627" w:rsidRPr="00880FA7">
        <w:rPr>
          <w:rFonts w:ascii="Book Antiqua" w:eastAsia="Book Antiqua" w:hAnsi="Book Antiqua" w:cs="Book Antiqua"/>
          <w:color w:val="000000"/>
        </w:rPr>
        <w:t>approv</w:t>
      </w:r>
      <w:r w:rsidR="006574CF" w:rsidRPr="00880FA7">
        <w:rPr>
          <w:rFonts w:ascii="Book Antiqua" w:eastAsia="Book Antiqua" w:hAnsi="Book Antiqua" w:cs="Book Antiqua"/>
          <w:color w:val="000000"/>
        </w:rPr>
        <w:t>ed</w:t>
      </w:r>
      <w:r w:rsidR="002F3627" w:rsidRPr="00880FA7">
        <w:rPr>
          <w:rFonts w:ascii="Book Antiqua" w:eastAsia="Book Antiqua" w:hAnsi="Book Antiqua" w:cs="Book Antiqua"/>
          <w:color w:val="000000"/>
        </w:rPr>
        <w:t xml:space="preserve"> in the U</w:t>
      </w:r>
      <w:r w:rsidR="00C06BD1" w:rsidRPr="00880FA7">
        <w:rPr>
          <w:rFonts w:ascii="Book Antiqua" w:hAnsi="Book Antiqua" w:cs="Book Antiqua" w:hint="eastAsia"/>
          <w:color w:val="000000"/>
          <w:lang w:eastAsia="zh-CN"/>
        </w:rPr>
        <w:t xml:space="preserve">nited </w:t>
      </w:r>
      <w:r w:rsidR="002F3627" w:rsidRPr="00880FA7">
        <w:rPr>
          <w:rFonts w:ascii="Book Antiqua" w:eastAsia="Book Antiqua" w:hAnsi="Book Antiqua" w:cs="Book Antiqua"/>
          <w:color w:val="000000"/>
        </w:rPr>
        <w:t>S</w:t>
      </w:r>
      <w:r w:rsidR="00C06BD1" w:rsidRPr="00880FA7">
        <w:rPr>
          <w:rFonts w:ascii="Book Antiqua" w:hAnsi="Book Antiqua" w:cs="Book Antiqua" w:hint="eastAsia"/>
          <w:color w:val="000000"/>
          <w:lang w:eastAsia="zh-CN"/>
        </w:rPr>
        <w:t>tates</w:t>
      </w:r>
      <w:r w:rsidR="002F3627" w:rsidRPr="00880FA7">
        <w:rPr>
          <w:rFonts w:ascii="Book Antiqua" w:eastAsia="Book Antiqua" w:hAnsi="Book Antiqua" w:cs="Book Antiqua"/>
          <w:color w:val="000000"/>
        </w:rPr>
        <w:t xml:space="preserve"> in August 2018</w:t>
      </w:r>
      <w:r w:rsidR="00A92039" w:rsidRPr="00880FA7">
        <w:rPr>
          <w:rFonts w:ascii="Book Antiqua" w:eastAsia="Book Antiqua" w:hAnsi="Book Antiqua" w:cs="Book Antiqua"/>
          <w:color w:val="000000"/>
        </w:rPr>
        <w:t xml:space="preserve">. The </w:t>
      </w:r>
      <w:r w:rsidR="002F3627" w:rsidRPr="00880FA7">
        <w:rPr>
          <w:rFonts w:ascii="Book Antiqua" w:eastAsia="Book Antiqua" w:hAnsi="Book Antiqua" w:cs="Book Antiqua"/>
          <w:color w:val="000000"/>
        </w:rPr>
        <w:lastRenderedPageBreak/>
        <w:t xml:space="preserve">European Association for the Study of the Liver, </w:t>
      </w:r>
      <w:r w:rsidR="00A92039" w:rsidRPr="00880FA7">
        <w:rPr>
          <w:rFonts w:ascii="Book Antiqua" w:eastAsia="Book Antiqua" w:hAnsi="Book Antiqua" w:cs="Book Antiqua"/>
          <w:color w:val="000000"/>
        </w:rPr>
        <w:t>European Society for Medical Oncology (ESMO),</w:t>
      </w:r>
      <w:r w:rsidR="00231E1E" w:rsidRPr="00880FA7">
        <w:rPr>
          <w:rFonts w:ascii="Book Antiqua" w:hAnsi="Book Antiqua" w:cs="Book Antiqua" w:hint="eastAsia"/>
          <w:color w:val="000000"/>
          <w:lang w:eastAsia="zh-CN"/>
        </w:rPr>
        <w:t xml:space="preserve"> </w:t>
      </w:r>
      <w:r w:rsidR="002F3627" w:rsidRPr="00880FA7">
        <w:rPr>
          <w:rFonts w:ascii="Book Antiqua" w:eastAsia="Book Antiqua" w:hAnsi="Book Antiqua" w:cs="Book Antiqua"/>
          <w:color w:val="000000"/>
        </w:rPr>
        <w:t xml:space="preserve">National Comprehensive Cancer Network (NCCN), </w:t>
      </w:r>
      <w:r w:rsidR="00A92039" w:rsidRPr="00880FA7">
        <w:rPr>
          <w:rFonts w:ascii="Book Antiqua" w:eastAsia="Book Antiqua" w:hAnsi="Book Antiqua" w:cs="Book Antiqua"/>
          <w:color w:val="000000"/>
        </w:rPr>
        <w:t>American Society of Clinical Oncology (ASCO), and</w:t>
      </w:r>
      <w:r w:rsidR="00231E1E"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 xml:space="preserve">all agreed that </w:t>
      </w:r>
      <w:r w:rsidR="00780091"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231E1E"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should be used in the first-line setting but only for patients</w:t>
      </w:r>
      <w:r w:rsidR="00231E1E"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with Child-Pugh class</w:t>
      </w:r>
      <w:r w:rsidR="00231E1E"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A cirrhosis</w:t>
      </w:r>
      <w:r w:rsidR="00A92039" w:rsidRPr="00880FA7">
        <w:rPr>
          <w:rFonts w:ascii="Book Antiqua" w:eastAsia="Book Antiqua" w:hAnsi="Book Antiqua" w:cs="Book Antiqua"/>
          <w:color w:val="000000"/>
          <w:vertAlign w:val="superscript"/>
        </w:rPr>
        <w:t>[49-52]</w:t>
      </w:r>
      <w:r w:rsidR="00A92039" w:rsidRPr="00880FA7">
        <w:rPr>
          <w:rFonts w:ascii="Book Antiqua" w:eastAsia="Book Antiqua" w:hAnsi="Book Antiqua" w:cs="Book Antiqua"/>
          <w:color w:val="000000"/>
        </w:rPr>
        <w:t>.</w:t>
      </w:r>
    </w:p>
    <w:p w14:paraId="7D4F7764" w14:textId="77777777" w:rsidR="00231E1E" w:rsidRPr="00880FA7" w:rsidRDefault="00231E1E" w:rsidP="00D33124">
      <w:pPr>
        <w:spacing w:line="360" w:lineRule="auto"/>
        <w:jc w:val="both"/>
        <w:rPr>
          <w:rFonts w:ascii="Book Antiqua" w:hAnsi="Book Antiqua" w:cs="Book Antiqua"/>
          <w:b/>
          <w:color w:val="000000"/>
          <w:lang w:eastAsia="zh-CN"/>
        </w:rPr>
      </w:pPr>
    </w:p>
    <w:p w14:paraId="6CA430DC" w14:textId="77777777" w:rsidR="00A77B3E" w:rsidRPr="00880FA7" w:rsidRDefault="00CC4061" w:rsidP="00D33124">
      <w:pPr>
        <w:spacing w:line="360" w:lineRule="auto"/>
        <w:jc w:val="both"/>
        <w:rPr>
          <w:rFonts w:ascii="Book Antiqua" w:hAnsi="Book Antiqua"/>
          <w:b/>
          <w:i/>
        </w:rPr>
      </w:pPr>
      <w:r w:rsidRPr="00880FA7">
        <w:rPr>
          <w:rFonts w:ascii="Book Antiqua" w:hAnsi="Book Antiqua" w:cs="Book Antiqua" w:hint="eastAsia"/>
          <w:b/>
          <w:i/>
          <w:color w:val="000000"/>
          <w:lang w:eastAsia="zh-CN"/>
        </w:rPr>
        <w:t>C</w:t>
      </w:r>
      <w:r w:rsidRPr="00880FA7">
        <w:rPr>
          <w:rFonts w:ascii="Book Antiqua" w:eastAsia="Book Antiqua" w:hAnsi="Book Antiqua" w:cs="Book Antiqua"/>
          <w:b/>
          <w:i/>
          <w:color w:val="000000"/>
        </w:rPr>
        <w:t>ombination therapy</w:t>
      </w:r>
      <w:r w:rsidR="00A92039" w:rsidRPr="00880FA7">
        <w:rPr>
          <w:rFonts w:ascii="Book Antiqua" w:eastAsia="Book Antiqua" w:hAnsi="Book Antiqua" w:cs="Book Antiqua"/>
          <w:b/>
          <w:bCs/>
          <w:i/>
          <w:iCs/>
          <w:color w:val="000000"/>
        </w:rPr>
        <w:t xml:space="preserve"> </w:t>
      </w:r>
      <w:r w:rsidR="00231E1E" w:rsidRPr="00880FA7">
        <w:rPr>
          <w:rFonts w:ascii="Book Antiqua" w:hAnsi="Book Antiqua" w:cs="Book Antiqua" w:hint="eastAsia"/>
          <w:b/>
          <w:bCs/>
          <w:i/>
          <w:iCs/>
          <w:color w:val="000000"/>
          <w:lang w:eastAsia="zh-CN"/>
        </w:rPr>
        <w:t>of</w:t>
      </w:r>
      <w:r w:rsidR="00A92039" w:rsidRPr="00880FA7">
        <w:rPr>
          <w:rFonts w:ascii="Book Antiqua" w:eastAsia="Book Antiqua" w:hAnsi="Book Antiqua" w:cs="Book Antiqua"/>
          <w:b/>
          <w:bCs/>
          <w:i/>
          <w:iCs/>
          <w:color w:val="000000"/>
        </w:rPr>
        <w:t xml:space="preserve"> </w:t>
      </w:r>
      <w:r w:rsidR="00231E1E" w:rsidRPr="00880FA7">
        <w:rPr>
          <w:rFonts w:ascii="Book Antiqua" w:eastAsia="Book Antiqua" w:hAnsi="Book Antiqua" w:cs="Book Antiqua"/>
          <w:b/>
          <w:i/>
          <w:color w:val="000000"/>
        </w:rPr>
        <w:t>immune check</w:t>
      </w:r>
      <w:r w:rsidR="00A92039" w:rsidRPr="00880FA7">
        <w:rPr>
          <w:rFonts w:ascii="Book Antiqua" w:eastAsia="Book Antiqua" w:hAnsi="Book Antiqua" w:cs="Book Antiqua"/>
          <w:b/>
          <w:bCs/>
          <w:i/>
          <w:iCs/>
          <w:color w:val="000000"/>
        </w:rPr>
        <w:t>-</w:t>
      </w:r>
      <w:r w:rsidR="00231E1E" w:rsidRPr="00880FA7">
        <w:rPr>
          <w:rFonts w:ascii="Book Antiqua" w:hAnsi="Book Antiqua" w:cs="Book Antiqua" w:hint="eastAsia"/>
          <w:b/>
          <w:bCs/>
          <w:i/>
          <w:iCs/>
          <w:color w:val="000000"/>
          <w:lang w:eastAsia="zh-CN"/>
        </w:rPr>
        <w:t>point</w:t>
      </w:r>
      <w:r w:rsidR="00A92039" w:rsidRPr="00880FA7">
        <w:rPr>
          <w:rFonts w:ascii="Book Antiqua" w:eastAsia="Book Antiqua" w:hAnsi="Book Antiqua" w:cs="Book Antiqua"/>
          <w:b/>
          <w:bCs/>
          <w:i/>
          <w:iCs/>
          <w:color w:val="000000"/>
        </w:rPr>
        <w:t xml:space="preserve"> </w:t>
      </w:r>
      <w:r w:rsidR="00231E1E" w:rsidRPr="00880FA7">
        <w:rPr>
          <w:rFonts w:ascii="Book Antiqua" w:eastAsia="Book Antiqua" w:hAnsi="Book Antiqua" w:cs="Book Antiqua"/>
          <w:b/>
          <w:i/>
          <w:color w:val="000000"/>
        </w:rPr>
        <w:t>inhibitor</w:t>
      </w:r>
      <w:r w:rsidR="00A92039" w:rsidRPr="00880FA7">
        <w:rPr>
          <w:rFonts w:ascii="Book Antiqua" w:eastAsia="Book Antiqua" w:hAnsi="Book Antiqua" w:cs="Book Antiqua"/>
          <w:b/>
          <w:bCs/>
          <w:i/>
          <w:iCs/>
          <w:color w:val="000000"/>
        </w:rPr>
        <w:t xml:space="preserve"> </w:t>
      </w:r>
      <w:r w:rsidR="00231E1E" w:rsidRPr="00880FA7">
        <w:rPr>
          <w:rFonts w:ascii="Book Antiqua" w:hAnsi="Book Antiqua" w:cs="Book Antiqua" w:hint="eastAsia"/>
          <w:b/>
          <w:bCs/>
          <w:i/>
          <w:iCs/>
          <w:color w:val="000000"/>
          <w:lang w:eastAsia="zh-CN"/>
        </w:rPr>
        <w:t>and</w:t>
      </w:r>
      <w:r w:rsidR="00A92039" w:rsidRPr="00880FA7">
        <w:rPr>
          <w:rFonts w:ascii="Book Antiqua" w:eastAsia="Book Antiqua" w:hAnsi="Book Antiqua" w:cs="Book Antiqua"/>
          <w:b/>
          <w:bCs/>
          <w:i/>
          <w:iCs/>
          <w:color w:val="000000"/>
        </w:rPr>
        <w:t xml:space="preserve"> VEGF </w:t>
      </w:r>
      <w:r w:rsidR="00231E1E" w:rsidRPr="00880FA7">
        <w:rPr>
          <w:rFonts w:ascii="Book Antiqua" w:eastAsia="Book Antiqua" w:hAnsi="Book Antiqua" w:cs="Book Antiqua"/>
          <w:b/>
          <w:i/>
          <w:color w:val="000000"/>
        </w:rPr>
        <w:t>inhibitor</w:t>
      </w:r>
    </w:p>
    <w:p w14:paraId="71F359BC" w14:textId="77777777" w:rsidR="00A77B3E" w:rsidRPr="00880FA7" w:rsidRDefault="00A92039" w:rsidP="00D33124">
      <w:pPr>
        <w:spacing w:line="360" w:lineRule="auto"/>
        <w:jc w:val="both"/>
        <w:rPr>
          <w:rFonts w:ascii="Book Antiqua" w:hAnsi="Book Antiqua"/>
          <w:lang w:eastAsia="zh-CN"/>
        </w:rPr>
      </w:pPr>
      <w:r w:rsidRPr="00880FA7">
        <w:rPr>
          <w:rFonts w:ascii="Book Antiqua" w:eastAsia="Book Antiqua" w:hAnsi="Book Antiqua" w:cs="Book Antiqua"/>
          <w:b/>
          <w:bCs/>
          <w:iCs/>
          <w:color w:val="000000"/>
        </w:rPr>
        <w:t>Atezolizumab plus bevacizumab</w:t>
      </w:r>
      <w:r w:rsidR="00A840B5" w:rsidRPr="00880FA7">
        <w:rPr>
          <w:rFonts w:ascii="Book Antiqua" w:hAnsi="Book Antiqua" w:cs="Book Antiqua" w:hint="eastAsia"/>
          <w:b/>
          <w:bCs/>
          <w:iCs/>
          <w:color w:val="000000"/>
          <w:lang w:eastAsia="zh-CN"/>
        </w:rPr>
        <w:t>:</w:t>
      </w:r>
      <w:r w:rsidR="00A840B5" w:rsidRPr="00880FA7">
        <w:rPr>
          <w:rFonts w:ascii="Book Antiqua" w:hAnsi="Book Antiqua" w:hint="eastAsia"/>
          <w:lang w:eastAsia="zh-CN"/>
        </w:rPr>
        <w:t xml:space="preserve"> </w:t>
      </w:r>
      <w:r w:rsidRPr="00880FA7">
        <w:rPr>
          <w:rFonts w:ascii="Book Antiqua" w:eastAsia="Book Antiqua" w:hAnsi="Book Antiqua" w:cs="Book Antiqua"/>
          <w:color w:val="000000"/>
        </w:rPr>
        <w:t>The importance of VEGF and VEGFR signaling pathways in angiogenesis and tumor formation has been highlighted through research into the etiology of HCC. Both healthy and pathological angiogenesis are regulated by the VEGF protein family</w:t>
      </w:r>
      <w:r w:rsidRPr="00880FA7">
        <w:rPr>
          <w:rFonts w:ascii="Book Antiqua" w:eastAsia="Book Antiqua" w:hAnsi="Book Antiqua" w:cs="Book Antiqua"/>
          <w:color w:val="000000"/>
          <w:vertAlign w:val="superscript"/>
        </w:rPr>
        <w:t>[53]</w:t>
      </w:r>
      <w:r w:rsidRPr="00880FA7">
        <w:rPr>
          <w:rFonts w:ascii="Book Antiqua" w:eastAsia="Book Antiqua" w:hAnsi="Book Antiqua" w:cs="Book Antiqua"/>
          <w:color w:val="000000"/>
        </w:rPr>
        <w:t xml:space="preserve">. When VEGF overexpression was observed in these tumors, their function as therapeutic targets in uHCC was found. </w:t>
      </w:r>
      <w:r w:rsidR="002B3144" w:rsidRPr="00880FA7">
        <w:rPr>
          <w:rFonts w:ascii="Book Antiqua" w:eastAsia="Book Antiqua" w:hAnsi="Book Antiqua" w:cs="Book Antiqua"/>
          <w:color w:val="000000"/>
        </w:rPr>
        <w:t>It is not unexpected that the idea of targeting tumor angiogenesis as a potential therapeutic method was offered as early as 1971 given the knowledge that a significant phase in tumor development requires oxygen and nourishment supply for sustained growth</w:t>
      </w:r>
      <w:r w:rsidR="00642F99" w:rsidRPr="00880FA7">
        <w:rPr>
          <w:rFonts w:ascii="Book Antiqua" w:eastAsia="Book Antiqua" w:hAnsi="Book Antiqua" w:cs="Book Antiqua"/>
          <w:color w:val="000000"/>
        </w:rPr>
        <w:t>.</w:t>
      </w:r>
      <w:r w:rsidRPr="00880FA7">
        <w:rPr>
          <w:rFonts w:ascii="Book Antiqua" w:eastAsia="Book Antiqua" w:hAnsi="Book Antiqua" w:cs="Book Antiqua"/>
          <w:color w:val="000000"/>
        </w:rPr>
        <w:t xml:space="preserve"> As previously stated, VEGF expression is increased in HCC. Sorafenib targets the VEGF signaling system </w:t>
      </w:r>
      <w:r w:rsidRPr="00880FA7">
        <w:rPr>
          <w:rFonts w:ascii="Book Antiqua" w:eastAsia="Book Antiqua" w:hAnsi="Book Antiqua" w:cs="Book Antiqua"/>
          <w:i/>
          <w:iCs/>
          <w:color w:val="000000"/>
        </w:rPr>
        <w:t>via</w:t>
      </w:r>
      <w:r w:rsidRPr="00880FA7">
        <w:rPr>
          <w:rFonts w:ascii="Book Antiqua" w:eastAsia="Book Antiqua" w:hAnsi="Book Antiqua" w:cs="Book Antiqua"/>
          <w:color w:val="000000"/>
        </w:rPr>
        <w:t xml:space="preserve"> MTKI, resulting in the therapeutic advantage already documented. However, the tangible benefit of sorafenib in terms of VEGF inhibition prompted researchers to look for other pathways targeting tumor angiogenesis and</w:t>
      </w:r>
      <w:r w:rsidR="00DC5CC9"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VEGF inhibition.</w:t>
      </w:r>
    </w:p>
    <w:p w14:paraId="1FC67E34" w14:textId="4C7A835C" w:rsidR="00A77B3E" w:rsidRPr="00880FA7" w:rsidRDefault="00A92039" w:rsidP="00DC5CC9">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Because it develops in persistently inflamed livers from both viral and non-viral origins, HCC is usually referred to as an immunogenic malignancy. Furthermore, tumor-associated antigen expression and particular gene alterations that result in unique neoantigens lead to HCC immunogenicity. Innovative immunomodulation treatment options in uHCC have emerged as a result of investigations into the </w:t>
      </w:r>
      <w:r w:rsidR="003C4F6F" w:rsidRPr="00880FA7">
        <w:rPr>
          <w:rFonts w:ascii="Book Antiqua" w:eastAsia="Book Antiqua" w:hAnsi="Book Antiqua" w:cs="Book Antiqua"/>
          <w:color w:val="000000"/>
        </w:rPr>
        <w:t>tumor microenvironment (TME)</w:t>
      </w:r>
      <w:r w:rsidRPr="00880FA7">
        <w:rPr>
          <w:rFonts w:ascii="Book Antiqua" w:eastAsia="Book Antiqua" w:hAnsi="Book Antiqua" w:cs="Book Antiqua"/>
          <w:color w:val="000000"/>
        </w:rPr>
        <w:t xml:space="preserve"> in HCC. </w:t>
      </w:r>
      <w:r w:rsidR="00306550" w:rsidRPr="00880FA7">
        <w:rPr>
          <w:rFonts w:ascii="Book Antiqua" w:eastAsia="Book Antiqua" w:hAnsi="Book Antiqua" w:cs="Book Antiqua"/>
          <w:color w:val="000000"/>
        </w:rPr>
        <w:t>Hepatitis viruses' persistent inflammation and the parenchyma's production of cytokines and growth factors coexist in a complex microenvironment</w:t>
      </w:r>
      <w:r w:rsidRPr="00880FA7">
        <w:rPr>
          <w:rFonts w:ascii="Book Antiqua" w:eastAsia="Book Antiqua" w:hAnsi="Book Antiqua" w:cs="Book Antiqua"/>
          <w:color w:val="000000"/>
        </w:rPr>
        <w:t xml:space="preserve">. </w:t>
      </w:r>
      <w:r w:rsidR="00535BD7" w:rsidRPr="00880FA7">
        <w:rPr>
          <w:rFonts w:ascii="Book Antiqua" w:eastAsia="Book Antiqua" w:hAnsi="Book Antiqua" w:cs="Book Antiqua"/>
          <w:color w:val="000000"/>
        </w:rPr>
        <w:t>Due to restricted T cell activation that results in the generation of tumor-related antigens, the liver is also known to have an intrinsic immunosuppressive environment</w:t>
      </w:r>
      <w:r w:rsidRPr="00880FA7">
        <w:rPr>
          <w:rFonts w:ascii="Book Antiqua" w:eastAsia="Book Antiqua" w:hAnsi="Book Antiqua" w:cs="Book Antiqua"/>
          <w:color w:val="000000"/>
        </w:rPr>
        <w:t xml:space="preserve">. </w:t>
      </w:r>
      <w:r w:rsidR="005227B7" w:rsidRPr="00880FA7">
        <w:rPr>
          <w:rFonts w:ascii="Book Antiqua" w:eastAsia="Book Antiqua" w:hAnsi="Book Antiqua" w:cs="Book Antiqua"/>
          <w:color w:val="000000"/>
        </w:rPr>
        <w:t xml:space="preserve">The majority of the immune system's anti-tumor defenses are T cells, and tumor cells that have overexpressed the programmed cell death ligand 1 (PD-L1) have </w:t>
      </w:r>
      <w:r w:rsidR="005227B7" w:rsidRPr="00880FA7">
        <w:rPr>
          <w:rFonts w:ascii="Book Antiqua" w:eastAsia="Book Antiqua" w:hAnsi="Book Antiqua" w:cs="Book Antiqua"/>
          <w:color w:val="000000"/>
        </w:rPr>
        <w:lastRenderedPageBreak/>
        <w:t>created an immunosuppressive milieu</w:t>
      </w:r>
      <w:r w:rsidRPr="00880FA7">
        <w:rPr>
          <w:rFonts w:ascii="Book Antiqua" w:eastAsia="Book Antiqua" w:hAnsi="Book Antiqua" w:cs="Book Antiqua"/>
          <w:color w:val="000000"/>
        </w:rPr>
        <w:t xml:space="preserve">. Immunological checkpoints are coinhibitory membrane glycoproteins that largely block T cell immune overactivation during inflammatory and infectious conditions. </w:t>
      </w:r>
      <w:r w:rsidR="00B20CDA" w:rsidRPr="00880FA7">
        <w:rPr>
          <w:rFonts w:ascii="Book Antiqua" w:eastAsia="Book Antiqua" w:hAnsi="Book Antiqua" w:cs="Book Antiqua"/>
          <w:color w:val="000000"/>
        </w:rPr>
        <w:t xml:space="preserve">Normally, this avoids collateral tissue damage, but in the </w:t>
      </w:r>
      <w:r w:rsidR="003C4F6F" w:rsidRPr="00880FA7">
        <w:rPr>
          <w:rFonts w:ascii="Book Antiqua" w:eastAsia="Book Antiqua" w:hAnsi="Book Antiqua" w:cs="Book Antiqua"/>
          <w:color w:val="000000"/>
        </w:rPr>
        <w:t>TME</w:t>
      </w:r>
      <w:r w:rsidR="00B20CDA" w:rsidRPr="00880FA7">
        <w:rPr>
          <w:rFonts w:ascii="Book Antiqua" w:eastAsia="Book Antiqua" w:hAnsi="Book Antiqua" w:cs="Book Antiqua"/>
          <w:color w:val="000000"/>
        </w:rPr>
        <w:t>, their expression plays a critical role in encouraging T cell exhaustion and immunological tolerance</w:t>
      </w:r>
      <w:r w:rsidRPr="00880FA7">
        <w:rPr>
          <w:rFonts w:ascii="Book Antiqua" w:eastAsia="Book Antiqua" w:hAnsi="Book Antiqua" w:cs="Book Antiqua"/>
          <w:color w:val="000000"/>
        </w:rPr>
        <w:t xml:space="preserve">. </w:t>
      </w:r>
      <w:r w:rsidR="001379FA" w:rsidRPr="00880FA7">
        <w:rPr>
          <w:rFonts w:ascii="Book Antiqua" w:eastAsia="Book Antiqua" w:hAnsi="Book Antiqua" w:cs="Book Antiqua"/>
          <w:color w:val="000000"/>
        </w:rPr>
        <w:t xml:space="preserve">The presence of </w:t>
      </w:r>
      <w:r w:rsidR="00080413" w:rsidRPr="00880FA7">
        <w:rPr>
          <w:rFonts w:ascii="Book Antiqua" w:eastAsia="Book Antiqua" w:hAnsi="Book Antiqua" w:cs="Book Antiqua"/>
          <w:color w:val="000000"/>
        </w:rPr>
        <w:t xml:space="preserve">Cytotoxic T </w:t>
      </w:r>
      <w:r w:rsidR="00A45609" w:rsidRPr="00880FA7">
        <w:rPr>
          <w:rFonts w:ascii="Book Antiqua" w:eastAsia="Book Antiqua" w:hAnsi="Book Antiqua" w:cs="Book Antiqua"/>
          <w:color w:val="000000"/>
        </w:rPr>
        <w:t>L</w:t>
      </w:r>
      <w:r w:rsidR="00080413" w:rsidRPr="00880FA7">
        <w:rPr>
          <w:rFonts w:ascii="Book Antiqua" w:eastAsia="Book Antiqua" w:hAnsi="Book Antiqua" w:cs="Book Antiqua"/>
          <w:color w:val="000000"/>
        </w:rPr>
        <w:t>ymphocyte-Associated protein 4 (CTLA-4)</w:t>
      </w:r>
      <w:r w:rsidR="001379FA" w:rsidRPr="00880FA7">
        <w:rPr>
          <w:rFonts w:ascii="Book Antiqua" w:eastAsia="Book Antiqua" w:hAnsi="Book Antiqua" w:cs="Book Antiqua"/>
          <w:color w:val="000000"/>
        </w:rPr>
        <w:t xml:space="preserve"> and PD-1, immunological checkpoints involved in T cell activation and other inflammatory responses in malignancies, is well understood</w:t>
      </w:r>
      <w:r w:rsidRPr="00880FA7">
        <w:rPr>
          <w:rFonts w:ascii="Book Antiqua" w:eastAsia="Book Antiqua" w:hAnsi="Book Antiqua" w:cs="Book Antiqua"/>
          <w:color w:val="000000"/>
        </w:rPr>
        <w:t xml:space="preserve">. </w:t>
      </w:r>
      <w:r w:rsidR="001379FA" w:rsidRPr="00880FA7">
        <w:rPr>
          <w:rFonts w:ascii="Book Antiqua" w:eastAsia="Book Antiqua" w:hAnsi="Book Antiqua" w:cs="Book Antiqua"/>
          <w:color w:val="000000"/>
        </w:rPr>
        <w:t>In tumor expression on T cell activation and other inflammatory responses, CTLA-4 and PD-1 are immunological checkpoints that have been thoroughly studied</w:t>
      </w:r>
      <w:r w:rsidRPr="00880FA7">
        <w:rPr>
          <w:rFonts w:ascii="Book Antiqua" w:eastAsia="Book Antiqua" w:hAnsi="Book Antiqua" w:cs="Book Antiqua"/>
          <w:color w:val="000000"/>
        </w:rPr>
        <w:t xml:space="preserve">. </w:t>
      </w:r>
      <w:r w:rsidR="003C48AA" w:rsidRPr="00880FA7">
        <w:rPr>
          <w:rFonts w:ascii="Book Antiqua" w:eastAsia="Book Antiqua" w:hAnsi="Book Antiqua" w:cs="Book Antiqua"/>
          <w:color w:val="000000"/>
        </w:rPr>
        <w:t>Additionally,</w:t>
      </w:r>
      <w:r w:rsidR="001379FA" w:rsidRPr="00880FA7">
        <w:rPr>
          <w:rFonts w:ascii="Book Antiqua" w:eastAsia="Book Antiqua" w:hAnsi="Book Antiqua" w:cs="Book Antiqua"/>
          <w:color w:val="000000"/>
        </w:rPr>
        <w:t xml:space="preserve"> expressed on regulatory T cells, CTLA-4 prevents T cells from co-stimulating when antigen is given</w:t>
      </w:r>
      <w:r w:rsidRPr="00880FA7">
        <w:rPr>
          <w:rFonts w:ascii="Book Antiqua" w:eastAsia="Book Antiqua" w:hAnsi="Book Antiqua" w:cs="Book Antiqua"/>
          <w:color w:val="000000"/>
        </w:rPr>
        <w:t xml:space="preserve">. This is accomplished by the competitive binding of CD80 and CD86 receptors on antigen-presenting cells, which results in decreased CD28 stimulation and immune escape. </w:t>
      </w:r>
      <w:r w:rsidR="00E130A8" w:rsidRPr="00880FA7">
        <w:rPr>
          <w:rFonts w:ascii="Book Antiqua" w:eastAsia="Book Antiqua" w:hAnsi="Book Antiqua" w:cs="Book Antiqua"/>
          <w:color w:val="000000"/>
        </w:rPr>
        <w:t>As PD-1 binds to its ligands, PD-L1 and PD-L2, the CD28 pathway is also affected, which prevents CD8+ T cell activation and results in immunological inactivation</w:t>
      </w:r>
      <w:r w:rsidRPr="00880FA7">
        <w:rPr>
          <w:rFonts w:ascii="Book Antiqua" w:eastAsia="Book Antiqua" w:hAnsi="Book Antiqua" w:cs="Book Antiqua"/>
          <w:color w:val="000000"/>
        </w:rPr>
        <w:t xml:space="preserve">. By expressing PD-L1 and PD-L2, cancer cells use this strategy to escape immune monitoring. </w:t>
      </w:r>
      <w:r w:rsidR="00E130A8" w:rsidRPr="00880FA7">
        <w:rPr>
          <w:rFonts w:ascii="Book Antiqua" w:eastAsia="Book Antiqua" w:hAnsi="Book Antiqua" w:cs="Book Antiqua"/>
          <w:color w:val="000000"/>
        </w:rPr>
        <w:t xml:space="preserve">Enduring antigen T cell tiredness is caused by exposure to the </w:t>
      </w:r>
      <w:r w:rsidR="003C4F6F" w:rsidRPr="00880FA7">
        <w:rPr>
          <w:rFonts w:ascii="Book Antiqua" w:eastAsia="Book Antiqua" w:hAnsi="Book Antiqua" w:cs="Book Antiqua"/>
          <w:color w:val="000000"/>
        </w:rPr>
        <w:t>TME</w:t>
      </w:r>
      <w:r w:rsidR="00E130A8" w:rsidRPr="00880FA7">
        <w:rPr>
          <w:rFonts w:ascii="Book Antiqua" w:eastAsia="Book Antiqua" w:hAnsi="Book Antiqua" w:cs="Book Antiqua"/>
          <w:color w:val="000000"/>
        </w:rPr>
        <w:t xml:space="preserve"> and is demonstrated by an increase in PD-L1 in tumor cells and antigen-presenting cells, which is induced by reactive T cells that express PD-1</w:t>
      </w:r>
      <w:r w:rsidRPr="00880FA7">
        <w:rPr>
          <w:rFonts w:ascii="Book Antiqua" w:eastAsia="Book Antiqua" w:hAnsi="Book Antiqua" w:cs="Book Antiqua"/>
          <w:color w:val="000000"/>
        </w:rPr>
        <w:t xml:space="preserve">. </w:t>
      </w:r>
      <w:r w:rsidR="00E130A8" w:rsidRPr="00880FA7">
        <w:rPr>
          <w:rFonts w:ascii="Book Antiqua" w:eastAsia="Book Antiqua" w:hAnsi="Book Antiqua" w:cs="Book Antiqua"/>
          <w:color w:val="000000"/>
        </w:rPr>
        <w:t>As a result, the prognosis is poorer and the tumor grows larger with less effective tumor suppression</w:t>
      </w:r>
      <w:r w:rsidRPr="00880FA7">
        <w:rPr>
          <w:rFonts w:ascii="Book Antiqua" w:eastAsia="Book Antiqua" w:hAnsi="Book Antiqua" w:cs="Book Antiqua"/>
          <w:color w:val="000000"/>
          <w:vertAlign w:val="superscript"/>
        </w:rPr>
        <w:t>[54-5</w:t>
      </w:r>
      <w:r w:rsidR="00E437FA" w:rsidRPr="00880FA7">
        <w:rPr>
          <w:rFonts w:ascii="Book Antiqua" w:eastAsia="Book Antiqua" w:hAnsi="Book Antiqua" w:cs="Book Antiqua"/>
          <w:color w:val="000000"/>
          <w:vertAlign w:val="superscript"/>
        </w:rPr>
        <w:t>6</w:t>
      </w:r>
      <w:r w:rsidRPr="00880FA7">
        <w:rPr>
          <w:rFonts w:ascii="Book Antiqua" w:eastAsia="Book Antiqua" w:hAnsi="Book Antiqua" w:cs="Book Antiqua"/>
          <w:color w:val="000000"/>
          <w:vertAlign w:val="superscript"/>
        </w:rPr>
        <w:t>]</w:t>
      </w:r>
      <w:r w:rsidRPr="00880FA7">
        <w:rPr>
          <w:rFonts w:ascii="Book Antiqua" w:eastAsia="Book Antiqua" w:hAnsi="Book Antiqua" w:cs="Book Antiqua"/>
          <w:color w:val="000000"/>
        </w:rPr>
        <w:t>.</w:t>
      </w:r>
    </w:p>
    <w:p w14:paraId="1CE462F1" w14:textId="130E2C67" w:rsidR="00A77B3E" w:rsidRPr="00880FA7" w:rsidRDefault="00617BD0" w:rsidP="003C4F6F">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Bevacizumab, a VEGF monoclonal antibody and a</w:t>
      </w:r>
      <w:r w:rsidR="00A92039" w:rsidRPr="00880FA7">
        <w:rPr>
          <w:rFonts w:ascii="Book Antiqua" w:eastAsia="Book Antiqua" w:hAnsi="Book Antiqua" w:cs="Book Antiqua"/>
          <w:color w:val="000000"/>
        </w:rPr>
        <w:t>tezolizumab, an anti-PD-L1 antibody, have been used in combination therapy for uHCC patients, which has resulted in the most recent and notable advancement in the treatment of HCC</w:t>
      </w:r>
      <w:r w:rsidR="00A92039" w:rsidRPr="00880FA7">
        <w:rPr>
          <w:rFonts w:ascii="Book Antiqua" w:eastAsia="Book Antiqua" w:hAnsi="Book Antiqua" w:cs="Book Antiqua"/>
          <w:color w:val="000000"/>
          <w:vertAlign w:val="superscript"/>
        </w:rPr>
        <w:t>[14]</w:t>
      </w:r>
      <w:r w:rsidR="00A92039" w:rsidRPr="00880FA7">
        <w:rPr>
          <w:rFonts w:ascii="Book Antiqua" w:eastAsia="Book Antiqua" w:hAnsi="Book Antiqua" w:cs="Book Antiqua"/>
          <w:color w:val="000000"/>
        </w:rPr>
        <w:t xml:space="preserve">. In the </w:t>
      </w:r>
      <w:r w:rsidR="003C4F6F" w:rsidRPr="00880FA7">
        <w:rPr>
          <w:rFonts w:ascii="Book Antiqua" w:eastAsia="Book Antiqua" w:hAnsi="Book Antiqua" w:cs="Book Antiqua"/>
          <w:color w:val="000000"/>
        </w:rPr>
        <w:t>TME</w:t>
      </w:r>
      <w:r w:rsidR="00A92039" w:rsidRPr="00880FA7">
        <w:rPr>
          <w:rFonts w:ascii="Book Antiqua" w:eastAsia="Book Antiqua" w:hAnsi="Book Antiqua" w:cs="Book Antiqua"/>
          <w:color w:val="000000"/>
        </w:rPr>
        <w:t>, VEGF overexpression has been seen to support immunological tolerance and evasion in malignancies. The main function of VEGF is angiogenesis, which paradoxically results in a hypoxic and acidotic TME and attracts immune-suppressive cells like regulatory T cells. VEGF also increases the expression of PD-1 on tumor-infiltrating T cells</w:t>
      </w:r>
      <w:r w:rsidR="00A92039" w:rsidRPr="00880FA7">
        <w:rPr>
          <w:rFonts w:ascii="Book Antiqua" w:eastAsia="Book Antiqua" w:hAnsi="Book Antiqua" w:cs="Book Antiqua"/>
          <w:color w:val="000000"/>
          <w:vertAlign w:val="superscript"/>
        </w:rPr>
        <w:t>[57</w:t>
      </w:r>
      <w:r w:rsidR="00E437FA" w:rsidRPr="00880FA7">
        <w:rPr>
          <w:rFonts w:ascii="Book Antiqua" w:eastAsia="Book Antiqua" w:hAnsi="Book Antiqua" w:cs="Book Antiqua"/>
          <w:color w:val="000000"/>
          <w:vertAlign w:val="superscript"/>
        </w:rPr>
        <w:t>-59</w:t>
      </w:r>
      <w:r w:rsidR="00A92039" w:rsidRPr="00880FA7">
        <w:rPr>
          <w:rFonts w:ascii="Book Antiqua" w:eastAsia="Book Antiqua" w:hAnsi="Book Antiqua" w:cs="Book Antiqua"/>
          <w:color w:val="000000"/>
          <w:vertAlign w:val="superscript"/>
        </w:rPr>
        <w:t>]</w:t>
      </w:r>
      <w:r w:rsidR="00A92039" w:rsidRPr="00880FA7">
        <w:rPr>
          <w:rFonts w:ascii="Book Antiqua" w:eastAsia="Book Antiqua" w:hAnsi="Book Antiqua" w:cs="Book Antiqua"/>
          <w:color w:val="000000"/>
        </w:rPr>
        <w:t xml:space="preserve">. </w:t>
      </w:r>
      <w:r w:rsidRPr="00880FA7">
        <w:rPr>
          <w:rFonts w:ascii="Book Antiqua" w:eastAsia="Book Antiqua" w:hAnsi="Book Antiqua" w:cs="Book Antiqua"/>
          <w:color w:val="000000"/>
        </w:rPr>
        <w:t xml:space="preserve">Targeting VEGF lowers immune suppression, and combining immune checkpoint inhibitors leads in enhanced immunological reactivation </w:t>
      </w:r>
      <w:r w:rsidRPr="00880FA7">
        <w:rPr>
          <w:rFonts w:ascii="Book Antiqua" w:eastAsia="Book Antiqua" w:hAnsi="Book Antiqua" w:cs="Book Antiqua"/>
          <w:i/>
          <w:iCs/>
          <w:color w:val="000000"/>
        </w:rPr>
        <w:t>via</w:t>
      </w:r>
      <w:r w:rsidRPr="00880FA7">
        <w:rPr>
          <w:rFonts w:ascii="Book Antiqua" w:eastAsia="Book Antiqua" w:hAnsi="Book Antiqua" w:cs="Book Antiqua"/>
          <w:color w:val="000000"/>
        </w:rPr>
        <w:t xml:space="preserve"> increased T cell activity and tumor cell penetration</w:t>
      </w:r>
      <w:r w:rsidR="00A92039" w:rsidRPr="00880FA7">
        <w:rPr>
          <w:rFonts w:ascii="Book Antiqua" w:eastAsia="Book Antiqua" w:hAnsi="Book Antiqua" w:cs="Book Antiqua"/>
          <w:color w:val="000000"/>
        </w:rPr>
        <w:t xml:space="preserve">. </w:t>
      </w:r>
      <w:r w:rsidR="000D1F84" w:rsidRPr="00880FA7">
        <w:rPr>
          <w:rFonts w:ascii="Book Antiqua" w:eastAsia="Book Antiqua" w:hAnsi="Book Antiqua" w:cs="Book Antiqua"/>
          <w:color w:val="000000"/>
        </w:rPr>
        <w:t xml:space="preserve">The phase III IMbrave150 research randomly allocated 501 patients who had </w:t>
      </w:r>
      <w:r w:rsidR="000D1F84" w:rsidRPr="00880FA7">
        <w:rPr>
          <w:rFonts w:ascii="Book Antiqua" w:eastAsia="Book Antiqua" w:hAnsi="Book Antiqua" w:cs="Book Antiqua"/>
          <w:color w:val="000000"/>
        </w:rPr>
        <w:lastRenderedPageBreak/>
        <w:t>not previously undergone systemic treatment to atezolizumab-bevacizumab or sorafenib in a 2:1 ratio</w:t>
      </w:r>
      <w:r w:rsidR="00A92039" w:rsidRPr="00880FA7">
        <w:rPr>
          <w:rFonts w:ascii="Book Antiqua" w:eastAsia="Book Antiqua" w:hAnsi="Book Antiqua" w:cs="Book Antiqua"/>
          <w:color w:val="000000"/>
        </w:rPr>
        <w:t>. The study found that atezolizumab-bevacizumab improved OS by 67.2% (95%CI</w:t>
      </w:r>
      <w:r w:rsidR="003C4F6F" w:rsidRPr="00880FA7">
        <w:rPr>
          <w:rFonts w:ascii="Book Antiqua" w:hAnsi="Book Antiqua" w:cs="Book Antiqua" w:hint="eastAsia"/>
          <w:color w:val="000000"/>
          <w:lang w:eastAsia="zh-CN"/>
        </w:rPr>
        <w:t>:</w:t>
      </w:r>
      <w:r w:rsidR="00A92039" w:rsidRPr="00880FA7">
        <w:rPr>
          <w:rFonts w:ascii="Book Antiqua" w:eastAsia="Book Antiqua" w:hAnsi="Book Antiqua" w:cs="Book Antiqua"/>
          <w:color w:val="000000"/>
        </w:rPr>
        <w:t xml:space="preserve"> 61.3</w:t>
      </w:r>
      <w:r w:rsidR="003C4F6F" w:rsidRPr="00880FA7">
        <w:rPr>
          <w:rFonts w:ascii="Book Antiqua" w:hAnsi="Book Antiqua" w:cs="Book Antiqua" w:hint="eastAsia"/>
          <w:color w:val="000000"/>
          <w:lang w:eastAsia="zh-CN"/>
        </w:rPr>
        <w:t>%</w:t>
      </w:r>
      <w:r w:rsidR="00A92039" w:rsidRPr="00880FA7">
        <w:rPr>
          <w:rFonts w:ascii="Book Antiqua" w:eastAsia="Book Antiqua" w:hAnsi="Book Antiqua" w:cs="Book Antiqua"/>
          <w:color w:val="000000"/>
        </w:rPr>
        <w:t xml:space="preserve">-73.1%) at 12 </w:t>
      </w:r>
      <w:r w:rsidR="00502B6B" w:rsidRPr="00880FA7">
        <w:rPr>
          <w:rFonts w:ascii="Book Antiqua" w:eastAsia="Book Antiqua" w:hAnsi="Book Antiqua" w:cs="Book Antiqua"/>
          <w:color w:val="000000"/>
        </w:rPr>
        <w:t xml:space="preserve">mo </w:t>
      </w:r>
      <w:r w:rsidR="00A92039" w:rsidRPr="00880FA7">
        <w:rPr>
          <w:rFonts w:ascii="Book Antiqua" w:eastAsia="Book Antiqua" w:hAnsi="Book Antiqua" w:cs="Book Antiqua"/>
          <w:color w:val="000000"/>
        </w:rPr>
        <w:t>while sorafenib improved OS by 54.6% (95%CI</w:t>
      </w:r>
      <w:r w:rsidR="003C4F6F" w:rsidRPr="00880FA7">
        <w:rPr>
          <w:rFonts w:ascii="Book Antiqua" w:hAnsi="Book Antiqua" w:cs="Book Antiqua" w:hint="eastAsia"/>
          <w:color w:val="000000"/>
          <w:lang w:eastAsia="zh-CN"/>
        </w:rPr>
        <w:t>:</w:t>
      </w:r>
      <w:r w:rsidR="00A92039" w:rsidRPr="00880FA7">
        <w:rPr>
          <w:rFonts w:ascii="Book Antiqua" w:eastAsia="Book Antiqua" w:hAnsi="Book Antiqua" w:cs="Book Antiqua"/>
          <w:color w:val="000000"/>
        </w:rPr>
        <w:t xml:space="preserve"> 45.2</w:t>
      </w:r>
      <w:r w:rsidR="003C4F6F" w:rsidRPr="00880FA7">
        <w:rPr>
          <w:rFonts w:ascii="Book Antiqua" w:hAnsi="Book Antiqua" w:cs="Book Antiqua" w:hint="eastAsia"/>
          <w:color w:val="000000"/>
          <w:lang w:eastAsia="zh-CN"/>
        </w:rPr>
        <w:t>%</w:t>
      </w:r>
      <w:r w:rsidR="00A92039" w:rsidRPr="00880FA7">
        <w:rPr>
          <w:rFonts w:ascii="Book Antiqua" w:eastAsia="Book Antiqua" w:hAnsi="Book Antiqua" w:cs="Book Antiqua"/>
          <w:color w:val="000000"/>
        </w:rPr>
        <w:t>-64.0%)</w:t>
      </w:r>
      <w:r w:rsidR="00A92039" w:rsidRPr="00880FA7">
        <w:rPr>
          <w:rFonts w:ascii="Book Antiqua" w:eastAsia="Book Antiqua" w:hAnsi="Book Antiqua" w:cs="Book Antiqua"/>
          <w:color w:val="000000"/>
          <w:vertAlign w:val="superscript"/>
        </w:rPr>
        <w:t>[59]</w:t>
      </w:r>
      <w:r w:rsidR="00A92039" w:rsidRPr="00880FA7">
        <w:rPr>
          <w:rFonts w:ascii="Book Antiqua" w:eastAsia="Book Antiqua" w:hAnsi="Book Antiqua" w:cs="Book Antiqua"/>
          <w:color w:val="000000"/>
        </w:rPr>
        <w:t xml:space="preserve">. </w:t>
      </w:r>
      <w:r w:rsidR="00D84A1D" w:rsidRPr="00880FA7">
        <w:rPr>
          <w:rFonts w:ascii="Book Antiqua" w:eastAsia="Book Antiqua" w:hAnsi="Book Antiqua" w:cs="Book Antiqua"/>
          <w:color w:val="000000"/>
        </w:rPr>
        <w:t>Atezolizumab-bevac</w:t>
      </w:r>
      <w:r w:rsidR="003C4F6F" w:rsidRPr="00880FA7">
        <w:rPr>
          <w:rFonts w:ascii="Book Antiqua" w:eastAsia="Book Antiqua" w:hAnsi="Book Antiqua" w:cs="Book Antiqua"/>
          <w:color w:val="000000"/>
        </w:rPr>
        <w:t xml:space="preserve">izumab had an </w:t>
      </w:r>
      <w:r w:rsidR="00631B0B" w:rsidRPr="00880FA7">
        <w:rPr>
          <w:rFonts w:ascii="Book Antiqua" w:eastAsia="Book Antiqua" w:hAnsi="Book Antiqua" w:cs="Book Antiqua"/>
          <w:color w:val="000000"/>
        </w:rPr>
        <w:t>objective response rate (ORR)</w:t>
      </w:r>
      <w:r w:rsidR="003C4F6F" w:rsidRPr="00880FA7">
        <w:rPr>
          <w:rFonts w:ascii="Book Antiqua" w:eastAsia="Book Antiqua" w:hAnsi="Book Antiqua" w:cs="Book Antiqua"/>
          <w:color w:val="000000"/>
        </w:rPr>
        <w:t xml:space="preserve"> of 27.3% (95%</w:t>
      </w:r>
      <w:r w:rsidR="00D84A1D" w:rsidRPr="00880FA7">
        <w:rPr>
          <w:rFonts w:ascii="Book Antiqua" w:eastAsia="Book Antiqua" w:hAnsi="Book Antiqua" w:cs="Book Antiqua"/>
          <w:color w:val="000000"/>
        </w:rPr>
        <w:t>CI</w:t>
      </w:r>
      <w:r w:rsidR="003C4F6F" w:rsidRPr="00880FA7">
        <w:rPr>
          <w:rFonts w:ascii="Book Antiqua" w:hAnsi="Book Antiqua" w:cs="Book Antiqua" w:hint="eastAsia"/>
          <w:color w:val="000000"/>
          <w:lang w:eastAsia="zh-CN"/>
        </w:rPr>
        <w:t>:</w:t>
      </w:r>
      <w:r w:rsidR="00D84A1D" w:rsidRPr="00880FA7">
        <w:rPr>
          <w:rFonts w:ascii="Book Antiqua" w:eastAsia="Book Antiqua" w:hAnsi="Book Antiqua" w:cs="Book Antiqua"/>
          <w:color w:val="000000"/>
        </w:rPr>
        <w:t xml:space="preserve"> 22.5</w:t>
      </w:r>
      <w:r w:rsidR="003C4F6F" w:rsidRPr="00880FA7">
        <w:rPr>
          <w:rFonts w:ascii="Book Antiqua" w:hAnsi="Book Antiqua" w:cs="Book Antiqua" w:hint="eastAsia"/>
          <w:color w:val="000000"/>
          <w:lang w:eastAsia="zh-CN"/>
        </w:rPr>
        <w:t>%</w:t>
      </w:r>
      <w:r w:rsidR="00D84A1D" w:rsidRPr="00880FA7">
        <w:rPr>
          <w:rFonts w:ascii="Book Antiqua" w:eastAsia="Book Antiqua" w:hAnsi="Book Antiqua" w:cs="Book Antiqua"/>
          <w:color w:val="000000"/>
        </w:rPr>
        <w:t>-32.5%) and sor</w:t>
      </w:r>
      <w:r w:rsidR="003C4F6F" w:rsidRPr="00880FA7">
        <w:rPr>
          <w:rFonts w:ascii="Book Antiqua" w:eastAsia="Book Antiqua" w:hAnsi="Book Antiqua" w:cs="Book Antiqua"/>
          <w:color w:val="000000"/>
        </w:rPr>
        <w:t>afenib had an ORR of 11.9% (95%</w:t>
      </w:r>
      <w:r w:rsidR="00D84A1D" w:rsidRPr="00880FA7">
        <w:rPr>
          <w:rFonts w:ascii="Book Antiqua" w:eastAsia="Book Antiqua" w:hAnsi="Book Antiqua" w:cs="Book Antiqua"/>
          <w:color w:val="000000"/>
        </w:rPr>
        <w:t>CI</w:t>
      </w:r>
      <w:r w:rsidR="003C4F6F" w:rsidRPr="00880FA7">
        <w:rPr>
          <w:rFonts w:ascii="Book Antiqua" w:hAnsi="Book Antiqua" w:cs="Book Antiqua" w:hint="eastAsia"/>
          <w:color w:val="000000"/>
          <w:lang w:eastAsia="zh-CN"/>
        </w:rPr>
        <w:t>:</w:t>
      </w:r>
      <w:r w:rsidR="00D84A1D" w:rsidRPr="00880FA7">
        <w:rPr>
          <w:rFonts w:ascii="Book Antiqua" w:eastAsia="Book Antiqua" w:hAnsi="Book Antiqua" w:cs="Book Antiqua"/>
          <w:color w:val="000000"/>
        </w:rPr>
        <w:t xml:space="preserve"> 7.4</w:t>
      </w:r>
      <w:r w:rsidR="003C4F6F" w:rsidRPr="00880FA7">
        <w:rPr>
          <w:rFonts w:ascii="Book Antiqua" w:hAnsi="Book Antiqua" w:cs="Book Antiqua" w:hint="eastAsia"/>
          <w:color w:val="000000"/>
          <w:lang w:eastAsia="zh-CN"/>
        </w:rPr>
        <w:t>%</w:t>
      </w:r>
      <w:r w:rsidR="00D84A1D" w:rsidRPr="00880FA7">
        <w:rPr>
          <w:rFonts w:ascii="Book Antiqua" w:eastAsia="Book Antiqua" w:hAnsi="Book Antiqua" w:cs="Book Antiqua"/>
          <w:color w:val="000000"/>
        </w:rPr>
        <w:t>-18.0%) according to Response Evaluation Criteria in Solid Tumors 1.1 (RECIST 1.1)</w:t>
      </w:r>
      <w:r w:rsidR="00A92039" w:rsidRPr="00880FA7">
        <w:rPr>
          <w:rFonts w:ascii="Book Antiqua" w:eastAsia="Book Antiqua" w:hAnsi="Book Antiqua" w:cs="Book Antiqua"/>
          <w:color w:val="000000"/>
        </w:rPr>
        <w:t xml:space="preserve">. This combination's adverse event profile was consistent with the established safety profiles of each medication and the underlying condition. Proteinuria, tiredness, and an increase in </w:t>
      </w:r>
      <w:r w:rsidR="007278CA" w:rsidRPr="00880FA7">
        <w:rPr>
          <w:rFonts w:ascii="Book Antiqua" w:eastAsia="Book Antiqua" w:hAnsi="Book Antiqua" w:cs="Book Antiqua"/>
          <w:color w:val="000000"/>
        </w:rPr>
        <w:t>aspartate aminotransferase (AST)</w:t>
      </w:r>
      <w:r w:rsidR="00A92039" w:rsidRPr="00880FA7">
        <w:rPr>
          <w:rFonts w:ascii="Book Antiqua" w:eastAsia="Book Antiqua" w:hAnsi="Book Antiqua" w:cs="Book Antiqua"/>
          <w:color w:val="000000"/>
        </w:rPr>
        <w:t xml:space="preserve"> levels were also observed in 15% of patients with grade 3-4 hypertension. In the atezolizumab-bevacizumab arm, approximately 15% of patients withdrew therapy due to side effects, compared to 10% in the sorafenib arm. The most common reported reason for withdrawal was gastrointestinal side</w:t>
      </w:r>
      <w:r w:rsidR="007278CA"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 xml:space="preserve">effects. Bleeding is a recognized consequence of bevacizumab due to its anti-angiogenic properties. A typical consequence of cirrhosis is upper gastrointestinal bleeding, which has the potential to be a life-threatening hemorrhage. </w:t>
      </w:r>
      <w:r w:rsidR="003F5A21" w:rsidRPr="00880FA7">
        <w:rPr>
          <w:rFonts w:ascii="Book Antiqua" w:eastAsia="Book Antiqua" w:hAnsi="Book Antiqua" w:cs="Book Antiqua"/>
          <w:color w:val="000000"/>
        </w:rPr>
        <w:t>This was observed in 7% of patients in the atezolizumab-bevacizumab group versus 4.5% in the sorafenib group</w:t>
      </w:r>
      <w:r w:rsidR="00A92039" w:rsidRPr="00880FA7">
        <w:rPr>
          <w:rFonts w:ascii="Book Antiqua" w:eastAsia="Book Antiqua" w:hAnsi="Book Antiqua" w:cs="Book Antiqua"/>
          <w:color w:val="000000"/>
        </w:rPr>
        <w:t>. Due to the increased risk of catastrophic bleeding with bevacizumab, patients must not have esophagogastric varices prior to beginning treatment. This encouraging advancement has rendered this combination</w:t>
      </w:r>
      <w:r w:rsidR="003439CF" w:rsidRPr="00880FA7">
        <w:rPr>
          <w:rFonts w:ascii="Book Antiqua" w:eastAsia="Book Antiqua" w:hAnsi="Book Antiqua" w:cs="Book Antiqua"/>
          <w:color w:val="000000"/>
        </w:rPr>
        <w:t>,</w:t>
      </w:r>
      <w:r w:rsidR="00A92039" w:rsidRPr="00880FA7">
        <w:rPr>
          <w:rFonts w:ascii="Book Antiqua" w:eastAsia="Book Antiqua" w:hAnsi="Book Antiqua" w:cs="Book Antiqua"/>
          <w:color w:val="000000"/>
        </w:rPr>
        <w:t xml:space="preserve"> the FDA-approved preferred strategy</w:t>
      </w:r>
      <w:r w:rsidR="007278CA"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for treating uHCC and is currently advised as</w:t>
      </w:r>
      <w:r w:rsidR="003439CF" w:rsidRPr="00880FA7">
        <w:rPr>
          <w:rFonts w:ascii="Book Antiqua" w:eastAsia="Book Antiqua" w:hAnsi="Book Antiqua" w:cs="Book Antiqua"/>
          <w:color w:val="000000"/>
        </w:rPr>
        <w:t xml:space="preserve"> the</w:t>
      </w:r>
      <w:r w:rsidR="00A92039" w:rsidRPr="00880FA7">
        <w:rPr>
          <w:rFonts w:ascii="Book Antiqua" w:eastAsia="Book Antiqua" w:hAnsi="Book Antiqua" w:cs="Book Antiqua"/>
          <w:color w:val="000000"/>
        </w:rPr>
        <w:t xml:space="preserve"> first-line treatment in uHCC following the 2021 recommendations</w:t>
      </w:r>
      <w:r w:rsidR="00A92039" w:rsidRPr="00880FA7">
        <w:rPr>
          <w:rFonts w:ascii="Book Antiqua" w:eastAsia="Book Antiqua" w:hAnsi="Book Antiqua" w:cs="Book Antiqua"/>
          <w:color w:val="000000"/>
          <w:vertAlign w:val="superscript"/>
        </w:rPr>
        <w:t>[60]</w:t>
      </w:r>
      <w:r w:rsidR="00A92039" w:rsidRPr="00880FA7">
        <w:rPr>
          <w:rFonts w:ascii="Book Antiqua" w:eastAsia="Book Antiqua" w:hAnsi="Book Antiqua" w:cs="Book Antiqua"/>
          <w:color w:val="000000"/>
        </w:rPr>
        <w:t>.</w:t>
      </w:r>
    </w:p>
    <w:p w14:paraId="00B4670F" w14:textId="77777777" w:rsidR="000039BF" w:rsidRPr="00880FA7" w:rsidRDefault="000039BF" w:rsidP="00D33124">
      <w:pPr>
        <w:spacing w:line="360" w:lineRule="auto"/>
        <w:jc w:val="both"/>
        <w:rPr>
          <w:rFonts w:ascii="Book Antiqua" w:hAnsi="Book Antiqua" w:cs="Book Antiqua"/>
          <w:b/>
          <w:bCs/>
          <w:iCs/>
          <w:color w:val="000000"/>
          <w:lang w:eastAsia="zh-CN"/>
        </w:rPr>
      </w:pPr>
    </w:p>
    <w:p w14:paraId="23E26412" w14:textId="4E5D4C3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iCs/>
          <w:color w:val="000000"/>
        </w:rPr>
        <w:t>Atezolizumab plus cabozantinib</w:t>
      </w:r>
      <w:r w:rsidR="000039BF" w:rsidRPr="00880FA7">
        <w:rPr>
          <w:rFonts w:ascii="Book Antiqua" w:hAnsi="Book Antiqua" w:cs="Book Antiqua" w:hint="eastAsia"/>
          <w:b/>
          <w:bCs/>
          <w:iCs/>
          <w:color w:val="000000"/>
          <w:lang w:eastAsia="zh-CN"/>
        </w:rPr>
        <w:t xml:space="preserve">: </w:t>
      </w:r>
      <w:r w:rsidR="007278CA" w:rsidRPr="00880FA7">
        <w:rPr>
          <w:rFonts w:ascii="Book Antiqua" w:hAnsi="Book Antiqua"/>
          <w:bCs/>
        </w:rPr>
        <w:t>Kelley</w:t>
      </w:r>
      <w:r w:rsidRPr="00880FA7">
        <w:rPr>
          <w:rFonts w:ascii="Book Antiqua" w:eastAsia="Book Antiqua" w:hAnsi="Book Antiqua" w:cs="Book Antiqua"/>
          <w:color w:val="000000"/>
        </w:rPr>
        <w:t xml:space="preserve"> </w:t>
      </w:r>
      <w:r w:rsidRPr="00880FA7">
        <w:rPr>
          <w:rFonts w:ascii="Book Antiqua" w:eastAsia="Book Antiqua" w:hAnsi="Book Antiqua" w:cs="Book Antiqua"/>
          <w:i/>
          <w:iCs/>
          <w:color w:val="000000"/>
        </w:rPr>
        <w:t>et al</w:t>
      </w:r>
      <w:r w:rsidRPr="00880FA7">
        <w:rPr>
          <w:rFonts w:ascii="Book Antiqua" w:eastAsia="Book Antiqua" w:hAnsi="Book Antiqua" w:cs="Book Antiqua"/>
          <w:color w:val="000000"/>
          <w:vertAlign w:val="superscript"/>
        </w:rPr>
        <w:t>[61]</w:t>
      </w:r>
      <w:r w:rsidRPr="00880FA7">
        <w:rPr>
          <w:rFonts w:ascii="Book Antiqua" w:eastAsia="Book Antiqua" w:hAnsi="Book Antiqua" w:cs="Book Antiqua"/>
          <w:color w:val="000000"/>
        </w:rPr>
        <w:t xml:space="preserve"> conducted an open-label, randomized, phase 3 study (COSMIC-312) in 837 uHCC patients from 178 centers in 32 countries to compare cabozantinib + atezolizumab against sorafenib as first-line systemic therapy. </w:t>
      </w:r>
      <w:r w:rsidR="00B161E9" w:rsidRPr="00880FA7">
        <w:rPr>
          <w:rFonts w:ascii="Book Antiqua" w:eastAsia="Book Antiqua" w:hAnsi="Book Antiqua" w:cs="Book Antiqua"/>
          <w:color w:val="000000"/>
        </w:rPr>
        <w:t xml:space="preserve">Patients required to have Child-Pugh class A, ECOG </w:t>
      </w:r>
      <w:r w:rsidR="00FB18A6" w:rsidRPr="00880FA7">
        <w:rPr>
          <w:rFonts w:ascii="Book Antiqua" w:eastAsia="Book Antiqua" w:hAnsi="Book Antiqua" w:cs="Book Antiqua"/>
          <w:color w:val="000000"/>
        </w:rPr>
        <w:t>PS</w:t>
      </w:r>
      <w:r w:rsidR="00B161E9" w:rsidRPr="00880FA7">
        <w:rPr>
          <w:rFonts w:ascii="Book Antiqua" w:eastAsia="Book Antiqua" w:hAnsi="Book Antiqua" w:cs="Book Antiqua"/>
          <w:color w:val="000000"/>
        </w:rPr>
        <w:t xml:space="preserve"> 0 or 1, detectable illness as defined by RECIST 1.1, BCLC stage B or C, and adequate organ and marrow function</w:t>
      </w:r>
      <w:r w:rsidRPr="00880FA7">
        <w:rPr>
          <w:rFonts w:ascii="Book Antiqua" w:eastAsia="Book Antiqua" w:hAnsi="Book Antiqua" w:cs="Book Antiqua"/>
          <w:color w:val="000000"/>
        </w:rPr>
        <w:t xml:space="preserve">. </w:t>
      </w:r>
      <w:r w:rsidR="00FB329D" w:rsidRPr="00880FA7">
        <w:rPr>
          <w:rFonts w:ascii="Book Antiqua" w:eastAsia="Book Antiqua" w:hAnsi="Book Antiqua" w:cs="Book Antiqua"/>
          <w:color w:val="000000"/>
        </w:rPr>
        <w:t>Through a web-based interactive response system, they were randomly assigned (2:1:1 = 432:217:188) to receive cabozantinib 40 mg</w:t>
      </w:r>
      <w:r w:rsidR="007278CA" w:rsidRPr="00880FA7">
        <w:rPr>
          <w:rFonts w:ascii="Book Antiqua" w:eastAsia="Book Antiqua" w:hAnsi="Book Antiqua" w:cs="Book Antiqua"/>
          <w:color w:val="000000"/>
        </w:rPr>
        <w:t xml:space="preserve"> once daily plus atezolizumab 1200 mg </w:t>
      </w:r>
      <w:r w:rsidR="001E22B2" w:rsidRPr="00880FA7">
        <w:rPr>
          <w:rFonts w:ascii="Book Antiqua" w:eastAsia="Book Antiqua" w:hAnsi="Book Antiqua" w:cs="Book Antiqua"/>
          <w:color w:val="000000"/>
        </w:rPr>
        <w:t>intravenously (IV)</w:t>
      </w:r>
      <w:r w:rsidR="007278CA" w:rsidRPr="00880FA7">
        <w:rPr>
          <w:rFonts w:ascii="Book Antiqua" w:eastAsia="Book Antiqua" w:hAnsi="Book Antiqua" w:cs="Book Antiqua"/>
          <w:color w:val="000000"/>
        </w:rPr>
        <w:t xml:space="preserve"> every 3 wk</w:t>
      </w:r>
      <w:r w:rsidR="00FB329D" w:rsidRPr="00880FA7">
        <w:rPr>
          <w:rFonts w:ascii="Book Antiqua" w:eastAsia="Book Antiqua" w:hAnsi="Book Antiqua" w:cs="Book Antiqua"/>
          <w:color w:val="000000"/>
        </w:rPr>
        <w:t xml:space="preserve">, sorafenib 400 mg twice daily, or cabozantinib 60 mg once </w:t>
      </w:r>
      <w:r w:rsidR="00FB329D" w:rsidRPr="00880FA7">
        <w:rPr>
          <w:rFonts w:ascii="Book Antiqua" w:eastAsia="Book Antiqua" w:hAnsi="Book Antiqua" w:cs="Book Antiqua"/>
          <w:color w:val="000000"/>
        </w:rPr>
        <w:lastRenderedPageBreak/>
        <w:t>daily</w:t>
      </w:r>
      <w:r w:rsidRPr="00880FA7">
        <w:rPr>
          <w:rFonts w:ascii="Book Antiqua" w:eastAsia="Book Antiqua" w:hAnsi="Book Antiqua" w:cs="Book Antiqua"/>
          <w:color w:val="000000"/>
        </w:rPr>
        <w:t xml:space="preserve">. </w:t>
      </w:r>
      <w:r w:rsidR="00AB27DC" w:rsidRPr="00880FA7">
        <w:rPr>
          <w:rFonts w:ascii="Book Antiqua" w:eastAsia="Book Antiqua" w:hAnsi="Book Antiqua" w:cs="Book Antiqua"/>
          <w:color w:val="000000"/>
        </w:rPr>
        <w:t xml:space="preserve">Intention to treat (ITT) population had a median follow-up of 13.3 </w:t>
      </w:r>
      <w:r w:rsidR="00C665E6" w:rsidRPr="00880FA7">
        <w:rPr>
          <w:rFonts w:ascii="Book Antiqua" w:eastAsia="Book Antiqua" w:hAnsi="Book Antiqua" w:cs="Book Antiqua"/>
          <w:color w:val="000000"/>
        </w:rPr>
        <w:t>mo</w:t>
      </w:r>
      <w:r w:rsidR="00AB27DC" w:rsidRPr="00880FA7">
        <w:rPr>
          <w:rFonts w:ascii="Book Antiqua" w:eastAsia="Book Antiqua" w:hAnsi="Book Antiqua" w:cs="Book Antiqua"/>
          <w:color w:val="000000"/>
        </w:rPr>
        <w:t xml:space="preserve">, whereas the </w:t>
      </w:r>
      <w:r w:rsidR="007C068D" w:rsidRPr="00880FA7">
        <w:rPr>
          <w:rFonts w:ascii="Book Antiqua" w:eastAsia="Book Antiqua" w:hAnsi="Book Antiqua" w:cs="Book Antiqua"/>
          <w:color w:val="000000"/>
        </w:rPr>
        <w:t>PFS</w:t>
      </w:r>
      <w:r w:rsidR="00AB27DC" w:rsidRPr="00880FA7">
        <w:rPr>
          <w:rFonts w:ascii="Book Antiqua" w:eastAsia="Book Antiqua" w:hAnsi="Book Antiqua" w:cs="Book Antiqua"/>
          <w:color w:val="000000"/>
        </w:rPr>
        <w:t xml:space="preserve"> ITT group had a median follow-up of 15.8 </w:t>
      </w:r>
      <w:r w:rsidR="00C665E6" w:rsidRPr="00880FA7">
        <w:rPr>
          <w:rFonts w:ascii="Book Antiqua" w:eastAsia="Book Antiqua" w:hAnsi="Book Antiqua" w:cs="Book Antiqua"/>
          <w:color w:val="000000"/>
        </w:rPr>
        <w:t>mo</w:t>
      </w:r>
      <w:r w:rsidR="00AB27DC" w:rsidRPr="00880FA7">
        <w:rPr>
          <w:rFonts w:ascii="Book Antiqua" w:eastAsia="Book Antiqua" w:hAnsi="Book Antiqua" w:cs="Book Antiqua"/>
          <w:color w:val="000000"/>
        </w:rPr>
        <w:t xml:space="preserve"> (IQR</w:t>
      </w:r>
      <w:r w:rsidR="007278CA" w:rsidRPr="00880FA7">
        <w:rPr>
          <w:rFonts w:ascii="Book Antiqua" w:hAnsi="Book Antiqua" w:cs="Book Antiqua" w:hint="eastAsia"/>
          <w:color w:val="000000"/>
          <w:lang w:eastAsia="zh-CN"/>
        </w:rPr>
        <w:t>:</w:t>
      </w:r>
      <w:r w:rsidR="00AB27DC" w:rsidRPr="00880FA7">
        <w:rPr>
          <w:rFonts w:ascii="Book Antiqua" w:eastAsia="Book Antiqua" w:hAnsi="Book Antiqua" w:cs="Book Antiqua"/>
          <w:color w:val="000000"/>
        </w:rPr>
        <w:t xml:space="preserve"> 14.5-17.2)</w:t>
      </w:r>
      <w:r w:rsidR="007278CA" w:rsidRPr="00880FA7">
        <w:rPr>
          <w:rFonts w:ascii="Book Antiqua" w:hAnsi="Book Antiqua" w:cs="Book Antiqua" w:hint="eastAsia"/>
          <w:color w:val="000000"/>
          <w:lang w:eastAsia="zh-CN"/>
        </w:rPr>
        <w:t>,</w:t>
      </w:r>
      <w:r w:rsidR="00AB27DC" w:rsidRPr="00880FA7">
        <w:rPr>
          <w:rFonts w:ascii="Book Antiqua" w:eastAsia="Book Antiqua" w:hAnsi="Book Antiqua" w:cs="Book Antiqua"/>
          <w:color w:val="000000"/>
        </w:rPr>
        <w:t xml:space="preserve"> (IQR</w:t>
      </w:r>
      <w:r w:rsidR="007278CA" w:rsidRPr="00880FA7">
        <w:rPr>
          <w:rFonts w:ascii="Book Antiqua" w:hAnsi="Book Antiqua" w:cs="Book Antiqua" w:hint="eastAsia"/>
          <w:color w:val="000000"/>
          <w:lang w:eastAsia="zh-CN"/>
        </w:rPr>
        <w:t>:</w:t>
      </w:r>
      <w:r w:rsidR="00AB27DC" w:rsidRPr="00880FA7">
        <w:rPr>
          <w:rFonts w:ascii="Book Antiqua" w:eastAsia="Book Antiqua" w:hAnsi="Book Antiqua" w:cs="Book Antiqua"/>
          <w:color w:val="000000"/>
        </w:rPr>
        <w:t xml:space="preserve"> 10.5-16.0)</w:t>
      </w:r>
      <w:r w:rsidRPr="00880FA7">
        <w:rPr>
          <w:rFonts w:ascii="Book Antiqua" w:eastAsia="Book Antiqua" w:hAnsi="Book Antiqua" w:cs="Book Antiqua"/>
          <w:color w:val="000000"/>
        </w:rPr>
        <w:t>. The authors showed that median PFS</w:t>
      </w:r>
      <w:r w:rsidR="007278CA"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in the combination therapy arm</w:t>
      </w:r>
      <w:r w:rsidR="007278CA" w:rsidRPr="00880FA7">
        <w:rPr>
          <w:rFonts w:ascii="Book Antiqua" w:hAnsi="Book Antiqua" w:cs="Book Antiqua" w:hint="eastAsia"/>
          <w:color w:val="000000"/>
          <w:lang w:eastAsia="zh-CN"/>
        </w:rPr>
        <w:t xml:space="preserve"> </w:t>
      </w:r>
      <w:r w:rsidR="007278CA" w:rsidRPr="00880FA7">
        <w:rPr>
          <w:rFonts w:ascii="Book Antiqua" w:eastAsia="Book Antiqua" w:hAnsi="Book Antiqua" w:cs="Book Antiqua"/>
          <w:color w:val="000000"/>
        </w:rPr>
        <w:t xml:space="preserve">was 6.8 </w:t>
      </w:r>
      <w:r w:rsidR="00C665E6" w:rsidRPr="00880FA7">
        <w:rPr>
          <w:rFonts w:ascii="Book Antiqua" w:eastAsia="Book Antiqua" w:hAnsi="Book Antiqua" w:cs="Book Antiqua"/>
          <w:color w:val="000000"/>
        </w:rPr>
        <w:t>mo</w:t>
      </w:r>
      <w:r w:rsidR="007278CA" w:rsidRPr="00880FA7">
        <w:rPr>
          <w:rFonts w:ascii="Book Antiqua" w:eastAsia="Book Antiqua" w:hAnsi="Book Antiqua" w:cs="Book Antiqua"/>
          <w:color w:val="000000"/>
        </w:rPr>
        <w:t xml:space="preserve"> (99%</w:t>
      </w:r>
      <w:r w:rsidRPr="00880FA7">
        <w:rPr>
          <w:rFonts w:ascii="Book Antiqua" w:eastAsia="Book Antiqua" w:hAnsi="Book Antiqua" w:cs="Book Antiqua"/>
          <w:color w:val="000000"/>
        </w:rPr>
        <w:t>CI</w:t>
      </w:r>
      <w:r w:rsidR="007278CA"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 xml:space="preserve"> 5.6-8.3) </w:t>
      </w:r>
      <w:r w:rsidRPr="00880FA7">
        <w:rPr>
          <w:rFonts w:ascii="Book Antiqua" w:eastAsia="Book Antiqua" w:hAnsi="Book Antiqua" w:cs="Book Antiqua"/>
          <w:i/>
          <w:iCs/>
          <w:color w:val="000000"/>
        </w:rPr>
        <w:t>vs</w:t>
      </w:r>
      <w:r w:rsidR="007278CA" w:rsidRPr="00880FA7">
        <w:rPr>
          <w:rFonts w:ascii="Book Antiqua" w:eastAsia="Book Antiqua" w:hAnsi="Book Antiqua" w:cs="Book Antiqua"/>
          <w:color w:val="000000"/>
        </w:rPr>
        <w:t xml:space="preserve"> 4.2 </w:t>
      </w:r>
      <w:r w:rsidR="00C665E6" w:rsidRPr="00880FA7">
        <w:rPr>
          <w:rFonts w:ascii="Book Antiqua" w:eastAsia="Book Antiqua" w:hAnsi="Book Antiqua" w:cs="Book Antiqua"/>
          <w:color w:val="000000"/>
        </w:rPr>
        <w:t>mo</w:t>
      </w:r>
      <w:r w:rsidR="007278CA" w:rsidRPr="00880FA7">
        <w:rPr>
          <w:rFonts w:ascii="Book Antiqua" w:eastAsia="Book Antiqua" w:hAnsi="Book Antiqua" w:cs="Book Antiqua"/>
          <w:color w:val="000000"/>
        </w:rPr>
        <w:t xml:space="preserve"> (99%</w:t>
      </w:r>
      <w:r w:rsidRPr="00880FA7">
        <w:rPr>
          <w:rFonts w:ascii="Book Antiqua" w:eastAsia="Book Antiqua" w:hAnsi="Book Antiqua" w:cs="Book Antiqua"/>
          <w:color w:val="000000"/>
        </w:rPr>
        <w:t>CI</w:t>
      </w:r>
      <w:r w:rsidR="007278CA"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 xml:space="preserve"> 2.8-7.0) in the sorafenib arm</w:t>
      </w:r>
      <w:r w:rsidR="007278CA"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(HR</w:t>
      </w:r>
      <w:r w:rsidR="007278CA" w:rsidRPr="00880FA7">
        <w:rPr>
          <w:rFonts w:ascii="Book Antiqua" w:hAnsi="Book Antiqua" w:cs="Book Antiqua" w:hint="eastAsia"/>
          <w:color w:val="000000"/>
          <w:lang w:eastAsia="zh-CN"/>
        </w:rPr>
        <w:t xml:space="preserve">: </w:t>
      </w:r>
      <w:r w:rsidR="007278CA" w:rsidRPr="00880FA7">
        <w:rPr>
          <w:rFonts w:ascii="Book Antiqua" w:eastAsia="Book Antiqua" w:hAnsi="Book Antiqua" w:cs="Book Antiqua"/>
          <w:color w:val="000000"/>
        </w:rPr>
        <w:t>0.63, 99%</w:t>
      </w:r>
      <w:r w:rsidRPr="00880FA7">
        <w:rPr>
          <w:rFonts w:ascii="Book Antiqua" w:eastAsia="Book Antiqua" w:hAnsi="Book Antiqua" w:cs="Book Antiqua"/>
          <w:color w:val="000000"/>
        </w:rPr>
        <w:t>CI</w:t>
      </w:r>
      <w:r w:rsidR="007278CA"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 xml:space="preserve"> 0.44-0.91, </w:t>
      </w:r>
      <w:r w:rsidRPr="00880FA7">
        <w:rPr>
          <w:rFonts w:ascii="Book Antiqua" w:eastAsia="Book Antiqua" w:hAnsi="Book Antiqua" w:cs="Book Antiqua"/>
          <w:i/>
          <w:iCs/>
          <w:color w:val="000000"/>
        </w:rPr>
        <w:t>P</w:t>
      </w:r>
      <w:r w:rsidRPr="00880FA7">
        <w:rPr>
          <w:rFonts w:ascii="Book Antiqua" w:eastAsia="Book Antiqua" w:hAnsi="Book Antiqua" w:cs="Book Antiqua"/>
          <w:color w:val="000000"/>
        </w:rPr>
        <w:t xml:space="preserve"> = 0.0012). </w:t>
      </w:r>
      <w:r w:rsidR="00B83B20" w:rsidRPr="00880FA7">
        <w:rPr>
          <w:rFonts w:ascii="Book Antiqua" w:eastAsia="Book Antiqua" w:hAnsi="Book Antiqua" w:cs="Book Antiqua"/>
          <w:color w:val="000000"/>
        </w:rPr>
        <w:t>In the combination treatment group, the median OS was 15.4 mo, compared to 15.5 mo in the sorafenib group (HR</w:t>
      </w:r>
      <w:r w:rsidR="007278CA" w:rsidRPr="00880FA7">
        <w:rPr>
          <w:rFonts w:ascii="Book Antiqua" w:hAnsi="Book Antiqua" w:cs="Book Antiqua" w:hint="eastAsia"/>
          <w:color w:val="000000"/>
          <w:lang w:eastAsia="zh-CN"/>
        </w:rPr>
        <w:t>:</w:t>
      </w:r>
      <w:r w:rsidR="007278CA" w:rsidRPr="00880FA7">
        <w:rPr>
          <w:rFonts w:ascii="Book Antiqua" w:eastAsia="Book Antiqua" w:hAnsi="Book Antiqua" w:cs="Book Antiqua"/>
          <w:color w:val="000000"/>
        </w:rPr>
        <w:t xml:space="preserve"> 0.90, 96%</w:t>
      </w:r>
      <w:r w:rsidR="00B83B20" w:rsidRPr="00880FA7">
        <w:rPr>
          <w:rFonts w:ascii="Book Antiqua" w:eastAsia="Book Antiqua" w:hAnsi="Book Antiqua" w:cs="Book Antiqua"/>
          <w:color w:val="000000"/>
        </w:rPr>
        <w:t>CI</w:t>
      </w:r>
      <w:r w:rsidR="007278CA" w:rsidRPr="00880FA7">
        <w:rPr>
          <w:rFonts w:ascii="Book Antiqua" w:hAnsi="Book Antiqua" w:cs="Book Antiqua" w:hint="eastAsia"/>
          <w:color w:val="000000"/>
          <w:lang w:eastAsia="zh-CN"/>
        </w:rPr>
        <w:t>:</w:t>
      </w:r>
      <w:r w:rsidR="00B83B20" w:rsidRPr="00880FA7">
        <w:rPr>
          <w:rFonts w:ascii="Book Antiqua" w:eastAsia="Book Antiqua" w:hAnsi="Book Antiqua" w:cs="Book Antiqua"/>
          <w:color w:val="000000"/>
        </w:rPr>
        <w:t xml:space="preserve"> 0.69-1.18; </w:t>
      </w:r>
      <w:r w:rsidR="00B83B20" w:rsidRPr="00880FA7">
        <w:rPr>
          <w:rFonts w:ascii="Book Antiqua" w:eastAsia="Book Antiqua" w:hAnsi="Book Antiqua" w:cs="Book Antiqua"/>
          <w:i/>
          <w:iCs/>
          <w:color w:val="000000"/>
        </w:rPr>
        <w:t>P</w:t>
      </w:r>
      <w:r w:rsidR="00B83B20" w:rsidRPr="00880FA7">
        <w:rPr>
          <w:rFonts w:ascii="Book Antiqua" w:eastAsia="Book Antiqua" w:hAnsi="Book Antiqua" w:cs="Book Antiqua"/>
          <w:color w:val="000000"/>
        </w:rPr>
        <w:t xml:space="preserve"> = 0.44)</w:t>
      </w:r>
      <w:r w:rsidRPr="00880FA7">
        <w:rPr>
          <w:rFonts w:ascii="Book Antiqua" w:eastAsia="Book Antiqua" w:hAnsi="Book Antiqua" w:cs="Book Antiqua"/>
          <w:color w:val="000000"/>
        </w:rPr>
        <w:t xml:space="preserve">. The most frequent grade 3 or 4 </w:t>
      </w:r>
      <w:r w:rsidR="001F351B" w:rsidRPr="00880FA7">
        <w:rPr>
          <w:rFonts w:ascii="Book Antiqua" w:eastAsia="Book Antiqua" w:hAnsi="Book Antiqua" w:cs="Book Antiqua"/>
          <w:color w:val="000000"/>
        </w:rPr>
        <w:t>AEs</w:t>
      </w:r>
      <w:r w:rsidRPr="00880FA7">
        <w:rPr>
          <w:rFonts w:ascii="Book Antiqua" w:eastAsia="Book Antiqua" w:hAnsi="Book Antiqua" w:cs="Book Antiqua"/>
          <w:color w:val="000000"/>
        </w:rPr>
        <w:t xml:space="preserve"> included a 9% (38/429) increase in alanine aminotransferase in the combination treatment arm, compared to 3% (6/207) in the sorafenib arm, and 6% (12/188) in the cabozantinib arm. Hypertension was found in 9%, 8%, and 12%, HFS was found in 8%, 8%, and 9%, serious treatment-related </w:t>
      </w:r>
      <w:r w:rsidR="001F351B" w:rsidRPr="00880FA7">
        <w:rPr>
          <w:rFonts w:ascii="Book Antiqua" w:eastAsia="Book Antiqua" w:hAnsi="Book Antiqua" w:cs="Book Antiqua"/>
          <w:color w:val="000000"/>
        </w:rPr>
        <w:t>AEs</w:t>
      </w:r>
      <w:r w:rsidRPr="00880FA7">
        <w:rPr>
          <w:rFonts w:ascii="Book Antiqua" w:eastAsia="Book Antiqua" w:hAnsi="Book Antiqua" w:cs="Book Antiqua"/>
          <w:color w:val="000000"/>
        </w:rPr>
        <w:t xml:space="preserve"> occurred in 18%, 16%, and 13% of the combination treatment arm, sorafenib arm, and cabozantinib arm, respectively. Treatment-related grade 5 events occurred in 1% of the combination treatment arm, &lt;</w:t>
      </w:r>
      <w:r w:rsidR="007278CA"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1% of the sorafenib arm, and &lt;</w:t>
      </w:r>
      <w:r w:rsidR="007278CA"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1%) of the cabozantinib arm. They suggested that cabozantinib in combination with atezolizumab might be a therapy option for some uHCC patients</w:t>
      </w:r>
      <w:r w:rsidRPr="00880FA7">
        <w:rPr>
          <w:rFonts w:ascii="Book Antiqua" w:eastAsia="Book Antiqua" w:hAnsi="Book Antiqua" w:cs="Book Antiqua"/>
          <w:color w:val="000000"/>
          <w:vertAlign w:val="superscript"/>
        </w:rPr>
        <w:t>[62]</w:t>
      </w:r>
      <w:r w:rsidRPr="00880FA7">
        <w:rPr>
          <w:rFonts w:ascii="Book Antiqua" w:eastAsia="Book Antiqua" w:hAnsi="Book Antiqua" w:cs="Book Antiqua"/>
          <w:color w:val="000000"/>
        </w:rPr>
        <w:t>.</w:t>
      </w:r>
    </w:p>
    <w:p w14:paraId="3F25D42B" w14:textId="77777777" w:rsidR="00CC4061" w:rsidRPr="00880FA7" w:rsidRDefault="00CC4061" w:rsidP="00D33124">
      <w:pPr>
        <w:spacing w:line="360" w:lineRule="auto"/>
        <w:jc w:val="both"/>
        <w:rPr>
          <w:rFonts w:ascii="Book Antiqua" w:hAnsi="Book Antiqua" w:cs="Book Antiqua"/>
          <w:b/>
          <w:bCs/>
          <w:i/>
          <w:iCs/>
          <w:color w:val="000000"/>
          <w:lang w:eastAsia="zh-CN"/>
        </w:rPr>
      </w:pPr>
    </w:p>
    <w:p w14:paraId="29493B7E" w14:textId="77777777" w:rsidR="00A77B3E" w:rsidRPr="00880FA7" w:rsidRDefault="00CC4061" w:rsidP="00D33124">
      <w:pPr>
        <w:spacing w:line="360" w:lineRule="auto"/>
        <w:jc w:val="both"/>
        <w:rPr>
          <w:rFonts w:ascii="Book Antiqua" w:hAnsi="Book Antiqua"/>
          <w:b/>
          <w:i/>
        </w:rPr>
      </w:pPr>
      <w:r w:rsidRPr="00880FA7">
        <w:rPr>
          <w:rFonts w:ascii="Book Antiqua" w:hAnsi="Book Antiqua" w:cs="Book Antiqua" w:hint="eastAsia"/>
          <w:b/>
          <w:i/>
          <w:color w:val="000000"/>
          <w:lang w:eastAsia="zh-CN"/>
        </w:rPr>
        <w:t>C</w:t>
      </w:r>
      <w:r w:rsidRPr="00880FA7">
        <w:rPr>
          <w:rFonts w:ascii="Book Antiqua" w:eastAsia="Book Antiqua" w:hAnsi="Book Antiqua" w:cs="Book Antiqua"/>
          <w:b/>
          <w:i/>
          <w:color w:val="000000"/>
        </w:rPr>
        <w:t>ombination therapy</w:t>
      </w:r>
      <w:r w:rsidR="00A92039" w:rsidRPr="00880FA7">
        <w:rPr>
          <w:rFonts w:ascii="Book Antiqua" w:eastAsia="Book Antiqua" w:hAnsi="Book Antiqua" w:cs="Book Antiqua"/>
          <w:b/>
          <w:bCs/>
          <w:i/>
          <w:iCs/>
          <w:color w:val="000000"/>
        </w:rPr>
        <w:t xml:space="preserve"> </w:t>
      </w:r>
      <w:r w:rsidR="007278CA" w:rsidRPr="00880FA7">
        <w:rPr>
          <w:rFonts w:ascii="Book Antiqua" w:hAnsi="Book Antiqua" w:cs="Book Antiqua" w:hint="eastAsia"/>
          <w:b/>
          <w:bCs/>
          <w:i/>
          <w:iCs/>
          <w:color w:val="000000"/>
          <w:lang w:eastAsia="zh-CN"/>
        </w:rPr>
        <w:t>of</w:t>
      </w:r>
      <w:r w:rsidR="00A92039" w:rsidRPr="00880FA7">
        <w:rPr>
          <w:rFonts w:ascii="Book Antiqua" w:eastAsia="Book Antiqua" w:hAnsi="Book Antiqua" w:cs="Book Antiqua"/>
          <w:b/>
          <w:bCs/>
          <w:i/>
          <w:iCs/>
          <w:color w:val="000000"/>
        </w:rPr>
        <w:t xml:space="preserve"> </w:t>
      </w:r>
      <w:r w:rsidR="007278CA" w:rsidRPr="00880FA7">
        <w:rPr>
          <w:rFonts w:ascii="Book Antiqua" w:eastAsia="Book Antiqua" w:hAnsi="Book Antiqua" w:cs="Book Antiqua"/>
          <w:b/>
          <w:i/>
          <w:color w:val="000000"/>
        </w:rPr>
        <w:t>anti</w:t>
      </w:r>
      <w:r w:rsidR="00A92039" w:rsidRPr="00880FA7">
        <w:rPr>
          <w:rFonts w:ascii="Book Antiqua" w:eastAsia="Book Antiqua" w:hAnsi="Book Antiqua" w:cs="Book Antiqua"/>
          <w:b/>
          <w:bCs/>
          <w:i/>
          <w:iCs/>
          <w:color w:val="000000"/>
        </w:rPr>
        <w:t xml:space="preserve">-PD-L1 </w:t>
      </w:r>
      <w:r w:rsidR="007278CA" w:rsidRPr="00880FA7">
        <w:rPr>
          <w:rFonts w:ascii="Book Antiqua" w:hAnsi="Book Antiqua" w:cs="Book Antiqua" w:hint="eastAsia"/>
          <w:b/>
          <w:bCs/>
          <w:i/>
          <w:iCs/>
          <w:color w:val="000000"/>
          <w:lang w:eastAsia="zh-CN"/>
        </w:rPr>
        <w:t>and</w:t>
      </w:r>
      <w:r w:rsidR="00A92039" w:rsidRPr="00880FA7">
        <w:rPr>
          <w:rFonts w:ascii="Book Antiqua" w:eastAsia="Book Antiqua" w:hAnsi="Book Antiqua" w:cs="Book Antiqua"/>
          <w:b/>
          <w:bCs/>
          <w:i/>
          <w:iCs/>
          <w:color w:val="000000"/>
        </w:rPr>
        <w:t xml:space="preserve"> CTLA-4 </w:t>
      </w:r>
      <w:r w:rsidR="007278CA" w:rsidRPr="00880FA7">
        <w:rPr>
          <w:rFonts w:ascii="Book Antiqua" w:eastAsia="Book Antiqua" w:hAnsi="Book Antiqua" w:cs="Book Antiqua"/>
          <w:b/>
          <w:i/>
          <w:color w:val="000000"/>
        </w:rPr>
        <w:t>antibody</w:t>
      </w:r>
    </w:p>
    <w:p w14:paraId="797C260A" w14:textId="2E4EDFF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iCs/>
          <w:color w:val="000000"/>
        </w:rPr>
        <w:t xml:space="preserve">Durvalumab and </w:t>
      </w:r>
      <w:r w:rsidR="00CC4061" w:rsidRPr="00880FA7">
        <w:rPr>
          <w:rFonts w:ascii="Book Antiqua" w:hAnsi="Book Antiqua" w:cs="Book Antiqua" w:hint="eastAsia"/>
          <w:b/>
          <w:bCs/>
          <w:iCs/>
          <w:color w:val="000000"/>
          <w:lang w:eastAsia="zh-CN"/>
        </w:rPr>
        <w:t>t</w:t>
      </w:r>
      <w:r w:rsidRPr="00880FA7">
        <w:rPr>
          <w:rFonts w:ascii="Book Antiqua" w:eastAsia="Book Antiqua" w:hAnsi="Book Antiqua" w:cs="Book Antiqua"/>
          <w:b/>
          <w:bCs/>
          <w:iCs/>
          <w:color w:val="000000"/>
        </w:rPr>
        <w:t>remelimumab</w:t>
      </w:r>
      <w:r w:rsidR="00CC4061" w:rsidRPr="00880FA7">
        <w:rPr>
          <w:rFonts w:ascii="Book Antiqua" w:hAnsi="Book Antiqua" w:cs="Book Antiqua" w:hint="eastAsia"/>
          <w:b/>
          <w:bCs/>
          <w:iCs/>
          <w:color w:val="000000"/>
          <w:lang w:eastAsia="zh-CN"/>
        </w:rPr>
        <w:t xml:space="preserve">: </w:t>
      </w:r>
      <w:r w:rsidRPr="00880FA7">
        <w:rPr>
          <w:rFonts w:ascii="Book Antiqua" w:eastAsia="Book Antiqua" w:hAnsi="Book Antiqua" w:cs="Book Antiqua"/>
          <w:color w:val="000000"/>
        </w:rPr>
        <w:t>Several</w:t>
      </w:r>
      <w:r w:rsidR="007278CA"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studies have shown that extended exposure to CTLA-4 inhibitors may not be required for long-term anti-tumor effects. In metastatic melanoma, Eroglu </w:t>
      </w:r>
      <w:r w:rsidRPr="00880FA7">
        <w:rPr>
          <w:rFonts w:ascii="Book Antiqua" w:eastAsia="Book Antiqua" w:hAnsi="Book Antiqua" w:cs="Book Antiqua"/>
          <w:i/>
          <w:iCs/>
          <w:color w:val="000000"/>
        </w:rPr>
        <w:t>et al</w:t>
      </w:r>
      <w:r w:rsidRPr="00880FA7">
        <w:rPr>
          <w:rFonts w:ascii="Book Antiqua" w:eastAsia="Book Antiqua" w:hAnsi="Book Antiqua" w:cs="Book Antiqua"/>
          <w:color w:val="000000"/>
          <w:vertAlign w:val="superscript"/>
        </w:rPr>
        <w:t>[63]</w:t>
      </w:r>
      <w:r w:rsidRPr="00880FA7">
        <w:rPr>
          <w:rFonts w:ascii="Book Antiqua" w:eastAsia="Book Antiqua" w:hAnsi="Book Antiqua" w:cs="Book Antiqua"/>
          <w:color w:val="000000"/>
        </w:rPr>
        <w:t xml:space="preserve"> found that a single dosage of the CTLA-4 inhibitor tremelimumab might result in exceptionally extended durations of objective anti-tumor responses lasting more than 12 years. </w:t>
      </w:r>
      <w:r w:rsidR="00B663B2" w:rsidRPr="00880FA7">
        <w:rPr>
          <w:rFonts w:ascii="Book Antiqua" w:eastAsia="Book Antiqua" w:hAnsi="Book Antiqua" w:cs="Book Antiqua"/>
          <w:color w:val="000000"/>
        </w:rPr>
        <w:t xml:space="preserve">In advanced non-small cell lung cancer, a phase Ib research discovered that tremelimumab 1 mg/kg </w:t>
      </w:r>
      <w:r w:rsidR="00685AA5" w:rsidRPr="00880FA7">
        <w:rPr>
          <w:rFonts w:ascii="Book Antiqua" w:eastAsia="Book Antiqua" w:hAnsi="Book Antiqua" w:cs="Book Antiqua"/>
          <w:color w:val="000000"/>
        </w:rPr>
        <w:t>plus</w:t>
      </w:r>
      <w:r w:rsidR="00B663B2" w:rsidRPr="00880FA7">
        <w:rPr>
          <w:rFonts w:ascii="Book Antiqua" w:eastAsia="Book Antiqua" w:hAnsi="Book Antiqua" w:cs="Book Antiqua"/>
          <w:color w:val="000000"/>
        </w:rPr>
        <w:t xml:space="preserve"> durvalumab 20 mg/kg every 4 wk provided an anti-tumor </w:t>
      </w:r>
      <w:r w:rsidR="00685AA5" w:rsidRPr="00880FA7">
        <w:rPr>
          <w:rFonts w:ascii="Book Antiqua" w:eastAsia="Book Antiqua" w:hAnsi="Book Antiqua" w:cs="Book Antiqua"/>
          <w:color w:val="000000"/>
        </w:rPr>
        <w:t>action</w:t>
      </w:r>
      <w:r w:rsidR="00B663B2" w:rsidRPr="00880FA7">
        <w:rPr>
          <w:rFonts w:ascii="Book Antiqua" w:eastAsia="Book Antiqua" w:hAnsi="Book Antiqua" w:cs="Book Antiqua"/>
          <w:color w:val="000000"/>
        </w:rPr>
        <w:t xml:space="preserve"> while being tolerated</w:t>
      </w:r>
      <w:r w:rsidRPr="00880FA7">
        <w:rPr>
          <w:rFonts w:ascii="Book Antiqua" w:eastAsia="Book Antiqua" w:hAnsi="Book Antiqua" w:cs="Book Antiqua"/>
          <w:color w:val="000000"/>
        </w:rPr>
        <w:t xml:space="preserve">. </w:t>
      </w:r>
      <w:r w:rsidR="006A6BB7" w:rsidRPr="00880FA7">
        <w:rPr>
          <w:rFonts w:ascii="Book Antiqua" w:eastAsia="Book Antiqua" w:hAnsi="Book Antiqua" w:cs="Book Antiqua"/>
          <w:color w:val="000000"/>
        </w:rPr>
        <w:t>In a recent phase I/II study, durvalumab 20 mg/kg</w:t>
      </w:r>
      <w:r w:rsidR="00876CA9" w:rsidRPr="00880FA7">
        <w:rPr>
          <w:rFonts w:ascii="Book Antiqua" w:eastAsia="Book Antiqua" w:hAnsi="Book Antiqua" w:cs="Book Antiqua"/>
          <w:color w:val="000000"/>
        </w:rPr>
        <w:t xml:space="preserve"> </w:t>
      </w:r>
      <w:r w:rsidR="006A6BB7" w:rsidRPr="00880FA7">
        <w:rPr>
          <w:rFonts w:ascii="Book Antiqua" w:eastAsia="Book Antiqua" w:hAnsi="Book Antiqua" w:cs="Book Antiqua"/>
          <w:color w:val="000000"/>
        </w:rPr>
        <w:t xml:space="preserve">with tremelimumab 1 mg/kg every </w:t>
      </w:r>
      <w:r w:rsidR="00876CA9" w:rsidRPr="00880FA7">
        <w:rPr>
          <w:rFonts w:ascii="Book Antiqua" w:eastAsia="Book Antiqua" w:hAnsi="Book Antiqua" w:cs="Book Antiqua"/>
          <w:color w:val="000000"/>
        </w:rPr>
        <w:t>4</w:t>
      </w:r>
      <w:r w:rsidR="006A6BB7" w:rsidRPr="00880FA7">
        <w:rPr>
          <w:rFonts w:ascii="Book Antiqua" w:eastAsia="Book Antiqua" w:hAnsi="Book Antiqua" w:cs="Book Antiqua"/>
          <w:color w:val="000000"/>
        </w:rPr>
        <w:t xml:space="preserve"> wk for </w:t>
      </w:r>
      <w:r w:rsidR="00876CA9" w:rsidRPr="00880FA7">
        <w:rPr>
          <w:rFonts w:ascii="Book Antiqua" w:eastAsia="Book Antiqua" w:hAnsi="Book Antiqua" w:cs="Book Antiqua"/>
          <w:color w:val="000000"/>
        </w:rPr>
        <w:t>4</w:t>
      </w:r>
      <w:r w:rsidR="006A6BB7" w:rsidRPr="00880FA7">
        <w:rPr>
          <w:rFonts w:ascii="Book Antiqua" w:eastAsia="Book Antiqua" w:hAnsi="Book Antiqua" w:cs="Book Antiqua"/>
          <w:color w:val="000000"/>
        </w:rPr>
        <w:t xml:space="preserve"> doses was evaluated. The results showed acceptable tolerability and encouraging early efficacy in the second-line setting</w:t>
      </w:r>
      <w:r w:rsidRPr="00880FA7">
        <w:rPr>
          <w:rFonts w:ascii="Book Antiqua" w:eastAsia="Book Antiqua" w:hAnsi="Book Antiqua" w:cs="Book Antiqua"/>
          <w:color w:val="000000"/>
        </w:rPr>
        <w:t xml:space="preserve">. </w:t>
      </w:r>
      <w:r w:rsidR="007E278F" w:rsidRPr="00880FA7">
        <w:rPr>
          <w:rFonts w:ascii="Book Antiqua" w:eastAsia="Book Antiqua" w:hAnsi="Book Antiqua" w:cs="Book Antiqua"/>
          <w:color w:val="000000"/>
        </w:rPr>
        <w:t xml:space="preserve">The T-300/D-1500 </w:t>
      </w:r>
      <w:r w:rsidR="00876CA9" w:rsidRPr="00880FA7">
        <w:rPr>
          <w:rFonts w:ascii="Book Antiqua" w:eastAsia="Book Antiqua" w:hAnsi="Book Antiqua" w:cs="Book Antiqua"/>
          <w:color w:val="000000"/>
        </w:rPr>
        <w:t xml:space="preserve">high-dose </w:t>
      </w:r>
      <w:r w:rsidR="007E278F" w:rsidRPr="00880FA7">
        <w:rPr>
          <w:rFonts w:ascii="Book Antiqua" w:eastAsia="Book Antiqua" w:hAnsi="Book Antiqua" w:cs="Book Antiqua"/>
          <w:color w:val="000000"/>
        </w:rPr>
        <w:t xml:space="preserve">had the highest risk and benefit </w:t>
      </w:r>
      <w:r w:rsidR="00876CA9" w:rsidRPr="00880FA7">
        <w:rPr>
          <w:rFonts w:ascii="Book Antiqua" w:eastAsia="Book Antiqua" w:hAnsi="Book Antiqua" w:cs="Book Antiqua"/>
          <w:color w:val="000000"/>
        </w:rPr>
        <w:t>outcome</w:t>
      </w:r>
      <w:r w:rsidR="007E278F" w:rsidRPr="00880FA7">
        <w:rPr>
          <w:rFonts w:ascii="Book Antiqua" w:eastAsia="Book Antiqua" w:hAnsi="Book Antiqua" w:cs="Book Antiqua"/>
          <w:color w:val="000000"/>
        </w:rPr>
        <w:t xml:space="preserve"> with a median OS and ORR of 18.7</w:t>
      </w:r>
      <w:r w:rsidR="00F340AB" w:rsidRPr="00880FA7">
        <w:rPr>
          <w:rFonts w:ascii="Book Antiqua" w:eastAsia="Book Antiqua" w:hAnsi="Book Antiqua" w:cs="Book Antiqua"/>
          <w:color w:val="000000"/>
        </w:rPr>
        <w:t xml:space="preserve"> mo</w:t>
      </w:r>
      <w:r w:rsidR="007E278F" w:rsidRPr="00880FA7">
        <w:rPr>
          <w:rFonts w:ascii="Book Antiqua" w:eastAsia="Book Antiqua" w:hAnsi="Book Antiqua" w:cs="Book Antiqua"/>
          <w:color w:val="000000"/>
        </w:rPr>
        <w:t xml:space="preserve"> and 22.7 </w:t>
      </w:r>
      <w:r w:rsidR="00C665E6" w:rsidRPr="00880FA7">
        <w:rPr>
          <w:rFonts w:ascii="Book Antiqua" w:eastAsia="Book Antiqua" w:hAnsi="Book Antiqua" w:cs="Book Antiqua"/>
          <w:color w:val="000000"/>
        </w:rPr>
        <w:t>mo</w:t>
      </w:r>
      <w:r w:rsidR="007E278F" w:rsidRPr="00880FA7">
        <w:rPr>
          <w:rFonts w:ascii="Book Antiqua" w:eastAsia="Book Antiqua" w:hAnsi="Book Antiqua" w:cs="Book Antiqua"/>
          <w:color w:val="000000"/>
        </w:rPr>
        <w:t>, respectively</w:t>
      </w:r>
      <w:r w:rsidR="00F41BD4" w:rsidRPr="00880FA7">
        <w:rPr>
          <w:rFonts w:ascii="Book Antiqua" w:eastAsia="Book Antiqua" w:hAnsi="Book Antiqua" w:cs="Book Antiqua"/>
          <w:color w:val="000000"/>
        </w:rPr>
        <w:t>, i</w:t>
      </w:r>
      <w:r w:rsidR="007E278F" w:rsidRPr="00880FA7">
        <w:rPr>
          <w:rFonts w:ascii="Book Antiqua" w:eastAsia="Book Antiqua" w:hAnsi="Book Antiqua" w:cs="Book Antiqua"/>
          <w:color w:val="000000"/>
        </w:rPr>
        <w:t>n the expanded phase 2 study that examined combinations of 75 mg tremelimumab</w:t>
      </w:r>
      <w:r w:rsidR="00F41BD4" w:rsidRPr="00880FA7">
        <w:rPr>
          <w:rFonts w:ascii="Book Antiqua" w:eastAsia="Book Antiqua" w:hAnsi="Book Antiqua" w:cs="Book Antiqua"/>
          <w:color w:val="000000"/>
        </w:rPr>
        <w:t xml:space="preserve"> </w:t>
      </w:r>
      <w:r w:rsidR="007278CA" w:rsidRPr="00880FA7">
        <w:rPr>
          <w:rFonts w:ascii="Book Antiqua" w:eastAsia="Book Antiqua" w:hAnsi="Book Antiqua" w:cs="Book Antiqua"/>
          <w:color w:val="000000"/>
        </w:rPr>
        <w:t>with 1</w:t>
      </w:r>
      <w:r w:rsidR="007E278F" w:rsidRPr="00880FA7">
        <w:rPr>
          <w:rFonts w:ascii="Book Antiqua" w:eastAsia="Book Antiqua" w:hAnsi="Book Antiqua" w:cs="Book Antiqua"/>
          <w:color w:val="000000"/>
        </w:rPr>
        <w:t xml:space="preserve">500 </w:t>
      </w:r>
      <w:r w:rsidR="007E278F" w:rsidRPr="00880FA7">
        <w:rPr>
          <w:rFonts w:ascii="Book Antiqua" w:eastAsia="Book Antiqua" w:hAnsi="Book Antiqua" w:cs="Book Antiqua"/>
          <w:color w:val="000000"/>
        </w:rPr>
        <w:lastRenderedPageBreak/>
        <w:t>mg durvalumab (T-75/D-1500) and T-300/D-1500</w:t>
      </w:r>
      <w:r w:rsidRPr="00880FA7">
        <w:rPr>
          <w:rFonts w:ascii="Book Antiqua" w:eastAsia="Book Antiqua" w:hAnsi="Book Antiqua" w:cs="Book Antiqua"/>
          <w:color w:val="000000"/>
        </w:rPr>
        <w:t>. In the phase 3</w:t>
      </w:r>
      <w:r w:rsidR="007278CA"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HIMALAYA study, the T-300/D-1500 group was examined as first-line treatment. Patients with uHCC were divided into four groups: </w:t>
      </w:r>
      <w:r w:rsidR="005C03CE" w:rsidRPr="00880FA7">
        <w:rPr>
          <w:rFonts w:ascii="Book Antiqua" w:eastAsia="Book Antiqua" w:hAnsi="Book Antiqua" w:cs="Book Antiqua"/>
          <w:color w:val="000000"/>
        </w:rPr>
        <w:t xml:space="preserve">(1) T-300/D-1500 followed by D-1500 every </w:t>
      </w:r>
      <w:r w:rsidR="00FA2174" w:rsidRPr="00880FA7">
        <w:rPr>
          <w:rFonts w:ascii="Book Antiqua" w:eastAsia="Book Antiqua" w:hAnsi="Book Antiqua" w:cs="Book Antiqua"/>
          <w:color w:val="000000"/>
        </w:rPr>
        <w:t>4</w:t>
      </w:r>
      <w:r w:rsidR="005C03CE" w:rsidRPr="00880FA7">
        <w:rPr>
          <w:rFonts w:ascii="Book Antiqua" w:eastAsia="Book Antiqua" w:hAnsi="Book Antiqua" w:cs="Book Antiqua"/>
          <w:color w:val="000000"/>
        </w:rPr>
        <w:t xml:space="preserve"> wk (STRIDE); (2) D-1500 every </w:t>
      </w:r>
      <w:r w:rsidR="00FA2174" w:rsidRPr="00880FA7">
        <w:rPr>
          <w:rFonts w:ascii="Book Antiqua" w:eastAsia="Book Antiqua" w:hAnsi="Book Antiqua" w:cs="Book Antiqua"/>
          <w:color w:val="000000"/>
        </w:rPr>
        <w:t>4</w:t>
      </w:r>
      <w:r w:rsidR="005C03CE" w:rsidRPr="00880FA7">
        <w:rPr>
          <w:rFonts w:ascii="Book Antiqua" w:eastAsia="Book Antiqua" w:hAnsi="Book Antiqua" w:cs="Book Antiqua"/>
          <w:color w:val="000000"/>
        </w:rPr>
        <w:t xml:space="preserve"> wk; (3) sorafenib 400 mg twice daily; and (4) T-75 every </w:t>
      </w:r>
      <w:r w:rsidR="00FA2174" w:rsidRPr="00880FA7">
        <w:rPr>
          <w:rFonts w:ascii="Book Antiqua" w:eastAsia="Book Antiqua" w:hAnsi="Book Antiqua" w:cs="Book Antiqua"/>
          <w:color w:val="000000"/>
        </w:rPr>
        <w:t>4</w:t>
      </w:r>
      <w:r w:rsidR="005C03CE" w:rsidRPr="00880FA7">
        <w:rPr>
          <w:rFonts w:ascii="Book Antiqua" w:eastAsia="Book Antiqua" w:hAnsi="Book Antiqua" w:cs="Book Antiqua"/>
          <w:color w:val="000000"/>
        </w:rPr>
        <w:t xml:space="preserve"> wk followed by D-1500 every </w:t>
      </w:r>
      <w:r w:rsidR="00FA2174" w:rsidRPr="00880FA7">
        <w:rPr>
          <w:rFonts w:ascii="Book Antiqua" w:eastAsia="Book Antiqua" w:hAnsi="Book Antiqua" w:cs="Book Antiqua"/>
          <w:color w:val="000000"/>
        </w:rPr>
        <w:t>4</w:t>
      </w:r>
      <w:r w:rsidR="005C03CE" w:rsidRPr="00880FA7">
        <w:rPr>
          <w:rFonts w:ascii="Book Antiqua" w:eastAsia="Book Antiqua" w:hAnsi="Book Antiqua" w:cs="Book Antiqua"/>
          <w:color w:val="000000"/>
        </w:rPr>
        <w:t xml:space="preserve"> w</w:t>
      </w:r>
      <w:r w:rsidR="00FA2174" w:rsidRPr="00880FA7">
        <w:rPr>
          <w:rFonts w:ascii="Book Antiqua" w:eastAsia="Book Antiqua" w:hAnsi="Book Antiqua" w:cs="Book Antiqua"/>
          <w:color w:val="000000"/>
        </w:rPr>
        <w:t>k</w:t>
      </w:r>
      <w:r w:rsidR="005C03CE" w:rsidRPr="00880FA7">
        <w:rPr>
          <w:rFonts w:ascii="Book Antiqua" w:eastAsia="Book Antiqua" w:hAnsi="Book Antiqua" w:cs="Book Antiqua"/>
          <w:color w:val="000000"/>
        </w:rPr>
        <w:t xml:space="preserve"> (T-75/D)</w:t>
      </w:r>
      <w:r w:rsidRPr="00880FA7">
        <w:rPr>
          <w:rFonts w:ascii="Book Antiqua" w:eastAsia="Book Antiqua" w:hAnsi="Book Antiqua" w:cs="Book Antiqua"/>
          <w:color w:val="000000"/>
        </w:rPr>
        <w:t xml:space="preserve">. </w:t>
      </w:r>
      <w:r w:rsidR="00B46D95" w:rsidRPr="00880FA7">
        <w:rPr>
          <w:rFonts w:ascii="Book Antiqua" w:eastAsia="Book Antiqua" w:hAnsi="Book Antiqua" w:cs="Book Antiqua"/>
          <w:color w:val="000000"/>
        </w:rPr>
        <w:t xml:space="preserve">T-75/D </w:t>
      </w:r>
      <w:r w:rsidR="00B07AD6" w:rsidRPr="00880FA7">
        <w:rPr>
          <w:rFonts w:ascii="Book Antiqua" w:eastAsia="Book Antiqua" w:hAnsi="Book Antiqua" w:cs="Book Antiqua"/>
          <w:color w:val="000000"/>
        </w:rPr>
        <w:t>enroll</w:t>
      </w:r>
      <w:r w:rsidR="00B46D95" w:rsidRPr="00880FA7">
        <w:rPr>
          <w:rFonts w:ascii="Book Antiqua" w:eastAsia="Book Antiqua" w:hAnsi="Book Antiqua" w:cs="Book Antiqua"/>
          <w:color w:val="000000"/>
        </w:rPr>
        <w:t xml:space="preserve">ment was halted </w:t>
      </w:r>
      <w:r w:rsidR="00B07AD6" w:rsidRPr="00880FA7">
        <w:rPr>
          <w:rFonts w:ascii="Book Antiqua" w:eastAsia="Book Antiqua" w:hAnsi="Book Antiqua" w:cs="Book Antiqua"/>
          <w:color w:val="000000"/>
        </w:rPr>
        <w:t>due to</w:t>
      </w:r>
      <w:r w:rsidR="00B46D95" w:rsidRPr="00880FA7">
        <w:rPr>
          <w:rFonts w:ascii="Book Antiqua" w:eastAsia="Book Antiqua" w:hAnsi="Book Antiqua" w:cs="Book Antiqua"/>
          <w:color w:val="000000"/>
        </w:rPr>
        <w:t xml:space="preserve"> a planned analysis found no significant difference between </w:t>
      </w:r>
      <w:r w:rsidR="00B07AD6" w:rsidRPr="00880FA7">
        <w:rPr>
          <w:rFonts w:ascii="Book Antiqua" w:eastAsia="Book Antiqua" w:hAnsi="Book Antiqua" w:cs="Book Antiqua"/>
          <w:color w:val="000000"/>
        </w:rPr>
        <w:t xml:space="preserve">D-1500 </w:t>
      </w:r>
      <w:r w:rsidR="00B46D95" w:rsidRPr="00880FA7">
        <w:rPr>
          <w:rFonts w:ascii="Book Antiqua" w:eastAsia="Book Antiqua" w:hAnsi="Book Antiqua" w:cs="Book Antiqua"/>
          <w:color w:val="000000"/>
        </w:rPr>
        <w:t>and</w:t>
      </w:r>
      <w:r w:rsidR="00B07AD6" w:rsidRPr="00880FA7">
        <w:rPr>
          <w:rFonts w:ascii="Book Antiqua" w:eastAsia="Book Antiqua" w:hAnsi="Book Antiqua" w:cs="Book Antiqua"/>
          <w:color w:val="000000"/>
        </w:rPr>
        <w:t xml:space="preserve"> T-75/D</w:t>
      </w:r>
      <w:r w:rsidRPr="00880FA7">
        <w:rPr>
          <w:rFonts w:ascii="Book Antiqua" w:eastAsia="Book Antiqua" w:hAnsi="Book Antiqua" w:cs="Book Antiqua"/>
          <w:color w:val="000000"/>
        </w:rPr>
        <w:t xml:space="preserve">. </w:t>
      </w:r>
      <w:r w:rsidR="00267761" w:rsidRPr="00880FA7">
        <w:rPr>
          <w:rFonts w:ascii="Book Antiqua" w:eastAsia="Book Antiqua" w:hAnsi="Book Antiqua" w:cs="Book Antiqua"/>
          <w:color w:val="000000"/>
        </w:rPr>
        <w:t>D was noninferior to sorafenib alone in terms of OS (16.6</w:t>
      </w:r>
      <w:r w:rsidR="00D50C70" w:rsidRPr="00880FA7">
        <w:rPr>
          <w:rFonts w:ascii="Book Antiqua" w:eastAsia="Book Antiqua" w:hAnsi="Book Antiqua" w:cs="Book Antiqua"/>
          <w:color w:val="000000"/>
        </w:rPr>
        <w:t xml:space="preserve"> mo</w:t>
      </w:r>
      <w:r w:rsidR="00267761" w:rsidRPr="00880FA7">
        <w:rPr>
          <w:rFonts w:ascii="Book Antiqua" w:eastAsia="Book Antiqua" w:hAnsi="Book Antiqua" w:cs="Book Antiqua"/>
          <w:color w:val="000000"/>
        </w:rPr>
        <w:t xml:space="preserve"> </w:t>
      </w:r>
      <w:r w:rsidR="00267761" w:rsidRPr="00880FA7">
        <w:rPr>
          <w:rFonts w:ascii="Book Antiqua" w:eastAsia="Book Antiqua" w:hAnsi="Book Antiqua" w:cs="Book Antiqua"/>
          <w:i/>
          <w:iCs/>
          <w:color w:val="000000"/>
        </w:rPr>
        <w:t>vs</w:t>
      </w:r>
      <w:r w:rsidR="00267761" w:rsidRPr="00880FA7">
        <w:rPr>
          <w:rFonts w:ascii="Book Antiqua" w:eastAsia="Book Antiqua" w:hAnsi="Book Antiqua" w:cs="Book Antiqua"/>
          <w:color w:val="000000"/>
        </w:rPr>
        <w:t xml:space="preserve"> 13.8 </w:t>
      </w:r>
      <w:r w:rsidR="00C665E6" w:rsidRPr="00880FA7">
        <w:rPr>
          <w:rFonts w:ascii="Book Antiqua" w:eastAsia="Book Antiqua" w:hAnsi="Book Antiqua" w:cs="Book Antiqua"/>
          <w:color w:val="000000"/>
        </w:rPr>
        <w:t>mo</w:t>
      </w:r>
      <w:r w:rsidR="00267761" w:rsidRPr="00880FA7">
        <w:rPr>
          <w:rFonts w:ascii="Book Antiqua" w:eastAsia="Book Antiqua" w:hAnsi="Book Antiqua" w:cs="Book Antiqua"/>
          <w:color w:val="000000"/>
        </w:rPr>
        <w:t>; HR</w:t>
      </w:r>
      <w:r w:rsidR="007278CA" w:rsidRPr="00880FA7">
        <w:rPr>
          <w:rFonts w:ascii="Book Antiqua" w:hAnsi="Book Antiqua" w:cs="Book Antiqua" w:hint="eastAsia"/>
          <w:color w:val="000000"/>
          <w:lang w:eastAsia="zh-CN"/>
        </w:rPr>
        <w:t>:</w:t>
      </w:r>
      <w:r w:rsidR="007278CA" w:rsidRPr="00880FA7">
        <w:rPr>
          <w:rFonts w:ascii="Book Antiqua" w:eastAsia="Book Antiqua" w:hAnsi="Book Antiqua" w:cs="Book Antiqua"/>
          <w:color w:val="000000"/>
        </w:rPr>
        <w:t xml:space="preserve"> 0.86; 96%</w:t>
      </w:r>
      <w:r w:rsidR="00267761" w:rsidRPr="00880FA7">
        <w:rPr>
          <w:rFonts w:ascii="Book Antiqua" w:eastAsia="Book Antiqua" w:hAnsi="Book Antiqua" w:cs="Book Antiqua"/>
          <w:color w:val="000000"/>
        </w:rPr>
        <w:t>CI</w:t>
      </w:r>
      <w:r w:rsidR="007278CA" w:rsidRPr="00880FA7">
        <w:rPr>
          <w:rFonts w:ascii="Book Antiqua" w:hAnsi="Book Antiqua" w:cs="Book Antiqua" w:hint="eastAsia"/>
          <w:color w:val="000000"/>
          <w:lang w:eastAsia="zh-CN"/>
        </w:rPr>
        <w:t>:</w:t>
      </w:r>
      <w:r w:rsidR="00267761" w:rsidRPr="00880FA7">
        <w:rPr>
          <w:rFonts w:ascii="Book Antiqua" w:eastAsia="Book Antiqua" w:hAnsi="Book Antiqua" w:cs="Book Antiqua"/>
          <w:color w:val="000000"/>
        </w:rPr>
        <w:t xml:space="preserve"> 0.73-1.03). The T-300/D-1500 ORR was 20.1%, 17% with durvalumab alone, and 5.1% with sorafenib alone</w:t>
      </w:r>
      <w:r w:rsidRPr="00880FA7">
        <w:rPr>
          <w:rFonts w:ascii="Book Antiqua" w:eastAsia="Book Antiqua" w:hAnsi="Book Antiqua" w:cs="Book Antiqua"/>
          <w:color w:val="000000"/>
        </w:rPr>
        <w:t xml:space="preserve">. </w:t>
      </w:r>
      <w:r w:rsidR="00267761" w:rsidRPr="00880FA7">
        <w:rPr>
          <w:rFonts w:ascii="Book Antiqua" w:eastAsia="Book Antiqua" w:hAnsi="Book Antiqua" w:cs="Book Antiqua"/>
          <w:color w:val="000000"/>
        </w:rPr>
        <w:t>Nevertheless, no statistically significant change in PFS was seen</w:t>
      </w:r>
      <w:r w:rsidRPr="00880FA7">
        <w:rPr>
          <w:rFonts w:ascii="Book Antiqua" w:eastAsia="Book Antiqua" w:hAnsi="Book Antiqua" w:cs="Book Antiqua"/>
          <w:color w:val="000000"/>
        </w:rPr>
        <w:t xml:space="preserve">. </w:t>
      </w:r>
      <w:r w:rsidR="00267761" w:rsidRPr="00880FA7">
        <w:rPr>
          <w:rFonts w:ascii="Book Antiqua" w:eastAsia="Book Antiqua" w:hAnsi="Book Antiqua" w:cs="Book Antiqua"/>
          <w:color w:val="000000"/>
        </w:rPr>
        <w:t xml:space="preserve">Durvalumab showed a good safety profile and wasn't worse than sorafenib. Durvalumab generated grade 3/4 </w:t>
      </w:r>
      <w:r w:rsidR="001F351B" w:rsidRPr="00880FA7">
        <w:rPr>
          <w:rFonts w:ascii="Book Antiqua" w:eastAsia="Book Antiqua" w:hAnsi="Book Antiqua" w:cs="Book Antiqua"/>
          <w:color w:val="000000"/>
        </w:rPr>
        <w:t>AEs</w:t>
      </w:r>
      <w:r w:rsidR="00267761" w:rsidRPr="00880FA7">
        <w:rPr>
          <w:rFonts w:ascii="Book Antiqua" w:eastAsia="Book Antiqua" w:hAnsi="Book Antiqua" w:cs="Book Antiqua"/>
          <w:color w:val="000000"/>
        </w:rPr>
        <w:t xml:space="preserve"> in 12.9% of patients treated with the combo group, and sorafenib in 25.8% of patients</w:t>
      </w:r>
      <w:r w:rsidRPr="00880FA7">
        <w:rPr>
          <w:rFonts w:ascii="Book Antiqua" w:eastAsia="Book Antiqua" w:hAnsi="Book Antiqua" w:cs="Book Antiqua"/>
          <w:color w:val="000000"/>
          <w:vertAlign w:val="superscript"/>
        </w:rPr>
        <w:t>[</w:t>
      </w:r>
      <w:r w:rsidR="00F14C9E" w:rsidRPr="00880FA7">
        <w:rPr>
          <w:rFonts w:ascii="Book Antiqua" w:eastAsia="Book Antiqua" w:hAnsi="Book Antiqua" w:cs="Book Antiqua"/>
          <w:color w:val="000000"/>
          <w:vertAlign w:val="superscript"/>
        </w:rPr>
        <w:t>64-</w:t>
      </w:r>
      <w:r w:rsidRPr="00880FA7">
        <w:rPr>
          <w:rFonts w:ascii="Book Antiqua" w:eastAsia="Book Antiqua" w:hAnsi="Book Antiqua" w:cs="Book Antiqua"/>
          <w:color w:val="000000"/>
          <w:vertAlign w:val="superscript"/>
        </w:rPr>
        <w:t>66]</w:t>
      </w:r>
      <w:r w:rsidRPr="00880FA7">
        <w:rPr>
          <w:rFonts w:ascii="Book Antiqua" w:eastAsia="Book Antiqua" w:hAnsi="Book Antiqua" w:cs="Book Antiqua"/>
          <w:color w:val="000000"/>
        </w:rPr>
        <w:t xml:space="preserve">. </w:t>
      </w:r>
      <w:r w:rsidR="00C16272" w:rsidRPr="00880FA7">
        <w:rPr>
          <w:rFonts w:ascii="Book Antiqua" w:eastAsia="Book Antiqua" w:hAnsi="Book Antiqua" w:cs="Book Antiqua"/>
          <w:color w:val="000000"/>
        </w:rPr>
        <w:t>As a result, the combination of durvalumab plus tremelimumab is a realistic first-line option for patients who are not candidates for atezolizumab or bevacizumab, such as those with a high risk of bleeding</w:t>
      </w:r>
      <w:r w:rsidRPr="00880FA7">
        <w:rPr>
          <w:rFonts w:ascii="Book Antiqua" w:eastAsia="Book Antiqua" w:hAnsi="Book Antiqua" w:cs="Book Antiqua"/>
          <w:color w:val="000000"/>
          <w:vertAlign w:val="superscript"/>
        </w:rPr>
        <w:t>[67]</w:t>
      </w:r>
      <w:r w:rsidRPr="00880FA7">
        <w:rPr>
          <w:rFonts w:ascii="Book Antiqua" w:eastAsia="Book Antiqua" w:hAnsi="Book Antiqua" w:cs="Book Antiqua"/>
          <w:color w:val="000000"/>
        </w:rPr>
        <w:t>.</w:t>
      </w:r>
    </w:p>
    <w:p w14:paraId="2ACC4299" w14:textId="193BF5AE" w:rsidR="00A77B3E" w:rsidRPr="00880FA7" w:rsidRDefault="008F141B" w:rsidP="007278CA">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For uHCC patients with </w:t>
      </w:r>
      <w:r w:rsidR="00C70B89" w:rsidRPr="00880FA7">
        <w:rPr>
          <w:rFonts w:ascii="Book Antiqua" w:eastAsia="Book Antiqua" w:hAnsi="Book Antiqua" w:cs="Book Antiqua"/>
          <w:color w:val="000000"/>
        </w:rPr>
        <w:t xml:space="preserve">a Child-Pugh class A cirrhosis </w:t>
      </w:r>
      <w:r w:rsidR="009043D6" w:rsidRPr="00880FA7">
        <w:rPr>
          <w:rFonts w:ascii="Book Antiqua" w:eastAsia="Book Antiqua" w:hAnsi="Book Antiqua" w:cs="Book Antiqua"/>
          <w:color w:val="000000"/>
        </w:rPr>
        <w:t xml:space="preserve">without </w:t>
      </w:r>
      <w:r w:rsidR="00C70B89" w:rsidRPr="00880FA7">
        <w:rPr>
          <w:rFonts w:ascii="Book Antiqua" w:eastAsia="Book Antiqua" w:hAnsi="Book Antiqua" w:cs="Book Antiqua"/>
          <w:color w:val="000000"/>
        </w:rPr>
        <w:t>anticoagulant</w:t>
      </w:r>
      <w:r w:rsidR="009043D6" w:rsidRPr="00880FA7">
        <w:rPr>
          <w:rFonts w:ascii="Book Antiqua" w:eastAsia="Book Antiqua" w:hAnsi="Book Antiqua" w:cs="Book Antiqua"/>
          <w:color w:val="000000"/>
        </w:rPr>
        <w:t xml:space="preserve"> therapy,</w:t>
      </w:r>
      <w:r w:rsidR="00C70B89" w:rsidRPr="00880FA7">
        <w:rPr>
          <w:rFonts w:ascii="Book Antiqua" w:eastAsia="Book Antiqua" w:hAnsi="Book Antiqua" w:cs="Book Antiqua"/>
          <w:color w:val="000000"/>
        </w:rPr>
        <w:t xml:space="preserve"> </w:t>
      </w:r>
      <w:r w:rsidRPr="00880FA7">
        <w:rPr>
          <w:rFonts w:ascii="Book Antiqua" w:eastAsia="Book Antiqua" w:hAnsi="Book Antiqua" w:cs="Book Antiqua"/>
          <w:color w:val="000000"/>
        </w:rPr>
        <w:t xml:space="preserve">an </w:t>
      </w:r>
      <w:r w:rsidR="00AE7ADC" w:rsidRPr="00880FA7">
        <w:rPr>
          <w:rFonts w:ascii="Book Antiqua" w:eastAsia="Book Antiqua" w:hAnsi="Book Antiqua" w:cs="Book Antiqua"/>
          <w:color w:val="000000"/>
        </w:rPr>
        <w:t>ECOG</w:t>
      </w:r>
      <w:r w:rsidRPr="00880FA7">
        <w:rPr>
          <w:rFonts w:ascii="Book Antiqua" w:eastAsia="Book Antiqua" w:hAnsi="Book Antiqua" w:cs="Book Antiqua"/>
          <w:color w:val="000000"/>
        </w:rPr>
        <w:t xml:space="preserve"> </w:t>
      </w:r>
      <w:r w:rsidR="009043D6" w:rsidRPr="00880FA7">
        <w:rPr>
          <w:rFonts w:ascii="Book Antiqua" w:eastAsia="Book Antiqua" w:hAnsi="Book Antiqua" w:cs="Book Antiqua"/>
          <w:color w:val="000000"/>
        </w:rPr>
        <w:t xml:space="preserve">score </w:t>
      </w:r>
      <w:r w:rsidRPr="00880FA7">
        <w:rPr>
          <w:rFonts w:ascii="Book Antiqua" w:eastAsia="Book Antiqua" w:hAnsi="Book Antiqua" w:cs="Book Antiqua"/>
          <w:color w:val="000000"/>
        </w:rPr>
        <w:t>of 0 or 1</w:t>
      </w:r>
      <w:r w:rsidR="009043D6" w:rsidRPr="00880FA7">
        <w:rPr>
          <w:rFonts w:ascii="Book Antiqua" w:eastAsia="Book Antiqua" w:hAnsi="Book Antiqua" w:cs="Book Antiqua"/>
          <w:color w:val="000000"/>
        </w:rPr>
        <w:t xml:space="preserve">, and </w:t>
      </w:r>
      <w:r w:rsidRPr="00880FA7">
        <w:rPr>
          <w:rFonts w:ascii="Book Antiqua" w:eastAsia="Book Antiqua" w:hAnsi="Book Antiqua" w:cs="Book Antiqua"/>
          <w:color w:val="000000"/>
        </w:rPr>
        <w:t xml:space="preserve">treatment for esophageal varices, current ASCO and ESMO guidelines recommend atezolizumab-bevacizumab combination therapy rather than </w:t>
      </w:r>
      <w:r w:rsidR="00094E8A"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Pr="00880FA7">
        <w:rPr>
          <w:rFonts w:ascii="Book Antiqua" w:eastAsia="Book Antiqua" w:hAnsi="Book Antiqua" w:cs="Book Antiqua"/>
          <w:color w:val="000000"/>
        </w:rPr>
        <w:t xml:space="preserve"> or sorafenib monotherapy</w:t>
      </w:r>
      <w:r w:rsidR="00A92039" w:rsidRPr="00880FA7">
        <w:rPr>
          <w:rFonts w:ascii="Book Antiqua" w:eastAsia="Book Antiqua" w:hAnsi="Book Antiqua" w:cs="Book Antiqua"/>
          <w:color w:val="000000"/>
        </w:rPr>
        <w:t xml:space="preserve">. Tremelimumab plus durvalumab is an alternative to bevacizumab for patients who are unsuitable to receive it. </w:t>
      </w:r>
      <w:r w:rsidR="00487CF9" w:rsidRPr="00880FA7">
        <w:rPr>
          <w:rFonts w:ascii="Book Antiqua" w:eastAsia="Book Antiqua" w:hAnsi="Book Antiqua" w:cs="Book Antiqua"/>
          <w:color w:val="000000"/>
        </w:rPr>
        <w:t xml:space="preserve">Monotherapy with sorafenib or </w:t>
      </w:r>
      <w:r w:rsidR="00094E8A"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487CF9" w:rsidRPr="00880FA7">
        <w:rPr>
          <w:rFonts w:ascii="Book Antiqua" w:eastAsia="Book Antiqua" w:hAnsi="Book Antiqua" w:cs="Book Antiqua"/>
          <w:color w:val="000000"/>
        </w:rPr>
        <w:t xml:space="preserve"> is an alternative </w:t>
      </w:r>
      <w:r w:rsidR="008F2E15" w:rsidRPr="00880FA7">
        <w:rPr>
          <w:rFonts w:ascii="Book Antiqua" w:eastAsia="Book Antiqua" w:hAnsi="Book Antiqua" w:cs="Book Antiqua"/>
          <w:color w:val="000000"/>
        </w:rPr>
        <w:t>treatment</w:t>
      </w:r>
      <w:r w:rsidR="00487CF9" w:rsidRPr="00880FA7">
        <w:rPr>
          <w:rFonts w:ascii="Book Antiqua" w:eastAsia="Book Antiqua" w:hAnsi="Book Antiqua" w:cs="Book Antiqua"/>
          <w:color w:val="000000"/>
        </w:rPr>
        <w:t xml:space="preserve"> for </w:t>
      </w:r>
      <w:r w:rsidR="008F2E15" w:rsidRPr="00880FA7">
        <w:rPr>
          <w:rFonts w:ascii="Book Antiqua" w:eastAsia="Book Antiqua" w:hAnsi="Book Antiqua" w:cs="Book Antiqua"/>
          <w:color w:val="000000"/>
        </w:rPr>
        <w:t xml:space="preserve">Child-Pugh class B cirrhosis </w:t>
      </w:r>
      <w:r w:rsidR="00487CF9" w:rsidRPr="00880FA7">
        <w:rPr>
          <w:rFonts w:ascii="Book Antiqua" w:eastAsia="Book Antiqua" w:hAnsi="Book Antiqua" w:cs="Book Antiqua"/>
          <w:color w:val="000000"/>
        </w:rPr>
        <w:t xml:space="preserve">patients with no worse than score 7, or when </w:t>
      </w:r>
      <w:r w:rsidR="008F2E15" w:rsidRPr="00880FA7">
        <w:rPr>
          <w:rFonts w:ascii="Book Antiqua" w:eastAsia="Book Antiqua" w:hAnsi="Book Antiqua" w:cs="Book Antiqua"/>
          <w:color w:val="000000"/>
        </w:rPr>
        <w:t>double</w:t>
      </w:r>
      <w:r w:rsidR="00487CF9" w:rsidRPr="00880FA7">
        <w:rPr>
          <w:rFonts w:ascii="Book Antiqua" w:eastAsia="Book Antiqua" w:hAnsi="Book Antiqua" w:cs="Book Antiqua"/>
          <w:color w:val="000000"/>
        </w:rPr>
        <w:t xml:space="preserve"> immunotherapy is considered unsafe, or when the clinical condition of the patients is less fit, or with multiple comorbidities with predicted poor acceptance to combined immunotherapy</w:t>
      </w:r>
      <w:r w:rsidR="00A92039" w:rsidRPr="00880FA7">
        <w:rPr>
          <w:rFonts w:ascii="Book Antiqua" w:eastAsia="Book Antiqua" w:hAnsi="Book Antiqua" w:cs="Book Antiqua"/>
          <w:color w:val="000000"/>
        </w:rPr>
        <w:t xml:space="preserve">. </w:t>
      </w:r>
      <w:r w:rsidR="00E339B5" w:rsidRPr="00880FA7">
        <w:rPr>
          <w:rFonts w:ascii="Book Antiqua" w:eastAsia="Book Antiqua" w:hAnsi="Book Antiqua" w:cs="Book Antiqua"/>
          <w:color w:val="000000"/>
        </w:rPr>
        <w:t xml:space="preserve">Only individuals with cirrhosis that is no worse than Child-Pugh class A are advised to take </w:t>
      </w:r>
      <w:r w:rsidR="00094E8A"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E339B5" w:rsidRPr="00880FA7">
        <w:rPr>
          <w:rFonts w:ascii="Book Antiqua" w:eastAsia="Book Antiqua" w:hAnsi="Book Antiqua" w:cs="Book Antiqua"/>
          <w:color w:val="000000"/>
        </w:rPr>
        <w:t>. Lenvatinib often causes fewer HFS and alopecia than sorafenib and has a lower overall toxicity profile</w:t>
      </w:r>
      <w:r w:rsidR="00A92039" w:rsidRPr="00880FA7">
        <w:rPr>
          <w:rFonts w:ascii="Book Antiqua" w:eastAsia="Book Antiqua" w:hAnsi="Book Antiqua" w:cs="Book Antiqua"/>
          <w:color w:val="000000"/>
        </w:rPr>
        <w:t xml:space="preserve">. According to the REFLECT study, it also had a higher ORR, better PFS, and a longer TTP. As a result, if monotherapy is indicated, the majority of physicians now choose to begin with </w:t>
      </w:r>
      <w:r w:rsidR="00094E8A"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A92039" w:rsidRPr="00880FA7">
        <w:rPr>
          <w:rFonts w:ascii="Book Antiqua" w:eastAsia="Book Antiqua" w:hAnsi="Book Antiqua" w:cs="Book Antiqua"/>
          <w:color w:val="000000"/>
        </w:rPr>
        <w:t xml:space="preserve">. However, considering the extended </w:t>
      </w:r>
      <w:r w:rsidR="00A92039" w:rsidRPr="00880FA7">
        <w:rPr>
          <w:rFonts w:ascii="Book Antiqua" w:eastAsia="Book Antiqua" w:hAnsi="Book Antiqua" w:cs="Book Antiqua"/>
          <w:color w:val="000000"/>
        </w:rPr>
        <w:lastRenderedPageBreak/>
        <w:t>amount of experience and the noninferior median OS observed in the REFLECT study, sorafenib may still be preferable (</w:t>
      </w:r>
      <w:r w:rsidR="00A92039" w:rsidRPr="00880FA7">
        <w:rPr>
          <w:rFonts w:ascii="Book Antiqua" w:eastAsia="Book Antiqua" w:hAnsi="Book Antiqua" w:cs="Book Antiqua"/>
          <w:bCs/>
          <w:color w:val="000000"/>
        </w:rPr>
        <w:t>Figure 1</w:t>
      </w:r>
      <w:r w:rsidR="00A92039" w:rsidRPr="00880FA7">
        <w:rPr>
          <w:rFonts w:ascii="Book Antiqua" w:eastAsia="Book Antiqua" w:hAnsi="Book Antiqua" w:cs="Book Antiqua"/>
          <w:color w:val="000000"/>
        </w:rPr>
        <w:t>).</w:t>
      </w:r>
    </w:p>
    <w:p w14:paraId="7923AFE2" w14:textId="77777777" w:rsidR="007278CA" w:rsidRPr="00880FA7" w:rsidRDefault="007278CA" w:rsidP="00D33124">
      <w:pPr>
        <w:spacing w:line="360" w:lineRule="auto"/>
        <w:jc w:val="both"/>
        <w:rPr>
          <w:rFonts w:ascii="Book Antiqua" w:hAnsi="Book Antiqua" w:cs="Book Antiqua"/>
          <w:b/>
          <w:bCs/>
          <w:i/>
          <w:iCs/>
          <w:color w:val="000000"/>
          <w:u w:val="single"/>
          <w:lang w:eastAsia="zh-CN"/>
        </w:rPr>
      </w:pPr>
    </w:p>
    <w:p w14:paraId="691F7C2B" w14:textId="77777777" w:rsidR="00A77B3E" w:rsidRPr="00880FA7" w:rsidRDefault="005A3604" w:rsidP="00D33124">
      <w:pPr>
        <w:spacing w:line="360" w:lineRule="auto"/>
        <w:jc w:val="both"/>
        <w:rPr>
          <w:rFonts w:ascii="Book Antiqua" w:hAnsi="Book Antiqua"/>
          <w:i/>
        </w:rPr>
      </w:pPr>
      <w:r w:rsidRPr="00880FA7">
        <w:rPr>
          <w:rFonts w:ascii="Book Antiqua" w:eastAsia="Book Antiqua" w:hAnsi="Book Antiqua" w:cs="Book Antiqua"/>
          <w:b/>
          <w:i/>
          <w:color w:val="000000"/>
        </w:rPr>
        <w:t>Second</w:t>
      </w:r>
      <w:r w:rsidRPr="00880FA7">
        <w:rPr>
          <w:rFonts w:ascii="Book Antiqua" w:hAnsi="Book Antiqua" w:cs="Book Antiqua"/>
          <w:b/>
          <w:i/>
          <w:color w:val="000000"/>
          <w:lang w:eastAsia="zh-CN"/>
        </w:rPr>
        <w:t>-</w:t>
      </w:r>
      <w:r w:rsidRPr="00880FA7">
        <w:rPr>
          <w:rFonts w:ascii="Book Antiqua" w:eastAsia="Book Antiqua" w:hAnsi="Book Antiqua" w:cs="Book Antiqua"/>
          <w:b/>
          <w:i/>
          <w:color w:val="000000"/>
        </w:rPr>
        <w:t>line systemic therapy</w:t>
      </w:r>
    </w:p>
    <w:p w14:paraId="77EB5C41" w14:textId="1A83E65E" w:rsidR="00A77B3E" w:rsidRPr="00880FA7" w:rsidRDefault="00A92039" w:rsidP="00D33124">
      <w:pPr>
        <w:spacing w:line="360" w:lineRule="auto"/>
        <w:jc w:val="both"/>
        <w:rPr>
          <w:rFonts w:ascii="Book Antiqua" w:hAnsi="Book Antiqua" w:cs="Book Antiqua"/>
          <w:bCs/>
          <w:iCs/>
          <w:color w:val="000000"/>
          <w:lang w:eastAsia="zh-CN"/>
        </w:rPr>
      </w:pPr>
      <w:r w:rsidRPr="00880FA7">
        <w:rPr>
          <w:rFonts w:ascii="Book Antiqua" w:eastAsia="Book Antiqua" w:hAnsi="Book Antiqua" w:cs="Book Antiqua"/>
          <w:b/>
          <w:bCs/>
          <w:iCs/>
          <w:color w:val="000000"/>
        </w:rPr>
        <w:t>S</w:t>
      </w:r>
      <w:r w:rsidR="005A3604" w:rsidRPr="00880FA7">
        <w:rPr>
          <w:rFonts w:ascii="Book Antiqua" w:eastAsia="Book Antiqua" w:hAnsi="Book Antiqua" w:cs="Book Antiqua" w:hint="eastAsia"/>
          <w:b/>
          <w:bCs/>
          <w:iCs/>
          <w:color w:val="000000"/>
        </w:rPr>
        <w:t>ingle</w:t>
      </w:r>
      <w:r w:rsidRPr="00880FA7">
        <w:rPr>
          <w:rFonts w:ascii="Book Antiqua" w:eastAsia="Book Antiqua" w:hAnsi="Book Antiqua" w:cs="Book Antiqua"/>
          <w:b/>
          <w:bCs/>
          <w:iCs/>
          <w:color w:val="000000"/>
        </w:rPr>
        <w:t xml:space="preserve"> </w:t>
      </w:r>
      <w:r w:rsidR="00F76E34" w:rsidRPr="00880FA7">
        <w:rPr>
          <w:rFonts w:ascii="Book Antiqua" w:hAnsi="Book Antiqua" w:cs="Book Antiqua" w:hint="eastAsia"/>
          <w:b/>
          <w:bCs/>
          <w:iCs/>
          <w:color w:val="000000"/>
          <w:lang w:eastAsia="zh-CN"/>
        </w:rPr>
        <w:t>drug</w:t>
      </w:r>
      <w:r w:rsidRPr="00880FA7">
        <w:rPr>
          <w:rFonts w:ascii="Book Antiqua" w:eastAsia="Book Antiqua" w:hAnsi="Book Antiqua" w:cs="Book Antiqua"/>
          <w:b/>
          <w:bCs/>
          <w:iCs/>
          <w:color w:val="000000"/>
        </w:rPr>
        <w:t>-</w:t>
      </w:r>
      <w:r w:rsidR="005A3604" w:rsidRPr="00880FA7">
        <w:rPr>
          <w:rFonts w:ascii="Book Antiqua" w:hAnsi="Book Antiqua" w:cs="Book Antiqua" w:hint="eastAsia"/>
          <w:b/>
          <w:bCs/>
          <w:iCs/>
          <w:color w:val="000000"/>
          <w:lang w:eastAsia="zh-CN"/>
        </w:rPr>
        <w:t>m</w:t>
      </w:r>
      <w:r w:rsidRPr="00880FA7">
        <w:rPr>
          <w:rFonts w:ascii="Book Antiqua" w:eastAsia="Book Antiqua" w:hAnsi="Book Antiqua" w:cs="Book Antiqua"/>
          <w:b/>
          <w:bCs/>
          <w:iCs/>
          <w:color w:val="000000"/>
        </w:rPr>
        <w:t xml:space="preserve">ultikinase </w:t>
      </w:r>
      <w:r w:rsidR="005A3604" w:rsidRPr="00880FA7">
        <w:rPr>
          <w:rFonts w:ascii="Book Antiqua" w:hAnsi="Book Antiqua" w:cs="Book Antiqua" w:hint="eastAsia"/>
          <w:b/>
          <w:bCs/>
          <w:iCs/>
          <w:color w:val="000000"/>
          <w:lang w:eastAsia="zh-CN"/>
        </w:rPr>
        <w:t>i</w:t>
      </w:r>
      <w:r w:rsidRPr="00880FA7">
        <w:rPr>
          <w:rFonts w:ascii="Book Antiqua" w:eastAsia="Book Antiqua" w:hAnsi="Book Antiqua" w:cs="Book Antiqua"/>
          <w:b/>
          <w:bCs/>
          <w:iCs/>
          <w:color w:val="000000"/>
        </w:rPr>
        <w:t>nhibitor</w:t>
      </w:r>
      <w:r w:rsidR="005A3604" w:rsidRPr="00880FA7">
        <w:rPr>
          <w:rFonts w:ascii="Book Antiqua" w:hAnsi="Book Antiqua" w:cs="Book Antiqua" w:hint="eastAsia"/>
          <w:b/>
          <w:bCs/>
          <w:iCs/>
          <w:color w:val="000000"/>
          <w:lang w:eastAsia="zh-CN"/>
        </w:rPr>
        <w:t xml:space="preserve">: </w:t>
      </w:r>
      <w:r w:rsidRPr="00880FA7">
        <w:rPr>
          <w:rFonts w:ascii="Book Antiqua" w:eastAsia="Book Antiqua" w:hAnsi="Book Antiqua" w:cs="Book Antiqua"/>
          <w:bCs/>
          <w:iCs/>
          <w:color w:val="000000"/>
        </w:rPr>
        <w:t>Regorafenib</w:t>
      </w:r>
      <w:r w:rsidR="005A3604" w:rsidRPr="00880FA7">
        <w:rPr>
          <w:rFonts w:ascii="Book Antiqua" w:hAnsi="Book Antiqua" w:cs="Book Antiqua" w:hint="eastAsia"/>
          <w:bCs/>
          <w:iCs/>
          <w:color w:val="000000"/>
          <w:lang w:eastAsia="zh-CN"/>
        </w:rPr>
        <w:t>-</w:t>
      </w:r>
      <w:r w:rsidRPr="00880FA7">
        <w:rPr>
          <w:rFonts w:ascii="Book Antiqua" w:eastAsia="Book Antiqua" w:hAnsi="Book Antiqua" w:cs="Book Antiqua"/>
          <w:color w:val="000000"/>
        </w:rPr>
        <w:t xml:space="preserve">Regorafenib was proposed as a possible second-line therapy for uHCC in the RESORCE study in patients who had progressed on sorafenib. </w:t>
      </w:r>
      <w:r w:rsidR="005D0C77" w:rsidRPr="00880FA7">
        <w:rPr>
          <w:rFonts w:ascii="Book Antiqua" w:eastAsia="Book Antiqua" w:hAnsi="Book Antiqua" w:cs="Book Antiqua"/>
          <w:color w:val="000000"/>
        </w:rPr>
        <w:t xml:space="preserve">The EGFR and VEGF receptors are the targets of the MTKI regorafenib. The phase III, randomized, double-blind trial compared </w:t>
      </w:r>
      <w:r w:rsidR="007C068D" w:rsidRPr="00880FA7">
        <w:rPr>
          <w:rFonts w:ascii="Book Antiqua" w:hAnsi="Book Antiqua" w:cs="Book Antiqua" w:hint="eastAsia"/>
          <w:color w:val="000000"/>
          <w:lang w:eastAsia="zh-CN"/>
        </w:rPr>
        <w:t>OS</w:t>
      </w:r>
      <w:r w:rsidR="005D0C77" w:rsidRPr="00880FA7">
        <w:rPr>
          <w:rFonts w:ascii="Book Antiqua" w:eastAsia="Book Antiqua" w:hAnsi="Book Antiqua" w:cs="Book Antiqua"/>
          <w:color w:val="000000"/>
        </w:rPr>
        <w:t xml:space="preserve"> to placebo in 567 Child-Pugh class A patients who had been receiving sorafenib and tolerated treatmen</w:t>
      </w:r>
      <w:r w:rsidR="005A3604" w:rsidRPr="00880FA7">
        <w:rPr>
          <w:rFonts w:ascii="Book Antiqua" w:eastAsia="Book Antiqua" w:hAnsi="Book Antiqua" w:cs="Book Antiqua"/>
          <w:color w:val="000000"/>
        </w:rPr>
        <w:t>t for at least 20 of the 28 d</w:t>
      </w:r>
      <w:r w:rsidR="005D0C77" w:rsidRPr="00880FA7">
        <w:rPr>
          <w:rFonts w:ascii="Book Antiqua" w:eastAsia="Book Antiqua" w:hAnsi="Book Antiqua" w:cs="Book Antiqua"/>
          <w:color w:val="000000"/>
        </w:rPr>
        <w:t xml:space="preserve"> prior to discontinuation</w:t>
      </w:r>
      <w:r w:rsidRPr="00880FA7">
        <w:rPr>
          <w:rFonts w:ascii="Book Antiqua" w:eastAsia="Book Antiqua" w:hAnsi="Book Antiqua" w:cs="Book Antiqua"/>
          <w:color w:val="000000"/>
        </w:rPr>
        <w:t xml:space="preserve">. </w:t>
      </w:r>
      <w:r w:rsidR="00FB3D49" w:rsidRPr="00880FA7">
        <w:rPr>
          <w:rFonts w:ascii="Book Antiqua" w:eastAsia="Book Antiqua" w:hAnsi="Book Antiqua" w:cs="Book Antiqua"/>
          <w:color w:val="000000"/>
        </w:rPr>
        <w:t xml:space="preserve">After enrollment, patients were randomized to receive regorafenib 160 mg daily or a placebo. When compared to the placebo, the median OS with regorafenib was 10.6 </w:t>
      </w:r>
      <w:r w:rsidR="00C665E6" w:rsidRPr="00880FA7">
        <w:rPr>
          <w:rFonts w:ascii="Book Antiqua" w:eastAsia="Book Antiqua" w:hAnsi="Book Antiqua" w:cs="Book Antiqua"/>
          <w:color w:val="000000"/>
        </w:rPr>
        <w:t>mo</w:t>
      </w:r>
      <w:r w:rsidR="005A3604" w:rsidRPr="00880FA7">
        <w:rPr>
          <w:rFonts w:ascii="Book Antiqua" w:hAnsi="Book Antiqua" w:cs="Book Antiqua" w:hint="eastAsia"/>
          <w:color w:val="000000"/>
          <w:lang w:eastAsia="zh-CN"/>
        </w:rPr>
        <w:t xml:space="preserve"> </w:t>
      </w:r>
      <w:r w:rsidR="00FB3D49" w:rsidRPr="00880FA7">
        <w:rPr>
          <w:rFonts w:ascii="Book Antiqua" w:eastAsia="Book Antiqua" w:hAnsi="Book Antiqua" w:cs="Book Antiqua"/>
          <w:color w:val="000000"/>
        </w:rPr>
        <w:t xml:space="preserve">as opposed to 7.8 </w:t>
      </w:r>
      <w:r w:rsidR="00C665E6" w:rsidRPr="00880FA7">
        <w:rPr>
          <w:rFonts w:ascii="Book Antiqua" w:eastAsia="Book Antiqua" w:hAnsi="Book Antiqua" w:cs="Book Antiqua"/>
          <w:color w:val="000000"/>
        </w:rPr>
        <w:t>mo</w:t>
      </w:r>
      <w:r w:rsidR="005A3604" w:rsidRPr="00880FA7">
        <w:rPr>
          <w:rFonts w:ascii="Book Antiqua" w:hAnsi="Book Antiqua" w:cs="Book Antiqua" w:hint="eastAsia"/>
          <w:color w:val="000000"/>
          <w:lang w:eastAsia="zh-CN"/>
        </w:rPr>
        <w:t xml:space="preserve"> </w:t>
      </w:r>
      <w:r w:rsidR="00FB3D49" w:rsidRPr="00880FA7">
        <w:rPr>
          <w:rFonts w:ascii="Book Antiqua" w:eastAsia="Book Antiqua" w:hAnsi="Book Antiqua" w:cs="Book Antiqua"/>
          <w:color w:val="000000"/>
        </w:rPr>
        <w:t>(HR</w:t>
      </w:r>
      <w:r w:rsidR="005A3604" w:rsidRPr="00880FA7">
        <w:rPr>
          <w:rFonts w:ascii="Book Antiqua" w:hAnsi="Book Antiqua" w:cs="Book Antiqua" w:hint="eastAsia"/>
          <w:color w:val="000000"/>
          <w:lang w:eastAsia="zh-CN"/>
        </w:rPr>
        <w:t>:</w:t>
      </w:r>
      <w:r w:rsidR="005A3604" w:rsidRPr="00880FA7">
        <w:rPr>
          <w:rFonts w:ascii="Book Antiqua" w:eastAsia="Book Antiqua" w:hAnsi="Book Antiqua" w:cs="Book Antiqua"/>
          <w:color w:val="000000"/>
        </w:rPr>
        <w:t xml:space="preserve"> 0.63, 95%CI: 0.50-</w:t>
      </w:r>
      <w:r w:rsidR="00FB3D49" w:rsidRPr="00880FA7">
        <w:rPr>
          <w:rFonts w:ascii="Book Antiqua" w:eastAsia="Book Antiqua" w:hAnsi="Book Antiqua" w:cs="Book Antiqua"/>
          <w:color w:val="000000"/>
        </w:rPr>
        <w:t xml:space="preserve">0.79; </w:t>
      </w:r>
      <w:r w:rsidR="00FB3D49" w:rsidRPr="00880FA7">
        <w:rPr>
          <w:rFonts w:ascii="Book Antiqua" w:eastAsia="Book Antiqua" w:hAnsi="Book Antiqua" w:cs="Book Antiqua"/>
          <w:i/>
          <w:iCs/>
          <w:color w:val="000000"/>
        </w:rPr>
        <w:t>P</w:t>
      </w:r>
      <w:r w:rsidR="00FB3D49" w:rsidRPr="00880FA7">
        <w:rPr>
          <w:rFonts w:ascii="Book Antiqua" w:eastAsia="Book Antiqua" w:hAnsi="Book Antiqua" w:cs="Book Antiqua"/>
          <w:color w:val="000000"/>
        </w:rPr>
        <w:t xml:space="preserve"> </w:t>
      </w:r>
      <w:r w:rsidR="00E45285" w:rsidRPr="00880FA7">
        <w:rPr>
          <w:rFonts w:ascii="Book Antiqua" w:eastAsia="Book Antiqua" w:hAnsi="Book Antiqua" w:cs="Book Antiqua"/>
          <w:color w:val="000000"/>
        </w:rPr>
        <w:t xml:space="preserve">&lt; </w:t>
      </w:r>
      <w:r w:rsidR="00FB3D49" w:rsidRPr="00880FA7">
        <w:rPr>
          <w:rFonts w:ascii="Book Antiqua" w:eastAsia="Book Antiqua" w:hAnsi="Book Antiqua" w:cs="Book Antiqua"/>
          <w:color w:val="000000"/>
        </w:rPr>
        <w:t>0.01)</w:t>
      </w:r>
      <w:r w:rsidRPr="00880FA7">
        <w:rPr>
          <w:rFonts w:ascii="Book Antiqua" w:eastAsia="Book Antiqua" w:hAnsi="Book Antiqua" w:cs="Book Antiqua"/>
          <w:color w:val="000000"/>
        </w:rPr>
        <w:t xml:space="preserve">. Hypertension, hand-foot skin reactions, tiredness, and diarrhea were all grade 3 or 4 </w:t>
      </w:r>
      <w:r w:rsidR="001F351B" w:rsidRPr="00880FA7">
        <w:rPr>
          <w:rFonts w:ascii="Book Antiqua" w:eastAsia="Book Antiqua" w:hAnsi="Book Antiqua" w:cs="Book Antiqua"/>
          <w:color w:val="000000"/>
        </w:rPr>
        <w:t>AEs</w:t>
      </w:r>
      <w:r w:rsidRPr="00880FA7">
        <w:rPr>
          <w:rFonts w:ascii="Book Antiqua" w:eastAsia="Book Antiqua" w:hAnsi="Book Antiqua" w:cs="Book Antiqua"/>
          <w:color w:val="000000"/>
        </w:rPr>
        <w:t xml:space="preserve">. They stated that regorafenib is the only systemic therapy that has been demonstrated to improve survival in HCC patients who are advancing on sorafenib treatment. </w:t>
      </w:r>
      <w:r w:rsidR="00FD2940" w:rsidRPr="00880FA7">
        <w:rPr>
          <w:rFonts w:ascii="Book Antiqua" w:eastAsia="Book Antiqua" w:hAnsi="Book Antiqua" w:cs="Book Antiqua"/>
          <w:color w:val="000000"/>
        </w:rPr>
        <w:t>Regorafenib should be studied in combination with more systemic medications in the future, as well as third-line therapy for patients who do not respond to or tolerate the sorafenib-regorafenib regimen</w:t>
      </w:r>
      <w:r w:rsidRPr="00880FA7">
        <w:rPr>
          <w:rFonts w:ascii="Book Antiqua" w:eastAsia="Book Antiqua" w:hAnsi="Book Antiqua" w:cs="Book Antiqua"/>
          <w:color w:val="000000"/>
          <w:vertAlign w:val="superscript"/>
        </w:rPr>
        <w:t>[45]</w:t>
      </w:r>
      <w:r w:rsidRPr="00880FA7">
        <w:rPr>
          <w:rFonts w:ascii="Book Antiqua" w:eastAsia="Book Antiqua" w:hAnsi="Book Antiqua" w:cs="Book Antiqua"/>
          <w:color w:val="000000"/>
        </w:rPr>
        <w:t>.</w:t>
      </w:r>
    </w:p>
    <w:p w14:paraId="1B3F1344" w14:textId="3D0484EA" w:rsidR="00A77B3E" w:rsidRPr="00880FA7" w:rsidRDefault="00A92039" w:rsidP="00251F16">
      <w:pPr>
        <w:spacing w:line="360" w:lineRule="auto"/>
        <w:ind w:firstLineChars="200" w:firstLine="480"/>
        <w:jc w:val="both"/>
        <w:rPr>
          <w:rFonts w:ascii="Book Antiqua" w:hAnsi="Book Antiqua"/>
        </w:rPr>
      </w:pPr>
      <w:r w:rsidRPr="00880FA7">
        <w:rPr>
          <w:rFonts w:ascii="Book Antiqua" w:eastAsia="Book Antiqua" w:hAnsi="Book Antiqua" w:cs="Book Antiqua"/>
          <w:bCs/>
          <w:iCs/>
          <w:color w:val="000000"/>
        </w:rPr>
        <w:t>Cabozantinib</w:t>
      </w:r>
      <w:r w:rsidR="00251F16" w:rsidRPr="00880FA7">
        <w:rPr>
          <w:rFonts w:ascii="Book Antiqua" w:hAnsi="Book Antiqua" w:hint="eastAsia"/>
          <w:lang w:eastAsia="zh-CN"/>
        </w:rPr>
        <w:t>-</w:t>
      </w:r>
      <w:r w:rsidR="00251F16" w:rsidRPr="00880FA7">
        <w:rPr>
          <w:rFonts w:ascii="Book Antiqua" w:hAnsi="Book Antiqua" w:cs="Book Antiqua" w:hint="eastAsia"/>
          <w:color w:val="000000"/>
          <w:lang w:eastAsia="zh-CN"/>
        </w:rPr>
        <w:t>i</w:t>
      </w:r>
      <w:r w:rsidR="00F92FC3" w:rsidRPr="00880FA7">
        <w:rPr>
          <w:rFonts w:ascii="Book Antiqua" w:eastAsia="Book Antiqua" w:hAnsi="Book Antiqua" w:cs="Book Antiqua"/>
          <w:color w:val="000000"/>
        </w:rPr>
        <w:t>n uHCC patients who had previously been treated with sorafenib and had suffered disease progression on at least one systemic therapy, the MTKI cabozantinib has demonstrated clinical effectiveness with good outcomes</w:t>
      </w:r>
      <w:r w:rsidRPr="00880FA7">
        <w:rPr>
          <w:rFonts w:ascii="Book Antiqua" w:eastAsia="Book Antiqua" w:hAnsi="Book Antiqua" w:cs="Book Antiqua"/>
          <w:color w:val="000000"/>
        </w:rPr>
        <w:t xml:space="preserve">. Cabozantinib acts by targeting the VEGF, MET, and AXL receptors. Antiangiogenic resistance, epithelial mesenchymal transition, invasion, and metastasis have all been related to MET and AXL receptors. </w:t>
      </w:r>
      <w:r w:rsidR="00C02370" w:rsidRPr="00880FA7">
        <w:rPr>
          <w:rFonts w:ascii="Book Antiqua" w:eastAsia="Book Antiqua" w:hAnsi="Book Antiqua" w:cs="Book Antiqua"/>
          <w:color w:val="000000"/>
        </w:rPr>
        <w:t>High levels of MET and AXL expression have been associated with a poor prognosis in HCC, and higher levels of MET activity have been observed in previously treated patients who develop sorafenib resistance</w:t>
      </w:r>
      <w:r w:rsidRPr="00880FA7">
        <w:rPr>
          <w:rFonts w:ascii="Book Antiqua" w:eastAsia="Book Antiqua" w:hAnsi="Book Antiqua" w:cs="Book Antiqua"/>
          <w:color w:val="000000"/>
        </w:rPr>
        <w:t xml:space="preserve">. </w:t>
      </w:r>
      <w:r w:rsidR="00C02370" w:rsidRPr="00880FA7">
        <w:rPr>
          <w:rFonts w:ascii="Book Antiqua" w:eastAsia="Book Antiqua" w:hAnsi="Book Antiqua" w:cs="Book Antiqua"/>
          <w:color w:val="000000"/>
        </w:rPr>
        <w:t xml:space="preserve">In this double-blind, randomized phase III study (CELESTIAL), 707 patients who had previously taken sorafenib, who had progressed on at least one systemic therapy for HCC, or who had received up to two prior systemic therapies, were randomly assigned to receive cabozantinib 60 mg daily as </w:t>
      </w:r>
      <w:r w:rsidR="00C02370" w:rsidRPr="00880FA7">
        <w:rPr>
          <w:rFonts w:ascii="Book Antiqua" w:eastAsia="Book Antiqua" w:hAnsi="Book Antiqua" w:cs="Book Antiqua"/>
          <w:color w:val="000000"/>
        </w:rPr>
        <w:lastRenderedPageBreak/>
        <w:t>opposed to a placebo</w:t>
      </w:r>
      <w:r w:rsidRPr="00880FA7">
        <w:rPr>
          <w:rFonts w:ascii="Book Antiqua" w:eastAsia="Book Antiqua" w:hAnsi="Book Antiqua" w:cs="Book Antiqua"/>
          <w:color w:val="000000"/>
        </w:rPr>
        <w:t xml:space="preserve">. OS was the main objective, with PFS and </w:t>
      </w:r>
      <w:r w:rsidR="00631B0B" w:rsidRPr="00880FA7">
        <w:rPr>
          <w:rFonts w:ascii="Book Antiqua" w:eastAsia="Book Antiqua" w:hAnsi="Book Antiqua" w:cs="Book Antiqua"/>
          <w:color w:val="000000"/>
        </w:rPr>
        <w:t>ORR</w:t>
      </w:r>
      <w:r w:rsidRPr="00880FA7">
        <w:rPr>
          <w:rFonts w:ascii="Book Antiqua" w:eastAsia="Book Antiqua" w:hAnsi="Book Antiqua" w:cs="Book Antiqua"/>
          <w:color w:val="000000"/>
        </w:rPr>
        <w:t xml:space="preserve"> as additional endpoints. Patients who received cabozantinib showed a longer OS</w:t>
      </w:r>
      <w:r w:rsidR="00631B0B"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(10.2</w:t>
      </w:r>
      <w:r w:rsidR="00D50C70" w:rsidRPr="00880FA7">
        <w:rPr>
          <w:rFonts w:ascii="Book Antiqua" w:eastAsia="Book Antiqua" w:hAnsi="Book Antiqua" w:cs="Book Antiqua"/>
          <w:color w:val="000000"/>
        </w:rPr>
        <w:t xml:space="preserve"> mo</w:t>
      </w:r>
      <w:r w:rsidRPr="00880FA7">
        <w:rPr>
          <w:rFonts w:ascii="Book Antiqua" w:eastAsia="Book Antiqua" w:hAnsi="Book Antiqua" w:cs="Book Antiqua"/>
          <w:color w:val="000000"/>
        </w:rPr>
        <w:t xml:space="preserve"> </w:t>
      </w:r>
      <w:r w:rsidRPr="00880FA7">
        <w:rPr>
          <w:rFonts w:ascii="Book Antiqua" w:eastAsia="Book Antiqua" w:hAnsi="Book Antiqua" w:cs="Book Antiqua"/>
          <w:i/>
          <w:iCs/>
          <w:color w:val="000000"/>
        </w:rPr>
        <w:t>vs</w:t>
      </w:r>
      <w:r w:rsidRPr="00880FA7">
        <w:rPr>
          <w:rFonts w:ascii="Book Antiqua" w:eastAsia="Book Antiqua" w:hAnsi="Book Antiqua" w:cs="Book Antiqua"/>
          <w:color w:val="000000"/>
        </w:rPr>
        <w:t xml:space="preserve"> 8.0 </w:t>
      </w:r>
      <w:r w:rsidR="00C665E6" w:rsidRPr="00880FA7">
        <w:rPr>
          <w:rFonts w:ascii="Book Antiqua" w:eastAsia="Book Antiqua" w:hAnsi="Book Antiqua" w:cs="Book Antiqua"/>
          <w:color w:val="000000"/>
        </w:rPr>
        <w:t>mo</w:t>
      </w:r>
      <w:r w:rsidRPr="00880FA7">
        <w:rPr>
          <w:rFonts w:ascii="Book Antiqua" w:eastAsia="Book Antiqua" w:hAnsi="Book Antiqua" w:cs="Book Antiqua"/>
          <w:color w:val="000000"/>
        </w:rPr>
        <w:t>; HR</w:t>
      </w:r>
      <w:r w:rsidR="00631B0B"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0.76; 95%CI: 0.63-0.92; </w:t>
      </w:r>
      <w:r w:rsidR="00340D64" w:rsidRPr="00880FA7">
        <w:rPr>
          <w:rFonts w:ascii="Book Antiqua" w:eastAsia="Book Antiqua" w:hAnsi="Book Antiqua" w:cs="Book Antiqua"/>
          <w:i/>
          <w:iCs/>
          <w:color w:val="000000"/>
        </w:rPr>
        <w:t>P</w:t>
      </w:r>
      <w:r w:rsidR="00631B0B"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0.005). When cabozantinib and placebo have been used, PFS was 5.2</w:t>
      </w:r>
      <w:r w:rsidR="00854422" w:rsidRPr="00880FA7">
        <w:rPr>
          <w:rFonts w:ascii="Book Antiqua" w:eastAsia="Book Antiqua" w:hAnsi="Book Antiqua" w:cs="Book Antiqua"/>
          <w:color w:val="000000"/>
        </w:rPr>
        <w:t xml:space="preserve"> mo</w:t>
      </w:r>
      <w:r w:rsidRPr="00880FA7">
        <w:rPr>
          <w:rFonts w:ascii="Book Antiqua" w:eastAsia="Book Antiqua" w:hAnsi="Book Antiqua" w:cs="Book Antiqua"/>
          <w:color w:val="000000"/>
        </w:rPr>
        <w:t xml:space="preserve"> </w:t>
      </w:r>
      <w:r w:rsidRPr="00880FA7">
        <w:rPr>
          <w:rFonts w:ascii="Book Antiqua" w:eastAsia="Book Antiqua" w:hAnsi="Book Antiqua" w:cs="Book Antiqua"/>
          <w:i/>
          <w:iCs/>
          <w:color w:val="000000"/>
        </w:rPr>
        <w:t>vs</w:t>
      </w:r>
      <w:r w:rsidRPr="00880FA7">
        <w:rPr>
          <w:rFonts w:ascii="Book Antiqua" w:eastAsia="Book Antiqua" w:hAnsi="Book Antiqua" w:cs="Book Antiqua"/>
          <w:color w:val="000000"/>
        </w:rPr>
        <w:t xml:space="preserve"> 1.9 </w:t>
      </w:r>
      <w:r w:rsidR="00C665E6"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and ORR was 4% and 1%, respectively. </w:t>
      </w:r>
      <w:r w:rsidR="00C7646E" w:rsidRPr="00880FA7">
        <w:rPr>
          <w:rFonts w:ascii="Book Antiqua" w:eastAsia="Book Antiqua" w:hAnsi="Book Antiqua" w:cs="Book Antiqua"/>
          <w:color w:val="000000"/>
        </w:rPr>
        <w:t>Sixty-eight percent of cabozantinib patients developed grade 3 or 4 adverse effects, with hand-foot skin reactions, hypertension, fatigue, diarrhea, and an increase in liver AST levels being the most frequent</w:t>
      </w:r>
      <w:r w:rsidRPr="00880FA7">
        <w:rPr>
          <w:rFonts w:ascii="Book Antiqua" w:eastAsia="Book Antiqua" w:hAnsi="Book Antiqua" w:cs="Book Antiqua"/>
          <w:color w:val="000000"/>
        </w:rPr>
        <w:t xml:space="preserve">. </w:t>
      </w:r>
      <w:r w:rsidR="00190AC8" w:rsidRPr="00880FA7">
        <w:rPr>
          <w:rFonts w:ascii="Book Antiqua" w:eastAsia="Book Antiqua" w:hAnsi="Book Antiqua" w:cs="Book Antiqua"/>
          <w:color w:val="000000"/>
        </w:rPr>
        <w:t>They concluded</w:t>
      </w:r>
      <w:r w:rsidR="00C665E6" w:rsidRPr="00880FA7">
        <w:rPr>
          <w:rFonts w:ascii="Book Antiqua" w:hAnsi="Book Antiqua" w:cs="Book Antiqua" w:hint="eastAsia"/>
          <w:color w:val="000000"/>
          <w:lang w:eastAsia="zh-CN"/>
        </w:rPr>
        <w:t xml:space="preserve"> </w:t>
      </w:r>
      <w:r w:rsidR="00190AC8" w:rsidRPr="00880FA7">
        <w:rPr>
          <w:rFonts w:ascii="Book Antiqua" w:eastAsia="Book Antiqua" w:hAnsi="Book Antiqua" w:cs="Book Antiqua"/>
          <w:color w:val="000000"/>
        </w:rPr>
        <w:t xml:space="preserve">that in patients with advanced </w:t>
      </w:r>
      <w:r w:rsidR="00661F57" w:rsidRPr="00880FA7">
        <w:rPr>
          <w:rFonts w:ascii="Book Antiqua" w:hAnsi="Book Antiqua" w:cs="Book Antiqua" w:hint="eastAsia"/>
          <w:color w:val="000000"/>
          <w:lang w:eastAsia="zh-CN"/>
        </w:rPr>
        <w:t>HCC</w:t>
      </w:r>
      <w:r w:rsidR="00190AC8" w:rsidRPr="00880FA7">
        <w:rPr>
          <w:rFonts w:ascii="Book Antiqua" w:eastAsia="Book Antiqua" w:hAnsi="Book Antiqua" w:cs="Book Antiqua"/>
          <w:color w:val="000000"/>
        </w:rPr>
        <w:t xml:space="preserve"> who had already had treatment, cabozantinib therapy produced longer </w:t>
      </w:r>
      <w:r w:rsidR="007C068D" w:rsidRPr="00880FA7">
        <w:rPr>
          <w:rFonts w:ascii="Book Antiqua" w:hAnsi="Book Antiqua" w:cs="Book Antiqua" w:hint="eastAsia"/>
          <w:color w:val="000000"/>
          <w:lang w:eastAsia="zh-CN"/>
        </w:rPr>
        <w:t>OS</w:t>
      </w:r>
      <w:r w:rsidR="00190AC8" w:rsidRPr="00880FA7">
        <w:rPr>
          <w:rFonts w:ascii="Book Antiqua" w:eastAsia="Book Antiqua" w:hAnsi="Book Antiqua" w:cs="Book Antiqua"/>
          <w:color w:val="000000"/>
        </w:rPr>
        <w:t xml:space="preserve"> and </w:t>
      </w:r>
      <w:r w:rsidR="007C068D" w:rsidRPr="00880FA7">
        <w:rPr>
          <w:rFonts w:ascii="Book Antiqua" w:eastAsia="Book Antiqua" w:hAnsi="Book Antiqua" w:cs="Book Antiqua"/>
          <w:color w:val="000000"/>
        </w:rPr>
        <w:t>PFS</w:t>
      </w:r>
      <w:r w:rsidR="00190AC8" w:rsidRPr="00880FA7">
        <w:rPr>
          <w:rFonts w:ascii="Book Antiqua" w:eastAsia="Book Antiqua" w:hAnsi="Book Antiqua" w:cs="Book Antiqua"/>
          <w:color w:val="000000"/>
        </w:rPr>
        <w:t xml:space="preserve"> than placebo. Nearly twice as many major side events occurred in the cabozantinib group than they did in the placebo group</w:t>
      </w:r>
      <w:r w:rsidRPr="00880FA7">
        <w:rPr>
          <w:rFonts w:ascii="Book Antiqua" w:eastAsia="Book Antiqua" w:hAnsi="Book Antiqua" w:cs="Book Antiqua"/>
          <w:color w:val="000000"/>
          <w:vertAlign w:val="superscript"/>
        </w:rPr>
        <w:t>[68]</w:t>
      </w:r>
      <w:r w:rsidRPr="00880FA7">
        <w:rPr>
          <w:rFonts w:ascii="Book Antiqua" w:eastAsia="Book Antiqua" w:hAnsi="Book Antiqua" w:cs="Book Antiqua"/>
          <w:color w:val="000000"/>
        </w:rPr>
        <w:t xml:space="preserve">. </w:t>
      </w:r>
    </w:p>
    <w:p w14:paraId="5DD2CFAC" w14:textId="77777777" w:rsidR="00F76E34" w:rsidRPr="00880FA7" w:rsidRDefault="00F76E34" w:rsidP="00D33124">
      <w:pPr>
        <w:spacing w:line="360" w:lineRule="auto"/>
        <w:jc w:val="both"/>
        <w:rPr>
          <w:rFonts w:ascii="Book Antiqua" w:hAnsi="Book Antiqua" w:cs="Book Antiqua"/>
          <w:b/>
          <w:bCs/>
          <w:i/>
          <w:iCs/>
          <w:caps/>
          <w:color w:val="000000"/>
          <w:lang w:eastAsia="zh-CN"/>
        </w:rPr>
      </w:pPr>
    </w:p>
    <w:p w14:paraId="7B75ED9F" w14:textId="77777777" w:rsidR="00A77B3E" w:rsidRPr="00880FA7" w:rsidRDefault="00F76E34" w:rsidP="00D33124">
      <w:pPr>
        <w:spacing w:line="360" w:lineRule="auto"/>
        <w:jc w:val="both"/>
        <w:rPr>
          <w:rFonts w:ascii="Book Antiqua" w:hAnsi="Book Antiqua"/>
          <w:b/>
          <w:i/>
        </w:rPr>
      </w:pPr>
      <w:r w:rsidRPr="00880FA7">
        <w:rPr>
          <w:rFonts w:ascii="Book Antiqua" w:eastAsia="Book Antiqua" w:hAnsi="Book Antiqua" w:cs="Book Antiqua"/>
          <w:b/>
          <w:bCs/>
          <w:i/>
          <w:iCs/>
          <w:color w:val="000000"/>
        </w:rPr>
        <w:t>S</w:t>
      </w:r>
      <w:r w:rsidRPr="00880FA7">
        <w:rPr>
          <w:rFonts w:ascii="Book Antiqua" w:eastAsia="Book Antiqua" w:hAnsi="Book Antiqua" w:cs="Book Antiqua" w:hint="eastAsia"/>
          <w:b/>
          <w:bCs/>
          <w:i/>
          <w:iCs/>
          <w:color w:val="000000"/>
        </w:rPr>
        <w:t>ingle</w:t>
      </w:r>
      <w:r w:rsidRPr="00880FA7">
        <w:rPr>
          <w:rFonts w:ascii="Book Antiqua" w:eastAsia="Book Antiqua" w:hAnsi="Book Antiqua" w:cs="Book Antiqua"/>
          <w:b/>
          <w:bCs/>
          <w:i/>
          <w:iCs/>
          <w:color w:val="000000"/>
        </w:rPr>
        <w:t xml:space="preserve"> </w:t>
      </w:r>
      <w:r w:rsidRPr="00880FA7">
        <w:rPr>
          <w:rFonts w:ascii="Book Antiqua" w:hAnsi="Book Antiqua" w:cs="Book Antiqua" w:hint="eastAsia"/>
          <w:b/>
          <w:bCs/>
          <w:i/>
          <w:iCs/>
          <w:color w:val="000000"/>
          <w:lang w:eastAsia="zh-CN"/>
        </w:rPr>
        <w:t>drug</w:t>
      </w:r>
      <w:r w:rsidR="00A92039" w:rsidRPr="00880FA7">
        <w:rPr>
          <w:rFonts w:ascii="Book Antiqua" w:eastAsia="Book Antiqua" w:hAnsi="Book Antiqua" w:cs="Book Antiqua"/>
          <w:b/>
          <w:bCs/>
          <w:i/>
          <w:iCs/>
          <w:caps/>
          <w:color w:val="000000"/>
        </w:rPr>
        <w:t xml:space="preserve">-VEGF </w:t>
      </w:r>
      <w:r w:rsidRPr="00880FA7">
        <w:rPr>
          <w:rFonts w:ascii="Book Antiqua" w:eastAsia="Book Antiqua" w:hAnsi="Book Antiqua" w:cs="Book Antiqua"/>
          <w:b/>
          <w:i/>
          <w:color w:val="000000"/>
        </w:rPr>
        <w:t>inhibitor</w:t>
      </w:r>
    </w:p>
    <w:p w14:paraId="7629DB6E" w14:textId="5EF28F39" w:rsidR="00A77B3E" w:rsidRPr="00880FA7" w:rsidRDefault="00A92039" w:rsidP="00D33124">
      <w:pPr>
        <w:spacing w:line="360" w:lineRule="auto"/>
        <w:jc w:val="both"/>
        <w:rPr>
          <w:rFonts w:ascii="Book Antiqua" w:hAnsi="Book Antiqua"/>
          <w:lang w:eastAsia="zh-CN"/>
        </w:rPr>
      </w:pPr>
      <w:r w:rsidRPr="00880FA7">
        <w:rPr>
          <w:rFonts w:ascii="Book Antiqua" w:eastAsia="Book Antiqua" w:hAnsi="Book Antiqua" w:cs="Book Antiqua"/>
          <w:b/>
          <w:bCs/>
          <w:iCs/>
          <w:color w:val="000000"/>
        </w:rPr>
        <w:t>Ramucirumab</w:t>
      </w:r>
      <w:r w:rsidR="001E22B2" w:rsidRPr="00880FA7">
        <w:rPr>
          <w:rFonts w:ascii="Book Antiqua" w:hAnsi="Book Antiqua" w:cs="Book Antiqua" w:hint="eastAsia"/>
          <w:b/>
          <w:bCs/>
          <w:iCs/>
          <w:color w:val="000000"/>
          <w:lang w:eastAsia="zh-CN"/>
        </w:rPr>
        <w:t>:</w:t>
      </w:r>
      <w:r w:rsidR="001E22B2" w:rsidRPr="00880FA7">
        <w:rPr>
          <w:rFonts w:ascii="Book Antiqua" w:hAnsi="Book Antiqua" w:hint="eastAsia"/>
          <w:lang w:eastAsia="zh-CN"/>
        </w:rPr>
        <w:t xml:space="preserve"> </w:t>
      </w:r>
      <w:r w:rsidR="00A2660A" w:rsidRPr="00880FA7">
        <w:rPr>
          <w:rFonts w:ascii="Book Antiqua" w:eastAsia="Book Antiqua" w:hAnsi="Book Antiqua" w:cs="Book Antiqua"/>
          <w:color w:val="000000"/>
        </w:rPr>
        <w:t>For the treatment of uHCC patients who have previously had sorafenib therapy and have an AFP of 400 ng/mL or more, ramucirumab has a license. Inhibiting ligand-stimulated VEGFR2, cell proliferation, and angiogenesis, ramucirumab binds to VEGFR2 and blocks the binding of VEGFR ligands VEGF-A, VEGF-C, and VEGF-D</w:t>
      </w:r>
      <w:r w:rsidRPr="00880FA7">
        <w:rPr>
          <w:rFonts w:ascii="Book Antiqua" w:eastAsia="Book Antiqua" w:hAnsi="Book Antiqua" w:cs="Book Antiqua"/>
          <w:color w:val="000000"/>
        </w:rPr>
        <w:t xml:space="preserve">. </w:t>
      </w:r>
      <w:r w:rsidR="0085293B" w:rsidRPr="00880FA7">
        <w:rPr>
          <w:rFonts w:ascii="Book Antiqua" w:eastAsia="Book Antiqua" w:hAnsi="Book Antiqua" w:cs="Book Antiqua"/>
          <w:color w:val="000000"/>
        </w:rPr>
        <w:t xml:space="preserve">The dose for uHCC patients is 8 mg/kg </w:t>
      </w:r>
      <w:r w:rsidR="001E22B2" w:rsidRPr="00880FA7">
        <w:rPr>
          <w:rFonts w:ascii="Book Antiqua" w:eastAsia="Book Antiqua" w:hAnsi="Book Antiqua" w:cs="Book Antiqua"/>
          <w:color w:val="000000"/>
        </w:rPr>
        <w:t>IV</w:t>
      </w:r>
      <w:r w:rsidR="0085293B" w:rsidRPr="00880FA7">
        <w:rPr>
          <w:rFonts w:ascii="Book Antiqua" w:eastAsia="Book Antiqua" w:hAnsi="Book Antiqua" w:cs="Book Antiqua"/>
          <w:color w:val="000000"/>
        </w:rPr>
        <w:t xml:space="preserve"> every </w:t>
      </w:r>
      <w:r w:rsidR="00E0308E" w:rsidRPr="00880FA7">
        <w:rPr>
          <w:rFonts w:ascii="Book Antiqua" w:eastAsia="Book Antiqua" w:hAnsi="Book Antiqua" w:cs="Book Antiqua"/>
          <w:color w:val="000000"/>
        </w:rPr>
        <w:t>2 wk</w:t>
      </w:r>
      <w:r w:rsidR="0085293B" w:rsidRPr="00880FA7">
        <w:rPr>
          <w:rFonts w:ascii="Book Antiqua" w:eastAsia="Book Antiqua" w:hAnsi="Book Antiqua" w:cs="Book Antiqua"/>
          <w:color w:val="000000"/>
        </w:rPr>
        <w:t xml:space="preserve"> until the condition progresses or there is significant toxicity</w:t>
      </w:r>
      <w:r w:rsidRPr="00880FA7">
        <w:rPr>
          <w:rFonts w:ascii="Book Antiqua" w:eastAsia="Book Antiqua" w:hAnsi="Book Antiqua" w:cs="Book Antiqua"/>
          <w:color w:val="000000"/>
        </w:rPr>
        <w:t xml:space="preserve">. </w:t>
      </w:r>
      <w:r w:rsidR="005A0B23" w:rsidRPr="00880FA7">
        <w:rPr>
          <w:rFonts w:ascii="Book Antiqua" w:eastAsia="Book Antiqua" w:hAnsi="Book Antiqua" w:cs="Book Antiqua"/>
          <w:color w:val="000000"/>
        </w:rPr>
        <w:t>For those with mild to moderate hepatic impairment, the manufacturer advises against dose adjustment, but it also notes that clinical deterioration has been observed in patients with Child-Pugh class B and class C cirrhosis who received ramucirumab</w:t>
      </w:r>
      <w:r w:rsidRPr="00880FA7">
        <w:rPr>
          <w:rFonts w:ascii="Book Antiqua" w:eastAsia="Book Antiqua" w:hAnsi="Book Antiqua" w:cs="Book Antiqua"/>
          <w:color w:val="000000"/>
        </w:rPr>
        <w:t xml:space="preserve">. </w:t>
      </w:r>
      <w:r w:rsidR="005074EF" w:rsidRPr="00880FA7">
        <w:rPr>
          <w:rFonts w:ascii="Book Antiqua" w:eastAsia="Book Antiqua" w:hAnsi="Book Antiqua" w:cs="Book Antiqua"/>
          <w:color w:val="000000"/>
        </w:rPr>
        <w:t>Child-Pugh class B or class C cirrhosis patients should only consider ramucirumab if the potential benefits are deemed to exceed the risks of clinical worsening</w:t>
      </w:r>
      <w:r w:rsidRPr="00880FA7">
        <w:rPr>
          <w:rFonts w:ascii="Book Antiqua" w:eastAsia="Book Antiqua" w:hAnsi="Book Antiqua" w:cs="Book Antiqua"/>
          <w:color w:val="000000"/>
        </w:rPr>
        <w:t xml:space="preserve">. In a phase 2 trial including 42 uHCC patients, ramucirumab was used as a first-line treatment. </w:t>
      </w:r>
      <w:r w:rsidR="00174BA5" w:rsidRPr="00880FA7">
        <w:rPr>
          <w:rFonts w:ascii="Book Antiqua" w:eastAsia="Book Antiqua" w:hAnsi="Book Antiqua" w:cs="Book Antiqua"/>
          <w:color w:val="000000"/>
        </w:rPr>
        <w:t xml:space="preserve">Ramucirumab was administered to patients </w:t>
      </w:r>
      <w:r w:rsidR="001E22B2" w:rsidRPr="00880FA7">
        <w:rPr>
          <w:rFonts w:ascii="Book Antiqua" w:eastAsia="Book Antiqua" w:hAnsi="Book Antiqua" w:cs="Book Antiqua"/>
          <w:color w:val="000000"/>
        </w:rPr>
        <w:t>at a dose of 8 mg/kg every 2 w</w:t>
      </w:r>
      <w:r w:rsidR="00174BA5" w:rsidRPr="00880FA7">
        <w:rPr>
          <w:rFonts w:ascii="Book Antiqua" w:eastAsia="Book Antiqua" w:hAnsi="Book Antiqua" w:cs="Book Antiqua"/>
          <w:color w:val="000000"/>
        </w:rPr>
        <w:t>k until the condition progressed or unacceptable toxicity developed</w:t>
      </w:r>
      <w:r w:rsidRPr="00880FA7">
        <w:rPr>
          <w:rFonts w:ascii="Book Antiqua" w:eastAsia="Book Antiqua" w:hAnsi="Book Antiqua" w:cs="Book Antiqua"/>
          <w:color w:val="000000"/>
        </w:rPr>
        <w:t xml:space="preserve">. </w:t>
      </w:r>
      <w:r w:rsidR="001C3325" w:rsidRPr="00880FA7">
        <w:rPr>
          <w:rFonts w:ascii="Book Antiqua" w:eastAsia="Book Antiqua" w:hAnsi="Book Antiqua" w:cs="Book Antiqua"/>
          <w:color w:val="000000"/>
        </w:rPr>
        <w:t xml:space="preserve">PFS was the primary objective, with response and survival serving as additional goals. The median PFS, MTP, and survival were each 4.0, 4.2, and 12.0 </w:t>
      </w:r>
      <w:r w:rsidR="00C665E6" w:rsidRPr="00880FA7">
        <w:rPr>
          <w:rFonts w:ascii="Book Antiqua" w:eastAsia="Book Antiqua" w:hAnsi="Book Antiqua" w:cs="Book Antiqua"/>
          <w:color w:val="000000"/>
        </w:rPr>
        <w:t>mo</w:t>
      </w:r>
      <w:r w:rsidR="001C3325" w:rsidRPr="00880FA7">
        <w:rPr>
          <w:rFonts w:ascii="Book Antiqua" w:eastAsia="Book Antiqua" w:hAnsi="Book Antiqua" w:cs="Book Antiqua"/>
          <w:color w:val="000000"/>
        </w:rPr>
        <w:t>, respectively</w:t>
      </w:r>
      <w:r w:rsidR="009B0323" w:rsidRPr="00880FA7">
        <w:rPr>
          <w:rFonts w:ascii="Book Antiqua" w:eastAsia="Book Antiqua" w:hAnsi="Book Antiqua" w:cs="Book Antiqua"/>
          <w:color w:val="000000"/>
        </w:rPr>
        <w:t xml:space="preserve">. The median response time was 14.1 </w:t>
      </w:r>
      <w:r w:rsidR="00502B6B" w:rsidRPr="00880FA7">
        <w:rPr>
          <w:rFonts w:ascii="Book Antiqua" w:eastAsia="Book Antiqua" w:hAnsi="Book Antiqua" w:cs="Book Antiqua"/>
          <w:color w:val="000000"/>
        </w:rPr>
        <w:t>mo</w:t>
      </w:r>
      <w:r w:rsidR="009B0323" w:rsidRPr="00880FA7">
        <w:rPr>
          <w:rFonts w:ascii="Book Antiqua" w:eastAsia="Book Antiqua" w:hAnsi="Book Antiqua" w:cs="Book Antiqua"/>
          <w:color w:val="000000"/>
        </w:rPr>
        <w:t>, and the disease control rate was 69.0%. There were 4 partial responses (9.5% of patients)</w:t>
      </w:r>
      <w:r w:rsidRPr="00880FA7">
        <w:rPr>
          <w:rFonts w:ascii="Book Antiqua" w:eastAsia="Book Antiqua" w:hAnsi="Book Antiqua" w:cs="Book Antiqua"/>
          <w:color w:val="000000"/>
          <w:vertAlign w:val="superscript"/>
        </w:rPr>
        <w:t>[69]</w:t>
      </w:r>
      <w:r w:rsidRPr="00880FA7">
        <w:rPr>
          <w:rFonts w:ascii="Book Antiqua" w:eastAsia="Book Antiqua" w:hAnsi="Book Antiqua" w:cs="Book Antiqua"/>
          <w:color w:val="000000"/>
        </w:rPr>
        <w:t xml:space="preserve">. The main ramucirumab trial was the phase 3 REACH trial, which included </w:t>
      </w:r>
      <w:r w:rsidRPr="00880FA7">
        <w:rPr>
          <w:rFonts w:ascii="Book Antiqua" w:eastAsia="Book Antiqua" w:hAnsi="Book Antiqua" w:cs="Book Antiqua"/>
          <w:color w:val="000000"/>
        </w:rPr>
        <w:lastRenderedPageBreak/>
        <w:t>uHCC</w:t>
      </w:r>
      <w:r w:rsidR="00B52588"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patients who were unresponsive to locoregional treatment.</w:t>
      </w:r>
      <w:r w:rsidR="00B52588"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All of the patients had previously undergone sorafenib treatment. </w:t>
      </w:r>
      <w:r w:rsidR="009B0323" w:rsidRPr="00880FA7">
        <w:rPr>
          <w:rFonts w:ascii="Book Antiqua" w:eastAsia="Book Antiqua" w:hAnsi="Book Antiqua" w:cs="Book Antiqua"/>
          <w:color w:val="000000"/>
        </w:rPr>
        <w:t xml:space="preserve">In addition to best supportive care (BSC), patients were randomly </w:t>
      </w:r>
      <w:r w:rsidR="00916908" w:rsidRPr="00880FA7">
        <w:rPr>
          <w:rFonts w:ascii="Book Antiqua" w:eastAsia="Book Antiqua" w:hAnsi="Book Antiqua" w:cs="Book Antiqua"/>
          <w:color w:val="000000"/>
        </w:rPr>
        <w:t>treat</w:t>
      </w:r>
      <w:r w:rsidR="009B0323" w:rsidRPr="00880FA7">
        <w:rPr>
          <w:rFonts w:ascii="Book Antiqua" w:eastAsia="Book Antiqua" w:hAnsi="Book Antiqua" w:cs="Book Antiqua"/>
          <w:color w:val="000000"/>
        </w:rPr>
        <w:t xml:space="preserve">ed </w:t>
      </w:r>
      <w:r w:rsidR="00916908" w:rsidRPr="00880FA7">
        <w:rPr>
          <w:rFonts w:ascii="Book Antiqua" w:eastAsia="Book Antiqua" w:hAnsi="Book Antiqua" w:cs="Book Antiqua"/>
          <w:color w:val="000000"/>
        </w:rPr>
        <w:t xml:space="preserve">with </w:t>
      </w:r>
      <w:r w:rsidR="009B0323" w:rsidRPr="00880FA7">
        <w:rPr>
          <w:rFonts w:ascii="Book Antiqua" w:eastAsia="Book Antiqua" w:hAnsi="Book Antiqua" w:cs="Book Antiqua"/>
          <w:color w:val="000000"/>
        </w:rPr>
        <w:t>ramucirumab 8 mg/kg IV (</w:t>
      </w:r>
      <w:r w:rsidR="009B0323" w:rsidRPr="00880FA7">
        <w:rPr>
          <w:rFonts w:ascii="Book Antiqua" w:eastAsia="Book Antiqua" w:hAnsi="Book Antiqua" w:cs="Book Antiqua"/>
          <w:i/>
          <w:color w:val="000000"/>
        </w:rPr>
        <w:t>n</w:t>
      </w:r>
      <w:r w:rsidR="009B0323" w:rsidRPr="00880FA7">
        <w:rPr>
          <w:rFonts w:ascii="Book Antiqua" w:eastAsia="Book Antiqua" w:hAnsi="Book Antiqua" w:cs="Book Antiqua"/>
          <w:color w:val="000000"/>
        </w:rPr>
        <w:t xml:space="preserve"> = 283) or a placebo (</w:t>
      </w:r>
      <w:r w:rsidR="009B0323" w:rsidRPr="00880FA7">
        <w:rPr>
          <w:rFonts w:ascii="Book Antiqua" w:eastAsia="Book Antiqua" w:hAnsi="Book Antiqua" w:cs="Book Antiqua"/>
          <w:i/>
          <w:color w:val="000000"/>
        </w:rPr>
        <w:t>n</w:t>
      </w:r>
      <w:r w:rsidR="009B0323" w:rsidRPr="00880FA7">
        <w:rPr>
          <w:rFonts w:ascii="Book Antiqua" w:eastAsia="Book Antiqua" w:hAnsi="Book Antiqua" w:cs="Book Antiqua"/>
          <w:color w:val="000000"/>
        </w:rPr>
        <w:t xml:space="preserve"> = 282) every </w:t>
      </w:r>
      <w:r w:rsidR="00916908" w:rsidRPr="00880FA7">
        <w:rPr>
          <w:rFonts w:ascii="Book Antiqua" w:eastAsia="Book Antiqua" w:hAnsi="Book Antiqua" w:cs="Book Antiqua"/>
          <w:color w:val="000000"/>
        </w:rPr>
        <w:t>2</w:t>
      </w:r>
      <w:r w:rsidR="009B0323" w:rsidRPr="00880FA7">
        <w:rPr>
          <w:rFonts w:ascii="Book Antiqua" w:eastAsia="Book Antiqua" w:hAnsi="Book Antiqua" w:cs="Book Antiqua"/>
          <w:color w:val="000000"/>
        </w:rPr>
        <w:t xml:space="preserve"> w</w:t>
      </w:r>
      <w:r w:rsidR="00916908" w:rsidRPr="00880FA7">
        <w:rPr>
          <w:rFonts w:ascii="Book Antiqua" w:eastAsia="Book Antiqua" w:hAnsi="Book Antiqua" w:cs="Book Antiqua"/>
          <w:color w:val="000000"/>
        </w:rPr>
        <w:t>k</w:t>
      </w:r>
      <w:r w:rsidR="009B0323" w:rsidRPr="00880FA7">
        <w:rPr>
          <w:rFonts w:ascii="Book Antiqua" w:eastAsia="Book Antiqua" w:hAnsi="Book Antiqua" w:cs="Book Antiqua"/>
          <w:color w:val="000000"/>
        </w:rPr>
        <w:t xml:space="preserve">, or until </w:t>
      </w:r>
      <w:r w:rsidR="00916908" w:rsidRPr="00880FA7">
        <w:rPr>
          <w:rFonts w:ascii="Book Antiqua" w:eastAsia="Book Antiqua" w:hAnsi="Book Antiqua" w:cs="Book Antiqua"/>
          <w:color w:val="000000"/>
        </w:rPr>
        <w:t xml:space="preserve">disease </w:t>
      </w:r>
      <w:r w:rsidR="009B0323" w:rsidRPr="00880FA7">
        <w:rPr>
          <w:rFonts w:ascii="Book Antiqua" w:eastAsia="Book Antiqua" w:hAnsi="Book Antiqua" w:cs="Book Antiqua"/>
          <w:color w:val="000000"/>
        </w:rPr>
        <w:t>progress</w:t>
      </w:r>
      <w:r w:rsidR="00916908" w:rsidRPr="00880FA7">
        <w:rPr>
          <w:rFonts w:ascii="Book Antiqua" w:eastAsia="Book Antiqua" w:hAnsi="Book Antiqua" w:cs="Book Antiqua"/>
          <w:color w:val="000000"/>
        </w:rPr>
        <w:t>es</w:t>
      </w:r>
      <w:r w:rsidR="009B0323" w:rsidRPr="00880FA7">
        <w:rPr>
          <w:rFonts w:ascii="Book Antiqua" w:eastAsia="Book Antiqua" w:hAnsi="Book Antiqua" w:cs="Book Antiqua"/>
          <w:color w:val="000000"/>
        </w:rPr>
        <w:t>, intolerable toxicity, or death. PFS, response, and disease control were secondary goals, with OS serving as the primary objective</w:t>
      </w:r>
      <w:r w:rsidRPr="00880FA7">
        <w:rPr>
          <w:rFonts w:ascii="Book Antiqua" w:eastAsia="Book Antiqua" w:hAnsi="Book Antiqua" w:cs="Book Antiqua"/>
          <w:color w:val="000000"/>
        </w:rPr>
        <w:t xml:space="preserve">. The median survival time with ramucirumab was 9.2 </w:t>
      </w:r>
      <w:r w:rsidR="00C665E6"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compared to 7.6 </w:t>
      </w:r>
      <w:r w:rsidR="00C665E6"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with placebo (</w:t>
      </w:r>
      <w:r w:rsidRPr="00880FA7">
        <w:rPr>
          <w:rFonts w:ascii="Book Antiqua" w:eastAsia="Book Antiqua" w:hAnsi="Book Antiqua" w:cs="Book Antiqua"/>
          <w:i/>
          <w:iCs/>
          <w:color w:val="000000"/>
        </w:rPr>
        <w:t>P</w:t>
      </w:r>
      <w:r w:rsidRPr="00880FA7">
        <w:rPr>
          <w:rFonts w:ascii="Book Antiqua" w:eastAsia="Book Antiqua" w:hAnsi="Book Antiqua" w:cs="Book Antiqua"/>
          <w:color w:val="000000"/>
        </w:rPr>
        <w:t xml:space="preserve"> = 0.14). </w:t>
      </w:r>
      <w:r w:rsidR="0016769A" w:rsidRPr="00880FA7">
        <w:rPr>
          <w:rFonts w:ascii="Book Antiqua" w:eastAsia="Book Antiqua" w:hAnsi="Book Antiqua" w:cs="Book Antiqua"/>
          <w:color w:val="000000"/>
        </w:rPr>
        <w:t xml:space="preserve">In the ramucirumab and placebo groups, the median PFS times were 2.8 </w:t>
      </w:r>
      <w:r w:rsidR="00F340AB" w:rsidRPr="00880FA7">
        <w:rPr>
          <w:rFonts w:ascii="Book Antiqua" w:eastAsia="Book Antiqua" w:hAnsi="Book Antiqua" w:cs="Book Antiqua"/>
          <w:color w:val="000000"/>
        </w:rPr>
        <w:t xml:space="preserve">mo </w:t>
      </w:r>
      <w:r w:rsidR="0016769A" w:rsidRPr="00880FA7">
        <w:rPr>
          <w:rFonts w:ascii="Book Antiqua" w:eastAsia="Book Antiqua" w:hAnsi="Book Antiqua" w:cs="Book Antiqua"/>
          <w:color w:val="000000"/>
        </w:rPr>
        <w:t xml:space="preserve">and 2.1 </w:t>
      </w:r>
      <w:r w:rsidR="00C665E6" w:rsidRPr="00880FA7">
        <w:rPr>
          <w:rFonts w:ascii="Book Antiqua" w:eastAsia="Book Antiqua" w:hAnsi="Book Antiqua" w:cs="Book Antiqua"/>
          <w:color w:val="000000"/>
        </w:rPr>
        <w:t>mo</w:t>
      </w:r>
      <w:r w:rsidR="0016769A" w:rsidRPr="00880FA7">
        <w:rPr>
          <w:rFonts w:ascii="Book Antiqua" w:eastAsia="Book Antiqua" w:hAnsi="Book Antiqua" w:cs="Book Antiqua"/>
          <w:color w:val="000000"/>
        </w:rPr>
        <w:t>, respectively (</w:t>
      </w:r>
      <w:r w:rsidR="0015130D" w:rsidRPr="00880FA7">
        <w:rPr>
          <w:rFonts w:ascii="Book Antiqua" w:eastAsia="Book Antiqua" w:hAnsi="Book Antiqua" w:cs="Book Antiqua"/>
          <w:i/>
          <w:iCs/>
          <w:color w:val="000000"/>
        </w:rPr>
        <w:t>P</w:t>
      </w:r>
      <w:r w:rsidR="0016769A" w:rsidRPr="00880FA7">
        <w:rPr>
          <w:rFonts w:ascii="Book Antiqua" w:eastAsia="Book Antiqua" w:hAnsi="Book Antiqua" w:cs="Book Antiqua"/>
          <w:color w:val="000000"/>
        </w:rPr>
        <w:t xml:space="preserve"> </w:t>
      </w:r>
      <w:r w:rsidR="0015130D" w:rsidRPr="00880FA7">
        <w:rPr>
          <w:rFonts w:ascii="Book Antiqua" w:eastAsia="Book Antiqua" w:hAnsi="Book Antiqua" w:cs="Book Antiqua"/>
          <w:color w:val="000000"/>
        </w:rPr>
        <w:t xml:space="preserve">&lt; </w:t>
      </w:r>
      <w:r w:rsidR="0016769A" w:rsidRPr="00880FA7">
        <w:rPr>
          <w:rFonts w:ascii="Book Antiqua" w:eastAsia="Book Antiqua" w:hAnsi="Book Antiqua" w:cs="Book Antiqua"/>
          <w:color w:val="000000"/>
        </w:rPr>
        <w:t>0.01). MTP for ramucirumab was 3.5 mo and 2.6 mo for the placebo (</w:t>
      </w:r>
      <w:r w:rsidR="0015130D" w:rsidRPr="00880FA7">
        <w:rPr>
          <w:rFonts w:ascii="Book Antiqua" w:eastAsia="Book Antiqua" w:hAnsi="Book Antiqua" w:cs="Book Antiqua"/>
          <w:i/>
          <w:iCs/>
          <w:color w:val="000000"/>
        </w:rPr>
        <w:t>P</w:t>
      </w:r>
      <w:r w:rsidR="0015130D" w:rsidRPr="00880FA7">
        <w:rPr>
          <w:rFonts w:ascii="Book Antiqua" w:eastAsia="Book Antiqua" w:hAnsi="Book Antiqua" w:cs="Book Antiqua"/>
          <w:color w:val="000000"/>
        </w:rPr>
        <w:t xml:space="preserve"> &lt;</w:t>
      </w:r>
      <w:r w:rsidR="0016769A" w:rsidRPr="00880FA7">
        <w:rPr>
          <w:rFonts w:ascii="Book Antiqua" w:eastAsia="Book Antiqua" w:hAnsi="Book Antiqua" w:cs="Book Antiqua"/>
          <w:color w:val="000000"/>
        </w:rPr>
        <w:t xml:space="preserve"> 0.01). In comparison to the placebo group, which only saw two partial responses (1% of patients), the ramucirumab group s</w:t>
      </w:r>
      <w:r w:rsidR="0015130D" w:rsidRPr="00880FA7">
        <w:rPr>
          <w:rFonts w:ascii="Book Antiqua" w:eastAsia="Book Antiqua" w:hAnsi="Book Antiqua" w:cs="Book Antiqua"/>
          <w:color w:val="000000"/>
        </w:rPr>
        <w:t>howed</w:t>
      </w:r>
      <w:r w:rsidR="0016769A" w:rsidRPr="00880FA7">
        <w:rPr>
          <w:rFonts w:ascii="Book Antiqua" w:eastAsia="Book Antiqua" w:hAnsi="Book Antiqua" w:cs="Book Antiqua"/>
          <w:color w:val="000000"/>
        </w:rPr>
        <w:t xml:space="preserve"> a full resolution and 19 partial responses (7% of patients) (</w:t>
      </w:r>
      <w:r w:rsidR="0015130D" w:rsidRPr="00880FA7">
        <w:rPr>
          <w:rFonts w:ascii="Book Antiqua" w:eastAsia="Book Antiqua" w:hAnsi="Book Antiqua" w:cs="Book Antiqua"/>
          <w:i/>
          <w:iCs/>
          <w:color w:val="000000"/>
        </w:rPr>
        <w:t>P</w:t>
      </w:r>
      <w:r w:rsidR="0016769A" w:rsidRPr="00880FA7">
        <w:rPr>
          <w:rFonts w:ascii="Book Antiqua" w:eastAsia="Book Antiqua" w:hAnsi="Book Antiqua" w:cs="Book Antiqua"/>
          <w:color w:val="000000"/>
        </w:rPr>
        <w:t xml:space="preserve"> </w:t>
      </w:r>
      <w:r w:rsidR="0015130D" w:rsidRPr="00880FA7">
        <w:rPr>
          <w:rFonts w:ascii="Book Antiqua" w:eastAsia="Book Antiqua" w:hAnsi="Book Antiqua" w:cs="Book Antiqua"/>
          <w:color w:val="000000"/>
        </w:rPr>
        <w:t xml:space="preserve">&lt; </w:t>
      </w:r>
      <w:r w:rsidR="0016769A" w:rsidRPr="00880FA7">
        <w:rPr>
          <w:rFonts w:ascii="Book Antiqua" w:eastAsia="Book Antiqua" w:hAnsi="Book Antiqua" w:cs="Book Antiqua"/>
          <w:color w:val="000000"/>
        </w:rPr>
        <w:t>0.01).</w:t>
      </w:r>
      <w:r w:rsidR="0015130D" w:rsidRPr="00880FA7">
        <w:rPr>
          <w:rFonts w:ascii="Book Antiqua" w:eastAsia="Book Antiqua" w:hAnsi="Book Antiqua" w:cs="Book Antiqua"/>
          <w:color w:val="000000"/>
        </w:rPr>
        <w:t xml:space="preserve"> </w:t>
      </w:r>
      <w:r w:rsidRPr="00880FA7">
        <w:rPr>
          <w:rFonts w:ascii="Book Antiqua" w:eastAsia="Book Antiqua" w:hAnsi="Book Antiqua" w:cs="Book Antiqua"/>
          <w:color w:val="000000"/>
        </w:rPr>
        <w:t>Fifty six percent</w:t>
      </w:r>
      <w:r w:rsidR="00B52588"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of ramucirumab-treated individuals and 46% of placebo receivers achieved disease control (</w:t>
      </w:r>
      <w:r w:rsidRPr="00880FA7">
        <w:rPr>
          <w:rFonts w:ascii="Book Antiqua" w:eastAsia="Book Antiqua" w:hAnsi="Book Antiqua" w:cs="Book Antiqua"/>
          <w:i/>
          <w:iCs/>
          <w:color w:val="000000"/>
        </w:rPr>
        <w:t>P</w:t>
      </w:r>
      <w:r w:rsidRPr="00880FA7">
        <w:rPr>
          <w:rFonts w:ascii="Book Antiqua" w:eastAsia="Book Antiqua" w:hAnsi="Book Antiqua" w:cs="Book Antiqua"/>
          <w:color w:val="000000"/>
        </w:rPr>
        <w:t xml:space="preserve"> = 0.011). </w:t>
      </w:r>
      <w:r w:rsidR="009F3F54" w:rsidRPr="00880FA7">
        <w:rPr>
          <w:rFonts w:ascii="Book Antiqua" w:eastAsia="Book Antiqua" w:hAnsi="Book Antiqua" w:cs="Book Antiqua"/>
          <w:color w:val="000000"/>
        </w:rPr>
        <w:t xml:space="preserve">The </w:t>
      </w:r>
      <w:r w:rsidR="00894626" w:rsidRPr="00880FA7">
        <w:rPr>
          <w:rFonts w:ascii="Book Antiqua" w:eastAsia="Book Antiqua" w:hAnsi="Book Antiqua" w:cs="Book Antiqua"/>
          <w:color w:val="000000"/>
        </w:rPr>
        <w:t xml:space="preserve">reductions </w:t>
      </w:r>
      <w:r w:rsidR="009F3F54" w:rsidRPr="00880FA7">
        <w:rPr>
          <w:rFonts w:ascii="Book Antiqua" w:eastAsia="Book Antiqua" w:hAnsi="Book Antiqua" w:cs="Book Antiqua"/>
          <w:color w:val="000000"/>
        </w:rPr>
        <w:t xml:space="preserve">of dosage </w:t>
      </w:r>
      <w:r w:rsidR="00894626" w:rsidRPr="00880FA7">
        <w:rPr>
          <w:rFonts w:ascii="Book Antiqua" w:eastAsia="Book Antiqua" w:hAnsi="Book Antiqua" w:cs="Book Antiqua"/>
          <w:color w:val="000000"/>
        </w:rPr>
        <w:t xml:space="preserve">were required in 7% of </w:t>
      </w:r>
      <w:r w:rsidR="009F3F54" w:rsidRPr="00880FA7">
        <w:rPr>
          <w:rFonts w:ascii="Book Antiqua" w:eastAsia="Book Antiqua" w:hAnsi="Book Antiqua" w:cs="Book Antiqua"/>
          <w:color w:val="000000"/>
        </w:rPr>
        <w:t xml:space="preserve">patients who were treated </w:t>
      </w:r>
      <w:r w:rsidR="00C447C6" w:rsidRPr="00880FA7">
        <w:rPr>
          <w:rFonts w:ascii="Book Antiqua" w:eastAsia="Book Antiqua" w:hAnsi="Book Antiqua" w:cs="Book Antiqua"/>
          <w:color w:val="000000"/>
        </w:rPr>
        <w:t xml:space="preserve">with </w:t>
      </w:r>
      <w:r w:rsidR="00894626" w:rsidRPr="00880FA7">
        <w:rPr>
          <w:rFonts w:ascii="Book Antiqua" w:eastAsia="Book Antiqua" w:hAnsi="Book Antiqua" w:cs="Book Antiqua"/>
          <w:color w:val="000000"/>
        </w:rPr>
        <w:t xml:space="preserve">ramucirumab and less than 1% of placebo </w:t>
      </w:r>
      <w:r w:rsidR="00C447C6" w:rsidRPr="00880FA7">
        <w:rPr>
          <w:rFonts w:ascii="Book Antiqua" w:eastAsia="Book Antiqua" w:hAnsi="Book Antiqua" w:cs="Book Antiqua"/>
          <w:color w:val="000000"/>
        </w:rPr>
        <w:t>patient</w:t>
      </w:r>
      <w:r w:rsidR="00894626" w:rsidRPr="00880FA7">
        <w:rPr>
          <w:rFonts w:ascii="Book Antiqua" w:eastAsia="Book Antiqua" w:hAnsi="Book Antiqua" w:cs="Book Antiqua"/>
          <w:color w:val="000000"/>
        </w:rPr>
        <w:t xml:space="preserve">s, with dose omission rates of 22% and 10%, respectively; </w:t>
      </w:r>
      <w:r w:rsidR="00FF2CBA" w:rsidRPr="00880FA7">
        <w:rPr>
          <w:rFonts w:ascii="Book Antiqua" w:eastAsia="Book Antiqua" w:hAnsi="Book Antiqua" w:cs="Book Antiqua"/>
          <w:color w:val="000000"/>
        </w:rPr>
        <w:t xml:space="preserve">10% and 3% of patients in the ramucirumab and placebo groups were </w:t>
      </w:r>
      <w:r w:rsidR="00894626" w:rsidRPr="00880FA7">
        <w:rPr>
          <w:rFonts w:ascii="Book Antiqua" w:eastAsia="Book Antiqua" w:hAnsi="Book Antiqua" w:cs="Book Antiqua"/>
          <w:color w:val="000000"/>
        </w:rPr>
        <w:t>discontinu</w:t>
      </w:r>
      <w:r w:rsidR="00106B2A" w:rsidRPr="00880FA7">
        <w:rPr>
          <w:rFonts w:ascii="Book Antiqua" w:eastAsia="Book Antiqua" w:hAnsi="Book Antiqua" w:cs="Book Antiqua"/>
          <w:color w:val="000000"/>
        </w:rPr>
        <w:t>ed</w:t>
      </w:r>
      <w:r w:rsidR="00894626" w:rsidRPr="00880FA7">
        <w:rPr>
          <w:rFonts w:ascii="Book Antiqua" w:eastAsia="Book Antiqua" w:hAnsi="Book Antiqua" w:cs="Book Antiqua"/>
          <w:color w:val="000000"/>
        </w:rPr>
        <w:t xml:space="preserve"> due to unfavorable drug </w:t>
      </w:r>
      <w:r w:rsidR="00FF2CBA" w:rsidRPr="00880FA7">
        <w:rPr>
          <w:rFonts w:ascii="Book Antiqua" w:eastAsia="Book Antiqua" w:hAnsi="Book Antiqua" w:cs="Book Antiqua"/>
          <w:color w:val="000000"/>
        </w:rPr>
        <w:t xml:space="preserve">side </w:t>
      </w:r>
      <w:r w:rsidR="00894626" w:rsidRPr="00880FA7">
        <w:rPr>
          <w:rFonts w:ascii="Book Antiqua" w:eastAsia="Book Antiqua" w:hAnsi="Book Antiqua" w:cs="Book Antiqua"/>
          <w:color w:val="000000"/>
        </w:rPr>
        <w:t>effects</w:t>
      </w:r>
      <w:r w:rsidRPr="00880FA7">
        <w:rPr>
          <w:rFonts w:ascii="Book Antiqua" w:eastAsia="Book Antiqua" w:hAnsi="Book Antiqua" w:cs="Book Antiqua"/>
          <w:color w:val="000000"/>
        </w:rPr>
        <w:t xml:space="preserve">. </w:t>
      </w:r>
      <w:r w:rsidR="00952840" w:rsidRPr="00880FA7">
        <w:rPr>
          <w:rFonts w:ascii="Book Antiqua" w:eastAsia="Book Antiqua" w:hAnsi="Book Antiqua" w:cs="Book Antiqua"/>
          <w:color w:val="000000"/>
        </w:rPr>
        <w:t xml:space="preserve">The most frequent grade 3 or 4 </w:t>
      </w:r>
      <w:r w:rsidR="001F351B" w:rsidRPr="00880FA7">
        <w:rPr>
          <w:rFonts w:ascii="Book Antiqua" w:eastAsia="Book Antiqua" w:hAnsi="Book Antiqua" w:cs="Book Antiqua"/>
          <w:color w:val="000000"/>
        </w:rPr>
        <w:t>AEs</w:t>
      </w:r>
      <w:r w:rsidR="00952840" w:rsidRPr="00880FA7">
        <w:rPr>
          <w:rFonts w:ascii="Book Antiqua" w:eastAsia="Book Antiqua" w:hAnsi="Book Antiqua" w:cs="Book Antiqua"/>
          <w:color w:val="000000"/>
        </w:rPr>
        <w:t xml:space="preserve"> were ascites (5% of </w:t>
      </w:r>
      <w:r w:rsidR="008E2C8D" w:rsidRPr="00880FA7">
        <w:rPr>
          <w:rFonts w:ascii="Book Antiqua" w:eastAsia="Book Antiqua" w:hAnsi="Book Antiqua" w:cs="Book Antiqua"/>
          <w:color w:val="000000"/>
        </w:rPr>
        <w:t xml:space="preserve">patients who were treated with </w:t>
      </w:r>
      <w:r w:rsidR="00952840" w:rsidRPr="00880FA7">
        <w:rPr>
          <w:rFonts w:ascii="Book Antiqua" w:eastAsia="Book Antiqua" w:hAnsi="Book Antiqua" w:cs="Book Antiqua"/>
          <w:color w:val="000000"/>
        </w:rPr>
        <w:t xml:space="preserve">ramucirumab </w:t>
      </w:r>
      <w:r w:rsidR="00952840" w:rsidRPr="00880FA7">
        <w:rPr>
          <w:rFonts w:ascii="Book Antiqua" w:eastAsia="Book Antiqua" w:hAnsi="Book Antiqua" w:cs="Book Antiqua"/>
          <w:i/>
          <w:iCs/>
          <w:color w:val="000000"/>
        </w:rPr>
        <w:t>vs</w:t>
      </w:r>
      <w:r w:rsidR="00952840" w:rsidRPr="00880FA7">
        <w:rPr>
          <w:rFonts w:ascii="Book Antiqua" w:eastAsia="Book Antiqua" w:hAnsi="Book Antiqua" w:cs="Book Antiqua"/>
          <w:color w:val="000000"/>
        </w:rPr>
        <w:t xml:space="preserve"> 4% of placebo </w:t>
      </w:r>
      <w:r w:rsidR="008E2C8D" w:rsidRPr="00880FA7">
        <w:rPr>
          <w:rFonts w:ascii="Book Antiqua" w:eastAsia="Book Antiqua" w:hAnsi="Book Antiqua" w:cs="Book Antiqua"/>
          <w:color w:val="000000"/>
        </w:rPr>
        <w:t>patient</w:t>
      </w:r>
      <w:r w:rsidR="00952840" w:rsidRPr="00880FA7">
        <w:rPr>
          <w:rFonts w:ascii="Book Antiqua" w:eastAsia="Book Antiqua" w:hAnsi="Book Antiqua" w:cs="Book Antiqua"/>
          <w:color w:val="000000"/>
        </w:rPr>
        <w:t xml:space="preserve">s), </w:t>
      </w:r>
      <w:r w:rsidR="008E2C8D" w:rsidRPr="00880FA7">
        <w:rPr>
          <w:rFonts w:ascii="Book Antiqua" w:eastAsia="Book Antiqua" w:hAnsi="Book Antiqua" w:cs="Book Antiqua"/>
          <w:color w:val="000000"/>
        </w:rPr>
        <w:t xml:space="preserve">AST elevation (5% </w:t>
      </w:r>
      <w:r w:rsidR="008E2C8D" w:rsidRPr="00880FA7">
        <w:rPr>
          <w:rFonts w:ascii="Book Antiqua" w:eastAsia="Book Antiqua" w:hAnsi="Book Antiqua" w:cs="Book Antiqua"/>
          <w:i/>
          <w:iCs/>
          <w:color w:val="000000"/>
        </w:rPr>
        <w:t>vs</w:t>
      </w:r>
      <w:r w:rsidR="008E2C8D" w:rsidRPr="00880FA7">
        <w:rPr>
          <w:rFonts w:ascii="Book Antiqua" w:eastAsia="Book Antiqua" w:hAnsi="Book Antiqua" w:cs="Book Antiqua"/>
          <w:color w:val="000000"/>
        </w:rPr>
        <w:t xml:space="preserve"> 8%), thrombocytopenia (5% </w:t>
      </w:r>
      <w:r w:rsidR="008E2C8D" w:rsidRPr="00880FA7">
        <w:rPr>
          <w:rFonts w:ascii="Book Antiqua" w:eastAsia="Book Antiqua" w:hAnsi="Book Antiqua" w:cs="Book Antiqua"/>
          <w:i/>
          <w:iCs/>
          <w:color w:val="000000"/>
        </w:rPr>
        <w:t>vs</w:t>
      </w:r>
      <w:r w:rsidR="008E2C8D" w:rsidRPr="00880FA7">
        <w:rPr>
          <w:rFonts w:ascii="Book Antiqua" w:eastAsia="Book Antiqua" w:hAnsi="Book Antiqua" w:cs="Book Antiqua"/>
          <w:color w:val="000000"/>
        </w:rPr>
        <w:t xml:space="preserve"> 1%), </w:t>
      </w:r>
      <w:r w:rsidR="00952840" w:rsidRPr="00880FA7">
        <w:rPr>
          <w:rFonts w:ascii="Book Antiqua" w:eastAsia="Book Antiqua" w:hAnsi="Book Antiqua" w:cs="Book Antiqua"/>
          <w:color w:val="000000"/>
        </w:rPr>
        <w:t xml:space="preserve">hypertension (12% </w:t>
      </w:r>
      <w:r w:rsidR="00952840" w:rsidRPr="00880FA7">
        <w:rPr>
          <w:rFonts w:ascii="Book Antiqua" w:eastAsia="Book Antiqua" w:hAnsi="Book Antiqua" w:cs="Book Antiqua"/>
          <w:i/>
          <w:iCs/>
          <w:color w:val="000000"/>
        </w:rPr>
        <w:t>vs</w:t>
      </w:r>
      <w:r w:rsidR="00952840" w:rsidRPr="00880FA7">
        <w:rPr>
          <w:rFonts w:ascii="Book Antiqua" w:eastAsia="Book Antiqua" w:hAnsi="Book Antiqua" w:cs="Book Antiqua"/>
          <w:color w:val="000000"/>
        </w:rPr>
        <w:t xml:space="preserve"> 4%), asthenia (5% </w:t>
      </w:r>
      <w:r w:rsidR="00952840" w:rsidRPr="00880FA7">
        <w:rPr>
          <w:rFonts w:ascii="Book Antiqua" w:eastAsia="Book Antiqua" w:hAnsi="Book Antiqua" w:cs="Book Antiqua"/>
          <w:i/>
          <w:iCs/>
          <w:color w:val="000000"/>
        </w:rPr>
        <w:t>vs</w:t>
      </w:r>
      <w:r w:rsidR="00952840" w:rsidRPr="00880FA7">
        <w:rPr>
          <w:rFonts w:ascii="Book Antiqua" w:eastAsia="Book Antiqua" w:hAnsi="Book Antiqua" w:cs="Book Antiqua"/>
          <w:color w:val="000000"/>
        </w:rPr>
        <w:t xml:space="preserve"> 2%), and hyperbilirubinemia (1% </w:t>
      </w:r>
      <w:r w:rsidR="00952840" w:rsidRPr="00880FA7">
        <w:rPr>
          <w:rFonts w:ascii="Book Antiqua" w:eastAsia="Book Antiqua" w:hAnsi="Book Antiqua" w:cs="Book Antiqua"/>
          <w:i/>
          <w:iCs/>
          <w:color w:val="000000"/>
        </w:rPr>
        <w:t>vs</w:t>
      </w:r>
      <w:r w:rsidR="00952840" w:rsidRPr="00880FA7">
        <w:rPr>
          <w:rFonts w:ascii="Book Antiqua" w:eastAsia="Book Antiqua" w:hAnsi="Book Antiqua" w:cs="Book Antiqua"/>
          <w:color w:val="000000"/>
        </w:rPr>
        <w:t xml:space="preserve"> 5%)</w:t>
      </w:r>
      <w:r w:rsidRPr="00880FA7">
        <w:rPr>
          <w:rFonts w:ascii="Book Antiqua" w:eastAsia="Book Antiqua" w:hAnsi="Book Antiqua" w:cs="Book Antiqua"/>
          <w:color w:val="000000"/>
        </w:rPr>
        <w:t xml:space="preserve">. </w:t>
      </w:r>
      <w:r w:rsidR="00E25965" w:rsidRPr="00880FA7">
        <w:rPr>
          <w:rFonts w:ascii="Book Antiqua" w:eastAsia="Book Antiqua" w:hAnsi="Book Antiqua" w:cs="Book Antiqua"/>
          <w:color w:val="000000"/>
        </w:rPr>
        <w:t>Investigations were conducted on a predetermined sample of individuals having a baseline AFP level of 400 ng/mL</w:t>
      </w:r>
      <w:r w:rsidRPr="00880FA7">
        <w:rPr>
          <w:rFonts w:ascii="Book Antiqua" w:eastAsia="Book Antiqua" w:hAnsi="Book Antiqua" w:cs="Book Antiqua"/>
          <w:color w:val="000000"/>
        </w:rPr>
        <w:t xml:space="preserve">. </w:t>
      </w:r>
      <w:r w:rsidR="006C4BFD" w:rsidRPr="00880FA7">
        <w:rPr>
          <w:rFonts w:ascii="Book Antiqua" w:eastAsia="Book Antiqua" w:hAnsi="Book Antiqua" w:cs="Book Antiqua"/>
          <w:color w:val="000000"/>
        </w:rPr>
        <w:t xml:space="preserve">With ramucirumab, the median survival time was 7.8 </w:t>
      </w:r>
      <w:r w:rsidR="004C5482" w:rsidRPr="00880FA7">
        <w:rPr>
          <w:rFonts w:ascii="Book Antiqua" w:eastAsia="Book Antiqua" w:hAnsi="Book Antiqua" w:cs="Book Antiqua"/>
          <w:color w:val="000000"/>
        </w:rPr>
        <w:t xml:space="preserve">mo </w:t>
      </w:r>
      <w:r w:rsidR="006C4BFD" w:rsidRPr="00880FA7">
        <w:rPr>
          <w:rFonts w:ascii="Book Antiqua" w:eastAsia="Book Antiqua" w:hAnsi="Book Antiqua" w:cs="Book Antiqua"/>
          <w:color w:val="000000"/>
        </w:rPr>
        <w:t>as opposed to 4.2 mo</w:t>
      </w:r>
      <w:r w:rsidR="00B52588" w:rsidRPr="00880FA7">
        <w:rPr>
          <w:rFonts w:ascii="Book Antiqua" w:hAnsi="Book Antiqua" w:cs="Book Antiqua" w:hint="eastAsia"/>
          <w:color w:val="000000"/>
          <w:lang w:eastAsia="zh-CN"/>
        </w:rPr>
        <w:t xml:space="preserve"> </w:t>
      </w:r>
      <w:r w:rsidR="006C4BFD" w:rsidRPr="00880FA7">
        <w:rPr>
          <w:rFonts w:ascii="Book Antiqua" w:eastAsia="Book Antiqua" w:hAnsi="Book Antiqua" w:cs="Book Antiqua"/>
          <w:color w:val="000000"/>
        </w:rPr>
        <w:t>with a placebo (</w:t>
      </w:r>
      <w:r w:rsidR="006C4BFD" w:rsidRPr="00880FA7">
        <w:rPr>
          <w:rFonts w:ascii="Book Antiqua" w:eastAsia="Book Antiqua" w:hAnsi="Book Antiqua" w:cs="Book Antiqua"/>
          <w:i/>
          <w:iCs/>
          <w:color w:val="000000"/>
        </w:rPr>
        <w:t>P</w:t>
      </w:r>
      <w:r w:rsidR="006C4BFD" w:rsidRPr="00880FA7">
        <w:rPr>
          <w:rFonts w:ascii="Book Antiqua" w:eastAsia="Book Antiqua" w:hAnsi="Book Antiqua" w:cs="Book Antiqua"/>
          <w:color w:val="000000"/>
        </w:rPr>
        <w:t xml:space="preserve"> = 0.006). Survival was 11.8 </w:t>
      </w:r>
      <w:r w:rsidR="004C5482" w:rsidRPr="00880FA7">
        <w:rPr>
          <w:rFonts w:ascii="Book Antiqua" w:eastAsia="Book Antiqua" w:hAnsi="Book Antiqua" w:cs="Book Antiqua"/>
          <w:color w:val="000000"/>
        </w:rPr>
        <w:t xml:space="preserve">mo </w:t>
      </w:r>
      <w:r w:rsidR="006C4BFD" w:rsidRPr="00880FA7">
        <w:rPr>
          <w:rFonts w:ascii="Book Antiqua" w:eastAsia="Book Antiqua" w:hAnsi="Book Antiqua" w:cs="Book Antiqua"/>
          <w:color w:val="000000"/>
        </w:rPr>
        <w:t xml:space="preserve">with placebo and 10.1 </w:t>
      </w:r>
      <w:r w:rsidR="004C5482" w:rsidRPr="00880FA7">
        <w:rPr>
          <w:rFonts w:ascii="Book Antiqua" w:eastAsia="Book Antiqua" w:hAnsi="Book Antiqua" w:cs="Book Antiqua"/>
          <w:color w:val="000000"/>
        </w:rPr>
        <w:t xml:space="preserve">mo </w:t>
      </w:r>
      <w:r w:rsidR="006C4BFD" w:rsidRPr="00880FA7">
        <w:rPr>
          <w:rFonts w:ascii="Book Antiqua" w:eastAsia="Book Antiqua" w:hAnsi="Book Antiqua" w:cs="Book Antiqua"/>
          <w:color w:val="000000"/>
        </w:rPr>
        <w:t>with ramucirumab in patients with an AFP value less than 400 ng/mL (</w:t>
      </w:r>
      <w:r w:rsidR="006C4BFD" w:rsidRPr="00880FA7">
        <w:rPr>
          <w:rFonts w:ascii="Book Antiqua" w:eastAsia="Book Antiqua" w:hAnsi="Book Antiqua" w:cs="Book Antiqua"/>
          <w:i/>
          <w:iCs/>
          <w:color w:val="000000"/>
        </w:rPr>
        <w:t>P</w:t>
      </w:r>
      <w:r w:rsidR="006C4BFD" w:rsidRPr="00880FA7">
        <w:rPr>
          <w:rFonts w:ascii="Book Antiqua" w:eastAsia="Book Antiqua" w:hAnsi="Book Antiqua" w:cs="Book Antiqua"/>
          <w:color w:val="000000"/>
        </w:rPr>
        <w:t xml:space="preserve"> = 0.51). These results led the researchers to propose that a high baseline AFP level may be a predictor of who may respond favorably to ramucirumab treatment</w:t>
      </w:r>
      <w:r w:rsidRPr="00880FA7">
        <w:rPr>
          <w:rFonts w:ascii="Book Antiqua" w:eastAsia="Book Antiqua" w:hAnsi="Book Antiqua" w:cs="Book Antiqua"/>
          <w:color w:val="000000"/>
          <w:vertAlign w:val="superscript"/>
        </w:rPr>
        <w:t>[70]</w:t>
      </w:r>
      <w:r w:rsidRPr="00880FA7">
        <w:rPr>
          <w:rFonts w:ascii="Book Antiqua" w:eastAsia="Book Antiqua" w:hAnsi="Book Antiqua" w:cs="Book Antiqua"/>
          <w:color w:val="000000"/>
        </w:rPr>
        <w:t>.</w:t>
      </w:r>
    </w:p>
    <w:p w14:paraId="3ED3EFBD" w14:textId="78CA77A8" w:rsidR="00A77B3E" w:rsidRPr="00880FA7" w:rsidRDefault="001E044E" w:rsidP="004C5482">
      <w:pPr>
        <w:spacing w:line="360" w:lineRule="auto"/>
        <w:ind w:firstLineChars="200" w:firstLine="480"/>
        <w:jc w:val="both"/>
        <w:rPr>
          <w:rFonts w:ascii="Book Antiqua" w:hAnsi="Book Antiqua" w:cs="Book Antiqua"/>
          <w:color w:val="000000"/>
          <w:lang w:eastAsia="zh-CN"/>
        </w:rPr>
      </w:pPr>
      <w:r w:rsidRPr="00880FA7">
        <w:rPr>
          <w:rFonts w:ascii="Book Antiqua" w:eastAsia="Book Antiqua" w:hAnsi="Book Antiqua" w:cs="Book Antiqua"/>
          <w:color w:val="000000"/>
        </w:rPr>
        <w:t xml:space="preserve">The objective of the phase 3 </w:t>
      </w:r>
      <w:r w:rsidR="005C58FE" w:rsidRPr="00880FA7">
        <w:rPr>
          <w:rFonts w:ascii="Book Antiqua" w:eastAsia="Book Antiqua" w:hAnsi="Book Antiqua" w:cs="Book Antiqua"/>
          <w:color w:val="000000"/>
        </w:rPr>
        <w:t>study (</w:t>
      </w:r>
      <w:r w:rsidRPr="00880FA7">
        <w:rPr>
          <w:rFonts w:ascii="Book Antiqua" w:eastAsia="Book Antiqua" w:hAnsi="Book Antiqua" w:cs="Book Antiqua"/>
          <w:color w:val="000000"/>
        </w:rPr>
        <w:t>REACH-2</w:t>
      </w:r>
      <w:r w:rsidR="00F820C9" w:rsidRPr="00880FA7">
        <w:rPr>
          <w:rFonts w:ascii="Book Antiqua" w:eastAsia="Book Antiqua" w:hAnsi="Book Antiqua" w:cs="Book Antiqua"/>
          <w:color w:val="000000"/>
        </w:rPr>
        <w:t>)</w:t>
      </w:r>
      <w:r w:rsidRPr="00880FA7">
        <w:rPr>
          <w:rFonts w:ascii="Book Antiqua" w:eastAsia="Book Antiqua" w:hAnsi="Book Antiqua" w:cs="Book Antiqua"/>
          <w:color w:val="000000"/>
        </w:rPr>
        <w:t xml:space="preserve"> was to </w:t>
      </w:r>
      <w:r w:rsidR="00F820C9" w:rsidRPr="00880FA7">
        <w:rPr>
          <w:rFonts w:ascii="Book Antiqua" w:eastAsia="Book Antiqua" w:hAnsi="Book Antiqua" w:cs="Book Antiqua"/>
          <w:color w:val="000000"/>
        </w:rPr>
        <w:t>address</w:t>
      </w:r>
      <w:r w:rsidRPr="00880FA7">
        <w:rPr>
          <w:rFonts w:ascii="Book Antiqua" w:eastAsia="Book Antiqua" w:hAnsi="Book Antiqua" w:cs="Book Antiqua"/>
          <w:color w:val="000000"/>
        </w:rPr>
        <w:t xml:space="preserve"> the efficacy of ramucirumab </w:t>
      </w:r>
      <w:r w:rsidR="00F820C9" w:rsidRPr="00880FA7">
        <w:rPr>
          <w:rFonts w:ascii="Book Antiqua" w:eastAsia="Book Antiqua" w:hAnsi="Book Antiqua" w:cs="Book Antiqua"/>
          <w:color w:val="000000"/>
        </w:rPr>
        <w:t xml:space="preserve">treatment </w:t>
      </w:r>
      <w:r w:rsidRPr="00880FA7">
        <w:rPr>
          <w:rFonts w:ascii="Book Antiqua" w:eastAsia="Book Antiqua" w:hAnsi="Book Antiqua" w:cs="Book Antiqua"/>
          <w:color w:val="000000"/>
        </w:rPr>
        <w:t xml:space="preserve">in </w:t>
      </w:r>
      <w:r w:rsidR="00F820C9" w:rsidRPr="00880FA7">
        <w:rPr>
          <w:rFonts w:ascii="Book Antiqua" w:eastAsia="Book Antiqua" w:hAnsi="Book Antiqua" w:cs="Book Antiqua"/>
          <w:color w:val="000000"/>
        </w:rPr>
        <w:t xml:space="preserve">baseline AFP levels of 400 ng/mL or above </w:t>
      </w:r>
      <w:r w:rsidRPr="00880FA7">
        <w:rPr>
          <w:rFonts w:ascii="Book Antiqua" w:eastAsia="Book Antiqua" w:hAnsi="Book Antiqua" w:cs="Book Antiqua"/>
          <w:color w:val="000000"/>
        </w:rPr>
        <w:t>patients</w:t>
      </w:r>
      <w:r w:rsidR="00A92039" w:rsidRPr="00880FA7">
        <w:rPr>
          <w:rFonts w:ascii="Book Antiqua" w:eastAsia="Book Antiqua" w:hAnsi="Book Antiqua" w:cs="Book Antiqua"/>
          <w:color w:val="000000"/>
        </w:rPr>
        <w:t xml:space="preserve">. </w:t>
      </w:r>
      <w:r w:rsidR="0078173B" w:rsidRPr="00880FA7">
        <w:rPr>
          <w:rFonts w:ascii="Book Antiqua" w:eastAsia="Book Antiqua" w:hAnsi="Book Antiqua" w:cs="Book Antiqua"/>
          <w:color w:val="000000"/>
        </w:rPr>
        <w:t xml:space="preserve">They were recruited because they had </w:t>
      </w:r>
      <w:r w:rsidR="00C91323" w:rsidRPr="00880FA7">
        <w:rPr>
          <w:rFonts w:ascii="Book Antiqua" w:eastAsia="Book Antiqua" w:hAnsi="Book Antiqua" w:cs="Book Antiqua"/>
          <w:color w:val="000000"/>
        </w:rPr>
        <w:t xml:space="preserve">an ECOG PS of 0 or 1, intolerance to sorafenib, </w:t>
      </w:r>
      <w:r w:rsidR="0078173B" w:rsidRPr="00880FA7">
        <w:rPr>
          <w:rFonts w:ascii="Book Antiqua" w:eastAsia="Book Antiqua" w:hAnsi="Book Antiqua" w:cs="Book Antiqua"/>
          <w:color w:val="000000"/>
        </w:rPr>
        <w:t>Child-Pugh class A cirrhosis, a history of disease progression</w:t>
      </w:r>
      <w:r w:rsidR="00C91323" w:rsidRPr="00880FA7">
        <w:rPr>
          <w:rFonts w:ascii="Book Antiqua" w:eastAsia="Book Antiqua" w:hAnsi="Book Antiqua" w:cs="Book Antiqua"/>
          <w:color w:val="000000"/>
        </w:rPr>
        <w:t xml:space="preserve">, </w:t>
      </w:r>
      <w:r w:rsidR="0078173B" w:rsidRPr="00880FA7">
        <w:rPr>
          <w:rFonts w:ascii="Book Antiqua" w:eastAsia="Book Antiqua" w:hAnsi="Book Antiqua" w:cs="Book Antiqua"/>
          <w:color w:val="000000"/>
        </w:rPr>
        <w:t xml:space="preserve">and they weren't candidates for </w:t>
      </w:r>
      <w:r w:rsidR="0078173B" w:rsidRPr="00880FA7">
        <w:rPr>
          <w:rFonts w:ascii="Book Antiqua" w:eastAsia="Book Antiqua" w:hAnsi="Book Antiqua" w:cs="Book Antiqua"/>
          <w:color w:val="000000"/>
        </w:rPr>
        <w:lastRenderedPageBreak/>
        <w:t>locoregional therapy or resistant to it</w:t>
      </w:r>
      <w:r w:rsidR="00A92039" w:rsidRPr="00880FA7">
        <w:rPr>
          <w:rFonts w:ascii="Book Antiqua" w:eastAsia="Book Antiqua" w:hAnsi="Book Antiqua" w:cs="Book Antiqua"/>
          <w:color w:val="000000"/>
        </w:rPr>
        <w:t xml:space="preserve">. </w:t>
      </w:r>
      <w:r w:rsidR="00C9166E" w:rsidRPr="00880FA7">
        <w:rPr>
          <w:rFonts w:ascii="Book Antiqua" w:eastAsia="Book Antiqua" w:hAnsi="Book Antiqua" w:cs="Book Antiqua"/>
          <w:color w:val="000000"/>
        </w:rPr>
        <w:t xml:space="preserve">Every </w:t>
      </w:r>
      <w:r w:rsidR="00E0308E" w:rsidRPr="00880FA7">
        <w:rPr>
          <w:rFonts w:ascii="Book Antiqua" w:eastAsia="Book Antiqua" w:hAnsi="Book Antiqua" w:cs="Book Antiqua"/>
          <w:color w:val="000000"/>
        </w:rPr>
        <w:t>2 wk</w:t>
      </w:r>
      <w:r w:rsidR="00C9166E" w:rsidRPr="00880FA7">
        <w:rPr>
          <w:rFonts w:ascii="Book Antiqua" w:eastAsia="Book Antiqua" w:hAnsi="Book Antiqua" w:cs="Book Antiqua"/>
          <w:color w:val="000000"/>
        </w:rPr>
        <w:t xml:space="preserve">, patients were </w:t>
      </w:r>
      <w:r w:rsidR="00D02A82" w:rsidRPr="00880FA7">
        <w:rPr>
          <w:rFonts w:ascii="Book Antiqua" w:eastAsia="Book Antiqua" w:hAnsi="Book Antiqua" w:cs="Book Antiqua"/>
          <w:color w:val="000000"/>
        </w:rPr>
        <w:t>treat</w:t>
      </w:r>
      <w:r w:rsidR="00C9166E" w:rsidRPr="00880FA7">
        <w:rPr>
          <w:rFonts w:ascii="Book Antiqua" w:eastAsia="Book Antiqua" w:hAnsi="Book Antiqua" w:cs="Book Antiqua"/>
          <w:color w:val="000000"/>
        </w:rPr>
        <w:t xml:space="preserve">ed </w:t>
      </w:r>
      <w:r w:rsidR="00D02A82" w:rsidRPr="00880FA7">
        <w:rPr>
          <w:rFonts w:ascii="Book Antiqua" w:eastAsia="Book Antiqua" w:hAnsi="Book Antiqua" w:cs="Book Antiqua"/>
          <w:color w:val="000000"/>
        </w:rPr>
        <w:t>with</w:t>
      </w:r>
      <w:r w:rsidR="00C9166E" w:rsidRPr="00880FA7">
        <w:rPr>
          <w:rFonts w:ascii="Book Antiqua" w:eastAsia="Book Antiqua" w:hAnsi="Book Antiqua" w:cs="Book Antiqua"/>
          <w:color w:val="000000"/>
        </w:rPr>
        <w:t xml:space="preserve"> ramucirumab 8 mg/kg (</w:t>
      </w:r>
      <w:r w:rsidR="00C9166E" w:rsidRPr="00880FA7">
        <w:rPr>
          <w:rFonts w:ascii="Book Antiqua" w:eastAsia="Book Antiqua" w:hAnsi="Book Antiqua" w:cs="Book Antiqua"/>
          <w:i/>
          <w:color w:val="000000"/>
        </w:rPr>
        <w:t>n</w:t>
      </w:r>
      <w:r w:rsidR="00C9166E" w:rsidRPr="00880FA7">
        <w:rPr>
          <w:rFonts w:ascii="Book Antiqua" w:eastAsia="Book Antiqua" w:hAnsi="Book Antiqua" w:cs="Book Antiqua"/>
          <w:color w:val="000000"/>
        </w:rPr>
        <w:t xml:space="preserve"> = 197) or a placebo (</w:t>
      </w:r>
      <w:r w:rsidR="00C9166E" w:rsidRPr="00880FA7">
        <w:rPr>
          <w:rFonts w:ascii="Book Antiqua" w:eastAsia="Book Antiqua" w:hAnsi="Book Antiqua" w:cs="Book Antiqua"/>
          <w:i/>
          <w:color w:val="000000"/>
        </w:rPr>
        <w:t>n</w:t>
      </w:r>
      <w:r w:rsidR="00C9166E" w:rsidRPr="00880FA7">
        <w:rPr>
          <w:rFonts w:ascii="Book Antiqua" w:eastAsia="Book Antiqua" w:hAnsi="Book Antiqua" w:cs="Book Antiqua"/>
          <w:color w:val="000000"/>
        </w:rPr>
        <w:t xml:space="preserve"> = 95), along with BSC, until the illness progressed or the side effects became unbearable. When ramucirumab was used instead of a placebo, the response rates were 5% and 1%, respectively (</w:t>
      </w:r>
      <w:r w:rsidR="00C9166E" w:rsidRPr="00880FA7">
        <w:rPr>
          <w:rFonts w:ascii="Book Antiqua" w:eastAsia="Book Antiqua" w:hAnsi="Book Antiqua" w:cs="Book Antiqua"/>
          <w:i/>
          <w:iCs/>
          <w:color w:val="000000"/>
        </w:rPr>
        <w:t>P</w:t>
      </w:r>
      <w:r w:rsidR="00C9166E" w:rsidRPr="00880FA7">
        <w:rPr>
          <w:rFonts w:ascii="Book Antiqua" w:eastAsia="Book Antiqua" w:hAnsi="Book Antiqua" w:cs="Book Antiqua"/>
          <w:color w:val="000000"/>
        </w:rPr>
        <w:t xml:space="preserve"> = 0.1697), while the rates </w:t>
      </w:r>
      <w:r w:rsidR="00D02A82" w:rsidRPr="00880FA7">
        <w:rPr>
          <w:rFonts w:ascii="Book Antiqua" w:eastAsia="Book Antiqua" w:hAnsi="Book Antiqua" w:cs="Book Antiqua"/>
          <w:color w:val="000000"/>
        </w:rPr>
        <w:t xml:space="preserve">of disease control </w:t>
      </w:r>
      <w:r w:rsidR="00C9166E" w:rsidRPr="00880FA7">
        <w:rPr>
          <w:rFonts w:ascii="Book Antiqua" w:eastAsia="Book Antiqua" w:hAnsi="Book Antiqua" w:cs="Book Antiqua"/>
          <w:color w:val="000000"/>
        </w:rPr>
        <w:t>were 59.9% and 38.9%, respectively (</w:t>
      </w:r>
      <w:r w:rsidR="00C9166E" w:rsidRPr="00880FA7">
        <w:rPr>
          <w:rFonts w:ascii="Book Antiqua" w:eastAsia="Book Antiqua" w:hAnsi="Book Antiqua" w:cs="Book Antiqua"/>
          <w:i/>
          <w:iCs/>
          <w:color w:val="000000"/>
        </w:rPr>
        <w:t>P</w:t>
      </w:r>
      <w:r w:rsidR="00C9166E" w:rsidRPr="00880FA7">
        <w:rPr>
          <w:rFonts w:ascii="Book Antiqua" w:eastAsia="Book Antiqua" w:hAnsi="Book Antiqua" w:cs="Book Antiqua"/>
          <w:color w:val="000000"/>
        </w:rPr>
        <w:t xml:space="preserve"> &lt; 0.001)</w:t>
      </w:r>
      <w:r w:rsidR="00A92039" w:rsidRPr="00880FA7">
        <w:rPr>
          <w:rFonts w:ascii="Book Antiqua" w:eastAsia="Book Antiqua" w:hAnsi="Book Antiqua" w:cs="Book Antiqua"/>
          <w:color w:val="000000"/>
        </w:rPr>
        <w:t xml:space="preserve">. </w:t>
      </w:r>
      <w:r w:rsidR="004B1C12" w:rsidRPr="00880FA7">
        <w:rPr>
          <w:rFonts w:ascii="Book Antiqua" w:eastAsia="Book Antiqua" w:hAnsi="Book Antiqua" w:cs="Book Antiqua"/>
          <w:color w:val="000000"/>
        </w:rPr>
        <w:t xml:space="preserve">When compared to placebo, </w:t>
      </w:r>
      <w:r w:rsidR="00EF0D08" w:rsidRPr="00880FA7">
        <w:rPr>
          <w:rFonts w:ascii="Book Antiqua" w:eastAsia="Book Antiqua" w:hAnsi="Book Antiqua" w:cs="Book Antiqua"/>
          <w:color w:val="000000"/>
        </w:rPr>
        <w:t xml:space="preserve">treatment with </w:t>
      </w:r>
      <w:r w:rsidR="004B1C12" w:rsidRPr="00880FA7">
        <w:rPr>
          <w:rFonts w:ascii="Book Antiqua" w:eastAsia="Book Antiqua" w:hAnsi="Book Antiqua" w:cs="Book Antiqua"/>
          <w:color w:val="000000"/>
        </w:rPr>
        <w:t xml:space="preserve">ramucirumab was </w:t>
      </w:r>
      <w:r w:rsidR="00EF0D08" w:rsidRPr="00880FA7">
        <w:rPr>
          <w:rFonts w:ascii="Book Antiqua" w:eastAsia="Book Antiqua" w:hAnsi="Book Antiqua" w:cs="Book Antiqua"/>
          <w:color w:val="000000"/>
        </w:rPr>
        <w:t>relat</w:t>
      </w:r>
      <w:r w:rsidR="004B1C12" w:rsidRPr="00880FA7">
        <w:rPr>
          <w:rFonts w:ascii="Book Antiqua" w:eastAsia="Book Antiqua" w:hAnsi="Book Antiqua" w:cs="Book Antiqua"/>
          <w:color w:val="000000"/>
        </w:rPr>
        <w:t>ed with significantly prolonged median PFS (2.8</w:t>
      </w:r>
      <w:r w:rsidR="00854422" w:rsidRPr="00880FA7">
        <w:rPr>
          <w:rFonts w:ascii="Book Antiqua" w:eastAsia="Book Antiqua" w:hAnsi="Book Antiqua" w:cs="Book Antiqua"/>
          <w:color w:val="000000"/>
        </w:rPr>
        <w:t xml:space="preserve"> mo</w:t>
      </w:r>
      <w:r w:rsidR="004B1C12" w:rsidRPr="00880FA7">
        <w:rPr>
          <w:rFonts w:ascii="Book Antiqua" w:eastAsia="Book Antiqua" w:hAnsi="Book Antiqua" w:cs="Book Antiqua"/>
          <w:color w:val="000000"/>
        </w:rPr>
        <w:t xml:space="preserve"> </w:t>
      </w:r>
      <w:r w:rsidR="004B1C12" w:rsidRPr="00880FA7">
        <w:rPr>
          <w:rFonts w:ascii="Book Antiqua" w:eastAsia="Book Antiqua" w:hAnsi="Book Antiqua" w:cs="Book Antiqua"/>
          <w:i/>
          <w:color w:val="000000"/>
        </w:rPr>
        <w:t>vs</w:t>
      </w:r>
      <w:r w:rsidR="004B1C12" w:rsidRPr="00880FA7">
        <w:rPr>
          <w:rFonts w:ascii="Book Antiqua" w:eastAsia="Book Antiqua" w:hAnsi="Book Antiqua" w:cs="Book Antiqua"/>
          <w:color w:val="000000"/>
        </w:rPr>
        <w:t xml:space="preserve"> 1.6 </w:t>
      </w:r>
      <w:r w:rsidR="004C5482" w:rsidRPr="00880FA7">
        <w:rPr>
          <w:rFonts w:ascii="Book Antiqua" w:eastAsia="Book Antiqua" w:hAnsi="Book Antiqua" w:cs="Book Antiqua"/>
          <w:color w:val="000000"/>
        </w:rPr>
        <w:t>mo</w:t>
      </w:r>
      <w:r w:rsidR="004B1C12" w:rsidRPr="00880FA7">
        <w:rPr>
          <w:rFonts w:ascii="Book Antiqua" w:eastAsia="Book Antiqua" w:hAnsi="Book Antiqua" w:cs="Book Antiqua"/>
          <w:color w:val="000000"/>
        </w:rPr>
        <w:t xml:space="preserve">, </w:t>
      </w:r>
      <w:r w:rsidR="004B1C12" w:rsidRPr="00880FA7">
        <w:rPr>
          <w:rFonts w:ascii="Book Antiqua" w:eastAsia="Book Antiqua" w:hAnsi="Book Antiqua" w:cs="Book Antiqua"/>
          <w:i/>
          <w:iCs/>
          <w:color w:val="000000"/>
        </w:rPr>
        <w:t>P</w:t>
      </w:r>
      <w:r w:rsidR="004B1C12" w:rsidRPr="00880FA7">
        <w:rPr>
          <w:rFonts w:ascii="Book Antiqua" w:eastAsia="Book Antiqua" w:hAnsi="Book Antiqua" w:cs="Book Antiqua"/>
          <w:color w:val="000000"/>
        </w:rPr>
        <w:t xml:space="preserve"> </w:t>
      </w:r>
      <w:r w:rsidR="00FA2B05" w:rsidRPr="00880FA7">
        <w:rPr>
          <w:rFonts w:ascii="Book Antiqua" w:eastAsia="Book Antiqua" w:hAnsi="Book Antiqua" w:cs="Book Antiqua"/>
          <w:color w:val="000000"/>
        </w:rPr>
        <w:t>&lt;</w:t>
      </w:r>
      <w:r w:rsidR="004B1C12" w:rsidRPr="00880FA7">
        <w:rPr>
          <w:rFonts w:ascii="Book Antiqua" w:eastAsia="Book Antiqua" w:hAnsi="Book Antiqua" w:cs="Book Antiqua"/>
          <w:color w:val="000000"/>
        </w:rPr>
        <w:t xml:space="preserve"> 0.001) and median survival (8.5</w:t>
      </w:r>
      <w:r w:rsidR="00854422" w:rsidRPr="00880FA7">
        <w:rPr>
          <w:rFonts w:ascii="Book Antiqua" w:eastAsia="Book Antiqua" w:hAnsi="Book Antiqua" w:cs="Book Antiqua"/>
          <w:color w:val="000000"/>
        </w:rPr>
        <w:t xml:space="preserve"> mo</w:t>
      </w:r>
      <w:r w:rsidR="004B1C12" w:rsidRPr="00880FA7">
        <w:rPr>
          <w:rFonts w:ascii="Book Antiqua" w:eastAsia="Book Antiqua" w:hAnsi="Book Antiqua" w:cs="Book Antiqua"/>
          <w:color w:val="000000"/>
        </w:rPr>
        <w:t xml:space="preserve"> </w:t>
      </w:r>
      <w:r w:rsidR="004B1C12" w:rsidRPr="00880FA7">
        <w:rPr>
          <w:rFonts w:ascii="Book Antiqua" w:eastAsia="Book Antiqua" w:hAnsi="Book Antiqua" w:cs="Book Antiqua"/>
          <w:i/>
          <w:color w:val="000000"/>
        </w:rPr>
        <w:t xml:space="preserve">vs </w:t>
      </w:r>
      <w:r w:rsidR="004B1C12" w:rsidRPr="00880FA7">
        <w:rPr>
          <w:rFonts w:ascii="Book Antiqua" w:eastAsia="Book Antiqua" w:hAnsi="Book Antiqua" w:cs="Book Antiqua"/>
          <w:color w:val="000000"/>
        </w:rPr>
        <w:t xml:space="preserve">7.3 </w:t>
      </w:r>
      <w:r w:rsidR="001E45DE" w:rsidRPr="00880FA7">
        <w:rPr>
          <w:rFonts w:ascii="Book Antiqua" w:eastAsia="Book Antiqua" w:hAnsi="Book Antiqua" w:cs="Book Antiqua"/>
          <w:color w:val="000000"/>
        </w:rPr>
        <w:t>mo</w:t>
      </w:r>
      <w:r w:rsidR="004B1C12" w:rsidRPr="00880FA7">
        <w:rPr>
          <w:rFonts w:ascii="Book Antiqua" w:eastAsia="Book Antiqua" w:hAnsi="Book Antiqua" w:cs="Book Antiqua"/>
          <w:color w:val="000000"/>
        </w:rPr>
        <w:t>,</w:t>
      </w:r>
      <w:r w:rsidR="004B1C12" w:rsidRPr="00880FA7">
        <w:rPr>
          <w:rFonts w:ascii="Book Antiqua" w:eastAsia="Book Antiqua" w:hAnsi="Book Antiqua" w:cs="Book Antiqua"/>
          <w:i/>
          <w:iCs/>
          <w:color w:val="000000"/>
        </w:rPr>
        <w:t xml:space="preserve"> P</w:t>
      </w:r>
      <w:r w:rsidR="004B1C12" w:rsidRPr="00880FA7">
        <w:rPr>
          <w:rFonts w:ascii="Book Antiqua" w:eastAsia="Book Antiqua" w:hAnsi="Book Antiqua" w:cs="Book Antiqua"/>
          <w:color w:val="000000"/>
        </w:rPr>
        <w:t xml:space="preserve"> = 0.019)</w:t>
      </w:r>
      <w:r w:rsidR="00A92039" w:rsidRPr="00880FA7">
        <w:rPr>
          <w:rFonts w:ascii="Book Antiqua" w:eastAsia="Book Antiqua" w:hAnsi="Book Antiqua" w:cs="Book Antiqua"/>
          <w:color w:val="000000"/>
        </w:rPr>
        <w:t>. The REACH-2 study revealed that ramucirumab gave significantly better survival than</w:t>
      </w:r>
      <w:r w:rsidR="0091459F"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placebo</w:t>
      </w:r>
      <w:r w:rsidR="0091459F"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when taken as follow-up treatment following sorafenib in patients with an AFP value of 400 ng/mL or more.</w:t>
      </w:r>
      <w:r w:rsidR="0091459F"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Ramucirumab did not cause HFS, a well-known side effect of other targeted medications</w:t>
      </w:r>
      <w:r w:rsidR="00A92039" w:rsidRPr="00880FA7">
        <w:rPr>
          <w:rFonts w:ascii="Book Antiqua" w:eastAsia="Book Antiqua" w:hAnsi="Book Antiqua" w:cs="Book Antiqua"/>
          <w:color w:val="000000"/>
          <w:vertAlign w:val="superscript"/>
        </w:rPr>
        <w:t>[71]</w:t>
      </w:r>
      <w:r w:rsidR="00A92039" w:rsidRPr="00880FA7">
        <w:rPr>
          <w:rFonts w:ascii="Book Antiqua" w:eastAsia="Book Antiqua" w:hAnsi="Book Antiqua" w:cs="Book Antiqua"/>
          <w:color w:val="000000"/>
        </w:rPr>
        <w:t>. Post hoc analysis of the REACH and REACH-2 studies confirmed the relevance of AFP as a predictive indicator, with AFP response considerably greater in individuals treated with ramucirumab than placebo (</w:t>
      </w:r>
      <w:r w:rsidR="008402C4" w:rsidRPr="00880FA7">
        <w:rPr>
          <w:rFonts w:ascii="Book Antiqua" w:hAnsi="Book Antiqua" w:cs="Book Antiqua" w:hint="eastAsia"/>
          <w:i/>
          <w:color w:val="000000"/>
          <w:lang w:eastAsia="zh-CN"/>
        </w:rPr>
        <w:t>P</w:t>
      </w:r>
      <w:r w:rsidR="00A92039" w:rsidRPr="00880FA7">
        <w:rPr>
          <w:rFonts w:ascii="Book Antiqua" w:eastAsia="Book Antiqua" w:hAnsi="Book Antiqua" w:cs="Book Antiqua"/>
          <w:color w:val="000000"/>
        </w:rPr>
        <w:t xml:space="preserve"> &lt; </w:t>
      </w:r>
      <w:r w:rsidR="008402C4" w:rsidRPr="00880FA7">
        <w:rPr>
          <w:rFonts w:ascii="Book Antiqua" w:hAnsi="Book Antiqua" w:cs="Book Antiqua" w:hint="eastAsia"/>
          <w:color w:val="000000"/>
          <w:lang w:eastAsia="zh-CN"/>
        </w:rPr>
        <w:t>0</w:t>
      </w:r>
      <w:r w:rsidR="00A92039" w:rsidRPr="00880FA7">
        <w:rPr>
          <w:rFonts w:ascii="Book Antiqua" w:eastAsia="Book Antiqua" w:hAnsi="Book Antiqua" w:cs="Book Antiqua"/>
          <w:color w:val="000000"/>
        </w:rPr>
        <w:t>.0001). Survival was considerably enhanced with an AFP response (13.6</w:t>
      </w:r>
      <w:r w:rsidR="00854422" w:rsidRPr="00880FA7">
        <w:rPr>
          <w:rFonts w:ascii="Book Antiqua" w:eastAsia="Book Antiqua" w:hAnsi="Book Antiqua" w:cs="Book Antiqua"/>
          <w:color w:val="000000"/>
        </w:rPr>
        <w:t xml:space="preserve"> mo</w:t>
      </w:r>
      <w:r w:rsidR="00A92039" w:rsidRPr="00880FA7">
        <w:rPr>
          <w:rFonts w:ascii="Book Antiqua" w:eastAsia="Book Antiqua" w:hAnsi="Book Antiqua" w:cs="Book Antiqua"/>
          <w:color w:val="000000"/>
        </w:rPr>
        <w:t xml:space="preserve"> </w:t>
      </w:r>
      <w:r w:rsidR="00A92039" w:rsidRPr="00880FA7">
        <w:rPr>
          <w:rFonts w:ascii="Book Antiqua" w:eastAsia="Book Antiqua" w:hAnsi="Book Antiqua" w:cs="Book Antiqua"/>
          <w:i/>
          <w:iCs/>
          <w:color w:val="000000"/>
        </w:rPr>
        <w:t>vs</w:t>
      </w:r>
      <w:r w:rsidR="00A92039" w:rsidRPr="00880FA7">
        <w:rPr>
          <w:rFonts w:ascii="Book Antiqua" w:eastAsia="Book Antiqua" w:hAnsi="Book Antiqua" w:cs="Book Antiqua"/>
          <w:color w:val="000000"/>
        </w:rPr>
        <w:t xml:space="preserve"> 5.6 </w:t>
      </w:r>
      <w:r w:rsidR="008402C4" w:rsidRPr="00880FA7">
        <w:rPr>
          <w:rFonts w:ascii="Book Antiqua" w:eastAsia="Book Antiqua" w:hAnsi="Book Antiqua" w:cs="Book Antiqua"/>
          <w:color w:val="000000"/>
        </w:rPr>
        <w:t>mo</w:t>
      </w:r>
      <w:r w:rsidR="00A92039" w:rsidRPr="00880FA7">
        <w:rPr>
          <w:rFonts w:ascii="Book Antiqua" w:eastAsia="Book Antiqua" w:hAnsi="Book Antiqua" w:cs="Book Antiqua"/>
          <w:color w:val="000000"/>
        </w:rPr>
        <w:t>; HR</w:t>
      </w:r>
      <w:r w:rsidR="008402C4" w:rsidRPr="00880FA7">
        <w:rPr>
          <w:rFonts w:ascii="Book Antiqua" w:hAnsi="Book Antiqua" w:cs="Book Antiqua" w:hint="eastAsia"/>
          <w:color w:val="000000"/>
          <w:lang w:eastAsia="zh-CN"/>
        </w:rPr>
        <w:t>:</w:t>
      </w:r>
      <w:r w:rsidR="00A92039" w:rsidRPr="00880FA7">
        <w:rPr>
          <w:rFonts w:ascii="Book Antiqua" w:eastAsia="Book Antiqua" w:hAnsi="Book Antiqua" w:cs="Book Antiqua"/>
          <w:color w:val="000000"/>
        </w:rPr>
        <w:t xml:space="preserve"> 0.45; </w:t>
      </w:r>
      <w:r w:rsidR="008402C4" w:rsidRPr="00880FA7">
        <w:rPr>
          <w:rFonts w:ascii="Book Antiqua" w:hAnsi="Book Antiqua" w:cs="Book Antiqua" w:hint="eastAsia"/>
          <w:i/>
          <w:color w:val="000000"/>
          <w:lang w:eastAsia="zh-CN"/>
        </w:rPr>
        <w:t>P</w:t>
      </w:r>
      <w:r w:rsidR="00A92039" w:rsidRPr="00880FA7">
        <w:rPr>
          <w:rFonts w:ascii="Book Antiqua" w:eastAsia="Book Antiqua" w:hAnsi="Book Antiqua" w:cs="Book Antiqua"/>
          <w:color w:val="000000"/>
        </w:rPr>
        <w:t xml:space="preserve"> &lt; </w:t>
      </w:r>
      <w:r w:rsidR="008402C4" w:rsidRPr="00880FA7">
        <w:rPr>
          <w:rFonts w:ascii="Book Antiqua" w:hAnsi="Book Antiqua" w:cs="Book Antiqua" w:hint="eastAsia"/>
          <w:color w:val="000000"/>
          <w:lang w:eastAsia="zh-CN"/>
        </w:rPr>
        <w:t>0</w:t>
      </w:r>
      <w:r w:rsidR="00A92039" w:rsidRPr="00880FA7">
        <w:rPr>
          <w:rFonts w:ascii="Book Antiqua" w:eastAsia="Book Antiqua" w:hAnsi="Book Antiqua" w:cs="Book Antiqua"/>
          <w:color w:val="000000"/>
        </w:rPr>
        <w:t>.0001)</w:t>
      </w:r>
      <w:r w:rsidR="00A92039" w:rsidRPr="00880FA7">
        <w:rPr>
          <w:rFonts w:ascii="Book Antiqua" w:eastAsia="Book Antiqua" w:hAnsi="Book Antiqua" w:cs="Book Antiqua"/>
          <w:color w:val="000000"/>
          <w:vertAlign w:val="superscript"/>
        </w:rPr>
        <w:t>[72]</w:t>
      </w:r>
      <w:r w:rsidR="00A92039" w:rsidRPr="00880FA7">
        <w:rPr>
          <w:rFonts w:ascii="Book Antiqua" w:eastAsia="Book Antiqua" w:hAnsi="Book Antiqua" w:cs="Book Antiqua"/>
          <w:color w:val="000000"/>
        </w:rPr>
        <w:t>. Ramucirumab is advised by NCCN</w:t>
      </w:r>
      <w:r w:rsidR="00991E0A"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as a category 1 medication for further therapy following sorafenib usage in individuals with an AFP level of 400 ng/mL or more</w:t>
      </w:r>
      <w:r w:rsidR="00A92039" w:rsidRPr="00880FA7">
        <w:rPr>
          <w:rFonts w:ascii="Book Antiqua" w:eastAsia="Book Antiqua" w:hAnsi="Book Antiqua" w:cs="Book Antiqua"/>
          <w:color w:val="000000"/>
          <w:vertAlign w:val="superscript"/>
        </w:rPr>
        <w:t>[52]</w:t>
      </w:r>
      <w:r w:rsidR="00A92039" w:rsidRPr="00880FA7">
        <w:rPr>
          <w:rFonts w:ascii="Book Antiqua" w:eastAsia="Book Antiqua" w:hAnsi="Book Antiqua" w:cs="Book Antiqua"/>
          <w:color w:val="000000"/>
        </w:rPr>
        <w:t>.</w:t>
      </w:r>
    </w:p>
    <w:p w14:paraId="63A10B56" w14:textId="77777777" w:rsidR="00991E0A" w:rsidRPr="00880FA7" w:rsidRDefault="00991E0A" w:rsidP="006C140A">
      <w:pPr>
        <w:spacing w:line="360" w:lineRule="auto"/>
        <w:jc w:val="both"/>
        <w:rPr>
          <w:rFonts w:ascii="Book Antiqua" w:hAnsi="Book Antiqua"/>
          <w:lang w:eastAsia="zh-CN"/>
        </w:rPr>
      </w:pPr>
    </w:p>
    <w:p w14:paraId="343CCEBD" w14:textId="77777777" w:rsidR="00A77B3E" w:rsidRPr="00880FA7" w:rsidRDefault="00F76E34" w:rsidP="00D33124">
      <w:pPr>
        <w:spacing w:line="360" w:lineRule="auto"/>
        <w:jc w:val="both"/>
        <w:rPr>
          <w:rFonts w:ascii="Book Antiqua" w:hAnsi="Book Antiqua"/>
          <w:b/>
          <w:i/>
        </w:rPr>
      </w:pPr>
      <w:r w:rsidRPr="00880FA7">
        <w:rPr>
          <w:rFonts w:ascii="Book Antiqua" w:eastAsia="Book Antiqua" w:hAnsi="Book Antiqua" w:cs="Book Antiqua"/>
          <w:b/>
          <w:bCs/>
          <w:i/>
          <w:iCs/>
          <w:color w:val="000000"/>
        </w:rPr>
        <w:t>S</w:t>
      </w:r>
      <w:r w:rsidRPr="00880FA7">
        <w:rPr>
          <w:rFonts w:ascii="Book Antiqua" w:eastAsia="Book Antiqua" w:hAnsi="Book Antiqua" w:cs="Book Antiqua" w:hint="eastAsia"/>
          <w:b/>
          <w:bCs/>
          <w:i/>
          <w:iCs/>
          <w:color w:val="000000"/>
        </w:rPr>
        <w:t>ingle</w:t>
      </w:r>
      <w:r w:rsidRPr="00880FA7">
        <w:rPr>
          <w:rFonts w:ascii="Book Antiqua" w:eastAsia="Book Antiqua" w:hAnsi="Book Antiqua" w:cs="Book Antiqua"/>
          <w:b/>
          <w:bCs/>
          <w:i/>
          <w:iCs/>
          <w:color w:val="000000"/>
        </w:rPr>
        <w:t xml:space="preserve"> </w:t>
      </w:r>
      <w:r w:rsidRPr="00880FA7">
        <w:rPr>
          <w:rFonts w:ascii="Book Antiqua" w:hAnsi="Book Antiqua" w:cs="Book Antiqua" w:hint="eastAsia"/>
          <w:b/>
          <w:bCs/>
          <w:i/>
          <w:iCs/>
          <w:color w:val="000000"/>
          <w:lang w:eastAsia="zh-CN"/>
        </w:rPr>
        <w:t>drug</w:t>
      </w:r>
      <w:r w:rsidR="00A92039" w:rsidRPr="00880FA7">
        <w:rPr>
          <w:rFonts w:ascii="Book Antiqua" w:eastAsia="Book Antiqua" w:hAnsi="Book Antiqua" w:cs="Book Antiqua"/>
          <w:b/>
          <w:bCs/>
          <w:i/>
          <w:iCs/>
          <w:color w:val="000000"/>
        </w:rPr>
        <w:t>-</w:t>
      </w:r>
      <w:r w:rsidR="006C140A" w:rsidRPr="00880FA7">
        <w:rPr>
          <w:rFonts w:ascii="Book Antiqua" w:hAnsi="Book Antiqua" w:cs="Book Antiqua" w:hint="eastAsia"/>
          <w:b/>
          <w:bCs/>
          <w:i/>
          <w:iCs/>
          <w:color w:val="000000"/>
          <w:lang w:eastAsia="zh-CN"/>
        </w:rPr>
        <w:t>immune check</w:t>
      </w:r>
      <w:r w:rsidR="00A92039" w:rsidRPr="00880FA7">
        <w:rPr>
          <w:rFonts w:ascii="Book Antiqua" w:eastAsia="Book Antiqua" w:hAnsi="Book Antiqua" w:cs="Book Antiqua"/>
          <w:b/>
          <w:bCs/>
          <w:i/>
          <w:iCs/>
          <w:color w:val="000000"/>
        </w:rPr>
        <w:t>-</w:t>
      </w:r>
      <w:r w:rsidR="006C140A" w:rsidRPr="00880FA7">
        <w:rPr>
          <w:rFonts w:ascii="Book Antiqua" w:hAnsi="Book Antiqua" w:cs="Book Antiqua" w:hint="eastAsia"/>
          <w:b/>
          <w:bCs/>
          <w:i/>
          <w:iCs/>
          <w:color w:val="000000"/>
          <w:lang w:eastAsia="zh-CN"/>
        </w:rPr>
        <w:t>point</w:t>
      </w:r>
      <w:r w:rsidR="00A92039" w:rsidRPr="00880FA7">
        <w:rPr>
          <w:rFonts w:ascii="Book Antiqua" w:eastAsia="Book Antiqua" w:hAnsi="Book Antiqua" w:cs="Book Antiqua"/>
          <w:b/>
          <w:bCs/>
          <w:i/>
          <w:iCs/>
          <w:caps/>
          <w:color w:val="000000"/>
        </w:rPr>
        <w:t xml:space="preserve"> </w:t>
      </w:r>
      <w:r w:rsidRPr="00880FA7">
        <w:rPr>
          <w:rFonts w:ascii="Book Antiqua" w:eastAsia="Book Antiqua" w:hAnsi="Book Antiqua" w:cs="Book Antiqua"/>
          <w:b/>
          <w:i/>
          <w:color w:val="000000"/>
        </w:rPr>
        <w:t>inhibitor</w:t>
      </w:r>
    </w:p>
    <w:p w14:paraId="1BD4031A" w14:textId="3F4C2102" w:rsidR="00A77B3E" w:rsidRPr="00880FA7" w:rsidRDefault="00A92039" w:rsidP="00D33124">
      <w:pPr>
        <w:spacing w:line="360" w:lineRule="auto"/>
        <w:jc w:val="both"/>
        <w:rPr>
          <w:rFonts w:ascii="Book Antiqua" w:hAnsi="Book Antiqua" w:cs="Book Antiqua"/>
          <w:color w:val="000000"/>
          <w:lang w:eastAsia="zh-CN"/>
        </w:rPr>
      </w:pPr>
      <w:r w:rsidRPr="00880FA7">
        <w:rPr>
          <w:rFonts w:ascii="Book Antiqua" w:eastAsia="Book Antiqua" w:hAnsi="Book Antiqua" w:cs="Book Antiqua"/>
          <w:b/>
          <w:bCs/>
          <w:iCs/>
          <w:color w:val="000000"/>
        </w:rPr>
        <w:t>Pembrolizumab</w:t>
      </w:r>
      <w:r w:rsidR="006C140A" w:rsidRPr="00880FA7">
        <w:rPr>
          <w:rFonts w:ascii="Book Antiqua" w:hAnsi="Book Antiqua" w:hint="eastAsia"/>
          <w:b/>
          <w:lang w:eastAsia="zh-CN"/>
        </w:rPr>
        <w:t>:</w:t>
      </w:r>
      <w:r w:rsidR="006C140A" w:rsidRPr="00880FA7">
        <w:rPr>
          <w:rFonts w:ascii="Book Antiqua" w:hAnsi="Book Antiqua" w:hint="eastAsia"/>
          <w:lang w:eastAsia="zh-CN"/>
        </w:rPr>
        <w:t xml:space="preserve"> </w:t>
      </w:r>
      <w:r w:rsidR="00BE2C48" w:rsidRPr="00880FA7">
        <w:rPr>
          <w:rFonts w:ascii="Book Antiqua" w:eastAsia="Book Antiqua" w:hAnsi="Book Antiqua" w:cs="Book Antiqua"/>
          <w:color w:val="000000"/>
        </w:rPr>
        <w:t>In the phase II KEYNOTE-224 research, pembrolizumab, an anti-PD1 monoclonal antibody, demonstrated comparable clinical antitumor effectiveness and safety when given to patients who had previously taken sorafenib for uHCC patients</w:t>
      </w:r>
      <w:r w:rsidRPr="00880FA7">
        <w:rPr>
          <w:rFonts w:ascii="Book Antiqua" w:eastAsia="Book Antiqua" w:hAnsi="Book Antiqua" w:cs="Book Antiqua"/>
          <w:color w:val="000000"/>
          <w:vertAlign w:val="superscript"/>
        </w:rPr>
        <w:t>[11]</w:t>
      </w:r>
      <w:r w:rsidRPr="00880FA7">
        <w:rPr>
          <w:rFonts w:ascii="Book Antiqua" w:eastAsia="Book Antiqua" w:hAnsi="Book Antiqua" w:cs="Book Antiqua"/>
          <w:color w:val="000000"/>
        </w:rPr>
        <w:t xml:space="preserve">. Finn </w:t>
      </w:r>
      <w:r w:rsidRPr="00880FA7">
        <w:rPr>
          <w:rFonts w:ascii="Book Antiqua" w:eastAsia="Book Antiqua" w:hAnsi="Book Antiqua" w:cs="Book Antiqua"/>
          <w:i/>
          <w:iCs/>
          <w:color w:val="000000"/>
        </w:rPr>
        <w:t>et al</w:t>
      </w:r>
      <w:r w:rsidRPr="00880FA7">
        <w:rPr>
          <w:rFonts w:ascii="Book Antiqua" w:eastAsia="Book Antiqua" w:hAnsi="Book Antiqua" w:cs="Book Antiqua"/>
          <w:color w:val="000000"/>
          <w:vertAlign w:val="superscript"/>
        </w:rPr>
        <w:t>[13]</w:t>
      </w:r>
      <w:r w:rsidRPr="00880FA7">
        <w:rPr>
          <w:rFonts w:ascii="Book Antiqua" w:eastAsia="Book Antiqua" w:hAnsi="Book Antiqua" w:cs="Book Antiqua"/>
          <w:color w:val="000000"/>
        </w:rPr>
        <w:t xml:space="preserve"> performed a phase 3</w:t>
      </w:r>
      <w:r w:rsidR="00F706F9"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randomized, double-blind trial at 119 healthcare centers in 27 countries. </w:t>
      </w:r>
      <w:r w:rsidR="00551309" w:rsidRPr="00880FA7">
        <w:rPr>
          <w:rFonts w:ascii="Book Antiqua" w:eastAsia="Book Antiqua" w:hAnsi="Book Antiqua" w:cs="Book Antiqua"/>
          <w:color w:val="000000"/>
        </w:rPr>
        <w:t>With a follow-up length of 13.8 mo</w:t>
      </w:r>
      <w:r w:rsidR="00F706F9" w:rsidRPr="00880FA7">
        <w:rPr>
          <w:rFonts w:ascii="Book Antiqua" w:hAnsi="Book Antiqua" w:cs="Book Antiqua" w:hint="eastAsia"/>
          <w:color w:val="000000"/>
          <w:lang w:eastAsia="zh-CN"/>
        </w:rPr>
        <w:t xml:space="preserve"> </w:t>
      </w:r>
      <w:r w:rsidR="00551309" w:rsidRPr="00880FA7">
        <w:rPr>
          <w:rFonts w:ascii="Book Antiqua" w:eastAsia="Book Antiqua" w:hAnsi="Book Antiqua" w:cs="Book Antiqua"/>
          <w:color w:val="000000"/>
        </w:rPr>
        <w:t xml:space="preserve">for pembrolizumab and 10.6 </w:t>
      </w:r>
      <w:r w:rsidR="00F706F9" w:rsidRPr="00880FA7">
        <w:rPr>
          <w:rFonts w:ascii="Book Antiqua" w:eastAsia="Book Antiqua" w:hAnsi="Book Antiqua" w:cs="Book Antiqua"/>
          <w:color w:val="000000"/>
        </w:rPr>
        <w:t>mo</w:t>
      </w:r>
      <w:r w:rsidR="00F706F9" w:rsidRPr="00880FA7">
        <w:rPr>
          <w:rFonts w:ascii="Book Antiqua" w:hAnsi="Book Antiqua" w:cs="Book Antiqua" w:hint="eastAsia"/>
          <w:color w:val="000000"/>
          <w:lang w:eastAsia="zh-CN"/>
        </w:rPr>
        <w:t xml:space="preserve"> </w:t>
      </w:r>
      <w:r w:rsidR="00551309" w:rsidRPr="00880FA7">
        <w:rPr>
          <w:rFonts w:ascii="Book Antiqua" w:eastAsia="Book Antiqua" w:hAnsi="Book Antiqua" w:cs="Book Antiqua"/>
          <w:color w:val="000000"/>
        </w:rPr>
        <w:t xml:space="preserve">for placebo, they randomly allocated 413 patients to receive pembrolizumab plus </w:t>
      </w:r>
      <w:r w:rsidR="00B52588" w:rsidRPr="00880FA7">
        <w:rPr>
          <w:rFonts w:ascii="Book Antiqua" w:eastAsia="Book Antiqua" w:hAnsi="Book Antiqua" w:cs="Book Antiqua"/>
          <w:color w:val="000000"/>
        </w:rPr>
        <w:t>BSC</w:t>
      </w:r>
      <w:r w:rsidR="00551309" w:rsidRPr="00880FA7">
        <w:rPr>
          <w:rFonts w:ascii="Book Antiqua" w:eastAsia="Book Antiqua" w:hAnsi="Book Antiqua" w:cs="Book Antiqua"/>
          <w:color w:val="000000"/>
        </w:rPr>
        <w:t xml:space="preserve"> or placebo plus BSC</w:t>
      </w:r>
      <w:r w:rsidRPr="00880FA7">
        <w:rPr>
          <w:rFonts w:ascii="Book Antiqua" w:eastAsia="Book Antiqua" w:hAnsi="Book Antiqua" w:cs="Book Antiqua"/>
          <w:color w:val="000000"/>
        </w:rPr>
        <w:t xml:space="preserve">. The median OS for pembrolizumab was 13.9 </w:t>
      </w:r>
      <w:r w:rsidR="00F706F9"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compared to 10.6 </w:t>
      </w:r>
      <w:r w:rsidR="00F706F9"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for placebo. At the end of the study, the median PFS for pembrolizumab was 3.0</w:t>
      </w:r>
      <w:r w:rsidR="00854422" w:rsidRPr="00880FA7">
        <w:rPr>
          <w:rFonts w:ascii="Book Antiqua" w:eastAsia="Book Antiqua" w:hAnsi="Book Antiqua" w:cs="Book Antiqua"/>
          <w:color w:val="000000"/>
        </w:rPr>
        <w:t xml:space="preserve"> mo</w:t>
      </w:r>
      <w:r w:rsidRPr="00880FA7">
        <w:rPr>
          <w:rFonts w:ascii="Book Antiqua" w:eastAsia="Book Antiqua" w:hAnsi="Book Antiqua" w:cs="Book Antiqua"/>
          <w:color w:val="000000"/>
        </w:rPr>
        <w:t xml:space="preserve"> </w:t>
      </w:r>
      <w:r w:rsidRPr="00880FA7">
        <w:rPr>
          <w:rFonts w:ascii="Book Antiqua" w:eastAsia="Book Antiqua" w:hAnsi="Book Antiqua" w:cs="Book Antiqua"/>
          <w:i/>
          <w:iCs/>
          <w:color w:val="000000"/>
        </w:rPr>
        <w:t>vs</w:t>
      </w:r>
      <w:r w:rsidRPr="00880FA7">
        <w:rPr>
          <w:rFonts w:ascii="Book Antiqua" w:eastAsia="Book Antiqua" w:hAnsi="Book Antiqua" w:cs="Book Antiqua"/>
          <w:color w:val="000000"/>
        </w:rPr>
        <w:t xml:space="preserve"> 2.8 </w:t>
      </w:r>
      <w:r w:rsidR="00F706F9"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for placebo. Pembrolizumab was used in 147 (52.7%) and 62 (46.3%) patients, respectively; treatment-related events occurred in 52 (18.6%) and 10 patients (7.5%), respectively. </w:t>
      </w:r>
      <w:r w:rsidR="00BC4864" w:rsidRPr="00880FA7">
        <w:rPr>
          <w:rFonts w:ascii="Book Antiqua" w:eastAsia="Book Antiqua" w:hAnsi="Book Antiqua" w:cs="Book Antiqua"/>
          <w:color w:val="000000"/>
        </w:rPr>
        <w:t>No new cases of hepatitis C or B were discovered. They concluded</w:t>
      </w:r>
      <w:r w:rsidR="00F706F9" w:rsidRPr="00880FA7">
        <w:rPr>
          <w:rFonts w:ascii="Book Antiqua" w:hAnsi="Book Antiqua" w:cs="Book Antiqua" w:hint="eastAsia"/>
          <w:color w:val="000000"/>
          <w:lang w:eastAsia="zh-CN"/>
        </w:rPr>
        <w:t xml:space="preserve"> </w:t>
      </w:r>
      <w:r w:rsidR="00BC4864" w:rsidRPr="00880FA7">
        <w:rPr>
          <w:rFonts w:ascii="Book Antiqua" w:eastAsia="Book Antiqua" w:hAnsi="Book Antiqua" w:cs="Book Antiqua"/>
          <w:color w:val="000000"/>
        </w:rPr>
        <w:t xml:space="preserve">that OS </w:t>
      </w:r>
      <w:r w:rsidR="00BC4864" w:rsidRPr="00880FA7">
        <w:rPr>
          <w:rFonts w:ascii="Book Antiqua" w:eastAsia="Book Antiqua" w:hAnsi="Book Antiqua" w:cs="Book Antiqua"/>
          <w:color w:val="000000"/>
        </w:rPr>
        <w:lastRenderedPageBreak/>
        <w:t>and PFS did not satisfy the criteria for statistical significance. Pembrolizumab offers a positive risk-to-benefit ratio in this population, according to the results, which are similar to those of KEYNOTE-224</w:t>
      </w:r>
      <w:r w:rsidRPr="00880FA7">
        <w:rPr>
          <w:rFonts w:ascii="Book Antiqua" w:eastAsia="Book Antiqua" w:hAnsi="Book Antiqua" w:cs="Book Antiqua"/>
          <w:color w:val="000000"/>
        </w:rPr>
        <w:t>.</w:t>
      </w:r>
    </w:p>
    <w:p w14:paraId="2F87B923" w14:textId="77777777" w:rsidR="00F706F9" w:rsidRPr="00880FA7" w:rsidRDefault="00F706F9" w:rsidP="00D33124">
      <w:pPr>
        <w:spacing w:line="360" w:lineRule="auto"/>
        <w:jc w:val="both"/>
        <w:rPr>
          <w:rFonts w:ascii="Book Antiqua" w:hAnsi="Book Antiqua"/>
          <w:lang w:eastAsia="zh-CN"/>
        </w:rPr>
      </w:pPr>
    </w:p>
    <w:p w14:paraId="04D65281" w14:textId="77777777" w:rsidR="00A77B3E" w:rsidRPr="00880FA7" w:rsidRDefault="00A92039" w:rsidP="00D33124">
      <w:pPr>
        <w:spacing w:line="360" w:lineRule="auto"/>
        <w:jc w:val="both"/>
        <w:rPr>
          <w:rFonts w:ascii="Book Antiqua" w:hAnsi="Book Antiqua"/>
          <w:i/>
          <w:lang w:eastAsia="zh-CN"/>
        </w:rPr>
      </w:pPr>
      <w:r w:rsidRPr="00880FA7">
        <w:rPr>
          <w:rFonts w:ascii="Book Antiqua" w:eastAsia="Book Antiqua" w:hAnsi="Book Antiqua" w:cs="Book Antiqua"/>
          <w:b/>
          <w:bCs/>
          <w:i/>
          <w:iCs/>
          <w:color w:val="000000"/>
        </w:rPr>
        <w:t>D</w:t>
      </w:r>
      <w:r w:rsidR="00686BC0" w:rsidRPr="00880FA7">
        <w:rPr>
          <w:rFonts w:ascii="Book Antiqua" w:hAnsi="Book Antiqua" w:cs="Book Antiqua" w:hint="eastAsia"/>
          <w:b/>
          <w:bCs/>
          <w:i/>
          <w:iCs/>
          <w:color w:val="000000"/>
          <w:lang w:eastAsia="zh-CN"/>
        </w:rPr>
        <w:t>rug</w:t>
      </w:r>
      <w:r w:rsidRPr="00880FA7">
        <w:rPr>
          <w:rFonts w:ascii="Book Antiqua" w:eastAsia="Book Antiqua" w:hAnsi="Book Antiqua" w:cs="Book Antiqua"/>
          <w:b/>
          <w:bCs/>
          <w:i/>
          <w:iCs/>
          <w:color w:val="000000"/>
        </w:rPr>
        <w:t>-</w:t>
      </w:r>
      <w:r w:rsidR="00686BC0" w:rsidRPr="00880FA7">
        <w:rPr>
          <w:rFonts w:ascii="Book Antiqua" w:hAnsi="Book Antiqua" w:cs="Book Antiqua" w:hint="eastAsia"/>
          <w:b/>
          <w:bCs/>
          <w:i/>
          <w:iCs/>
          <w:color w:val="000000"/>
          <w:lang w:eastAsia="zh-CN"/>
        </w:rPr>
        <w:t>combination</w:t>
      </w:r>
      <w:r w:rsidRPr="00880FA7">
        <w:rPr>
          <w:rFonts w:ascii="Book Antiqua" w:eastAsia="Book Antiqua" w:hAnsi="Book Antiqua" w:cs="Book Antiqua"/>
          <w:b/>
          <w:bCs/>
          <w:i/>
          <w:iCs/>
          <w:color w:val="000000"/>
        </w:rPr>
        <w:t xml:space="preserve"> of PD-1 </w:t>
      </w:r>
      <w:r w:rsidR="00686BC0" w:rsidRPr="00880FA7">
        <w:rPr>
          <w:rFonts w:ascii="Book Antiqua" w:hAnsi="Book Antiqua" w:cs="Book Antiqua" w:hint="eastAsia"/>
          <w:b/>
          <w:bCs/>
          <w:i/>
          <w:iCs/>
          <w:color w:val="000000"/>
          <w:lang w:eastAsia="zh-CN"/>
        </w:rPr>
        <w:t>and</w:t>
      </w:r>
      <w:r w:rsidRPr="00880FA7">
        <w:rPr>
          <w:rFonts w:ascii="Book Antiqua" w:eastAsia="Book Antiqua" w:hAnsi="Book Antiqua" w:cs="Book Antiqua"/>
          <w:b/>
          <w:bCs/>
          <w:i/>
          <w:iCs/>
          <w:color w:val="000000"/>
        </w:rPr>
        <w:t xml:space="preserve"> CTLA-4 </w:t>
      </w:r>
      <w:r w:rsidR="00686BC0" w:rsidRPr="00880FA7">
        <w:rPr>
          <w:rFonts w:ascii="Book Antiqua" w:hAnsi="Book Antiqua" w:cs="Book Antiqua" w:hint="eastAsia"/>
          <w:b/>
          <w:bCs/>
          <w:i/>
          <w:iCs/>
          <w:color w:val="000000"/>
          <w:lang w:eastAsia="zh-CN"/>
        </w:rPr>
        <w:t>antibody</w:t>
      </w:r>
    </w:p>
    <w:p w14:paraId="2D27C9B9" w14:textId="669B248A" w:rsidR="00A77B3E" w:rsidRPr="00880FA7" w:rsidRDefault="00A92039" w:rsidP="00D33124">
      <w:pPr>
        <w:spacing w:line="360" w:lineRule="auto"/>
        <w:jc w:val="both"/>
        <w:rPr>
          <w:rFonts w:ascii="Book Antiqua" w:hAnsi="Book Antiqua"/>
          <w:lang w:eastAsia="zh-CN"/>
        </w:rPr>
      </w:pPr>
      <w:r w:rsidRPr="00880FA7">
        <w:rPr>
          <w:rFonts w:ascii="Book Antiqua" w:eastAsia="Book Antiqua" w:hAnsi="Book Antiqua" w:cs="Book Antiqua"/>
          <w:b/>
          <w:bCs/>
          <w:iCs/>
          <w:color w:val="000000"/>
        </w:rPr>
        <w:t xml:space="preserve">Nivolumab and </w:t>
      </w:r>
      <w:r w:rsidR="004A1612" w:rsidRPr="00880FA7">
        <w:rPr>
          <w:rFonts w:ascii="Book Antiqua" w:hAnsi="Book Antiqua" w:cs="Book Antiqua" w:hint="eastAsia"/>
          <w:b/>
          <w:bCs/>
          <w:iCs/>
          <w:color w:val="000000"/>
          <w:lang w:eastAsia="zh-CN"/>
        </w:rPr>
        <w:t>i</w:t>
      </w:r>
      <w:r w:rsidRPr="00880FA7">
        <w:rPr>
          <w:rFonts w:ascii="Book Antiqua" w:eastAsia="Book Antiqua" w:hAnsi="Book Antiqua" w:cs="Book Antiqua"/>
          <w:b/>
          <w:bCs/>
          <w:iCs/>
          <w:color w:val="000000"/>
        </w:rPr>
        <w:t>pilimumab</w:t>
      </w:r>
      <w:r w:rsidR="00686BC0" w:rsidRPr="00880FA7">
        <w:rPr>
          <w:rFonts w:ascii="Book Antiqua" w:hAnsi="Book Antiqua" w:cs="Book Antiqua" w:hint="eastAsia"/>
          <w:b/>
          <w:bCs/>
          <w:iCs/>
          <w:color w:val="000000"/>
          <w:lang w:eastAsia="zh-CN"/>
        </w:rPr>
        <w:t>:</w:t>
      </w:r>
      <w:r w:rsidR="00686BC0" w:rsidRPr="00880FA7">
        <w:rPr>
          <w:rFonts w:ascii="Book Antiqua" w:hAnsi="Book Antiqua" w:hint="eastAsia"/>
          <w:lang w:eastAsia="zh-CN"/>
        </w:rPr>
        <w:t xml:space="preserve"> </w:t>
      </w:r>
      <w:r w:rsidR="00C92D07" w:rsidRPr="00880FA7">
        <w:rPr>
          <w:rFonts w:ascii="Book Antiqua" w:eastAsia="Book Antiqua" w:hAnsi="Book Antiqua" w:cs="Book Antiqua"/>
          <w:color w:val="000000"/>
        </w:rPr>
        <w:t xml:space="preserve">The CTLA-4 molecule, a crucial signaling checkpoint required for T-cell activation, is the target of the </w:t>
      </w:r>
      <w:r w:rsidR="00231E1E" w:rsidRPr="00880FA7">
        <w:rPr>
          <w:rFonts w:ascii="Book Antiqua" w:eastAsia="Book Antiqua" w:hAnsi="Book Antiqua" w:cs="Book Antiqua"/>
          <w:color w:val="000000"/>
        </w:rPr>
        <w:t>immune check</w:t>
      </w:r>
      <w:r w:rsidR="00231E1E" w:rsidRPr="00880FA7">
        <w:rPr>
          <w:rFonts w:ascii="Book Antiqua" w:eastAsia="Book Antiqua" w:hAnsi="Book Antiqua" w:cs="Book Antiqua"/>
          <w:bCs/>
          <w:iCs/>
          <w:color w:val="000000"/>
        </w:rPr>
        <w:t>-</w:t>
      </w:r>
      <w:r w:rsidR="00231E1E" w:rsidRPr="00880FA7">
        <w:rPr>
          <w:rFonts w:ascii="Book Antiqua" w:hAnsi="Book Antiqua" w:cs="Book Antiqua" w:hint="eastAsia"/>
          <w:bCs/>
          <w:iCs/>
          <w:color w:val="000000"/>
          <w:lang w:eastAsia="zh-CN"/>
        </w:rPr>
        <w:t>point</w:t>
      </w:r>
      <w:r w:rsidR="00231E1E" w:rsidRPr="00880FA7">
        <w:rPr>
          <w:rFonts w:ascii="Book Antiqua" w:eastAsia="Book Antiqua" w:hAnsi="Book Antiqua" w:cs="Book Antiqua"/>
          <w:bCs/>
          <w:iCs/>
          <w:color w:val="000000"/>
        </w:rPr>
        <w:t xml:space="preserve"> </w:t>
      </w:r>
      <w:r w:rsidR="00231E1E" w:rsidRPr="00880FA7">
        <w:rPr>
          <w:rFonts w:ascii="Book Antiqua" w:eastAsia="Book Antiqua" w:hAnsi="Book Antiqua" w:cs="Book Antiqua"/>
          <w:color w:val="000000"/>
        </w:rPr>
        <w:t>inhibitor</w:t>
      </w:r>
      <w:r w:rsidR="00231E1E" w:rsidRPr="00880FA7">
        <w:rPr>
          <w:rFonts w:ascii="Book Antiqua" w:eastAsia="Book Antiqua" w:hAnsi="Book Antiqua" w:cs="Book Antiqua"/>
          <w:bCs/>
          <w:iCs/>
          <w:color w:val="000000"/>
        </w:rPr>
        <w:t xml:space="preserve"> (ICI)</w:t>
      </w:r>
      <w:r w:rsidR="00C92D07" w:rsidRPr="00880FA7">
        <w:rPr>
          <w:rFonts w:ascii="Book Antiqua" w:eastAsia="Book Antiqua" w:hAnsi="Book Antiqua" w:cs="Book Antiqua"/>
          <w:color w:val="000000"/>
        </w:rPr>
        <w:t xml:space="preserve"> ipilimumab. They successfully target two different immunological checkpoints when combined with nivolumab, inducing the </w:t>
      </w:r>
      <w:r w:rsidR="0007657F" w:rsidRPr="00880FA7">
        <w:rPr>
          <w:rFonts w:ascii="Book Antiqua" w:eastAsia="Book Antiqua" w:hAnsi="Book Antiqua" w:cs="Book Antiqua"/>
          <w:color w:val="000000"/>
        </w:rPr>
        <w:t>modify</w:t>
      </w:r>
      <w:r w:rsidR="00C92D07" w:rsidRPr="00880FA7">
        <w:rPr>
          <w:rFonts w:ascii="Book Antiqua" w:eastAsia="Book Antiqua" w:hAnsi="Book Antiqua" w:cs="Book Antiqua"/>
          <w:color w:val="000000"/>
        </w:rPr>
        <w:t xml:space="preserve"> immune response. </w:t>
      </w:r>
      <w:r w:rsidR="0007657F" w:rsidRPr="00880FA7">
        <w:rPr>
          <w:rFonts w:ascii="Book Antiqua" w:eastAsia="Book Antiqua" w:hAnsi="Book Antiqua" w:cs="Book Antiqua"/>
          <w:color w:val="000000"/>
        </w:rPr>
        <w:t>T</w:t>
      </w:r>
      <w:r w:rsidR="00C92D07" w:rsidRPr="00880FA7">
        <w:rPr>
          <w:rFonts w:ascii="Book Antiqua" w:eastAsia="Book Antiqua" w:hAnsi="Book Antiqua" w:cs="Book Antiqua"/>
          <w:color w:val="000000"/>
        </w:rPr>
        <w:t>he U</w:t>
      </w:r>
      <w:r w:rsidR="00686BC0" w:rsidRPr="00880FA7">
        <w:rPr>
          <w:rFonts w:ascii="Book Antiqua" w:hAnsi="Book Antiqua" w:cs="Book Antiqua" w:hint="eastAsia"/>
          <w:color w:val="000000"/>
          <w:lang w:eastAsia="zh-CN"/>
        </w:rPr>
        <w:t xml:space="preserve">nited </w:t>
      </w:r>
      <w:r w:rsidR="00C92D07" w:rsidRPr="00880FA7">
        <w:rPr>
          <w:rFonts w:ascii="Book Antiqua" w:eastAsia="Book Antiqua" w:hAnsi="Book Antiqua" w:cs="Book Antiqua"/>
          <w:color w:val="000000"/>
        </w:rPr>
        <w:t>S</w:t>
      </w:r>
      <w:r w:rsidR="00686BC0" w:rsidRPr="00880FA7">
        <w:rPr>
          <w:rFonts w:ascii="Book Antiqua" w:hAnsi="Book Antiqua" w:cs="Book Antiqua" w:hint="eastAsia"/>
          <w:color w:val="000000"/>
          <w:lang w:eastAsia="zh-CN"/>
        </w:rPr>
        <w:t>tates</w:t>
      </w:r>
      <w:r w:rsidR="00C92D07" w:rsidRPr="00880FA7">
        <w:rPr>
          <w:rFonts w:ascii="Book Antiqua" w:eastAsia="Book Antiqua" w:hAnsi="Book Antiqua" w:cs="Book Antiqua"/>
          <w:color w:val="000000"/>
        </w:rPr>
        <w:t xml:space="preserve"> FDA approved nivolumab with ipilimumab as a second-line therapy</w:t>
      </w:r>
      <w:r w:rsidR="0007657F" w:rsidRPr="00880FA7">
        <w:rPr>
          <w:rFonts w:ascii="Book Antiqua" w:eastAsia="Book Antiqua" w:hAnsi="Book Antiqua" w:cs="Book Antiqua"/>
          <w:color w:val="000000"/>
        </w:rPr>
        <w:t xml:space="preserve"> in March 2020</w:t>
      </w:r>
      <w:r w:rsidRPr="00880FA7">
        <w:rPr>
          <w:rFonts w:ascii="Book Antiqua" w:eastAsia="Book Antiqua" w:hAnsi="Book Antiqua" w:cs="Book Antiqua"/>
          <w:color w:val="000000"/>
        </w:rPr>
        <w:t>. The efficacy of combination treatment was proven in the phase 1/2</w:t>
      </w:r>
      <w:r w:rsidR="00C546C8"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CHECKMATE-040</w:t>
      </w:r>
      <w:r w:rsidR="00C546C8"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trial, which included 148 </w:t>
      </w:r>
      <w:r w:rsidR="00316576" w:rsidRPr="00880FA7">
        <w:rPr>
          <w:rFonts w:ascii="Book Antiqua" w:eastAsia="Book Antiqua" w:hAnsi="Book Antiqua" w:cs="Book Antiqua"/>
          <w:color w:val="000000"/>
        </w:rPr>
        <w:t xml:space="preserve">patients </w:t>
      </w:r>
      <w:r w:rsidR="009233BA" w:rsidRPr="00880FA7">
        <w:rPr>
          <w:rFonts w:ascii="Book Antiqua" w:eastAsia="Book Antiqua" w:hAnsi="Book Antiqua" w:cs="Book Antiqua"/>
          <w:color w:val="000000"/>
        </w:rPr>
        <w:t xml:space="preserve">who were treated with </w:t>
      </w:r>
      <w:r w:rsidRPr="00880FA7">
        <w:rPr>
          <w:rFonts w:ascii="Book Antiqua" w:eastAsia="Book Antiqua" w:hAnsi="Book Antiqua" w:cs="Book Antiqua"/>
          <w:color w:val="000000"/>
        </w:rPr>
        <w:t>sorafenib</w:t>
      </w:r>
      <w:r w:rsidR="009233BA" w:rsidRPr="00880FA7">
        <w:rPr>
          <w:rFonts w:ascii="Book Antiqua" w:eastAsia="Book Antiqua" w:hAnsi="Book Antiqua" w:cs="Book Antiqua"/>
          <w:color w:val="000000"/>
        </w:rPr>
        <w:t xml:space="preserve"> and clinical</w:t>
      </w:r>
      <w:r w:rsidR="00E373F2" w:rsidRPr="00880FA7">
        <w:rPr>
          <w:rFonts w:ascii="Book Antiqua" w:eastAsia="Book Antiqua" w:hAnsi="Book Antiqua" w:cs="Book Antiqua"/>
          <w:color w:val="000000"/>
        </w:rPr>
        <w:t>ly</w:t>
      </w:r>
      <w:r w:rsidR="009233BA" w:rsidRPr="00880FA7">
        <w:rPr>
          <w:rFonts w:ascii="Book Antiqua" w:eastAsia="Book Antiqua" w:hAnsi="Book Antiqua" w:cs="Book Antiqua"/>
          <w:color w:val="000000"/>
        </w:rPr>
        <w:t xml:space="preserve"> </w:t>
      </w:r>
      <w:r w:rsidRPr="00880FA7">
        <w:rPr>
          <w:rFonts w:ascii="Book Antiqua" w:eastAsia="Book Antiqua" w:hAnsi="Book Antiqua" w:cs="Book Antiqua"/>
          <w:color w:val="000000"/>
        </w:rPr>
        <w:t>w</w:t>
      </w:r>
      <w:r w:rsidR="009233BA" w:rsidRPr="00880FA7">
        <w:rPr>
          <w:rFonts w:ascii="Book Antiqua" w:eastAsia="Book Antiqua" w:hAnsi="Book Antiqua" w:cs="Book Antiqua"/>
          <w:color w:val="000000"/>
        </w:rPr>
        <w:t>ere better</w:t>
      </w:r>
      <w:r w:rsidRPr="00880FA7">
        <w:rPr>
          <w:rFonts w:ascii="Book Antiqua" w:eastAsia="Book Antiqua" w:hAnsi="Book Antiqua" w:cs="Book Antiqua"/>
          <w:color w:val="000000"/>
        </w:rPr>
        <w:t xml:space="preserve"> than Child-Pugh class A. </w:t>
      </w:r>
      <w:r w:rsidR="007C122F" w:rsidRPr="00880FA7">
        <w:rPr>
          <w:rFonts w:ascii="Book Antiqua" w:eastAsia="Book Antiqua" w:hAnsi="Book Antiqua" w:cs="Book Antiqua"/>
          <w:color w:val="000000"/>
        </w:rPr>
        <w:t xml:space="preserve">The </w:t>
      </w:r>
      <w:r w:rsidR="0007657F" w:rsidRPr="00880FA7">
        <w:rPr>
          <w:rFonts w:ascii="Book Antiqua" w:eastAsia="Book Antiqua" w:hAnsi="Book Antiqua" w:cs="Book Antiqua"/>
          <w:color w:val="000000"/>
        </w:rPr>
        <w:t>study</w:t>
      </w:r>
      <w:r w:rsidR="007C122F" w:rsidRPr="00880FA7">
        <w:rPr>
          <w:rFonts w:ascii="Book Antiqua" w:eastAsia="Book Antiqua" w:hAnsi="Book Antiqua" w:cs="Book Antiqua"/>
          <w:color w:val="000000"/>
        </w:rPr>
        <w:t xml:space="preserve"> evaluated </w:t>
      </w:r>
      <w:r w:rsidR="0007657F" w:rsidRPr="00880FA7">
        <w:rPr>
          <w:rFonts w:ascii="Book Antiqua" w:eastAsia="Book Antiqua" w:hAnsi="Book Antiqua" w:cs="Book Antiqua"/>
          <w:color w:val="000000"/>
        </w:rPr>
        <w:t>3</w:t>
      </w:r>
      <w:r w:rsidR="007C122F" w:rsidRPr="00880FA7">
        <w:rPr>
          <w:rFonts w:ascii="Book Antiqua" w:eastAsia="Book Antiqua" w:hAnsi="Book Antiqua" w:cs="Book Antiqua"/>
          <w:color w:val="000000"/>
        </w:rPr>
        <w:t xml:space="preserve"> different regimens: </w:t>
      </w:r>
      <w:r w:rsidR="0007657F" w:rsidRPr="00880FA7">
        <w:rPr>
          <w:rFonts w:ascii="Book Antiqua" w:eastAsia="Book Antiqua" w:hAnsi="Book Antiqua" w:cs="Book Antiqua"/>
          <w:color w:val="000000"/>
        </w:rPr>
        <w:t xml:space="preserve">Arm A: </w:t>
      </w:r>
      <w:r w:rsidR="008D2970" w:rsidRPr="00880FA7">
        <w:rPr>
          <w:rFonts w:ascii="Book Antiqua" w:hAnsi="Book Antiqua" w:cs="Book Antiqua" w:hint="eastAsia"/>
          <w:color w:val="000000"/>
          <w:lang w:eastAsia="zh-CN"/>
        </w:rPr>
        <w:t>N</w:t>
      </w:r>
      <w:r w:rsidR="007C122F" w:rsidRPr="00880FA7">
        <w:rPr>
          <w:rFonts w:ascii="Book Antiqua" w:eastAsia="Book Antiqua" w:hAnsi="Book Antiqua" w:cs="Book Antiqua"/>
          <w:color w:val="000000"/>
        </w:rPr>
        <w:t xml:space="preserve">ivolumab 1 mg/kg plus ipilimumab 3 mg/kg every </w:t>
      </w:r>
      <w:r w:rsidR="0007657F" w:rsidRPr="00880FA7">
        <w:rPr>
          <w:rFonts w:ascii="Book Antiqua" w:eastAsia="Book Antiqua" w:hAnsi="Book Antiqua" w:cs="Book Antiqua"/>
          <w:color w:val="000000"/>
        </w:rPr>
        <w:t>3</w:t>
      </w:r>
      <w:r w:rsidR="007C122F" w:rsidRPr="00880FA7">
        <w:rPr>
          <w:rFonts w:ascii="Book Antiqua" w:eastAsia="Book Antiqua" w:hAnsi="Book Antiqua" w:cs="Book Antiqua"/>
          <w:color w:val="000000"/>
        </w:rPr>
        <w:t xml:space="preserve"> wk for </w:t>
      </w:r>
      <w:r w:rsidR="0007657F" w:rsidRPr="00880FA7">
        <w:rPr>
          <w:rFonts w:ascii="Book Antiqua" w:eastAsia="Book Antiqua" w:hAnsi="Book Antiqua" w:cs="Book Antiqua"/>
          <w:color w:val="000000"/>
        </w:rPr>
        <w:t>4</w:t>
      </w:r>
      <w:r w:rsidR="007C122F" w:rsidRPr="00880FA7">
        <w:rPr>
          <w:rFonts w:ascii="Book Antiqua" w:eastAsia="Book Antiqua" w:hAnsi="Book Antiqua" w:cs="Book Antiqua"/>
          <w:color w:val="000000"/>
        </w:rPr>
        <w:t xml:space="preserve"> cycles, followed by biweekly nivolumab 240 mg; </w:t>
      </w:r>
      <w:r w:rsidR="0007657F" w:rsidRPr="00880FA7">
        <w:rPr>
          <w:rFonts w:ascii="Book Antiqua" w:eastAsia="Book Antiqua" w:hAnsi="Book Antiqua" w:cs="Book Antiqua"/>
          <w:color w:val="000000"/>
        </w:rPr>
        <w:t xml:space="preserve">Arm B: </w:t>
      </w:r>
      <w:r w:rsidR="008D2970" w:rsidRPr="00880FA7">
        <w:rPr>
          <w:rFonts w:ascii="Book Antiqua" w:hAnsi="Book Antiqua" w:cs="Book Antiqua" w:hint="eastAsia"/>
          <w:color w:val="000000"/>
          <w:lang w:eastAsia="zh-CN"/>
        </w:rPr>
        <w:t>N</w:t>
      </w:r>
      <w:r w:rsidR="007C122F" w:rsidRPr="00880FA7">
        <w:rPr>
          <w:rFonts w:ascii="Book Antiqua" w:eastAsia="Book Antiqua" w:hAnsi="Book Antiqua" w:cs="Book Antiqua"/>
          <w:color w:val="000000"/>
        </w:rPr>
        <w:t xml:space="preserve">ivolumab 3 mg/kg plus ipilimumab 1 mg/kg every </w:t>
      </w:r>
      <w:r w:rsidR="0007657F" w:rsidRPr="00880FA7">
        <w:rPr>
          <w:rFonts w:ascii="Book Antiqua" w:eastAsia="Book Antiqua" w:hAnsi="Book Antiqua" w:cs="Book Antiqua"/>
          <w:color w:val="000000"/>
        </w:rPr>
        <w:t>3</w:t>
      </w:r>
      <w:r w:rsidR="007C122F" w:rsidRPr="00880FA7">
        <w:rPr>
          <w:rFonts w:ascii="Book Antiqua" w:eastAsia="Book Antiqua" w:hAnsi="Book Antiqua" w:cs="Book Antiqua"/>
          <w:color w:val="000000"/>
        </w:rPr>
        <w:t xml:space="preserve"> wk for </w:t>
      </w:r>
      <w:r w:rsidR="0007657F" w:rsidRPr="00880FA7">
        <w:rPr>
          <w:rFonts w:ascii="Book Antiqua" w:eastAsia="Book Antiqua" w:hAnsi="Book Antiqua" w:cs="Book Antiqua"/>
          <w:color w:val="000000"/>
        </w:rPr>
        <w:t>4</w:t>
      </w:r>
      <w:r w:rsidR="007C122F" w:rsidRPr="00880FA7">
        <w:rPr>
          <w:rFonts w:ascii="Book Antiqua" w:eastAsia="Book Antiqua" w:hAnsi="Book Antiqua" w:cs="Book Antiqua"/>
          <w:color w:val="000000"/>
        </w:rPr>
        <w:t xml:space="preserve"> cycles, followed by biweekly nivolumab 240 mg;</w:t>
      </w:r>
      <w:r w:rsidR="008D2970" w:rsidRPr="00880FA7">
        <w:rPr>
          <w:rFonts w:ascii="Book Antiqua" w:hAnsi="Book Antiqua" w:cs="Book Antiqua" w:hint="eastAsia"/>
          <w:color w:val="000000"/>
          <w:lang w:eastAsia="zh-CN"/>
        </w:rPr>
        <w:t xml:space="preserve"> </w:t>
      </w:r>
      <w:r w:rsidR="0007657F" w:rsidRPr="00880FA7">
        <w:rPr>
          <w:rFonts w:ascii="Book Antiqua" w:eastAsia="Book Antiqua" w:hAnsi="Book Antiqua" w:cs="Book Antiqua"/>
          <w:color w:val="000000"/>
        </w:rPr>
        <w:t xml:space="preserve">Arm C: </w:t>
      </w:r>
      <w:r w:rsidR="008D2970" w:rsidRPr="00880FA7">
        <w:rPr>
          <w:rFonts w:ascii="Book Antiqua" w:hAnsi="Book Antiqua" w:cs="Book Antiqua" w:hint="eastAsia"/>
          <w:color w:val="000000"/>
          <w:lang w:eastAsia="zh-CN"/>
        </w:rPr>
        <w:t>N</w:t>
      </w:r>
      <w:r w:rsidR="007C122F" w:rsidRPr="00880FA7">
        <w:rPr>
          <w:rFonts w:ascii="Book Antiqua" w:eastAsia="Book Antiqua" w:hAnsi="Book Antiqua" w:cs="Book Antiqua"/>
          <w:color w:val="000000"/>
        </w:rPr>
        <w:t xml:space="preserve">ivolumab 3 mg/kg every </w:t>
      </w:r>
      <w:r w:rsidR="0007657F" w:rsidRPr="00880FA7">
        <w:rPr>
          <w:rFonts w:ascii="Book Antiqua" w:eastAsia="Book Antiqua" w:hAnsi="Book Antiqua" w:cs="Book Antiqua"/>
          <w:color w:val="000000"/>
        </w:rPr>
        <w:t>2</w:t>
      </w:r>
      <w:r w:rsidR="007C122F" w:rsidRPr="00880FA7">
        <w:rPr>
          <w:rFonts w:ascii="Book Antiqua" w:eastAsia="Book Antiqua" w:hAnsi="Book Antiqua" w:cs="Book Antiqua"/>
          <w:color w:val="000000"/>
        </w:rPr>
        <w:t xml:space="preserve"> w</w:t>
      </w:r>
      <w:r w:rsidR="0007657F" w:rsidRPr="00880FA7">
        <w:rPr>
          <w:rFonts w:ascii="Book Antiqua" w:eastAsia="Book Antiqua" w:hAnsi="Book Antiqua" w:cs="Book Antiqua"/>
          <w:color w:val="000000"/>
        </w:rPr>
        <w:t>k</w:t>
      </w:r>
      <w:r w:rsidR="007C122F" w:rsidRPr="00880FA7">
        <w:rPr>
          <w:rFonts w:ascii="Book Antiqua" w:eastAsia="Book Antiqua" w:hAnsi="Book Antiqua" w:cs="Book Antiqua"/>
          <w:color w:val="000000"/>
        </w:rPr>
        <w:t xml:space="preserve"> plus ipilimumab 1 mg/kg every </w:t>
      </w:r>
      <w:r w:rsidR="0007657F" w:rsidRPr="00880FA7">
        <w:rPr>
          <w:rFonts w:ascii="Book Antiqua" w:eastAsia="Book Antiqua" w:hAnsi="Book Antiqua" w:cs="Book Antiqua"/>
          <w:color w:val="000000"/>
        </w:rPr>
        <w:t>6</w:t>
      </w:r>
      <w:r w:rsidR="007C122F" w:rsidRPr="00880FA7">
        <w:rPr>
          <w:rFonts w:ascii="Book Antiqua" w:eastAsia="Book Antiqua" w:hAnsi="Book Antiqua" w:cs="Book Antiqua"/>
          <w:color w:val="000000"/>
        </w:rPr>
        <w:t xml:space="preserve"> wk. </w:t>
      </w:r>
      <w:r w:rsidR="00B97AEF" w:rsidRPr="00880FA7">
        <w:rPr>
          <w:rFonts w:ascii="Book Antiqua" w:eastAsia="Book Antiqua" w:hAnsi="Book Antiqua" w:cs="Book Antiqua"/>
          <w:color w:val="000000"/>
        </w:rPr>
        <w:t>The suggested regimen is Arm A</w:t>
      </w:r>
      <w:r w:rsidRPr="00880FA7">
        <w:rPr>
          <w:rFonts w:ascii="Book Antiqua" w:eastAsia="Book Antiqua" w:hAnsi="Book Antiqua" w:cs="Book Antiqua"/>
          <w:color w:val="000000"/>
        </w:rPr>
        <w:t xml:space="preserve">. According to the findings, the proposed regimen had the best ORR of 32%. CR was obtained by 8% of patients, and PR by 24%. The duration of response was 17 </w:t>
      </w:r>
      <w:r w:rsidR="00C665E6" w:rsidRPr="00880FA7">
        <w:rPr>
          <w:rFonts w:ascii="Book Antiqua" w:eastAsia="Book Antiqua" w:hAnsi="Book Antiqua" w:cs="Book Antiqua"/>
          <w:color w:val="000000"/>
        </w:rPr>
        <w:t>mo</w:t>
      </w:r>
      <w:r w:rsidRPr="00880FA7">
        <w:rPr>
          <w:rFonts w:ascii="Book Antiqua" w:eastAsia="Book Antiqua" w:hAnsi="Book Antiqua" w:cs="Book Antiqua"/>
          <w:color w:val="000000"/>
        </w:rPr>
        <w:t xml:space="preserve"> on average. The disease control rate was comparable among the three groups. However, larger sample size experiments are required to corroborate this conclusion</w:t>
      </w:r>
      <w:r w:rsidRPr="00880FA7">
        <w:rPr>
          <w:rFonts w:ascii="Book Antiqua" w:eastAsia="Book Antiqua" w:hAnsi="Book Antiqua" w:cs="Book Antiqua"/>
          <w:color w:val="000000"/>
          <w:vertAlign w:val="superscript"/>
        </w:rPr>
        <w:t>[73]</w:t>
      </w:r>
      <w:r w:rsidRPr="00880FA7">
        <w:rPr>
          <w:rFonts w:ascii="Book Antiqua" w:eastAsia="Book Antiqua" w:hAnsi="Book Antiqua" w:cs="Book Antiqua"/>
          <w:color w:val="000000"/>
        </w:rPr>
        <w:t xml:space="preserve">. </w:t>
      </w:r>
      <w:r w:rsidR="007E003D" w:rsidRPr="00880FA7">
        <w:rPr>
          <w:rFonts w:ascii="Book Antiqua" w:eastAsia="Book Antiqua" w:hAnsi="Book Antiqua" w:cs="Book Antiqua"/>
          <w:color w:val="000000"/>
        </w:rPr>
        <w:t xml:space="preserve">In this CHECKMATE-040 cohort, individuals with or without hepatitis B or C had similar patterns of </w:t>
      </w:r>
      <w:r w:rsidR="001F351B" w:rsidRPr="00880FA7">
        <w:rPr>
          <w:rFonts w:ascii="Book Antiqua" w:eastAsia="Book Antiqua" w:hAnsi="Book Antiqua" w:cs="Book Antiqua"/>
          <w:color w:val="000000"/>
        </w:rPr>
        <w:t>AEs</w:t>
      </w:r>
      <w:r w:rsidR="007E003D" w:rsidRPr="00880FA7">
        <w:rPr>
          <w:rFonts w:ascii="Book Antiqua" w:eastAsia="Book Antiqua" w:hAnsi="Book Antiqua" w:cs="Book Antiqua"/>
          <w:color w:val="000000"/>
        </w:rPr>
        <w:t>, however Arm A was associated with higher TRAEs. Due to TRAEs, treatment was stopped in 18% of Arm A</w:t>
      </w:r>
      <w:r w:rsidR="00F62F40" w:rsidRPr="00880FA7">
        <w:rPr>
          <w:rFonts w:ascii="Book Antiqua" w:eastAsia="Book Antiqua" w:hAnsi="Book Antiqua" w:cs="Book Antiqua"/>
          <w:color w:val="000000"/>
        </w:rPr>
        <w:t xml:space="preserve"> patients</w:t>
      </w:r>
      <w:r w:rsidR="007E003D" w:rsidRPr="00880FA7">
        <w:rPr>
          <w:rFonts w:ascii="Book Antiqua" w:eastAsia="Book Antiqua" w:hAnsi="Book Antiqua" w:cs="Book Antiqua"/>
          <w:color w:val="000000"/>
        </w:rPr>
        <w:t>, 6% of Arm B</w:t>
      </w:r>
      <w:r w:rsidR="00F22BD8" w:rsidRPr="00880FA7">
        <w:rPr>
          <w:rFonts w:ascii="Book Antiqua" w:eastAsia="Book Antiqua" w:hAnsi="Book Antiqua" w:cs="Book Antiqua"/>
          <w:color w:val="000000"/>
        </w:rPr>
        <w:t xml:space="preserve"> patients</w:t>
      </w:r>
      <w:r w:rsidR="007E003D" w:rsidRPr="00880FA7">
        <w:rPr>
          <w:rFonts w:ascii="Book Antiqua" w:eastAsia="Book Antiqua" w:hAnsi="Book Antiqua" w:cs="Book Antiqua"/>
          <w:color w:val="000000"/>
        </w:rPr>
        <w:t xml:space="preserve">, and 2% of </w:t>
      </w:r>
      <w:r w:rsidR="00F22BD8" w:rsidRPr="00880FA7">
        <w:rPr>
          <w:rFonts w:ascii="Book Antiqua" w:eastAsia="Book Antiqua" w:hAnsi="Book Antiqua" w:cs="Book Antiqua"/>
          <w:color w:val="000000"/>
        </w:rPr>
        <w:t xml:space="preserve">Arm C </w:t>
      </w:r>
      <w:r w:rsidR="007E003D" w:rsidRPr="00880FA7">
        <w:rPr>
          <w:rFonts w:ascii="Book Antiqua" w:eastAsia="Book Antiqua" w:hAnsi="Book Antiqua" w:cs="Book Antiqua"/>
          <w:color w:val="000000"/>
        </w:rPr>
        <w:t>patients</w:t>
      </w:r>
      <w:r w:rsidRPr="00880FA7">
        <w:rPr>
          <w:rFonts w:ascii="Book Antiqua" w:eastAsia="Book Antiqua" w:hAnsi="Book Antiqua" w:cs="Book Antiqua"/>
          <w:color w:val="000000"/>
        </w:rPr>
        <w:t xml:space="preserve">. </w:t>
      </w:r>
      <w:r w:rsidR="008372BA" w:rsidRPr="00880FA7">
        <w:rPr>
          <w:rFonts w:ascii="Book Antiqua" w:eastAsia="Book Antiqua" w:hAnsi="Book Antiqua" w:cs="Book Antiqua"/>
          <w:color w:val="000000"/>
        </w:rPr>
        <w:t>Rashes, adrenal insufficiency, hypothyroidism or thyroiditis, colitis, pneumonitis, and infusion-related complications were all observed in 35%, 18%, 22%, 10%, 10%, and 8% of patients, respectively</w:t>
      </w:r>
      <w:r w:rsidRPr="00880FA7">
        <w:rPr>
          <w:rFonts w:ascii="Book Antiqua" w:eastAsia="Book Antiqua" w:hAnsi="Book Antiqua" w:cs="Book Antiqua"/>
          <w:color w:val="000000"/>
        </w:rPr>
        <w:t>.</w:t>
      </w:r>
    </w:p>
    <w:p w14:paraId="6A729426" w14:textId="66A7E74C" w:rsidR="00A77B3E" w:rsidRPr="00880FA7" w:rsidRDefault="001E6866" w:rsidP="005111DF">
      <w:pPr>
        <w:spacing w:line="360" w:lineRule="auto"/>
        <w:ind w:firstLineChars="200" w:firstLine="480"/>
        <w:jc w:val="both"/>
        <w:rPr>
          <w:rFonts w:ascii="Book Antiqua" w:hAnsi="Book Antiqua" w:cs="Book Antiqua"/>
          <w:color w:val="000000"/>
          <w:lang w:eastAsia="zh-CN"/>
        </w:rPr>
      </w:pPr>
      <w:r w:rsidRPr="00880FA7">
        <w:rPr>
          <w:rFonts w:ascii="Book Antiqua" w:eastAsia="Book Antiqua" w:hAnsi="Book Antiqua" w:cs="Book Antiqua"/>
          <w:color w:val="000000"/>
        </w:rPr>
        <w:t xml:space="preserve">In conclusion, the appropriate second-line therapy regimen and sequencing are not well established and rely on the patient's </w:t>
      </w:r>
      <w:r w:rsidR="00FB18A6" w:rsidRPr="00880FA7">
        <w:rPr>
          <w:rFonts w:ascii="Book Antiqua" w:eastAsia="Book Antiqua" w:hAnsi="Book Antiqua" w:cs="Book Antiqua"/>
          <w:color w:val="000000"/>
        </w:rPr>
        <w:t>PS</w:t>
      </w:r>
      <w:r w:rsidRPr="00880FA7">
        <w:rPr>
          <w:rFonts w:ascii="Book Antiqua" w:eastAsia="Book Antiqua" w:hAnsi="Book Antiqua" w:cs="Book Antiqua"/>
          <w:color w:val="000000"/>
        </w:rPr>
        <w:t xml:space="preserve">, liver function, and choice of first-line </w:t>
      </w:r>
      <w:r w:rsidRPr="00880FA7">
        <w:rPr>
          <w:rFonts w:ascii="Book Antiqua" w:eastAsia="Book Antiqua" w:hAnsi="Book Antiqua" w:cs="Book Antiqua"/>
          <w:color w:val="000000"/>
        </w:rPr>
        <w:lastRenderedPageBreak/>
        <w:t>therapy</w:t>
      </w:r>
      <w:r w:rsidR="00A92039" w:rsidRPr="00880FA7">
        <w:rPr>
          <w:rFonts w:ascii="Book Antiqua" w:eastAsia="Book Antiqua" w:hAnsi="Book Antiqua" w:cs="Book Antiqua"/>
          <w:color w:val="000000"/>
        </w:rPr>
        <w:t xml:space="preserve">. </w:t>
      </w:r>
      <w:r w:rsidR="00765CFE" w:rsidRPr="00880FA7">
        <w:rPr>
          <w:rFonts w:ascii="Book Antiqua" w:eastAsia="Book Antiqua" w:hAnsi="Book Antiqua" w:cs="Book Antiqua"/>
          <w:color w:val="000000"/>
        </w:rPr>
        <w:t xml:space="preserve">TKIs like sorafenib, lenvatinib, or cabozantinib are suggested as second-line treatments for patients who have previously received atezolizumab plus bevacizumab or durvalumab plus tremelimumab. Given the possibility for a greater ORR than single medications, combination immunotherapy with nivolumab-ipilimumab is preferred for patients who have become worse on TKIs such sorafenib or </w:t>
      </w:r>
      <w:r w:rsidR="00EA30E6"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765CFE" w:rsidRPr="00880FA7">
        <w:rPr>
          <w:rFonts w:ascii="Book Antiqua" w:eastAsia="Book Antiqua" w:hAnsi="Book Antiqua" w:cs="Book Antiqua"/>
          <w:color w:val="000000"/>
        </w:rPr>
        <w:t>. Pembrolizumab is an alternative if the patients are unable to take double ICIs</w:t>
      </w:r>
      <w:r w:rsidR="00A92039" w:rsidRPr="00880FA7">
        <w:rPr>
          <w:rFonts w:ascii="Book Antiqua" w:eastAsia="Book Antiqua" w:hAnsi="Book Antiqua" w:cs="Book Antiqua"/>
          <w:color w:val="000000"/>
        </w:rPr>
        <w:t xml:space="preserve">. </w:t>
      </w:r>
      <w:r w:rsidR="00B51B4E" w:rsidRPr="00880FA7">
        <w:rPr>
          <w:rFonts w:ascii="Book Antiqua" w:eastAsia="Book Antiqua" w:hAnsi="Book Antiqua" w:cs="Book Antiqua"/>
          <w:color w:val="000000"/>
        </w:rPr>
        <w:t xml:space="preserve">Regorafenib or cabozantinib may be considered as second-line options if sorafenib or </w:t>
      </w:r>
      <w:r w:rsidR="00EA30E6"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B51B4E" w:rsidRPr="00880FA7">
        <w:rPr>
          <w:rFonts w:ascii="Book Antiqua" w:eastAsia="Book Antiqua" w:hAnsi="Book Antiqua" w:cs="Book Antiqua"/>
          <w:color w:val="000000"/>
        </w:rPr>
        <w:t xml:space="preserve"> have been chosen as the first-line therapy and the patients have a contraindication to ICIs</w:t>
      </w:r>
      <w:r w:rsidR="00A92039" w:rsidRPr="00880FA7">
        <w:rPr>
          <w:rFonts w:ascii="Book Antiqua" w:eastAsia="Book Antiqua" w:hAnsi="Book Antiqua" w:cs="Book Antiqua"/>
          <w:color w:val="000000"/>
        </w:rPr>
        <w:t>. Patients with an AFP level &gt;</w:t>
      </w:r>
      <w:r w:rsidR="00E449D0"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400 ng/mL are advised to use ramucirumab</w:t>
      </w:r>
      <w:r w:rsidR="00A92039" w:rsidRPr="00880FA7">
        <w:rPr>
          <w:rFonts w:ascii="Book Antiqua" w:eastAsia="Book Antiqua" w:hAnsi="Book Antiqua" w:cs="Book Antiqua"/>
          <w:color w:val="000000"/>
          <w:vertAlign w:val="superscript"/>
        </w:rPr>
        <w:t xml:space="preserve">[74] </w:t>
      </w:r>
      <w:r w:rsidR="00A92039" w:rsidRPr="00880FA7">
        <w:rPr>
          <w:rFonts w:ascii="Book Antiqua" w:eastAsia="Book Antiqua" w:hAnsi="Book Antiqua" w:cs="Book Antiqua"/>
          <w:color w:val="000000"/>
        </w:rPr>
        <w:t>(</w:t>
      </w:r>
      <w:r w:rsidR="00A92039" w:rsidRPr="00880FA7">
        <w:rPr>
          <w:rFonts w:ascii="Book Antiqua" w:eastAsia="Book Antiqua" w:hAnsi="Book Antiqua" w:cs="Book Antiqua"/>
          <w:bCs/>
          <w:color w:val="000000"/>
        </w:rPr>
        <w:t>Figure 2</w:t>
      </w:r>
      <w:r w:rsidR="00A92039" w:rsidRPr="00880FA7">
        <w:rPr>
          <w:rFonts w:ascii="Book Antiqua" w:eastAsia="Book Antiqua" w:hAnsi="Book Antiqua" w:cs="Book Antiqua"/>
          <w:color w:val="000000"/>
        </w:rPr>
        <w:t>).</w:t>
      </w:r>
    </w:p>
    <w:p w14:paraId="48AA5CC2" w14:textId="77777777" w:rsidR="004B1C23" w:rsidRPr="00880FA7" w:rsidRDefault="004B1C23" w:rsidP="004B1C23">
      <w:pPr>
        <w:spacing w:line="360" w:lineRule="auto"/>
        <w:jc w:val="both"/>
        <w:rPr>
          <w:rFonts w:ascii="Book Antiqua" w:hAnsi="Book Antiqua"/>
          <w:lang w:eastAsia="zh-CN"/>
        </w:rPr>
      </w:pPr>
    </w:p>
    <w:p w14:paraId="4AB547FB"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aps/>
          <w:color w:val="000000"/>
          <w:u w:val="single"/>
        </w:rPr>
        <w:t>FUTURE TRENDS IN SYSTEMIC COMBINATION THERAPY</w:t>
      </w:r>
    </w:p>
    <w:p w14:paraId="2797494B" w14:textId="73086FBF"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Since the rapid FDA approval of atezolizumab and bevacizumab, combining checkpoint inhibitors with multikinase inhibitors</w:t>
      </w:r>
      <w:r w:rsidR="00ED0F8E"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especially anti-angiogenesis therapy</w:t>
      </w:r>
      <w:r w:rsidR="00ED0F8E" w:rsidRPr="00880FA7">
        <w:rPr>
          <w:rFonts w:ascii="Book Antiqua" w:hAnsi="Book Antiqua" w:cs="Book Antiqua" w:hint="eastAsia"/>
          <w:color w:val="000000"/>
          <w:lang w:eastAsia="zh-CN"/>
        </w:rPr>
        <w:t>-</w:t>
      </w:r>
      <w:r w:rsidRPr="00880FA7">
        <w:rPr>
          <w:rFonts w:ascii="Book Antiqua" w:eastAsia="Book Antiqua" w:hAnsi="Book Antiqua" w:cs="Book Antiqua"/>
          <w:color w:val="000000"/>
        </w:rPr>
        <w:t>has gained widespread acceptance. Numerous studies have shown that the synergistic interaction of ICIs and TKIs promotes vascular remodeling and tumor immune activation</w:t>
      </w:r>
      <w:r w:rsidRPr="00880FA7">
        <w:rPr>
          <w:rFonts w:ascii="Book Antiqua" w:eastAsia="Book Antiqua" w:hAnsi="Book Antiqua" w:cs="Book Antiqua"/>
          <w:color w:val="000000"/>
          <w:vertAlign w:val="superscript"/>
        </w:rPr>
        <w:t>[75-77]</w:t>
      </w:r>
      <w:r w:rsidRPr="00880FA7">
        <w:rPr>
          <w:rFonts w:ascii="Book Antiqua" w:eastAsia="Book Antiqua" w:hAnsi="Book Antiqua" w:cs="Book Antiqua"/>
          <w:color w:val="000000"/>
        </w:rPr>
        <w:t xml:space="preserve">. In a phase Ib study,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Pr="00880FA7">
        <w:rPr>
          <w:rFonts w:ascii="Book Antiqua" w:eastAsia="Book Antiqua" w:hAnsi="Book Antiqua" w:cs="Book Antiqua"/>
          <w:color w:val="000000"/>
        </w:rPr>
        <w:t xml:space="preserve"> and pembrolizumab were investigated. The median PFS, OS, and ORR for this combination were 9.7</w:t>
      </w:r>
      <w:r w:rsidR="002372D8" w:rsidRPr="00880FA7">
        <w:rPr>
          <w:rFonts w:ascii="Book Antiqua" w:eastAsia="Book Antiqua" w:hAnsi="Book Antiqua" w:cs="Book Antiqua"/>
          <w:color w:val="000000"/>
        </w:rPr>
        <w:t xml:space="preserve"> mo</w:t>
      </w:r>
      <w:r w:rsidRPr="00880FA7">
        <w:rPr>
          <w:rFonts w:ascii="Book Antiqua" w:eastAsia="Book Antiqua" w:hAnsi="Book Antiqua" w:cs="Book Antiqua"/>
          <w:color w:val="000000"/>
        </w:rPr>
        <w:t>, 20.4 mo, and 46%, respectively, showing substantial anti-tumor effectiveness. Most of the AEs might be controlled by changing the dosage</w:t>
      </w:r>
      <w:r w:rsidRPr="00880FA7">
        <w:rPr>
          <w:rFonts w:ascii="Book Antiqua" w:eastAsia="Book Antiqua" w:hAnsi="Book Antiqua" w:cs="Book Antiqua"/>
          <w:color w:val="000000"/>
          <w:vertAlign w:val="superscript"/>
        </w:rPr>
        <w:t>[78]</w:t>
      </w:r>
      <w:r w:rsidRPr="00880FA7">
        <w:rPr>
          <w:rFonts w:ascii="Book Antiqua" w:eastAsia="Book Antiqua" w:hAnsi="Book Antiqua" w:cs="Book Antiqua"/>
          <w:color w:val="000000"/>
        </w:rPr>
        <w:t xml:space="preserve">. </w:t>
      </w:r>
      <w:r w:rsidR="00293BB1" w:rsidRPr="00880FA7">
        <w:rPr>
          <w:rFonts w:ascii="Book Antiqua" w:eastAsia="Book Antiqua" w:hAnsi="Book Antiqua" w:cs="Book Antiqua"/>
          <w:color w:val="000000"/>
        </w:rPr>
        <w:t>The combination of camrelizumab, an anti-PD-1 antibody, and apatinib, an orally active VEGFR-2 inhibitor, was also investigated in a dose-expansion and escalation phase I research</w:t>
      </w:r>
      <w:r w:rsidRPr="00880FA7">
        <w:rPr>
          <w:rFonts w:ascii="Book Antiqua" w:eastAsia="Book Antiqua" w:hAnsi="Book Antiqua" w:cs="Book Antiqua"/>
          <w:color w:val="000000"/>
        </w:rPr>
        <w:t xml:space="preserve">. The suggested dosage of camrelizumab 200 mg every </w:t>
      </w:r>
      <w:r w:rsidR="00E0308E" w:rsidRPr="00880FA7">
        <w:rPr>
          <w:rFonts w:ascii="Book Antiqua" w:eastAsia="Book Antiqua" w:hAnsi="Book Antiqua" w:cs="Book Antiqua"/>
          <w:color w:val="000000"/>
        </w:rPr>
        <w:t>2 wk</w:t>
      </w:r>
      <w:r w:rsidRPr="00880FA7">
        <w:rPr>
          <w:rFonts w:ascii="Book Antiqua" w:eastAsia="Book Antiqua" w:hAnsi="Book Antiqua" w:cs="Book Antiqua"/>
          <w:color w:val="000000"/>
        </w:rPr>
        <w:t xml:space="preserve"> with apatinib 250 mg daily showed therapeutic advantages with a 50% ORR. This regimen was thus investigated in the phase 2</w:t>
      </w:r>
      <w:r w:rsidR="00EE1FEF"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RESCUE study. </w:t>
      </w:r>
      <w:r w:rsidR="00AC3643" w:rsidRPr="00880FA7">
        <w:rPr>
          <w:rFonts w:ascii="Book Antiqua" w:eastAsia="Book Antiqua" w:hAnsi="Book Antiqua" w:cs="Book Antiqua"/>
          <w:color w:val="000000"/>
        </w:rPr>
        <w:t xml:space="preserve">For the treatment of naïve uHCC patients or those who had previously failed or were intolerant to TKIs, apatinib 250 mg was administered orally every day combined with camrelizumab 200 mg </w:t>
      </w:r>
      <w:r w:rsidR="001E22B2" w:rsidRPr="00880FA7">
        <w:rPr>
          <w:rFonts w:ascii="Book Antiqua" w:hAnsi="Book Antiqua" w:cs="Book Antiqua" w:hint="eastAsia"/>
          <w:color w:val="000000"/>
          <w:lang w:eastAsia="zh-CN"/>
        </w:rPr>
        <w:t>IV</w:t>
      </w:r>
      <w:r w:rsidR="004E00B1" w:rsidRPr="00880FA7">
        <w:rPr>
          <w:rFonts w:ascii="Book Antiqua" w:eastAsia="Book Antiqua" w:hAnsi="Book Antiqua" w:cs="Book Antiqua"/>
          <w:color w:val="000000"/>
        </w:rPr>
        <w:t xml:space="preserve"> </w:t>
      </w:r>
      <w:r w:rsidR="00AC3643" w:rsidRPr="00880FA7">
        <w:rPr>
          <w:rFonts w:ascii="Book Antiqua" w:eastAsia="Book Antiqua" w:hAnsi="Book Antiqua" w:cs="Book Antiqua"/>
          <w:color w:val="000000"/>
        </w:rPr>
        <w:t>(body weight &gt;</w:t>
      </w:r>
      <w:r w:rsidR="00EE1FEF" w:rsidRPr="00880FA7">
        <w:rPr>
          <w:rFonts w:ascii="Book Antiqua" w:hAnsi="Book Antiqua" w:cs="Book Antiqua" w:hint="eastAsia"/>
          <w:color w:val="000000"/>
          <w:lang w:eastAsia="zh-CN"/>
        </w:rPr>
        <w:t xml:space="preserve"> </w:t>
      </w:r>
      <w:r w:rsidR="00AC3643" w:rsidRPr="00880FA7">
        <w:rPr>
          <w:rFonts w:ascii="Book Antiqua" w:eastAsia="Book Antiqua" w:hAnsi="Book Antiqua" w:cs="Book Antiqua"/>
          <w:color w:val="000000"/>
        </w:rPr>
        <w:t xml:space="preserve">50 kg) or 3 mg/kg (body weight 50 kg) every </w:t>
      </w:r>
      <w:r w:rsidR="004E00B1" w:rsidRPr="00880FA7">
        <w:rPr>
          <w:rFonts w:ascii="Book Antiqua" w:eastAsia="Book Antiqua" w:hAnsi="Book Antiqua" w:cs="Book Antiqua"/>
          <w:color w:val="000000"/>
        </w:rPr>
        <w:t>2</w:t>
      </w:r>
      <w:r w:rsidR="00AC3643" w:rsidRPr="00880FA7">
        <w:rPr>
          <w:rFonts w:ascii="Book Antiqua" w:eastAsia="Book Antiqua" w:hAnsi="Book Antiqua" w:cs="Book Antiqua"/>
          <w:color w:val="000000"/>
        </w:rPr>
        <w:t xml:space="preserve"> w</w:t>
      </w:r>
      <w:r w:rsidR="004E00B1" w:rsidRPr="00880FA7">
        <w:rPr>
          <w:rFonts w:ascii="Book Antiqua" w:eastAsia="Book Antiqua" w:hAnsi="Book Antiqua" w:cs="Book Antiqua"/>
          <w:color w:val="000000"/>
        </w:rPr>
        <w:t>k</w:t>
      </w:r>
      <w:r w:rsidRPr="00880FA7">
        <w:rPr>
          <w:rFonts w:ascii="Book Antiqua" w:eastAsia="Book Antiqua" w:hAnsi="Book Antiqua" w:cs="Book Antiqua"/>
          <w:color w:val="000000"/>
        </w:rPr>
        <w:t xml:space="preserve">. </w:t>
      </w:r>
      <w:r w:rsidR="00AC3643" w:rsidRPr="00880FA7">
        <w:rPr>
          <w:rFonts w:ascii="Book Antiqua" w:eastAsia="Book Antiqua" w:hAnsi="Book Antiqua" w:cs="Book Antiqua"/>
          <w:color w:val="000000"/>
        </w:rPr>
        <w:t xml:space="preserve">A total of 70 patients and 120 patients, who were mainly HBV-infected (88.3%) in the first-line and second-line settings, respectively, were included. The median time since the cutoff for the data was 29.1 </w:t>
      </w:r>
      <w:r w:rsidR="00EE1FEF" w:rsidRPr="00880FA7">
        <w:rPr>
          <w:rFonts w:ascii="Book Antiqua" w:hAnsi="Book Antiqua" w:cs="Book Antiqua" w:hint="eastAsia"/>
          <w:color w:val="000000"/>
          <w:lang w:eastAsia="zh-CN"/>
        </w:rPr>
        <w:t>mo</w:t>
      </w:r>
      <w:r w:rsidR="00AC3643" w:rsidRPr="00880FA7">
        <w:rPr>
          <w:rFonts w:ascii="Book Antiqua" w:eastAsia="Book Antiqua" w:hAnsi="Book Antiqua" w:cs="Book Antiqua"/>
          <w:color w:val="000000"/>
        </w:rPr>
        <w:t xml:space="preserve">. </w:t>
      </w:r>
      <w:r w:rsidR="004E00B1" w:rsidRPr="00880FA7">
        <w:rPr>
          <w:rFonts w:ascii="Book Antiqua" w:eastAsia="Book Antiqua" w:hAnsi="Book Antiqua" w:cs="Book Antiqua"/>
          <w:color w:val="000000"/>
        </w:rPr>
        <w:t xml:space="preserve">The 2-year OS was 43.3% and the median OS was 20.1 </w:t>
      </w:r>
      <w:r w:rsidR="00EE1FEF" w:rsidRPr="00880FA7">
        <w:rPr>
          <w:rFonts w:ascii="Book Antiqua" w:hAnsi="Book Antiqua" w:cs="Book Antiqua" w:hint="eastAsia"/>
          <w:color w:val="000000"/>
          <w:lang w:eastAsia="zh-CN"/>
        </w:rPr>
        <w:t xml:space="preserve">mo </w:t>
      </w:r>
      <w:r w:rsidR="004E00B1" w:rsidRPr="00880FA7">
        <w:rPr>
          <w:rFonts w:ascii="Book Antiqua" w:eastAsia="Book Antiqua" w:hAnsi="Book Antiqua" w:cs="Book Antiqua"/>
          <w:color w:val="000000"/>
        </w:rPr>
        <w:t xml:space="preserve">in the first-line setting. </w:t>
      </w:r>
      <w:r w:rsidR="004E00B1" w:rsidRPr="00880FA7">
        <w:rPr>
          <w:rFonts w:ascii="Book Antiqua" w:eastAsia="Book Antiqua" w:hAnsi="Book Antiqua" w:cs="Book Antiqua"/>
          <w:color w:val="000000"/>
        </w:rPr>
        <w:lastRenderedPageBreak/>
        <w:t xml:space="preserve">The median OS in the second-line condition was 21.8 </w:t>
      </w:r>
      <w:r w:rsidR="00EE1FEF" w:rsidRPr="00880FA7">
        <w:rPr>
          <w:rFonts w:ascii="Book Antiqua" w:hAnsi="Book Antiqua" w:cs="Book Antiqua" w:hint="eastAsia"/>
          <w:color w:val="000000"/>
          <w:lang w:eastAsia="zh-CN"/>
        </w:rPr>
        <w:t>mo</w:t>
      </w:r>
      <w:r w:rsidR="004E00B1" w:rsidRPr="00880FA7">
        <w:rPr>
          <w:rFonts w:ascii="Book Antiqua" w:eastAsia="Book Antiqua" w:hAnsi="Book Antiqua" w:cs="Book Antiqua"/>
          <w:color w:val="000000"/>
        </w:rPr>
        <w:t>, with a 2-year OS of 44.6%</w:t>
      </w:r>
      <w:r w:rsidRPr="00880FA7">
        <w:rPr>
          <w:rFonts w:ascii="Book Antiqua" w:eastAsia="Book Antiqua" w:hAnsi="Book Antiqua" w:cs="Book Antiqua"/>
          <w:color w:val="000000"/>
        </w:rPr>
        <w:t>. A phase 3</w:t>
      </w:r>
      <w:r w:rsidR="00EE1FEF"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study</w:t>
      </w:r>
      <w:r w:rsidR="00EE1FEF"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is underway to evaluate its effectiveness in the first-line situation compared to that of sorafenib</w:t>
      </w:r>
      <w:r w:rsidRPr="00880FA7">
        <w:rPr>
          <w:rFonts w:ascii="Book Antiqua" w:eastAsia="Book Antiqua" w:hAnsi="Book Antiqua" w:cs="Book Antiqua"/>
          <w:color w:val="000000"/>
          <w:vertAlign w:val="superscript"/>
        </w:rPr>
        <w:t>[79]</w:t>
      </w:r>
      <w:r w:rsidRPr="00880FA7">
        <w:rPr>
          <w:rFonts w:ascii="Book Antiqua" w:eastAsia="Book Antiqua" w:hAnsi="Book Antiqua" w:cs="Book Antiqua"/>
          <w:color w:val="000000"/>
        </w:rPr>
        <w:t>.</w:t>
      </w:r>
    </w:p>
    <w:p w14:paraId="71E3854E" w14:textId="4294D44C" w:rsidR="00A77B3E" w:rsidRPr="00880FA7" w:rsidRDefault="0072740A" w:rsidP="00EE1FEF">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To assess the effectiveness and tolerability of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Pr="00880FA7">
        <w:rPr>
          <w:rFonts w:ascii="Book Antiqua" w:eastAsia="Book Antiqua" w:hAnsi="Book Antiqua" w:cs="Book Antiqua"/>
          <w:color w:val="000000"/>
        </w:rPr>
        <w:t xml:space="preserve"> plus camrelizumab </w:t>
      </w:r>
      <w:r w:rsidRPr="00880FA7">
        <w:rPr>
          <w:rFonts w:ascii="Book Antiqua" w:eastAsia="Book Antiqua" w:hAnsi="Book Antiqua" w:cs="Book Antiqua"/>
          <w:i/>
          <w:iCs/>
          <w:color w:val="000000"/>
        </w:rPr>
        <w:t>vs</w:t>
      </w:r>
      <w:r w:rsidR="00EE1FEF" w:rsidRPr="00880FA7">
        <w:rPr>
          <w:rFonts w:ascii="Book Antiqua" w:hAnsi="Book Antiqua" w:cs="Book Antiqua" w:hint="eastAsia"/>
          <w:color w:val="000000"/>
          <w:lang w:eastAsia="zh-CN"/>
        </w:rPr>
        <w:t xml:space="preserve">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Pr="00880FA7">
        <w:rPr>
          <w:rFonts w:ascii="Book Antiqua" w:eastAsia="Book Antiqua" w:hAnsi="Book Antiqua" w:cs="Book Antiqua"/>
          <w:color w:val="000000"/>
        </w:rPr>
        <w:t xml:space="preserve"> monotherapy as first-line therapy, Li </w:t>
      </w:r>
      <w:r w:rsidRPr="00880FA7">
        <w:rPr>
          <w:rFonts w:ascii="Book Antiqua" w:eastAsia="Book Antiqua" w:hAnsi="Book Antiqua" w:cs="Book Antiqua"/>
          <w:i/>
          <w:iCs/>
          <w:color w:val="000000"/>
        </w:rPr>
        <w:t>et al</w:t>
      </w:r>
      <w:r w:rsidRPr="00880FA7">
        <w:rPr>
          <w:rFonts w:ascii="Book Antiqua" w:eastAsia="Book Antiqua" w:hAnsi="Book Antiqua" w:cs="Book Antiqua"/>
          <w:color w:val="000000"/>
          <w:vertAlign w:val="superscript"/>
        </w:rPr>
        <w:t>[80]</w:t>
      </w:r>
      <w:r w:rsidRPr="00880FA7">
        <w:rPr>
          <w:rFonts w:ascii="Book Antiqua" w:eastAsia="Book Antiqua" w:hAnsi="Book Antiqua" w:cs="Book Antiqua"/>
          <w:color w:val="000000"/>
        </w:rPr>
        <w:t xml:space="preserve"> performed a multicenter, retrospective cohort investigation of 92 uHCC patients</w:t>
      </w:r>
      <w:r w:rsidR="00A92039" w:rsidRPr="00880FA7">
        <w:rPr>
          <w:rFonts w:ascii="Book Antiqua" w:eastAsia="Book Antiqua" w:hAnsi="Book Antiqua" w:cs="Book Antiqua"/>
          <w:color w:val="000000"/>
        </w:rPr>
        <w:t xml:space="preserve">. </w:t>
      </w:r>
      <w:r w:rsidR="001F3F17" w:rsidRPr="00880FA7">
        <w:rPr>
          <w:rFonts w:ascii="Book Antiqua" w:eastAsia="Book Antiqua" w:hAnsi="Book Antiqua" w:cs="Book Antiqua"/>
          <w:color w:val="000000"/>
        </w:rPr>
        <w:t xml:space="preserve">In contrast, 44 patients received oral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1F3F17" w:rsidRPr="00880FA7">
        <w:rPr>
          <w:rFonts w:ascii="Book Antiqua" w:eastAsia="Book Antiqua" w:hAnsi="Book Antiqua" w:cs="Book Antiqua"/>
          <w:color w:val="000000"/>
        </w:rPr>
        <w:t xml:space="preserve"> 12 mg or 8 mg daily and 48 patients received intravenous camrelizumab 200 mg every </w:t>
      </w:r>
      <w:r w:rsidR="00E0308E" w:rsidRPr="00880FA7">
        <w:rPr>
          <w:rFonts w:ascii="Book Antiqua" w:eastAsia="Book Antiqua" w:hAnsi="Book Antiqua" w:cs="Book Antiqua"/>
          <w:color w:val="000000"/>
        </w:rPr>
        <w:t>3 wk</w:t>
      </w:r>
      <w:r w:rsidR="00A92039" w:rsidRPr="00880FA7">
        <w:rPr>
          <w:rFonts w:ascii="Book Antiqua" w:eastAsia="Book Antiqua" w:hAnsi="Book Antiqua" w:cs="Book Antiqua"/>
          <w:color w:val="000000"/>
        </w:rPr>
        <w:t xml:space="preserve">. </w:t>
      </w:r>
      <w:r w:rsidR="00A93E83" w:rsidRPr="00880FA7">
        <w:rPr>
          <w:rFonts w:ascii="Book Antiqua" w:eastAsia="Book Antiqua" w:hAnsi="Book Antiqua" w:cs="Book Antiqua"/>
          <w:color w:val="000000"/>
        </w:rPr>
        <w:t xml:space="preserve">The ORR in the combination group was shown to be significantly higher than in the monotherapy group (RECIST 1.1: 37.5% </w:t>
      </w:r>
      <w:r w:rsidR="00A93E83" w:rsidRPr="00880FA7">
        <w:rPr>
          <w:rFonts w:ascii="Book Antiqua" w:eastAsia="Book Antiqua" w:hAnsi="Book Antiqua" w:cs="Book Antiqua"/>
          <w:i/>
          <w:color w:val="000000"/>
        </w:rPr>
        <w:t>vs</w:t>
      </w:r>
      <w:r w:rsidR="00A93E83" w:rsidRPr="00880FA7">
        <w:rPr>
          <w:rFonts w:ascii="Book Antiqua" w:eastAsia="Book Antiqua" w:hAnsi="Book Antiqua" w:cs="Book Antiqua"/>
          <w:color w:val="000000"/>
        </w:rPr>
        <w:t xml:space="preserve"> 13.6%, </w:t>
      </w:r>
      <w:r w:rsidR="00A93E83" w:rsidRPr="00880FA7">
        <w:rPr>
          <w:rFonts w:ascii="Book Antiqua" w:eastAsia="Book Antiqua" w:hAnsi="Book Antiqua" w:cs="Book Antiqua"/>
          <w:i/>
          <w:iCs/>
          <w:color w:val="000000"/>
        </w:rPr>
        <w:t>P</w:t>
      </w:r>
      <w:r w:rsidR="00A93E83" w:rsidRPr="00880FA7">
        <w:rPr>
          <w:rFonts w:ascii="Book Antiqua" w:eastAsia="Book Antiqua" w:hAnsi="Book Antiqua" w:cs="Book Antiqua"/>
          <w:color w:val="000000"/>
        </w:rPr>
        <w:t xml:space="preserve"> = 0.009)</w:t>
      </w:r>
      <w:r w:rsidR="00A92039" w:rsidRPr="00880FA7">
        <w:rPr>
          <w:rFonts w:ascii="Book Antiqua" w:eastAsia="Book Antiqua" w:hAnsi="Book Antiqua" w:cs="Book Antiqua"/>
          <w:color w:val="000000"/>
        </w:rPr>
        <w:t>. The median OS in the monotherapy group was 13.9 mo (95%CI 13.3-18.3), but not in the combination</w:t>
      </w:r>
      <w:r w:rsidR="00EE1FEF"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group (</w:t>
      </w:r>
      <w:r w:rsidR="00A92039" w:rsidRPr="00880FA7">
        <w:rPr>
          <w:rFonts w:ascii="Book Antiqua" w:eastAsia="Book Antiqua" w:hAnsi="Book Antiqua" w:cs="Book Antiqua"/>
          <w:i/>
          <w:iCs/>
          <w:color w:val="000000"/>
        </w:rPr>
        <w:t>P</w:t>
      </w:r>
      <w:r w:rsidR="00A92039" w:rsidRPr="00880FA7">
        <w:rPr>
          <w:rFonts w:ascii="Book Antiqua" w:eastAsia="Book Antiqua" w:hAnsi="Book Antiqua" w:cs="Book Antiqua"/>
          <w:color w:val="000000"/>
        </w:rPr>
        <w:t xml:space="preserve"> = 0.015). </w:t>
      </w:r>
      <w:r w:rsidR="00795C2F" w:rsidRPr="00880FA7">
        <w:rPr>
          <w:rFonts w:ascii="Book Antiqua" w:eastAsia="Book Antiqua" w:hAnsi="Book Antiqua" w:cs="Book Antiqua"/>
          <w:color w:val="000000"/>
        </w:rPr>
        <w:t xml:space="preserve">Lenvatinib with camrelizumab had a 1-year survival rate of 79.2%, compared to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795C2F" w:rsidRPr="00880FA7">
        <w:rPr>
          <w:rFonts w:ascii="Book Antiqua" w:eastAsia="Book Antiqua" w:hAnsi="Book Antiqua" w:cs="Book Antiqua"/>
          <w:color w:val="000000"/>
        </w:rPr>
        <w:t xml:space="preserve"> monotherapy's 56.8%. Lenvatinib with camrelizumab had a significantly longer median PFS than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795C2F" w:rsidRPr="00880FA7">
        <w:rPr>
          <w:rFonts w:ascii="Book Antiqua" w:eastAsia="Book Antiqua" w:hAnsi="Book Antiqua" w:cs="Book Antiqua"/>
          <w:color w:val="000000"/>
        </w:rPr>
        <w:t xml:space="preserve"> monotherapy (10.3 </w:t>
      </w:r>
      <w:r w:rsidR="00854422" w:rsidRPr="00880FA7">
        <w:rPr>
          <w:rFonts w:ascii="Book Antiqua" w:eastAsia="Book Antiqua" w:hAnsi="Book Antiqua" w:cs="Book Antiqua"/>
          <w:color w:val="000000"/>
        </w:rPr>
        <w:t xml:space="preserve">mo </w:t>
      </w:r>
      <w:r w:rsidR="00795C2F" w:rsidRPr="00880FA7">
        <w:rPr>
          <w:rFonts w:ascii="Book Antiqua" w:eastAsia="Book Antiqua" w:hAnsi="Book Antiqua" w:cs="Book Antiqua"/>
          <w:i/>
          <w:color w:val="000000"/>
        </w:rPr>
        <w:t>vs</w:t>
      </w:r>
      <w:r w:rsidR="00795C2F" w:rsidRPr="00880FA7">
        <w:rPr>
          <w:rFonts w:ascii="Book Antiqua" w:eastAsia="Book Antiqua" w:hAnsi="Book Antiqua" w:cs="Book Antiqua"/>
          <w:color w:val="000000"/>
        </w:rPr>
        <w:t xml:space="preserve"> 7.5 mo, </w:t>
      </w:r>
      <w:r w:rsidR="00795C2F" w:rsidRPr="00880FA7">
        <w:rPr>
          <w:rFonts w:ascii="Book Antiqua" w:eastAsia="Book Antiqua" w:hAnsi="Book Antiqua" w:cs="Book Antiqua"/>
          <w:i/>
          <w:iCs/>
          <w:color w:val="000000"/>
        </w:rPr>
        <w:t>P</w:t>
      </w:r>
      <w:r w:rsidR="00795C2F" w:rsidRPr="00880FA7">
        <w:rPr>
          <w:rFonts w:ascii="Book Antiqua" w:eastAsia="Book Antiqua" w:hAnsi="Book Antiqua" w:cs="Book Antiqua"/>
          <w:color w:val="000000"/>
        </w:rPr>
        <w:t xml:space="preserve"> = 0.009)</w:t>
      </w:r>
      <w:r w:rsidR="00A92039" w:rsidRPr="00880FA7">
        <w:rPr>
          <w:rFonts w:ascii="Book Antiqua" w:eastAsia="Book Antiqua" w:hAnsi="Book Antiqua" w:cs="Book Antiqua"/>
          <w:color w:val="000000"/>
        </w:rPr>
        <w:t>. Subgroup analysis revealed that combination therapy was associated with a longer OS in males, patients with a Child-Pugh score &lt;</w:t>
      </w:r>
      <w:r w:rsidR="00EE1FEF" w:rsidRPr="00880FA7">
        <w:rPr>
          <w:rFonts w:ascii="Book Antiqua" w:hAnsi="Book Antiqua" w:cs="Book Antiqua" w:hint="eastAsia"/>
          <w:color w:val="000000"/>
          <w:lang w:eastAsia="zh-CN"/>
        </w:rPr>
        <w:t xml:space="preserve"> </w:t>
      </w:r>
      <w:r w:rsidR="00A92039" w:rsidRPr="00880FA7">
        <w:rPr>
          <w:rFonts w:ascii="Book Antiqua" w:eastAsia="Book Antiqua" w:hAnsi="Book Antiqua" w:cs="Book Antiqua"/>
          <w:color w:val="000000"/>
        </w:rPr>
        <w:t xml:space="preserve">7, patients with three or more tumors, patients with AFP levels greater than 200 ng/mL, HBV-positive patients, patients with vascular invasion, and patients without hypertension. </w:t>
      </w:r>
      <w:r w:rsidR="006D6A6E" w:rsidRPr="00880FA7">
        <w:rPr>
          <w:rFonts w:ascii="Book Antiqua" w:eastAsia="Book Antiqua" w:hAnsi="Book Antiqua" w:cs="Book Antiqua"/>
          <w:color w:val="000000"/>
        </w:rPr>
        <w:t xml:space="preserve">In the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6D6A6E" w:rsidRPr="00880FA7">
        <w:rPr>
          <w:rFonts w:ascii="Book Antiqua" w:eastAsia="Book Antiqua" w:hAnsi="Book Antiqua" w:cs="Book Antiqua"/>
          <w:color w:val="000000"/>
        </w:rPr>
        <w:t xml:space="preserve"> plus camrelizumab and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6D6A6E" w:rsidRPr="00880FA7">
        <w:rPr>
          <w:rFonts w:ascii="Book Antiqua" w:eastAsia="Book Antiqua" w:hAnsi="Book Antiqua" w:cs="Book Antiqua"/>
          <w:color w:val="000000"/>
        </w:rPr>
        <w:t xml:space="preserve"> monotherapy groups, the AEs that affected more than 20% of patients were </w:t>
      </w:r>
      <w:r w:rsidR="000C62CB" w:rsidRPr="00880FA7">
        <w:rPr>
          <w:rFonts w:ascii="Book Antiqua" w:eastAsia="Book Antiqua" w:hAnsi="Book Antiqua" w:cs="Book Antiqua"/>
          <w:color w:val="000000"/>
        </w:rPr>
        <w:t>HFS</w:t>
      </w:r>
      <w:r w:rsidR="006D6A6E" w:rsidRPr="00880FA7">
        <w:rPr>
          <w:rFonts w:ascii="Book Antiqua" w:eastAsia="Book Antiqua" w:hAnsi="Book Antiqua" w:cs="Book Antiqua"/>
          <w:color w:val="000000"/>
        </w:rPr>
        <w:t xml:space="preserve"> (22.9% </w:t>
      </w:r>
      <w:r w:rsidR="006D6A6E" w:rsidRPr="00880FA7">
        <w:rPr>
          <w:rFonts w:ascii="Book Antiqua" w:eastAsia="Book Antiqua" w:hAnsi="Book Antiqua" w:cs="Book Antiqua"/>
          <w:i/>
          <w:iCs/>
          <w:color w:val="000000"/>
        </w:rPr>
        <w:t>vs</w:t>
      </w:r>
      <w:r w:rsidR="006D6A6E" w:rsidRPr="00880FA7">
        <w:rPr>
          <w:rFonts w:ascii="Book Antiqua" w:eastAsia="Book Antiqua" w:hAnsi="Book Antiqua" w:cs="Book Antiqua"/>
          <w:color w:val="000000"/>
        </w:rPr>
        <w:t xml:space="preserve"> 25.0%, </w:t>
      </w:r>
      <w:r w:rsidR="006D6A6E" w:rsidRPr="00880FA7">
        <w:rPr>
          <w:rFonts w:ascii="Book Antiqua" w:eastAsia="Book Antiqua" w:hAnsi="Book Antiqua" w:cs="Book Antiqua"/>
          <w:i/>
          <w:color w:val="000000"/>
        </w:rPr>
        <w:t>P</w:t>
      </w:r>
      <w:r w:rsidR="006D6A6E" w:rsidRPr="00880FA7">
        <w:rPr>
          <w:rFonts w:ascii="Book Antiqua" w:eastAsia="Book Antiqua" w:hAnsi="Book Antiqua" w:cs="Book Antiqua"/>
          <w:color w:val="000000"/>
        </w:rPr>
        <w:t xml:space="preserve"> = 0.81), hypertension (33.3% </w:t>
      </w:r>
      <w:r w:rsidR="006D6A6E" w:rsidRPr="00880FA7">
        <w:rPr>
          <w:rFonts w:ascii="Book Antiqua" w:eastAsia="Book Antiqua" w:hAnsi="Book Antiqua" w:cs="Book Antiqua"/>
          <w:i/>
          <w:iCs/>
          <w:color w:val="000000"/>
        </w:rPr>
        <w:t>vs</w:t>
      </w:r>
      <w:r w:rsidR="006D6A6E" w:rsidRPr="00880FA7">
        <w:rPr>
          <w:rFonts w:ascii="Book Antiqua" w:eastAsia="Book Antiqua" w:hAnsi="Book Antiqua" w:cs="Book Antiqua"/>
          <w:color w:val="000000"/>
        </w:rPr>
        <w:t xml:space="preserve"> 38.6%, </w:t>
      </w:r>
      <w:r w:rsidR="006D6A6E" w:rsidRPr="00880FA7">
        <w:rPr>
          <w:rFonts w:ascii="Book Antiqua" w:eastAsia="Book Antiqua" w:hAnsi="Book Antiqua" w:cs="Book Antiqua"/>
          <w:i/>
          <w:iCs/>
          <w:color w:val="000000"/>
        </w:rPr>
        <w:t>P</w:t>
      </w:r>
      <w:r w:rsidR="006D6A6E" w:rsidRPr="00880FA7">
        <w:rPr>
          <w:rFonts w:ascii="Book Antiqua" w:eastAsia="Book Antiqua" w:hAnsi="Book Antiqua" w:cs="Book Antiqua"/>
          <w:color w:val="000000"/>
        </w:rPr>
        <w:t xml:space="preserve"> = 0.59), diarrhea (31.2% </w:t>
      </w:r>
      <w:r w:rsidR="006D6A6E" w:rsidRPr="00880FA7">
        <w:rPr>
          <w:rFonts w:ascii="Book Antiqua" w:eastAsia="Book Antiqua" w:hAnsi="Book Antiqua" w:cs="Book Antiqua"/>
          <w:i/>
          <w:iCs/>
          <w:color w:val="000000"/>
        </w:rPr>
        <w:t>vs</w:t>
      </w:r>
      <w:r w:rsidR="006D6A6E" w:rsidRPr="00880FA7">
        <w:rPr>
          <w:rFonts w:ascii="Book Antiqua" w:eastAsia="Book Antiqua" w:hAnsi="Book Antiqua" w:cs="Book Antiqua"/>
          <w:color w:val="000000"/>
        </w:rPr>
        <w:t xml:space="preserve"> 31.8%, </w:t>
      </w:r>
      <w:r w:rsidR="006D6A6E" w:rsidRPr="00880FA7">
        <w:rPr>
          <w:rFonts w:ascii="Book Antiqua" w:eastAsia="Book Antiqua" w:hAnsi="Book Antiqua" w:cs="Book Antiqua"/>
          <w:i/>
          <w:iCs/>
          <w:color w:val="000000"/>
        </w:rPr>
        <w:t>P</w:t>
      </w:r>
      <w:r w:rsidR="006D6A6E" w:rsidRPr="00880FA7">
        <w:rPr>
          <w:rFonts w:ascii="Book Antiqua" w:eastAsia="Book Antiqua" w:hAnsi="Book Antiqua" w:cs="Book Antiqua"/>
          <w:color w:val="000000"/>
        </w:rPr>
        <w:t xml:space="preserve"> = 0.95), and loss of appetite (41.7% </w:t>
      </w:r>
      <w:r w:rsidR="006D6A6E" w:rsidRPr="00880FA7">
        <w:rPr>
          <w:rFonts w:ascii="Book Antiqua" w:eastAsia="Book Antiqua" w:hAnsi="Book Antiqua" w:cs="Book Antiqua"/>
          <w:i/>
          <w:iCs/>
          <w:color w:val="000000"/>
        </w:rPr>
        <w:t>vs</w:t>
      </w:r>
      <w:r w:rsidR="006D6A6E" w:rsidRPr="00880FA7">
        <w:rPr>
          <w:rFonts w:ascii="Book Antiqua" w:eastAsia="Book Antiqua" w:hAnsi="Book Antiqua" w:cs="Book Antiqua"/>
          <w:color w:val="000000"/>
        </w:rPr>
        <w:t xml:space="preserve"> 40.9%, </w:t>
      </w:r>
      <w:r w:rsidR="006D6A6E" w:rsidRPr="00880FA7">
        <w:rPr>
          <w:rFonts w:ascii="Book Antiqua" w:eastAsia="Book Antiqua" w:hAnsi="Book Antiqua" w:cs="Book Antiqua"/>
          <w:i/>
          <w:iCs/>
          <w:color w:val="000000"/>
        </w:rPr>
        <w:t>P</w:t>
      </w:r>
      <w:r w:rsidR="006D6A6E" w:rsidRPr="00880FA7">
        <w:rPr>
          <w:rFonts w:ascii="Book Antiqua" w:eastAsia="Book Antiqua" w:hAnsi="Book Antiqua" w:cs="Book Antiqua"/>
          <w:color w:val="000000"/>
        </w:rPr>
        <w:t xml:space="preserve"> = 0.9</w:t>
      </w:r>
      <w:r w:rsidR="00B570C4" w:rsidRPr="00880FA7">
        <w:rPr>
          <w:rFonts w:ascii="Book Antiqua" w:eastAsia="Book Antiqua" w:hAnsi="Book Antiqua" w:cs="Book Antiqua"/>
          <w:color w:val="000000"/>
        </w:rPr>
        <w:t>0</w:t>
      </w:r>
      <w:r w:rsidR="006D6A6E" w:rsidRPr="00880FA7">
        <w:rPr>
          <w:rFonts w:ascii="Book Antiqua" w:eastAsia="Book Antiqua" w:hAnsi="Book Antiqua" w:cs="Book Antiqua"/>
          <w:color w:val="000000"/>
        </w:rPr>
        <w:t>)</w:t>
      </w:r>
      <w:r w:rsidR="00A92039" w:rsidRPr="00880FA7">
        <w:rPr>
          <w:rFonts w:ascii="Book Antiqua" w:eastAsia="Book Antiqua" w:hAnsi="Book Antiqua" w:cs="Book Antiqua"/>
          <w:color w:val="000000"/>
        </w:rPr>
        <w:t xml:space="preserve">. There were no statistically significant variations in the occurrences of any AEs between the two groups. They concluded that first-line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A92039" w:rsidRPr="00880FA7">
        <w:rPr>
          <w:rFonts w:ascii="Book Antiqua" w:eastAsia="Book Antiqua" w:hAnsi="Book Antiqua" w:cs="Book Antiqua"/>
          <w:color w:val="000000"/>
        </w:rPr>
        <w:t xml:space="preserve"> with camrelizumab treatment may benefit patients with uHCC better than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A92039" w:rsidRPr="00880FA7">
        <w:rPr>
          <w:rFonts w:ascii="Book Antiqua" w:eastAsia="Book Antiqua" w:hAnsi="Book Antiqua" w:cs="Book Antiqua"/>
          <w:color w:val="000000"/>
        </w:rPr>
        <w:t xml:space="preserve"> alone. </w:t>
      </w:r>
      <w:r w:rsidR="0088318D" w:rsidRPr="00880FA7">
        <w:rPr>
          <w:rFonts w:ascii="Book Antiqua" w:eastAsia="Book Antiqua" w:hAnsi="Book Antiqua" w:cs="Book Antiqua"/>
          <w:color w:val="000000"/>
        </w:rPr>
        <w:t xml:space="preserve">There were no new safety signals, and the toxicity and tolerance profiles of the two treatment protocols appeared to be comparable. Further research is necessary before deciding if </w:t>
      </w:r>
      <w:r w:rsidR="00406057"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88318D" w:rsidRPr="00880FA7">
        <w:rPr>
          <w:rFonts w:ascii="Book Antiqua" w:eastAsia="Book Antiqua" w:hAnsi="Book Antiqua" w:cs="Book Antiqua"/>
          <w:color w:val="000000"/>
        </w:rPr>
        <w:t xml:space="preserve"> and camrelizumab treatment together can provide uHCC patients a unique therapeutic alternative</w:t>
      </w:r>
      <w:r w:rsidR="00A92039" w:rsidRPr="00880FA7">
        <w:rPr>
          <w:rFonts w:ascii="Book Antiqua" w:eastAsia="Book Antiqua" w:hAnsi="Book Antiqua" w:cs="Book Antiqua"/>
          <w:color w:val="000000"/>
        </w:rPr>
        <w:t>.</w:t>
      </w:r>
    </w:p>
    <w:p w14:paraId="407DF0FB" w14:textId="77777777" w:rsidR="00EE1FEF" w:rsidRPr="00880FA7" w:rsidRDefault="00EE1FEF" w:rsidP="00D33124">
      <w:pPr>
        <w:spacing w:line="360" w:lineRule="auto"/>
        <w:jc w:val="both"/>
        <w:rPr>
          <w:rFonts w:ascii="Book Antiqua" w:hAnsi="Book Antiqua" w:cs="Book Antiqua"/>
          <w:b/>
          <w:bCs/>
          <w:caps/>
          <w:color w:val="000000"/>
          <w:u w:val="single"/>
          <w:lang w:eastAsia="zh-CN"/>
        </w:rPr>
      </w:pPr>
    </w:p>
    <w:p w14:paraId="1686D59C" w14:textId="5BBE89F6" w:rsidR="005455FC" w:rsidRPr="00880FA7" w:rsidRDefault="005455FC" w:rsidP="00D33124">
      <w:pPr>
        <w:spacing w:line="360" w:lineRule="auto"/>
        <w:jc w:val="both"/>
        <w:rPr>
          <w:rFonts w:ascii="Book Antiqua" w:hAnsi="Book Antiqua"/>
        </w:rPr>
      </w:pPr>
      <w:r w:rsidRPr="00880FA7">
        <w:rPr>
          <w:rFonts w:ascii="Book Antiqua" w:eastAsia="Book Antiqua" w:hAnsi="Book Antiqua" w:cs="Book Antiqua"/>
          <w:b/>
          <w:caps/>
          <w:color w:val="000000"/>
          <w:u w:val="single"/>
        </w:rPr>
        <w:t>CONCLUSION</w:t>
      </w:r>
    </w:p>
    <w:p w14:paraId="2518FA22"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lastRenderedPageBreak/>
        <w:t xml:space="preserve">Systemic therapy for HCC has significantly advanced with a major breakthrough since the FDA approved sorafenib in 2007. Although several MTKIs have shown promise in the therapy of uHCC, the discovery of ICIs has completely changed the field, bringing about remarkable </w:t>
      </w:r>
      <w:r w:rsidR="003C1826" w:rsidRPr="00880FA7">
        <w:rPr>
          <w:rFonts w:ascii="Book Antiqua" w:eastAsia="Book Antiqua" w:hAnsi="Book Antiqua" w:cs="Book Antiqua"/>
          <w:color w:val="000000"/>
        </w:rPr>
        <w:t xml:space="preserve">ORR and </w:t>
      </w:r>
      <w:r w:rsidRPr="00880FA7">
        <w:rPr>
          <w:rFonts w:ascii="Book Antiqua" w:eastAsia="Book Antiqua" w:hAnsi="Book Antiqua" w:cs="Book Antiqua"/>
          <w:color w:val="000000"/>
        </w:rPr>
        <w:t xml:space="preserve">OS benefit. This is demonstrated by the innovative outcomes from </w:t>
      </w:r>
      <w:r w:rsidR="003C1826" w:rsidRPr="00880FA7">
        <w:rPr>
          <w:rFonts w:ascii="Book Antiqua" w:eastAsia="Book Antiqua" w:hAnsi="Book Antiqua" w:cs="Book Antiqua"/>
          <w:color w:val="000000"/>
        </w:rPr>
        <w:t xml:space="preserve">the HIMALAYA trial, </w:t>
      </w:r>
      <w:r w:rsidRPr="00880FA7">
        <w:rPr>
          <w:rFonts w:ascii="Book Antiqua" w:eastAsia="Book Antiqua" w:hAnsi="Book Antiqua" w:cs="Book Antiqua"/>
          <w:color w:val="000000"/>
        </w:rPr>
        <w:t xml:space="preserve">the IMbrave150 study, and the CHECKMATE-040 trial for the second-line combination of nivolumab-ipilimumab, atezolizumab-bevacizumab, durvalumab-tremelimumab, and atezolizumab-bevacizumab, respectively. Each of the aforementioned regimens has a somewhat distinct toxicity profile, and combination therapy is correlated with greater toxicities. </w:t>
      </w:r>
      <w:r w:rsidR="0088318D" w:rsidRPr="00880FA7">
        <w:rPr>
          <w:rFonts w:ascii="Book Antiqua" w:eastAsia="Book Antiqua" w:hAnsi="Book Antiqua" w:cs="Book Antiqua"/>
          <w:color w:val="000000"/>
        </w:rPr>
        <w:t xml:space="preserve">In clinical practice, single-agent therapies are explored for patients who are less fit or have severe medical comorbidities, whereas combination treatments are studied for </w:t>
      </w:r>
      <w:r w:rsidR="00D43999" w:rsidRPr="00880FA7">
        <w:rPr>
          <w:rFonts w:ascii="Book Antiqua" w:eastAsia="Book Antiqua" w:hAnsi="Book Antiqua" w:cs="Book Antiqua"/>
          <w:color w:val="000000"/>
        </w:rPr>
        <w:t xml:space="preserve">very fit </w:t>
      </w:r>
      <w:r w:rsidR="0088318D" w:rsidRPr="00880FA7">
        <w:rPr>
          <w:rFonts w:ascii="Book Antiqua" w:eastAsia="Book Antiqua" w:hAnsi="Book Antiqua" w:cs="Book Antiqua"/>
          <w:color w:val="000000"/>
        </w:rPr>
        <w:t xml:space="preserve">patients, such as those with a </w:t>
      </w:r>
      <w:r w:rsidR="00D43999" w:rsidRPr="00880FA7">
        <w:rPr>
          <w:rFonts w:ascii="Book Antiqua" w:eastAsia="Book Antiqua" w:hAnsi="Book Antiqua" w:cs="Book Antiqua"/>
          <w:color w:val="000000"/>
        </w:rPr>
        <w:t xml:space="preserve">status of </w:t>
      </w:r>
      <w:r w:rsidR="0088318D" w:rsidRPr="00880FA7">
        <w:rPr>
          <w:rFonts w:ascii="Book Antiqua" w:eastAsia="Book Antiqua" w:hAnsi="Book Antiqua" w:cs="Book Antiqua"/>
          <w:color w:val="000000"/>
        </w:rPr>
        <w:t xml:space="preserve">performance 0 to 1 and no </w:t>
      </w:r>
      <w:r w:rsidR="00D43999" w:rsidRPr="00880FA7">
        <w:rPr>
          <w:rFonts w:ascii="Book Antiqua" w:eastAsia="Book Antiqua" w:hAnsi="Book Antiqua" w:cs="Book Antiqua"/>
          <w:color w:val="000000"/>
        </w:rPr>
        <w:t>importance</w:t>
      </w:r>
      <w:r w:rsidR="0088318D" w:rsidRPr="00880FA7">
        <w:rPr>
          <w:rFonts w:ascii="Book Antiqua" w:eastAsia="Book Antiqua" w:hAnsi="Book Antiqua" w:cs="Book Antiqua"/>
          <w:color w:val="000000"/>
        </w:rPr>
        <w:t xml:space="preserve"> medical comorbidities</w:t>
      </w:r>
      <w:r w:rsidRPr="00880FA7">
        <w:rPr>
          <w:rFonts w:ascii="Book Antiqua" w:eastAsia="Book Antiqua" w:hAnsi="Book Antiqua" w:cs="Book Antiqua"/>
          <w:color w:val="000000"/>
        </w:rPr>
        <w:t xml:space="preserve">. </w:t>
      </w:r>
      <w:r w:rsidR="00B14542" w:rsidRPr="00880FA7">
        <w:rPr>
          <w:rFonts w:ascii="Book Antiqua" w:eastAsia="Book Antiqua" w:hAnsi="Book Antiqua" w:cs="Book Antiqua"/>
          <w:color w:val="000000"/>
        </w:rPr>
        <w:t>Additionally, an esophago-gastro-duodenoscopy must be performed before starting atezolizumab-bevacizumab therapy in order to address any esophageal varices due to the relatively high dose of bevacizumab used</w:t>
      </w:r>
      <w:r w:rsidR="00F70681" w:rsidRPr="00880FA7">
        <w:rPr>
          <w:rFonts w:ascii="Book Antiqua" w:hAnsi="Book Antiqua" w:cs="Book Antiqua" w:hint="eastAsia"/>
          <w:color w:val="000000"/>
          <w:lang w:eastAsia="zh-CN"/>
        </w:rPr>
        <w:t>-</w:t>
      </w:r>
      <w:r w:rsidR="00B14542" w:rsidRPr="00880FA7">
        <w:rPr>
          <w:rFonts w:ascii="Book Antiqua" w:eastAsia="Book Antiqua" w:hAnsi="Book Antiqua" w:cs="Book Antiqua"/>
          <w:color w:val="000000"/>
        </w:rPr>
        <w:t>15 mg/kg</w:t>
      </w:r>
      <w:r w:rsidR="00F70681" w:rsidRPr="00880FA7">
        <w:rPr>
          <w:rFonts w:ascii="Book Antiqua" w:hAnsi="Book Antiqua" w:cs="Book Antiqua" w:hint="eastAsia"/>
          <w:color w:val="000000"/>
          <w:lang w:eastAsia="zh-CN"/>
        </w:rPr>
        <w:t>-</w:t>
      </w:r>
      <w:r w:rsidR="00B14542" w:rsidRPr="00880FA7">
        <w:rPr>
          <w:rFonts w:ascii="Book Antiqua" w:eastAsia="Book Antiqua" w:hAnsi="Book Antiqua" w:cs="Book Antiqua"/>
          <w:color w:val="000000"/>
        </w:rPr>
        <w:t>which is associated with a higher bleeding risk</w:t>
      </w:r>
      <w:r w:rsidRPr="00880FA7">
        <w:rPr>
          <w:rFonts w:ascii="Book Antiqua" w:eastAsia="Book Antiqua" w:hAnsi="Book Antiqua" w:cs="Book Antiqua"/>
          <w:color w:val="000000"/>
        </w:rPr>
        <w:t xml:space="preserve">. </w:t>
      </w:r>
    </w:p>
    <w:p w14:paraId="4A40AA44" w14:textId="62A14D96" w:rsidR="00A77B3E" w:rsidRPr="00880FA7" w:rsidRDefault="00A92039" w:rsidP="00F70681">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Because of this, it is still unclear which patient groups may benefit from or tolerate a certain combination of therapies better than others. Additionally, there are very few clinical trials investigating the function of future therapy in individuals who respond to ICIs. </w:t>
      </w:r>
      <w:r w:rsidR="00A01F41" w:rsidRPr="00880FA7">
        <w:rPr>
          <w:rFonts w:ascii="Book Antiqua" w:eastAsia="Book Antiqua" w:hAnsi="Book Antiqua" w:cs="Book Antiqua"/>
          <w:color w:val="000000"/>
        </w:rPr>
        <w:t>This topic is being actively investigated by a number of current studies, including a phase II study looking at cabozantinib in the post-ICI situation and other studies comparing the combination of atezolizumab-</w:t>
      </w:r>
      <w:r w:rsidR="004D1958" w:rsidRPr="00880FA7">
        <w:rPr>
          <w:rFonts w:ascii="Book Antiqua" w:eastAsia="Book Antiqua" w:hAnsi="Book Antiqua" w:cs="Book Antiqua"/>
          <w:color w:val="000000"/>
        </w:rPr>
        <w:t>l</w:t>
      </w:r>
      <w:r w:rsidR="00914E4C" w:rsidRPr="00880FA7">
        <w:rPr>
          <w:rFonts w:ascii="Book Antiqua" w:eastAsia="Book Antiqua" w:hAnsi="Book Antiqua" w:cs="Book Antiqua"/>
          <w:color w:val="000000"/>
        </w:rPr>
        <w:t>envatinib</w:t>
      </w:r>
      <w:r w:rsidR="00A01F41" w:rsidRPr="00880FA7">
        <w:rPr>
          <w:rFonts w:ascii="Book Antiqua" w:eastAsia="Book Antiqua" w:hAnsi="Book Antiqua" w:cs="Book Antiqua"/>
          <w:color w:val="000000"/>
        </w:rPr>
        <w:t xml:space="preserve"> to sorafenib in the post-atezolizumab-bevacizumab scenario</w:t>
      </w:r>
      <w:r w:rsidRPr="00880FA7">
        <w:rPr>
          <w:rFonts w:ascii="Book Antiqua" w:eastAsia="Book Antiqua" w:hAnsi="Book Antiqua" w:cs="Book Antiqua"/>
          <w:color w:val="000000"/>
        </w:rPr>
        <w:t>. Recently, anti-PD-1 medication has been controversially used in patients with non-alcoholic steatohepatitis-related HCC (NASH-HCC)</w:t>
      </w:r>
      <w:r w:rsidRPr="00880FA7">
        <w:rPr>
          <w:rFonts w:ascii="Book Antiqua" w:eastAsia="Book Antiqua" w:hAnsi="Book Antiqua" w:cs="Book Antiqua"/>
          <w:color w:val="000000"/>
          <w:vertAlign w:val="superscript"/>
        </w:rPr>
        <w:t>[81]</w:t>
      </w:r>
      <w:r w:rsidRPr="00880FA7">
        <w:rPr>
          <w:rFonts w:ascii="Book Antiqua" w:eastAsia="Book Antiqua" w:hAnsi="Book Antiqua" w:cs="Book Antiqua"/>
          <w:color w:val="000000"/>
        </w:rPr>
        <w:t xml:space="preserve">. In addition, </w:t>
      </w:r>
      <w:r w:rsidR="00C40BEC" w:rsidRPr="00880FA7">
        <w:rPr>
          <w:rFonts w:ascii="Book Antiqua" w:hAnsi="Book Antiqua"/>
          <w:bCs/>
        </w:rPr>
        <w:t>Pfister</w:t>
      </w:r>
      <w:r w:rsidRPr="00880FA7">
        <w:rPr>
          <w:rFonts w:ascii="Book Antiqua" w:eastAsia="Book Antiqua" w:hAnsi="Book Antiqua" w:cs="Book Antiqua"/>
          <w:color w:val="000000"/>
        </w:rPr>
        <w:t xml:space="preserve"> </w:t>
      </w:r>
      <w:r w:rsidRPr="00880FA7">
        <w:rPr>
          <w:rFonts w:ascii="Book Antiqua" w:eastAsia="Book Antiqua" w:hAnsi="Book Antiqua" w:cs="Book Antiqua"/>
          <w:i/>
          <w:iCs/>
          <w:color w:val="000000"/>
        </w:rPr>
        <w:t>et al</w:t>
      </w:r>
      <w:r w:rsidRPr="00880FA7">
        <w:rPr>
          <w:rFonts w:ascii="Book Antiqua" w:eastAsia="Book Antiqua" w:hAnsi="Book Antiqua" w:cs="Book Antiqua"/>
          <w:color w:val="000000"/>
          <w:vertAlign w:val="superscript"/>
        </w:rPr>
        <w:t>[82]</w:t>
      </w:r>
      <w:r w:rsidR="00C40BEC"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examined anti-PD-1 therapy animal models </w:t>
      </w:r>
      <w:r w:rsidR="003C1826" w:rsidRPr="00880FA7">
        <w:rPr>
          <w:rFonts w:ascii="Book Antiqua" w:eastAsia="Book Antiqua" w:hAnsi="Book Antiqua" w:cs="Book Antiqua"/>
          <w:color w:val="000000"/>
        </w:rPr>
        <w:t xml:space="preserve">with NASH </w:t>
      </w:r>
      <w:r w:rsidRPr="00880FA7">
        <w:rPr>
          <w:rFonts w:ascii="Book Antiqua" w:eastAsia="Book Antiqua" w:hAnsi="Book Antiqua" w:cs="Book Antiqua"/>
          <w:color w:val="000000"/>
        </w:rPr>
        <w:t xml:space="preserve">in both </w:t>
      </w:r>
      <w:r w:rsidR="003C1826" w:rsidRPr="00880FA7">
        <w:rPr>
          <w:rFonts w:ascii="Book Antiqua" w:eastAsia="Book Antiqua" w:hAnsi="Book Antiqua" w:cs="Book Antiqua"/>
          <w:color w:val="000000"/>
        </w:rPr>
        <w:t xml:space="preserve">therapeutic and </w:t>
      </w:r>
      <w:r w:rsidRPr="00880FA7">
        <w:rPr>
          <w:rFonts w:ascii="Book Antiqua" w:eastAsia="Book Antiqua" w:hAnsi="Book Antiqua" w:cs="Book Antiqua"/>
          <w:color w:val="000000"/>
        </w:rPr>
        <w:t xml:space="preserve">preventative contexts. They demonstrated that anti-PD-1 therapy accelerated hepatocarcinogenesis and produced hepatic fibrosis in NASH-mice without tumors. Treatment with anti-PD-1 did not result in tumor regression in NASH-mice carrying HCC. </w:t>
      </w:r>
      <w:r w:rsidR="00693259" w:rsidRPr="00880FA7">
        <w:rPr>
          <w:rFonts w:ascii="Book Antiqua" w:eastAsia="Book Antiqua" w:hAnsi="Book Antiqua" w:cs="Book Antiqua"/>
          <w:color w:val="000000"/>
        </w:rPr>
        <w:t xml:space="preserve">Surprisingly, it has, on the contrary, sped up the tumor's growth. </w:t>
      </w:r>
      <w:r w:rsidR="009E0849" w:rsidRPr="00880FA7">
        <w:rPr>
          <w:rFonts w:ascii="Book Antiqua" w:eastAsia="Book Antiqua" w:hAnsi="Book Antiqua" w:cs="Book Antiqua"/>
          <w:color w:val="000000"/>
        </w:rPr>
        <w:t>They</w:t>
      </w:r>
      <w:r w:rsidR="00C40BEC" w:rsidRPr="00880FA7">
        <w:rPr>
          <w:rFonts w:ascii="Book Antiqua" w:eastAsia="Book Antiqua" w:hAnsi="Book Antiqua" w:cs="Book Antiqua"/>
          <w:color w:val="000000"/>
        </w:rPr>
        <w:t xml:space="preserve"> conducted a meta-analysis of 1</w:t>
      </w:r>
      <w:r w:rsidR="009E0849" w:rsidRPr="00880FA7">
        <w:rPr>
          <w:rFonts w:ascii="Book Antiqua" w:eastAsia="Book Antiqua" w:hAnsi="Book Antiqua" w:cs="Book Antiqua"/>
          <w:color w:val="000000"/>
        </w:rPr>
        <w:t xml:space="preserve">656 patients from 3 significant studies to determine </w:t>
      </w:r>
      <w:r w:rsidR="009E0849" w:rsidRPr="00880FA7">
        <w:rPr>
          <w:rFonts w:ascii="Book Antiqua" w:eastAsia="Book Antiqua" w:hAnsi="Book Antiqua" w:cs="Book Antiqua"/>
          <w:color w:val="000000"/>
        </w:rPr>
        <w:lastRenderedPageBreak/>
        <w:t>whether similar outcomes were also observed in human HCC (CHECKMATE-459, IMBrave150, and KEYNOTE-240).</w:t>
      </w:r>
      <w:r w:rsidR="00693259" w:rsidRPr="00880FA7">
        <w:rPr>
          <w:rFonts w:ascii="Book Antiqua" w:eastAsia="Book Antiqua" w:hAnsi="Book Antiqua" w:cs="Book Antiqua"/>
          <w:color w:val="000000"/>
        </w:rPr>
        <w:t xml:space="preserve"> In accordance with the underlying etiology of HCC, they also evaluated the survival results of HCC treated with immunotherapy</w:t>
      </w:r>
      <w:r w:rsidRPr="00880FA7">
        <w:rPr>
          <w:rFonts w:ascii="Book Antiqua" w:eastAsia="Book Antiqua" w:hAnsi="Book Antiqua" w:cs="Book Antiqua"/>
          <w:color w:val="000000"/>
        </w:rPr>
        <w:t xml:space="preserve">. </w:t>
      </w:r>
      <w:r w:rsidR="0073244B" w:rsidRPr="00880FA7">
        <w:rPr>
          <w:rFonts w:ascii="Book Antiqua" w:eastAsia="Book Antiqua" w:hAnsi="Book Antiqua" w:cs="Book Antiqua"/>
          <w:color w:val="000000"/>
        </w:rPr>
        <w:t>Individuals with viral HCC had a longer survival time with immunotherapy</w:t>
      </w:r>
      <w:r w:rsidR="00C8683A" w:rsidRPr="00880FA7">
        <w:rPr>
          <w:rFonts w:ascii="Book Antiqua" w:hAnsi="Book Antiqua" w:cs="Book Antiqua" w:hint="eastAsia"/>
          <w:color w:val="000000"/>
          <w:lang w:eastAsia="zh-CN"/>
        </w:rPr>
        <w:t xml:space="preserve"> </w:t>
      </w:r>
      <w:r w:rsidR="0073244B" w:rsidRPr="00880FA7">
        <w:rPr>
          <w:rFonts w:ascii="Book Antiqua" w:eastAsia="Book Antiqua" w:hAnsi="Book Antiqua" w:cs="Book Antiqua"/>
          <w:color w:val="000000"/>
        </w:rPr>
        <w:t>(HR: 0.64;</w:t>
      </w:r>
      <w:r w:rsidR="00C8683A" w:rsidRPr="00880FA7">
        <w:rPr>
          <w:rFonts w:ascii="Book Antiqua" w:eastAsia="Book Antiqua" w:hAnsi="Book Antiqua" w:cs="Book Antiqua"/>
          <w:color w:val="000000"/>
        </w:rPr>
        <w:t xml:space="preserve"> 95%</w:t>
      </w:r>
      <w:r w:rsidR="0073244B" w:rsidRPr="00880FA7">
        <w:rPr>
          <w:rFonts w:ascii="Book Antiqua" w:eastAsia="Book Antiqua" w:hAnsi="Book Antiqua" w:cs="Book Antiqua"/>
          <w:color w:val="000000"/>
        </w:rPr>
        <w:t>CI: 0.48-0.94), but those with non-v</w:t>
      </w:r>
      <w:r w:rsidR="00C8683A" w:rsidRPr="00880FA7">
        <w:rPr>
          <w:rFonts w:ascii="Book Antiqua" w:eastAsia="Book Antiqua" w:hAnsi="Book Antiqua" w:cs="Book Antiqua"/>
          <w:color w:val="000000"/>
        </w:rPr>
        <w:t>iral HCC did not (HR: 0.92; 95%</w:t>
      </w:r>
      <w:r w:rsidR="0073244B" w:rsidRPr="00880FA7">
        <w:rPr>
          <w:rFonts w:ascii="Book Antiqua" w:eastAsia="Book Antiqua" w:hAnsi="Book Antiqua" w:cs="Book Antiqua"/>
          <w:color w:val="000000"/>
        </w:rPr>
        <w:t>CI: 0.77-1.11)</w:t>
      </w:r>
      <w:r w:rsidR="00B60519" w:rsidRPr="00880FA7">
        <w:rPr>
          <w:rFonts w:ascii="Book Antiqua" w:eastAsia="Book Antiqua" w:hAnsi="Book Antiqua" w:cs="Book Antiqua"/>
          <w:color w:val="000000"/>
        </w:rPr>
        <w:t xml:space="preserve">. According to a research, non-viral HCC </w:t>
      </w:r>
      <w:r w:rsidR="00704EB5" w:rsidRPr="00880FA7">
        <w:rPr>
          <w:rFonts w:ascii="Book Antiqua" w:eastAsia="Book Antiqua" w:hAnsi="Book Antiqua" w:cs="Book Antiqua"/>
          <w:color w:val="000000"/>
        </w:rPr>
        <w:t xml:space="preserve">patients </w:t>
      </w:r>
      <w:r w:rsidR="00B60519" w:rsidRPr="00880FA7">
        <w:rPr>
          <w:rFonts w:ascii="Book Antiqua" w:eastAsia="Book Antiqua" w:hAnsi="Book Antiqua" w:cs="Book Antiqua"/>
          <w:color w:val="000000"/>
        </w:rPr>
        <w:t>who received anti-PD-1 medication had the same ORR and PFS as patients with viral HCC</w:t>
      </w:r>
      <w:r w:rsidRPr="00880FA7">
        <w:rPr>
          <w:rFonts w:ascii="Book Antiqua" w:eastAsia="Book Antiqua" w:hAnsi="Book Antiqua" w:cs="Book Antiqua"/>
          <w:color w:val="000000"/>
        </w:rPr>
        <w:t>. Alternative explanations have been developed in response to these seemingly incongruous findings, including the varied population with non-viral HCC and the dearth of knowledge surrounding follow-up therapies</w:t>
      </w:r>
      <w:r w:rsidRPr="00880FA7">
        <w:rPr>
          <w:rFonts w:ascii="Book Antiqua" w:eastAsia="Book Antiqua" w:hAnsi="Book Antiqua" w:cs="Book Antiqua"/>
          <w:color w:val="000000"/>
          <w:vertAlign w:val="superscript"/>
        </w:rPr>
        <w:t>[83]</w:t>
      </w:r>
      <w:r w:rsidRPr="00880FA7">
        <w:rPr>
          <w:rFonts w:ascii="Book Antiqua" w:eastAsia="Book Antiqua" w:hAnsi="Book Antiqua" w:cs="Book Antiqua"/>
          <w:color w:val="000000"/>
        </w:rPr>
        <w:t>. It's also essential to remember that these worse outcomes for immunotherapy-treated non-viral HCC patients were retrospectively</w:t>
      </w:r>
      <w:r w:rsidR="00C8683A"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determined. As a result, based on the etiology of HCC, this cannot result in a shift in clinical management for uHCC</w:t>
      </w:r>
      <w:r w:rsidR="00C8683A"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patients. To clarify these concerns, more clinical studies with predetermined stratification should be planned.</w:t>
      </w:r>
    </w:p>
    <w:p w14:paraId="2DD0CA39" w14:textId="77777777" w:rsidR="00A77B3E" w:rsidRPr="00880FA7" w:rsidRDefault="00A92039" w:rsidP="00C8683A">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Unanswered questions about therapeutic drug resistance and predictive biomarkers still exist.</w:t>
      </w:r>
      <w:r w:rsidR="00FA6E07"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Drug resistance is prevalent and is generally believed to be the leading cause of therapeutic failure. </w:t>
      </w:r>
      <w:r w:rsidR="009E0849" w:rsidRPr="00880FA7">
        <w:rPr>
          <w:rFonts w:ascii="Book Antiqua" w:eastAsia="Book Antiqua" w:hAnsi="Book Antiqua" w:cs="Book Antiqua"/>
          <w:color w:val="000000"/>
        </w:rPr>
        <w:t>EGFR activation, the existence of cancer stem cells, tumor-initiating cells, and the epithelial-mesenchymal transition (EMT)</w:t>
      </w:r>
      <w:r w:rsidR="00FA6E07" w:rsidRPr="00880FA7">
        <w:rPr>
          <w:rFonts w:ascii="Book Antiqua" w:hAnsi="Book Antiqua" w:cs="Book Antiqua" w:hint="eastAsia"/>
          <w:color w:val="000000"/>
          <w:lang w:eastAsia="zh-CN"/>
        </w:rPr>
        <w:t xml:space="preserve"> </w:t>
      </w:r>
      <w:r w:rsidR="009E0849" w:rsidRPr="00880FA7">
        <w:rPr>
          <w:rFonts w:ascii="Book Antiqua" w:eastAsia="Book Antiqua" w:hAnsi="Book Antiqua" w:cs="Book Antiqua"/>
          <w:color w:val="000000"/>
        </w:rPr>
        <w:t>are examples of potential pathways</w:t>
      </w:r>
      <w:r w:rsidR="00B60519" w:rsidRPr="00880FA7">
        <w:rPr>
          <w:rFonts w:ascii="Book Antiqua" w:eastAsia="Book Antiqua" w:hAnsi="Book Antiqua" w:cs="Book Antiqua"/>
          <w:color w:val="000000"/>
        </w:rPr>
        <w:t>. Cancer stem cells are created when EMT signals are activated, and these cancer stem cells have the ability to self-renew and differentiate</w:t>
      </w:r>
      <w:r w:rsidRPr="00880FA7">
        <w:rPr>
          <w:rFonts w:ascii="Book Antiqua" w:eastAsia="Book Antiqua" w:hAnsi="Book Antiqua" w:cs="Book Antiqua"/>
          <w:color w:val="000000"/>
        </w:rPr>
        <w:t xml:space="preserve">. </w:t>
      </w:r>
      <w:r w:rsidR="003B624B" w:rsidRPr="00880FA7">
        <w:rPr>
          <w:rFonts w:ascii="Book Antiqua" w:eastAsia="Book Antiqua" w:hAnsi="Book Antiqua" w:cs="Book Antiqua"/>
          <w:color w:val="000000"/>
        </w:rPr>
        <w:t>In human liver cell lines, prolonged sorafenib exposure results in EMT, which is characterized by changes in cell shape, loss of E-cadherin, and elevated vimentin expression</w:t>
      </w:r>
      <w:r w:rsidRPr="00880FA7">
        <w:rPr>
          <w:rFonts w:ascii="Book Antiqua" w:eastAsia="Book Antiqua" w:hAnsi="Book Antiqua" w:cs="Book Antiqua"/>
          <w:color w:val="000000"/>
          <w:vertAlign w:val="superscript"/>
        </w:rPr>
        <w:t>[84,85]</w:t>
      </w:r>
      <w:r w:rsidRPr="00880FA7">
        <w:rPr>
          <w:rFonts w:ascii="Book Antiqua" w:eastAsia="Book Antiqua" w:hAnsi="Book Antiqua" w:cs="Book Antiqua"/>
          <w:color w:val="000000"/>
        </w:rPr>
        <w:t xml:space="preserve">. </w:t>
      </w:r>
      <w:r w:rsidR="0041481D" w:rsidRPr="00880FA7">
        <w:rPr>
          <w:rFonts w:ascii="Book Antiqua" w:eastAsia="Book Antiqua" w:hAnsi="Book Antiqua" w:cs="Book Antiqua"/>
          <w:color w:val="000000"/>
        </w:rPr>
        <w:t>In a genetically engineered mouse model of HCC, it was discovered that β-catenin activation encourages immune evasion and resistance to PD-1 inhibitors</w:t>
      </w:r>
      <w:r w:rsidRPr="00880FA7">
        <w:rPr>
          <w:rFonts w:ascii="Book Antiqua" w:eastAsia="Book Antiqua" w:hAnsi="Book Antiqua" w:cs="Book Antiqua"/>
          <w:color w:val="000000"/>
          <w:vertAlign w:val="superscript"/>
        </w:rPr>
        <w:t>[86]</w:t>
      </w:r>
      <w:r w:rsidRPr="00880FA7">
        <w:rPr>
          <w:rFonts w:ascii="Book Antiqua" w:eastAsia="Book Antiqua" w:hAnsi="Book Antiqua" w:cs="Book Antiqua"/>
          <w:color w:val="000000"/>
        </w:rPr>
        <w:t xml:space="preserve">. </w:t>
      </w:r>
      <w:r w:rsidR="00BD1E39" w:rsidRPr="00880FA7">
        <w:rPr>
          <w:rFonts w:ascii="Book Antiqua" w:eastAsia="Book Antiqua" w:hAnsi="Book Antiqua" w:cs="Book Antiqua"/>
          <w:color w:val="000000"/>
        </w:rPr>
        <w:t xml:space="preserve">Although additional study is required to translate this bench-to-bedside data, these biomarkers have the potential to affect treatment choices. Our knowledge of tumor biology is still lacking, and there is an unmet need for cutting-edge drugs to deal with these resistance mechanisms. To accurately predict prognosis and the therapeutic response to target treatment or immunotherapy, there are yet no meaningful molecular indications. In actuality, imaging methods are used to identify the majority of HCCs, and the available treatments are much </w:t>
      </w:r>
      <w:r w:rsidR="00BD1E39" w:rsidRPr="00880FA7">
        <w:rPr>
          <w:rFonts w:ascii="Book Antiqua" w:eastAsia="Book Antiqua" w:hAnsi="Book Antiqua" w:cs="Book Antiqua"/>
          <w:color w:val="000000"/>
        </w:rPr>
        <w:lastRenderedPageBreak/>
        <w:t>the same. It makes sense to look at biomarkers that might inform treatment choices in the era of personalized medicine.</w:t>
      </w:r>
      <w:r w:rsidR="00F13A31" w:rsidRPr="00880FA7">
        <w:rPr>
          <w:rFonts w:ascii="Book Antiqua" w:eastAsia="Book Antiqua" w:hAnsi="Book Antiqua" w:cs="Book Antiqua"/>
          <w:color w:val="000000"/>
        </w:rPr>
        <w:t xml:space="preserve"> </w:t>
      </w:r>
      <w:r w:rsidR="00067241" w:rsidRPr="00880FA7">
        <w:rPr>
          <w:rFonts w:ascii="Book Antiqua" w:eastAsia="Book Antiqua" w:hAnsi="Book Antiqua" w:cs="Book Antiqua"/>
          <w:color w:val="000000"/>
        </w:rPr>
        <w:t>The most extensively researched immunotherapy biomarkers, including as tumor mutational burden, microsatellite instability, and PD-L1 expression, are presently employed very seldom in uHCC</w:t>
      </w:r>
      <w:r w:rsidRPr="00880FA7">
        <w:rPr>
          <w:rFonts w:ascii="Book Antiqua" w:eastAsia="Book Antiqua" w:hAnsi="Book Antiqua" w:cs="Book Antiqua"/>
          <w:color w:val="000000"/>
          <w:vertAlign w:val="superscript"/>
        </w:rPr>
        <w:t>[87]</w:t>
      </w:r>
      <w:r w:rsidRPr="00880FA7">
        <w:rPr>
          <w:rFonts w:ascii="Book Antiqua" w:eastAsia="Book Antiqua" w:hAnsi="Book Antiqua" w:cs="Book Antiqua"/>
          <w:color w:val="000000"/>
        </w:rPr>
        <w:t>. Although it has been shown that circulating markers including AFP, tumor necrosis factor-alpha, and IL-6 associated with HCC treatment outcomes, further studies are required to confirm these</w:t>
      </w:r>
      <w:r w:rsidR="005B3B37"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findings. A gene expression test has also recently been investigated as a possible biomarker for predicting immunotherapy response</w:t>
      </w:r>
      <w:r w:rsidRPr="00880FA7">
        <w:rPr>
          <w:rFonts w:ascii="Book Antiqua" w:eastAsia="Book Antiqua" w:hAnsi="Book Antiqua" w:cs="Book Antiqua"/>
          <w:color w:val="000000"/>
          <w:vertAlign w:val="superscript"/>
        </w:rPr>
        <w:t>[88]</w:t>
      </w:r>
      <w:r w:rsidRPr="00880FA7">
        <w:rPr>
          <w:rFonts w:ascii="Book Antiqua" w:eastAsia="Book Antiqua" w:hAnsi="Book Antiqua" w:cs="Book Antiqua"/>
          <w:color w:val="000000"/>
        </w:rPr>
        <w:t xml:space="preserve">. </w:t>
      </w:r>
    </w:p>
    <w:p w14:paraId="3DEAA62D" w14:textId="612A60F6" w:rsidR="00A77B3E" w:rsidRPr="00880FA7" w:rsidRDefault="00A92039" w:rsidP="005B3B37">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Ultimately, more research is necessary to determine any potential indirect drug interactions between antibiotics, proton pump inhibitors, ICIs, or multiple</w:t>
      </w:r>
      <w:r w:rsidR="003C7D2C"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 xml:space="preserve">therapies. It is known that administering immunotherapy and antibiotics at the same time has a detrimental impact on the effectiveness of anti-cancer treatment. Numerous studies have shown the close relationship between ICIs and gut flora. Intestinal homeostasis and the reduction of systemic inflammation are crucially dependent on the microbiota. Antibiotics have a deleterious effect by causing dysbiosis, which changes the immune system's systemic anti-tumor response during, or in the </w:t>
      </w:r>
      <w:r w:rsidR="00E0308E" w:rsidRPr="00880FA7">
        <w:rPr>
          <w:rFonts w:ascii="Book Antiqua" w:eastAsia="Book Antiqua" w:hAnsi="Book Antiqua" w:cs="Book Antiqua"/>
          <w:color w:val="000000"/>
        </w:rPr>
        <w:t>1</w:t>
      </w:r>
      <w:r w:rsidR="00E0308E" w:rsidRPr="00880FA7">
        <w:rPr>
          <w:rFonts w:ascii="Book Antiqua" w:eastAsia="Book Antiqua" w:hAnsi="Book Antiqua" w:cs="Book Antiqua"/>
          <w:color w:val="000000"/>
          <w:vertAlign w:val="superscript"/>
        </w:rPr>
        <w:t>st</w:t>
      </w:r>
      <w:r w:rsidR="00E0308E" w:rsidRPr="00880FA7">
        <w:rPr>
          <w:rFonts w:ascii="Book Antiqua" w:eastAsia="Book Antiqua" w:hAnsi="Book Antiqua" w:cs="Book Antiqua"/>
          <w:color w:val="000000"/>
        </w:rPr>
        <w:t xml:space="preserve"> </w:t>
      </w:r>
      <w:r w:rsidRPr="00880FA7">
        <w:rPr>
          <w:rFonts w:ascii="Book Antiqua" w:eastAsia="Book Antiqua" w:hAnsi="Book Antiqua" w:cs="Book Antiqua"/>
          <w:color w:val="000000"/>
        </w:rPr>
        <w:t>few weeks before commencing ICIs</w:t>
      </w:r>
      <w:r w:rsidRPr="00880FA7">
        <w:rPr>
          <w:rFonts w:ascii="Book Antiqua" w:eastAsia="Book Antiqua" w:hAnsi="Book Antiqua" w:cs="Book Antiqua"/>
          <w:color w:val="000000"/>
          <w:vertAlign w:val="superscript"/>
        </w:rPr>
        <w:t>[89]</w:t>
      </w:r>
      <w:r w:rsidRPr="00880FA7">
        <w:rPr>
          <w:rFonts w:ascii="Book Antiqua" w:eastAsia="Book Antiqua" w:hAnsi="Book Antiqua" w:cs="Book Antiqua"/>
          <w:color w:val="000000"/>
        </w:rPr>
        <w:t xml:space="preserve">. </w:t>
      </w:r>
    </w:p>
    <w:p w14:paraId="1B7D24D1" w14:textId="31D6A5AB" w:rsidR="00A77B3E" w:rsidRPr="00880FA7" w:rsidRDefault="00A92039" w:rsidP="00203900">
      <w:pPr>
        <w:spacing w:line="360" w:lineRule="auto"/>
        <w:ind w:firstLineChars="200" w:firstLine="480"/>
        <w:jc w:val="both"/>
        <w:rPr>
          <w:rFonts w:ascii="Book Antiqua" w:hAnsi="Book Antiqua"/>
        </w:rPr>
      </w:pPr>
      <w:r w:rsidRPr="00880FA7">
        <w:rPr>
          <w:rFonts w:ascii="Book Antiqua" w:eastAsia="Book Antiqua" w:hAnsi="Book Antiqua" w:cs="Book Antiqua"/>
          <w:color w:val="000000"/>
        </w:rPr>
        <w:t xml:space="preserve">Since sorafenib was the only first-line therapy option for uHCC for </w:t>
      </w:r>
      <w:r w:rsidR="00E0308E" w:rsidRPr="00880FA7">
        <w:rPr>
          <w:rFonts w:ascii="Book Antiqua" w:eastAsia="Book Antiqua" w:hAnsi="Book Antiqua" w:cs="Book Antiqua"/>
          <w:color w:val="000000"/>
        </w:rPr>
        <w:t xml:space="preserve">15 </w:t>
      </w:r>
      <w:r w:rsidRPr="00880FA7">
        <w:rPr>
          <w:rFonts w:ascii="Book Antiqua" w:eastAsia="Book Antiqua" w:hAnsi="Book Antiqua" w:cs="Book Antiqua"/>
          <w:color w:val="000000"/>
        </w:rPr>
        <w:t>years, three alternative first-line therapeutic options have emerged. This represents a significant improvement in the management of uHCC (atezolizumab-bevacizumab, sorafenib, and lenvatinib). Cabozantinib, regorafenib, and ramucirumab are now included in the second-line therapy alternatives (AFP &gt;</w:t>
      </w:r>
      <w:r w:rsidR="003F1D90" w:rsidRPr="00880FA7">
        <w:rPr>
          <w:rFonts w:ascii="Book Antiqua" w:hAnsi="Book Antiqua" w:cs="Book Antiqua" w:hint="eastAsia"/>
          <w:color w:val="000000"/>
          <w:lang w:eastAsia="zh-CN"/>
        </w:rPr>
        <w:t xml:space="preserve"> </w:t>
      </w:r>
      <w:r w:rsidRPr="00880FA7">
        <w:rPr>
          <w:rFonts w:ascii="Book Antiqua" w:eastAsia="Book Antiqua" w:hAnsi="Book Antiqua" w:cs="Book Antiqua"/>
          <w:color w:val="000000"/>
        </w:rPr>
        <w:t>400 ng/mL). Nivolumab and pembrolizumab, ICIs, have been suggested as second-line treatments for individuals who are intolerant to MTKIs.</w:t>
      </w:r>
    </w:p>
    <w:p w14:paraId="2AFA2B76" w14:textId="77777777" w:rsidR="00A77B3E" w:rsidRPr="00880FA7" w:rsidRDefault="00A77B3E" w:rsidP="00D33124">
      <w:pPr>
        <w:spacing w:line="360" w:lineRule="auto"/>
        <w:jc w:val="both"/>
        <w:rPr>
          <w:rFonts w:ascii="Book Antiqua" w:hAnsi="Book Antiqua"/>
        </w:rPr>
      </w:pPr>
    </w:p>
    <w:p w14:paraId="5A6216EC"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REFERENCES</w:t>
      </w:r>
    </w:p>
    <w:p w14:paraId="00163966"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 </w:t>
      </w:r>
      <w:r w:rsidRPr="00880FA7">
        <w:rPr>
          <w:rFonts w:ascii="Book Antiqua" w:hAnsi="Book Antiqua"/>
          <w:b/>
          <w:bCs/>
        </w:rPr>
        <w:t xml:space="preserve">IARC. </w:t>
      </w:r>
      <w:r w:rsidRPr="00880FA7">
        <w:rPr>
          <w:rFonts w:ascii="Book Antiqua" w:hAnsi="Book Antiqua"/>
          <w:bCs/>
        </w:rPr>
        <w:t xml:space="preserve">Fact sheets by Population-Globocan-IARC. </w:t>
      </w:r>
      <w:r w:rsidR="006030BC" w:rsidRPr="00880FA7">
        <w:rPr>
          <w:rFonts w:ascii="Book Antiqua" w:hAnsi="Book Antiqua" w:hint="eastAsia"/>
          <w:bCs/>
          <w:lang w:eastAsia="zh-CN"/>
        </w:rPr>
        <w:t>[cit</w:t>
      </w:r>
      <w:r w:rsidR="006030BC" w:rsidRPr="00880FA7">
        <w:rPr>
          <w:rFonts w:ascii="Book Antiqua" w:hAnsi="Book Antiqua"/>
          <w:bCs/>
        </w:rPr>
        <w:t>ed</w:t>
      </w:r>
      <w:r w:rsidR="006030BC" w:rsidRPr="00880FA7">
        <w:rPr>
          <w:rFonts w:ascii="Book Antiqua" w:hAnsi="Book Antiqua" w:hint="eastAsia"/>
          <w:bCs/>
          <w:lang w:eastAsia="zh-CN"/>
        </w:rPr>
        <w:t xml:space="preserve"> 31</w:t>
      </w:r>
      <w:r w:rsidR="006030BC" w:rsidRPr="00880FA7">
        <w:rPr>
          <w:rFonts w:ascii="Book Antiqua" w:hAnsi="Book Antiqua"/>
          <w:bCs/>
        </w:rPr>
        <w:t xml:space="preserve"> Jul</w:t>
      </w:r>
      <w:r w:rsidR="006030BC" w:rsidRPr="00880FA7">
        <w:rPr>
          <w:rFonts w:ascii="Book Antiqua" w:hAnsi="Book Antiqua" w:hint="eastAsia"/>
          <w:bCs/>
          <w:lang w:eastAsia="zh-CN"/>
        </w:rPr>
        <w:t>y</w:t>
      </w:r>
      <w:r w:rsidR="006030BC" w:rsidRPr="00880FA7">
        <w:rPr>
          <w:rFonts w:ascii="Book Antiqua" w:hAnsi="Book Antiqua"/>
        </w:rPr>
        <w:t xml:space="preserve"> 2022</w:t>
      </w:r>
      <w:r w:rsidR="006030BC" w:rsidRPr="00880FA7">
        <w:rPr>
          <w:rFonts w:ascii="Book Antiqua" w:hAnsi="Book Antiqua" w:hint="eastAsia"/>
          <w:lang w:eastAsia="zh-CN"/>
        </w:rPr>
        <w:t>]</w:t>
      </w:r>
      <w:r w:rsidR="006030BC" w:rsidRPr="00880FA7">
        <w:rPr>
          <w:rFonts w:ascii="Book Antiqua" w:hAnsi="Book Antiqua"/>
        </w:rPr>
        <w:t>.</w:t>
      </w:r>
      <w:r w:rsidR="006030BC" w:rsidRPr="00880FA7">
        <w:rPr>
          <w:rFonts w:ascii="Book Antiqua" w:hAnsi="Book Antiqua" w:hint="eastAsia"/>
          <w:lang w:eastAsia="zh-CN"/>
        </w:rPr>
        <w:t xml:space="preserve"> </w:t>
      </w:r>
      <w:r w:rsidR="006030BC" w:rsidRPr="00880FA7">
        <w:rPr>
          <w:rFonts w:ascii="Book Antiqua" w:hAnsi="Book Antiqua" w:hint="eastAsia"/>
          <w:bCs/>
          <w:lang w:eastAsia="zh-CN"/>
        </w:rPr>
        <w:t xml:space="preserve">Available from: </w:t>
      </w:r>
      <w:r w:rsidRPr="00880FA7">
        <w:rPr>
          <w:rFonts w:ascii="Book Antiqua" w:hAnsi="Book Antiqua"/>
          <w:bCs/>
        </w:rPr>
        <w:t xml:space="preserve">https://gco.iarc.fr/today/data/factsheets/cancers/11-Liver-fact-sheet.pdf </w:t>
      </w:r>
    </w:p>
    <w:p w14:paraId="6FA4B37A" w14:textId="77777777" w:rsidR="00D33124" w:rsidRPr="00880FA7" w:rsidRDefault="00D33124" w:rsidP="00D33124">
      <w:pPr>
        <w:spacing w:line="360" w:lineRule="auto"/>
        <w:jc w:val="both"/>
        <w:rPr>
          <w:rFonts w:ascii="Book Antiqua" w:hAnsi="Book Antiqua"/>
        </w:rPr>
      </w:pPr>
      <w:r w:rsidRPr="00880FA7">
        <w:rPr>
          <w:rFonts w:ascii="Book Antiqua" w:hAnsi="Book Antiqua"/>
        </w:rPr>
        <w:lastRenderedPageBreak/>
        <w:t xml:space="preserve">2 </w:t>
      </w:r>
      <w:r w:rsidRPr="00880FA7">
        <w:rPr>
          <w:rFonts w:ascii="Book Antiqua" w:hAnsi="Book Antiqua"/>
          <w:b/>
          <w:bCs/>
        </w:rPr>
        <w:t>Samant H</w:t>
      </w:r>
      <w:r w:rsidRPr="00880FA7">
        <w:rPr>
          <w:rFonts w:ascii="Book Antiqua" w:hAnsi="Book Antiqua"/>
        </w:rPr>
        <w:t xml:space="preserve">, Amiri HS, Zibari GB. Addressing the worldwide hepatocellular carcinoma: epidemiology, prevention and management. </w:t>
      </w:r>
      <w:r w:rsidRPr="00880FA7">
        <w:rPr>
          <w:rFonts w:ascii="Book Antiqua" w:hAnsi="Book Antiqua"/>
          <w:i/>
          <w:iCs/>
        </w:rPr>
        <w:t>J Gastrointest Oncol</w:t>
      </w:r>
      <w:r w:rsidRPr="00880FA7">
        <w:rPr>
          <w:rFonts w:ascii="Book Antiqua" w:hAnsi="Book Antiqua"/>
        </w:rPr>
        <w:t xml:space="preserve"> 2021; </w:t>
      </w:r>
      <w:r w:rsidRPr="00880FA7">
        <w:rPr>
          <w:rFonts w:ascii="Book Antiqua" w:hAnsi="Book Antiqua"/>
          <w:b/>
          <w:bCs/>
        </w:rPr>
        <w:t>12</w:t>
      </w:r>
      <w:r w:rsidRPr="00880FA7">
        <w:rPr>
          <w:rFonts w:ascii="Book Antiqua" w:hAnsi="Book Antiqua"/>
        </w:rPr>
        <w:t>: S361-S373 [PMID: 34422400 DOI: 10.21037/jgo.2020.02.08]</w:t>
      </w:r>
    </w:p>
    <w:p w14:paraId="1C863CB8"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 </w:t>
      </w:r>
      <w:r w:rsidRPr="00880FA7">
        <w:rPr>
          <w:rFonts w:ascii="Book Antiqua" w:hAnsi="Book Antiqua"/>
          <w:b/>
          <w:bCs/>
        </w:rPr>
        <w:t>Global Burden of Disease Liver Cancer Collaboration</w:t>
      </w:r>
      <w:r w:rsidRPr="00880FA7">
        <w:rPr>
          <w:rFonts w:ascii="Book Antiqua" w:hAnsi="Book Antiqua"/>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880FA7">
        <w:rPr>
          <w:rFonts w:ascii="Book Antiqua" w:hAnsi="Book Antiqua"/>
          <w:i/>
          <w:iCs/>
        </w:rPr>
        <w:t>JAMA Oncol</w:t>
      </w:r>
      <w:r w:rsidRPr="00880FA7">
        <w:rPr>
          <w:rFonts w:ascii="Book Antiqua" w:hAnsi="Book Antiqua"/>
        </w:rPr>
        <w:t xml:space="preserve"> 2017; </w:t>
      </w:r>
      <w:r w:rsidRPr="00880FA7">
        <w:rPr>
          <w:rFonts w:ascii="Book Antiqua" w:hAnsi="Book Antiqua"/>
          <w:b/>
          <w:bCs/>
        </w:rPr>
        <w:t>3</w:t>
      </w:r>
      <w:r w:rsidRPr="00880FA7">
        <w:rPr>
          <w:rFonts w:ascii="Book Antiqua" w:hAnsi="Book Antiqua"/>
        </w:rPr>
        <w:t>: 1683-1691 [PMID: 28983565 DOI: 10.1001/jamaoncol.2017.3055]</w:t>
      </w:r>
    </w:p>
    <w:p w14:paraId="64D4279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 </w:t>
      </w:r>
      <w:r w:rsidRPr="00880FA7">
        <w:rPr>
          <w:rFonts w:ascii="Book Antiqua" w:hAnsi="Book Antiqua"/>
          <w:b/>
          <w:bCs/>
        </w:rPr>
        <w:t>Razavi H</w:t>
      </w:r>
      <w:r w:rsidRPr="00880FA7">
        <w:rPr>
          <w:rFonts w:ascii="Book Antiqua" w:hAnsi="Book Antiqua"/>
        </w:rPr>
        <w:t xml:space="preserve">. Global Epidemiology of Viral Hepatitis. </w:t>
      </w:r>
      <w:r w:rsidRPr="00880FA7">
        <w:rPr>
          <w:rFonts w:ascii="Book Antiqua" w:hAnsi="Book Antiqua"/>
          <w:i/>
          <w:iCs/>
        </w:rPr>
        <w:t>Gastroenterol Clin North Am</w:t>
      </w:r>
      <w:r w:rsidRPr="00880FA7">
        <w:rPr>
          <w:rFonts w:ascii="Book Antiqua" w:hAnsi="Book Antiqua"/>
        </w:rPr>
        <w:t xml:space="preserve"> 2020; </w:t>
      </w:r>
      <w:r w:rsidRPr="00880FA7">
        <w:rPr>
          <w:rFonts w:ascii="Book Antiqua" w:hAnsi="Book Antiqua"/>
          <w:b/>
          <w:bCs/>
        </w:rPr>
        <w:t>49</w:t>
      </w:r>
      <w:r w:rsidRPr="00880FA7">
        <w:rPr>
          <w:rFonts w:ascii="Book Antiqua" w:hAnsi="Book Antiqua"/>
        </w:rPr>
        <w:t>: 179-189 [PMID: 32389357 DOI: 10.1016/j.gtc.2020.01.001]</w:t>
      </w:r>
    </w:p>
    <w:p w14:paraId="3A0000BC"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 </w:t>
      </w:r>
      <w:r w:rsidRPr="00880FA7">
        <w:rPr>
          <w:rFonts w:ascii="Book Antiqua" w:hAnsi="Book Antiqua"/>
          <w:b/>
          <w:bCs/>
        </w:rPr>
        <w:t>Llovet JM</w:t>
      </w:r>
      <w:r w:rsidRPr="00880FA7">
        <w:rPr>
          <w:rFonts w:ascii="Book Antiqua" w:hAnsi="Book Antiqua"/>
        </w:rPr>
        <w:t xml:space="preserve">, Burroughs A, Bruix J. Hepatocellular carcinoma. </w:t>
      </w:r>
      <w:r w:rsidRPr="00880FA7">
        <w:rPr>
          <w:rFonts w:ascii="Book Antiqua" w:hAnsi="Book Antiqua"/>
          <w:i/>
          <w:iCs/>
        </w:rPr>
        <w:t>Lancet</w:t>
      </w:r>
      <w:r w:rsidRPr="00880FA7">
        <w:rPr>
          <w:rFonts w:ascii="Book Antiqua" w:hAnsi="Book Antiqua"/>
        </w:rPr>
        <w:t xml:space="preserve"> 2003; </w:t>
      </w:r>
      <w:r w:rsidRPr="00880FA7">
        <w:rPr>
          <w:rFonts w:ascii="Book Antiqua" w:hAnsi="Book Antiqua"/>
          <w:b/>
          <w:bCs/>
        </w:rPr>
        <w:t>362</w:t>
      </w:r>
      <w:r w:rsidRPr="00880FA7">
        <w:rPr>
          <w:rFonts w:ascii="Book Antiqua" w:hAnsi="Book Antiqua"/>
        </w:rPr>
        <w:t>: 1907-1917 [PMID: 14667750 DOI: 10.1016/S0140-6736(03)14964-1]</w:t>
      </w:r>
    </w:p>
    <w:p w14:paraId="2D28F235"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 </w:t>
      </w:r>
      <w:r w:rsidRPr="00880FA7">
        <w:rPr>
          <w:rFonts w:ascii="Book Antiqua" w:hAnsi="Book Antiqua"/>
          <w:b/>
          <w:bCs/>
        </w:rPr>
        <w:t>Yang JD</w:t>
      </w:r>
      <w:r w:rsidRPr="00880FA7">
        <w:rPr>
          <w:rFonts w:ascii="Book Antiqua" w:hAnsi="Book Antiqua"/>
        </w:rPr>
        <w:t xml:space="preserve">, Hainaut P, Gores GJ, Amadou A, Plymoth A, Roberts LR. A global view of hepatocellular carcinoma: trends, risk, prevention and management. </w:t>
      </w:r>
      <w:r w:rsidRPr="00880FA7">
        <w:rPr>
          <w:rFonts w:ascii="Book Antiqua" w:hAnsi="Book Antiqua"/>
          <w:i/>
          <w:iCs/>
        </w:rPr>
        <w:t>Nat Rev Gastroenterol Hepatol</w:t>
      </w:r>
      <w:r w:rsidRPr="00880FA7">
        <w:rPr>
          <w:rFonts w:ascii="Book Antiqua" w:hAnsi="Book Antiqua"/>
        </w:rPr>
        <w:t xml:space="preserve"> 2019; </w:t>
      </w:r>
      <w:r w:rsidRPr="00880FA7">
        <w:rPr>
          <w:rFonts w:ascii="Book Antiqua" w:hAnsi="Book Antiqua"/>
          <w:b/>
          <w:bCs/>
        </w:rPr>
        <w:t>16</w:t>
      </w:r>
      <w:r w:rsidRPr="00880FA7">
        <w:rPr>
          <w:rFonts w:ascii="Book Antiqua" w:hAnsi="Book Antiqua"/>
        </w:rPr>
        <w:t>: 589-604 [PMID: 31439937 DOI: 10.1038/s41575-019-0186-y]</w:t>
      </w:r>
    </w:p>
    <w:p w14:paraId="16E0A0CA"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 </w:t>
      </w:r>
      <w:r w:rsidRPr="00880FA7">
        <w:rPr>
          <w:rFonts w:ascii="Book Antiqua" w:hAnsi="Book Antiqua"/>
          <w:b/>
          <w:bCs/>
        </w:rPr>
        <w:t>Tabrizian P</w:t>
      </w:r>
      <w:r w:rsidRPr="00880FA7">
        <w:rPr>
          <w:rFonts w:ascii="Book Antiqua" w:hAnsi="Book Antiqua"/>
        </w:rPr>
        <w:t xml:space="preserve">, Jibara G, Shrager B, Schwartz M, Roayaie S. Recurrence of hepatocellular cancer after resection: patterns, treatments, and prognosis. </w:t>
      </w:r>
      <w:r w:rsidRPr="00880FA7">
        <w:rPr>
          <w:rFonts w:ascii="Book Antiqua" w:hAnsi="Book Antiqua"/>
          <w:i/>
          <w:iCs/>
        </w:rPr>
        <w:t>Ann Surg</w:t>
      </w:r>
      <w:r w:rsidRPr="00880FA7">
        <w:rPr>
          <w:rFonts w:ascii="Book Antiqua" w:hAnsi="Book Antiqua"/>
        </w:rPr>
        <w:t xml:space="preserve"> 2015; </w:t>
      </w:r>
      <w:r w:rsidRPr="00880FA7">
        <w:rPr>
          <w:rFonts w:ascii="Book Antiqua" w:hAnsi="Book Antiqua"/>
          <w:b/>
          <w:bCs/>
        </w:rPr>
        <w:t>261</w:t>
      </w:r>
      <w:r w:rsidRPr="00880FA7">
        <w:rPr>
          <w:rFonts w:ascii="Book Antiqua" w:hAnsi="Book Antiqua"/>
        </w:rPr>
        <w:t>: 947-955 [PMID: 25010665 DOI: 10.1097/SLA.0000000000000710]</w:t>
      </w:r>
    </w:p>
    <w:p w14:paraId="42852E70" w14:textId="77777777" w:rsidR="00D33124" w:rsidRPr="00880FA7" w:rsidRDefault="00D33124" w:rsidP="00D33124">
      <w:pPr>
        <w:spacing w:line="360" w:lineRule="auto"/>
        <w:jc w:val="both"/>
        <w:rPr>
          <w:rFonts w:ascii="Book Antiqua" w:hAnsi="Book Antiqua"/>
        </w:rPr>
      </w:pPr>
      <w:r w:rsidRPr="00880FA7">
        <w:rPr>
          <w:rFonts w:ascii="Book Antiqua" w:hAnsi="Book Antiqua"/>
        </w:rPr>
        <w:lastRenderedPageBreak/>
        <w:t xml:space="preserve">8 </w:t>
      </w:r>
      <w:r w:rsidRPr="00880FA7">
        <w:rPr>
          <w:rFonts w:ascii="Book Antiqua" w:hAnsi="Book Antiqua"/>
          <w:b/>
          <w:bCs/>
        </w:rPr>
        <w:t>Llovet JM</w:t>
      </w:r>
      <w:r w:rsidRPr="00880FA7">
        <w:rPr>
          <w:rFonts w:ascii="Book Antiqua" w:hAnsi="Book Antiqua"/>
        </w:rPr>
        <w:t xml:space="preserve">, Sala M, Castells L, Suarez Y, Vilana R, Bianchi L, Ayuso C, Vargas V, Rodés J, Bruix J. Randomized controlled trial of interferon treatment for advanced hepatocellular carcinoma. </w:t>
      </w:r>
      <w:r w:rsidRPr="00880FA7">
        <w:rPr>
          <w:rFonts w:ascii="Book Antiqua" w:hAnsi="Book Antiqua"/>
          <w:i/>
          <w:iCs/>
        </w:rPr>
        <w:t>Hepatology</w:t>
      </w:r>
      <w:r w:rsidRPr="00880FA7">
        <w:rPr>
          <w:rFonts w:ascii="Book Antiqua" w:hAnsi="Book Antiqua"/>
        </w:rPr>
        <w:t xml:space="preserve"> 2000; </w:t>
      </w:r>
      <w:r w:rsidRPr="00880FA7">
        <w:rPr>
          <w:rFonts w:ascii="Book Antiqua" w:hAnsi="Book Antiqua"/>
          <w:b/>
          <w:bCs/>
        </w:rPr>
        <w:t>31</w:t>
      </w:r>
      <w:r w:rsidRPr="00880FA7">
        <w:rPr>
          <w:rFonts w:ascii="Book Antiqua" w:hAnsi="Book Antiqua"/>
        </w:rPr>
        <w:t>: 54-58 [PMID: 10613728 DOI: 10.1002/hep.510310111]</w:t>
      </w:r>
    </w:p>
    <w:p w14:paraId="0A535C5A"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9 </w:t>
      </w:r>
      <w:r w:rsidRPr="00880FA7">
        <w:rPr>
          <w:rFonts w:ascii="Book Antiqua" w:hAnsi="Book Antiqua"/>
          <w:b/>
          <w:bCs/>
        </w:rPr>
        <w:t>Sangro B</w:t>
      </w:r>
      <w:r w:rsidRPr="00880FA7">
        <w:rPr>
          <w:rFonts w:ascii="Book Antiqua" w:hAnsi="Book Antiqua"/>
        </w:rPr>
        <w:t xml:space="preserve">, Mazzolini G, Ruiz J, Herraiz M, Quiroga J, Herrero I, Benito A, Larrache J, Pueyo J, Subtil JC, Olagüe C, Sola J, Sádaba B, Lacasa C, Melero I, Qian C, Prieto J. Phase I trial of intratumoral injection of an adenovirus encoding interleukin-12 for advanced digestive tumors. </w:t>
      </w:r>
      <w:r w:rsidRPr="00880FA7">
        <w:rPr>
          <w:rFonts w:ascii="Book Antiqua" w:hAnsi="Book Antiqua"/>
          <w:i/>
          <w:iCs/>
        </w:rPr>
        <w:t>J Clin Oncol</w:t>
      </w:r>
      <w:r w:rsidRPr="00880FA7">
        <w:rPr>
          <w:rFonts w:ascii="Book Antiqua" w:hAnsi="Book Antiqua"/>
        </w:rPr>
        <w:t xml:space="preserve"> 2004; </w:t>
      </w:r>
      <w:r w:rsidRPr="00880FA7">
        <w:rPr>
          <w:rFonts w:ascii="Book Antiqua" w:hAnsi="Book Antiqua"/>
          <w:b/>
          <w:bCs/>
        </w:rPr>
        <w:t>22</w:t>
      </w:r>
      <w:r w:rsidRPr="00880FA7">
        <w:rPr>
          <w:rFonts w:ascii="Book Antiqua" w:hAnsi="Book Antiqua"/>
        </w:rPr>
        <w:t>: 1389-1397 [PMID: 15084613 DOI: 10.1200/JCO.2004.04.059]</w:t>
      </w:r>
    </w:p>
    <w:p w14:paraId="3B0A9E1F"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10 </w:t>
      </w:r>
      <w:r w:rsidRPr="00880FA7">
        <w:rPr>
          <w:rFonts w:ascii="Book Antiqua" w:hAnsi="Book Antiqua"/>
          <w:b/>
          <w:bCs/>
        </w:rPr>
        <w:t>El-Khoueiry AB</w:t>
      </w:r>
      <w:r w:rsidRPr="00880FA7">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880FA7">
        <w:rPr>
          <w:rFonts w:ascii="Book Antiqua" w:hAnsi="Book Antiqua"/>
          <w:i/>
          <w:iCs/>
        </w:rPr>
        <w:t>Lancet</w:t>
      </w:r>
      <w:r w:rsidRPr="00880FA7">
        <w:rPr>
          <w:rFonts w:ascii="Book Antiqua" w:hAnsi="Book Antiqua"/>
        </w:rPr>
        <w:t xml:space="preserve"> 2017; </w:t>
      </w:r>
      <w:r w:rsidRPr="00880FA7">
        <w:rPr>
          <w:rFonts w:ascii="Book Antiqua" w:hAnsi="Book Antiqua"/>
          <w:b/>
          <w:bCs/>
        </w:rPr>
        <w:t>389</w:t>
      </w:r>
      <w:r w:rsidRPr="00880FA7">
        <w:rPr>
          <w:rFonts w:ascii="Book Antiqua" w:hAnsi="Book Antiqua"/>
        </w:rPr>
        <w:t>: 2492-2502 [PMID: 28434648 DOI: 10.1016/S0140-6736(17)31046-2]</w:t>
      </w:r>
    </w:p>
    <w:p w14:paraId="2160D24C"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11 </w:t>
      </w:r>
      <w:r w:rsidRPr="00880FA7">
        <w:rPr>
          <w:rFonts w:ascii="Book Antiqua" w:hAnsi="Book Antiqua"/>
          <w:b/>
          <w:bCs/>
        </w:rPr>
        <w:t>Zhu AX</w:t>
      </w:r>
      <w:r w:rsidRPr="00880FA7">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880FA7">
        <w:rPr>
          <w:rFonts w:ascii="Book Antiqua" w:hAnsi="Book Antiqua"/>
          <w:i/>
          <w:iCs/>
        </w:rPr>
        <w:t>Lancet Oncol</w:t>
      </w:r>
      <w:r w:rsidRPr="00880FA7">
        <w:rPr>
          <w:rFonts w:ascii="Book Antiqua" w:hAnsi="Book Antiqua"/>
        </w:rPr>
        <w:t xml:space="preserve"> 2018; </w:t>
      </w:r>
      <w:r w:rsidRPr="00880FA7">
        <w:rPr>
          <w:rFonts w:ascii="Book Antiqua" w:hAnsi="Book Antiqua"/>
          <w:b/>
          <w:bCs/>
        </w:rPr>
        <w:t>19</w:t>
      </w:r>
      <w:r w:rsidRPr="00880FA7">
        <w:rPr>
          <w:rFonts w:ascii="Book Antiqua" w:hAnsi="Book Antiqua"/>
        </w:rPr>
        <w:t>: 940-952 [PMID: 29875066 DOI: 10.1016/S1470-2045(18)30351-6]</w:t>
      </w:r>
    </w:p>
    <w:p w14:paraId="1A706895"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12 </w:t>
      </w:r>
      <w:r w:rsidRPr="00880FA7">
        <w:rPr>
          <w:rFonts w:ascii="Book Antiqua" w:hAnsi="Book Antiqua"/>
          <w:b/>
          <w:bCs/>
        </w:rPr>
        <w:t>Yau T</w:t>
      </w:r>
      <w:r w:rsidRPr="00880FA7">
        <w:rPr>
          <w:rFonts w:ascii="Book Antiqua" w:hAnsi="Book Antiqua"/>
        </w:rPr>
        <w:t xml:space="preserve">, Park JW, Finn RS, Cheng AL, Mathurin P, Edeline J, Kudo M, Harding JJ, Merle P, Rosmorduc O, Wyrwicz L, Schott E, Choo SP, Kelley RK, Sieghart W, Assenat E, Zaucha R, Furuse J, Abou-Alfa GK, El-Khoueiry AB, Melero I, Begic D, Chen G, Neely J, Wisniewski T, Tschaika M, Sangro B. Nivolumab versus sorafenib in advanced hepatocellular carcinoma (CheckMate 459): a randomised, multicentre, open-label, phase 3 trial. </w:t>
      </w:r>
      <w:r w:rsidRPr="00880FA7">
        <w:rPr>
          <w:rFonts w:ascii="Book Antiqua" w:hAnsi="Book Antiqua"/>
          <w:i/>
          <w:iCs/>
        </w:rPr>
        <w:t>Lancet Oncol</w:t>
      </w:r>
      <w:r w:rsidRPr="00880FA7">
        <w:rPr>
          <w:rFonts w:ascii="Book Antiqua" w:hAnsi="Book Antiqua"/>
        </w:rPr>
        <w:t xml:space="preserve"> 2022; </w:t>
      </w:r>
      <w:r w:rsidRPr="00880FA7">
        <w:rPr>
          <w:rFonts w:ascii="Book Antiqua" w:hAnsi="Book Antiqua"/>
          <w:b/>
          <w:bCs/>
        </w:rPr>
        <w:t>23</w:t>
      </w:r>
      <w:r w:rsidRPr="00880FA7">
        <w:rPr>
          <w:rFonts w:ascii="Book Antiqua" w:hAnsi="Book Antiqua"/>
        </w:rPr>
        <w:t>: 77-90 [PMID: 34914889 DOI: 10.1016/S1470-2045(21)00604-5]</w:t>
      </w:r>
    </w:p>
    <w:p w14:paraId="6568CDBB" w14:textId="77777777" w:rsidR="00D33124" w:rsidRPr="00880FA7" w:rsidRDefault="00D33124" w:rsidP="00D33124">
      <w:pPr>
        <w:spacing w:line="360" w:lineRule="auto"/>
        <w:jc w:val="both"/>
        <w:rPr>
          <w:rFonts w:ascii="Book Antiqua" w:hAnsi="Book Antiqua"/>
        </w:rPr>
      </w:pPr>
      <w:r w:rsidRPr="00880FA7">
        <w:rPr>
          <w:rFonts w:ascii="Book Antiqua" w:hAnsi="Book Antiqua"/>
        </w:rPr>
        <w:lastRenderedPageBreak/>
        <w:t xml:space="preserve">13 </w:t>
      </w:r>
      <w:r w:rsidRPr="00880FA7">
        <w:rPr>
          <w:rFonts w:ascii="Book Antiqua" w:hAnsi="Book Antiqua"/>
          <w:b/>
          <w:bCs/>
        </w:rPr>
        <w:t>Finn RS</w:t>
      </w:r>
      <w:r w:rsidRPr="00880FA7">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880FA7">
        <w:rPr>
          <w:rFonts w:ascii="Book Antiqua" w:hAnsi="Book Antiqua"/>
          <w:i/>
          <w:iCs/>
        </w:rPr>
        <w:t>J Clin Oncol</w:t>
      </w:r>
      <w:r w:rsidRPr="00880FA7">
        <w:rPr>
          <w:rFonts w:ascii="Book Antiqua" w:hAnsi="Book Antiqua"/>
        </w:rPr>
        <w:t xml:space="preserve"> 2020; </w:t>
      </w:r>
      <w:r w:rsidRPr="00880FA7">
        <w:rPr>
          <w:rFonts w:ascii="Book Antiqua" w:hAnsi="Book Antiqua"/>
          <w:b/>
          <w:bCs/>
        </w:rPr>
        <w:t>38</w:t>
      </w:r>
      <w:r w:rsidRPr="00880FA7">
        <w:rPr>
          <w:rFonts w:ascii="Book Antiqua" w:hAnsi="Book Antiqua"/>
        </w:rPr>
        <w:t>: 193-202 [PMID: 31790344 DOI: 10.1200/JCO.19.01307]</w:t>
      </w:r>
    </w:p>
    <w:p w14:paraId="00A96238"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14 </w:t>
      </w:r>
      <w:r w:rsidRPr="00880FA7">
        <w:rPr>
          <w:rFonts w:ascii="Book Antiqua" w:hAnsi="Book Antiqua"/>
          <w:b/>
          <w:bCs/>
        </w:rPr>
        <w:t>Finn RS</w:t>
      </w:r>
      <w:r w:rsidRPr="00880FA7">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880FA7">
        <w:rPr>
          <w:rFonts w:ascii="Book Antiqua" w:hAnsi="Book Antiqua"/>
          <w:i/>
          <w:iCs/>
        </w:rPr>
        <w:t>N Engl J Med</w:t>
      </w:r>
      <w:r w:rsidRPr="00880FA7">
        <w:rPr>
          <w:rFonts w:ascii="Book Antiqua" w:hAnsi="Book Antiqua"/>
        </w:rPr>
        <w:t xml:space="preserve"> 2020; </w:t>
      </w:r>
      <w:r w:rsidRPr="00880FA7">
        <w:rPr>
          <w:rFonts w:ascii="Book Antiqua" w:hAnsi="Book Antiqua"/>
          <w:b/>
          <w:bCs/>
        </w:rPr>
        <w:t>382</w:t>
      </w:r>
      <w:r w:rsidRPr="00880FA7">
        <w:rPr>
          <w:rFonts w:ascii="Book Antiqua" w:hAnsi="Book Antiqua"/>
        </w:rPr>
        <w:t>: 1894-1905 [PMID: 32402160 DOI: 10.1056/NEJMoa1915745]</w:t>
      </w:r>
    </w:p>
    <w:p w14:paraId="7D29A54E"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15 </w:t>
      </w:r>
      <w:r w:rsidRPr="00880FA7">
        <w:rPr>
          <w:rFonts w:ascii="Book Antiqua" w:hAnsi="Book Antiqua"/>
          <w:b/>
          <w:bCs/>
        </w:rPr>
        <w:t>Dimri M</w:t>
      </w:r>
      <w:r w:rsidRPr="00880FA7">
        <w:rPr>
          <w:rFonts w:ascii="Book Antiqua" w:hAnsi="Book Antiqua"/>
        </w:rPr>
        <w:t xml:space="preserve">, Satyanarayana A. Molecular Signaling Pathways and Therapeutic Targets in Hepatocellular Carcinoma. </w:t>
      </w:r>
      <w:r w:rsidRPr="00880FA7">
        <w:rPr>
          <w:rFonts w:ascii="Book Antiqua" w:hAnsi="Book Antiqua"/>
          <w:i/>
          <w:iCs/>
        </w:rPr>
        <w:t>Cancers (Basel)</w:t>
      </w:r>
      <w:r w:rsidRPr="00880FA7">
        <w:rPr>
          <w:rFonts w:ascii="Book Antiqua" w:hAnsi="Book Antiqua"/>
        </w:rPr>
        <w:t xml:space="preserve"> 2020; </w:t>
      </w:r>
      <w:r w:rsidRPr="00880FA7">
        <w:rPr>
          <w:rFonts w:ascii="Book Antiqua" w:hAnsi="Book Antiqua"/>
          <w:b/>
          <w:bCs/>
        </w:rPr>
        <w:t>12</w:t>
      </w:r>
      <w:r w:rsidRPr="00880FA7">
        <w:rPr>
          <w:rFonts w:ascii="Book Antiqua" w:hAnsi="Book Antiqua"/>
        </w:rPr>
        <w:t xml:space="preserve"> [PMID: 32093152 DOI: 10.3390/cancers12020491]</w:t>
      </w:r>
    </w:p>
    <w:p w14:paraId="41B78C8F"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16 </w:t>
      </w:r>
      <w:r w:rsidRPr="00880FA7">
        <w:rPr>
          <w:rFonts w:ascii="Book Antiqua" w:hAnsi="Book Antiqua"/>
          <w:b/>
          <w:bCs/>
        </w:rPr>
        <w:t>Roberts LR</w:t>
      </w:r>
      <w:r w:rsidRPr="00880FA7">
        <w:rPr>
          <w:rFonts w:ascii="Book Antiqua" w:hAnsi="Book Antiqua"/>
        </w:rPr>
        <w:t xml:space="preserve">, Gores GJ. Hepatocellular carcinoma: molecular pathways and new therapeutic targets. </w:t>
      </w:r>
      <w:r w:rsidRPr="00880FA7">
        <w:rPr>
          <w:rFonts w:ascii="Book Antiqua" w:hAnsi="Book Antiqua"/>
          <w:i/>
          <w:iCs/>
        </w:rPr>
        <w:t>Semin Liver Dis</w:t>
      </w:r>
      <w:r w:rsidRPr="00880FA7">
        <w:rPr>
          <w:rFonts w:ascii="Book Antiqua" w:hAnsi="Book Antiqua"/>
        </w:rPr>
        <w:t xml:space="preserve"> 2005; </w:t>
      </w:r>
      <w:r w:rsidRPr="00880FA7">
        <w:rPr>
          <w:rFonts w:ascii="Book Antiqua" w:hAnsi="Book Antiqua"/>
          <w:b/>
          <w:bCs/>
        </w:rPr>
        <w:t>25</w:t>
      </w:r>
      <w:r w:rsidRPr="00880FA7">
        <w:rPr>
          <w:rFonts w:ascii="Book Antiqua" w:hAnsi="Book Antiqua"/>
        </w:rPr>
        <w:t>: 212-225 [PMID: 15918149 DOI: 10.1055/s-2005-871200]</w:t>
      </w:r>
    </w:p>
    <w:p w14:paraId="39982CA1"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17 </w:t>
      </w:r>
      <w:r w:rsidRPr="00880FA7">
        <w:rPr>
          <w:rFonts w:ascii="Book Antiqua" w:hAnsi="Book Antiqua"/>
          <w:b/>
          <w:bCs/>
        </w:rPr>
        <w:t>Schmidt CM</w:t>
      </w:r>
      <w:r w:rsidRPr="00880FA7">
        <w:rPr>
          <w:rFonts w:ascii="Book Antiqua" w:hAnsi="Book Antiqua"/>
        </w:rPr>
        <w:t xml:space="preserve">, McKillop IH, Cahill PA, Sitzmann JV. Increased MAPK expression and activity in primary human hepatocellular carcinoma. </w:t>
      </w:r>
      <w:r w:rsidRPr="00880FA7">
        <w:rPr>
          <w:rFonts w:ascii="Book Antiqua" w:hAnsi="Book Antiqua"/>
          <w:i/>
          <w:iCs/>
        </w:rPr>
        <w:t>Biochem Biophys Res Commun</w:t>
      </w:r>
      <w:r w:rsidRPr="00880FA7">
        <w:rPr>
          <w:rFonts w:ascii="Book Antiqua" w:hAnsi="Book Antiqua"/>
        </w:rPr>
        <w:t xml:space="preserve"> 1997; </w:t>
      </w:r>
      <w:r w:rsidRPr="00880FA7">
        <w:rPr>
          <w:rFonts w:ascii="Book Antiqua" w:hAnsi="Book Antiqua"/>
          <w:b/>
          <w:bCs/>
        </w:rPr>
        <w:t>236</w:t>
      </w:r>
      <w:r w:rsidRPr="00880FA7">
        <w:rPr>
          <w:rFonts w:ascii="Book Antiqua" w:hAnsi="Book Antiqua"/>
        </w:rPr>
        <w:t>: 54-58 [PMID: 9223425 DOI: 10.1006/bbrc.1997.6840]</w:t>
      </w:r>
    </w:p>
    <w:p w14:paraId="1DF4FECC"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18 </w:t>
      </w:r>
      <w:r w:rsidRPr="00880FA7">
        <w:rPr>
          <w:rFonts w:ascii="Book Antiqua" w:hAnsi="Book Antiqua"/>
          <w:b/>
          <w:bCs/>
        </w:rPr>
        <w:t>Xing S</w:t>
      </w:r>
      <w:r w:rsidRPr="00880FA7">
        <w:rPr>
          <w:rFonts w:ascii="Book Antiqua" w:hAnsi="Book Antiqua"/>
        </w:rPr>
        <w:t xml:space="preserve">, Chen S, Yang X, Huang W. Role of MAPK activity in PD-L1 expression in hepatocellular carcinoma cells. </w:t>
      </w:r>
      <w:r w:rsidRPr="00880FA7">
        <w:rPr>
          <w:rFonts w:ascii="Book Antiqua" w:hAnsi="Book Antiqua"/>
          <w:i/>
          <w:iCs/>
        </w:rPr>
        <w:t>J BUON</w:t>
      </w:r>
      <w:r w:rsidRPr="00880FA7">
        <w:rPr>
          <w:rFonts w:ascii="Book Antiqua" w:hAnsi="Book Antiqua"/>
        </w:rPr>
        <w:t xml:space="preserve"> 2020; </w:t>
      </w:r>
      <w:r w:rsidRPr="00880FA7">
        <w:rPr>
          <w:rFonts w:ascii="Book Antiqua" w:hAnsi="Book Antiqua"/>
          <w:b/>
          <w:bCs/>
        </w:rPr>
        <w:t>25</w:t>
      </w:r>
      <w:r w:rsidRPr="00880FA7">
        <w:rPr>
          <w:rFonts w:ascii="Book Antiqua" w:hAnsi="Book Antiqua"/>
        </w:rPr>
        <w:t>: 1875-1882 [PMID: 33099927]</w:t>
      </w:r>
    </w:p>
    <w:p w14:paraId="5ADF9793"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19 </w:t>
      </w:r>
      <w:r w:rsidRPr="00880FA7">
        <w:rPr>
          <w:rFonts w:ascii="Book Antiqua" w:hAnsi="Book Antiqua"/>
          <w:b/>
          <w:bCs/>
        </w:rPr>
        <w:t>Hu J</w:t>
      </w:r>
      <w:r w:rsidRPr="00880FA7">
        <w:rPr>
          <w:rFonts w:ascii="Book Antiqua" w:hAnsi="Book Antiqua"/>
        </w:rPr>
        <w:t xml:space="preserve">, Cai D, Zhao Z, Zhong GC, Gong J. Suppression of Heterogeneous Nuclear Ribonucleoprotein C Inhibit Hepatocellular Carcinoma Proliferation, Migration, and Invasion via Ras/MAPK Signaling Pathway. </w:t>
      </w:r>
      <w:r w:rsidRPr="00880FA7">
        <w:rPr>
          <w:rFonts w:ascii="Book Antiqua" w:hAnsi="Book Antiqua"/>
          <w:i/>
          <w:iCs/>
        </w:rPr>
        <w:t>Front Oncol</w:t>
      </w:r>
      <w:r w:rsidRPr="00880FA7">
        <w:rPr>
          <w:rFonts w:ascii="Book Antiqua" w:hAnsi="Book Antiqua"/>
        </w:rPr>
        <w:t xml:space="preserve"> 2021; </w:t>
      </w:r>
      <w:r w:rsidRPr="00880FA7">
        <w:rPr>
          <w:rFonts w:ascii="Book Antiqua" w:hAnsi="Book Antiqua"/>
          <w:b/>
          <w:bCs/>
        </w:rPr>
        <w:t>11</w:t>
      </w:r>
      <w:r w:rsidRPr="00880FA7">
        <w:rPr>
          <w:rFonts w:ascii="Book Antiqua" w:hAnsi="Book Antiqua"/>
        </w:rPr>
        <w:t>: 659676 [PMID: 33937074 DOI: 10.3389/fonc.2021.659676]</w:t>
      </w:r>
    </w:p>
    <w:p w14:paraId="4EC6B67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20 </w:t>
      </w:r>
      <w:r w:rsidRPr="00880FA7">
        <w:rPr>
          <w:rFonts w:ascii="Book Antiqua" w:hAnsi="Book Antiqua"/>
          <w:b/>
          <w:bCs/>
        </w:rPr>
        <w:t>Mo S</w:t>
      </w:r>
      <w:r w:rsidRPr="00880FA7">
        <w:rPr>
          <w:rFonts w:ascii="Book Antiqua" w:hAnsi="Book Antiqua"/>
        </w:rPr>
        <w:t xml:space="preserve">, Fang D, Zhao S, Thai Hoa PT, Zhou C, Liang T, He Y, Yu T, Chen Y, Qin W, Han Q, Su H, Zhu G, Luo X, Peng T, Han C. Down regulated oncogene KIF2C inhibits growth, invasion, and metastasis of hepatocellular carcinoma through the Ras/MAPK </w:t>
      </w:r>
      <w:r w:rsidRPr="00880FA7">
        <w:rPr>
          <w:rFonts w:ascii="Book Antiqua" w:hAnsi="Book Antiqua"/>
        </w:rPr>
        <w:lastRenderedPageBreak/>
        <w:t xml:space="preserve">signaling pathway and epithelial-to-mesenchymal transition. </w:t>
      </w:r>
      <w:r w:rsidRPr="00880FA7">
        <w:rPr>
          <w:rFonts w:ascii="Book Antiqua" w:hAnsi="Book Antiqua"/>
          <w:i/>
          <w:iCs/>
        </w:rPr>
        <w:t>Ann Transl Med</w:t>
      </w:r>
      <w:r w:rsidRPr="00880FA7">
        <w:rPr>
          <w:rFonts w:ascii="Book Antiqua" w:hAnsi="Book Antiqua"/>
        </w:rPr>
        <w:t xml:space="preserve"> 2022; </w:t>
      </w:r>
      <w:r w:rsidRPr="00880FA7">
        <w:rPr>
          <w:rFonts w:ascii="Book Antiqua" w:hAnsi="Book Antiqua"/>
          <w:b/>
          <w:bCs/>
        </w:rPr>
        <w:t>10</w:t>
      </w:r>
      <w:r w:rsidRPr="00880FA7">
        <w:rPr>
          <w:rFonts w:ascii="Book Antiqua" w:hAnsi="Book Antiqua"/>
        </w:rPr>
        <w:t>: 151 [PMID: 35284538 DOI: 10.21037/atm-21-6240]</w:t>
      </w:r>
    </w:p>
    <w:p w14:paraId="38531227"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21 </w:t>
      </w:r>
      <w:r w:rsidRPr="00880FA7">
        <w:rPr>
          <w:rFonts w:ascii="Book Antiqua" w:hAnsi="Book Antiqua"/>
          <w:b/>
          <w:bCs/>
        </w:rPr>
        <w:t>Adnane L</w:t>
      </w:r>
      <w:r w:rsidRPr="00880FA7">
        <w:rPr>
          <w:rFonts w:ascii="Book Antiqua" w:hAnsi="Book Antiqua"/>
        </w:rPr>
        <w:t xml:space="preserve">, Trail PA, Taylor I, Wilhelm SM. Sorafenib (BAY 43-9006, Nexavar), a dual-action inhibitor that targets RAF/MEK/ERK pathway in tumor cells and tyrosine kinases VEGFR/PDGFR in tumor vasculature. </w:t>
      </w:r>
      <w:r w:rsidRPr="00880FA7">
        <w:rPr>
          <w:rFonts w:ascii="Book Antiqua" w:hAnsi="Book Antiqua"/>
          <w:i/>
          <w:iCs/>
        </w:rPr>
        <w:t>Methods Enzymol</w:t>
      </w:r>
      <w:r w:rsidRPr="00880FA7">
        <w:rPr>
          <w:rFonts w:ascii="Book Antiqua" w:hAnsi="Book Antiqua"/>
        </w:rPr>
        <w:t xml:space="preserve"> 2006; </w:t>
      </w:r>
      <w:r w:rsidRPr="00880FA7">
        <w:rPr>
          <w:rFonts w:ascii="Book Antiqua" w:hAnsi="Book Antiqua"/>
          <w:b/>
          <w:bCs/>
        </w:rPr>
        <w:t>407</w:t>
      </w:r>
      <w:r w:rsidRPr="00880FA7">
        <w:rPr>
          <w:rFonts w:ascii="Book Antiqua" w:hAnsi="Book Antiqua"/>
        </w:rPr>
        <w:t>: 597-612 [PMID: 16757355 DOI: 10.1016/S0076-6879(05)07047-3]</w:t>
      </w:r>
    </w:p>
    <w:p w14:paraId="65EC45F8"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22 </w:t>
      </w:r>
      <w:r w:rsidRPr="00880FA7">
        <w:rPr>
          <w:rFonts w:ascii="Book Antiqua" w:hAnsi="Book Antiqua"/>
          <w:b/>
          <w:bCs/>
        </w:rPr>
        <w:t>Liu L</w:t>
      </w:r>
      <w:r w:rsidRPr="00880FA7">
        <w:rPr>
          <w:rFonts w:ascii="Book Antiqua" w:hAnsi="Book Antiqua"/>
        </w:rPr>
        <w:t xml:space="preserve">, Cao Y, Chen C, Zhang X, McNabola A, Wilkie D, Wilhelm S, Lynch M, Carter C. Sorafenib blocks the RAF/MEK/ERK pathway, inhibits tumor angiogenesis, and induces tumor cell apoptosis in hepatocellular carcinoma model PLC/PRF/5. </w:t>
      </w:r>
      <w:r w:rsidRPr="00880FA7">
        <w:rPr>
          <w:rFonts w:ascii="Book Antiqua" w:hAnsi="Book Antiqua"/>
          <w:i/>
          <w:iCs/>
        </w:rPr>
        <w:t>Cancer Res</w:t>
      </w:r>
      <w:r w:rsidRPr="00880FA7">
        <w:rPr>
          <w:rFonts w:ascii="Book Antiqua" w:hAnsi="Book Antiqua"/>
        </w:rPr>
        <w:t xml:space="preserve"> 2006; </w:t>
      </w:r>
      <w:r w:rsidRPr="00880FA7">
        <w:rPr>
          <w:rFonts w:ascii="Book Antiqua" w:hAnsi="Book Antiqua"/>
          <w:b/>
          <w:bCs/>
        </w:rPr>
        <w:t>66</w:t>
      </w:r>
      <w:r w:rsidRPr="00880FA7">
        <w:rPr>
          <w:rFonts w:ascii="Book Antiqua" w:hAnsi="Book Antiqua"/>
        </w:rPr>
        <w:t>: 11851-11858 [PMID: 17178882 DOI: 10.1158/0008-5472.CAN-06-1377]</w:t>
      </w:r>
    </w:p>
    <w:p w14:paraId="34453933"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23 </w:t>
      </w:r>
      <w:r w:rsidRPr="00880FA7">
        <w:rPr>
          <w:rFonts w:ascii="Book Antiqua" w:hAnsi="Book Antiqua"/>
          <w:b/>
          <w:bCs/>
        </w:rPr>
        <w:t>McCubrey JA</w:t>
      </w:r>
      <w:r w:rsidRPr="00880FA7">
        <w:rPr>
          <w:rFonts w:ascii="Book Antiqua" w:hAnsi="Book Antiqua"/>
        </w:rPr>
        <w:t xml:space="preserve">, Steelman LS, Chappell WH, Abrams SL, Wong EW, Chang F, Lehmann B, Terrian DM, Milella M, Tafuri A, Stivala F, Libra M, Basecke J, Evangelisti C, Martelli AM, Franklin RA. Roles of the Raf/MEK/ERK pathway in cell growth, malignant transformation and drug resistance. </w:t>
      </w:r>
      <w:r w:rsidRPr="00880FA7">
        <w:rPr>
          <w:rFonts w:ascii="Book Antiqua" w:hAnsi="Book Antiqua"/>
          <w:i/>
          <w:iCs/>
        </w:rPr>
        <w:t>Biochim Biophys Acta</w:t>
      </w:r>
      <w:r w:rsidRPr="00880FA7">
        <w:rPr>
          <w:rFonts w:ascii="Book Antiqua" w:hAnsi="Book Antiqua"/>
        </w:rPr>
        <w:t xml:space="preserve"> 2007; </w:t>
      </w:r>
      <w:r w:rsidRPr="00880FA7">
        <w:rPr>
          <w:rFonts w:ascii="Book Antiqua" w:hAnsi="Book Antiqua"/>
          <w:b/>
          <w:bCs/>
        </w:rPr>
        <w:t>1773</w:t>
      </w:r>
      <w:r w:rsidRPr="00880FA7">
        <w:rPr>
          <w:rFonts w:ascii="Book Antiqua" w:hAnsi="Book Antiqua"/>
        </w:rPr>
        <w:t>: 1263-1284 [PMID: 17126425 DOI: 10.1016/j.bbamcr.2006.10.001]</w:t>
      </w:r>
    </w:p>
    <w:p w14:paraId="5EB027E7"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24 </w:t>
      </w:r>
      <w:r w:rsidRPr="00880FA7">
        <w:rPr>
          <w:rFonts w:ascii="Book Antiqua" w:hAnsi="Book Antiqua"/>
          <w:b/>
          <w:bCs/>
        </w:rPr>
        <w:t>Vivanco I</w:t>
      </w:r>
      <w:r w:rsidRPr="00880FA7">
        <w:rPr>
          <w:rFonts w:ascii="Book Antiqua" w:hAnsi="Book Antiqua"/>
        </w:rPr>
        <w:t xml:space="preserve">, Sawyers CL. The phosphatidylinositol 3-Kinase AKT pathway in human cancer. </w:t>
      </w:r>
      <w:r w:rsidRPr="00880FA7">
        <w:rPr>
          <w:rFonts w:ascii="Book Antiqua" w:hAnsi="Book Antiqua"/>
          <w:i/>
          <w:iCs/>
        </w:rPr>
        <w:t>Nat Rev Cancer</w:t>
      </w:r>
      <w:r w:rsidRPr="00880FA7">
        <w:rPr>
          <w:rFonts w:ascii="Book Antiqua" w:hAnsi="Book Antiqua"/>
        </w:rPr>
        <w:t xml:space="preserve"> 2002; </w:t>
      </w:r>
      <w:r w:rsidRPr="00880FA7">
        <w:rPr>
          <w:rFonts w:ascii="Book Antiqua" w:hAnsi="Book Antiqua"/>
          <w:b/>
          <w:bCs/>
        </w:rPr>
        <w:t>2</w:t>
      </w:r>
      <w:r w:rsidRPr="00880FA7">
        <w:rPr>
          <w:rFonts w:ascii="Book Antiqua" w:hAnsi="Book Antiqua"/>
        </w:rPr>
        <w:t>: 489-501 [PMID: 12094235 DOI: 10.1038/nrc839]</w:t>
      </w:r>
    </w:p>
    <w:p w14:paraId="26F7A29C"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25 </w:t>
      </w:r>
      <w:r w:rsidRPr="00880FA7">
        <w:rPr>
          <w:rFonts w:ascii="Book Antiqua" w:hAnsi="Book Antiqua"/>
          <w:b/>
          <w:bCs/>
        </w:rPr>
        <w:t>Nitulescu GM</w:t>
      </w:r>
      <w:r w:rsidRPr="00880FA7">
        <w:rPr>
          <w:rFonts w:ascii="Book Antiqua" w:hAnsi="Book Antiqua"/>
        </w:rPr>
        <w:t xml:space="preserve">, Van De Venter M, Nitulescu G, Ungurianu A, Juzenas P, Peng Q, Olaru OT, Grădinaru D, Tsatsakis A, Tsoukalas D, Spandidos DA, Margina D. The Akt pathway in oncology therapy and beyond (Review). </w:t>
      </w:r>
      <w:r w:rsidRPr="00880FA7">
        <w:rPr>
          <w:rFonts w:ascii="Book Antiqua" w:hAnsi="Book Antiqua"/>
          <w:i/>
          <w:iCs/>
        </w:rPr>
        <w:t>Int J Oncol</w:t>
      </w:r>
      <w:r w:rsidRPr="00880FA7">
        <w:rPr>
          <w:rFonts w:ascii="Book Antiqua" w:hAnsi="Book Antiqua"/>
        </w:rPr>
        <w:t xml:space="preserve"> 2018; </w:t>
      </w:r>
      <w:r w:rsidRPr="00880FA7">
        <w:rPr>
          <w:rFonts w:ascii="Book Antiqua" w:hAnsi="Book Antiqua"/>
          <w:b/>
          <w:bCs/>
        </w:rPr>
        <w:t>53</w:t>
      </w:r>
      <w:r w:rsidRPr="00880FA7">
        <w:rPr>
          <w:rFonts w:ascii="Book Antiqua" w:hAnsi="Book Antiqua"/>
        </w:rPr>
        <w:t>: 2319-2331 [PMID: 30334567 DOI: 10.3892/ijo.2018.4597]</w:t>
      </w:r>
    </w:p>
    <w:p w14:paraId="0525FE6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26 </w:t>
      </w:r>
      <w:r w:rsidRPr="00880FA7">
        <w:rPr>
          <w:rFonts w:ascii="Book Antiqua" w:hAnsi="Book Antiqua"/>
          <w:b/>
          <w:bCs/>
        </w:rPr>
        <w:t>Sun EJ</w:t>
      </w:r>
      <w:r w:rsidRPr="00880FA7">
        <w:rPr>
          <w:rFonts w:ascii="Book Antiqua" w:hAnsi="Book Antiqua"/>
        </w:rPr>
        <w:t xml:space="preserve">, Wankell M, Palamuthusingam P, McFarlane C, Hebbard L. Targeting the PI3K/Akt/mTOR Pathway in Hepatocellular Carcinoma. </w:t>
      </w:r>
      <w:r w:rsidRPr="00880FA7">
        <w:rPr>
          <w:rFonts w:ascii="Book Antiqua" w:hAnsi="Book Antiqua"/>
          <w:i/>
          <w:iCs/>
        </w:rPr>
        <w:t>Biomedicines</w:t>
      </w:r>
      <w:r w:rsidRPr="00880FA7">
        <w:rPr>
          <w:rFonts w:ascii="Book Antiqua" w:hAnsi="Book Antiqua"/>
        </w:rPr>
        <w:t xml:space="preserve"> 2021; </w:t>
      </w:r>
      <w:r w:rsidRPr="00880FA7">
        <w:rPr>
          <w:rFonts w:ascii="Book Antiqua" w:hAnsi="Book Antiqua"/>
          <w:b/>
          <w:bCs/>
        </w:rPr>
        <w:t>9</w:t>
      </w:r>
      <w:r w:rsidRPr="00880FA7">
        <w:rPr>
          <w:rFonts w:ascii="Book Antiqua" w:hAnsi="Book Antiqua"/>
        </w:rPr>
        <w:t xml:space="preserve"> [PMID: 34829868 DOI: 10.3390/biomedicines9111639]</w:t>
      </w:r>
    </w:p>
    <w:p w14:paraId="1D9DBD6A"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27 </w:t>
      </w:r>
      <w:r w:rsidRPr="00880FA7">
        <w:rPr>
          <w:rFonts w:ascii="Book Antiqua" w:hAnsi="Book Antiqua"/>
          <w:b/>
          <w:bCs/>
        </w:rPr>
        <w:t>Wu Y</w:t>
      </w:r>
      <w:r w:rsidRPr="00880FA7">
        <w:rPr>
          <w:rFonts w:ascii="Book Antiqua" w:hAnsi="Book Antiqua"/>
        </w:rPr>
        <w:t xml:space="preserve">, Zhang Y, Qin X, Geng H, Zuo D, Zhao Q. PI3K/AKT/mTOR pathway-related long non-coding RNAs: roles and mechanisms in hepatocellular carcinoma. </w:t>
      </w:r>
      <w:r w:rsidRPr="00880FA7">
        <w:rPr>
          <w:rFonts w:ascii="Book Antiqua" w:hAnsi="Book Antiqua"/>
          <w:i/>
          <w:iCs/>
        </w:rPr>
        <w:t>Pharmacol Res</w:t>
      </w:r>
      <w:r w:rsidRPr="00880FA7">
        <w:rPr>
          <w:rFonts w:ascii="Book Antiqua" w:hAnsi="Book Antiqua"/>
        </w:rPr>
        <w:t xml:space="preserve"> 2020; </w:t>
      </w:r>
      <w:r w:rsidRPr="00880FA7">
        <w:rPr>
          <w:rFonts w:ascii="Book Antiqua" w:hAnsi="Book Antiqua"/>
          <w:b/>
          <w:bCs/>
        </w:rPr>
        <w:t>160</w:t>
      </w:r>
      <w:r w:rsidRPr="00880FA7">
        <w:rPr>
          <w:rFonts w:ascii="Book Antiqua" w:hAnsi="Book Antiqua"/>
        </w:rPr>
        <w:t>: 105195 [PMID: 32916254 DOI: 10.1016/j.phrs.2020.105195]</w:t>
      </w:r>
    </w:p>
    <w:p w14:paraId="477858FC"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28 </w:t>
      </w:r>
      <w:r w:rsidRPr="00880FA7">
        <w:rPr>
          <w:rFonts w:ascii="Book Antiqua" w:hAnsi="Book Antiqua"/>
          <w:b/>
          <w:bCs/>
        </w:rPr>
        <w:t>Hu TH</w:t>
      </w:r>
      <w:r w:rsidRPr="00880FA7">
        <w:rPr>
          <w:rFonts w:ascii="Book Antiqua" w:hAnsi="Book Antiqua"/>
        </w:rPr>
        <w:t xml:space="preserve">, Huang CC, Lin PR, Chang HW, Ger LP, Lin YW, Changchien CS, Lee CM, Tai MH. Expression and prognostic role of tumor suppressor gene PTEN/MMAC1/TEP1 in </w:t>
      </w:r>
      <w:r w:rsidRPr="00880FA7">
        <w:rPr>
          <w:rFonts w:ascii="Book Antiqua" w:hAnsi="Book Antiqua"/>
        </w:rPr>
        <w:lastRenderedPageBreak/>
        <w:t xml:space="preserve">hepatocellular carcinoma. </w:t>
      </w:r>
      <w:r w:rsidRPr="00880FA7">
        <w:rPr>
          <w:rFonts w:ascii="Book Antiqua" w:hAnsi="Book Antiqua"/>
          <w:i/>
          <w:iCs/>
        </w:rPr>
        <w:t>Cancer</w:t>
      </w:r>
      <w:r w:rsidRPr="00880FA7">
        <w:rPr>
          <w:rFonts w:ascii="Book Antiqua" w:hAnsi="Book Antiqua"/>
        </w:rPr>
        <w:t xml:space="preserve"> 2003; </w:t>
      </w:r>
      <w:r w:rsidRPr="00880FA7">
        <w:rPr>
          <w:rFonts w:ascii="Book Antiqua" w:hAnsi="Book Antiqua"/>
          <w:b/>
          <w:bCs/>
        </w:rPr>
        <w:t>97</w:t>
      </w:r>
      <w:r w:rsidRPr="00880FA7">
        <w:rPr>
          <w:rFonts w:ascii="Book Antiqua" w:hAnsi="Book Antiqua"/>
        </w:rPr>
        <w:t>: 1929-1940 [PMID: 12673720 DOI: 10.1002/cncr.11266]</w:t>
      </w:r>
    </w:p>
    <w:p w14:paraId="6EFA8E57"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29 </w:t>
      </w:r>
      <w:r w:rsidRPr="00880FA7">
        <w:rPr>
          <w:rFonts w:ascii="Book Antiqua" w:hAnsi="Book Antiqua"/>
          <w:b/>
          <w:bCs/>
        </w:rPr>
        <w:t>Hu TH</w:t>
      </w:r>
      <w:r w:rsidRPr="00880FA7">
        <w:rPr>
          <w:rFonts w:ascii="Book Antiqua" w:hAnsi="Book Antiqua"/>
        </w:rPr>
        <w:t xml:space="preserve">, Wang CC, Huang CC, Chen CL, Hung CH, Chen CH, Wang JH, Lu SN, Lee CM, Changchien CS, Tai MH. Down-regulation of tumor suppressor gene PTEN, overexpression of p53, plus high proliferating cell nuclear antigen index predict poor patient outcome of hepatocellular carcinoma after resection. </w:t>
      </w:r>
      <w:r w:rsidRPr="00880FA7">
        <w:rPr>
          <w:rFonts w:ascii="Book Antiqua" w:hAnsi="Book Antiqua"/>
          <w:i/>
          <w:iCs/>
        </w:rPr>
        <w:t>Oncol Rep</w:t>
      </w:r>
      <w:r w:rsidRPr="00880FA7">
        <w:rPr>
          <w:rFonts w:ascii="Book Antiqua" w:hAnsi="Book Antiqua"/>
        </w:rPr>
        <w:t xml:space="preserve"> 2007; </w:t>
      </w:r>
      <w:r w:rsidRPr="00880FA7">
        <w:rPr>
          <w:rFonts w:ascii="Book Antiqua" w:hAnsi="Book Antiqua"/>
          <w:b/>
          <w:bCs/>
        </w:rPr>
        <w:t>18</w:t>
      </w:r>
      <w:r w:rsidRPr="00880FA7">
        <w:rPr>
          <w:rFonts w:ascii="Book Antiqua" w:hAnsi="Book Antiqua"/>
        </w:rPr>
        <w:t>: 1417-1426 [PMID: 17982625]</w:t>
      </w:r>
    </w:p>
    <w:p w14:paraId="1D3394CC"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30 </w:t>
      </w:r>
      <w:r w:rsidRPr="00880FA7">
        <w:rPr>
          <w:rFonts w:ascii="Book Antiqua" w:hAnsi="Book Antiqua"/>
          <w:b/>
          <w:bCs/>
        </w:rPr>
        <w:t>He S</w:t>
      </w:r>
      <w:r w:rsidRPr="00880FA7">
        <w:rPr>
          <w:rFonts w:ascii="Book Antiqua" w:hAnsi="Book Antiqua"/>
        </w:rPr>
        <w:t xml:space="preserve">, Tang S. WNT/β-catenin signaling in the development of liver cancers. </w:t>
      </w:r>
      <w:r w:rsidRPr="00880FA7">
        <w:rPr>
          <w:rFonts w:ascii="Book Antiqua" w:hAnsi="Book Antiqua"/>
          <w:i/>
          <w:iCs/>
        </w:rPr>
        <w:t>Biomed Pharmacother</w:t>
      </w:r>
      <w:r w:rsidRPr="00880FA7">
        <w:rPr>
          <w:rFonts w:ascii="Book Antiqua" w:hAnsi="Book Antiqua"/>
        </w:rPr>
        <w:t xml:space="preserve"> 2020; </w:t>
      </w:r>
      <w:r w:rsidRPr="00880FA7">
        <w:rPr>
          <w:rFonts w:ascii="Book Antiqua" w:hAnsi="Book Antiqua"/>
          <w:b/>
          <w:bCs/>
        </w:rPr>
        <w:t>132</w:t>
      </w:r>
      <w:r w:rsidRPr="00880FA7">
        <w:rPr>
          <w:rFonts w:ascii="Book Antiqua" w:hAnsi="Book Antiqua"/>
        </w:rPr>
        <w:t>: 110851 [PMID: 33080466 DOI: 10.1016/j.biopha.2020.110851]</w:t>
      </w:r>
    </w:p>
    <w:p w14:paraId="5EE00CE1"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31 </w:t>
      </w:r>
      <w:r w:rsidRPr="00880FA7">
        <w:rPr>
          <w:rFonts w:ascii="Book Antiqua" w:hAnsi="Book Antiqua"/>
          <w:b/>
          <w:bCs/>
        </w:rPr>
        <w:t>Xu C</w:t>
      </w:r>
      <w:r w:rsidRPr="00880FA7">
        <w:rPr>
          <w:rFonts w:ascii="Book Antiqua" w:hAnsi="Book Antiqua"/>
        </w:rPr>
        <w:t xml:space="preserve">, Xu Z, Zhang Y, Evert M, Calvisi DF, Chen X. β-Catenin signaling in hepatocellular carcinoma. </w:t>
      </w:r>
      <w:r w:rsidRPr="00880FA7">
        <w:rPr>
          <w:rFonts w:ascii="Book Antiqua" w:hAnsi="Book Antiqua"/>
          <w:i/>
          <w:iCs/>
        </w:rPr>
        <w:t>J Clin Invest</w:t>
      </w:r>
      <w:r w:rsidRPr="00880FA7">
        <w:rPr>
          <w:rFonts w:ascii="Book Antiqua" w:hAnsi="Book Antiqua"/>
        </w:rPr>
        <w:t xml:space="preserve"> 2022; </w:t>
      </w:r>
      <w:r w:rsidRPr="00880FA7">
        <w:rPr>
          <w:rFonts w:ascii="Book Antiqua" w:hAnsi="Book Antiqua"/>
          <w:b/>
          <w:bCs/>
        </w:rPr>
        <w:t>132</w:t>
      </w:r>
      <w:r w:rsidRPr="00880FA7">
        <w:rPr>
          <w:rFonts w:ascii="Book Antiqua" w:hAnsi="Book Antiqua"/>
        </w:rPr>
        <w:t xml:space="preserve"> [PMID: 35166233 DOI: 10.1172/JCI154515]</w:t>
      </w:r>
    </w:p>
    <w:p w14:paraId="545B0B7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32 </w:t>
      </w:r>
      <w:r w:rsidRPr="00880FA7">
        <w:rPr>
          <w:rFonts w:ascii="Book Antiqua" w:hAnsi="Book Antiqua"/>
          <w:b/>
          <w:bCs/>
        </w:rPr>
        <w:t>Ranieri G</w:t>
      </w:r>
      <w:r w:rsidRPr="00880FA7">
        <w:rPr>
          <w:rFonts w:ascii="Book Antiqua" w:hAnsi="Book Antiqua"/>
        </w:rPr>
        <w:t xml:space="preserve">, Gadaleta-Caldarola G, Goffredo V, Patruno R, Mangia A, Rizzo A, Sciorsci RL, Gadaleta CD. Sorafenib (BAY 43-9006) in hepatocellular carcinoma patients: from discovery to clinical development. </w:t>
      </w:r>
      <w:r w:rsidRPr="00880FA7">
        <w:rPr>
          <w:rFonts w:ascii="Book Antiqua" w:hAnsi="Book Antiqua"/>
          <w:i/>
          <w:iCs/>
        </w:rPr>
        <w:t>Curr Med Chem</w:t>
      </w:r>
      <w:r w:rsidRPr="00880FA7">
        <w:rPr>
          <w:rFonts w:ascii="Book Antiqua" w:hAnsi="Book Antiqua"/>
        </w:rPr>
        <w:t xml:space="preserve"> 2012; </w:t>
      </w:r>
      <w:r w:rsidRPr="00880FA7">
        <w:rPr>
          <w:rFonts w:ascii="Book Antiqua" w:hAnsi="Book Antiqua"/>
          <w:b/>
          <w:bCs/>
        </w:rPr>
        <w:t>19</w:t>
      </w:r>
      <w:r w:rsidRPr="00880FA7">
        <w:rPr>
          <w:rFonts w:ascii="Book Antiqua" w:hAnsi="Book Antiqua"/>
        </w:rPr>
        <w:t>: 938-944 [PMID: 22214462 DOI: 10.2174/092986712799320736]</w:t>
      </w:r>
    </w:p>
    <w:p w14:paraId="43D404D6"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33 </w:t>
      </w:r>
      <w:r w:rsidRPr="00880FA7">
        <w:rPr>
          <w:rFonts w:ascii="Book Antiqua" w:hAnsi="Book Antiqua"/>
          <w:b/>
          <w:bCs/>
        </w:rPr>
        <w:t>Llovet JM</w:t>
      </w:r>
      <w:r w:rsidRPr="00880FA7">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880FA7">
        <w:rPr>
          <w:rFonts w:ascii="Book Antiqua" w:hAnsi="Book Antiqua"/>
          <w:i/>
          <w:iCs/>
        </w:rPr>
        <w:t>N Engl J Med</w:t>
      </w:r>
      <w:r w:rsidRPr="00880FA7">
        <w:rPr>
          <w:rFonts w:ascii="Book Antiqua" w:hAnsi="Book Antiqua"/>
        </w:rPr>
        <w:t xml:space="preserve"> 2008; </w:t>
      </w:r>
      <w:r w:rsidRPr="00880FA7">
        <w:rPr>
          <w:rFonts w:ascii="Book Antiqua" w:hAnsi="Book Antiqua"/>
          <w:b/>
          <w:bCs/>
        </w:rPr>
        <w:t>359</w:t>
      </w:r>
      <w:r w:rsidRPr="00880FA7">
        <w:rPr>
          <w:rFonts w:ascii="Book Antiqua" w:hAnsi="Book Antiqua"/>
        </w:rPr>
        <w:t>: 378-390 [PMID: 18650514 DOI: 10.1056/NEJMoa0708857]</w:t>
      </w:r>
    </w:p>
    <w:p w14:paraId="37CA6474"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34 </w:t>
      </w:r>
      <w:r w:rsidRPr="00880FA7">
        <w:rPr>
          <w:rFonts w:ascii="Book Antiqua" w:hAnsi="Book Antiqua"/>
          <w:b/>
          <w:bCs/>
        </w:rPr>
        <w:t>Cheng AL</w:t>
      </w:r>
      <w:r w:rsidRPr="00880FA7">
        <w:rPr>
          <w:rFonts w:ascii="Book Antiqua" w:hAnsi="Book Antiqua"/>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880FA7">
        <w:rPr>
          <w:rFonts w:ascii="Book Antiqua" w:hAnsi="Book Antiqua"/>
          <w:i/>
          <w:iCs/>
        </w:rPr>
        <w:t>Lancet Oncol</w:t>
      </w:r>
      <w:r w:rsidRPr="00880FA7">
        <w:rPr>
          <w:rFonts w:ascii="Book Antiqua" w:hAnsi="Book Antiqua"/>
        </w:rPr>
        <w:t xml:space="preserve"> 2009; </w:t>
      </w:r>
      <w:r w:rsidRPr="00880FA7">
        <w:rPr>
          <w:rFonts w:ascii="Book Antiqua" w:hAnsi="Book Antiqua"/>
          <w:b/>
          <w:bCs/>
        </w:rPr>
        <w:t>10</w:t>
      </w:r>
      <w:r w:rsidRPr="00880FA7">
        <w:rPr>
          <w:rFonts w:ascii="Book Antiqua" w:hAnsi="Book Antiqua"/>
        </w:rPr>
        <w:t>: 25-34 [PMID: 19095497 DOI: 10.1016/S1470-2045(08)70285-7]</w:t>
      </w:r>
    </w:p>
    <w:p w14:paraId="6A7C8064"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35 </w:t>
      </w:r>
      <w:r w:rsidRPr="00880FA7">
        <w:rPr>
          <w:rFonts w:ascii="Book Antiqua" w:hAnsi="Book Antiqua"/>
          <w:b/>
          <w:bCs/>
        </w:rPr>
        <w:t>Bruix J</w:t>
      </w:r>
      <w:r w:rsidRPr="00880FA7">
        <w:rPr>
          <w:rFonts w:ascii="Book Antiqua" w:hAnsi="Book Antiqua"/>
        </w:rPr>
        <w:t xml:space="preserve">, Cheng AL, Meinhardt G, Nakajima K, De Sanctis Y, Llovet J. Prognostic factors and predictors of sorafenib benefit in patients with hepatocellular carcinoma: Analysis of </w:t>
      </w:r>
      <w:r w:rsidRPr="00880FA7">
        <w:rPr>
          <w:rFonts w:ascii="Book Antiqua" w:hAnsi="Book Antiqua"/>
        </w:rPr>
        <w:lastRenderedPageBreak/>
        <w:t xml:space="preserve">two phase III studies. </w:t>
      </w:r>
      <w:r w:rsidRPr="00880FA7">
        <w:rPr>
          <w:rFonts w:ascii="Book Antiqua" w:hAnsi="Book Antiqua"/>
          <w:i/>
          <w:iCs/>
        </w:rPr>
        <w:t>J Hepatol</w:t>
      </w:r>
      <w:r w:rsidRPr="00880FA7">
        <w:rPr>
          <w:rFonts w:ascii="Book Antiqua" w:hAnsi="Book Antiqua"/>
        </w:rPr>
        <w:t xml:space="preserve"> 2017; </w:t>
      </w:r>
      <w:r w:rsidRPr="00880FA7">
        <w:rPr>
          <w:rFonts w:ascii="Book Antiqua" w:hAnsi="Book Antiqua"/>
          <w:b/>
          <w:bCs/>
        </w:rPr>
        <w:t>67</w:t>
      </w:r>
      <w:r w:rsidRPr="00880FA7">
        <w:rPr>
          <w:rFonts w:ascii="Book Antiqua" w:hAnsi="Book Antiqua"/>
        </w:rPr>
        <w:t>: 999-1008 [PMID: 28687477 DOI: 10.1016/j.jhep.2017.06.026]</w:t>
      </w:r>
    </w:p>
    <w:p w14:paraId="45567CC1"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36 </w:t>
      </w:r>
      <w:r w:rsidRPr="00880FA7">
        <w:rPr>
          <w:rFonts w:ascii="Book Antiqua" w:hAnsi="Book Antiqua"/>
          <w:b/>
          <w:bCs/>
        </w:rPr>
        <w:t>Raoul JL</w:t>
      </w:r>
      <w:r w:rsidRPr="00880FA7">
        <w:rPr>
          <w:rFonts w:ascii="Book Antiqua" w:hAnsi="Book Antiqua"/>
        </w:rPr>
        <w:t xml:space="preserve">, Bruix J, Greten TF, Sherman M, Mazzaferro V, Hilgard P, Scherubl H, Scheulen ME, Germanidis G, Dominguez S, Ricci S, Nadel A, Moscovici M, Voliotis D, Llovet JM. Relationship between baseline hepatic status and outcome, and effect of sorafenib on liver function: SHARP trial subanalyses. </w:t>
      </w:r>
      <w:r w:rsidRPr="00880FA7">
        <w:rPr>
          <w:rFonts w:ascii="Book Antiqua" w:hAnsi="Book Antiqua"/>
          <w:i/>
          <w:iCs/>
        </w:rPr>
        <w:t>J Hepatol</w:t>
      </w:r>
      <w:r w:rsidRPr="00880FA7">
        <w:rPr>
          <w:rFonts w:ascii="Book Antiqua" w:hAnsi="Book Antiqua"/>
        </w:rPr>
        <w:t xml:space="preserve"> 2012; </w:t>
      </w:r>
      <w:r w:rsidRPr="00880FA7">
        <w:rPr>
          <w:rFonts w:ascii="Book Antiqua" w:hAnsi="Book Antiqua"/>
          <w:b/>
          <w:bCs/>
        </w:rPr>
        <w:t>56</w:t>
      </w:r>
      <w:r w:rsidRPr="00880FA7">
        <w:rPr>
          <w:rFonts w:ascii="Book Antiqua" w:hAnsi="Book Antiqua"/>
        </w:rPr>
        <w:t>: 1080-1088 [PMID: 22245896 DOI: 10.1016/j.jhep.2011.12.009]</w:t>
      </w:r>
    </w:p>
    <w:p w14:paraId="21FCDEB1"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37 </w:t>
      </w:r>
      <w:r w:rsidRPr="00880FA7">
        <w:rPr>
          <w:rFonts w:ascii="Book Antiqua" w:hAnsi="Book Antiqua"/>
          <w:b/>
          <w:bCs/>
        </w:rPr>
        <w:t>Marrero JA</w:t>
      </w:r>
      <w:r w:rsidRPr="00880FA7">
        <w:rPr>
          <w:rFonts w:ascii="Book Antiqua" w:hAnsi="Book Antiqua"/>
        </w:rPr>
        <w:t xml:space="preserve">, Kudo M, Venook AP, Ye SL, Bronowicki JP, Chen XP, Dagher L, Furuse J, Geschwind JH, de Guevara LL, Papandreou C, Takayama T, Sanyal AJ, Yoon SK, Nakajima K, Lehr R, Heldner S, Lencioni R. Observational registry of sorafenib use in clinical practice across Child-Pugh subgroups: The GIDEON study. </w:t>
      </w:r>
      <w:r w:rsidRPr="00880FA7">
        <w:rPr>
          <w:rFonts w:ascii="Book Antiqua" w:hAnsi="Book Antiqua"/>
          <w:i/>
          <w:iCs/>
        </w:rPr>
        <w:t>J Hepatol</w:t>
      </w:r>
      <w:r w:rsidRPr="00880FA7">
        <w:rPr>
          <w:rFonts w:ascii="Book Antiqua" w:hAnsi="Book Antiqua"/>
        </w:rPr>
        <w:t xml:space="preserve"> 2016; </w:t>
      </w:r>
      <w:r w:rsidRPr="00880FA7">
        <w:rPr>
          <w:rFonts w:ascii="Book Antiqua" w:hAnsi="Book Antiqua"/>
          <w:b/>
          <w:bCs/>
        </w:rPr>
        <w:t>65</w:t>
      </w:r>
      <w:r w:rsidRPr="00880FA7">
        <w:rPr>
          <w:rFonts w:ascii="Book Antiqua" w:hAnsi="Book Antiqua"/>
        </w:rPr>
        <w:t>: 1140-1147 [PMID: 27469901 DOI: 10.1016/j.jhep.2016.07.020]</w:t>
      </w:r>
    </w:p>
    <w:p w14:paraId="7CF7F953"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38 </w:t>
      </w:r>
      <w:r w:rsidRPr="00880FA7">
        <w:rPr>
          <w:rFonts w:ascii="Book Antiqua" w:hAnsi="Book Antiqua"/>
          <w:b/>
          <w:bCs/>
        </w:rPr>
        <w:t>Ganten TM</w:t>
      </w:r>
      <w:r w:rsidRPr="00880FA7">
        <w:rPr>
          <w:rFonts w:ascii="Book Antiqua" w:hAnsi="Book Antiqua"/>
        </w:rPr>
        <w:t xml:space="preserve">, Stauber RE, Schott E, Malfertheiner P, Buder R, Galle PR, Göhler T, Walther M, Koschny R, Gerken G. Sorafenib in Patients with Hepatocellular Carcinoma-Results of the Observational INSIGHT Study. </w:t>
      </w:r>
      <w:r w:rsidRPr="00880FA7">
        <w:rPr>
          <w:rFonts w:ascii="Book Antiqua" w:hAnsi="Book Antiqua"/>
          <w:i/>
          <w:iCs/>
        </w:rPr>
        <w:t>Clin Cancer Res</w:t>
      </w:r>
      <w:r w:rsidRPr="00880FA7">
        <w:rPr>
          <w:rFonts w:ascii="Book Antiqua" w:hAnsi="Book Antiqua"/>
        </w:rPr>
        <w:t xml:space="preserve"> 2017; </w:t>
      </w:r>
      <w:r w:rsidRPr="00880FA7">
        <w:rPr>
          <w:rFonts w:ascii="Book Antiqua" w:hAnsi="Book Antiqua"/>
          <w:b/>
          <w:bCs/>
        </w:rPr>
        <w:t>23</w:t>
      </w:r>
      <w:r w:rsidRPr="00880FA7">
        <w:rPr>
          <w:rFonts w:ascii="Book Antiqua" w:hAnsi="Book Antiqua"/>
        </w:rPr>
        <w:t>: 5720-5728 [PMID: 28698202 DOI: 10.1158/1078-0432.CCR-16-0919]</w:t>
      </w:r>
    </w:p>
    <w:p w14:paraId="5024DADD"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39 </w:t>
      </w:r>
      <w:r w:rsidRPr="00880FA7">
        <w:rPr>
          <w:rFonts w:ascii="Book Antiqua" w:hAnsi="Book Antiqua"/>
          <w:b/>
          <w:bCs/>
        </w:rPr>
        <w:t>McNamara MG</w:t>
      </w:r>
      <w:r w:rsidRPr="00880FA7">
        <w:rPr>
          <w:rFonts w:ascii="Book Antiqua" w:hAnsi="Book Antiqua"/>
        </w:rPr>
        <w:t xml:space="preserve">, Slagter AE, Nuttall C, Frizziero M, Pihlak R, Lamarca A, Tariq N, Valle JW, Hubner RA, Knox JJ, Amir E. Sorafenib as first-line therapy in patients with advanced Child-Pugh B hepatocellular carcinoma-a meta-analysis. </w:t>
      </w:r>
      <w:r w:rsidRPr="00880FA7">
        <w:rPr>
          <w:rFonts w:ascii="Book Antiqua" w:hAnsi="Book Antiqua"/>
          <w:i/>
          <w:iCs/>
        </w:rPr>
        <w:t>Eur J Cancer</w:t>
      </w:r>
      <w:r w:rsidRPr="00880FA7">
        <w:rPr>
          <w:rFonts w:ascii="Book Antiqua" w:hAnsi="Book Antiqua"/>
        </w:rPr>
        <w:t xml:space="preserve"> 2018; </w:t>
      </w:r>
      <w:r w:rsidRPr="00880FA7">
        <w:rPr>
          <w:rFonts w:ascii="Book Antiqua" w:hAnsi="Book Antiqua"/>
          <w:b/>
          <w:bCs/>
        </w:rPr>
        <w:t>105</w:t>
      </w:r>
      <w:r w:rsidRPr="00880FA7">
        <w:rPr>
          <w:rFonts w:ascii="Book Antiqua" w:hAnsi="Book Antiqua"/>
        </w:rPr>
        <w:t>: 1-9 [PMID: 30384012 DOI: 10.1016/j.ejca.2018.09.031]</w:t>
      </w:r>
    </w:p>
    <w:p w14:paraId="30ED37EA"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40 </w:t>
      </w:r>
      <w:r w:rsidRPr="00880FA7">
        <w:rPr>
          <w:rFonts w:ascii="Book Antiqua" w:hAnsi="Book Antiqua"/>
          <w:b/>
          <w:bCs/>
        </w:rPr>
        <w:t>Johnson PJ</w:t>
      </w:r>
      <w:r w:rsidRPr="00880FA7">
        <w:rPr>
          <w:rFonts w:ascii="Book Antiqua" w:hAnsi="Book Antiqua"/>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880FA7">
        <w:rPr>
          <w:rFonts w:ascii="Book Antiqua" w:hAnsi="Book Antiqua"/>
          <w:i/>
          <w:iCs/>
        </w:rPr>
        <w:t>J Clin Oncol</w:t>
      </w:r>
      <w:r w:rsidRPr="00880FA7">
        <w:rPr>
          <w:rFonts w:ascii="Book Antiqua" w:hAnsi="Book Antiqua"/>
        </w:rPr>
        <w:t xml:space="preserve"> 2013; </w:t>
      </w:r>
      <w:r w:rsidRPr="00880FA7">
        <w:rPr>
          <w:rFonts w:ascii="Book Antiqua" w:hAnsi="Book Antiqua"/>
          <w:b/>
          <w:bCs/>
        </w:rPr>
        <w:t>31</w:t>
      </w:r>
      <w:r w:rsidRPr="00880FA7">
        <w:rPr>
          <w:rFonts w:ascii="Book Antiqua" w:hAnsi="Book Antiqua"/>
        </w:rPr>
        <w:t>: 3517-3524 [PMID: 23980084 DOI: 10.1200/JCO.2012.48.4410]</w:t>
      </w:r>
    </w:p>
    <w:p w14:paraId="1786C781"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41 </w:t>
      </w:r>
      <w:r w:rsidRPr="00880FA7">
        <w:rPr>
          <w:rFonts w:ascii="Book Antiqua" w:hAnsi="Book Antiqua"/>
          <w:b/>
          <w:bCs/>
        </w:rPr>
        <w:t>Cheng AL</w:t>
      </w:r>
      <w:r w:rsidRPr="00880FA7">
        <w:rPr>
          <w:rFonts w:ascii="Book Antiqua" w:hAnsi="Book Antiqua"/>
        </w:rPr>
        <w:t xml:space="preserve">, Kang YK, Lin DY, Park JW, Kudo M, Qin S, Chung HC, Song X, Xu J, Poggi G, Omata M, Pitman Lowenthal S, Lanzalone S, Yang L, Lechuga MJ, Raymond E. Sunitinib versus sorafenib in advanced hepatocellular cancer: results of a randomized </w:t>
      </w:r>
      <w:r w:rsidRPr="00880FA7">
        <w:rPr>
          <w:rFonts w:ascii="Book Antiqua" w:hAnsi="Book Antiqua"/>
        </w:rPr>
        <w:lastRenderedPageBreak/>
        <w:t xml:space="preserve">phase III trial. </w:t>
      </w:r>
      <w:r w:rsidRPr="00880FA7">
        <w:rPr>
          <w:rFonts w:ascii="Book Antiqua" w:hAnsi="Book Antiqua"/>
          <w:i/>
          <w:iCs/>
        </w:rPr>
        <w:t>J Clin Oncol</w:t>
      </w:r>
      <w:r w:rsidRPr="00880FA7">
        <w:rPr>
          <w:rFonts w:ascii="Book Antiqua" w:hAnsi="Book Antiqua"/>
        </w:rPr>
        <w:t xml:space="preserve"> 2013; </w:t>
      </w:r>
      <w:r w:rsidRPr="00880FA7">
        <w:rPr>
          <w:rFonts w:ascii="Book Antiqua" w:hAnsi="Book Antiqua"/>
          <w:b/>
          <w:bCs/>
        </w:rPr>
        <w:t>31</w:t>
      </w:r>
      <w:r w:rsidRPr="00880FA7">
        <w:rPr>
          <w:rFonts w:ascii="Book Antiqua" w:hAnsi="Book Antiqua"/>
        </w:rPr>
        <w:t>: 4067-4075 [PMID: 24081937 DOI: 10.1200/JCO.2012.45.8372]</w:t>
      </w:r>
    </w:p>
    <w:p w14:paraId="28A05BE2"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42 </w:t>
      </w:r>
      <w:r w:rsidRPr="00880FA7">
        <w:rPr>
          <w:rFonts w:ascii="Book Antiqua" w:hAnsi="Book Antiqua"/>
          <w:b/>
          <w:bCs/>
        </w:rPr>
        <w:t>Cainap C</w:t>
      </w:r>
      <w:r w:rsidRPr="00880FA7">
        <w:rPr>
          <w:rFonts w:ascii="Book Antiqua" w:hAnsi="Book Antiqua"/>
        </w:rPr>
        <w:t xml:space="preserve">, Qin S, Huang WT, Chung IJ, Pan H, Cheng Y, Kudo M, Kang YK, Chen PJ, Toh HC, Gorbunova V, Eskens FA, Qian J, McKee MD, Ricker JL, Carlson DM, El-Nowiem S. Linifanib versus Sorafenib in patients with advanced hepatocellular carcinoma: results of a randomized phase III trial. </w:t>
      </w:r>
      <w:r w:rsidRPr="00880FA7">
        <w:rPr>
          <w:rFonts w:ascii="Book Antiqua" w:hAnsi="Book Antiqua"/>
          <w:i/>
          <w:iCs/>
        </w:rPr>
        <w:t>J Clin Oncol</w:t>
      </w:r>
      <w:r w:rsidRPr="00880FA7">
        <w:rPr>
          <w:rFonts w:ascii="Book Antiqua" w:hAnsi="Book Antiqua"/>
        </w:rPr>
        <w:t xml:space="preserve"> 2015; </w:t>
      </w:r>
      <w:r w:rsidRPr="00880FA7">
        <w:rPr>
          <w:rFonts w:ascii="Book Antiqua" w:hAnsi="Book Antiqua"/>
          <w:b/>
          <w:bCs/>
        </w:rPr>
        <w:t>33</w:t>
      </w:r>
      <w:r w:rsidRPr="00880FA7">
        <w:rPr>
          <w:rFonts w:ascii="Book Antiqua" w:hAnsi="Book Antiqua"/>
        </w:rPr>
        <w:t>: 172-179 [PMID: 25488963 DOI: 10.1200/JCO.2013.54.3298]</w:t>
      </w:r>
    </w:p>
    <w:p w14:paraId="2AF1B38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43 </w:t>
      </w:r>
      <w:r w:rsidRPr="00880FA7">
        <w:rPr>
          <w:rFonts w:ascii="Book Antiqua" w:hAnsi="Book Antiqua"/>
          <w:b/>
          <w:bCs/>
        </w:rPr>
        <w:t>Zhu AX</w:t>
      </w:r>
      <w:r w:rsidRPr="00880FA7">
        <w:rPr>
          <w:rFonts w:ascii="Book Antiqua" w:hAnsi="Book Antiqua"/>
        </w:rPr>
        <w:t xml:space="preserve">,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880FA7">
        <w:rPr>
          <w:rFonts w:ascii="Book Antiqua" w:hAnsi="Book Antiqua"/>
          <w:i/>
          <w:iCs/>
        </w:rPr>
        <w:t>J Clin Oncol</w:t>
      </w:r>
      <w:r w:rsidRPr="00880FA7">
        <w:rPr>
          <w:rFonts w:ascii="Book Antiqua" w:hAnsi="Book Antiqua"/>
        </w:rPr>
        <w:t xml:space="preserve"> 2015; </w:t>
      </w:r>
      <w:r w:rsidRPr="00880FA7">
        <w:rPr>
          <w:rFonts w:ascii="Book Antiqua" w:hAnsi="Book Antiqua"/>
          <w:b/>
          <w:bCs/>
        </w:rPr>
        <w:t>33</w:t>
      </w:r>
      <w:r w:rsidRPr="00880FA7">
        <w:rPr>
          <w:rFonts w:ascii="Book Antiqua" w:hAnsi="Book Antiqua"/>
        </w:rPr>
        <w:t>: 559-566 [PMID: 25547503 DOI: 10.1200/JCO.2013.53.7746]</w:t>
      </w:r>
    </w:p>
    <w:p w14:paraId="15815EB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44 </w:t>
      </w:r>
      <w:r w:rsidRPr="00880FA7">
        <w:rPr>
          <w:rFonts w:ascii="Book Antiqua" w:hAnsi="Book Antiqua"/>
          <w:b/>
          <w:bCs/>
        </w:rPr>
        <w:t>Zhu AX</w:t>
      </w:r>
      <w:r w:rsidRPr="00880FA7">
        <w:rPr>
          <w:rFonts w:ascii="Book Antiqua" w:hAnsi="Book Antiqua"/>
        </w:rPr>
        <w:t xml:space="preserve">,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880FA7">
        <w:rPr>
          <w:rFonts w:ascii="Book Antiqua" w:hAnsi="Book Antiqua"/>
          <w:i/>
          <w:iCs/>
        </w:rPr>
        <w:t>JAMA</w:t>
      </w:r>
      <w:r w:rsidRPr="00880FA7">
        <w:rPr>
          <w:rFonts w:ascii="Book Antiqua" w:hAnsi="Book Antiqua"/>
        </w:rPr>
        <w:t xml:space="preserve"> 2014; </w:t>
      </w:r>
      <w:r w:rsidRPr="00880FA7">
        <w:rPr>
          <w:rFonts w:ascii="Book Antiqua" w:hAnsi="Book Antiqua"/>
          <w:b/>
          <w:bCs/>
        </w:rPr>
        <w:t>312</w:t>
      </w:r>
      <w:r w:rsidRPr="00880FA7">
        <w:rPr>
          <w:rFonts w:ascii="Book Antiqua" w:hAnsi="Book Antiqua"/>
        </w:rPr>
        <w:t>: 57-67 [PMID: 25058218 DOI: 10.1001/jama.2014.7189]</w:t>
      </w:r>
    </w:p>
    <w:p w14:paraId="1F1B8B6B"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45 </w:t>
      </w:r>
      <w:r w:rsidRPr="00880FA7">
        <w:rPr>
          <w:rFonts w:ascii="Book Antiqua" w:hAnsi="Book Antiqua"/>
          <w:b/>
          <w:bCs/>
        </w:rPr>
        <w:t>Bruix J</w:t>
      </w:r>
      <w:r w:rsidRPr="00880FA7">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880FA7">
        <w:rPr>
          <w:rFonts w:ascii="Book Antiqua" w:hAnsi="Book Antiqua"/>
          <w:i/>
          <w:iCs/>
        </w:rPr>
        <w:t>Lancet</w:t>
      </w:r>
      <w:r w:rsidRPr="00880FA7">
        <w:rPr>
          <w:rFonts w:ascii="Book Antiqua" w:hAnsi="Book Antiqua"/>
        </w:rPr>
        <w:t xml:space="preserve"> 2017; </w:t>
      </w:r>
      <w:r w:rsidRPr="00880FA7">
        <w:rPr>
          <w:rFonts w:ascii="Book Antiqua" w:hAnsi="Book Antiqua"/>
          <w:b/>
          <w:bCs/>
        </w:rPr>
        <w:t>389</w:t>
      </w:r>
      <w:r w:rsidRPr="00880FA7">
        <w:rPr>
          <w:rFonts w:ascii="Book Antiqua" w:hAnsi="Book Antiqua"/>
        </w:rPr>
        <w:t>: 56-66 [PMID: 27932229 DOI: 10.1016/S0140-6736(16)32453-9]</w:t>
      </w:r>
    </w:p>
    <w:p w14:paraId="7EC041CA"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46 </w:t>
      </w:r>
      <w:r w:rsidRPr="00880FA7">
        <w:rPr>
          <w:rFonts w:ascii="Book Antiqua" w:hAnsi="Book Antiqua"/>
          <w:b/>
          <w:bCs/>
        </w:rPr>
        <w:t>Nair A</w:t>
      </w:r>
      <w:r w:rsidRPr="00880FA7">
        <w:rPr>
          <w:rFonts w:ascii="Book Antiqua" w:hAnsi="Book Antiqua"/>
        </w:rPr>
        <w:t xml:space="preserve">, Reece K, Donoghue MB, Yuan WV, Rodriguez L, Keegan P, Pazdur R. FDA Supplemental Approval Summary: Lenvatinib for the Treatment of Unresectable Hepatocellular Carcinoma. </w:t>
      </w:r>
      <w:r w:rsidRPr="00880FA7">
        <w:rPr>
          <w:rFonts w:ascii="Book Antiqua" w:hAnsi="Book Antiqua"/>
          <w:i/>
          <w:iCs/>
        </w:rPr>
        <w:t>Oncologist</w:t>
      </w:r>
      <w:r w:rsidRPr="00880FA7">
        <w:rPr>
          <w:rFonts w:ascii="Book Antiqua" w:hAnsi="Book Antiqua"/>
        </w:rPr>
        <w:t xml:space="preserve"> 2021; </w:t>
      </w:r>
      <w:r w:rsidRPr="00880FA7">
        <w:rPr>
          <w:rFonts w:ascii="Book Antiqua" w:hAnsi="Book Antiqua"/>
          <w:b/>
          <w:bCs/>
        </w:rPr>
        <w:t>26</w:t>
      </w:r>
      <w:r w:rsidRPr="00880FA7">
        <w:rPr>
          <w:rFonts w:ascii="Book Antiqua" w:hAnsi="Book Antiqua"/>
        </w:rPr>
        <w:t>: e484-e491 [PMID: 33044793 DOI: 10.1002/onco.13566]</w:t>
      </w:r>
    </w:p>
    <w:p w14:paraId="30A8CBE2" w14:textId="77777777" w:rsidR="00D33124" w:rsidRPr="00880FA7" w:rsidRDefault="00D33124" w:rsidP="00D33124">
      <w:pPr>
        <w:spacing w:line="360" w:lineRule="auto"/>
        <w:jc w:val="both"/>
        <w:rPr>
          <w:rFonts w:ascii="Book Antiqua" w:hAnsi="Book Antiqua"/>
        </w:rPr>
      </w:pPr>
      <w:r w:rsidRPr="00880FA7">
        <w:rPr>
          <w:rFonts w:ascii="Book Antiqua" w:hAnsi="Book Antiqua"/>
        </w:rPr>
        <w:lastRenderedPageBreak/>
        <w:t xml:space="preserve">47 </w:t>
      </w:r>
      <w:r w:rsidRPr="00880FA7">
        <w:rPr>
          <w:rFonts w:ascii="Book Antiqua" w:hAnsi="Book Antiqua"/>
          <w:b/>
          <w:bCs/>
        </w:rPr>
        <w:t>Kudo M</w:t>
      </w:r>
      <w:r w:rsidRPr="00880FA7">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880FA7">
        <w:rPr>
          <w:rFonts w:ascii="Book Antiqua" w:hAnsi="Book Antiqua"/>
          <w:i/>
          <w:iCs/>
        </w:rPr>
        <w:t>Lancet</w:t>
      </w:r>
      <w:r w:rsidRPr="00880FA7">
        <w:rPr>
          <w:rFonts w:ascii="Book Antiqua" w:hAnsi="Book Antiqua"/>
        </w:rPr>
        <w:t xml:space="preserve"> 2018; </w:t>
      </w:r>
      <w:r w:rsidRPr="00880FA7">
        <w:rPr>
          <w:rFonts w:ascii="Book Antiqua" w:hAnsi="Book Antiqua"/>
          <w:b/>
          <w:bCs/>
        </w:rPr>
        <w:t>391</w:t>
      </w:r>
      <w:r w:rsidRPr="00880FA7">
        <w:rPr>
          <w:rFonts w:ascii="Book Antiqua" w:hAnsi="Book Antiqua"/>
        </w:rPr>
        <w:t>: 1163-1173 [PMID: 29433850 DOI: 10.1016/S0140-6736(18)30207-1]</w:t>
      </w:r>
    </w:p>
    <w:p w14:paraId="56A26D5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48 </w:t>
      </w:r>
      <w:r w:rsidRPr="00880FA7">
        <w:rPr>
          <w:rFonts w:ascii="Book Antiqua" w:hAnsi="Book Antiqua"/>
          <w:b/>
          <w:bCs/>
        </w:rPr>
        <w:t>Finn RS</w:t>
      </w:r>
      <w:r w:rsidRPr="00880FA7">
        <w:rPr>
          <w:rFonts w:ascii="Book Antiqua" w:hAnsi="Book Antiqua"/>
        </w:rPr>
        <w:t xml:space="preserve">, Kudo M, Cheng AL, Wyrwicz L, Ngan RKC, Blanc JF, Baron AD, Vogel A, Ikeda M, Piscaglia F, Han KH, Qin S, Minoshima Y, Kanekiyo M, Ren M, Dairiki R, Tamai T, Dutcus CE, Ikezawa H, Funahashi Y, Evans TRJ. Pharmacodynamic Biomarkers Predictive of Survival Benefit with Lenvatinib in Unresectable Hepatocellular Carcinoma: From the Phase III REFLECT Study. </w:t>
      </w:r>
      <w:r w:rsidRPr="00880FA7">
        <w:rPr>
          <w:rFonts w:ascii="Book Antiqua" w:hAnsi="Book Antiqua"/>
          <w:i/>
          <w:iCs/>
        </w:rPr>
        <w:t>Clin Cancer Res</w:t>
      </w:r>
      <w:r w:rsidRPr="00880FA7">
        <w:rPr>
          <w:rFonts w:ascii="Book Antiqua" w:hAnsi="Book Antiqua"/>
        </w:rPr>
        <w:t xml:space="preserve"> 2021; </w:t>
      </w:r>
      <w:r w:rsidRPr="00880FA7">
        <w:rPr>
          <w:rFonts w:ascii="Book Antiqua" w:hAnsi="Book Antiqua"/>
          <w:b/>
          <w:bCs/>
        </w:rPr>
        <w:t>27</w:t>
      </w:r>
      <w:r w:rsidRPr="00880FA7">
        <w:rPr>
          <w:rFonts w:ascii="Book Antiqua" w:hAnsi="Book Antiqua"/>
        </w:rPr>
        <w:t>: 4848-4858 [PMID: 34108184 DOI: 10.1158/1078-0432.CCR-20-4219]</w:t>
      </w:r>
    </w:p>
    <w:p w14:paraId="3049DDC7"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49 </w:t>
      </w:r>
      <w:r w:rsidRPr="00880FA7">
        <w:rPr>
          <w:rFonts w:ascii="Book Antiqua" w:hAnsi="Book Antiqua"/>
          <w:b/>
          <w:bCs/>
        </w:rPr>
        <w:t>Gordan JD</w:t>
      </w:r>
      <w:r w:rsidRPr="00880FA7">
        <w:rPr>
          <w:rFonts w:ascii="Book Antiqua" w:hAnsi="Book Antiqua"/>
        </w:rPr>
        <w:t xml:space="preserve">, Kennedy EB, Abou-Alfa GK, Beg MS, Brower ST, Gade TP, Goff L, Gupta S, Guy J, Harris WP, Iyer R, Jaiyesimi I, Jhawer M, Karippot A, Kaseb AO, Kelley RK, Knox JJ, Kortmansky J, Leaf A, Remak WM, Shroff RT, Sohal DPS, Taddei TH, Venepalli NK, Wilson A, Zhu AX, Rose MG. Systemic Therapy for Advanced Hepatocellular Carcinoma: ASCO Guideline. </w:t>
      </w:r>
      <w:r w:rsidRPr="00880FA7">
        <w:rPr>
          <w:rFonts w:ascii="Book Antiqua" w:hAnsi="Book Antiqua"/>
          <w:i/>
          <w:iCs/>
        </w:rPr>
        <w:t>J Clin Oncol</w:t>
      </w:r>
      <w:r w:rsidRPr="00880FA7">
        <w:rPr>
          <w:rFonts w:ascii="Book Antiqua" w:hAnsi="Book Antiqua"/>
        </w:rPr>
        <w:t xml:space="preserve"> 2020; </w:t>
      </w:r>
      <w:r w:rsidRPr="00880FA7">
        <w:rPr>
          <w:rFonts w:ascii="Book Antiqua" w:hAnsi="Book Antiqua"/>
          <w:b/>
          <w:bCs/>
        </w:rPr>
        <w:t>38</w:t>
      </w:r>
      <w:r w:rsidRPr="00880FA7">
        <w:rPr>
          <w:rFonts w:ascii="Book Antiqua" w:hAnsi="Book Antiqua"/>
        </w:rPr>
        <w:t>: 4317-4345 [PMID: 33197225 DOI: 10.1200/JCO.20.02672]</w:t>
      </w:r>
    </w:p>
    <w:p w14:paraId="1CCDEB18"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50 </w:t>
      </w:r>
      <w:r w:rsidRPr="00880FA7">
        <w:rPr>
          <w:rFonts w:ascii="Book Antiqua" w:hAnsi="Book Antiqua"/>
          <w:b/>
          <w:bCs/>
        </w:rPr>
        <w:t>Vogel A</w:t>
      </w:r>
      <w:r w:rsidRPr="00880FA7">
        <w:rPr>
          <w:rFonts w:ascii="Book Antiqua" w:hAnsi="Book Antiqua"/>
        </w:rPr>
        <w:t xml:space="preserve">, Cervantes A, Chau I, Daniele B, Llovet JM, Meyer T, Nault JC, Neumann U, Ricke J, Sangro B, Schirmacher P, Verslype C, Zech CJ, Arnold D, Martinelli E. Correction to: "Hepatocellular carcinoma: ESMO Clinical Practice Guidelines for diagnosis, treatment and follow-up". </w:t>
      </w:r>
      <w:r w:rsidRPr="00880FA7">
        <w:rPr>
          <w:rFonts w:ascii="Book Antiqua" w:hAnsi="Book Antiqua"/>
          <w:i/>
          <w:iCs/>
        </w:rPr>
        <w:t>Ann Oncol</w:t>
      </w:r>
      <w:r w:rsidRPr="00880FA7">
        <w:rPr>
          <w:rFonts w:ascii="Book Antiqua" w:hAnsi="Book Antiqua"/>
        </w:rPr>
        <w:t xml:space="preserve"> 2019; </w:t>
      </w:r>
      <w:r w:rsidRPr="00880FA7">
        <w:rPr>
          <w:rFonts w:ascii="Book Antiqua" w:hAnsi="Book Antiqua"/>
          <w:b/>
          <w:bCs/>
        </w:rPr>
        <w:t>30</w:t>
      </w:r>
      <w:r w:rsidRPr="00880FA7">
        <w:rPr>
          <w:rFonts w:ascii="Book Antiqua" w:hAnsi="Book Antiqua"/>
        </w:rPr>
        <w:t>: 871-873 [PMID: 31987361 DOI: 10.1093/annonc/mdy510]</w:t>
      </w:r>
    </w:p>
    <w:p w14:paraId="22C0BC5B"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51 </w:t>
      </w:r>
      <w:r w:rsidRPr="00880FA7">
        <w:rPr>
          <w:rFonts w:ascii="Book Antiqua" w:hAnsi="Book Antiqua"/>
          <w:b/>
          <w:bCs/>
        </w:rPr>
        <w:t>European Association for the Study of the Liver. Electronic address: easloffice@easloffice.eu</w:t>
      </w:r>
      <w:r w:rsidRPr="00880FA7">
        <w:rPr>
          <w:rFonts w:ascii="Book Antiqua" w:hAnsi="Book Antiqua"/>
        </w:rPr>
        <w:t xml:space="preserve">. Corrigendum to "EASL Clinical Practice Guidelines: Management of hepatocellular carcinoma" [J Hepatol 69 (2018) 182-236]. </w:t>
      </w:r>
      <w:r w:rsidRPr="00880FA7">
        <w:rPr>
          <w:rFonts w:ascii="Book Antiqua" w:hAnsi="Book Antiqua"/>
          <w:i/>
          <w:iCs/>
        </w:rPr>
        <w:t>J Hepatol</w:t>
      </w:r>
      <w:r w:rsidRPr="00880FA7">
        <w:rPr>
          <w:rFonts w:ascii="Book Antiqua" w:hAnsi="Book Antiqua"/>
        </w:rPr>
        <w:t xml:space="preserve"> 2019; </w:t>
      </w:r>
      <w:r w:rsidRPr="00880FA7">
        <w:rPr>
          <w:rFonts w:ascii="Book Antiqua" w:hAnsi="Book Antiqua"/>
          <w:b/>
          <w:bCs/>
        </w:rPr>
        <w:t>70</w:t>
      </w:r>
      <w:r w:rsidRPr="00880FA7">
        <w:rPr>
          <w:rFonts w:ascii="Book Antiqua" w:hAnsi="Book Antiqua"/>
        </w:rPr>
        <w:t>: 817 [PMID: 30739718 DOI: 10.1016/j.jhep.2019.01.020]</w:t>
      </w:r>
    </w:p>
    <w:p w14:paraId="5706B138"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52 </w:t>
      </w:r>
      <w:r w:rsidRPr="00880FA7">
        <w:rPr>
          <w:rFonts w:ascii="Book Antiqua" w:hAnsi="Book Antiqua"/>
          <w:b/>
          <w:bCs/>
        </w:rPr>
        <w:t>Benson AB</w:t>
      </w:r>
      <w:r w:rsidRPr="00880FA7">
        <w:rPr>
          <w:rFonts w:ascii="Book Antiqua" w:hAnsi="Book Antiqua"/>
        </w:rPr>
        <w:t xml:space="preserve">, D'Angelica MI, Abbott DE, Anaya DA, Anders R, Are C, Bachini M, Borad M, Brown D, Burgoyne A, Chahal P, Chang DT, Cloyd J, Covey AM, Glazer ES, Goyal L, </w:t>
      </w:r>
      <w:r w:rsidRPr="00880FA7">
        <w:rPr>
          <w:rFonts w:ascii="Book Antiqua" w:hAnsi="Book Antiqua"/>
        </w:rPr>
        <w:lastRenderedPageBreak/>
        <w:t xml:space="preserve">Hawkins WG, Iyer R, Jacob R, Kelley RK, Kim R, Levine M, Palta M, Park JO, Raman S, Reddy S, Sahai V, Schefter T, Singh G, Stein S, Vauthey JN, Venook AP, Yopp A, McMillian NR, Hochstetler C, Darlow SD. Hepatobiliary Cancers, Version 2.2021, NCCN Clinical Practice Guidelines in Oncology. </w:t>
      </w:r>
      <w:r w:rsidRPr="00880FA7">
        <w:rPr>
          <w:rFonts w:ascii="Book Antiqua" w:hAnsi="Book Antiqua"/>
          <w:i/>
          <w:iCs/>
        </w:rPr>
        <w:t>J Natl Compr Canc Netw</w:t>
      </w:r>
      <w:r w:rsidRPr="00880FA7">
        <w:rPr>
          <w:rFonts w:ascii="Book Antiqua" w:hAnsi="Book Antiqua"/>
        </w:rPr>
        <w:t xml:space="preserve"> 2021; </w:t>
      </w:r>
      <w:r w:rsidRPr="00880FA7">
        <w:rPr>
          <w:rFonts w:ascii="Book Antiqua" w:hAnsi="Book Antiqua"/>
          <w:b/>
          <w:bCs/>
        </w:rPr>
        <w:t>19</w:t>
      </w:r>
      <w:r w:rsidRPr="00880FA7">
        <w:rPr>
          <w:rFonts w:ascii="Book Antiqua" w:hAnsi="Book Antiqua"/>
        </w:rPr>
        <w:t>: 541-565 [PMID: 34030131 DOI: 10.6004/jnccn.2021.0022]</w:t>
      </w:r>
    </w:p>
    <w:p w14:paraId="36C99A18"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53 </w:t>
      </w:r>
      <w:r w:rsidRPr="00880FA7">
        <w:rPr>
          <w:rFonts w:ascii="Book Antiqua" w:hAnsi="Book Antiqua"/>
          <w:b/>
          <w:bCs/>
        </w:rPr>
        <w:t>Sullivan LA</w:t>
      </w:r>
      <w:r w:rsidRPr="00880FA7">
        <w:rPr>
          <w:rFonts w:ascii="Book Antiqua" w:hAnsi="Book Antiqua"/>
        </w:rPr>
        <w:t xml:space="preserve">, Brekken RA. The VEGF family in cancer and antibody-based strategies for their inhibition. </w:t>
      </w:r>
      <w:r w:rsidRPr="00880FA7">
        <w:rPr>
          <w:rFonts w:ascii="Book Antiqua" w:hAnsi="Book Antiqua"/>
          <w:i/>
          <w:iCs/>
        </w:rPr>
        <w:t>MAbs</w:t>
      </w:r>
      <w:r w:rsidRPr="00880FA7">
        <w:rPr>
          <w:rFonts w:ascii="Book Antiqua" w:hAnsi="Book Antiqua"/>
        </w:rPr>
        <w:t xml:space="preserve"> 2010; </w:t>
      </w:r>
      <w:r w:rsidRPr="00880FA7">
        <w:rPr>
          <w:rFonts w:ascii="Book Antiqua" w:hAnsi="Book Antiqua"/>
          <w:b/>
          <w:bCs/>
        </w:rPr>
        <w:t>2</w:t>
      </w:r>
      <w:r w:rsidRPr="00880FA7">
        <w:rPr>
          <w:rFonts w:ascii="Book Antiqua" w:hAnsi="Book Antiqua"/>
        </w:rPr>
        <w:t>: 165-175 [PMID: 20190566 DOI: 10.4161/mabs.2.2.11360]</w:t>
      </w:r>
    </w:p>
    <w:p w14:paraId="6F296202"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54 </w:t>
      </w:r>
      <w:r w:rsidRPr="00880FA7">
        <w:rPr>
          <w:rFonts w:ascii="Book Antiqua" w:hAnsi="Book Antiqua"/>
          <w:b/>
          <w:bCs/>
        </w:rPr>
        <w:t>Cariani E</w:t>
      </w:r>
      <w:r w:rsidRPr="00880FA7">
        <w:rPr>
          <w:rFonts w:ascii="Book Antiqua" w:hAnsi="Book Antiqua"/>
        </w:rPr>
        <w:t xml:space="preserve">, Missale G. Immune landscape of hepatocellular carcinoma microenvironment: Implications for prognosis and therapeutic applications. </w:t>
      </w:r>
      <w:r w:rsidRPr="00880FA7">
        <w:rPr>
          <w:rFonts w:ascii="Book Antiqua" w:hAnsi="Book Antiqua"/>
          <w:i/>
          <w:iCs/>
        </w:rPr>
        <w:t>Liver Int</w:t>
      </w:r>
      <w:r w:rsidRPr="00880FA7">
        <w:rPr>
          <w:rFonts w:ascii="Book Antiqua" w:hAnsi="Book Antiqua"/>
        </w:rPr>
        <w:t xml:space="preserve"> 2019; </w:t>
      </w:r>
      <w:r w:rsidRPr="00880FA7">
        <w:rPr>
          <w:rFonts w:ascii="Book Antiqua" w:hAnsi="Book Antiqua"/>
          <w:b/>
          <w:bCs/>
        </w:rPr>
        <w:t>39</w:t>
      </w:r>
      <w:r w:rsidRPr="00880FA7">
        <w:rPr>
          <w:rFonts w:ascii="Book Antiqua" w:hAnsi="Book Antiqua"/>
        </w:rPr>
        <w:t>: 1608-1621 [PMID: 31314948 DOI: 10.1111/liv.14192]</w:t>
      </w:r>
    </w:p>
    <w:p w14:paraId="21A1D805"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55 </w:t>
      </w:r>
      <w:r w:rsidRPr="00880FA7">
        <w:rPr>
          <w:rFonts w:ascii="Book Antiqua" w:hAnsi="Book Antiqua"/>
          <w:b/>
          <w:bCs/>
        </w:rPr>
        <w:t>Prieto J</w:t>
      </w:r>
      <w:r w:rsidRPr="00880FA7">
        <w:rPr>
          <w:rFonts w:ascii="Book Antiqua" w:hAnsi="Book Antiqua"/>
        </w:rPr>
        <w:t xml:space="preserve">, Melero I, Sangro B. Immunological landscape and immunotherapy of hepatocellular carcinoma. </w:t>
      </w:r>
      <w:r w:rsidRPr="00880FA7">
        <w:rPr>
          <w:rFonts w:ascii="Book Antiqua" w:hAnsi="Book Antiqua"/>
          <w:i/>
          <w:iCs/>
        </w:rPr>
        <w:t>Nat Rev Gastroenterol Hepatol</w:t>
      </w:r>
      <w:r w:rsidRPr="00880FA7">
        <w:rPr>
          <w:rFonts w:ascii="Book Antiqua" w:hAnsi="Book Antiqua"/>
        </w:rPr>
        <w:t xml:space="preserve"> 2015; </w:t>
      </w:r>
      <w:r w:rsidRPr="00880FA7">
        <w:rPr>
          <w:rFonts w:ascii="Book Antiqua" w:hAnsi="Book Antiqua"/>
          <w:b/>
          <w:bCs/>
        </w:rPr>
        <w:t>12</w:t>
      </w:r>
      <w:r w:rsidRPr="00880FA7">
        <w:rPr>
          <w:rFonts w:ascii="Book Antiqua" w:hAnsi="Book Antiqua"/>
        </w:rPr>
        <w:t>: 681-700 [PMID: 26484443 DOI: 10.1038/nrgastro.2015.173]</w:t>
      </w:r>
    </w:p>
    <w:p w14:paraId="58E903DE"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56 </w:t>
      </w:r>
      <w:r w:rsidRPr="00880FA7">
        <w:rPr>
          <w:rFonts w:ascii="Book Antiqua" w:hAnsi="Book Antiqua"/>
          <w:b/>
          <w:bCs/>
        </w:rPr>
        <w:t>Sangro B</w:t>
      </w:r>
      <w:r w:rsidRPr="00880FA7">
        <w:rPr>
          <w:rFonts w:ascii="Book Antiqua" w:hAnsi="Book Antiqua"/>
        </w:rPr>
        <w:t xml:space="preserve">, Sarobe P, Hervás-Stubbs S, Melero I. Advances in immunotherapy for hepatocellular carcinoma. </w:t>
      </w:r>
      <w:r w:rsidRPr="00880FA7">
        <w:rPr>
          <w:rFonts w:ascii="Book Antiqua" w:hAnsi="Book Antiqua"/>
          <w:i/>
          <w:iCs/>
        </w:rPr>
        <w:t>Nat Rev Gastroenterol Hepatol</w:t>
      </w:r>
      <w:r w:rsidRPr="00880FA7">
        <w:rPr>
          <w:rFonts w:ascii="Book Antiqua" w:hAnsi="Book Antiqua"/>
        </w:rPr>
        <w:t xml:space="preserve"> 2021; </w:t>
      </w:r>
      <w:r w:rsidRPr="00880FA7">
        <w:rPr>
          <w:rFonts w:ascii="Book Antiqua" w:hAnsi="Book Antiqua"/>
          <w:b/>
          <w:bCs/>
        </w:rPr>
        <w:t>18</w:t>
      </w:r>
      <w:r w:rsidRPr="00880FA7">
        <w:rPr>
          <w:rFonts w:ascii="Book Antiqua" w:hAnsi="Book Antiqua"/>
        </w:rPr>
        <w:t>: 525-543 [PMID: 33850328 DOI: 10.1038/s41575-021-00438-0]</w:t>
      </w:r>
    </w:p>
    <w:p w14:paraId="7E46437F"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57 </w:t>
      </w:r>
      <w:r w:rsidRPr="00880FA7">
        <w:rPr>
          <w:rFonts w:ascii="Book Antiqua" w:hAnsi="Book Antiqua"/>
          <w:b/>
          <w:bCs/>
        </w:rPr>
        <w:t>Dong Y</w:t>
      </w:r>
      <w:r w:rsidRPr="00880FA7">
        <w:rPr>
          <w:rFonts w:ascii="Book Antiqua" w:hAnsi="Book Antiqua"/>
        </w:rPr>
        <w:t xml:space="preserve">, Wong JSL, Sugimura R, Lam KO, Li B, Kwok GGW, Leung R, Chiu JWY, Cheung TT, Yau T. Recent Advances and Future Prospects in Immune Checkpoint (ICI)-Based Combination Therapy for Advanced HCC. </w:t>
      </w:r>
      <w:r w:rsidRPr="00880FA7">
        <w:rPr>
          <w:rFonts w:ascii="Book Antiqua" w:hAnsi="Book Antiqua"/>
          <w:i/>
          <w:iCs/>
        </w:rPr>
        <w:t>Cancers (Basel)</w:t>
      </w:r>
      <w:r w:rsidRPr="00880FA7">
        <w:rPr>
          <w:rFonts w:ascii="Book Antiqua" w:hAnsi="Book Antiqua"/>
        </w:rPr>
        <w:t xml:space="preserve"> 2021; </w:t>
      </w:r>
      <w:r w:rsidRPr="00880FA7">
        <w:rPr>
          <w:rFonts w:ascii="Book Antiqua" w:hAnsi="Book Antiqua"/>
          <w:b/>
          <w:bCs/>
        </w:rPr>
        <w:t>13</w:t>
      </w:r>
      <w:r w:rsidRPr="00880FA7">
        <w:rPr>
          <w:rFonts w:ascii="Book Antiqua" w:hAnsi="Book Antiqua"/>
        </w:rPr>
        <w:t xml:space="preserve"> [PMID: 33919570 DOI: 10.3390/cancers13081949]</w:t>
      </w:r>
    </w:p>
    <w:p w14:paraId="689855E5"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58 </w:t>
      </w:r>
      <w:r w:rsidRPr="00880FA7">
        <w:rPr>
          <w:rFonts w:ascii="Book Antiqua" w:hAnsi="Book Antiqua"/>
          <w:b/>
          <w:bCs/>
        </w:rPr>
        <w:t>Chen Y</w:t>
      </w:r>
      <w:r w:rsidRPr="00880FA7">
        <w:rPr>
          <w:rFonts w:ascii="Book Antiqua" w:hAnsi="Book Antiqua"/>
        </w:rPr>
        <w:t xml:space="preserve">, Hu H, Yuan X, Fan X, Zhang C. Advances in Immune Checkpoint Inhibitors for Advanced Hepatocellular Carcinoma. </w:t>
      </w:r>
      <w:r w:rsidRPr="00880FA7">
        <w:rPr>
          <w:rFonts w:ascii="Book Antiqua" w:hAnsi="Book Antiqua"/>
          <w:i/>
          <w:iCs/>
        </w:rPr>
        <w:t>Front Immunol</w:t>
      </w:r>
      <w:r w:rsidRPr="00880FA7">
        <w:rPr>
          <w:rFonts w:ascii="Book Antiqua" w:hAnsi="Book Antiqua"/>
        </w:rPr>
        <w:t xml:space="preserve"> 2022; </w:t>
      </w:r>
      <w:r w:rsidRPr="00880FA7">
        <w:rPr>
          <w:rFonts w:ascii="Book Antiqua" w:hAnsi="Book Antiqua"/>
          <w:b/>
          <w:bCs/>
        </w:rPr>
        <w:t>13</w:t>
      </w:r>
      <w:r w:rsidRPr="00880FA7">
        <w:rPr>
          <w:rFonts w:ascii="Book Antiqua" w:hAnsi="Book Antiqua"/>
        </w:rPr>
        <w:t>: 896752 [PMID: 35757756 DOI: 10.3389/fimmu.2022.896752]</w:t>
      </w:r>
    </w:p>
    <w:p w14:paraId="37242EA6"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59 </w:t>
      </w:r>
      <w:r w:rsidRPr="00880FA7">
        <w:rPr>
          <w:rFonts w:ascii="Book Antiqua" w:hAnsi="Book Antiqua"/>
          <w:b/>
          <w:bCs/>
        </w:rPr>
        <w:t>Cheng AL</w:t>
      </w:r>
      <w:r w:rsidRPr="00880FA7">
        <w:rPr>
          <w:rFonts w:ascii="Book Antiqua" w:hAnsi="Book Antiqua"/>
        </w:rPr>
        <w:t xml:space="preserve">, Qin S, Ikeda M, Galle PR, Ducreux M, Kim TY, Lim HY, Kudo M, Breder V, Merle P, Kaseb AO, Li D, Verret W, Ma N, Nicholas A, Wang Y, Li L, Zhu AX, Finn RS. Updated efficacy and safety data from IMbrave150: Atezolizumab plus bevacizumab vs. sorafenib for unresectable hepatocellular carcinoma. </w:t>
      </w:r>
      <w:r w:rsidRPr="00880FA7">
        <w:rPr>
          <w:rFonts w:ascii="Book Antiqua" w:hAnsi="Book Antiqua"/>
          <w:i/>
          <w:iCs/>
        </w:rPr>
        <w:t>J Hepatol</w:t>
      </w:r>
      <w:r w:rsidRPr="00880FA7">
        <w:rPr>
          <w:rFonts w:ascii="Book Antiqua" w:hAnsi="Book Antiqua"/>
        </w:rPr>
        <w:t xml:space="preserve"> 2022; </w:t>
      </w:r>
      <w:r w:rsidRPr="00880FA7">
        <w:rPr>
          <w:rFonts w:ascii="Book Antiqua" w:hAnsi="Book Antiqua"/>
          <w:b/>
          <w:bCs/>
        </w:rPr>
        <w:t>76</w:t>
      </w:r>
      <w:r w:rsidRPr="00880FA7">
        <w:rPr>
          <w:rFonts w:ascii="Book Antiqua" w:hAnsi="Book Antiqua"/>
        </w:rPr>
        <w:t>: 862-873 [PMID: 34902530 DOI: 10.1016/j.jhep.2021.11.030]</w:t>
      </w:r>
    </w:p>
    <w:p w14:paraId="021E64D5" w14:textId="77777777" w:rsidR="00D33124" w:rsidRPr="00880FA7" w:rsidRDefault="00D33124" w:rsidP="00D33124">
      <w:pPr>
        <w:spacing w:line="360" w:lineRule="auto"/>
        <w:jc w:val="both"/>
        <w:rPr>
          <w:rFonts w:ascii="Book Antiqua" w:hAnsi="Book Antiqua"/>
        </w:rPr>
      </w:pPr>
      <w:r w:rsidRPr="00880FA7">
        <w:rPr>
          <w:rFonts w:ascii="Book Antiqua" w:hAnsi="Book Antiqua"/>
        </w:rPr>
        <w:lastRenderedPageBreak/>
        <w:t xml:space="preserve">60 </w:t>
      </w:r>
      <w:r w:rsidRPr="00880FA7">
        <w:rPr>
          <w:rFonts w:ascii="Book Antiqua" w:hAnsi="Book Antiqua"/>
          <w:b/>
          <w:bCs/>
        </w:rPr>
        <w:t>Casak SJ</w:t>
      </w:r>
      <w:r w:rsidRPr="00880FA7">
        <w:rPr>
          <w:rFonts w:ascii="Book Antiqua" w:hAnsi="Book Antiqua"/>
        </w:rPr>
        <w:t xml:space="preserve">, Donoghue M, Fashoyin-Aje L, Jiang X, Rodriguez L, Shen YL, Xu Y, Jiang X, Liu J, Zhao H, Pierce WF, Mehta S, Goldberg KB, Theoret MR, Kluetz PG, Pazdur R, Lemery SJ. FDA Approval Summary: Atezolizumab Plus Bevacizumab for the Treatment of Patients with Advanced Unresectable or Metastatic Hepatocellular Carcinoma. </w:t>
      </w:r>
      <w:r w:rsidRPr="00880FA7">
        <w:rPr>
          <w:rFonts w:ascii="Book Antiqua" w:hAnsi="Book Antiqua"/>
          <w:i/>
          <w:iCs/>
        </w:rPr>
        <w:t>Clin Cancer Res</w:t>
      </w:r>
      <w:r w:rsidRPr="00880FA7">
        <w:rPr>
          <w:rFonts w:ascii="Book Antiqua" w:hAnsi="Book Antiqua"/>
        </w:rPr>
        <w:t xml:space="preserve"> 2021; </w:t>
      </w:r>
      <w:r w:rsidRPr="00880FA7">
        <w:rPr>
          <w:rFonts w:ascii="Book Antiqua" w:hAnsi="Book Antiqua"/>
          <w:b/>
          <w:bCs/>
        </w:rPr>
        <w:t>27</w:t>
      </w:r>
      <w:r w:rsidRPr="00880FA7">
        <w:rPr>
          <w:rFonts w:ascii="Book Antiqua" w:hAnsi="Book Antiqua"/>
        </w:rPr>
        <w:t>: 1836-1841 [PMID: 33139264 DOI: 10.1158/1078-0432.CCR-20-3407]</w:t>
      </w:r>
    </w:p>
    <w:p w14:paraId="630F00A4"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61 </w:t>
      </w:r>
      <w:r w:rsidRPr="00880FA7">
        <w:rPr>
          <w:rFonts w:ascii="Book Antiqua" w:hAnsi="Book Antiqua"/>
          <w:b/>
          <w:bCs/>
        </w:rPr>
        <w:t>Kelley RK</w:t>
      </w:r>
      <w:r w:rsidRPr="00880FA7">
        <w:rPr>
          <w:rFonts w:ascii="Book Antiqua" w:hAnsi="Book Antiqua"/>
        </w:rPr>
        <w:t xml:space="preserve">, Rimassa L, Cheng AL, Kaseb A, Qin S, Zhu AX, Chan SL, Melkadze T, Sukeepaisarnjaroen W, Breder V, Verset G, Gane E, Borbath I, Rangel JDG, Ryoo BY, Makharadze T, Merle P, Benzaghou F, Banerjee K, Hazra S, Fawcett J, Yau T. Cabozantinib plus atezolizumab versus sorafenib for advanced hepatocellular carcinoma (COSMIC-312): a multicentre, open-label, randomised, phase 3 trial. </w:t>
      </w:r>
      <w:r w:rsidRPr="00880FA7">
        <w:rPr>
          <w:rFonts w:ascii="Book Antiqua" w:hAnsi="Book Antiqua"/>
          <w:i/>
          <w:iCs/>
        </w:rPr>
        <w:t>Lancet Oncol</w:t>
      </w:r>
      <w:r w:rsidRPr="00880FA7">
        <w:rPr>
          <w:rFonts w:ascii="Book Antiqua" w:hAnsi="Book Antiqua"/>
        </w:rPr>
        <w:t xml:space="preserve"> 2022; </w:t>
      </w:r>
      <w:r w:rsidRPr="00880FA7">
        <w:rPr>
          <w:rFonts w:ascii="Book Antiqua" w:hAnsi="Book Antiqua"/>
          <w:b/>
          <w:bCs/>
        </w:rPr>
        <w:t>23</w:t>
      </w:r>
      <w:r w:rsidRPr="00880FA7">
        <w:rPr>
          <w:rFonts w:ascii="Book Antiqua" w:hAnsi="Book Antiqua"/>
        </w:rPr>
        <w:t>: 995-1008 [PMID: 35798016 DOI: 10.1016/S1470-2045(22)00326-6]</w:t>
      </w:r>
    </w:p>
    <w:p w14:paraId="51987570"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62 </w:t>
      </w:r>
      <w:r w:rsidRPr="00880FA7">
        <w:rPr>
          <w:rFonts w:ascii="Book Antiqua" w:hAnsi="Book Antiqua"/>
          <w:b/>
          <w:bCs/>
        </w:rPr>
        <w:t>Cammarota A</w:t>
      </w:r>
      <w:r w:rsidRPr="00880FA7">
        <w:rPr>
          <w:rFonts w:ascii="Book Antiqua" w:hAnsi="Book Antiqua"/>
        </w:rPr>
        <w:t xml:space="preserve">, Zanuso V, D'Alessio A, Pressiani T, Personeni N, Rimassa L. Cabozantinib plus atezolizumab for the treatment of advanced hepatocellular carcinoma: shedding light on the preclinical rationale and clinical trials. </w:t>
      </w:r>
      <w:r w:rsidRPr="00880FA7">
        <w:rPr>
          <w:rFonts w:ascii="Book Antiqua" w:hAnsi="Book Antiqua"/>
          <w:i/>
          <w:iCs/>
        </w:rPr>
        <w:t>Expert Opin Investig Drugs</w:t>
      </w:r>
      <w:r w:rsidRPr="00880FA7">
        <w:rPr>
          <w:rFonts w:ascii="Book Antiqua" w:hAnsi="Book Antiqua"/>
        </w:rPr>
        <w:t xml:space="preserve"> 2022; </w:t>
      </w:r>
      <w:r w:rsidRPr="00880FA7">
        <w:rPr>
          <w:rFonts w:ascii="Book Antiqua" w:hAnsi="Book Antiqua"/>
          <w:b/>
          <w:bCs/>
        </w:rPr>
        <w:t>31</w:t>
      </w:r>
      <w:r w:rsidRPr="00880FA7">
        <w:rPr>
          <w:rFonts w:ascii="Book Antiqua" w:hAnsi="Book Antiqua"/>
        </w:rPr>
        <w:t>: 401-413 [PMID: 35072565 DOI: 10.1080/13543784.2022.2032641]</w:t>
      </w:r>
    </w:p>
    <w:p w14:paraId="60DE1CB5"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63 </w:t>
      </w:r>
      <w:r w:rsidRPr="00880FA7">
        <w:rPr>
          <w:rFonts w:ascii="Book Antiqua" w:hAnsi="Book Antiqua"/>
          <w:b/>
          <w:bCs/>
        </w:rPr>
        <w:t>Eroglu Z</w:t>
      </w:r>
      <w:r w:rsidRPr="00880FA7">
        <w:rPr>
          <w:rFonts w:ascii="Book Antiqua" w:hAnsi="Book Antiqua"/>
        </w:rPr>
        <w:t xml:space="preserve">, Kim DW, Wang X, Camacho LH, Chmielowski B, Seja E, Villanueva A, Ruchalski K, Glaspy JA, Kim KB, Hwu WJ, Ribas A. Long term survival with cytotoxic T lymphocyte-associated antigen 4 blockade using tremelimumab. </w:t>
      </w:r>
      <w:r w:rsidRPr="00880FA7">
        <w:rPr>
          <w:rFonts w:ascii="Book Antiqua" w:hAnsi="Book Antiqua"/>
          <w:i/>
          <w:iCs/>
        </w:rPr>
        <w:t>Eur J Cancer</w:t>
      </w:r>
      <w:r w:rsidRPr="00880FA7">
        <w:rPr>
          <w:rFonts w:ascii="Book Antiqua" w:hAnsi="Book Antiqua"/>
        </w:rPr>
        <w:t xml:space="preserve"> 2015; </w:t>
      </w:r>
      <w:r w:rsidRPr="00880FA7">
        <w:rPr>
          <w:rFonts w:ascii="Book Antiqua" w:hAnsi="Book Antiqua"/>
          <w:b/>
          <w:bCs/>
        </w:rPr>
        <w:t>51</w:t>
      </w:r>
      <w:r w:rsidRPr="00880FA7">
        <w:rPr>
          <w:rFonts w:ascii="Book Antiqua" w:hAnsi="Book Antiqua"/>
        </w:rPr>
        <w:t>: 2689-2697 [PMID: 26364516 DOI: 10.1016/j.ejca.2015.08.012]</w:t>
      </w:r>
    </w:p>
    <w:p w14:paraId="44002F7C"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64 </w:t>
      </w:r>
      <w:r w:rsidRPr="00880FA7">
        <w:rPr>
          <w:rFonts w:ascii="Book Antiqua" w:hAnsi="Book Antiqua"/>
          <w:b/>
          <w:bCs/>
        </w:rPr>
        <w:t>Antonia S</w:t>
      </w:r>
      <w:r w:rsidRPr="00880FA7">
        <w:rPr>
          <w:rFonts w:ascii="Book Antiqua" w:hAnsi="Book Antiqua"/>
        </w:rPr>
        <w:t xml:space="preserve">, Goldberg SB, Balmanoukian A, Chaft JE, Sanborn RE, Gupta A, Narwal R, Steele K, Gu Y, Karakunnel JJ, Rizvi NA. Safety and antitumour activity of durvalumab plus tremelimumab in non-small cell lung cancer: a multicentre, phase 1b study. </w:t>
      </w:r>
      <w:r w:rsidRPr="00880FA7">
        <w:rPr>
          <w:rFonts w:ascii="Book Antiqua" w:hAnsi="Book Antiqua"/>
          <w:i/>
          <w:iCs/>
        </w:rPr>
        <w:t>Lancet Oncol</w:t>
      </w:r>
      <w:r w:rsidRPr="00880FA7">
        <w:rPr>
          <w:rFonts w:ascii="Book Antiqua" w:hAnsi="Book Antiqua"/>
        </w:rPr>
        <w:t xml:space="preserve"> 2016; </w:t>
      </w:r>
      <w:r w:rsidRPr="00880FA7">
        <w:rPr>
          <w:rFonts w:ascii="Book Antiqua" w:hAnsi="Book Antiqua"/>
          <w:b/>
          <w:bCs/>
        </w:rPr>
        <w:t>17</w:t>
      </w:r>
      <w:r w:rsidRPr="00880FA7">
        <w:rPr>
          <w:rFonts w:ascii="Book Antiqua" w:hAnsi="Book Antiqua"/>
        </w:rPr>
        <w:t>: 299-308 [PMID: 26858122 DOI: 10.1016/S1470-2045(15)00544-6]</w:t>
      </w:r>
    </w:p>
    <w:p w14:paraId="562A78D2"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65 </w:t>
      </w:r>
      <w:r w:rsidRPr="00880FA7">
        <w:rPr>
          <w:rFonts w:ascii="Book Antiqua" w:hAnsi="Book Antiqua"/>
          <w:b/>
          <w:bCs/>
        </w:rPr>
        <w:t>Kelley RK</w:t>
      </w:r>
      <w:r w:rsidRPr="00880FA7">
        <w:rPr>
          <w:rFonts w:ascii="Book Antiqua" w:hAnsi="Book Antiqua"/>
        </w:rPr>
        <w:t xml:space="preserve">, Sangro B, Harris W, Ikeda M, Okusaka T, Kang YK, Qin S, Tai DW, Lim HY, Yau T, Yong WP, Cheng AL, Gasbarrini A, Damian S, Bruix J, Borad M, Bendell J, Kim TY, Standifer N, He P, Makowsky M, Negro A, Kudo M, Abou-Alfa GK. Safety, Efficacy, and Pharmacodynamics of Tremelimumab Plus Durvalumab for Patients With Unresectable Hepatocellular Carcinoma: Randomized Expansion of a Phase I/II Study. </w:t>
      </w:r>
      <w:r w:rsidRPr="00880FA7">
        <w:rPr>
          <w:rFonts w:ascii="Book Antiqua" w:hAnsi="Book Antiqua"/>
          <w:i/>
          <w:iCs/>
        </w:rPr>
        <w:t>J Clin Oncol</w:t>
      </w:r>
      <w:r w:rsidRPr="00880FA7">
        <w:rPr>
          <w:rFonts w:ascii="Book Antiqua" w:hAnsi="Book Antiqua"/>
        </w:rPr>
        <w:t xml:space="preserve"> 2021; </w:t>
      </w:r>
      <w:r w:rsidRPr="00880FA7">
        <w:rPr>
          <w:rFonts w:ascii="Book Antiqua" w:hAnsi="Book Antiqua"/>
          <w:b/>
          <w:bCs/>
        </w:rPr>
        <w:t>39</w:t>
      </w:r>
      <w:r w:rsidRPr="00880FA7">
        <w:rPr>
          <w:rFonts w:ascii="Book Antiqua" w:hAnsi="Book Antiqua"/>
        </w:rPr>
        <w:t>: 2991-3001 [PMID: 34292792 DOI: 10.1200/JCO.20.03555]</w:t>
      </w:r>
    </w:p>
    <w:p w14:paraId="3669E2C9" w14:textId="77777777" w:rsidR="00D33124" w:rsidRPr="00880FA7" w:rsidRDefault="00D33124" w:rsidP="00D33124">
      <w:pPr>
        <w:spacing w:line="360" w:lineRule="auto"/>
        <w:jc w:val="both"/>
        <w:rPr>
          <w:rFonts w:ascii="Book Antiqua" w:hAnsi="Book Antiqua"/>
        </w:rPr>
      </w:pPr>
      <w:r w:rsidRPr="00880FA7">
        <w:rPr>
          <w:rFonts w:ascii="Book Antiqua" w:hAnsi="Book Antiqua"/>
        </w:rPr>
        <w:lastRenderedPageBreak/>
        <w:t xml:space="preserve">66 </w:t>
      </w:r>
      <w:r w:rsidRPr="00880FA7">
        <w:rPr>
          <w:rFonts w:ascii="Book Antiqua" w:hAnsi="Book Antiqua"/>
          <w:b/>
          <w:bCs/>
        </w:rPr>
        <w:t>Kudo M</w:t>
      </w:r>
      <w:r w:rsidRPr="00880FA7">
        <w:rPr>
          <w:rFonts w:ascii="Book Antiqua" w:hAnsi="Book Antiqua"/>
        </w:rPr>
        <w:t xml:space="preserve">. Durvalumab Plus Tremelimumab: A Novel Combination Immunotherapy for Unresectable Hepatocellular Carcinoma. </w:t>
      </w:r>
      <w:r w:rsidRPr="00880FA7">
        <w:rPr>
          <w:rFonts w:ascii="Book Antiqua" w:hAnsi="Book Antiqua"/>
          <w:i/>
          <w:iCs/>
        </w:rPr>
        <w:t>Liver Cancer</w:t>
      </w:r>
      <w:r w:rsidRPr="00880FA7">
        <w:rPr>
          <w:rFonts w:ascii="Book Antiqua" w:hAnsi="Book Antiqua"/>
        </w:rPr>
        <w:t xml:space="preserve"> 2022; </w:t>
      </w:r>
      <w:r w:rsidRPr="00880FA7">
        <w:rPr>
          <w:rFonts w:ascii="Book Antiqua" w:hAnsi="Book Antiqua"/>
          <w:b/>
          <w:bCs/>
        </w:rPr>
        <w:t>11</w:t>
      </w:r>
      <w:r w:rsidRPr="00880FA7">
        <w:rPr>
          <w:rFonts w:ascii="Book Antiqua" w:hAnsi="Book Antiqua"/>
        </w:rPr>
        <w:t>: 87-93 [PMID: 35634425 DOI: 10.1159/000523702]</w:t>
      </w:r>
    </w:p>
    <w:p w14:paraId="172E1256"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67 </w:t>
      </w:r>
      <w:r w:rsidRPr="00880FA7">
        <w:rPr>
          <w:rFonts w:ascii="Book Antiqua" w:hAnsi="Book Antiqua"/>
          <w:b/>
          <w:bCs/>
        </w:rPr>
        <w:t>Maestri M</w:t>
      </w:r>
      <w:r w:rsidRPr="00880FA7">
        <w:rPr>
          <w:rFonts w:ascii="Book Antiqua" w:hAnsi="Book Antiqua"/>
        </w:rPr>
        <w:t xml:space="preserve">, Pallozzi M, Santopaolo F, Cerrito L, Pompili M, Gasbarrini A, Ponziani FR. Durvalumab: an investigational agent for unresectable hepatocellular carcinoma. </w:t>
      </w:r>
      <w:r w:rsidRPr="00880FA7">
        <w:rPr>
          <w:rFonts w:ascii="Book Antiqua" w:hAnsi="Book Antiqua"/>
          <w:i/>
          <w:iCs/>
        </w:rPr>
        <w:t>Expert Opin Investig Drugs</w:t>
      </w:r>
      <w:r w:rsidRPr="00880FA7">
        <w:rPr>
          <w:rFonts w:ascii="Book Antiqua" w:hAnsi="Book Antiqua"/>
        </w:rPr>
        <w:t xml:space="preserve"> 2022; </w:t>
      </w:r>
      <w:r w:rsidRPr="00880FA7">
        <w:rPr>
          <w:rFonts w:ascii="Book Antiqua" w:hAnsi="Book Antiqua"/>
          <w:b/>
          <w:bCs/>
        </w:rPr>
        <w:t>31</w:t>
      </w:r>
      <w:r w:rsidRPr="00880FA7">
        <w:rPr>
          <w:rFonts w:ascii="Book Antiqua" w:hAnsi="Book Antiqua"/>
        </w:rPr>
        <w:t>: 347-360 [PMID: 35072571 DOI: 10.1080/13543784.2022.2033208]</w:t>
      </w:r>
    </w:p>
    <w:p w14:paraId="5D82347F"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68 </w:t>
      </w:r>
      <w:r w:rsidRPr="00880FA7">
        <w:rPr>
          <w:rFonts w:ascii="Book Antiqua" w:hAnsi="Book Antiqua"/>
          <w:b/>
          <w:bCs/>
        </w:rPr>
        <w:t>Abou-Alfa GK</w:t>
      </w:r>
      <w:r w:rsidRPr="00880FA7">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880FA7">
        <w:rPr>
          <w:rFonts w:ascii="Book Antiqua" w:hAnsi="Book Antiqua"/>
          <w:i/>
          <w:iCs/>
        </w:rPr>
        <w:t>N Engl J Med</w:t>
      </w:r>
      <w:r w:rsidRPr="00880FA7">
        <w:rPr>
          <w:rFonts w:ascii="Book Antiqua" w:hAnsi="Book Antiqua"/>
        </w:rPr>
        <w:t xml:space="preserve"> 2018; </w:t>
      </w:r>
      <w:r w:rsidRPr="00880FA7">
        <w:rPr>
          <w:rFonts w:ascii="Book Antiqua" w:hAnsi="Book Antiqua"/>
          <w:b/>
          <w:bCs/>
        </w:rPr>
        <w:t>379</w:t>
      </w:r>
      <w:r w:rsidRPr="00880FA7">
        <w:rPr>
          <w:rFonts w:ascii="Book Antiqua" w:hAnsi="Book Antiqua"/>
        </w:rPr>
        <w:t>: 54-63 [PMID: 29972759 DOI: 10.1056/NEJMoa1717002]</w:t>
      </w:r>
    </w:p>
    <w:p w14:paraId="6724E25F"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69 </w:t>
      </w:r>
      <w:r w:rsidRPr="00880FA7">
        <w:rPr>
          <w:rFonts w:ascii="Book Antiqua" w:hAnsi="Book Antiqua"/>
          <w:b/>
          <w:bCs/>
        </w:rPr>
        <w:t>Zhu AX</w:t>
      </w:r>
      <w:r w:rsidRPr="00880FA7">
        <w:rPr>
          <w:rFonts w:ascii="Book Antiqua" w:hAnsi="Book Antiqua"/>
        </w:rPr>
        <w:t xml:space="preserve">, Finn RS, Mulcahy M, Gurtler J, Sun W, Schwartz JD, Dalal RP, Joshi A, Hozak RR, Xu Y, Ancukiewicz M, Jain RK, Nugent FW, Duda DG, Stuart K. A phase II and biomarker study of ramucirumab, a human monoclonal antibody targeting the VEGF receptor-2, as first-line monotherapy in patients with advanced hepatocellular cancer. </w:t>
      </w:r>
      <w:r w:rsidRPr="00880FA7">
        <w:rPr>
          <w:rFonts w:ascii="Book Antiqua" w:hAnsi="Book Antiqua"/>
          <w:i/>
          <w:iCs/>
        </w:rPr>
        <w:t>Clin Cancer Res</w:t>
      </w:r>
      <w:r w:rsidRPr="00880FA7">
        <w:rPr>
          <w:rFonts w:ascii="Book Antiqua" w:hAnsi="Book Antiqua"/>
        </w:rPr>
        <w:t xml:space="preserve"> 2013; </w:t>
      </w:r>
      <w:r w:rsidRPr="00880FA7">
        <w:rPr>
          <w:rFonts w:ascii="Book Antiqua" w:hAnsi="Book Antiqua"/>
          <w:b/>
          <w:bCs/>
        </w:rPr>
        <w:t>19</w:t>
      </w:r>
      <w:r w:rsidRPr="00880FA7">
        <w:rPr>
          <w:rFonts w:ascii="Book Antiqua" w:hAnsi="Book Antiqua"/>
        </w:rPr>
        <w:t>: 6614-6623 [PMID: 24088738 DOI: 10.1158/1078-0432.CCR-13-1442]</w:t>
      </w:r>
    </w:p>
    <w:p w14:paraId="0D0D487B"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70 </w:t>
      </w:r>
      <w:r w:rsidRPr="00880FA7">
        <w:rPr>
          <w:rFonts w:ascii="Book Antiqua" w:hAnsi="Book Antiqua"/>
          <w:b/>
          <w:bCs/>
        </w:rPr>
        <w:t>Chau I</w:t>
      </w:r>
      <w:r w:rsidRPr="00880FA7">
        <w:rPr>
          <w:rFonts w:ascii="Book Antiqua" w:hAnsi="Book Antiqua"/>
        </w:rPr>
        <w:t xml:space="preserve">, Peck-Radosavljevic M, Borg C, Malfertheiner P, Seitz JF, Park JO, Ryoo BY, Yen CJ, Kudo M, Poon R, Pastorelli D, Blanc JF, Chung HC, Baron AD, Okusaka T, Bowman L, Cui ZL, Girvan AC, Abada PB, Yang L, Zhu AX. Ramucirumab as second-line treatment in patients with advanced hepatocellular carcinoma following first-line therapy with sorafenib: Patient-focused outcome results from the randomised phase III REACH study. </w:t>
      </w:r>
      <w:r w:rsidRPr="00880FA7">
        <w:rPr>
          <w:rFonts w:ascii="Book Antiqua" w:hAnsi="Book Antiqua"/>
          <w:i/>
          <w:iCs/>
        </w:rPr>
        <w:t>Eur J Cancer</w:t>
      </w:r>
      <w:r w:rsidRPr="00880FA7">
        <w:rPr>
          <w:rFonts w:ascii="Book Antiqua" w:hAnsi="Book Antiqua"/>
        </w:rPr>
        <w:t xml:space="preserve"> 2017; </w:t>
      </w:r>
      <w:r w:rsidRPr="00880FA7">
        <w:rPr>
          <w:rFonts w:ascii="Book Antiqua" w:hAnsi="Book Antiqua"/>
          <w:b/>
          <w:bCs/>
        </w:rPr>
        <w:t>81</w:t>
      </w:r>
      <w:r w:rsidRPr="00880FA7">
        <w:rPr>
          <w:rFonts w:ascii="Book Antiqua" w:hAnsi="Book Antiqua"/>
        </w:rPr>
        <w:t>: 17-25 [PMID: 28591675 DOI: 10.1016/j.ejca.2017.05.001]</w:t>
      </w:r>
    </w:p>
    <w:p w14:paraId="51A254B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71 </w:t>
      </w:r>
      <w:r w:rsidRPr="00880FA7">
        <w:rPr>
          <w:rFonts w:ascii="Book Antiqua" w:hAnsi="Book Antiqua"/>
          <w:b/>
          <w:bCs/>
        </w:rPr>
        <w:t>Zhu AX</w:t>
      </w:r>
      <w:r w:rsidRPr="00880FA7">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w:t>
      </w:r>
      <w:r w:rsidRPr="00880FA7">
        <w:rPr>
          <w:rFonts w:ascii="Book Antiqua" w:hAnsi="Book Antiqua"/>
        </w:rPr>
        <w:lastRenderedPageBreak/>
        <w:t xml:space="preserve">carcinoma and increased α-fetoprotein concentrations (REACH-2): a randomised, double-blind, placebo-controlled, phase 3 trial. </w:t>
      </w:r>
      <w:r w:rsidRPr="00880FA7">
        <w:rPr>
          <w:rFonts w:ascii="Book Antiqua" w:hAnsi="Book Antiqua"/>
          <w:i/>
          <w:iCs/>
        </w:rPr>
        <w:t>Lancet Oncol</w:t>
      </w:r>
      <w:r w:rsidRPr="00880FA7">
        <w:rPr>
          <w:rFonts w:ascii="Book Antiqua" w:hAnsi="Book Antiqua"/>
        </w:rPr>
        <w:t xml:space="preserve"> 2019; </w:t>
      </w:r>
      <w:r w:rsidRPr="00880FA7">
        <w:rPr>
          <w:rFonts w:ascii="Book Antiqua" w:hAnsi="Book Antiqua"/>
          <w:b/>
          <w:bCs/>
        </w:rPr>
        <w:t>20</w:t>
      </w:r>
      <w:r w:rsidRPr="00880FA7">
        <w:rPr>
          <w:rFonts w:ascii="Book Antiqua" w:hAnsi="Book Antiqua"/>
        </w:rPr>
        <w:t>: 282-296 [PMID: 30665869 DOI: 10.1016/S1470-2045(18)30937-9]</w:t>
      </w:r>
    </w:p>
    <w:p w14:paraId="5B992654"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72 </w:t>
      </w:r>
      <w:r w:rsidRPr="00880FA7">
        <w:rPr>
          <w:rFonts w:ascii="Book Antiqua" w:hAnsi="Book Antiqua"/>
          <w:b/>
          <w:bCs/>
        </w:rPr>
        <w:t>Zhu AX</w:t>
      </w:r>
      <w:r w:rsidRPr="00880FA7">
        <w:rPr>
          <w:rFonts w:ascii="Book Antiqua" w:hAnsi="Book Antiqua"/>
        </w:rPr>
        <w:t xml:space="preserve">, Finn RS, Kang YK, Yen CJ, Galle PR, Llovet JM, Assenat E, Brandi G, Motomura K, Ohno I, Daniele B, Vogel A, Yamashita T, Hsu CH, Gerken G, Bilbruck J, Hsu Y, Liang K, Widau RC, Wang C, Abada P, Kudo M. Serum alpha-fetoprotein and clinical outcomes in patients with advanced hepatocellular carcinoma treated with ramucirumab. </w:t>
      </w:r>
      <w:r w:rsidRPr="00880FA7">
        <w:rPr>
          <w:rFonts w:ascii="Book Antiqua" w:hAnsi="Book Antiqua"/>
          <w:i/>
          <w:iCs/>
        </w:rPr>
        <w:t>Br J Cancer</w:t>
      </w:r>
      <w:r w:rsidRPr="00880FA7">
        <w:rPr>
          <w:rFonts w:ascii="Book Antiqua" w:hAnsi="Book Antiqua"/>
        </w:rPr>
        <w:t xml:space="preserve"> 2021; </w:t>
      </w:r>
      <w:r w:rsidRPr="00880FA7">
        <w:rPr>
          <w:rFonts w:ascii="Book Antiqua" w:hAnsi="Book Antiqua"/>
          <w:b/>
          <w:bCs/>
        </w:rPr>
        <w:t>124</w:t>
      </w:r>
      <w:r w:rsidRPr="00880FA7">
        <w:rPr>
          <w:rFonts w:ascii="Book Antiqua" w:hAnsi="Book Antiqua"/>
        </w:rPr>
        <w:t>: 1388-1397 [PMID: 33531690 DOI: 10.1038/s41416-021-01260-w]</w:t>
      </w:r>
    </w:p>
    <w:p w14:paraId="1D605EA7"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73 </w:t>
      </w:r>
      <w:r w:rsidRPr="00880FA7">
        <w:rPr>
          <w:rFonts w:ascii="Book Antiqua" w:hAnsi="Book Antiqua"/>
          <w:b/>
          <w:bCs/>
        </w:rPr>
        <w:t>Yau T</w:t>
      </w:r>
      <w:r w:rsidRPr="00880FA7">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880FA7">
        <w:rPr>
          <w:rFonts w:ascii="Book Antiqua" w:hAnsi="Book Antiqua"/>
          <w:i/>
          <w:iCs/>
        </w:rPr>
        <w:t>JAMA Oncol</w:t>
      </w:r>
      <w:r w:rsidRPr="00880FA7">
        <w:rPr>
          <w:rFonts w:ascii="Book Antiqua" w:hAnsi="Book Antiqua"/>
        </w:rPr>
        <w:t xml:space="preserve"> 2020; </w:t>
      </w:r>
      <w:r w:rsidRPr="00880FA7">
        <w:rPr>
          <w:rFonts w:ascii="Book Antiqua" w:hAnsi="Book Antiqua"/>
          <w:b/>
          <w:bCs/>
        </w:rPr>
        <w:t>6</w:t>
      </w:r>
      <w:r w:rsidRPr="00880FA7">
        <w:rPr>
          <w:rFonts w:ascii="Book Antiqua" w:hAnsi="Book Antiqua"/>
        </w:rPr>
        <w:t>: e204564 [PMID: 33001135 DOI: 10.1001/jamaoncol.2020.4564]</w:t>
      </w:r>
    </w:p>
    <w:p w14:paraId="151BE2FE"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74 </w:t>
      </w:r>
      <w:r w:rsidRPr="00880FA7">
        <w:rPr>
          <w:rFonts w:ascii="Book Antiqua" w:hAnsi="Book Antiqua"/>
          <w:b/>
          <w:bCs/>
        </w:rPr>
        <w:t>Yau T</w:t>
      </w:r>
      <w:r w:rsidRPr="00880FA7">
        <w:rPr>
          <w:rFonts w:ascii="Book Antiqua" w:hAnsi="Book Antiqua"/>
        </w:rPr>
        <w:t xml:space="preserve">, Tai D, Chan SL, Huang YH, Choo SP, Hsu C, Cheung TT, Lin SM, Yong WP, Lee J, Leung T, Shum T, Yeung CSY, Tai AY, Law ALY, Cheng AL, Chen LT. Systemic Treatment of Advanced Unresectable Hepatocellular Carcinoma after First-Line Therapy: Expert Recommendations from Hong Kong, Singapore, and Taiwan. </w:t>
      </w:r>
      <w:r w:rsidRPr="00880FA7">
        <w:rPr>
          <w:rFonts w:ascii="Book Antiqua" w:hAnsi="Book Antiqua"/>
          <w:i/>
          <w:iCs/>
        </w:rPr>
        <w:t>Liver Cancer</w:t>
      </w:r>
      <w:r w:rsidRPr="00880FA7">
        <w:rPr>
          <w:rFonts w:ascii="Book Antiqua" w:hAnsi="Book Antiqua"/>
        </w:rPr>
        <w:t xml:space="preserve"> 2022; </w:t>
      </w:r>
      <w:r w:rsidRPr="00880FA7">
        <w:rPr>
          <w:rFonts w:ascii="Book Antiqua" w:hAnsi="Book Antiqua"/>
          <w:b/>
          <w:bCs/>
        </w:rPr>
        <w:t>11</w:t>
      </w:r>
      <w:r w:rsidRPr="00880FA7">
        <w:rPr>
          <w:rFonts w:ascii="Book Antiqua" w:hAnsi="Book Antiqua"/>
        </w:rPr>
        <w:t>: 426-439 [PMID: 36158587 DOI: 10.1159/000525582]</w:t>
      </w:r>
    </w:p>
    <w:p w14:paraId="69DFF832"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75 </w:t>
      </w:r>
      <w:r w:rsidRPr="00880FA7">
        <w:rPr>
          <w:rFonts w:ascii="Book Antiqua" w:hAnsi="Book Antiqua"/>
          <w:b/>
          <w:bCs/>
        </w:rPr>
        <w:t>Allen E</w:t>
      </w:r>
      <w:r w:rsidRPr="00880FA7">
        <w:rPr>
          <w:rFonts w:ascii="Book Antiqua" w:hAnsi="Book Antiqua"/>
        </w:rPr>
        <w:t xml:space="preserve">, Jabouille A, Rivera LB, Lodewijckx I, Missiaen R, Steri V, Feyen K, Tawney J, Hanahan D, Michael IP, Bergers G. Combined antiangiogenic and anti-PD-L1 therapy stimulates tumor immunity through HEV formation. </w:t>
      </w:r>
      <w:r w:rsidRPr="00880FA7">
        <w:rPr>
          <w:rFonts w:ascii="Book Antiqua" w:hAnsi="Book Antiqua"/>
          <w:i/>
          <w:iCs/>
        </w:rPr>
        <w:t>Sci Transl Med</w:t>
      </w:r>
      <w:r w:rsidRPr="00880FA7">
        <w:rPr>
          <w:rFonts w:ascii="Book Antiqua" w:hAnsi="Book Antiqua"/>
        </w:rPr>
        <w:t xml:space="preserve"> 2017; </w:t>
      </w:r>
      <w:r w:rsidRPr="00880FA7">
        <w:rPr>
          <w:rFonts w:ascii="Book Antiqua" w:hAnsi="Book Antiqua"/>
          <w:b/>
          <w:bCs/>
        </w:rPr>
        <w:t>9</w:t>
      </w:r>
      <w:r w:rsidRPr="00880FA7">
        <w:rPr>
          <w:rFonts w:ascii="Book Antiqua" w:hAnsi="Book Antiqua"/>
        </w:rPr>
        <w:t xml:space="preserve"> [PMID: 28404866 DOI: 10.1126/scitranslmed.aak9679]</w:t>
      </w:r>
    </w:p>
    <w:p w14:paraId="504192C5"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76 </w:t>
      </w:r>
      <w:r w:rsidRPr="00880FA7">
        <w:rPr>
          <w:rFonts w:ascii="Book Antiqua" w:hAnsi="Book Antiqua"/>
          <w:b/>
          <w:bCs/>
        </w:rPr>
        <w:t>Yi M</w:t>
      </w:r>
      <w:r w:rsidRPr="00880FA7">
        <w:rPr>
          <w:rFonts w:ascii="Book Antiqua" w:hAnsi="Book Antiqua"/>
        </w:rPr>
        <w:t xml:space="preserve">, Jiao D, Qin S, Chu Q, Wu K, Li A. Synergistic effect of immune checkpoint blockade and anti-angiogenesis in cancer treatment. </w:t>
      </w:r>
      <w:r w:rsidRPr="00880FA7">
        <w:rPr>
          <w:rFonts w:ascii="Book Antiqua" w:hAnsi="Book Antiqua"/>
          <w:i/>
          <w:iCs/>
        </w:rPr>
        <w:t>Mol Cancer</w:t>
      </w:r>
      <w:r w:rsidRPr="00880FA7">
        <w:rPr>
          <w:rFonts w:ascii="Book Antiqua" w:hAnsi="Book Antiqua"/>
        </w:rPr>
        <w:t xml:space="preserve"> 2019; </w:t>
      </w:r>
      <w:r w:rsidRPr="00880FA7">
        <w:rPr>
          <w:rFonts w:ascii="Book Antiqua" w:hAnsi="Book Antiqua"/>
          <w:b/>
          <w:bCs/>
        </w:rPr>
        <w:t>18</w:t>
      </w:r>
      <w:r w:rsidRPr="00880FA7">
        <w:rPr>
          <w:rFonts w:ascii="Book Antiqua" w:hAnsi="Book Antiqua"/>
        </w:rPr>
        <w:t>: 60 [PMID: 30925919 DOI: 10.1186/s12943-019-0974-6]</w:t>
      </w:r>
    </w:p>
    <w:p w14:paraId="7EA86C06" w14:textId="77777777" w:rsidR="00D33124" w:rsidRPr="00880FA7" w:rsidRDefault="00D33124" w:rsidP="00D33124">
      <w:pPr>
        <w:spacing w:line="360" w:lineRule="auto"/>
        <w:jc w:val="both"/>
        <w:rPr>
          <w:rFonts w:ascii="Book Antiqua" w:hAnsi="Book Antiqua"/>
        </w:rPr>
      </w:pPr>
      <w:r w:rsidRPr="00880FA7">
        <w:rPr>
          <w:rFonts w:ascii="Book Antiqua" w:hAnsi="Book Antiqua"/>
        </w:rPr>
        <w:lastRenderedPageBreak/>
        <w:t xml:space="preserve">77 </w:t>
      </w:r>
      <w:r w:rsidRPr="00880FA7">
        <w:rPr>
          <w:rFonts w:ascii="Book Antiqua" w:hAnsi="Book Antiqua"/>
          <w:b/>
          <w:bCs/>
        </w:rPr>
        <w:t>Kudo M</w:t>
      </w:r>
      <w:r w:rsidRPr="00880FA7">
        <w:rPr>
          <w:rFonts w:ascii="Book Antiqua" w:hAnsi="Book Antiqua"/>
        </w:rPr>
        <w:t xml:space="preserve">. Scientific Rationale for Combined Immunotherapy with PD-1/PD-L1 Antibodies and VEGF Inhibitors in Advanced Hepatocellular Carcinoma. </w:t>
      </w:r>
      <w:r w:rsidRPr="00880FA7">
        <w:rPr>
          <w:rFonts w:ascii="Book Antiqua" w:hAnsi="Book Antiqua"/>
          <w:i/>
          <w:iCs/>
        </w:rPr>
        <w:t>Cancers (Basel)</w:t>
      </w:r>
      <w:r w:rsidRPr="00880FA7">
        <w:rPr>
          <w:rFonts w:ascii="Book Antiqua" w:hAnsi="Book Antiqua"/>
        </w:rPr>
        <w:t xml:space="preserve"> 2020; </w:t>
      </w:r>
      <w:r w:rsidRPr="00880FA7">
        <w:rPr>
          <w:rFonts w:ascii="Book Antiqua" w:hAnsi="Book Antiqua"/>
          <w:b/>
          <w:bCs/>
        </w:rPr>
        <w:t>12</w:t>
      </w:r>
      <w:r w:rsidRPr="00880FA7">
        <w:rPr>
          <w:rFonts w:ascii="Book Antiqua" w:hAnsi="Book Antiqua"/>
        </w:rPr>
        <w:t xml:space="preserve"> [PMID: 32349374 DOI: 10.3390/cancers12051089]</w:t>
      </w:r>
    </w:p>
    <w:p w14:paraId="1E4527EE"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78 </w:t>
      </w:r>
      <w:r w:rsidRPr="00880FA7">
        <w:rPr>
          <w:rFonts w:ascii="Book Antiqua" w:hAnsi="Book Antiqua"/>
          <w:b/>
          <w:bCs/>
        </w:rPr>
        <w:t>Finn RS</w:t>
      </w:r>
      <w:r w:rsidRPr="00880FA7">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880FA7">
        <w:rPr>
          <w:rFonts w:ascii="Book Antiqua" w:hAnsi="Book Antiqua"/>
          <w:i/>
          <w:iCs/>
        </w:rPr>
        <w:t>J Clin Oncol</w:t>
      </w:r>
      <w:r w:rsidRPr="00880FA7">
        <w:rPr>
          <w:rFonts w:ascii="Book Antiqua" w:hAnsi="Book Antiqua"/>
        </w:rPr>
        <w:t xml:space="preserve"> 2020; </w:t>
      </w:r>
      <w:r w:rsidRPr="00880FA7">
        <w:rPr>
          <w:rFonts w:ascii="Book Antiqua" w:hAnsi="Book Antiqua"/>
          <w:b/>
          <w:bCs/>
        </w:rPr>
        <w:t>38</w:t>
      </w:r>
      <w:r w:rsidRPr="00880FA7">
        <w:rPr>
          <w:rFonts w:ascii="Book Antiqua" w:hAnsi="Book Antiqua"/>
        </w:rPr>
        <w:t>: 2960-2970 [PMID: 32716739 DOI: 10.1200/JCO.20.00808]</w:t>
      </w:r>
    </w:p>
    <w:p w14:paraId="5E1991C7"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79 </w:t>
      </w:r>
      <w:r w:rsidRPr="00880FA7">
        <w:rPr>
          <w:rFonts w:ascii="Book Antiqua" w:hAnsi="Book Antiqua"/>
          <w:b/>
          <w:bCs/>
        </w:rPr>
        <w:t>Xu J</w:t>
      </w:r>
      <w:r w:rsidRPr="00880FA7">
        <w:rPr>
          <w:rFonts w:ascii="Book Antiqua" w:hAnsi="Book Antiqua"/>
        </w:rPr>
        <w:t xml:space="preserve">, Shen J, Gu S, Zhang Y, Wu L, Wu J, Shao G, Zhang Y, Xu L, Yin T, Liu J, Ren Z, Xiong J, Mao X, Zhang L, Yang J, Li L, Chen X, Wang Z, Gu K, Chen X, Pan Z, Ma K, Zhou X, Yu Z, Li E, Yin G, Zhang X, Wang S, Wang Q. Camrelizumab in Combination with Apatinib in Patients with Advanced Hepatocellular Carcinoma (RESCUE): A Nonrandomized, Open-label, Phase II Trial. </w:t>
      </w:r>
      <w:r w:rsidRPr="00880FA7">
        <w:rPr>
          <w:rFonts w:ascii="Book Antiqua" w:hAnsi="Book Antiqua"/>
          <w:i/>
          <w:iCs/>
        </w:rPr>
        <w:t>Clin Cancer Res</w:t>
      </w:r>
      <w:r w:rsidRPr="00880FA7">
        <w:rPr>
          <w:rFonts w:ascii="Book Antiqua" w:hAnsi="Book Antiqua"/>
        </w:rPr>
        <w:t xml:space="preserve"> 2021; </w:t>
      </w:r>
      <w:r w:rsidRPr="00880FA7">
        <w:rPr>
          <w:rFonts w:ascii="Book Antiqua" w:hAnsi="Book Antiqua"/>
          <w:b/>
          <w:bCs/>
        </w:rPr>
        <w:t>27</w:t>
      </w:r>
      <w:r w:rsidRPr="00880FA7">
        <w:rPr>
          <w:rFonts w:ascii="Book Antiqua" w:hAnsi="Book Antiqua"/>
        </w:rPr>
        <w:t>: 1003-1011 [PMID: 33087333 DOI: 10.1158/1078-0432.CCR-20-2571]</w:t>
      </w:r>
    </w:p>
    <w:p w14:paraId="15FA619A"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80 </w:t>
      </w:r>
      <w:r w:rsidRPr="00880FA7">
        <w:rPr>
          <w:rFonts w:ascii="Book Antiqua" w:hAnsi="Book Antiqua"/>
          <w:b/>
          <w:bCs/>
        </w:rPr>
        <w:t>Li Q</w:t>
      </w:r>
      <w:r w:rsidRPr="00880FA7">
        <w:rPr>
          <w:rFonts w:ascii="Book Antiqua" w:hAnsi="Book Antiqua"/>
        </w:rPr>
        <w:t xml:space="preserve">, Cao M, Yuan G, Cheng X, Zang M, Chen M, Hu X, Huang J, Li R, Guo Y, Ruan J, Chen J. Lenvatinib Plus Camrelizumab vs. Lenvatinib Monotherapy as First-Line Treatment for Unresectable Hepatocellular Carcinoma: A Multicenter Retrospective Cohort Study. </w:t>
      </w:r>
      <w:r w:rsidRPr="00880FA7">
        <w:rPr>
          <w:rFonts w:ascii="Book Antiqua" w:hAnsi="Book Antiqua"/>
          <w:i/>
          <w:iCs/>
        </w:rPr>
        <w:t>Front Oncol</w:t>
      </w:r>
      <w:r w:rsidRPr="00880FA7">
        <w:rPr>
          <w:rFonts w:ascii="Book Antiqua" w:hAnsi="Book Antiqua"/>
        </w:rPr>
        <w:t xml:space="preserve"> 2022; </w:t>
      </w:r>
      <w:r w:rsidRPr="00880FA7">
        <w:rPr>
          <w:rFonts w:ascii="Book Antiqua" w:hAnsi="Book Antiqua"/>
          <w:b/>
          <w:bCs/>
        </w:rPr>
        <w:t>12</w:t>
      </w:r>
      <w:r w:rsidRPr="00880FA7">
        <w:rPr>
          <w:rFonts w:ascii="Book Antiqua" w:hAnsi="Book Antiqua"/>
        </w:rPr>
        <w:t>: 809709 [PMID: 35280760 DOI: 10.3389/fonc.2022.809709]</w:t>
      </w:r>
    </w:p>
    <w:p w14:paraId="417F106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81 </w:t>
      </w:r>
      <w:r w:rsidRPr="00880FA7">
        <w:rPr>
          <w:rFonts w:ascii="Book Antiqua" w:hAnsi="Book Antiqua"/>
          <w:b/>
          <w:bCs/>
        </w:rPr>
        <w:t>Kelley RK</w:t>
      </w:r>
      <w:r w:rsidRPr="00880FA7">
        <w:rPr>
          <w:rFonts w:ascii="Book Antiqua" w:hAnsi="Book Antiqua"/>
        </w:rPr>
        <w:t xml:space="preserve">, Greten TF. Hepatocellular Carcinoma - Origins and Outcomes. </w:t>
      </w:r>
      <w:r w:rsidRPr="00880FA7">
        <w:rPr>
          <w:rFonts w:ascii="Book Antiqua" w:hAnsi="Book Antiqua"/>
          <w:i/>
          <w:iCs/>
        </w:rPr>
        <w:t>N Engl J Med</w:t>
      </w:r>
      <w:r w:rsidRPr="00880FA7">
        <w:rPr>
          <w:rFonts w:ascii="Book Antiqua" w:hAnsi="Book Antiqua"/>
        </w:rPr>
        <w:t xml:space="preserve"> 2021; </w:t>
      </w:r>
      <w:r w:rsidRPr="00880FA7">
        <w:rPr>
          <w:rFonts w:ascii="Book Antiqua" w:hAnsi="Book Antiqua"/>
          <w:b/>
          <w:bCs/>
        </w:rPr>
        <w:t>385</w:t>
      </w:r>
      <w:r w:rsidRPr="00880FA7">
        <w:rPr>
          <w:rFonts w:ascii="Book Antiqua" w:hAnsi="Book Antiqua"/>
        </w:rPr>
        <w:t>: 280-282 [PMID: 34260842 DOI: 10.1056/NEJMcibr2106594]</w:t>
      </w:r>
    </w:p>
    <w:p w14:paraId="42A56037"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82 </w:t>
      </w:r>
      <w:r w:rsidRPr="00880FA7">
        <w:rPr>
          <w:rFonts w:ascii="Book Antiqua" w:hAnsi="Book Antiqua"/>
          <w:b/>
          <w:bCs/>
        </w:rPr>
        <w:t>Pfister D</w:t>
      </w:r>
      <w:r w:rsidRPr="00880FA7">
        <w:rPr>
          <w:rFonts w:ascii="Book Antiqua" w:hAnsi="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w:t>
      </w:r>
      <w:r w:rsidRPr="00880FA7">
        <w:rPr>
          <w:rFonts w:ascii="Book Antiqua" w:hAnsi="Book Antiqua"/>
        </w:rPr>
        <w:lastRenderedPageBreak/>
        <w:t xml:space="preserve">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anti-tumour surveillance in immunotherapy-treated HCC. </w:t>
      </w:r>
      <w:r w:rsidRPr="00880FA7">
        <w:rPr>
          <w:rFonts w:ascii="Book Antiqua" w:hAnsi="Book Antiqua"/>
          <w:i/>
          <w:iCs/>
        </w:rPr>
        <w:t>Nature</w:t>
      </w:r>
      <w:r w:rsidRPr="00880FA7">
        <w:rPr>
          <w:rFonts w:ascii="Book Antiqua" w:hAnsi="Book Antiqua"/>
        </w:rPr>
        <w:t xml:space="preserve"> 2021; </w:t>
      </w:r>
      <w:r w:rsidRPr="00880FA7">
        <w:rPr>
          <w:rFonts w:ascii="Book Antiqua" w:hAnsi="Book Antiqua"/>
          <w:b/>
          <w:bCs/>
        </w:rPr>
        <w:t>592</w:t>
      </w:r>
      <w:r w:rsidRPr="00880FA7">
        <w:rPr>
          <w:rFonts w:ascii="Book Antiqua" w:hAnsi="Book Antiqua"/>
        </w:rPr>
        <w:t>: 450-456 [PMID: 33762733 DOI: 10.1038/s41586-021-03362-0]</w:t>
      </w:r>
    </w:p>
    <w:p w14:paraId="5D68F02D"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83 </w:t>
      </w:r>
      <w:r w:rsidRPr="00880FA7">
        <w:rPr>
          <w:rFonts w:ascii="Book Antiqua" w:hAnsi="Book Antiqua"/>
          <w:b/>
          <w:bCs/>
        </w:rPr>
        <w:t>Chan LL</w:t>
      </w:r>
      <w:r w:rsidRPr="00880FA7">
        <w:rPr>
          <w:rFonts w:ascii="Book Antiqua" w:hAnsi="Book Antiqua"/>
        </w:rPr>
        <w:t xml:space="preserve">, Chan SL. Novel Perspectives in Immune Checkpoint Inhibitors and the Management of Non-Alcoholic Steatohepatitis-Related Hepatocellular Carcinoma. </w:t>
      </w:r>
      <w:r w:rsidRPr="00880FA7">
        <w:rPr>
          <w:rFonts w:ascii="Book Antiqua" w:hAnsi="Book Antiqua"/>
          <w:i/>
          <w:iCs/>
        </w:rPr>
        <w:t>Cancers (Basel)</w:t>
      </w:r>
      <w:r w:rsidRPr="00880FA7">
        <w:rPr>
          <w:rFonts w:ascii="Book Antiqua" w:hAnsi="Book Antiqua"/>
        </w:rPr>
        <w:t xml:space="preserve"> 2022; </w:t>
      </w:r>
      <w:r w:rsidRPr="00880FA7">
        <w:rPr>
          <w:rFonts w:ascii="Book Antiqua" w:hAnsi="Book Antiqua"/>
          <w:b/>
          <w:bCs/>
        </w:rPr>
        <w:t>14</w:t>
      </w:r>
      <w:r w:rsidRPr="00880FA7">
        <w:rPr>
          <w:rFonts w:ascii="Book Antiqua" w:hAnsi="Book Antiqua"/>
        </w:rPr>
        <w:t xml:space="preserve"> [PMID: 35326677 DOI: 10.3390/cancers14061526]</w:t>
      </w:r>
    </w:p>
    <w:p w14:paraId="1DD2D228"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84 </w:t>
      </w:r>
      <w:r w:rsidRPr="00880FA7">
        <w:rPr>
          <w:rFonts w:ascii="Book Antiqua" w:hAnsi="Book Antiqua"/>
          <w:b/>
          <w:bCs/>
        </w:rPr>
        <w:t>Sun H</w:t>
      </w:r>
      <w:r w:rsidRPr="00880FA7">
        <w:rPr>
          <w:rFonts w:ascii="Book Antiqua" w:hAnsi="Book Antiqua"/>
        </w:rPr>
        <w:t xml:space="preserve">, Zhu MS, Wu WR, Shi XD, Xu LB. Role of anti-angiogenesis therapy in the management of hepatocellular carcinoma: The jury is still out. </w:t>
      </w:r>
      <w:r w:rsidRPr="00880FA7">
        <w:rPr>
          <w:rFonts w:ascii="Book Antiqua" w:hAnsi="Book Antiqua"/>
          <w:i/>
          <w:iCs/>
        </w:rPr>
        <w:t>World J Hepatol</w:t>
      </w:r>
      <w:r w:rsidRPr="00880FA7">
        <w:rPr>
          <w:rFonts w:ascii="Book Antiqua" w:hAnsi="Book Antiqua"/>
        </w:rPr>
        <w:t xml:space="preserve"> 2014; </w:t>
      </w:r>
      <w:r w:rsidRPr="00880FA7">
        <w:rPr>
          <w:rFonts w:ascii="Book Antiqua" w:hAnsi="Book Antiqua"/>
          <w:b/>
          <w:bCs/>
        </w:rPr>
        <w:t>6</w:t>
      </w:r>
      <w:r w:rsidRPr="00880FA7">
        <w:rPr>
          <w:rFonts w:ascii="Book Antiqua" w:hAnsi="Book Antiqua"/>
        </w:rPr>
        <w:t>: 830-835 [PMID: 25544869 DOI: 10.4254/wjh.v6.i12.830]</w:t>
      </w:r>
    </w:p>
    <w:p w14:paraId="3BD4F9E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85 </w:t>
      </w:r>
      <w:r w:rsidRPr="00880FA7">
        <w:rPr>
          <w:rFonts w:ascii="Book Antiqua" w:hAnsi="Book Antiqua"/>
          <w:b/>
          <w:bCs/>
        </w:rPr>
        <w:t>Tang W</w:t>
      </w:r>
      <w:r w:rsidRPr="00880FA7">
        <w:rPr>
          <w:rFonts w:ascii="Book Antiqua" w:hAnsi="Book Antiqua"/>
        </w:rPr>
        <w:t xml:space="preserve">, Chen Z, Zhang W, Cheng Y, Zhang B, Wu F, Wang Q, Wang S, Rong D, Reiter FP, De Toni EN, Wang X. The mechanisms of sorafenib resistance in hepatocellular carcinoma: theoretical basis and therapeutic aspects. </w:t>
      </w:r>
      <w:r w:rsidRPr="00880FA7">
        <w:rPr>
          <w:rFonts w:ascii="Book Antiqua" w:hAnsi="Book Antiqua"/>
          <w:i/>
          <w:iCs/>
        </w:rPr>
        <w:t>Signal Transduct Target Ther</w:t>
      </w:r>
      <w:r w:rsidRPr="00880FA7">
        <w:rPr>
          <w:rFonts w:ascii="Book Antiqua" w:hAnsi="Book Antiqua"/>
        </w:rPr>
        <w:t xml:space="preserve"> 2020; </w:t>
      </w:r>
      <w:r w:rsidRPr="00880FA7">
        <w:rPr>
          <w:rFonts w:ascii="Book Antiqua" w:hAnsi="Book Antiqua"/>
          <w:b/>
          <w:bCs/>
        </w:rPr>
        <w:t>5</w:t>
      </w:r>
      <w:r w:rsidRPr="00880FA7">
        <w:rPr>
          <w:rFonts w:ascii="Book Antiqua" w:hAnsi="Book Antiqua"/>
        </w:rPr>
        <w:t>: 87 [PMID: 32532960 DOI: 10.1038/s41392-020-0187-x]</w:t>
      </w:r>
    </w:p>
    <w:p w14:paraId="74842E04"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86 </w:t>
      </w:r>
      <w:r w:rsidRPr="00880FA7">
        <w:rPr>
          <w:rFonts w:ascii="Book Antiqua" w:hAnsi="Book Antiqua"/>
          <w:b/>
          <w:bCs/>
        </w:rPr>
        <w:t>Ruiz de Galarreta M</w:t>
      </w:r>
      <w:r w:rsidRPr="00880FA7">
        <w:rPr>
          <w:rFonts w:ascii="Book Antiqua" w:hAnsi="Book Antiqua"/>
        </w:rPr>
        <w:t xml:space="preserve">, Bresnahan E, Molina-Sánchez P, Lindblad KE, Maier B, Sia D, Puigvehi M, Miguela V, Casanova-Acebes M, Dhainaut M, Villacorta-Martin C, Singhi AD, Moghe A, von Felden J, Tal Grinspan L, Wang S, Kamphorst AO, Monga SP, Brown BD, Villanueva A, Llovet JM, Merad M, Lujambio A. β-Catenin Activation Promotes Immune Escape and Resistance to Anti-PD-1 Therapy in Hepatocellular Carcinoma. </w:t>
      </w:r>
      <w:r w:rsidRPr="00880FA7">
        <w:rPr>
          <w:rFonts w:ascii="Book Antiqua" w:hAnsi="Book Antiqua"/>
          <w:i/>
          <w:iCs/>
        </w:rPr>
        <w:t>Cancer Discov</w:t>
      </w:r>
      <w:r w:rsidRPr="00880FA7">
        <w:rPr>
          <w:rFonts w:ascii="Book Antiqua" w:hAnsi="Book Antiqua"/>
        </w:rPr>
        <w:t xml:space="preserve"> 2019; </w:t>
      </w:r>
      <w:r w:rsidRPr="00880FA7">
        <w:rPr>
          <w:rFonts w:ascii="Book Antiqua" w:hAnsi="Book Antiqua"/>
          <w:b/>
          <w:bCs/>
        </w:rPr>
        <w:t>9</w:t>
      </w:r>
      <w:r w:rsidRPr="00880FA7">
        <w:rPr>
          <w:rFonts w:ascii="Book Antiqua" w:hAnsi="Book Antiqua"/>
        </w:rPr>
        <w:t>: 1124-1141 [PMID: 31186238 DOI: 10.1158/2159-8290.CD-19-0074]</w:t>
      </w:r>
    </w:p>
    <w:p w14:paraId="0DE64F82"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87 </w:t>
      </w:r>
      <w:r w:rsidRPr="00880FA7">
        <w:rPr>
          <w:rFonts w:ascii="Book Antiqua" w:hAnsi="Book Antiqua"/>
          <w:b/>
          <w:bCs/>
        </w:rPr>
        <w:t>Singal AG</w:t>
      </w:r>
      <w:r w:rsidRPr="00880FA7">
        <w:rPr>
          <w:rFonts w:ascii="Book Antiqua" w:hAnsi="Book Antiqua"/>
        </w:rPr>
        <w:t xml:space="preserve">, Hoshida Y, Pinato DJ, Marrero J, Nault JC, Paradis V, Tayob N, Sherman M, Lim YS, Feng Z, Lok AS, Rinaudo JA, Srivastava S, Llovet JM, Villanueva A. International Liver Cancer Association (ILCA) White Paper on Biomarker Development </w:t>
      </w:r>
      <w:r w:rsidRPr="00880FA7">
        <w:rPr>
          <w:rFonts w:ascii="Book Antiqua" w:hAnsi="Book Antiqua"/>
        </w:rPr>
        <w:lastRenderedPageBreak/>
        <w:t xml:space="preserve">for Hepatocellular Carcinoma. </w:t>
      </w:r>
      <w:r w:rsidRPr="00880FA7">
        <w:rPr>
          <w:rFonts w:ascii="Book Antiqua" w:hAnsi="Book Antiqua"/>
          <w:i/>
          <w:iCs/>
        </w:rPr>
        <w:t>Gastroenterology</w:t>
      </w:r>
      <w:r w:rsidRPr="00880FA7">
        <w:rPr>
          <w:rFonts w:ascii="Book Antiqua" w:hAnsi="Book Antiqua"/>
        </w:rPr>
        <w:t xml:space="preserve"> 2021; </w:t>
      </w:r>
      <w:r w:rsidRPr="00880FA7">
        <w:rPr>
          <w:rFonts w:ascii="Book Antiqua" w:hAnsi="Book Antiqua"/>
          <w:b/>
          <w:bCs/>
        </w:rPr>
        <w:t>160</w:t>
      </w:r>
      <w:r w:rsidRPr="00880FA7">
        <w:rPr>
          <w:rFonts w:ascii="Book Antiqua" w:hAnsi="Book Antiqua"/>
        </w:rPr>
        <w:t>: 2572-2584 [PMID: 33705745 DOI: 10.1053/j.gastro.2021.01.233]</w:t>
      </w:r>
    </w:p>
    <w:p w14:paraId="5784F209"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88 </w:t>
      </w:r>
      <w:r w:rsidRPr="00880FA7">
        <w:rPr>
          <w:rFonts w:ascii="Book Antiqua" w:hAnsi="Book Antiqua"/>
          <w:b/>
          <w:bCs/>
        </w:rPr>
        <w:t>Debes JD</w:t>
      </w:r>
      <w:r w:rsidRPr="00880FA7">
        <w:rPr>
          <w:rFonts w:ascii="Book Antiqua" w:hAnsi="Book Antiqua"/>
        </w:rPr>
        <w:t xml:space="preserve">, Romagnoli PA, Prieto J, Arrese M, Mattos AZ, Boonstra A, On Behalf Of The Escalon Consortium. Serum Biomarkers for the Prediction of Hepatocellular Carcinoma. </w:t>
      </w:r>
      <w:r w:rsidRPr="00880FA7">
        <w:rPr>
          <w:rFonts w:ascii="Book Antiqua" w:hAnsi="Book Antiqua"/>
          <w:i/>
          <w:iCs/>
        </w:rPr>
        <w:t>Cancers (Basel)</w:t>
      </w:r>
      <w:r w:rsidRPr="00880FA7">
        <w:rPr>
          <w:rFonts w:ascii="Book Antiqua" w:hAnsi="Book Antiqua"/>
        </w:rPr>
        <w:t xml:space="preserve"> 2021; </w:t>
      </w:r>
      <w:r w:rsidRPr="00880FA7">
        <w:rPr>
          <w:rFonts w:ascii="Book Antiqua" w:hAnsi="Book Antiqua"/>
          <w:b/>
          <w:bCs/>
        </w:rPr>
        <w:t>13</w:t>
      </w:r>
      <w:r w:rsidRPr="00880FA7">
        <w:rPr>
          <w:rFonts w:ascii="Book Antiqua" w:hAnsi="Book Antiqua"/>
        </w:rPr>
        <w:t xml:space="preserve"> [PMID: 33918270 DOI: 10.3390/cancers13071681]</w:t>
      </w:r>
    </w:p>
    <w:p w14:paraId="22462BDF" w14:textId="77777777" w:rsidR="00D33124" w:rsidRPr="00880FA7" w:rsidRDefault="00D33124" w:rsidP="00D33124">
      <w:pPr>
        <w:spacing w:line="360" w:lineRule="auto"/>
        <w:jc w:val="both"/>
        <w:rPr>
          <w:rFonts w:ascii="Book Antiqua" w:hAnsi="Book Antiqua"/>
        </w:rPr>
      </w:pPr>
      <w:r w:rsidRPr="00880FA7">
        <w:rPr>
          <w:rFonts w:ascii="Book Antiqua" w:hAnsi="Book Antiqua"/>
        </w:rPr>
        <w:t xml:space="preserve">89 </w:t>
      </w:r>
      <w:r w:rsidRPr="00880FA7">
        <w:rPr>
          <w:rFonts w:ascii="Book Antiqua" w:hAnsi="Book Antiqua"/>
          <w:b/>
          <w:bCs/>
        </w:rPr>
        <w:t>Buti S</w:t>
      </w:r>
      <w:r w:rsidRPr="00880FA7">
        <w:rPr>
          <w:rFonts w:ascii="Book Antiqua" w:hAnsi="Book Antiqua"/>
        </w:rPr>
        <w:t xml:space="preserve">, Bersanelli M, Perrone F, Tiseo M, Tucci M, Adamo V, Stucci LS, Russo A, Tanda ET, Spagnolo F, Rastelli F, Pergolesi F, Santini D, Russano M, Anesi C, Giusti R, Filetti M, Marchetti P, Botticelli A, Gelibter A, Occhipinti MA, Ferrari M, Vitale MG, Nicolardi L, Chiari R, Rijavec E, Nigro O, Tuzi A, De Tursi M, Di Marino P, Conforti F, Queirolo P, Bracarda S, Macrini S, Gori S, Zoratto F, Veltri E, Di Cocco B, Mallardo D, Vitale MG, Santoni M, Patruno L, Porzio G, Ficorella C, Pinato DJ, Ascierto PA, Cortellini A. Effect of concomitant medications with immune-modulatory properties on the outcomes of patients with advanced cancer treated with immune checkpoint inhibitors: development and validation of a novel prognostic index. </w:t>
      </w:r>
      <w:r w:rsidRPr="00880FA7">
        <w:rPr>
          <w:rFonts w:ascii="Book Antiqua" w:hAnsi="Book Antiqua"/>
          <w:i/>
          <w:iCs/>
        </w:rPr>
        <w:t>Eur J Cancer</w:t>
      </w:r>
      <w:r w:rsidRPr="00880FA7">
        <w:rPr>
          <w:rFonts w:ascii="Book Antiqua" w:hAnsi="Book Antiqua"/>
        </w:rPr>
        <w:t xml:space="preserve"> 2021; </w:t>
      </w:r>
      <w:r w:rsidRPr="00880FA7">
        <w:rPr>
          <w:rFonts w:ascii="Book Antiqua" w:hAnsi="Book Antiqua"/>
          <w:b/>
          <w:bCs/>
        </w:rPr>
        <w:t>142</w:t>
      </w:r>
      <w:r w:rsidRPr="00880FA7">
        <w:rPr>
          <w:rFonts w:ascii="Book Antiqua" w:hAnsi="Book Antiqua"/>
        </w:rPr>
        <w:t>: 18-28 [PMID: 33212418 DOI: 10.1016/j.ejca.2020.09.033]</w:t>
      </w:r>
    </w:p>
    <w:p w14:paraId="790DD35D" w14:textId="77777777" w:rsidR="00A77B3E" w:rsidRPr="00880FA7" w:rsidRDefault="00A77B3E" w:rsidP="00D33124">
      <w:pPr>
        <w:spacing w:line="360" w:lineRule="auto"/>
        <w:jc w:val="both"/>
        <w:rPr>
          <w:rFonts w:ascii="Book Antiqua" w:hAnsi="Book Antiqua" w:cs="Book Antiqua"/>
          <w:color w:val="000000"/>
          <w:lang w:eastAsia="zh-CN"/>
        </w:rPr>
      </w:pPr>
    </w:p>
    <w:p w14:paraId="22729052" w14:textId="77777777" w:rsidR="00D33124" w:rsidRPr="00880FA7" w:rsidRDefault="00D33124" w:rsidP="00D33124">
      <w:pPr>
        <w:spacing w:line="360" w:lineRule="auto"/>
        <w:jc w:val="both"/>
        <w:rPr>
          <w:rFonts w:ascii="Book Antiqua" w:hAnsi="Book Antiqua" w:cs="Book Antiqua"/>
          <w:color w:val="000000"/>
          <w:lang w:eastAsia="zh-CN"/>
        </w:rPr>
      </w:pPr>
    </w:p>
    <w:p w14:paraId="2017653E" w14:textId="77777777" w:rsidR="00D33124" w:rsidRPr="00880FA7" w:rsidRDefault="00D33124" w:rsidP="00D33124">
      <w:pPr>
        <w:spacing w:line="360" w:lineRule="auto"/>
        <w:jc w:val="both"/>
        <w:rPr>
          <w:rFonts w:ascii="Book Antiqua" w:hAnsi="Book Antiqua"/>
          <w:lang w:eastAsia="zh-CN"/>
        </w:rPr>
        <w:sectPr w:rsidR="00D33124" w:rsidRPr="00880FA7">
          <w:pgSz w:w="12240" w:h="15840"/>
          <w:pgMar w:top="1440" w:right="1440" w:bottom="1440" w:left="1440" w:header="720" w:footer="720" w:gutter="0"/>
          <w:cols w:space="720"/>
          <w:docGrid w:linePitch="360"/>
        </w:sectPr>
      </w:pPr>
    </w:p>
    <w:p w14:paraId="3C93D1FE"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lastRenderedPageBreak/>
        <w:t>Footnotes</w:t>
      </w:r>
    </w:p>
    <w:p w14:paraId="0DEBC848" w14:textId="553535C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Conflict-of-interest statement: </w:t>
      </w:r>
      <w:r w:rsidR="00941860" w:rsidRPr="00880FA7">
        <w:rPr>
          <w:rFonts w:ascii="Book Antiqua" w:hAnsi="Book Antiqua" w:cs="Book Antiqua"/>
          <w:bCs/>
          <w:color w:val="000000"/>
        </w:rPr>
        <w:t>All the</w:t>
      </w:r>
      <w:r w:rsidR="00941860" w:rsidRPr="00880FA7">
        <w:rPr>
          <w:rFonts w:ascii="Book Antiqua" w:hAnsi="Book Antiqua" w:cs="Book Antiqua"/>
          <w:b/>
          <w:bCs/>
          <w:color w:val="000000"/>
        </w:rPr>
        <w:t xml:space="preserve"> </w:t>
      </w:r>
      <w:r w:rsidR="00941860" w:rsidRPr="00880FA7">
        <w:rPr>
          <w:rFonts w:ascii="Book Antiqua" w:hAnsi="Book Antiqua" w:cs="Book Antiqua"/>
          <w:color w:val="000000"/>
        </w:rPr>
        <w:t>a</w:t>
      </w:r>
      <w:r w:rsidR="00941860" w:rsidRPr="00880FA7">
        <w:rPr>
          <w:rFonts w:ascii="Book Antiqua" w:eastAsia="Book Antiqua" w:hAnsi="Book Antiqua" w:cs="Book Antiqua"/>
          <w:color w:val="000000"/>
        </w:rPr>
        <w:t xml:space="preserve">uthors </w:t>
      </w:r>
      <w:r w:rsidR="00941860" w:rsidRPr="00880FA7">
        <w:rPr>
          <w:rFonts w:ascii="Book Antiqua" w:hAnsi="Book Antiqua" w:cs="Book Antiqua"/>
          <w:color w:val="000000"/>
        </w:rPr>
        <w:t>report</w:t>
      </w:r>
      <w:r w:rsidR="00941860" w:rsidRPr="00880FA7">
        <w:rPr>
          <w:rFonts w:ascii="Book Antiqua" w:eastAsia="Book Antiqua" w:hAnsi="Book Antiqua" w:cs="Book Antiqua"/>
          <w:color w:val="000000"/>
        </w:rPr>
        <w:t xml:space="preserve"> no </w:t>
      </w:r>
      <w:r w:rsidR="002F6AF0" w:rsidRPr="00880FA7">
        <w:rPr>
          <w:rFonts w:ascii="Book Antiqua" w:eastAsia="Book Antiqua" w:hAnsi="Book Antiqua" w:cs="Book Antiqua"/>
          <w:color w:val="000000"/>
        </w:rPr>
        <w:t xml:space="preserve">having </w:t>
      </w:r>
      <w:r w:rsidR="00941860" w:rsidRPr="00880FA7">
        <w:rPr>
          <w:rFonts w:ascii="Book Antiqua" w:hAnsi="Book Antiqua" w:cs="Book Antiqua"/>
          <w:color w:val="000000"/>
        </w:rPr>
        <w:t xml:space="preserve">relevant </w:t>
      </w:r>
      <w:r w:rsidR="00941860" w:rsidRPr="00880FA7">
        <w:rPr>
          <w:rFonts w:ascii="Book Antiqua" w:eastAsia="Book Antiqua" w:hAnsi="Book Antiqua" w:cs="Book Antiqua"/>
          <w:color w:val="000000"/>
        </w:rPr>
        <w:t>conflict</w:t>
      </w:r>
      <w:r w:rsidR="00941860" w:rsidRPr="00880FA7">
        <w:rPr>
          <w:rFonts w:ascii="Book Antiqua" w:hAnsi="Book Antiqua" w:cs="Book Antiqua"/>
          <w:color w:val="000000"/>
        </w:rPr>
        <w:t>s</w:t>
      </w:r>
      <w:r w:rsidR="00941860" w:rsidRPr="00880FA7">
        <w:rPr>
          <w:rFonts w:ascii="Book Antiqua" w:eastAsia="Book Antiqua" w:hAnsi="Book Antiqua" w:cs="Book Antiqua"/>
          <w:color w:val="000000"/>
        </w:rPr>
        <w:t xml:space="preserve"> of interest for this article.</w:t>
      </w:r>
    </w:p>
    <w:p w14:paraId="296F1ED1" w14:textId="77777777" w:rsidR="00A77B3E" w:rsidRPr="00880FA7" w:rsidRDefault="00A77B3E" w:rsidP="00D33124">
      <w:pPr>
        <w:spacing w:line="360" w:lineRule="auto"/>
        <w:jc w:val="both"/>
        <w:rPr>
          <w:rFonts w:ascii="Book Antiqua" w:hAnsi="Book Antiqua"/>
        </w:rPr>
      </w:pPr>
    </w:p>
    <w:p w14:paraId="26FDF54B"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bCs/>
          <w:color w:val="000000"/>
        </w:rPr>
        <w:t xml:space="preserve">Open-Access: </w:t>
      </w:r>
      <w:r w:rsidRPr="00880F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B80F04" w14:textId="77777777" w:rsidR="00A77B3E" w:rsidRPr="00880FA7" w:rsidRDefault="00A77B3E" w:rsidP="00D33124">
      <w:pPr>
        <w:spacing w:line="360" w:lineRule="auto"/>
        <w:jc w:val="both"/>
        <w:rPr>
          <w:rFonts w:ascii="Book Antiqua" w:hAnsi="Book Antiqua"/>
        </w:rPr>
      </w:pPr>
    </w:p>
    <w:p w14:paraId="0649A775" w14:textId="129E64F8" w:rsidR="005712D2" w:rsidRPr="00880FA7" w:rsidRDefault="00A92039" w:rsidP="00D33124">
      <w:pPr>
        <w:spacing w:line="360" w:lineRule="auto"/>
        <w:jc w:val="both"/>
        <w:rPr>
          <w:rFonts w:ascii="Book Antiqua" w:hAnsi="Book Antiqua"/>
          <w:lang w:eastAsia="zh-CN"/>
        </w:rPr>
      </w:pPr>
      <w:r w:rsidRPr="00880FA7">
        <w:rPr>
          <w:rFonts w:ascii="Book Antiqua" w:eastAsia="Book Antiqua" w:hAnsi="Book Antiqua" w:cs="Book Antiqua"/>
          <w:b/>
          <w:color w:val="000000"/>
        </w:rPr>
        <w:t xml:space="preserve">Provenance and peer review: </w:t>
      </w:r>
      <w:r w:rsidRPr="00880FA7">
        <w:rPr>
          <w:rFonts w:ascii="Book Antiqua" w:eastAsia="Book Antiqua" w:hAnsi="Book Antiqua" w:cs="Book Antiqua"/>
          <w:color w:val="000000"/>
        </w:rPr>
        <w:t>Invited article; Externally peer reviewed.</w:t>
      </w:r>
    </w:p>
    <w:p w14:paraId="52A9DB71"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Peer-review model: </w:t>
      </w:r>
      <w:r w:rsidRPr="00880FA7">
        <w:rPr>
          <w:rFonts w:ascii="Book Antiqua" w:eastAsia="Book Antiqua" w:hAnsi="Book Antiqua" w:cs="Book Antiqua"/>
          <w:color w:val="000000"/>
        </w:rPr>
        <w:t>Single blind</w:t>
      </w:r>
    </w:p>
    <w:p w14:paraId="595450C5" w14:textId="77777777" w:rsidR="00A77B3E" w:rsidRPr="00880FA7" w:rsidRDefault="00A77B3E" w:rsidP="00D33124">
      <w:pPr>
        <w:spacing w:line="360" w:lineRule="auto"/>
        <w:jc w:val="both"/>
        <w:rPr>
          <w:rFonts w:ascii="Book Antiqua" w:hAnsi="Book Antiqua"/>
        </w:rPr>
      </w:pPr>
    </w:p>
    <w:p w14:paraId="12AB83CA"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Peer-review started: </w:t>
      </w:r>
      <w:r w:rsidRPr="00880FA7">
        <w:rPr>
          <w:rFonts w:ascii="Book Antiqua" w:eastAsia="Book Antiqua" w:hAnsi="Book Antiqua" w:cs="Book Antiqua"/>
          <w:color w:val="000000"/>
        </w:rPr>
        <w:t>September 27, 2022</w:t>
      </w:r>
    </w:p>
    <w:p w14:paraId="58EB9746"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First decision: </w:t>
      </w:r>
      <w:r w:rsidRPr="00880FA7">
        <w:rPr>
          <w:rFonts w:ascii="Book Antiqua" w:eastAsia="Book Antiqua" w:hAnsi="Book Antiqua" w:cs="Book Antiqua"/>
          <w:color w:val="000000"/>
        </w:rPr>
        <w:t>January 3, 2023</w:t>
      </w:r>
    </w:p>
    <w:p w14:paraId="61174FCA" w14:textId="7B07E959"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Article in press: </w:t>
      </w:r>
      <w:r w:rsidR="00BF4AA2" w:rsidRPr="00880FA7">
        <w:rPr>
          <w:rFonts w:ascii="Book Antiqua" w:eastAsia="Book Antiqua" w:hAnsi="Book Antiqua" w:cs="Book Antiqua"/>
          <w:color w:val="000000"/>
        </w:rPr>
        <w:t>February 22, 2023</w:t>
      </w:r>
    </w:p>
    <w:p w14:paraId="565CDFC8" w14:textId="77777777" w:rsidR="00A77B3E" w:rsidRPr="00880FA7" w:rsidRDefault="00A77B3E" w:rsidP="00D33124">
      <w:pPr>
        <w:spacing w:line="360" w:lineRule="auto"/>
        <w:jc w:val="both"/>
        <w:rPr>
          <w:rFonts w:ascii="Book Antiqua" w:hAnsi="Book Antiqua"/>
        </w:rPr>
      </w:pPr>
    </w:p>
    <w:p w14:paraId="4401EEF9"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Specialty type: </w:t>
      </w:r>
      <w:r w:rsidRPr="00880FA7">
        <w:rPr>
          <w:rFonts w:ascii="Book Antiqua" w:eastAsia="Book Antiqua" w:hAnsi="Book Antiqua" w:cs="Book Antiqua"/>
          <w:color w:val="000000"/>
        </w:rPr>
        <w:t xml:space="preserve">Gastroenterology and </w:t>
      </w:r>
      <w:r w:rsidR="006265B3" w:rsidRPr="00880FA7">
        <w:rPr>
          <w:rFonts w:ascii="Book Antiqua" w:hAnsi="Book Antiqua" w:cs="Book Antiqua"/>
          <w:color w:val="000000"/>
          <w:lang w:eastAsia="zh-CN"/>
        </w:rPr>
        <w:t>h</w:t>
      </w:r>
      <w:r w:rsidRPr="00880FA7">
        <w:rPr>
          <w:rFonts w:ascii="Book Antiqua" w:eastAsia="Book Antiqua" w:hAnsi="Book Antiqua" w:cs="Book Antiqua"/>
          <w:color w:val="000000"/>
        </w:rPr>
        <w:t>epatology</w:t>
      </w:r>
    </w:p>
    <w:p w14:paraId="19398ED7"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 xml:space="preserve">Country/Territory of origin: </w:t>
      </w:r>
      <w:r w:rsidRPr="00880FA7">
        <w:rPr>
          <w:rFonts w:ascii="Book Antiqua" w:eastAsia="Book Antiqua" w:hAnsi="Book Antiqua" w:cs="Book Antiqua"/>
          <w:color w:val="000000"/>
        </w:rPr>
        <w:t>Thailand</w:t>
      </w:r>
    </w:p>
    <w:p w14:paraId="5029936A"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b/>
          <w:color w:val="000000"/>
        </w:rPr>
        <w:t>Peer-review report’s scientific quality classification</w:t>
      </w:r>
    </w:p>
    <w:p w14:paraId="66092405" w14:textId="668CDC1D" w:rsidR="00A77B3E" w:rsidRPr="00880FA7" w:rsidRDefault="00A92039" w:rsidP="00D33124">
      <w:pPr>
        <w:spacing w:line="360" w:lineRule="auto"/>
        <w:jc w:val="both"/>
        <w:rPr>
          <w:rFonts w:ascii="Book Antiqua" w:hAnsi="Book Antiqua"/>
          <w:lang w:eastAsia="zh-CN"/>
        </w:rPr>
      </w:pPr>
      <w:r w:rsidRPr="00880FA7">
        <w:rPr>
          <w:rFonts w:ascii="Book Antiqua" w:eastAsia="Book Antiqua" w:hAnsi="Book Antiqua" w:cs="Book Antiqua"/>
          <w:color w:val="000000"/>
        </w:rPr>
        <w:t>Grade A (Excellent): A</w:t>
      </w:r>
      <w:r w:rsidR="00B0732F" w:rsidRPr="00880FA7">
        <w:rPr>
          <w:rFonts w:ascii="Book Antiqua" w:hAnsi="Book Antiqua" w:cs="Book Antiqua" w:hint="eastAsia"/>
          <w:color w:val="000000"/>
          <w:lang w:eastAsia="zh-CN"/>
        </w:rPr>
        <w:t>, A</w:t>
      </w:r>
    </w:p>
    <w:p w14:paraId="07B7BDD8"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Grade B (Very good): B</w:t>
      </w:r>
    </w:p>
    <w:p w14:paraId="2EFABBC5"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Grade C (Good): 0</w:t>
      </w:r>
    </w:p>
    <w:p w14:paraId="64024629"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Grade D (Fair): 0</w:t>
      </w:r>
    </w:p>
    <w:p w14:paraId="464A8BAE" w14:textId="77777777" w:rsidR="00A77B3E" w:rsidRPr="00880FA7" w:rsidRDefault="00A92039" w:rsidP="00D33124">
      <w:pPr>
        <w:spacing w:line="360" w:lineRule="auto"/>
        <w:jc w:val="both"/>
        <w:rPr>
          <w:rFonts w:ascii="Book Antiqua" w:hAnsi="Book Antiqua"/>
        </w:rPr>
      </w:pPr>
      <w:r w:rsidRPr="00880FA7">
        <w:rPr>
          <w:rFonts w:ascii="Book Antiqua" w:eastAsia="Book Antiqua" w:hAnsi="Book Antiqua" w:cs="Book Antiqua"/>
          <w:color w:val="000000"/>
        </w:rPr>
        <w:t>Grade E (Poor): 0</w:t>
      </w:r>
    </w:p>
    <w:p w14:paraId="34DD648F" w14:textId="77777777" w:rsidR="00A77B3E" w:rsidRPr="00880FA7" w:rsidRDefault="00A77B3E" w:rsidP="00D33124">
      <w:pPr>
        <w:spacing w:line="360" w:lineRule="auto"/>
        <w:jc w:val="both"/>
        <w:rPr>
          <w:rFonts w:ascii="Book Antiqua" w:hAnsi="Book Antiqua"/>
        </w:rPr>
      </w:pPr>
    </w:p>
    <w:p w14:paraId="2C678D54" w14:textId="1FBE7230" w:rsidR="00A77B3E" w:rsidRPr="00880FA7" w:rsidRDefault="00A92039" w:rsidP="00D33124">
      <w:pPr>
        <w:spacing w:line="360" w:lineRule="auto"/>
        <w:jc w:val="both"/>
        <w:rPr>
          <w:rFonts w:ascii="Book Antiqua" w:hAnsi="Book Antiqua" w:cs="Book Antiqua"/>
          <w:b/>
          <w:color w:val="000000"/>
          <w:lang w:eastAsia="zh-CN"/>
        </w:rPr>
      </w:pPr>
      <w:r w:rsidRPr="00880FA7">
        <w:rPr>
          <w:rFonts w:ascii="Book Antiqua" w:eastAsia="Book Antiqua" w:hAnsi="Book Antiqua" w:cs="Book Antiqua"/>
          <w:b/>
          <w:color w:val="000000"/>
        </w:rPr>
        <w:t xml:space="preserve">P-Reviewer: </w:t>
      </w:r>
      <w:r w:rsidRPr="00880FA7">
        <w:rPr>
          <w:rFonts w:ascii="Book Antiqua" w:eastAsia="Book Antiqua" w:hAnsi="Book Antiqua" w:cs="Book Antiqua"/>
          <w:color w:val="000000"/>
        </w:rPr>
        <w:t>Dang SS, China; Pandit R, United States</w:t>
      </w:r>
      <w:r w:rsidR="00304FBF" w:rsidRPr="00880FA7">
        <w:rPr>
          <w:rFonts w:ascii="Book Antiqua" w:hAnsi="Book Antiqua" w:cs="Book Antiqua" w:hint="eastAsia"/>
          <w:color w:val="000000"/>
          <w:lang w:eastAsia="zh-CN"/>
        </w:rPr>
        <w:t xml:space="preserve">; </w:t>
      </w:r>
      <w:r w:rsidR="00304FBF" w:rsidRPr="00880FA7">
        <w:rPr>
          <w:rFonts w:ascii="Book Antiqua" w:hAnsi="Book Antiqua"/>
          <w:color w:val="000000"/>
        </w:rPr>
        <w:t>Huang</w:t>
      </w:r>
      <w:r w:rsidR="00304FBF" w:rsidRPr="00880FA7">
        <w:rPr>
          <w:rFonts w:ascii="Book Antiqua" w:hAnsi="Book Antiqua" w:hint="eastAsia"/>
          <w:color w:val="000000"/>
          <w:lang w:eastAsia="zh-CN"/>
        </w:rPr>
        <w:t xml:space="preserve"> CF, </w:t>
      </w:r>
      <w:r w:rsidR="00304FBF" w:rsidRPr="00880FA7">
        <w:rPr>
          <w:rFonts w:ascii="Book Antiqua" w:hAnsi="Book Antiqua"/>
          <w:color w:val="000000"/>
        </w:rPr>
        <w:t>Taiwan</w:t>
      </w:r>
      <w:r w:rsidRPr="00880FA7">
        <w:rPr>
          <w:rFonts w:ascii="Book Antiqua" w:eastAsia="Book Antiqua" w:hAnsi="Book Antiqua" w:cs="Book Antiqua"/>
          <w:b/>
          <w:color w:val="000000"/>
        </w:rPr>
        <w:t xml:space="preserve"> S-Editor: </w:t>
      </w:r>
      <w:r w:rsidR="00382DAA" w:rsidRPr="00880FA7">
        <w:rPr>
          <w:rFonts w:ascii="Book Antiqua" w:hAnsi="Book Antiqua" w:cs="Book Antiqua"/>
          <w:color w:val="000000"/>
          <w:lang w:eastAsia="zh-CN"/>
        </w:rPr>
        <w:t>Fan JR</w:t>
      </w:r>
      <w:r w:rsidRPr="00880FA7">
        <w:rPr>
          <w:rFonts w:ascii="Book Antiqua" w:eastAsia="Book Antiqua" w:hAnsi="Book Antiqua" w:cs="Book Antiqua"/>
          <w:b/>
          <w:color w:val="000000"/>
        </w:rPr>
        <w:t xml:space="preserve"> L-Editor: </w:t>
      </w:r>
      <w:r w:rsidR="00777421" w:rsidRPr="00880FA7">
        <w:rPr>
          <w:rFonts w:ascii="Book Antiqua" w:hAnsi="Book Antiqua" w:cs="Book Antiqua"/>
          <w:color w:val="000000"/>
          <w:lang w:eastAsia="zh-CN"/>
        </w:rPr>
        <w:t>Filipodia</w:t>
      </w:r>
      <w:r w:rsidRPr="00880FA7">
        <w:rPr>
          <w:rFonts w:ascii="Book Antiqua" w:eastAsia="Book Antiqua" w:hAnsi="Book Antiqua" w:cs="Book Antiqua"/>
          <w:b/>
          <w:color w:val="000000"/>
        </w:rPr>
        <w:t xml:space="preserve"> P-Editor: </w:t>
      </w:r>
      <w:r w:rsidR="00382DAA" w:rsidRPr="00880FA7">
        <w:rPr>
          <w:rFonts w:ascii="Book Antiqua" w:hAnsi="Book Antiqua" w:cs="Book Antiqua"/>
          <w:color w:val="000000"/>
          <w:lang w:eastAsia="zh-CN"/>
        </w:rPr>
        <w:t>Fan JR</w:t>
      </w:r>
    </w:p>
    <w:p w14:paraId="1BA59F04" w14:textId="77777777" w:rsidR="00382DAA" w:rsidRPr="00880FA7" w:rsidRDefault="00382DAA" w:rsidP="00D33124">
      <w:pPr>
        <w:spacing w:line="360" w:lineRule="auto"/>
        <w:jc w:val="both"/>
        <w:rPr>
          <w:rFonts w:ascii="Book Antiqua" w:hAnsi="Book Antiqua" w:cs="Book Antiqua"/>
          <w:b/>
          <w:color w:val="000000"/>
          <w:lang w:eastAsia="zh-CN"/>
        </w:rPr>
      </w:pPr>
    </w:p>
    <w:p w14:paraId="3BD22B94" w14:textId="77777777" w:rsidR="00382DAA" w:rsidRPr="00880FA7" w:rsidRDefault="00382DAA" w:rsidP="00D33124">
      <w:pPr>
        <w:spacing w:line="360" w:lineRule="auto"/>
        <w:jc w:val="both"/>
        <w:rPr>
          <w:rFonts w:ascii="Book Antiqua" w:hAnsi="Book Antiqua"/>
          <w:lang w:eastAsia="zh-CN"/>
        </w:rPr>
        <w:sectPr w:rsidR="00382DAA" w:rsidRPr="00880FA7">
          <w:pgSz w:w="12240" w:h="15840"/>
          <w:pgMar w:top="1440" w:right="1440" w:bottom="1440" w:left="1440" w:header="720" w:footer="720" w:gutter="0"/>
          <w:cols w:space="720"/>
          <w:docGrid w:linePitch="360"/>
        </w:sectPr>
      </w:pPr>
    </w:p>
    <w:p w14:paraId="08DE9F6A" w14:textId="77777777" w:rsidR="00A77B3E" w:rsidRPr="00880FA7" w:rsidRDefault="00A92039" w:rsidP="00D33124">
      <w:pPr>
        <w:spacing w:line="360" w:lineRule="auto"/>
        <w:jc w:val="both"/>
        <w:rPr>
          <w:rFonts w:ascii="Book Antiqua" w:hAnsi="Book Antiqua" w:cs="Book Antiqua"/>
          <w:b/>
          <w:color w:val="000000"/>
          <w:lang w:eastAsia="zh-CN"/>
        </w:rPr>
      </w:pPr>
      <w:r w:rsidRPr="00880FA7">
        <w:rPr>
          <w:rFonts w:ascii="Book Antiqua" w:eastAsia="Book Antiqua" w:hAnsi="Book Antiqua" w:cs="Book Antiqua"/>
          <w:b/>
          <w:color w:val="000000"/>
        </w:rPr>
        <w:lastRenderedPageBreak/>
        <w:t>Figure Legends</w:t>
      </w:r>
    </w:p>
    <w:p w14:paraId="5F966665" w14:textId="116D30D4" w:rsidR="00666AC0" w:rsidRPr="00880FA7" w:rsidRDefault="009D0DB8" w:rsidP="00D33124">
      <w:pPr>
        <w:spacing w:line="360" w:lineRule="auto"/>
        <w:jc w:val="both"/>
        <w:rPr>
          <w:rFonts w:ascii="Book Antiqua" w:hAnsi="Book Antiqua"/>
          <w:lang w:eastAsia="zh-CN"/>
        </w:rPr>
      </w:pPr>
      <w:r>
        <w:rPr>
          <w:rFonts w:ascii="Book Antiqua" w:hAnsi="Book Antiqua"/>
          <w:noProof/>
          <w:lang w:eastAsia="zh-CN"/>
        </w:rPr>
        <w:drawing>
          <wp:inline distT="0" distB="0" distL="0" distR="0" wp14:anchorId="2D1DD7C1" wp14:editId="25177EEE">
            <wp:extent cx="5050155" cy="3317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0155" cy="3317240"/>
                    </a:xfrm>
                    <a:prstGeom prst="rect">
                      <a:avLst/>
                    </a:prstGeom>
                    <a:noFill/>
                    <a:ln>
                      <a:noFill/>
                    </a:ln>
                  </pic:spPr>
                </pic:pic>
              </a:graphicData>
            </a:graphic>
          </wp:inline>
        </w:drawing>
      </w:r>
    </w:p>
    <w:p w14:paraId="27E31612" w14:textId="77777777" w:rsidR="00A77B3E" w:rsidRPr="00880FA7" w:rsidRDefault="00A92039" w:rsidP="00D33124">
      <w:pPr>
        <w:spacing w:line="360" w:lineRule="auto"/>
        <w:jc w:val="both"/>
        <w:rPr>
          <w:rFonts w:ascii="Book Antiqua" w:hAnsi="Book Antiqua"/>
          <w:lang w:eastAsia="zh-CN"/>
        </w:rPr>
      </w:pPr>
      <w:r w:rsidRPr="00880FA7">
        <w:rPr>
          <w:rFonts w:ascii="Book Antiqua" w:eastAsia="Book Antiqua" w:hAnsi="Book Antiqua" w:cs="Book Antiqua"/>
          <w:b/>
          <w:bCs/>
          <w:color w:val="000000"/>
        </w:rPr>
        <w:t>Figure 1</w:t>
      </w:r>
      <w:r w:rsidRPr="00880FA7">
        <w:rPr>
          <w:rFonts w:ascii="Book Antiqua" w:eastAsia="Book Antiqua" w:hAnsi="Book Antiqua" w:cs="Book Antiqua"/>
          <w:b/>
          <w:color w:val="000000"/>
        </w:rPr>
        <w:t xml:space="preserve"> First</w:t>
      </w:r>
      <w:r w:rsidR="00140FBC" w:rsidRPr="00880FA7">
        <w:rPr>
          <w:rFonts w:ascii="Book Antiqua" w:hAnsi="Book Antiqua" w:cs="Book Antiqua"/>
          <w:b/>
          <w:color w:val="000000"/>
          <w:lang w:eastAsia="zh-CN"/>
        </w:rPr>
        <w:t>-</w:t>
      </w:r>
      <w:r w:rsidRPr="00880FA7">
        <w:rPr>
          <w:rFonts w:ascii="Book Antiqua" w:eastAsia="Book Antiqua" w:hAnsi="Book Antiqua" w:cs="Book Antiqua"/>
          <w:b/>
          <w:color w:val="000000"/>
        </w:rPr>
        <w:t xml:space="preserve">line systemic therapy in unresectable </w:t>
      </w:r>
      <w:r w:rsidR="00140FBC" w:rsidRPr="00880FA7">
        <w:rPr>
          <w:rFonts w:ascii="Book Antiqua" w:hAnsi="Book Antiqua" w:cs="Book Antiqua"/>
          <w:b/>
          <w:color w:val="000000"/>
          <w:lang w:eastAsia="zh-CN"/>
        </w:rPr>
        <w:t>h</w:t>
      </w:r>
      <w:r w:rsidR="00140FBC" w:rsidRPr="00880FA7">
        <w:rPr>
          <w:rFonts w:ascii="Book Antiqua" w:eastAsia="Book Antiqua" w:hAnsi="Book Antiqua" w:cs="Book Antiqua"/>
          <w:b/>
          <w:color w:val="000000"/>
        </w:rPr>
        <w:t>epatocellular carcinoma</w:t>
      </w:r>
      <w:r w:rsidRPr="00880FA7">
        <w:rPr>
          <w:rFonts w:ascii="Book Antiqua" w:eastAsia="Book Antiqua" w:hAnsi="Book Antiqua" w:cs="Book Antiqua"/>
          <w:b/>
          <w:color w:val="000000"/>
        </w:rPr>
        <w:t>.</w:t>
      </w:r>
      <w:r w:rsidRPr="00880FA7">
        <w:rPr>
          <w:rFonts w:ascii="Book Antiqua" w:eastAsia="Book Antiqua" w:hAnsi="Book Antiqua" w:cs="Book Antiqua"/>
          <w:color w:val="000000"/>
        </w:rPr>
        <w:t xml:space="preserve"> ECOG PS: Eastern Cooperative</w:t>
      </w:r>
      <w:r w:rsidR="003174B6" w:rsidRPr="00880FA7">
        <w:rPr>
          <w:rFonts w:ascii="Book Antiqua" w:hAnsi="Book Antiqua"/>
        </w:rPr>
        <w:t xml:space="preserve"> </w:t>
      </w:r>
      <w:r w:rsidRPr="00880FA7">
        <w:rPr>
          <w:rFonts w:ascii="Book Antiqua" w:eastAsia="Book Antiqua" w:hAnsi="Book Antiqua" w:cs="Book Antiqua"/>
          <w:color w:val="000000"/>
        </w:rPr>
        <w:t xml:space="preserve">Oncology Group Performance Status; ICIs: </w:t>
      </w:r>
      <w:r w:rsidR="00487ED3" w:rsidRPr="00880FA7">
        <w:rPr>
          <w:rFonts w:ascii="Book Antiqua" w:hAnsi="Book Antiqua" w:cs="Book Antiqua"/>
          <w:color w:val="000000"/>
          <w:lang w:eastAsia="zh-CN"/>
        </w:rPr>
        <w:t>I</w:t>
      </w:r>
      <w:r w:rsidRPr="00880FA7">
        <w:rPr>
          <w:rFonts w:ascii="Book Antiqua" w:eastAsia="Book Antiqua" w:hAnsi="Book Antiqua" w:cs="Book Antiqua"/>
          <w:color w:val="000000"/>
        </w:rPr>
        <w:t>mmune checkpoint inhibitors</w:t>
      </w:r>
      <w:r w:rsidR="00140FBC" w:rsidRPr="00880FA7">
        <w:rPr>
          <w:rFonts w:ascii="Book Antiqua" w:hAnsi="Book Antiqua" w:cs="Book Antiqua"/>
          <w:color w:val="000000"/>
          <w:lang w:eastAsia="zh-CN"/>
        </w:rPr>
        <w:t xml:space="preserve">; HCC: </w:t>
      </w:r>
      <w:r w:rsidR="00140FBC" w:rsidRPr="00880FA7">
        <w:rPr>
          <w:rFonts w:ascii="Book Antiqua" w:eastAsia="Book Antiqua" w:hAnsi="Book Antiqua" w:cs="Book Antiqua"/>
          <w:color w:val="000000"/>
        </w:rPr>
        <w:t>Hepatocellular carcinoma</w:t>
      </w:r>
      <w:r w:rsidR="00140FBC" w:rsidRPr="00880FA7">
        <w:rPr>
          <w:rFonts w:ascii="Book Antiqua" w:hAnsi="Book Antiqua" w:cs="Book Antiqua"/>
          <w:color w:val="000000"/>
          <w:lang w:eastAsia="zh-CN"/>
        </w:rPr>
        <w:t>.</w:t>
      </w:r>
    </w:p>
    <w:p w14:paraId="4DD28129" w14:textId="77777777" w:rsidR="005067E8" w:rsidRPr="00880FA7" w:rsidRDefault="005067E8" w:rsidP="00D33124">
      <w:pPr>
        <w:spacing w:line="360" w:lineRule="auto"/>
        <w:jc w:val="both"/>
        <w:rPr>
          <w:rFonts w:ascii="Book Antiqua" w:hAnsi="Book Antiqua"/>
        </w:rPr>
      </w:pPr>
      <w:r w:rsidRPr="00880FA7">
        <w:rPr>
          <w:rFonts w:ascii="Book Antiqua" w:hAnsi="Book Antiqua"/>
        </w:rPr>
        <w:br w:type="page"/>
      </w:r>
    </w:p>
    <w:p w14:paraId="2F6D1982" w14:textId="77777777" w:rsidR="009D0DB8" w:rsidRDefault="009D0DB8" w:rsidP="00D33124">
      <w:pPr>
        <w:spacing w:line="360" w:lineRule="auto"/>
        <w:jc w:val="both"/>
        <w:rPr>
          <w:rFonts w:ascii="Book Antiqua" w:hAnsi="Book Antiqua"/>
          <w:noProof/>
          <w:lang w:eastAsia="zh-CN"/>
        </w:rPr>
      </w:pPr>
    </w:p>
    <w:p w14:paraId="1FB1ECD2" w14:textId="087B6B53" w:rsidR="00A77B3E" w:rsidRPr="00880FA7" w:rsidRDefault="009D0DB8" w:rsidP="00D33124">
      <w:pPr>
        <w:spacing w:line="360" w:lineRule="auto"/>
        <w:jc w:val="both"/>
        <w:rPr>
          <w:rFonts w:ascii="Book Antiqua" w:hAnsi="Book Antiqua"/>
        </w:rPr>
      </w:pPr>
      <w:r>
        <w:rPr>
          <w:rFonts w:ascii="Book Antiqua" w:hAnsi="Book Antiqua"/>
          <w:noProof/>
          <w:lang w:eastAsia="zh-CN"/>
        </w:rPr>
        <w:drawing>
          <wp:inline distT="0" distB="0" distL="0" distR="0" wp14:anchorId="4C835EDE" wp14:editId="4D6A779C">
            <wp:extent cx="5401310" cy="290258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1310" cy="2902585"/>
                    </a:xfrm>
                    <a:prstGeom prst="rect">
                      <a:avLst/>
                    </a:prstGeom>
                    <a:noFill/>
                    <a:ln>
                      <a:noFill/>
                    </a:ln>
                  </pic:spPr>
                </pic:pic>
              </a:graphicData>
            </a:graphic>
          </wp:inline>
        </w:drawing>
      </w:r>
    </w:p>
    <w:p w14:paraId="07D6EF7C" w14:textId="77777777" w:rsidR="00A77B3E" w:rsidRPr="00880FA7" w:rsidRDefault="00A92039" w:rsidP="00D33124">
      <w:pPr>
        <w:spacing w:line="360" w:lineRule="auto"/>
        <w:jc w:val="both"/>
        <w:rPr>
          <w:rFonts w:ascii="Book Antiqua" w:hAnsi="Book Antiqua" w:cs="Book Antiqua"/>
          <w:color w:val="000000"/>
          <w:lang w:eastAsia="zh-CN"/>
        </w:rPr>
      </w:pPr>
      <w:r w:rsidRPr="00880FA7">
        <w:rPr>
          <w:rFonts w:ascii="Book Antiqua" w:eastAsia="Book Antiqua" w:hAnsi="Book Antiqua" w:cs="Book Antiqua"/>
          <w:b/>
          <w:bCs/>
          <w:color w:val="000000"/>
        </w:rPr>
        <w:t xml:space="preserve">Figure 2 </w:t>
      </w:r>
      <w:r w:rsidRPr="00880FA7">
        <w:rPr>
          <w:rFonts w:ascii="Book Antiqua" w:eastAsia="Book Antiqua" w:hAnsi="Book Antiqua" w:cs="Book Antiqua"/>
          <w:b/>
          <w:color w:val="000000"/>
        </w:rPr>
        <w:t>Second</w:t>
      </w:r>
      <w:r w:rsidR="00140FBC" w:rsidRPr="00880FA7">
        <w:rPr>
          <w:rFonts w:ascii="Book Antiqua" w:hAnsi="Book Antiqua" w:cs="Book Antiqua"/>
          <w:b/>
          <w:color w:val="000000"/>
          <w:lang w:eastAsia="zh-CN"/>
        </w:rPr>
        <w:t>-</w:t>
      </w:r>
      <w:r w:rsidRPr="00880FA7">
        <w:rPr>
          <w:rFonts w:ascii="Book Antiqua" w:eastAsia="Book Antiqua" w:hAnsi="Book Antiqua" w:cs="Book Antiqua"/>
          <w:b/>
          <w:color w:val="000000"/>
        </w:rPr>
        <w:t xml:space="preserve">line systemic therapy in unresectable </w:t>
      </w:r>
      <w:r w:rsidR="005067E8" w:rsidRPr="00880FA7">
        <w:rPr>
          <w:rFonts w:ascii="Book Antiqua" w:hAnsi="Book Antiqua" w:cs="Book Antiqua"/>
          <w:b/>
          <w:color w:val="000000"/>
          <w:lang w:eastAsia="zh-CN"/>
        </w:rPr>
        <w:t>h</w:t>
      </w:r>
      <w:r w:rsidR="005067E8" w:rsidRPr="00880FA7">
        <w:rPr>
          <w:rFonts w:ascii="Book Antiqua" w:eastAsia="Book Antiqua" w:hAnsi="Book Antiqua" w:cs="Book Antiqua"/>
          <w:b/>
          <w:color w:val="000000"/>
        </w:rPr>
        <w:t>epatocellular carcinoma</w:t>
      </w:r>
      <w:r w:rsidRPr="00880FA7">
        <w:rPr>
          <w:rFonts w:ascii="Book Antiqua" w:eastAsia="Book Antiqua" w:hAnsi="Book Antiqua" w:cs="Book Antiqua"/>
          <w:b/>
          <w:color w:val="000000"/>
        </w:rPr>
        <w:t>.</w:t>
      </w:r>
      <w:r w:rsidRPr="00880FA7">
        <w:rPr>
          <w:rFonts w:ascii="Book Antiqua" w:eastAsia="Book Antiqua" w:hAnsi="Book Antiqua" w:cs="Book Antiqua"/>
          <w:color w:val="000000"/>
        </w:rPr>
        <w:t xml:space="preserve"> DP: Disease progress; ECOG PS: Eastern Cooperative Oncology Group Performance Status; ICIs: </w:t>
      </w:r>
      <w:r w:rsidR="00FB660C" w:rsidRPr="00880FA7">
        <w:rPr>
          <w:rFonts w:ascii="Book Antiqua" w:hAnsi="Book Antiqua" w:cs="Book Antiqua"/>
          <w:color w:val="000000"/>
          <w:lang w:eastAsia="zh-CN"/>
        </w:rPr>
        <w:t>I</w:t>
      </w:r>
      <w:r w:rsidRPr="00880FA7">
        <w:rPr>
          <w:rFonts w:ascii="Book Antiqua" w:eastAsia="Book Antiqua" w:hAnsi="Book Antiqua" w:cs="Book Antiqua"/>
          <w:color w:val="000000"/>
        </w:rPr>
        <w:t>mmune checkpoint inhibitors</w:t>
      </w:r>
      <w:r w:rsidR="003D579E" w:rsidRPr="00880FA7">
        <w:rPr>
          <w:rFonts w:ascii="Book Antiqua" w:hAnsi="Book Antiqua" w:cs="Book Antiqua"/>
          <w:color w:val="000000"/>
          <w:lang w:eastAsia="zh-CN"/>
        </w:rPr>
        <w:t xml:space="preserve">; HCC: </w:t>
      </w:r>
      <w:r w:rsidR="003D579E" w:rsidRPr="00880FA7">
        <w:rPr>
          <w:rFonts w:ascii="Book Antiqua" w:eastAsia="Book Antiqua" w:hAnsi="Book Antiqua" w:cs="Book Antiqua"/>
          <w:color w:val="000000"/>
        </w:rPr>
        <w:t>Hepatocellular carcinoma</w:t>
      </w:r>
      <w:r w:rsidR="004B26B2" w:rsidRPr="00880FA7">
        <w:rPr>
          <w:rFonts w:ascii="Book Antiqua" w:hAnsi="Book Antiqua" w:cs="Book Antiqua"/>
          <w:color w:val="000000"/>
          <w:lang w:eastAsia="zh-CN"/>
        </w:rPr>
        <w:t>; AFP: A</w:t>
      </w:r>
      <w:r w:rsidR="004B26B2" w:rsidRPr="00880FA7">
        <w:rPr>
          <w:rFonts w:ascii="Book Antiqua" w:eastAsia="Book Antiqua" w:hAnsi="Book Antiqua" w:cs="Book Antiqua"/>
          <w:color w:val="000000"/>
        </w:rPr>
        <w:t>lpha-fetoprotein</w:t>
      </w:r>
      <w:r w:rsidR="004B26B2" w:rsidRPr="00880FA7">
        <w:rPr>
          <w:rFonts w:ascii="Book Antiqua" w:hAnsi="Book Antiqua" w:cs="Book Antiqua"/>
          <w:color w:val="000000"/>
          <w:lang w:eastAsia="zh-CN"/>
        </w:rPr>
        <w:t>.</w:t>
      </w:r>
    </w:p>
    <w:p w14:paraId="5BAE2E8E" w14:textId="77777777" w:rsidR="001113EE" w:rsidRPr="00880FA7" w:rsidRDefault="001113EE" w:rsidP="00D33124">
      <w:pPr>
        <w:spacing w:line="360" w:lineRule="auto"/>
        <w:jc w:val="both"/>
        <w:rPr>
          <w:rFonts w:ascii="Book Antiqua" w:hAnsi="Book Antiqua" w:cs="Book Antiqua"/>
          <w:color w:val="000000"/>
          <w:lang w:eastAsia="zh-CN"/>
        </w:rPr>
      </w:pPr>
      <w:r w:rsidRPr="00880FA7">
        <w:rPr>
          <w:rFonts w:ascii="Book Antiqua" w:hAnsi="Book Antiqua" w:cs="Book Antiqua"/>
          <w:color w:val="000000"/>
          <w:lang w:eastAsia="zh-CN"/>
        </w:rPr>
        <w:br w:type="page"/>
      </w:r>
    </w:p>
    <w:p w14:paraId="443CD481" w14:textId="77777777" w:rsidR="001113EE" w:rsidRPr="00880FA7" w:rsidRDefault="001113EE" w:rsidP="00D33124">
      <w:pPr>
        <w:spacing w:line="360" w:lineRule="auto"/>
        <w:jc w:val="both"/>
        <w:rPr>
          <w:rFonts w:ascii="Book Antiqua" w:hAnsi="Book Antiqua" w:cs="Calibri"/>
          <w:b/>
          <w:bCs/>
          <w:color w:val="000000"/>
          <w:lang w:eastAsia="zh-CN"/>
        </w:rPr>
      </w:pPr>
      <w:r w:rsidRPr="00880FA7">
        <w:rPr>
          <w:rFonts w:ascii="Book Antiqua" w:eastAsia="Times New Roman" w:hAnsi="Book Antiqua" w:cs="Calibri"/>
          <w:b/>
          <w:bCs/>
          <w:color w:val="000000"/>
        </w:rPr>
        <w:lastRenderedPageBreak/>
        <w:t>Table 1</w:t>
      </w:r>
      <w:r w:rsidRPr="00880FA7">
        <w:rPr>
          <w:rFonts w:ascii="Book Antiqua" w:eastAsia="Times New Roman" w:hAnsi="Book Antiqua" w:cs="Calibri"/>
          <w:b/>
          <w:color w:val="000000"/>
        </w:rPr>
        <w:t xml:space="preserve"> </w:t>
      </w:r>
      <w:r w:rsidRPr="00880FA7">
        <w:rPr>
          <w:rFonts w:ascii="Book Antiqua" w:eastAsia="Times New Roman" w:hAnsi="Book Antiqua" w:cs="Calibri"/>
          <w:b/>
          <w:bCs/>
          <w:color w:val="000000"/>
        </w:rPr>
        <w:t xml:space="preserve">Summary of phase 3 trials of sorafenib and lenvatinib for treatment of </w:t>
      </w:r>
      <w:r w:rsidRPr="00880FA7">
        <w:rPr>
          <w:rFonts w:ascii="Book Antiqua" w:eastAsia="Book Antiqua" w:hAnsi="Book Antiqua" w:cs="Book Antiqua"/>
          <w:b/>
          <w:color w:val="000000"/>
        </w:rPr>
        <w:t xml:space="preserve">unresectable </w:t>
      </w:r>
      <w:r w:rsidRPr="00880FA7">
        <w:rPr>
          <w:rFonts w:ascii="Book Antiqua" w:hAnsi="Book Antiqua" w:cs="Book Antiqua"/>
          <w:b/>
          <w:color w:val="000000"/>
          <w:lang w:eastAsia="zh-CN"/>
        </w:rPr>
        <w:t>h</w:t>
      </w:r>
      <w:r w:rsidRPr="00880FA7">
        <w:rPr>
          <w:rFonts w:ascii="Book Antiqua" w:eastAsia="Book Antiqua" w:hAnsi="Book Antiqua" w:cs="Book Antiqua"/>
          <w:b/>
          <w:color w:val="000000"/>
        </w:rPr>
        <w:t>epatocellular carcinoma</w:t>
      </w:r>
    </w:p>
    <w:tbl>
      <w:tblPr>
        <w:tblW w:w="5000" w:type="pct"/>
        <w:tblBorders>
          <w:top w:val="single" w:sz="4" w:space="0" w:color="auto"/>
          <w:bottom w:val="single" w:sz="4" w:space="0" w:color="auto"/>
        </w:tblBorders>
        <w:tblLayout w:type="fixed"/>
        <w:tblCellMar>
          <w:top w:w="15" w:type="dxa"/>
          <w:left w:w="15" w:type="dxa"/>
          <w:bottom w:w="15" w:type="dxa"/>
          <w:right w:w="15" w:type="dxa"/>
        </w:tblCellMar>
        <w:tblLook w:val="0600" w:firstRow="0" w:lastRow="0" w:firstColumn="0" w:lastColumn="0" w:noHBand="1" w:noVBand="1"/>
      </w:tblPr>
      <w:tblGrid>
        <w:gridCol w:w="1092"/>
        <w:gridCol w:w="1078"/>
        <w:gridCol w:w="1155"/>
        <w:gridCol w:w="753"/>
        <w:gridCol w:w="1078"/>
        <w:gridCol w:w="904"/>
        <w:gridCol w:w="870"/>
        <w:gridCol w:w="938"/>
        <w:gridCol w:w="1492"/>
      </w:tblGrid>
      <w:tr w:rsidR="00EF7D18" w:rsidRPr="00880FA7" w14:paraId="0B18FF28" w14:textId="77777777" w:rsidTr="00477638">
        <w:tc>
          <w:tcPr>
            <w:tcW w:w="583" w:type="pct"/>
            <w:tcBorders>
              <w:top w:val="single" w:sz="4" w:space="0" w:color="auto"/>
              <w:bottom w:val="single" w:sz="4" w:space="0" w:color="auto"/>
            </w:tcBorders>
            <w:shd w:val="clear" w:color="auto" w:fill="auto"/>
            <w:tcMar>
              <w:top w:w="0" w:type="dxa"/>
              <w:left w:w="108" w:type="dxa"/>
              <w:bottom w:w="0" w:type="dxa"/>
              <w:right w:w="108" w:type="dxa"/>
            </w:tcMar>
            <w:hideMark/>
          </w:tcPr>
          <w:p w14:paraId="6CB12750" w14:textId="77777777" w:rsidR="00621A22" w:rsidRPr="00880FA7" w:rsidRDefault="00621A22" w:rsidP="00D33124">
            <w:pPr>
              <w:spacing w:line="360" w:lineRule="auto"/>
              <w:jc w:val="both"/>
              <w:rPr>
                <w:rFonts w:ascii="Book Antiqua" w:hAnsi="Book Antiqua"/>
                <w:b/>
                <w:lang w:eastAsia="zh-CN"/>
              </w:rPr>
            </w:pPr>
            <w:r w:rsidRPr="00880FA7">
              <w:rPr>
                <w:rFonts w:ascii="Book Antiqua" w:hAnsi="Book Antiqua"/>
                <w:b/>
              </w:rPr>
              <w:t>Ref</w:t>
            </w:r>
            <w:r w:rsidR="00373A8B" w:rsidRPr="00880FA7">
              <w:rPr>
                <w:rFonts w:ascii="Book Antiqua" w:hAnsi="Book Antiqua"/>
                <w:b/>
                <w:lang w:eastAsia="zh-CN"/>
              </w:rPr>
              <w:t>.</w:t>
            </w:r>
          </w:p>
        </w:tc>
        <w:tc>
          <w:tcPr>
            <w:tcW w:w="576" w:type="pct"/>
            <w:tcBorders>
              <w:top w:val="single" w:sz="4" w:space="0" w:color="auto"/>
              <w:bottom w:val="single" w:sz="4" w:space="0" w:color="auto"/>
            </w:tcBorders>
            <w:shd w:val="clear" w:color="auto" w:fill="auto"/>
            <w:tcMar>
              <w:top w:w="0" w:type="dxa"/>
              <w:left w:w="108" w:type="dxa"/>
              <w:bottom w:w="0" w:type="dxa"/>
              <w:right w:w="108" w:type="dxa"/>
            </w:tcMar>
            <w:hideMark/>
          </w:tcPr>
          <w:p w14:paraId="633E08B8" w14:textId="67FD08CC" w:rsidR="00621A22" w:rsidRPr="00880FA7" w:rsidRDefault="00621A22" w:rsidP="00D33124">
            <w:pPr>
              <w:spacing w:line="360" w:lineRule="auto"/>
              <w:jc w:val="both"/>
              <w:rPr>
                <w:rFonts w:ascii="Book Antiqua" w:hAnsi="Book Antiqua"/>
                <w:b/>
              </w:rPr>
            </w:pPr>
            <w:r w:rsidRPr="00880FA7">
              <w:rPr>
                <w:rFonts w:ascii="Book Antiqua" w:hAnsi="Book Antiqua"/>
                <w:b/>
              </w:rPr>
              <w:t xml:space="preserve">No. of </w:t>
            </w:r>
            <w:r w:rsidR="00FD63A4" w:rsidRPr="00880FA7">
              <w:rPr>
                <w:rFonts w:ascii="Book Antiqua" w:hAnsi="Book Antiqua"/>
                <w:b/>
              </w:rPr>
              <w:t>patient</w:t>
            </w:r>
            <w:r w:rsidR="00BB0250" w:rsidRPr="00880FA7">
              <w:rPr>
                <w:rFonts w:ascii="Book Antiqua" w:hAnsi="Book Antiqua"/>
                <w:b/>
              </w:rPr>
              <w:t>s</w:t>
            </w:r>
            <w:r w:rsidR="00FD63A4" w:rsidRPr="00880FA7">
              <w:rPr>
                <w:rFonts w:ascii="Book Antiqua" w:hAnsi="Book Antiqua"/>
                <w:b/>
                <w:lang w:eastAsia="zh-CN"/>
              </w:rPr>
              <w:t xml:space="preserve"> </w:t>
            </w:r>
            <w:r w:rsidRPr="00880FA7">
              <w:rPr>
                <w:rFonts w:ascii="Book Antiqua" w:hAnsi="Book Antiqua"/>
                <w:b/>
              </w:rPr>
              <w:t>(Child-Pugh A/B)</w:t>
            </w:r>
          </w:p>
        </w:tc>
        <w:tc>
          <w:tcPr>
            <w:tcW w:w="617" w:type="pct"/>
            <w:tcBorders>
              <w:top w:val="single" w:sz="4" w:space="0" w:color="auto"/>
              <w:bottom w:val="single" w:sz="4" w:space="0" w:color="auto"/>
            </w:tcBorders>
            <w:shd w:val="clear" w:color="auto" w:fill="auto"/>
            <w:tcMar>
              <w:top w:w="0" w:type="dxa"/>
              <w:left w:w="108" w:type="dxa"/>
              <w:bottom w:w="0" w:type="dxa"/>
              <w:right w:w="108" w:type="dxa"/>
            </w:tcMar>
            <w:hideMark/>
          </w:tcPr>
          <w:p w14:paraId="5DE160F8" w14:textId="77777777" w:rsidR="00621A22" w:rsidRPr="00880FA7" w:rsidRDefault="00621A22" w:rsidP="00D33124">
            <w:pPr>
              <w:spacing w:line="360" w:lineRule="auto"/>
              <w:jc w:val="both"/>
              <w:rPr>
                <w:rFonts w:ascii="Book Antiqua" w:hAnsi="Book Antiqua"/>
                <w:b/>
              </w:rPr>
            </w:pPr>
            <w:r w:rsidRPr="00880FA7">
              <w:rPr>
                <w:rFonts w:ascii="Book Antiqua" w:hAnsi="Book Antiqua"/>
                <w:b/>
              </w:rPr>
              <w:t>Treatment</w:t>
            </w:r>
            <w:r w:rsidR="00FD63A4" w:rsidRPr="00880FA7">
              <w:rPr>
                <w:rFonts w:ascii="Book Antiqua" w:hAnsi="Book Antiqua"/>
                <w:b/>
                <w:lang w:eastAsia="zh-CN"/>
              </w:rPr>
              <w:t xml:space="preserve"> o</w:t>
            </w:r>
            <w:r w:rsidRPr="00880FA7">
              <w:rPr>
                <w:rFonts w:ascii="Book Antiqua" w:hAnsi="Book Antiqua"/>
                <w:b/>
              </w:rPr>
              <w:t>r</w:t>
            </w:r>
            <w:r w:rsidR="00FD63A4" w:rsidRPr="00880FA7">
              <w:rPr>
                <w:rFonts w:ascii="Book Antiqua" w:hAnsi="Book Antiqua"/>
                <w:b/>
                <w:lang w:eastAsia="zh-CN"/>
              </w:rPr>
              <w:t xml:space="preserve"> </w:t>
            </w:r>
            <w:r w:rsidRPr="00880FA7">
              <w:rPr>
                <w:rFonts w:ascii="Book Antiqua" w:hAnsi="Book Antiqua"/>
                <w:b/>
              </w:rPr>
              <w:t>Placebo</w:t>
            </w:r>
          </w:p>
        </w:tc>
        <w:tc>
          <w:tcPr>
            <w:tcW w:w="402" w:type="pct"/>
            <w:tcBorders>
              <w:top w:val="single" w:sz="4" w:space="0" w:color="auto"/>
              <w:bottom w:val="single" w:sz="4" w:space="0" w:color="auto"/>
            </w:tcBorders>
            <w:shd w:val="clear" w:color="auto" w:fill="auto"/>
          </w:tcPr>
          <w:p w14:paraId="2A51FA0A" w14:textId="79D0BA3A" w:rsidR="00621A22" w:rsidRPr="00880FA7" w:rsidRDefault="00621A22" w:rsidP="00D33124">
            <w:pPr>
              <w:spacing w:line="360" w:lineRule="auto"/>
              <w:jc w:val="both"/>
              <w:rPr>
                <w:rFonts w:ascii="Book Antiqua" w:hAnsi="Book Antiqua"/>
                <w:b/>
              </w:rPr>
            </w:pPr>
            <w:r w:rsidRPr="00880FA7">
              <w:rPr>
                <w:rFonts w:ascii="Book Antiqua" w:hAnsi="Book Antiqua"/>
                <w:b/>
              </w:rPr>
              <w:t>Median OS</w:t>
            </w:r>
            <w:r w:rsidR="00FD63A4" w:rsidRPr="00880FA7">
              <w:rPr>
                <w:rFonts w:ascii="Book Antiqua" w:hAnsi="Book Antiqua"/>
                <w:b/>
                <w:lang w:eastAsia="zh-CN"/>
              </w:rPr>
              <w:t xml:space="preserve"> </w:t>
            </w:r>
            <w:r w:rsidR="002372D8" w:rsidRPr="00880FA7">
              <w:rPr>
                <w:rFonts w:ascii="Book Antiqua" w:hAnsi="Book Antiqua"/>
                <w:b/>
              </w:rPr>
              <w:t xml:space="preserve">in </w:t>
            </w:r>
            <w:r w:rsidRPr="00880FA7">
              <w:rPr>
                <w:rFonts w:ascii="Book Antiqua" w:hAnsi="Book Antiqua"/>
                <w:b/>
              </w:rPr>
              <w:t>m</w:t>
            </w:r>
            <w:r w:rsidR="002372D8" w:rsidRPr="00880FA7">
              <w:rPr>
                <w:rFonts w:ascii="Book Antiqua" w:hAnsi="Book Antiqua"/>
                <w:b/>
              </w:rPr>
              <w:t>o</w:t>
            </w:r>
          </w:p>
        </w:tc>
        <w:tc>
          <w:tcPr>
            <w:tcW w:w="576" w:type="pct"/>
            <w:tcBorders>
              <w:top w:val="single" w:sz="4" w:space="0" w:color="auto"/>
              <w:bottom w:val="single" w:sz="4" w:space="0" w:color="auto"/>
            </w:tcBorders>
            <w:shd w:val="clear" w:color="auto" w:fill="auto"/>
            <w:tcMar>
              <w:top w:w="0" w:type="dxa"/>
              <w:left w:w="108" w:type="dxa"/>
              <w:bottom w:w="0" w:type="dxa"/>
              <w:right w:w="108" w:type="dxa"/>
            </w:tcMar>
            <w:hideMark/>
          </w:tcPr>
          <w:p w14:paraId="25F21359" w14:textId="300AD3D0" w:rsidR="00621A22" w:rsidRPr="00880FA7" w:rsidRDefault="00621A22" w:rsidP="00D33124">
            <w:pPr>
              <w:spacing w:line="360" w:lineRule="auto"/>
              <w:jc w:val="both"/>
              <w:rPr>
                <w:rFonts w:ascii="Book Antiqua" w:hAnsi="Book Antiqua"/>
                <w:b/>
              </w:rPr>
            </w:pPr>
            <w:r w:rsidRPr="00880FA7">
              <w:rPr>
                <w:rFonts w:ascii="Book Antiqua" w:hAnsi="Book Antiqua"/>
                <w:b/>
              </w:rPr>
              <w:t>Response</w:t>
            </w:r>
            <w:r w:rsidR="00FD63A4" w:rsidRPr="00880FA7">
              <w:rPr>
                <w:rFonts w:ascii="Book Antiqua" w:hAnsi="Book Antiqua"/>
                <w:b/>
                <w:lang w:eastAsia="zh-CN"/>
              </w:rPr>
              <w:t xml:space="preserve"> r</w:t>
            </w:r>
            <w:r w:rsidRPr="00880FA7">
              <w:rPr>
                <w:rFonts w:ascii="Book Antiqua" w:hAnsi="Book Antiqua"/>
                <w:b/>
              </w:rPr>
              <w:t>ate</w:t>
            </w:r>
            <w:r w:rsidR="002372D8" w:rsidRPr="00880FA7">
              <w:rPr>
                <w:rFonts w:ascii="Book Antiqua" w:hAnsi="Book Antiqua"/>
                <w:b/>
              </w:rPr>
              <w:t>,</w:t>
            </w:r>
            <w:r w:rsidR="007D07ED" w:rsidRPr="00880FA7">
              <w:rPr>
                <w:rFonts w:ascii="Book Antiqua" w:hAnsi="Book Antiqua"/>
                <w:b/>
                <w:lang w:eastAsia="zh-CN"/>
              </w:rPr>
              <w:t xml:space="preserve"> </w:t>
            </w:r>
            <w:r w:rsidRPr="00880FA7">
              <w:rPr>
                <w:rFonts w:ascii="Book Antiqua" w:hAnsi="Book Antiqua"/>
                <w:b/>
              </w:rPr>
              <w:t>%</w:t>
            </w:r>
          </w:p>
        </w:tc>
        <w:tc>
          <w:tcPr>
            <w:tcW w:w="483" w:type="pct"/>
            <w:tcBorders>
              <w:top w:val="single" w:sz="4" w:space="0" w:color="auto"/>
              <w:bottom w:val="single" w:sz="4" w:space="0" w:color="auto"/>
            </w:tcBorders>
            <w:shd w:val="clear" w:color="auto" w:fill="auto"/>
            <w:tcMar>
              <w:top w:w="0" w:type="dxa"/>
              <w:left w:w="108" w:type="dxa"/>
              <w:bottom w:w="0" w:type="dxa"/>
              <w:right w:w="108" w:type="dxa"/>
            </w:tcMar>
            <w:hideMark/>
          </w:tcPr>
          <w:p w14:paraId="52DCFC45" w14:textId="7E752B71" w:rsidR="00621A22" w:rsidRPr="00880FA7" w:rsidRDefault="00621A22" w:rsidP="00D33124">
            <w:pPr>
              <w:spacing w:line="360" w:lineRule="auto"/>
              <w:jc w:val="both"/>
              <w:rPr>
                <w:rFonts w:ascii="Book Antiqua" w:hAnsi="Book Antiqua"/>
                <w:b/>
              </w:rPr>
            </w:pPr>
            <w:r w:rsidRPr="00880FA7">
              <w:rPr>
                <w:rFonts w:ascii="Book Antiqua" w:hAnsi="Book Antiqua"/>
                <w:b/>
              </w:rPr>
              <w:t xml:space="preserve">Control </w:t>
            </w:r>
            <w:r w:rsidR="00FD63A4" w:rsidRPr="00880FA7">
              <w:rPr>
                <w:rFonts w:ascii="Book Antiqua" w:hAnsi="Book Antiqua"/>
                <w:b/>
                <w:lang w:eastAsia="zh-CN"/>
              </w:rPr>
              <w:t>r</w:t>
            </w:r>
            <w:r w:rsidRPr="00880FA7">
              <w:rPr>
                <w:rFonts w:ascii="Book Antiqua" w:hAnsi="Book Antiqua"/>
                <w:b/>
              </w:rPr>
              <w:t>ate</w:t>
            </w:r>
            <w:r w:rsidR="002372D8" w:rsidRPr="00880FA7">
              <w:rPr>
                <w:rFonts w:ascii="Book Antiqua" w:hAnsi="Book Antiqua"/>
                <w:b/>
              </w:rPr>
              <w:t xml:space="preserve">, </w:t>
            </w:r>
            <w:r w:rsidRPr="00880FA7">
              <w:rPr>
                <w:rFonts w:ascii="Book Antiqua" w:hAnsi="Book Antiqua"/>
                <w:b/>
              </w:rPr>
              <w:t>%</w:t>
            </w:r>
          </w:p>
        </w:tc>
        <w:tc>
          <w:tcPr>
            <w:tcW w:w="465" w:type="pct"/>
            <w:tcBorders>
              <w:top w:val="single" w:sz="4" w:space="0" w:color="auto"/>
              <w:bottom w:val="single" w:sz="4" w:space="0" w:color="auto"/>
            </w:tcBorders>
            <w:shd w:val="clear" w:color="auto" w:fill="auto"/>
            <w:tcMar>
              <w:top w:w="0" w:type="dxa"/>
              <w:left w:w="108" w:type="dxa"/>
              <w:bottom w:w="0" w:type="dxa"/>
              <w:right w:w="108" w:type="dxa"/>
            </w:tcMar>
            <w:hideMark/>
          </w:tcPr>
          <w:p w14:paraId="02C6D317" w14:textId="47C652FF" w:rsidR="00621A22" w:rsidRPr="00880FA7" w:rsidRDefault="00621A22" w:rsidP="00D33124">
            <w:pPr>
              <w:spacing w:line="360" w:lineRule="auto"/>
              <w:jc w:val="both"/>
              <w:rPr>
                <w:rFonts w:ascii="Book Antiqua" w:hAnsi="Book Antiqua"/>
                <w:b/>
                <w:lang w:eastAsia="zh-CN"/>
              </w:rPr>
            </w:pPr>
            <w:r w:rsidRPr="00880FA7">
              <w:rPr>
                <w:rFonts w:ascii="Book Antiqua" w:hAnsi="Book Antiqua"/>
                <w:b/>
              </w:rPr>
              <w:t>Median</w:t>
            </w:r>
            <w:r w:rsidR="00FD63A4" w:rsidRPr="00880FA7">
              <w:rPr>
                <w:rFonts w:ascii="Book Antiqua" w:hAnsi="Book Antiqua"/>
                <w:b/>
                <w:lang w:eastAsia="zh-CN"/>
              </w:rPr>
              <w:t xml:space="preserve"> </w:t>
            </w:r>
            <w:r w:rsidRPr="00880FA7">
              <w:rPr>
                <w:rFonts w:ascii="Book Antiqua" w:hAnsi="Book Antiqua"/>
                <w:b/>
              </w:rPr>
              <w:t>TP</w:t>
            </w:r>
            <w:r w:rsidR="00BB0250" w:rsidRPr="00880FA7">
              <w:rPr>
                <w:rFonts w:ascii="Book Antiqua" w:hAnsi="Book Antiqua"/>
                <w:b/>
              </w:rPr>
              <w:t xml:space="preserve"> in</w:t>
            </w:r>
            <w:r w:rsidR="002372D8" w:rsidRPr="00880FA7">
              <w:rPr>
                <w:rFonts w:ascii="Book Antiqua" w:hAnsi="Book Antiqua"/>
                <w:b/>
              </w:rPr>
              <w:t xml:space="preserve"> </w:t>
            </w:r>
            <w:r w:rsidRPr="00880FA7">
              <w:rPr>
                <w:rFonts w:ascii="Book Antiqua" w:hAnsi="Book Antiqua"/>
                <w:b/>
              </w:rPr>
              <w:t>mo</w:t>
            </w:r>
          </w:p>
        </w:tc>
        <w:tc>
          <w:tcPr>
            <w:tcW w:w="501" w:type="pct"/>
            <w:tcBorders>
              <w:top w:val="single" w:sz="4" w:space="0" w:color="auto"/>
              <w:bottom w:val="single" w:sz="4" w:space="0" w:color="auto"/>
            </w:tcBorders>
            <w:shd w:val="clear" w:color="auto" w:fill="auto"/>
          </w:tcPr>
          <w:p w14:paraId="209CBBAD" w14:textId="03D3916E" w:rsidR="00621A22" w:rsidRPr="00880FA7" w:rsidRDefault="00621A22" w:rsidP="00D33124">
            <w:pPr>
              <w:spacing w:line="360" w:lineRule="auto"/>
              <w:jc w:val="both"/>
              <w:rPr>
                <w:rFonts w:ascii="Book Antiqua" w:hAnsi="Book Antiqua"/>
                <w:b/>
              </w:rPr>
            </w:pPr>
            <w:r w:rsidRPr="00880FA7">
              <w:rPr>
                <w:rFonts w:ascii="Book Antiqua" w:hAnsi="Book Antiqua"/>
                <w:b/>
              </w:rPr>
              <w:t xml:space="preserve">Dose </w:t>
            </w:r>
            <w:r w:rsidR="00FD63A4" w:rsidRPr="00880FA7">
              <w:rPr>
                <w:rFonts w:ascii="Book Antiqua" w:hAnsi="Book Antiqua"/>
                <w:b/>
                <w:lang w:eastAsia="zh-CN"/>
              </w:rPr>
              <w:t>r</w:t>
            </w:r>
            <w:r w:rsidRPr="00880FA7">
              <w:rPr>
                <w:rFonts w:ascii="Book Antiqua" w:hAnsi="Book Antiqua"/>
                <w:b/>
              </w:rPr>
              <w:t>eduction</w:t>
            </w:r>
            <w:r w:rsidR="00BB0250" w:rsidRPr="00880FA7">
              <w:rPr>
                <w:rFonts w:ascii="Book Antiqua" w:hAnsi="Book Antiqua"/>
                <w:b/>
              </w:rPr>
              <w:t>,</w:t>
            </w:r>
            <w:r w:rsidR="00FD63A4" w:rsidRPr="00880FA7">
              <w:rPr>
                <w:rFonts w:ascii="Book Antiqua" w:hAnsi="Book Antiqua"/>
                <w:b/>
                <w:lang w:eastAsia="zh-CN"/>
              </w:rPr>
              <w:t xml:space="preserve"> </w:t>
            </w:r>
            <w:r w:rsidRPr="00880FA7">
              <w:rPr>
                <w:rFonts w:ascii="Book Antiqua" w:hAnsi="Book Antiqua"/>
                <w:b/>
              </w:rPr>
              <w:t>% patients</w:t>
            </w:r>
          </w:p>
        </w:tc>
        <w:tc>
          <w:tcPr>
            <w:tcW w:w="797" w:type="pct"/>
            <w:tcBorders>
              <w:top w:val="single" w:sz="4" w:space="0" w:color="auto"/>
              <w:bottom w:val="single" w:sz="4" w:space="0" w:color="auto"/>
            </w:tcBorders>
            <w:shd w:val="clear" w:color="auto" w:fill="auto"/>
          </w:tcPr>
          <w:p w14:paraId="37D896AB" w14:textId="59546CCD" w:rsidR="00621A22" w:rsidRPr="00880FA7" w:rsidRDefault="00621A22" w:rsidP="00D33124">
            <w:pPr>
              <w:spacing w:line="360" w:lineRule="auto"/>
              <w:jc w:val="both"/>
              <w:rPr>
                <w:rFonts w:ascii="Book Antiqua" w:hAnsi="Book Antiqua"/>
                <w:b/>
                <w:lang w:eastAsia="zh-CN"/>
              </w:rPr>
            </w:pPr>
            <w:r w:rsidRPr="00880FA7">
              <w:rPr>
                <w:rFonts w:ascii="Book Antiqua" w:hAnsi="Book Antiqua"/>
                <w:b/>
              </w:rPr>
              <w:t>Discontinuation</w:t>
            </w:r>
            <w:r w:rsidR="00FD63A4" w:rsidRPr="00880FA7">
              <w:rPr>
                <w:rFonts w:ascii="Book Antiqua" w:hAnsi="Book Antiqua"/>
                <w:b/>
                <w:lang w:eastAsia="zh-CN"/>
              </w:rPr>
              <w:t xml:space="preserve"> d</w:t>
            </w:r>
            <w:r w:rsidRPr="00880FA7">
              <w:rPr>
                <w:rFonts w:ascii="Book Antiqua" w:hAnsi="Book Antiqua"/>
                <w:b/>
              </w:rPr>
              <w:t>ue to AE</w:t>
            </w:r>
            <w:r w:rsidR="00BB0250" w:rsidRPr="00880FA7">
              <w:rPr>
                <w:rFonts w:ascii="Book Antiqua" w:hAnsi="Book Antiqua"/>
                <w:b/>
              </w:rPr>
              <w:t xml:space="preserve">, </w:t>
            </w:r>
            <w:r w:rsidRPr="00880FA7">
              <w:rPr>
                <w:rFonts w:ascii="Book Antiqua" w:hAnsi="Book Antiqua"/>
                <w:b/>
              </w:rPr>
              <w:t>% patients</w:t>
            </w:r>
          </w:p>
        </w:tc>
      </w:tr>
      <w:tr w:rsidR="008661E4" w:rsidRPr="00880FA7" w14:paraId="02E3BA55" w14:textId="77777777" w:rsidTr="00477638">
        <w:tc>
          <w:tcPr>
            <w:tcW w:w="583" w:type="pct"/>
            <w:vMerge w:val="restart"/>
            <w:tcBorders>
              <w:top w:val="single" w:sz="4" w:space="0" w:color="auto"/>
            </w:tcBorders>
            <w:shd w:val="clear" w:color="auto" w:fill="auto"/>
            <w:tcMar>
              <w:top w:w="0" w:type="dxa"/>
              <w:left w:w="108" w:type="dxa"/>
              <w:bottom w:w="0" w:type="dxa"/>
              <w:right w:w="108" w:type="dxa"/>
            </w:tcMar>
            <w:hideMark/>
          </w:tcPr>
          <w:p w14:paraId="59015D9F" w14:textId="77777777" w:rsidR="00EF7D18" w:rsidRPr="00880FA7" w:rsidRDefault="00EF7D18" w:rsidP="00D33124">
            <w:pPr>
              <w:spacing w:line="360" w:lineRule="auto"/>
              <w:jc w:val="both"/>
              <w:rPr>
                <w:rFonts w:ascii="Book Antiqua" w:hAnsi="Book Antiqua"/>
              </w:rPr>
            </w:pPr>
            <w:bookmarkStart w:id="6" w:name="_Hlk113529168"/>
            <w:r w:rsidRPr="00880FA7">
              <w:rPr>
                <w:rFonts w:ascii="Book Antiqua" w:hAnsi="Book Antiqua"/>
              </w:rPr>
              <w:t xml:space="preserve">Llovet </w:t>
            </w:r>
            <w:r w:rsidRPr="00880FA7">
              <w:rPr>
                <w:rFonts w:ascii="Book Antiqua" w:hAnsi="Book Antiqua"/>
                <w:i/>
              </w:rPr>
              <w:t>et al</w:t>
            </w:r>
            <w:r w:rsidRPr="00880FA7">
              <w:rPr>
                <w:rFonts w:ascii="Book Antiqua" w:hAnsi="Book Antiqua"/>
                <w:vertAlign w:val="superscript"/>
              </w:rPr>
              <w:t>[33]</w:t>
            </w:r>
            <w:r w:rsidRPr="00880FA7">
              <w:rPr>
                <w:rFonts w:ascii="Book Antiqua" w:hAnsi="Book Antiqua"/>
              </w:rPr>
              <w:t xml:space="preserve"> (SHARP)</w:t>
            </w:r>
          </w:p>
        </w:tc>
        <w:tc>
          <w:tcPr>
            <w:tcW w:w="576" w:type="pct"/>
            <w:tcBorders>
              <w:top w:val="single" w:sz="4" w:space="0" w:color="auto"/>
            </w:tcBorders>
            <w:shd w:val="clear" w:color="auto" w:fill="auto"/>
            <w:tcMar>
              <w:top w:w="0" w:type="dxa"/>
              <w:left w:w="108" w:type="dxa"/>
              <w:bottom w:w="0" w:type="dxa"/>
              <w:right w:w="108" w:type="dxa"/>
            </w:tcMar>
            <w:hideMark/>
          </w:tcPr>
          <w:p w14:paraId="24719087" w14:textId="77777777" w:rsidR="00EF7D18" w:rsidRPr="00880FA7" w:rsidRDefault="00EF7D18" w:rsidP="00D33124">
            <w:pPr>
              <w:spacing w:line="360" w:lineRule="auto"/>
              <w:jc w:val="both"/>
              <w:rPr>
                <w:rFonts w:ascii="Book Antiqua" w:hAnsi="Book Antiqua"/>
                <w:lang w:eastAsia="zh-CN"/>
              </w:rPr>
            </w:pPr>
            <w:r w:rsidRPr="00880FA7">
              <w:rPr>
                <w:rFonts w:ascii="Book Antiqua" w:hAnsi="Book Antiqua"/>
              </w:rPr>
              <w:t>298</w:t>
            </w:r>
            <w:r w:rsidRPr="00880FA7">
              <w:rPr>
                <w:rFonts w:ascii="Book Antiqua" w:hAnsi="Book Antiqua"/>
                <w:lang w:eastAsia="zh-CN"/>
              </w:rPr>
              <w:t xml:space="preserve"> </w:t>
            </w:r>
            <w:r w:rsidRPr="00880FA7">
              <w:rPr>
                <w:rFonts w:ascii="Book Antiqua" w:hAnsi="Book Antiqua"/>
              </w:rPr>
              <w:t>(284/14)</w:t>
            </w:r>
          </w:p>
        </w:tc>
        <w:tc>
          <w:tcPr>
            <w:tcW w:w="617" w:type="pct"/>
            <w:tcBorders>
              <w:top w:val="single" w:sz="4" w:space="0" w:color="auto"/>
            </w:tcBorders>
            <w:shd w:val="clear" w:color="auto" w:fill="auto"/>
            <w:tcMar>
              <w:top w:w="0" w:type="dxa"/>
              <w:left w:w="108" w:type="dxa"/>
              <w:bottom w:w="0" w:type="dxa"/>
              <w:right w:w="108" w:type="dxa"/>
            </w:tcMar>
            <w:hideMark/>
          </w:tcPr>
          <w:p w14:paraId="33C256DF" w14:textId="16DED5E2" w:rsidR="00EF7D18" w:rsidRPr="00880FA7" w:rsidRDefault="00EF7D18" w:rsidP="00D33124">
            <w:pPr>
              <w:spacing w:line="360" w:lineRule="auto"/>
              <w:jc w:val="both"/>
              <w:rPr>
                <w:rFonts w:ascii="Book Antiqua" w:hAnsi="Book Antiqua"/>
                <w:lang w:eastAsia="zh-CN"/>
              </w:rPr>
            </w:pPr>
            <w:r w:rsidRPr="00880FA7">
              <w:rPr>
                <w:rFonts w:ascii="Book Antiqua" w:hAnsi="Book Antiqua"/>
              </w:rPr>
              <w:t>Sorafenib</w:t>
            </w:r>
            <w:r w:rsidRPr="00880FA7">
              <w:rPr>
                <w:rFonts w:ascii="Book Antiqua" w:hAnsi="Book Antiqua"/>
                <w:lang w:eastAsia="zh-CN"/>
              </w:rPr>
              <w:t xml:space="preserve"> </w:t>
            </w:r>
            <w:r w:rsidRPr="00880FA7">
              <w:rPr>
                <w:rFonts w:ascii="Book Antiqua" w:hAnsi="Book Antiqua"/>
              </w:rPr>
              <w:t>(400 mg × 2/d)</w:t>
            </w:r>
          </w:p>
        </w:tc>
        <w:tc>
          <w:tcPr>
            <w:tcW w:w="402" w:type="pct"/>
            <w:tcBorders>
              <w:top w:val="single" w:sz="4" w:space="0" w:color="auto"/>
            </w:tcBorders>
            <w:shd w:val="clear" w:color="auto" w:fill="auto"/>
          </w:tcPr>
          <w:p w14:paraId="418B7BF5" w14:textId="77777777" w:rsidR="00EF7D18" w:rsidRPr="00880FA7" w:rsidRDefault="00EF7D18" w:rsidP="00D33124">
            <w:pPr>
              <w:spacing w:line="360" w:lineRule="auto"/>
              <w:jc w:val="both"/>
              <w:rPr>
                <w:rFonts w:ascii="Book Antiqua" w:hAnsi="Book Antiqua"/>
                <w:lang w:eastAsia="zh-CN"/>
              </w:rPr>
            </w:pPr>
            <w:r w:rsidRPr="00880FA7">
              <w:rPr>
                <w:rFonts w:ascii="Book Antiqua" w:hAnsi="Book Antiqua"/>
              </w:rPr>
              <w:t>10.7</w:t>
            </w:r>
          </w:p>
        </w:tc>
        <w:tc>
          <w:tcPr>
            <w:tcW w:w="576" w:type="pct"/>
            <w:tcBorders>
              <w:top w:val="single" w:sz="4" w:space="0" w:color="auto"/>
            </w:tcBorders>
            <w:shd w:val="clear" w:color="auto" w:fill="auto"/>
            <w:tcMar>
              <w:top w:w="0" w:type="dxa"/>
              <w:left w:w="108" w:type="dxa"/>
              <w:bottom w:w="0" w:type="dxa"/>
              <w:right w:w="108" w:type="dxa"/>
            </w:tcMar>
            <w:hideMark/>
          </w:tcPr>
          <w:p w14:paraId="1F1F42C4" w14:textId="77777777" w:rsidR="00EF7D18" w:rsidRPr="00880FA7" w:rsidRDefault="00EF7D18" w:rsidP="00D33124">
            <w:pPr>
              <w:spacing w:line="360" w:lineRule="auto"/>
              <w:jc w:val="both"/>
              <w:rPr>
                <w:rFonts w:ascii="Book Antiqua" w:hAnsi="Book Antiqua"/>
                <w:lang w:eastAsia="zh-CN"/>
              </w:rPr>
            </w:pPr>
            <w:r w:rsidRPr="00880FA7">
              <w:rPr>
                <w:rFonts w:ascii="Book Antiqua" w:hAnsi="Book Antiqua"/>
              </w:rPr>
              <w:t>2</w:t>
            </w:r>
          </w:p>
        </w:tc>
        <w:tc>
          <w:tcPr>
            <w:tcW w:w="483" w:type="pct"/>
            <w:tcBorders>
              <w:top w:val="single" w:sz="4" w:space="0" w:color="auto"/>
            </w:tcBorders>
            <w:shd w:val="clear" w:color="auto" w:fill="auto"/>
            <w:tcMar>
              <w:top w:w="0" w:type="dxa"/>
              <w:left w:w="108" w:type="dxa"/>
              <w:bottom w:w="0" w:type="dxa"/>
              <w:right w:w="108" w:type="dxa"/>
            </w:tcMar>
            <w:hideMark/>
          </w:tcPr>
          <w:p w14:paraId="0D512E1A" w14:textId="77777777" w:rsidR="00EF7D18" w:rsidRPr="00880FA7" w:rsidRDefault="00EF7D18" w:rsidP="00D33124">
            <w:pPr>
              <w:spacing w:line="360" w:lineRule="auto"/>
              <w:jc w:val="both"/>
              <w:rPr>
                <w:rFonts w:ascii="Book Antiqua" w:hAnsi="Book Antiqua"/>
                <w:lang w:eastAsia="zh-CN"/>
              </w:rPr>
            </w:pPr>
            <w:r w:rsidRPr="00880FA7">
              <w:rPr>
                <w:rFonts w:ascii="Book Antiqua" w:hAnsi="Book Antiqua"/>
              </w:rPr>
              <w:t>43</w:t>
            </w:r>
          </w:p>
          <w:p w14:paraId="7E624733" w14:textId="77777777" w:rsidR="00EF7D18" w:rsidRPr="00880FA7" w:rsidRDefault="00EF7D18" w:rsidP="00D33124">
            <w:pPr>
              <w:spacing w:line="360" w:lineRule="auto"/>
              <w:jc w:val="both"/>
              <w:rPr>
                <w:rFonts w:ascii="Book Antiqua" w:hAnsi="Book Antiqua"/>
              </w:rPr>
            </w:pPr>
          </w:p>
        </w:tc>
        <w:tc>
          <w:tcPr>
            <w:tcW w:w="465" w:type="pct"/>
            <w:tcBorders>
              <w:top w:val="single" w:sz="4" w:space="0" w:color="auto"/>
            </w:tcBorders>
            <w:shd w:val="clear" w:color="auto" w:fill="auto"/>
            <w:tcMar>
              <w:top w:w="0" w:type="dxa"/>
              <w:left w:w="108" w:type="dxa"/>
              <w:bottom w:w="0" w:type="dxa"/>
              <w:right w:w="108" w:type="dxa"/>
            </w:tcMar>
            <w:hideMark/>
          </w:tcPr>
          <w:p w14:paraId="1B5272BB" w14:textId="77777777" w:rsidR="00EF7D18" w:rsidRPr="00880FA7" w:rsidRDefault="00EF7D18" w:rsidP="00D33124">
            <w:pPr>
              <w:spacing w:line="360" w:lineRule="auto"/>
              <w:jc w:val="both"/>
              <w:rPr>
                <w:rFonts w:ascii="Book Antiqua" w:hAnsi="Book Antiqua"/>
                <w:lang w:eastAsia="zh-CN"/>
              </w:rPr>
            </w:pPr>
            <w:r w:rsidRPr="00880FA7">
              <w:rPr>
                <w:rFonts w:ascii="Book Antiqua" w:hAnsi="Book Antiqua"/>
              </w:rPr>
              <w:t>5.5</w:t>
            </w:r>
          </w:p>
          <w:p w14:paraId="45082582" w14:textId="77777777" w:rsidR="00EF7D18" w:rsidRPr="00880FA7" w:rsidRDefault="00EF7D18" w:rsidP="00D33124">
            <w:pPr>
              <w:spacing w:line="360" w:lineRule="auto"/>
              <w:jc w:val="both"/>
              <w:rPr>
                <w:rFonts w:ascii="Book Antiqua" w:hAnsi="Book Antiqua"/>
              </w:rPr>
            </w:pPr>
          </w:p>
        </w:tc>
        <w:tc>
          <w:tcPr>
            <w:tcW w:w="501" w:type="pct"/>
            <w:tcBorders>
              <w:top w:val="single" w:sz="4" w:space="0" w:color="auto"/>
            </w:tcBorders>
            <w:shd w:val="clear" w:color="auto" w:fill="auto"/>
          </w:tcPr>
          <w:p w14:paraId="6493C131" w14:textId="77777777" w:rsidR="00EF7D18" w:rsidRPr="00880FA7" w:rsidRDefault="00EF7D18" w:rsidP="00D33124">
            <w:pPr>
              <w:spacing w:line="360" w:lineRule="auto"/>
              <w:jc w:val="both"/>
              <w:rPr>
                <w:rFonts w:ascii="Book Antiqua" w:hAnsi="Book Antiqua"/>
                <w:lang w:eastAsia="zh-CN"/>
              </w:rPr>
            </w:pPr>
            <w:r w:rsidRPr="00880FA7">
              <w:rPr>
                <w:rFonts w:ascii="Book Antiqua" w:hAnsi="Book Antiqua"/>
              </w:rPr>
              <w:t>26</w:t>
            </w:r>
          </w:p>
        </w:tc>
        <w:tc>
          <w:tcPr>
            <w:tcW w:w="797" w:type="pct"/>
            <w:tcBorders>
              <w:top w:val="single" w:sz="4" w:space="0" w:color="auto"/>
            </w:tcBorders>
            <w:shd w:val="clear" w:color="auto" w:fill="auto"/>
          </w:tcPr>
          <w:p w14:paraId="13677442" w14:textId="77777777" w:rsidR="00EF7D18" w:rsidRPr="00880FA7" w:rsidRDefault="00EF7D18" w:rsidP="00D33124">
            <w:pPr>
              <w:spacing w:line="360" w:lineRule="auto"/>
              <w:jc w:val="both"/>
              <w:rPr>
                <w:rFonts w:ascii="Book Antiqua" w:hAnsi="Book Antiqua"/>
                <w:lang w:eastAsia="zh-CN"/>
              </w:rPr>
            </w:pPr>
            <w:r w:rsidRPr="00880FA7">
              <w:rPr>
                <w:rFonts w:ascii="Book Antiqua" w:hAnsi="Book Antiqua"/>
              </w:rPr>
              <w:t>11</w:t>
            </w:r>
          </w:p>
        </w:tc>
      </w:tr>
      <w:tr w:rsidR="008661E4" w:rsidRPr="00880FA7" w14:paraId="72B41EA3" w14:textId="77777777" w:rsidTr="00477638">
        <w:tc>
          <w:tcPr>
            <w:tcW w:w="583" w:type="pct"/>
            <w:vMerge/>
            <w:shd w:val="clear" w:color="auto" w:fill="auto"/>
            <w:tcMar>
              <w:top w:w="0" w:type="dxa"/>
              <w:left w:w="108" w:type="dxa"/>
              <w:bottom w:w="0" w:type="dxa"/>
              <w:right w:w="108" w:type="dxa"/>
            </w:tcMar>
          </w:tcPr>
          <w:p w14:paraId="757004C0" w14:textId="77777777" w:rsidR="00EF7D18" w:rsidRPr="00880FA7" w:rsidRDefault="00EF7D18" w:rsidP="00D33124">
            <w:pPr>
              <w:spacing w:line="360" w:lineRule="auto"/>
              <w:jc w:val="both"/>
              <w:rPr>
                <w:rFonts w:ascii="Book Antiqua" w:hAnsi="Book Antiqua"/>
              </w:rPr>
            </w:pPr>
          </w:p>
        </w:tc>
        <w:tc>
          <w:tcPr>
            <w:tcW w:w="576" w:type="pct"/>
            <w:shd w:val="clear" w:color="auto" w:fill="auto"/>
            <w:tcMar>
              <w:top w:w="0" w:type="dxa"/>
              <w:left w:w="108" w:type="dxa"/>
              <w:bottom w:w="0" w:type="dxa"/>
              <w:right w:w="108" w:type="dxa"/>
            </w:tcMar>
          </w:tcPr>
          <w:p w14:paraId="65732A98" w14:textId="77777777" w:rsidR="00EF7D18" w:rsidRPr="00880FA7" w:rsidRDefault="00EF7D18" w:rsidP="00D33124">
            <w:pPr>
              <w:spacing w:line="360" w:lineRule="auto"/>
              <w:jc w:val="both"/>
              <w:rPr>
                <w:rFonts w:ascii="Book Antiqua" w:hAnsi="Book Antiqua"/>
              </w:rPr>
            </w:pPr>
            <w:r w:rsidRPr="00880FA7">
              <w:rPr>
                <w:rFonts w:ascii="Book Antiqua" w:hAnsi="Book Antiqua"/>
              </w:rPr>
              <w:t>303</w:t>
            </w:r>
            <w:r w:rsidRPr="00880FA7">
              <w:rPr>
                <w:rFonts w:ascii="Book Antiqua" w:hAnsi="Book Antiqua"/>
                <w:lang w:eastAsia="zh-CN"/>
              </w:rPr>
              <w:t xml:space="preserve"> </w:t>
            </w:r>
            <w:r w:rsidRPr="00880FA7">
              <w:rPr>
                <w:rFonts w:ascii="Book Antiqua" w:hAnsi="Book Antiqua"/>
              </w:rPr>
              <w:t>(297/6)</w:t>
            </w:r>
          </w:p>
        </w:tc>
        <w:tc>
          <w:tcPr>
            <w:tcW w:w="617" w:type="pct"/>
            <w:shd w:val="clear" w:color="auto" w:fill="auto"/>
            <w:tcMar>
              <w:top w:w="0" w:type="dxa"/>
              <w:left w:w="108" w:type="dxa"/>
              <w:bottom w:w="0" w:type="dxa"/>
              <w:right w:w="108" w:type="dxa"/>
            </w:tcMar>
          </w:tcPr>
          <w:p w14:paraId="0E35E8E8" w14:textId="77777777" w:rsidR="00EF7D18" w:rsidRPr="00880FA7" w:rsidRDefault="00970872" w:rsidP="00D33124">
            <w:pPr>
              <w:spacing w:line="360" w:lineRule="auto"/>
              <w:jc w:val="both"/>
              <w:rPr>
                <w:rFonts w:ascii="Book Antiqua" w:hAnsi="Book Antiqua"/>
                <w:lang w:eastAsia="zh-CN"/>
              </w:rPr>
            </w:pPr>
            <w:r w:rsidRPr="00880FA7">
              <w:rPr>
                <w:rFonts w:ascii="Book Antiqua" w:hAnsi="Book Antiqua"/>
              </w:rPr>
              <w:t>Placebo</w:t>
            </w:r>
          </w:p>
        </w:tc>
        <w:tc>
          <w:tcPr>
            <w:tcW w:w="402" w:type="pct"/>
            <w:shd w:val="clear" w:color="auto" w:fill="auto"/>
          </w:tcPr>
          <w:p w14:paraId="4534BE09" w14:textId="77777777" w:rsidR="00EF7D18" w:rsidRPr="00880FA7" w:rsidRDefault="00970872" w:rsidP="00D33124">
            <w:pPr>
              <w:spacing w:line="360" w:lineRule="auto"/>
              <w:jc w:val="both"/>
              <w:rPr>
                <w:rFonts w:ascii="Book Antiqua" w:hAnsi="Book Antiqua"/>
                <w:lang w:eastAsia="zh-CN"/>
              </w:rPr>
            </w:pPr>
            <w:r w:rsidRPr="00880FA7">
              <w:rPr>
                <w:rFonts w:ascii="Book Antiqua" w:hAnsi="Book Antiqua"/>
              </w:rPr>
              <w:t>7.9</w:t>
            </w:r>
          </w:p>
        </w:tc>
        <w:tc>
          <w:tcPr>
            <w:tcW w:w="576" w:type="pct"/>
            <w:shd w:val="clear" w:color="auto" w:fill="auto"/>
            <w:tcMar>
              <w:top w:w="0" w:type="dxa"/>
              <w:left w:w="108" w:type="dxa"/>
              <w:bottom w:w="0" w:type="dxa"/>
              <w:right w:w="108" w:type="dxa"/>
            </w:tcMar>
          </w:tcPr>
          <w:p w14:paraId="136B2A20" w14:textId="77777777" w:rsidR="00EF7D18" w:rsidRPr="00880FA7" w:rsidRDefault="00970872" w:rsidP="00D33124">
            <w:pPr>
              <w:spacing w:line="360" w:lineRule="auto"/>
              <w:jc w:val="both"/>
              <w:rPr>
                <w:rFonts w:ascii="Book Antiqua" w:hAnsi="Book Antiqua"/>
                <w:lang w:eastAsia="zh-CN"/>
              </w:rPr>
            </w:pPr>
            <w:r w:rsidRPr="00880FA7">
              <w:rPr>
                <w:rFonts w:ascii="Book Antiqua" w:hAnsi="Book Antiqua"/>
              </w:rPr>
              <w:t>1</w:t>
            </w:r>
          </w:p>
        </w:tc>
        <w:tc>
          <w:tcPr>
            <w:tcW w:w="483" w:type="pct"/>
            <w:shd w:val="clear" w:color="auto" w:fill="auto"/>
            <w:tcMar>
              <w:top w:w="0" w:type="dxa"/>
              <w:left w:w="108" w:type="dxa"/>
              <w:bottom w:w="0" w:type="dxa"/>
              <w:right w:w="108" w:type="dxa"/>
            </w:tcMar>
          </w:tcPr>
          <w:p w14:paraId="113BD2B6" w14:textId="77777777" w:rsidR="00EF7D18" w:rsidRPr="00880FA7" w:rsidRDefault="00970872" w:rsidP="00D33124">
            <w:pPr>
              <w:spacing w:line="360" w:lineRule="auto"/>
              <w:jc w:val="both"/>
              <w:rPr>
                <w:rFonts w:ascii="Book Antiqua" w:hAnsi="Book Antiqua"/>
                <w:lang w:eastAsia="zh-CN"/>
              </w:rPr>
            </w:pPr>
            <w:r w:rsidRPr="00880FA7">
              <w:rPr>
                <w:rFonts w:ascii="Book Antiqua" w:hAnsi="Book Antiqua"/>
              </w:rPr>
              <w:t>32</w:t>
            </w:r>
          </w:p>
        </w:tc>
        <w:tc>
          <w:tcPr>
            <w:tcW w:w="465" w:type="pct"/>
            <w:shd w:val="clear" w:color="auto" w:fill="auto"/>
            <w:tcMar>
              <w:top w:w="0" w:type="dxa"/>
              <w:left w:w="108" w:type="dxa"/>
              <w:bottom w:w="0" w:type="dxa"/>
              <w:right w:w="108" w:type="dxa"/>
            </w:tcMar>
          </w:tcPr>
          <w:p w14:paraId="3F0F55BA" w14:textId="77777777" w:rsidR="00EF7D18" w:rsidRPr="00880FA7" w:rsidRDefault="00970872" w:rsidP="00D33124">
            <w:pPr>
              <w:spacing w:line="360" w:lineRule="auto"/>
              <w:jc w:val="both"/>
              <w:rPr>
                <w:rFonts w:ascii="Book Antiqua" w:hAnsi="Book Antiqua"/>
              </w:rPr>
            </w:pPr>
            <w:r w:rsidRPr="00880FA7">
              <w:rPr>
                <w:rFonts w:ascii="Book Antiqua" w:hAnsi="Book Antiqua"/>
              </w:rPr>
              <w:t>2.8</w:t>
            </w:r>
          </w:p>
        </w:tc>
        <w:tc>
          <w:tcPr>
            <w:tcW w:w="501" w:type="pct"/>
            <w:shd w:val="clear" w:color="auto" w:fill="auto"/>
          </w:tcPr>
          <w:p w14:paraId="4A589098" w14:textId="77777777" w:rsidR="00EF7D18" w:rsidRPr="00880FA7" w:rsidRDefault="00970872" w:rsidP="00D33124">
            <w:pPr>
              <w:spacing w:line="360" w:lineRule="auto"/>
              <w:jc w:val="both"/>
              <w:rPr>
                <w:rFonts w:ascii="Book Antiqua" w:hAnsi="Book Antiqua"/>
                <w:lang w:eastAsia="zh-CN"/>
              </w:rPr>
            </w:pPr>
            <w:r w:rsidRPr="00880FA7">
              <w:rPr>
                <w:rFonts w:ascii="Book Antiqua" w:hAnsi="Book Antiqua"/>
              </w:rPr>
              <w:t>7</w:t>
            </w:r>
          </w:p>
        </w:tc>
        <w:tc>
          <w:tcPr>
            <w:tcW w:w="797" w:type="pct"/>
            <w:shd w:val="clear" w:color="auto" w:fill="auto"/>
          </w:tcPr>
          <w:p w14:paraId="42AFF0C2" w14:textId="77777777" w:rsidR="00EF7D18" w:rsidRPr="00880FA7" w:rsidRDefault="00970872" w:rsidP="00D33124">
            <w:pPr>
              <w:spacing w:line="360" w:lineRule="auto"/>
              <w:jc w:val="both"/>
              <w:rPr>
                <w:rFonts w:ascii="Book Antiqua" w:hAnsi="Book Antiqua"/>
                <w:lang w:eastAsia="zh-CN"/>
              </w:rPr>
            </w:pPr>
            <w:r w:rsidRPr="00880FA7">
              <w:rPr>
                <w:rFonts w:ascii="Book Antiqua" w:hAnsi="Book Antiqua"/>
              </w:rPr>
              <w:t>5</w:t>
            </w:r>
          </w:p>
        </w:tc>
      </w:tr>
      <w:bookmarkEnd w:id="6"/>
      <w:tr w:rsidR="006A0F5C" w:rsidRPr="00880FA7" w14:paraId="0653F7D4" w14:textId="77777777" w:rsidTr="00477638">
        <w:tc>
          <w:tcPr>
            <w:tcW w:w="583" w:type="pct"/>
            <w:vMerge w:val="restart"/>
            <w:shd w:val="clear" w:color="auto" w:fill="auto"/>
            <w:tcMar>
              <w:top w:w="0" w:type="dxa"/>
              <w:left w:w="108" w:type="dxa"/>
              <w:bottom w:w="0" w:type="dxa"/>
              <w:right w:w="108" w:type="dxa"/>
            </w:tcMar>
            <w:hideMark/>
          </w:tcPr>
          <w:p w14:paraId="03083D18" w14:textId="77777777" w:rsidR="006A0F5C" w:rsidRPr="00880FA7" w:rsidRDefault="006A0F5C" w:rsidP="00D33124">
            <w:pPr>
              <w:spacing w:line="360" w:lineRule="auto"/>
              <w:jc w:val="both"/>
              <w:rPr>
                <w:rFonts w:ascii="Book Antiqua" w:hAnsi="Book Antiqua"/>
              </w:rPr>
            </w:pPr>
            <w:r w:rsidRPr="00880FA7">
              <w:rPr>
                <w:rFonts w:ascii="Book Antiqua" w:hAnsi="Book Antiqua"/>
              </w:rPr>
              <w:t xml:space="preserve">Cheng </w:t>
            </w:r>
            <w:r w:rsidRPr="00880FA7">
              <w:rPr>
                <w:rFonts w:ascii="Book Antiqua" w:hAnsi="Book Antiqua"/>
                <w:i/>
              </w:rPr>
              <w:t>et al</w:t>
            </w:r>
            <w:r w:rsidRPr="00880FA7">
              <w:rPr>
                <w:rFonts w:ascii="Book Antiqua" w:hAnsi="Book Antiqua"/>
                <w:vertAlign w:val="superscript"/>
              </w:rPr>
              <w:t>[34]</w:t>
            </w:r>
            <w:r w:rsidRPr="00880FA7">
              <w:rPr>
                <w:rFonts w:ascii="Book Antiqua" w:hAnsi="Book Antiqua"/>
              </w:rPr>
              <w:t xml:space="preserve"> (</w:t>
            </w:r>
            <w:r w:rsidR="001D6717" w:rsidRPr="00880FA7">
              <w:rPr>
                <w:rFonts w:ascii="Book Antiqua" w:eastAsia="Book Antiqua" w:hAnsi="Book Antiqua" w:cs="Book Antiqua"/>
                <w:color w:val="000000"/>
              </w:rPr>
              <w:t>Asia-Pacific</w:t>
            </w:r>
            <w:r w:rsidRPr="00880FA7">
              <w:rPr>
                <w:rFonts w:ascii="Book Antiqua" w:hAnsi="Book Antiqua"/>
              </w:rPr>
              <w:t>)</w:t>
            </w:r>
          </w:p>
        </w:tc>
        <w:tc>
          <w:tcPr>
            <w:tcW w:w="576" w:type="pct"/>
            <w:shd w:val="clear" w:color="auto" w:fill="auto"/>
            <w:tcMar>
              <w:top w:w="0" w:type="dxa"/>
              <w:left w:w="108" w:type="dxa"/>
              <w:bottom w:w="0" w:type="dxa"/>
              <w:right w:w="108" w:type="dxa"/>
            </w:tcMar>
            <w:hideMark/>
          </w:tcPr>
          <w:p w14:paraId="6E1C6828"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150</w:t>
            </w:r>
            <w:r w:rsidRPr="00880FA7">
              <w:rPr>
                <w:rFonts w:ascii="Book Antiqua" w:hAnsi="Book Antiqua"/>
                <w:lang w:eastAsia="zh-CN"/>
              </w:rPr>
              <w:t xml:space="preserve"> </w:t>
            </w:r>
            <w:r w:rsidRPr="00880FA7">
              <w:rPr>
                <w:rFonts w:ascii="Book Antiqua" w:hAnsi="Book Antiqua"/>
              </w:rPr>
              <w:t>(146/4)</w:t>
            </w:r>
          </w:p>
        </w:tc>
        <w:tc>
          <w:tcPr>
            <w:tcW w:w="617" w:type="pct"/>
            <w:shd w:val="clear" w:color="auto" w:fill="auto"/>
            <w:tcMar>
              <w:top w:w="0" w:type="dxa"/>
              <w:left w:w="108" w:type="dxa"/>
              <w:bottom w:w="0" w:type="dxa"/>
              <w:right w:w="108" w:type="dxa"/>
            </w:tcMar>
            <w:hideMark/>
          </w:tcPr>
          <w:p w14:paraId="52D4A757" w14:textId="2068EE8D" w:rsidR="006A0F5C" w:rsidRPr="00880FA7" w:rsidRDefault="006A0F5C" w:rsidP="00D33124">
            <w:pPr>
              <w:spacing w:line="360" w:lineRule="auto"/>
              <w:jc w:val="both"/>
              <w:rPr>
                <w:rFonts w:ascii="Book Antiqua" w:hAnsi="Book Antiqua"/>
                <w:lang w:eastAsia="zh-CN"/>
              </w:rPr>
            </w:pPr>
            <w:r w:rsidRPr="00880FA7">
              <w:rPr>
                <w:rFonts w:ascii="Book Antiqua" w:hAnsi="Book Antiqua"/>
              </w:rPr>
              <w:t>Sorafenib</w:t>
            </w:r>
            <w:r w:rsidRPr="00880FA7">
              <w:rPr>
                <w:rFonts w:ascii="Book Antiqua" w:hAnsi="Book Antiqua"/>
                <w:lang w:eastAsia="zh-CN"/>
              </w:rPr>
              <w:t xml:space="preserve"> </w:t>
            </w:r>
            <w:r w:rsidRPr="00880FA7">
              <w:rPr>
                <w:rFonts w:ascii="Book Antiqua" w:hAnsi="Book Antiqua"/>
              </w:rPr>
              <w:t>(400 mg × 2/d)</w:t>
            </w:r>
          </w:p>
        </w:tc>
        <w:tc>
          <w:tcPr>
            <w:tcW w:w="402" w:type="pct"/>
            <w:shd w:val="clear" w:color="auto" w:fill="auto"/>
          </w:tcPr>
          <w:p w14:paraId="4324993C"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6.5</w:t>
            </w:r>
          </w:p>
        </w:tc>
        <w:tc>
          <w:tcPr>
            <w:tcW w:w="576" w:type="pct"/>
            <w:shd w:val="clear" w:color="auto" w:fill="auto"/>
            <w:tcMar>
              <w:top w:w="0" w:type="dxa"/>
              <w:left w:w="108" w:type="dxa"/>
              <w:bottom w:w="0" w:type="dxa"/>
              <w:right w:w="108" w:type="dxa"/>
            </w:tcMar>
            <w:hideMark/>
          </w:tcPr>
          <w:p w14:paraId="6E176A76"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3.3</w:t>
            </w:r>
          </w:p>
        </w:tc>
        <w:tc>
          <w:tcPr>
            <w:tcW w:w="483" w:type="pct"/>
            <w:shd w:val="clear" w:color="auto" w:fill="auto"/>
            <w:tcMar>
              <w:top w:w="0" w:type="dxa"/>
              <w:left w:w="108" w:type="dxa"/>
              <w:bottom w:w="0" w:type="dxa"/>
              <w:right w:w="108" w:type="dxa"/>
            </w:tcMar>
            <w:hideMark/>
          </w:tcPr>
          <w:p w14:paraId="135C1EA4"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35.3</w:t>
            </w:r>
          </w:p>
        </w:tc>
        <w:tc>
          <w:tcPr>
            <w:tcW w:w="465" w:type="pct"/>
            <w:shd w:val="clear" w:color="auto" w:fill="auto"/>
            <w:tcMar>
              <w:top w:w="0" w:type="dxa"/>
              <w:left w:w="108" w:type="dxa"/>
              <w:bottom w:w="0" w:type="dxa"/>
              <w:right w:w="108" w:type="dxa"/>
            </w:tcMar>
            <w:hideMark/>
          </w:tcPr>
          <w:p w14:paraId="50103119"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5.5</w:t>
            </w:r>
          </w:p>
        </w:tc>
        <w:tc>
          <w:tcPr>
            <w:tcW w:w="501" w:type="pct"/>
            <w:shd w:val="clear" w:color="auto" w:fill="auto"/>
          </w:tcPr>
          <w:p w14:paraId="18387CC7"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30.9</w:t>
            </w:r>
          </w:p>
        </w:tc>
        <w:tc>
          <w:tcPr>
            <w:tcW w:w="797" w:type="pct"/>
            <w:shd w:val="clear" w:color="auto" w:fill="auto"/>
          </w:tcPr>
          <w:p w14:paraId="4A1798F6"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19.5</w:t>
            </w:r>
          </w:p>
        </w:tc>
      </w:tr>
      <w:tr w:rsidR="006A0F5C" w:rsidRPr="00880FA7" w14:paraId="27A8B248" w14:textId="77777777" w:rsidTr="00477638">
        <w:tc>
          <w:tcPr>
            <w:tcW w:w="583" w:type="pct"/>
            <w:vMerge/>
            <w:shd w:val="clear" w:color="auto" w:fill="auto"/>
            <w:tcMar>
              <w:top w:w="0" w:type="dxa"/>
              <w:left w:w="108" w:type="dxa"/>
              <w:bottom w:w="0" w:type="dxa"/>
              <w:right w:w="108" w:type="dxa"/>
            </w:tcMar>
          </w:tcPr>
          <w:p w14:paraId="5E57270D" w14:textId="77777777" w:rsidR="006A0F5C" w:rsidRPr="00880FA7" w:rsidRDefault="006A0F5C" w:rsidP="00D33124">
            <w:pPr>
              <w:spacing w:line="360" w:lineRule="auto"/>
              <w:jc w:val="both"/>
              <w:rPr>
                <w:rFonts w:ascii="Book Antiqua" w:hAnsi="Book Antiqua"/>
              </w:rPr>
            </w:pPr>
          </w:p>
        </w:tc>
        <w:tc>
          <w:tcPr>
            <w:tcW w:w="576" w:type="pct"/>
            <w:shd w:val="clear" w:color="auto" w:fill="auto"/>
            <w:tcMar>
              <w:top w:w="0" w:type="dxa"/>
              <w:left w:w="108" w:type="dxa"/>
              <w:bottom w:w="0" w:type="dxa"/>
              <w:right w:w="108" w:type="dxa"/>
            </w:tcMar>
          </w:tcPr>
          <w:p w14:paraId="50820FEA" w14:textId="77777777" w:rsidR="006A0F5C" w:rsidRPr="00880FA7" w:rsidRDefault="006A0F5C" w:rsidP="00D33124">
            <w:pPr>
              <w:spacing w:line="360" w:lineRule="auto"/>
              <w:jc w:val="both"/>
              <w:rPr>
                <w:rFonts w:ascii="Book Antiqua" w:hAnsi="Book Antiqua"/>
              </w:rPr>
            </w:pPr>
            <w:r w:rsidRPr="00880FA7">
              <w:rPr>
                <w:rFonts w:ascii="Book Antiqua" w:hAnsi="Book Antiqua"/>
              </w:rPr>
              <w:t>76</w:t>
            </w:r>
            <w:r w:rsidRPr="00880FA7">
              <w:rPr>
                <w:rFonts w:ascii="Book Antiqua" w:hAnsi="Book Antiqua"/>
                <w:lang w:eastAsia="zh-CN"/>
              </w:rPr>
              <w:t xml:space="preserve"> </w:t>
            </w:r>
            <w:r w:rsidRPr="00880FA7">
              <w:rPr>
                <w:rFonts w:ascii="Book Antiqua" w:hAnsi="Book Antiqua"/>
              </w:rPr>
              <w:t>(74/2)</w:t>
            </w:r>
          </w:p>
        </w:tc>
        <w:tc>
          <w:tcPr>
            <w:tcW w:w="617" w:type="pct"/>
            <w:shd w:val="clear" w:color="auto" w:fill="auto"/>
            <w:tcMar>
              <w:top w:w="0" w:type="dxa"/>
              <w:left w:w="108" w:type="dxa"/>
              <w:bottom w:w="0" w:type="dxa"/>
              <w:right w:w="108" w:type="dxa"/>
            </w:tcMar>
          </w:tcPr>
          <w:p w14:paraId="28A956F5" w14:textId="77777777" w:rsidR="006A0F5C" w:rsidRPr="00880FA7" w:rsidRDefault="006A0F5C" w:rsidP="00D33124">
            <w:pPr>
              <w:spacing w:line="360" w:lineRule="auto"/>
              <w:jc w:val="both"/>
              <w:rPr>
                <w:rFonts w:ascii="Book Antiqua" w:hAnsi="Book Antiqua"/>
              </w:rPr>
            </w:pPr>
            <w:r w:rsidRPr="00880FA7">
              <w:rPr>
                <w:rFonts w:ascii="Book Antiqua" w:hAnsi="Book Antiqua"/>
              </w:rPr>
              <w:t>Placebo</w:t>
            </w:r>
          </w:p>
        </w:tc>
        <w:tc>
          <w:tcPr>
            <w:tcW w:w="402" w:type="pct"/>
            <w:shd w:val="clear" w:color="auto" w:fill="auto"/>
          </w:tcPr>
          <w:p w14:paraId="0379AB68"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4.2</w:t>
            </w:r>
          </w:p>
        </w:tc>
        <w:tc>
          <w:tcPr>
            <w:tcW w:w="576" w:type="pct"/>
            <w:shd w:val="clear" w:color="auto" w:fill="auto"/>
            <w:tcMar>
              <w:top w:w="0" w:type="dxa"/>
              <w:left w:w="108" w:type="dxa"/>
              <w:bottom w:w="0" w:type="dxa"/>
              <w:right w:w="108" w:type="dxa"/>
            </w:tcMar>
          </w:tcPr>
          <w:p w14:paraId="6DB1634F" w14:textId="77777777" w:rsidR="006A0F5C" w:rsidRPr="00880FA7" w:rsidRDefault="006A0F5C" w:rsidP="00D33124">
            <w:pPr>
              <w:spacing w:line="360" w:lineRule="auto"/>
              <w:jc w:val="both"/>
              <w:rPr>
                <w:rFonts w:ascii="Book Antiqua" w:hAnsi="Book Antiqua"/>
                <w:lang w:eastAsia="zh-CN"/>
              </w:rPr>
            </w:pPr>
            <w:r w:rsidRPr="00880FA7">
              <w:rPr>
                <w:rFonts w:ascii="Book Antiqua" w:hAnsi="Book Antiqua"/>
              </w:rPr>
              <w:t>1.3</w:t>
            </w:r>
          </w:p>
        </w:tc>
        <w:tc>
          <w:tcPr>
            <w:tcW w:w="483" w:type="pct"/>
            <w:shd w:val="clear" w:color="auto" w:fill="auto"/>
            <w:tcMar>
              <w:top w:w="0" w:type="dxa"/>
              <w:left w:w="108" w:type="dxa"/>
              <w:bottom w:w="0" w:type="dxa"/>
              <w:right w:w="108" w:type="dxa"/>
            </w:tcMar>
          </w:tcPr>
          <w:p w14:paraId="493BC62F" w14:textId="77777777" w:rsidR="006A0F5C" w:rsidRPr="00880FA7" w:rsidRDefault="006A0F5C" w:rsidP="00D33124">
            <w:pPr>
              <w:spacing w:line="360" w:lineRule="auto"/>
              <w:jc w:val="both"/>
              <w:rPr>
                <w:rFonts w:ascii="Book Antiqua" w:hAnsi="Book Antiqua"/>
              </w:rPr>
            </w:pPr>
            <w:r w:rsidRPr="00880FA7">
              <w:rPr>
                <w:rFonts w:ascii="Book Antiqua" w:hAnsi="Book Antiqua"/>
              </w:rPr>
              <w:t>15.8</w:t>
            </w:r>
          </w:p>
        </w:tc>
        <w:tc>
          <w:tcPr>
            <w:tcW w:w="465" w:type="pct"/>
            <w:shd w:val="clear" w:color="auto" w:fill="auto"/>
            <w:tcMar>
              <w:top w:w="0" w:type="dxa"/>
              <w:left w:w="108" w:type="dxa"/>
              <w:bottom w:w="0" w:type="dxa"/>
              <w:right w:w="108" w:type="dxa"/>
            </w:tcMar>
          </w:tcPr>
          <w:p w14:paraId="152ED5EA" w14:textId="77777777" w:rsidR="006A0F5C" w:rsidRPr="00880FA7" w:rsidRDefault="006A0F5C" w:rsidP="00D33124">
            <w:pPr>
              <w:spacing w:line="360" w:lineRule="auto"/>
              <w:jc w:val="both"/>
              <w:rPr>
                <w:rFonts w:ascii="Book Antiqua" w:hAnsi="Book Antiqua"/>
              </w:rPr>
            </w:pPr>
            <w:r w:rsidRPr="00880FA7">
              <w:rPr>
                <w:rFonts w:ascii="Book Antiqua" w:hAnsi="Book Antiqua"/>
              </w:rPr>
              <w:t>2.8</w:t>
            </w:r>
          </w:p>
        </w:tc>
        <w:tc>
          <w:tcPr>
            <w:tcW w:w="501" w:type="pct"/>
            <w:shd w:val="clear" w:color="auto" w:fill="auto"/>
          </w:tcPr>
          <w:p w14:paraId="40D12782" w14:textId="77777777" w:rsidR="006A0F5C" w:rsidRPr="00880FA7" w:rsidRDefault="006A0F5C" w:rsidP="00D33124">
            <w:pPr>
              <w:spacing w:line="360" w:lineRule="auto"/>
              <w:jc w:val="both"/>
              <w:rPr>
                <w:rFonts w:ascii="Book Antiqua" w:hAnsi="Book Antiqua"/>
              </w:rPr>
            </w:pPr>
            <w:r w:rsidRPr="00880FA7">
              <w:rPr>
                <w:rFonts w:ascii="Book Antiqua" w:hAnsi="Book Antiqua"/>
              </w:rPr>
              <w:t>2.7</w:t>
            </w:r>
          </w:p>
        </w:tc>
        <w:tc>
          <w:tcPr>
            <w:tcW w:w="797" w:type="pct"/>
            <w:shd w:val="clear" w:color="auto" w:fill="auto"/>
          </w:tcPr>
          <w:p w14:paraId="32E5743A" w14:textId="77777777" w:rsidR="006A0F5C" w:rsidRPr="00880FA7" w:rsidRDefault="006A0F5C" w:rsidP="00D33124">
            <w:pPr>
              <w:spacing w:line="360" w:lineRule="auto"/>
              <w:jc w:val="both"/>
              <w:rPr>
                <w:rFonts w:ascii="Book Antiqua" w:hAnsi="Book Antiqua"/>
              </w:rPr>
            </w:pPr>
            <w:r w:rsidRPr="00880FA7">
              <w:rPr>
                <w:rFonts w:ascii="Book Antiqua" w:hAnsi="Book Antiqua"/>
              </w:rPr>
              <w:t>13.3</w:t>
            </w:r>
          </w:p>
        </w:tc>
      </w:tr>
      <w:tr w:rsidR="00CE0259" w:rsidRPr="00880FA7" w14:paraId="074D98D6" w14:textId="77777777" w:rsidTr="00477638">
        <w:tc>
          <w:tcPr>
            <w:tcW w:w="583" w:type="pct"/>
            <w:vMerge w:val="restart"/>
            <w:shd w:val="clear" w:color="auto" w:fill="auto"/>
            <w:tcMar>
              <w:top w:w="0" w:type="dxa"/>
              <w:left w:w="108" w:type="dxa"/>
              <w:bottom w:w="0" w:type="dxa"/>
              <w:right w:w="108" w:type="dxa"/>
            </w:tcMar>
            <w:hideMark/>
          </w:tcPr>
          <w:p w14:paraId="0DCC4C80" w14:textId="77777777" w:rsidR="00CE0259" w:rsidRPr="00880FA7" w:rsidRDefault="00CE0259" w:rsidP="00D33124">
            <w:pPr>
              <w:spacing w:line="360" w:lineRule="auto"/>
              <w:jc w:val="both"/>
              <w:rPr>
                <w:rFonts w:ascii="Book Antiqua" w:hAnsi="Book Antiqua"/>
              </w:rPr>
            </w:pPr>
            <w:r w:rsidRPr="00880FA7">
              <w:rPr>
                <w:rFonts w:ascii="Book Antiqua" w:hAnsi="Book Antiqua"/>
              </w:rPr>
              <w:t xml:space="preserve">Kudo </w:t>
            </w:r>
            <w:r w:rsidRPr="00880FA7">
              <w:rPr>
                <w:rFonts w:ascii="Book Antiqua" w:hAnsi="Book Antiqua"/>
                <w:i/>
              </w:rPr>
              <w:t>et al</w:t>
            </w:r>
            <w:r w:rsidRPr="00880FA7">
              <w:rPr>
                <w:rFonts w:ascii="Book Antiqua" w:hAnsi="Book Antiqua"/>
                <w:vertAlign w:val="superscript"/>
              </w:rPr>
              <w:t>[47]</w:t>
            </w:r>
            <w:r w:rsidRPr="00880FA7">
              <w:rPr>
                <w:rFonts w:ascii="Book Antiqua" w:hAnsi="Book Antiqua"/>
              </w:rPr>
              <w:t xml:space="preserve"> (REFLECT)</w:t>
            </w:r>
          </w:p>
        </w:tc>
        <w:tc>
          <w:tcPr>
            <w:tcW w:w="576" w:type="pct"/>
            <w:shd w:val="clear" w:color="auto" w:fill="auto"/>
            <w:tcMar>
              <w:top w:w="0" w:type="dxa"/>
              <w:left w:w="108" w:type="dxa"/>
              <w:bottom w:w="0" w:type="dxa"/>
              <w:right w:w="108" w:type="dxa"/>
            </w:tcMar>
            <w:hideMark/>
          </w:tcPr>
          <w:p w14:paraId="719F83E4" w14:textId="77777777" w:rsidR="00CE0259" w:rsidRPr="00880FA7" w:rsidRDefault="00CE0259" w:rsidP="00D33124">
            <w:pPr>
              <w:spacing w:line="360" w:lineRule="auto"/>
              <w:jc w:val="both"/>
              <w:rPr>
                <w:rFonts w:ascii="Book Antiqua" w:hAnsi="Book Antiqua"/>
                <w:lang w:eastAsia="zh-CN"/>
              </w:rPr>
            </w:pPr>
            <w:r w:rsidRPr="00880FA7">
              <w:rPr>
                <w:rFonts w:ascii="Book Antiqua" w:hAnsi="Book Antiqua"/>
              </w:rPr>
              <w:t>478</w:t>
            </w:r>
            <w:r w:rsidRPr="00880FA7">
              <w:rPr>
                <w:rFonts w:ascii="Book Antiqua" w:hAnsi="Book Antiqua"/>
                <w:lang w:eastAsia="zh-CN"/>
              </w:rPr>
              <w:t xml:space="preserve"> </w:t>
            </w:r>
            <w:r w:rsidRPr="00880FA7">
              <w:rPr>
                <w:rFonts w:ascii="Book Antiqua" w:hAnsi="Book Antiqua"/>
              </w:rPr>
              <w:t>(478/0)</w:t>
            </w:r>
          </w:p>
        </w:tc>
        <w:tc>
          <w:tcPr>
            <w:tcW w:w="617" w:type="pct"/>
            <w:shd w:val="clear" w:color="auto" w:fill="auto"/>
            <w:tcMar>
              <w:top w:w="0" w:type="dxa"/>
              <w:left w:w="108" w:type="dxa"/>
              <w:bottom w:w="0" w:type="dxa"/>
              <w:right w:w="108" w:type="dxa"/>
            </w:tcMar>
            <w:hideMark/>
          </w:tcPr>
          <w:p w14:paraId="0F93C747" w14:textId="74945DCE" w:rsidR="00CE0259" w:rsidRPr="00880FA7" w:rsidRDefault="00CE0259" w:rsidP="00D33124">
            <w:pPr>
              <w:spacing w:line="360" w:lineRule="auto"/>
              <w:jc w:val="both"/>
              <w:rPr>
                <w:rFonts w:ascii="Book Antiqua" w:hAnsi="Book Antiqua"/>
                <w:lang w:eastAsia="zh-CN"/>
              </w:rPr>
            </w:pPr>
            <w:r w:rsidRPr="00880FA7">
              <w:rPr>
                <w:rFonts w:ascii="Book Antiqua" w:hAnsi="Book Antiqua"/>
              </w:rPr>
              <w:t>Lenvatinib</w:t>
            </w:r>
            <w:r w:rsidRPr="00880FA7">
              <w:rPr>
                <w:rFonts w:ascii="Book Antiqua" w:hAnsi="Book Antiqua"/>
                <w:lang w:eastAsia="zh-CN"/>
              </w:rPr>
              <w:t xml:space="preserve"> </w:t>
            </w:r>
            <w:r w:rsidRPr="00880FA7">
              <w:rPr>
                <w:rFonts w:ascii="Book Antiqua" w:hAnsi="Book Antiqua"/>
              </w:rPr>
              <w:t>(12 mg/d)</w:t>
            </w:r>
          </w:p>
        </w:tc>
        <w:tc>
          <w:tcPr>
            <w:tcW w:w="402" w:type="pct"/>
            <w:shd w:val="clear" w:color="auto" w:fill="auto"/>
          </w:tcPr>
          <w:p w14:paraId="3350B59A" w14:textId="77777777" w:rsidR="00CE0259" w:rsidRPr="00880FA7" w:rsidRDefault="00CE0259" w:rsidP="00D33124">
            <w:pPr>
              <w:spacing w:line="360" w:lineRule="auto"/>
              <w:jc w:val="both"/>
              <w:rPr>
                <w:rFonts w:ascii="Book Antiqua" w:hAnsi="Book Antiqua"/>
                <w:lang w:eastAsia="zh-CN"/>
              </w:rPr>
            </w:pPr>
            <w:r w:rsidRPr="00880FA7">
              <w:rPr>
                <w:rFonts w:ascii="Book Antiqua" w:hAnsi="Book Antiqua"/>
              </w:rPr>
              <w:t>13.6</w:t>
            </w:r>
          </w:p>
        </w:tc>
        <w:tc>
          <w:tcPr>
            <w:tcW w:w="576" w:type="pct"/>
            <w:shd w:val="clear" w:color="auto" w:fill="auto"/>
            <w:tcMar>
              <w:top w:w="0" w:type="dxa"/>
              <w:left w:w="108" w:type="dxa"/>
              <w:bottom w:w="0" w:type="dxa"/>
              <w:right w:w="108" w:type="dxa"/>
            </w:tcMar>
            <w:hideMark/>
          </w:tcPr>
          <w:p w14:paraId="3A53A15F" w14:textId="77777777" w:rsidR="00CE0259" w:rsidRPr="00880FA7" w:rsidRDefault="00CE0259" w:rsidP="00D33124">
            <w:pPr>
              <w:spacing w:line="360" w:lineRule="auto"/>
              <w:jc w:val="both"/>
              <w:rPr>
                <w:rFonts w:ascii="Book Antiqua" w:hAnsi="Book Antiqua"/>
                <w:lang w:eastAsia="zh-CN"/>
              </w:rPr>
            </w:pPr>
            <w:r w:rsidRPr="00880FA7">
              <w:rPr>
                <w:rFonts w:ascii="Book Antiqua" w:hAnsi="Book Antiqua"/>
              </w:rPr>
              <w:t>40.6</w:t>
            </w:r>
          </w:p>
        </w:tc>
        <w:tc>
          <w:tcPr>
            <w:tcW w:w="483" w:type="pct"/>
            <w:shd w:val="clear" w:color="auto" w:fill="auto"/>
            <w:tcMar>
              <w:top w:w="0" w:type="dxa"/>
              <w:left w:w="108" w:type="dxa"/>
              <w:bottom w:w="0" w:type="dxa"/>
              <w:right w:w="108" w:type="dxa"/>
            </w:tcMar>
            <w:hideMark/>
          </w:tcPr>
          <w:p w14:paraId="35629DD7" w14:textId="77777777" w:rsidR="00CE0259" w:rsidRPr="00880FA7" w:rsidRDefault="00CE0259" w:rsidP="00D33124">
            <w:pPr>
              <w:spacing w:line="360" w:lineRule="auto"/>
              <w:jc w:val="both"/>
              <w:rPr>
                <w:rFonts w:ascii="Book Antiqua" w:hAnsi="Book Antiqua"/>
                <w:lang w:eastAsia="zh-CN"/>
              </w:rPr>
            </w:pPr>
            <w:r w:rsidRPr="00880FA7">
              <w:rPr>
                <w:rFonts w:ascii="Book Antiqua" w:hAnsi="Book Antiqua"/>
              </w:rPr>
              <w:t>73.8</w:t>
            </w:r>
          </w:p>
        </w:tc>
        <w:tc>
          <w:tcPr>
            <w:tcW w:w="465" w:type="pct"/>
            <w:shd w:val="clear" w:color="auto" w:fill="auto"/>
            <w:tcMar>
              <w:top w:w="0" w:type="dxa"/>
              <w:left w:w="108" w:type="dxa"/>
              <w:bottom w:w="0" w:type="dxa"/>
              <w:right w:w="108" w:type="dxa"/>
            </w:tcMar>
            <w:hideMark/>
          </w:tcPr>
          <w:p w14:paraId="234E2343" w14:textId="77777777" w:rsidR="00CE0259" w:rsidRPr="00880FA7" w:rsidRDefault="00CE0259" w:rsidP="00D33124">
            <w:pPr>
              <w:spacing w:line="360" w:lineRule="auto"/>
              <w:jc w:val="both"/>
              <w:rPr>
                <w:rFonts w:ascii="Book Antiqua" w:hAnsi="Book Antiqua"/>
                <w:lang w:eastAsia="zh-CN"/>
              </w:rPr>
            </w:pPr>
            <w:r w:rsidRPr="00880FA7">
              <w:rPr>
                <w:rFonts w:ascii="Book Antiqua" w:hAnsi="Book Antiqua"/>
              </w:rPr>
              <w:t>7.4</w:t>
            </w:r>
          </w:p>
        </w:tc>
        <w:tc>
          <w:tcPr>
            <w:tcW w:w="501" w:type="pct"/>
            <w:shd w:val="clear" w:color="auto" w:fill="auto"/>
          </w:tcPr>
          <w:p w14:paraId="07AB993C" w14:textId="77777777" w:rsidR="00CE0259" w:rsidRPr="00880FA7" w:rsidRDefault="00CE0259" w:rsidP="00D33124">
            <w:pPr>
              <w:spacing w:line="360" w:lineRule="auto"/>
              <w:jc w:val="both"/>
              <w:rPr>
                <w:rFonts w:ascii="Book Antiqua" w:hAnsi="Book Antiqua"/>
                <w:lang w:eastAsia="zh-CN"/>
              </w:rPr>
            </w:pPr>
            <w:r w:rsidRPr="00880FA7">
              <w:rPr>
                <w:rFonts w:ascii="Book Antiqua" w:hAnsi="Book Antiqua"/>
              </w:rPr>
              <w:t>37</w:t>
            </w:r>
          </w:p>
        </w:tc>
        <w:tc>
          <w:tcPr>
            <w:tcW w:w="797" w:type="pct"/>
            <w:shd w:val="clear" w:color="auto" w:fill="auto"/>
          </w:tcPr>
          <w:p w14:paraId="5D2248BE" w14:textId="77777777" w:rsidR="00CE0259" w:rsidRPr="00880FA7" w:rsidRDefault="00CE0259" w:rsidP="00D33124">
            <w:pPr>
              <w:spacing w:line="360" w:lineRule="auto"/>
              <w:jc w:val="both"/>
              <w:rPr>
                <w:rFonts w:ascii="Book Antiqua" w:hAnsi="Book Antiqua"/>
                <w:lang w:eastAsia="zh-CN"/>
              </w:rPr>
            </w:pPr>
            <w:r w:rsidRPr="00880FA7">
              <w:rPr>
                <w:rFonts w:ascii="Book Antiqua" w:hAnsi="Book Antiqua"/>
              </w:rPr>
              <w:t>9</w:t>
            </w:r>
          </w:p>
        </w:tc>
      </w:tr>
      <w:tr w:rsidR="00CE0259" w:rsidRPr="00880FA7" w14:paraId="158068E3" w14:textId="77777777" w:rsidTr="00477638">
        <w:tc>
          <w:tcPr>
            <w:tcW w:w="583" w:type="pct"/>
            <w:vMerge/>
            <w:shd w:val="clear" w:color="auto" w:fill="auto"/>
            <w:tcMar>
              <w:top w:w="0" w:type="dxa"/>
              <w:left w:w="108" w:type="dxa"/>
              <w:bottom w:w="0" w:type="dxa"/>
              <w:right w:w="108" w:type="dxa"/>
            </w:tcMar>
          </w:tcPr>
          <w:p w14:paraId="46ED0E3A" w14:textId="77777777" w:rsidR="00CE0259" w:rsidRPr="00880FA7" w:rsidRDefault="00CE0259" w:rsidP="00D33124">
            <w:pPr>
              <w:spacing w:line="360" w:lineRule="auto"/>
              <w:jc w:val="both"/>
              <w:rPr>
                <w:rFonts w:ascii="Book Antiqua" w:hAnsi="Book Antiqua"/>
              </w:rPr>
            </w:pPr>
          </w:p>
        </w:tc>
        <w:tc>
          <w:tcPr>
            <w:tcW w:w="576" w:type="pct"/>
            <w:shd w:val="clear" w:color="auto" w:fill="auto"/>
            <w:tcMar>
              <w:top w:w="0" w:type="dxa"/>
              <w:left w:w="108" w:type="dxa"/>
              <w:bottom w:w="0" w:type="dxa"/>
              <w:right w:w="108" w:type="dxa"/>
            </w:tcMar>
          </w:tcPr>
          <w:p w14:paraId="0F47A1A9" w14:textId="77777777" w:rsidR="00CE0259" w:rsidRPr="00880FA7" w:rsidRDefault="00CE0259" w:rsidP="00D33124">
            <w:pPr>
              <w:spacing w:line="360" w:lineRule="auto"/>
              <w:jc w:val="both"/>
              <w:rPr>
                <w:rFonts w:ascii="Book Antiqua" w:hAnsi="Book Antiqua"/>
              </w:rPr>
            </w:pPr>
            <w:r w:rsidRPr="00880FA7">
              <w:rPr>
                <w:rFonts w:ascii="Book Antiqua" w:hAnsi="Book Antiqua"/>
              </w:rPr>
              <w:t>476</w:t>
            </w:r>
            <w:r w:rsidRPr="00880FA7">
              <w:rPr>
                <w:rFonts w:ascii="Book Antiqua" w:hAnsi="Book Antiqua"/>
                <w:lang w:eastAsia="zh-CN"/>
              </w:rPr>
              <w:t xml:space="preserve"> </w:t>
            </w:r>
            <w:r w:rsidRPr="00880FA7">
              <w:rPr>
                <w:rFonts w:ascii="Book Antiqua" w:hAnsi="Book Antiqua"/>
              </w:rPr>
              <w:t>(476/0)</w:t>
            </w:r>
          </w:p>
        </w:tc>
        <w:tc>
          <w:tcPr>
            <w:tcW w:w="617" w:type="pct"/>
            <w:shd w:val="clear" w:color="auto" w:fill="auto"/>
            <w:tcMar>
              <w:top w:w="0" w:type="dxa"/>
              <w:left w:w="108" w:type="dxa"/>
              <w:bottom w:w="0" w:type="dxa"/>
              <w:right w:w="108" w:type="dxa"/>
            </w:tcMar>
          </w:tcPr>
          <w:p w14:paraId="4A119B06" w14:textId="7ADF9138" w:rsidR="00CE0259" w:rsidRPr="00880FA7" w:rsidRDefault="00CE0259" w:rsidP="00D33124">
            <w:pPr>
              <w:spacing w:line="360" w:lineRule="auto"/>
              <w:jc w:val="both"/>
              <w:rPr>
                <w:rFonts w:ascii="Book Antiqua" w:hAnsi="Book Antiqua"/>
              </w:rPr>
            </w:pPr>
            <w:r w:rsidRPr="00880FA7">
              <w:rPr>
                <w:rFonts w:ascii="Book Antiqua" w:hAnsi="Book Antiqua"/>
              </w:rPr>
              <w:t>Sorafenib</w:t>
            </w:r>
            <w:r w:rsidRPr="00880FA7">
              <w:rPr>
                <w:rFonts w:ascii="Book Antiqua" w:hAnsi="Book Antiqua"/>
                <w:lang w:eastAsia="zh-CN"/>
              </w:rPr>
              <w:t xml:space="preserve"> </w:t>
            </w:r>
            <w:r w:rsidRPr="00880FA7">
              <w:rPr>
                <w:rFonts w:ascii="Book Antiqua" w:hAnsi="Book Antiqua"/>
              </w:rPr>
              <w:t>(400 mg × 2/d)</w:t>
            </w:r>
          </w:p>
        </w:tc>
        <w:tc>
          <w:tcPr>
            <w:tcW w:w="402" w:type="pct"/>
            <w:shd w:val="clear" w:color="auto" w:fill="auto"/>
          </w:tcPr>
          <w:p w14:paraId="20750BB9" w14:textId="77777777" w:rsidR="00CE0259" w:rsidRPr="00880FA7" w:rsidRDefault="00CE0259" w:rsidP="00D33124">
            <w:pPr>
              <w:spacing w:line="360" w:lineRule="auto"/>
              <w:jc w:val="both"/>
              <w:rPr>
                <w:rFonts w:ascii="Book Antiqua" w:hAnsi="Book Antiqua"/>
              </w:rPr>
            </w:pPr>
            <w:r w:rsidRPr="00880FA7">
              <w:rPr>
                <w:rFonts w:ascii="Book Antiqua" w:hAnsi="Book Antiqua"/>
              </w:rPr>
              <w:t>12.3</w:t>
            </w:r>
          </w:p>
        </w:tc>
        <w:tc>
          <w:tcPr>
            <w:tcW w:w="576" w:type="pct"/>
            <w:shd w:val="clear" w:color="auto" w:fill="auto"/>
            <w:tcMar>
              <w:top w:w="0" w:type="dxa"/>
              <w:left w:w="108" w:type="dxa"/>
              <w:bottom w:w="0" w:type="dxa"/>
              <w:right w:w="108" w:type="dxa"/>
            </w:tcMar>
          </w:tcPr>
          <w:p w14:paraId="454F8A2E" w14:textId="77777777" w:rsidR="00CE0259" w:rsidRPr="00880FA7" w:rsidRDefault="00CE0259" w:rsidP="00D33124">
            <w:pPr>
              <w:spacing w:line="360" w:lineRule="auto"/>
              <w:jc w:val="both"/>
              <w:rPr>
                <w:rFonts w:ascii="Book Antiqua" w:hAnsi="Book Antiqua"/>
              </w:rPr>
            </w:pPr>
            <w:r w:rsidRPr="00880FA7">
              <w:rPr>
                <w:rFonts w:ascii="Book Antiqua" w:hAnsi="Book Antiqua"/>
              </w:rPr>
              <w:t>12.4</w:t>
            </w:r>
          </w:p>
        </w:tc>
        <w:tc>
          <w:tcPr>
            <w:tcW w:w="483" w:type="pct"/>
            <w:shd w:val="clear" w:color="auto" w:fill="auto"/>
            <w:tcMar>
              <w:top w:w="0" w:type="dxa"/>
              <w:left w:w="108" w:type="dxa"/>
              <w:bottom w:w="0" w:type="dxa"/>
              <w:right w:w="108" w:type="dxa"/>
            </w:tcMar>
          </w:tcPr>
          <w:p w14:paraId="1774D59D" w14:textId="77777777" w:rsidR="00CE0259" w:rsidRPr="00880FA7" w:rsidRDefault="00CE0259" w:rsidP="00D33124">
            <w:pPr>
              <w:spacing w:line="360" w:lineRule="auto"/>
              <w:jc w:val="both"/>
              <w:rPr>
                <w:rFonts w:ascii="Book Antiqua" w:hAnsi="Book Antiqua"/>
              </w:rPr>
            </w:pPr>
            <w:r w:rsidRPr="00880FA7">
              <w:rPr>
                <w:rFonts w:ascii="Book Antiqua" w:hAnsi="Book Antiqua"/>
              </w:rPr>
              <w:t>56.4</w:t>
            </w:r>
          </w:p>
        </w:tc>
        <w:tc>
          <w:tcPr>
            <w:tcW w:w="465" w:type="pct"/>
            <w:shd w:val="clear" w:color="auto" w:fill="auto"/>
            <w:tcMar>
              <w:top w:w="0" w:type="dxa"/>
              <w:left w:w="108" w:type="dxa"/>
              <w:bottom w:w="0" w:type="dxa"/>
              <w:right w:w="108" w:type="dxa"/>
            </w:tcMar>
          </w:tcPr>
          <w:p w14:paraId="7833A5C6" w14:textId="77777777" w:rsidR="00CE0259" w:rsidRPr="00880FA7" w:rsidRDefault="00CE0259" w:rsidP="00D33124">
            <w:pPr>
              <w:spacing w:line="360" w:lineRule="auto"/>
              <w:jc w:val="both"/>
              <w:rPr>
                <w:rFonts w:ascii="Book Antiqua" w:hAnsi="Book Antiqua"/>
              </w:rPr>
            </w:pPr>
            <w:r w:rsidRPr="00880FA7">
              <w:rPr>
                <w:rFonts w:ascii="Book Antiqua" w:hAnsi="Book Antiqua"/>
              </w:rPr>
              <w:t>3.7</w:t>
            </w:r>
          </w:p>
        </w:tc>
        <w:tc>
          <w:tcPr>
            <w:tcW w:w="501" w:type="pct"/>
            <w:shd w:val="clear" w:color="auto" w:fill="auto"/>
          </w:tcPr>
          <w:p w14:paraId="706B908B" w14:textId="77777777" w:rsidR="00CE0259" w:rsidRPr="00880FA7" w:rsidRDefault="00CE0259" w:rsidP="00D33124">
            <w:pPr>
              <w:spacing w:line="360" w:lineRule="auto"/>
              <w:jc w:val="both"/>
              <w:rPr>
                <w:rFonts w:ascii="Book Antiqua" w:hAnsi="Book Antiqua"/>
              </w:rPr>
            </w:pPr>
            <w:r w:rsidRPr="00880FA7">
              <w:rPr>
                <w:rFonts w:ascii="Book Antiqua" w:hAnsi="Book Antiqua"/>
              </w:rPr>
              <w:t>38</w:t>
            </w:r>
          </w:p>
        </w:tc>
        <w:tc>
          <w:tcPr>
            <w:tcW w:w="797" w:type="pct"/>
            <w:shd w:val="clear" w:color="auto" w:fill="auto"/>
          </w:tcPr>
          <w:p w14:paraId="699508D3" w14:textId="77777777" w:rsidR="00CE0259" w:rsidRPr="00880FA7" w:rsidRDefault="00CE0259" w:rsidP="00D33124">
            <w:pPr>
              <w:spacing w:line="360" w:lineRule="auto"/>
              <w:jc w:val="both"/>
              <w:rPr>
                <w:rFonts w:ascii="Book Antiqua" w:hAnsi="Book Antiqua"/>
              </w:rPr>
            </w:pPr>
            <w:r w:rsidRPr="00880FA7">
              <w:rPr>
                <w:rFonts w:ascii="Book Antiqua" w:hAnsi="Book Antiqua"/>
              </w:rPr>
              <w:t>7</w:t>
            </w:r>
          </w:p>
        </w:tc>
      </w:tr>
    </w:tbl>
    <w:p w14:paraId="7A4484F5" w14:textId="77777777" w:rsidR="00621A22" w:rsidRPr="00880FA7" w:rsidRDefault="00621A22" w:rsidP="00D33124">
      <w:pPr>
        <w:spacing w:line="360" w:lineRule="auto"/>
        <w:jc w:val="both"/>
        <w:rPr>
          <w:rFonts w:ascii="Book Antiqua" w:hAnsi="Book Antiqua"/>
          <w:lang w:eastAsia="zh-CN"/>
        </w:rPr>
      </w:pPr>
      <w:r w:rsidRPr="00880FA7">
        <w:rPr>
          <w:rFonts w:ascii="Book Antiqua" w:hAnsi="Book Antiqua"/>
        </w:rPr>
        <w:t xml:space="preserve">AE: Adverse event; OS: Overall survival; </w:t>
      </w:r>
      <w:r w:rsidRPr="00880FA7">
        <w:rPr>
          <w:rFonts w:ascii="Book Antiqua" w:eastAsia="Times New Roman" w:hAnsi="Book Antiqua" w:cs="Calibri"/>
          <w:color w:val="000000"/>
        </w:rPr>
        <w:t>SHARP</w:t>
      </w:r>
      <w:r w:rsidRPr="00880FA7">
        <w:rPr>
          <w:rFonts w:ascii="Book Antiqua" w:hAnsi="Book Antiqua"/>
        </w:rPr>
        <w:t>: Sorafenib Hepatocellular Carcinoma Assessment Randomized Protocol; TP: Time to progression</w:t>
      </w:r>
      <w:r w:rsidR="00627C6A" w:rsidRPr="00880FA7">
        <w:rPr>
          <w:rFonts w:ascii="Book Antiqua" w:hAnsi="Book Antiqua"/>
          <w:lang w:eastAsia="zh-CN"/>
        </w:rPr>
        <w:t>.</w:t>
      </w:r>
    </w:p>
    <w:p w14:paraId="31ADA98F" w14:textId="77777777" w:rsidR="00621A22" w:rsidRPr="00880FA7" w:rsidRDefault="00621A22" w:rsidP="00D33124">
      <w:pPr>
        <w:spacing w:line="360" w:lineRule="auto"/>
        <w:jc w:val="both"/>
        <w:rPr>
          <w:rFonts w:ascii="Book Antiqua" w:hAnsi="Book Antiqua"/>
          <w:lang w:eastAsia="zh-CN"/>
        </w:rPr>
      </w:pPr>
      <w:r w:rsidRPr="00880FA7">
        <w:rPr>
          <w:rFonts w:ascii="Book Antiqua" w:hAnsi="Book Antiqua"/>
          <w:lang w:eastAsia="zh-CN"/>
        </w:rPr>
        <w:lastRenderedPageBreak/>
        <w:br w:type="page"/>
      </w:r>
    </w:p>
    <w:p w14:paraId="6E4EA4D8" w14:textId="77777777" w:rsidR="001113EE" w:rsidRPr="00880FA7" w:rsidRDefault="00621A22" w:rsidP="00D33124">
      <w:pPr>
        <w:spacing w:line="360" w:lineRule="auto"/>
        <w:jc w:val="both"/>
        <w:rPr>
          <w:rFonts w:ascii="Book Antiqua" w:hAnsi="Book Antiqua" w:cs="Book Antiqua"/>
          <w:b/>
          <w:color w:val="000000"/>
          <w:lang w:eastAsia="zh-CN"/>
        </w:rPr>
      </w:pPr>
      <w:r w:rsidRPr="00880FA7">
        <w:rPr>
          <w:rFonts w:ascii="Book Antiqua" w:eastAsia="Times New Roman" w:hAnsi="Book Antiqua" w:cs="Calibri"/>
          <w:b/>
          <w:bCs/>
          <w:color w:val="000000"/>
        </w:rPr>
        <w:lastRenderedPageBreak/>
        <w:t>Table 2</w:t>
      </w:r>
      <w:r w:rsidRPr="00880FA7">
        <w:rPr>
          <w:rFonts w:ascii="Book Antiqua" w:eastAsia="Times New Roman" w:hAnsi="Book Antiqua" w:cs="Calibri"/>
          <w:color w:val="000000"/>
        </w:rPr>
        <w:t xml:space="preserve"> </w:t>
      </w:r>
      <w:r w:rsidRPr="00880FA7">
        <w:rPr>
          <w:rFonts w:ascii="Book Antiqua" w:eastAsia="Times New Roman" w:hAnsi="Book Antiqua" w:cs="Calibri"/>
          <w:b/>
          <w:bCs/>
          <w:color w:val="000000"/>
        </w:rPr>
        <w:t xml:space="preserve">Summary of the 2 large prospective observational studies of sorafenib for treatment of </w:t>
      </w:r>
      <w:r w:rsidRPr="00880FA7">
        <w:rPr>
          <w:rFonts w:ascii="Book Antiqua" w:eastAsia="Book Antiqua" w:hAnsi="Book Antiqua" w:cs="Book Antiqua"/>
          <w:b/>
          <w:color w:val="000000"/>
        </w:rPr>
        <w:t xml:space="preserve">unresectable </w:t>
      </w:r>
      <w:r w:rsidRPr="00880FA7">
        <w:rPr>
          <w:rFonts w:ascii="Book Antiqua" w:hAnsi="Book Antiqua" w:cs="Book Antiqua"/>
          <w:b/>
          <w:color w:val="000000"/>
          <w:lang w:eastAsia="zh-CN"/>
        </w:rPr>
        <w:t>h</w:t>
      </w:r>
      <w:r w:rsidRPr="00880FA7">
        <w:rPr>
          <w:rFonts w:ascii="Book Antiqua" w:eastAsia="Book Antiqua" w:hAnsi="Book Antiqua" w:cs="Book Antiqua"/>
          <w:b/>
          <w:color w:val="000000"/>
        </w:rPr>
        <w:t>epatocellular carcinoma</w:t>
      </w:r>
    </w:p>
    <w:tbl>
      <w:tblPr>
        <w:tblStyle w:val="ae"/>
        <w:tblW w:w="5462" w:type="pct"/>
        <w:tblInd w:w="-88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60"/>
        <w:gridCol w:w="1198"/>
        <w:gridCol w:w="955"/>
        <w:gridCol w:w="967"/>
        <w:gridCol w:w="1117"/>
        <w:gridCol w:w="933"/>
        <w:gridCol w:w="967"/>
        <w:gridCol w:w="1184"/>
        <w:gridCol w:w="1744"/>
      </w:tblGrid>
      <w:tr w:rsidR="00A14C39" w:rsidRPr="00880FA7" w14:paraId="53FF4FF1" w14:textId="77777777" w:rsidTr="00560A60">
        <w:tc>
          <w:tcPr>
            <w:tcW w:w="567" w:type="pct"/>
            <w:tcBorders>
              <w:top w:val="single" w:sz="4" w:space="0" w:color="auto"/>
              <w:bottom w:val="single" w:sz="4" w:space="0" w:color="auto"/>
            </w:tcBorders>
            <w:hideMark/>
          </w:tcPr>
          <w:p w14:paraId="5A16E0C3" w14:textId="77777777" w:rsidR="00E85AC9" w:rsidRPr="00880FA7" w:rsidRDefault="00E85AC9" w:rsidP="00D33124">
            <w:pPr>
              <w:spacing w:line="360" w:lineRule="auto"/>
              <w:jc w:val="both"/>
              <w:rPr>
                <w:rFonts w:ascii="Book Antiqua" w:hAnsi="Book Antiqua"/>
                <w:b/>
                <w:lang w:eastAsia="zh-CN"/>
              </w:rPr>
            </w:pPr>
            <w:r w:rsidRPr="00880FA7">
              <w:rPr>
                <w:rFonts w:ascii="Book Antiqua" w:hAnsi="Book Antiqua"/>
                <w:b/>
              </w:rPr>
              <w:t>Ref</w:t>
            </w:r>
            <w:r w:rsidR="0020336A" w:rsidRPr="00880FA7">
              <w:rPr>
                <w:rFonts w:ascii="Book Antiqua" w:hAnsi="Book Antiqua"/>
                <w:b/>
                <w:lang w:eastAsia="zh-CN"/>
              </w:rPr>
              <w:t>.</w:t>
            </w:r>
          </w:p>
        </w:tc>
        <w:tc>
          <w:tcPr>
            <w:tcW w:w="586" w:type="pct"/>
            <w:tcBorders>
              <w:top w:val="single" w:sz="4" w:space="0" w:color="auto"/>
              <w:bottom w:val="single" w:sz="4" w:space="0" w:color="auto"/>
            </w:tcBorders>
            <w:hideMark/>
          </w:tcPr>
          <w:p w14:paraId="3AB98111" w14:textId="77777777" w:rsidR="00E85AC9" w:rsidRPr="00880FA7" w:rsidRDefault="00E85AC9" w:rsidP="00D33124">
            <w:pPr>
              <w:spacing w:line="360" w:lineRule="auto"/>
              <w:jc w:val="both"/>
              <w:rPr>
                <w:rFonts w:ascii="Book Antiqua" w:hAnsi="Book Antiqua"/>
                <w:b/>
              </w:rPr>
            </w:pPr>
            <w:r w:rsidRPr="00880FA7">
              <w:rPr>
                <w:rFonts w:ascii="Book Antiqua" w:hAnsi="Book Antiqua"/>
                <w:b/>
              </w:rPr>
              <w:t>No. of patients</w:t>
            </w:r>
            <w:r w:rsidR="0022169A" w:rsidRPr="00880FA7">
              <w:rPr>
                <w:rFonts w:ascii="Book Antiqua" w:hAnsi="Book Antiqua"/>
                <w:b/>
                <w:lang w:eastAsia="zh-CN"/>
              </w:rPr>
              <w:t xml:space="preserve"> </w:t>
            </w:r>
            <w:r w:rsidRPr="00880FA7">
              <w:rPr>
                <w:rFonts w:ascii="Book Antiqua" w:hAnsi="Book Antiqua"/>
                <w:b/>
              </w:rPr>
              <w:t>(Child-Pugh A or Child-Pugh B)</w:t>
            </w:r>
          </w:p>
        </w:tc>
        <w:tc>
          <w:tcPr>
            <w:tcW w:w="467" w:type="pct"/>
            <w:tcBorders>
              <w:top w:val="single" w:sz="4" w:space="0" w:color="auto"/>
              <w:bottom w:val="single" w:sz="4" w:space="0" w:color="auto"/>
            </w:tcBorders>
            <w:hideMark/>
          </w:tcPr>
          <w:p w14:paraId="7999360D" w14:textId="77777777" w:rsidR="00E85AC9" w:rsidRPr="00880FA7" w:rsidRDefault="00E85AC9" w:rsidP="00D33124">
            <w:pPr>
              <w:spacing w:line="360" w:lineRule="auto"/>
              <w:jc w:val="both"/>
              <w:rPr>
                <w:rFonts w:ascii="Book Antiqua" w:hAnsi="Book Antiqua"/>
                <w:b/>
              </w:rPr>
            </w:pPr>
            <w:r w:rsidRPr="00880FA7">
              <w:rPr>
                <w:rFonts w:ascii="Book Antiqua" w:hAnsi="Book Antiqua"/>
                <w:b/>
              </w:rPr>
              <w:t>Treatment</w:t>
            </w:r>
          </w:p>
        </w:tc>
        <w:tc>
          <w:tcPr>
            <w:tcW w:w="473" w:type="pct"/>
            <w:tcBorders>
              <w:top w:val="single" w:sz="4" w:space="0" w:color="auto"/>
              <w:bottom w:val="single" w:sz="4" w:space="0" w:color="auto"/>
            </w:tcBorders>
          </w:tcPr>
          <w:p w14:paraId="05BB7881" w14:textId="55383AE6" w:rsidR="00E85AC9" w:rsidRPr="00880FA7" w:rsidRDefault="00E85AC9" w:rsidP="00D33124">
            <w:pPr>
              <w:spacing w:line="360" w:lineRule="auto"/>
              <w:jc w:val="both"/>
              <w:rPr>
                <w:rFonts w:ascii="Book Antiqua" w:hAnsi="Book Antiqua"/>
                <w:b/>
              </w:rPr>
            </w:pPr>
            <w:r w:rsidRPr="00880FA7">
              <w:rPr>
                <w:rFonts w:ascii="Book Antiqua" w:hAnsi="Book Antiqua"/>
                <w:b/>
              </w:rPr>
              <w:t>Median OS</w:t>
            </w:r>
            <w:r w:rsidR="00BB0250" w:rsidRPr="00880FA7">
              <w:rPr>
                <w:rFonts w:ascii="Book Antiqua" w:hAnsi="Book Antiqua"/>
                <w:b/>
              </w:rPr>
              <w:t xml:space="preserve"> in</w:t>
            </w:r>
            <w:r w:rsidR="00473450" w:rsidRPr="00880FA7">
              <w:rPr>
                <w:rFonts w:ascii="Book Antiqua" w:hAnsi="Book Antiqua"/>
                <w:b/>
                <w:lang w:eastAsia="zh-CN"/>
              </w:rPr>
              <w:t xml:space="preserve"> </w:t>
            </w:r>
            <w:r w:rsidRPr="00880FA7">
              <w:rPr>
                <w:rFonts w:ascii="Book Antiqua" w:hAnsi="Book Antiqua"/>
                <w:b/>
              </w:rPr>
              <w:t>mo</w:t>
            </w:r>
          </w:p>
        </w:tc>
        <w:tc>
          <w:tcPr>
            <w:tcW w:w="546" w:type="pct"/>
            <w:tcBorders>
              <w:top w:val="single" w:sz="4" w:space="0" w:color="auto"/>
              <w:bottom w:val="single" w:sz="4" w:space="0" w:color="auto"/>
            </w:tcBorders>
            <w:hideMark/>
          </w:tcPr>
          <w:p w14:paraId="040A9002" w14:textId="34B41B12" w:rsidR="00E85AC9" w:rsidRPr="00880FA7" w:rsidRDefault="00E85AC9" w:rsidP="00D33124">
            <w:pPr>
              <w:spacing w:line="360" w:lineRule="auto"/>
              <w:jc w:val="both"/>
              <w:rPr>
                <w:rFonts w:ascii="Book Antiqua" w:hAnsi="Book Antiqua"/>
                <w:b/>
              </w:rPr>
            </w:pPr>
            <w:r w:rsidRPr="00880FA7">
              <w:rPr>
                <w:rFonts w:ascii="Book Antiqua" w:hAnsi="Book Antiqua"/>
                <w:b/>
              </w:rPr>
              <w:t>Response</w:t>
            </w:r>
            <w:r w:rsidR="00473450" w:rsidRPr="00880FA7">
              <w:rPr>
                <w:rFonts w:ascii="Book Antiqua" w:hAnsi="Book Antiqua"/>
                <w:b/>
                <w:lang w:eastAsia="zh-CN"/>
              </w:rPr>
              <w:t xml:space="preserve"> r</w:t>
            </w:r>
            <w:r w:rsidRPr="00880FA7">
              <w:rPr>
                <w:rFonts w:ascii="Book Antiqua" w:hAnsi="Book Antiqua"/>
                <w:b/>
              </w:rPr>
              <w:t>ate</w:t>
            </w:r>
            <w:r w:rsidR="00BB0250" w:rsidRPr="00880FA7">
              <w:rPr>
                <w:rFonts w:ascii="Book Antiqua" w:hAnsi="Book Antiqua"/>
                <w:b/>
              </w:rPr>
              <w:t>,</w:t>
            </w:r>
            <w:r w:rsidR="00473450" w:rsidRPr="00880FA7">
              <w:rPr>
                <w:rFonts w:ascii="Book Antiqua" w:hAnsi="Book Antiqua"/>
                <w:b/>
                <w:lang w:eastAsia="zh-CN"/>
              </w:rPr>
              <w:t xml:space="preserve"> </w:t>
            </w:r>
            <w:r w:rsidRPr="00880FA7">
              <w:rPr>
                <w:rFonts w:ascii="Book Antiqua" w:hAnsi="Book Antiqua"/>
                <w:b/>
              </w:rPr>
              <w:t>%</w:t>
            </w:r>
          </w:p>
        </w:tc>
        <w:tc>
          <w:tcPr>
            <w:tcW w:w="456" w:type="pct"/>
            <w:tcBorders>
              <w:top w:val="single" w:sz="4" w:space="0" w:color="auto"/>
              <w:bottom w:val="single" w:sz="4" w:space="0" w:color="auto"/>
            </w:tcBorders>
            <w:hideMark/>
          </w:tcPr>
          <w:p w14:paraId="24435779" w14:textId="39BC8E1F" w:rsidR="00E85AC9" w:rsidRPr="00880FA7" w:rsidRDefault="00E85AC9" w:rsidP="00D33124">
            <w:pPr>
              <w:spacing w:line="360" w:lineRule="auto"/>
              <w:jc w:val="both"/>
              <w:rPr>
                <w:rFonts w:ascii="Book Antiqua" w:hAnsi="Book Antiqua"/>
                <w:b/>
              </w:rPr>
            </w:pPr>
            <w:r w:rsidRPr="00880FA7">
              <w:rPr>
                <w:rFonts w:ascii="Book Antiqua" w:hAnsi="Book Antiqua"/>
                <w:b/>
              </w:rPr>
              <w:t xml:space="preserve">Control </w:t>
            </w:r>
            <w:r w:rsidR="00473450" w:rsidRPr="00880FA7">
              <w:rPr>
                <w:rFonts w:ascii="Book Antiqua" w:hAnsi="Book Antiqua"/>
                <w:b/>
                <w:lang w:eastAsia="zh-CN"/>
              </w:rPr>
              <w:t>r</w:t>
            </w:r>
            <w:r w:rsidRPr="00880FA7">
              <w:rPr>
                <w:rFonts w:ascii="Book Antiqua" w:hAnsi="Book Antiqua"/>
                <w:b/>
              </w:rPr>
              <w:t>ate</w:t>
            </w:r>
            <w:r w:rsidR="00BB0250" w:rsidRPr="00880FA7">
              <w:rPr>
                <w:rFonts w:ascii="Book Antiqua" w:hAnsi="Book Antiqua"/>
                <w:b/>
              </w:rPr>
              <w:t>,</w:t>
            </w:r>
            <w:r w:rsidR="00473450" w:rsidRPr="00880FA7">
              <w:rPr>
                <w:rFonts w:ascii="Book Antiqua" w:hAnsi="Book Antiqua"/>
                <w:b/>
                <w:lang w:eastAsia="zh-CN"/>
              </w:rPr>
              <w:t xml:space="preserve"> </w:t>
            </w:r>
            <w:r w:rsidRPr="00880FA7">
              <w:rPr>
                <w:rFonts w:ascii="Book Antiqua" w:hAnsi="Book Antiqua"/>
                <w:b/>
              </w:rPr>
              <w:t>%</w:t>
            </w:r>
          </w:p>
        </w:tc>
        <w:tc>
          <w:tcPr>
            <w:tcW w:w="473" w:type="pct"/>
            <w:tcBorders>
              <w:top w:val="single" w:sz="4" w:space="0" w:color="auto"/>
              <w:bottom w:val="single" w:sz="4" w:space="0" w:color="auto"/>
            </w:tcBorders>
            <w:hideMark/>
          </w:tcPr>
          <w:p w14:paraId="467F8005" w14:textId="058ED377" w:rsidR="00E85AC9" w:rsidRPr="00880FA7" w:rsidRDefault="00E85AC9" w:rsidP="00D33124">
            <w:pPr>
              <w:spacing w:line="360" w:lineRule="auto"/>
              <w:jc w:val="both"/>
              <w:rPr>
                <w:rFonts w:ascii="Book Antiqua" w:hAnsi="Book Antiqua"/>
                <w:b/>
              </w:rPr>
            </w:pPr>
            <w:r w:rsidRPr="00880FA7">
              <w:rPr>
                <w:rFonts w:ascii="Book Antiqua" w:hAnsi="Book Antiqua"/>
                <w:b/>
              </w:rPr>
              <w:t>Median</w:t>
            </w:r>
            <w:r w:rsidR="00473450" w:rsidRPr="00880FA7">
              <w:rPr>
                <w:rFonts w:ascii="Book Antiqua" w:hAnsi="Book Antiqua"/>
                <w:b/>
                <w:lang w:eastAsia="zh-CN"/>
              </w:rPr>
              <w:t xml:space="preserve"> </w:t>
            </w:r>
            <w:r w:rsidRPr="00880FA7">
              <w:rPr>
                <w:rFonts w:ascii="Book Antiqua" w:hAnsi="Book Antiqua"/>
                <w:b/>
              </w:rPr>
              <w:t>TP</w:t>
            </w:r>
            <w:r w:rsidR="00473450" w:rsidRPr="00880FA7">
              <w:rPr>
                <w:rFonts w:ascii="Book Antiqua" w:hAnsi="Book Antiqua"/>
                <w:b/>
                <w:lang w:eastAsia="zh-CN"/>
              </w:rPr>
              <w:t xml:space="preserve"> </w:t>
            </w:r>
            <w:r w:rsidR="00BB0250" w:rsidRPr="00880FA7">
              <w:rPr>
                <w:rFonts w:ascii="Book Antiqua" w:hAnsi="Book Antiqua"/>
                <w:b/>
              </w:rPr>
              <w:t xml:space="preserve">in </w:t>
            </w:r>
            <w:r w:rsidRPr="00880FA7">
              <w:rPr>
                <w:rFonts w:ascii="Book Antiqua" w:hAnsi="Book Antiqua"/>
                <w:b/>
              </w:rPr>
              <w:t>mo</w:t>
            </w:r>
          </w:p>
        </w:tc>
        <w:tc>
          <w:tcPr>
            <w:tcW w:w="579" w:type="pct"/>
            <w:tcBorders>
              <w:top w:val="single" w:sz="4" w:space="0" w:color="auto"/>
              <w:bottom w:val="single" w:sz="4" w:space="0" w:color="auto"/>
            </w:tcBorders>
          </w:tcPr>
          <w:p w14:paraId="245F0919" w14:textId="3A0C3C69" w:rsidR="00E85AC9" w:rsidRPr="00880FA7" w:rsidRDefault="00E85AC9" w:rsidP="00D33124">
            <w:pPr>
              <w:spacing w:line="360" w:lineRule="auto"/>
              <w:jc w:val="both"/>
              <w:rPr>
                <w:rFonts w:ascii="Book Antiqua" w:hAnsi="Book Antiqua"/>
                <w:b/>
              </w:rPr>
            </w:pPr>
            <w:r w:rsidRPr="00880FA7">
              <w:rPr>
                <w:rFonts w:ascii="Book Antiqua" w:hAnsi="Book Antiqua"/>
                <w:b/>
              </w:rPr>
              <w:t xml:space="preserve">Dose </w:t>
            </w:r>
            <w:r w:rsidR="00473450" w:rsidRPr="00880FA7">
              <w:rPr>
                <w:rFonts w:ascii="Book Antiqua" w:hAnsi="Book Antiqua"/>
                <w:b/>
                <w:lang w:eastAsia="zh-CN"/>
              </w:rPr>
              <w:t>r</w:t>
            </w:r>
            <w:r w:rsidRPr="00880FA7">
              <w:rPr>
                <w:rFonts w:ascii="Book Antiqua" w:hAnsi="Book Antiqua"/>
                <w:b/>
              </w:rPr>
              <w:t>eduction</w:t>
            </w:r>
            <w:r w:rsidR="00BB0250" w:rsidRPr="00880FA7">
              <w:rPr>
                <w:rFonts w:ascii="Book Antiqua" w:hAnsi="Book Antiqua"/>
                <w:b/>
              </w:rPr>
              <w:t>,</w:t>
            </w:r>
            <w:r w:rsidR="00473450" w:rsidRPr="00880FA7">
              <w:rPr>
                <w:rFonts w:ascii="Book Antiqua" w:hAnsi="Book Antiqua"/>
                <w:b/>
                <w:lang w:eastAsia="zh-CN"/>
              </w:rPr>
              <w:t xml:space="preserve"> </w:t>
            </w:r>
            <w:r w:rsidRPr="00880FA7">
              <w:rPr>
                <w:rFonts w:ascii="Book Antiqua" w:hAnsi="Book Antiqua"/>
                <w:b/>
              </w:rPr>
              <w:t>% patients</w:t>
            </w:r>
          </w:p>
        </w:tc>
        <w:tc>
          <w:tcPr>
            <w:tcW w:w="853" w:type="pct"/>
            <w:tcBorders>
              <w:top w:val="single" w:sz="4" w:space="0" w:color="auto"/>
              <w:bottom w:val="single" w:sz="4" w:space="0" w:color="auto"/>
            </w:tcBorders>
          </w:tcPr>
          <w:p w14:paraId="6CECD048" w14:textId="0EBCFEB6" w:rsidR="00E85AC9" w:rsidRPr="00880FA7" w:rsidRDefault="00E85AC9" w:rsidP="00D33124">
            <w:pPr>
              <w:spacing w:line="360" w:lineRule="auto"/>
              <w:jc w:val="both"/>
              <w:rPr>
                <w:rFonts w:ascii="Book Antiqua" w:hAnsi="Book Antiqua"/>
                <w:b/>
              </w:rPr>
            </w:pPr>
            <w:r w:rsidRPr="00880FA7">
              <w:rPr>
                <w:rFonts w:ascii="Book Antiqua" w:hAnsi="Book Antiqua"/>
                <w:b/>
              </w:rPr>
              <w:t>Discontinuation</w:t>
            </w:r>
            <w:r w:rsidR="00473450" w:rsidRPr="00880FA7">
              <w:rPr>
                <w:rFonts w:ascii="Book Antiqua" w:hAnsi="Book Antiqua"/>
                <w:b/>
                <w:lang w:eastAsia="zh-CN"/>
              </w:rPr>
              <w:t xml:space="preserve"> d</w:t>
            </w:r>
            <w:r w:rsidRPr="00880FA7">
              <w:rPr>
                <w:rFonts w:ascii="Book Antiqua" w:hAnsi="Book Antiqua"/>
                <w:b/>
              </w:rPr>
              <w:t>ue to AE</w:t>
            </w:r>
            <w:r w:rsidR="00BB0250" w:rsidRPr="00880FA7">
              <w:rPr>
                <w:rFonts w:ascii="Book Antiqua" w:hAnsi="Book Antiqua"/>
                <w:b/>
              </w:rPr>
              <w:t>,</w:t>
            </w:r>
            <w:r w:rsidR="00473450" w:rsidRPr="00880FA7">
              <w:rPr>
                <w:rFonts w:ascii="Book Antiqua" w:hAnsi="Book Antiqua"/>
                <w:b/>
                <w:lang w:eastAsia="zh-CN"/>
              </w:rPr>
              <w:t xml:space="preserve"> </w:t>
            </w:r>
            <w:r w:rsidRPr="00880FA7">
              <w:rPr>
                <w:rFonts w:ascii="Book Antiqua" w:hAnsi="Book Antiqua"/>
                <w:b/>
              </w:rPr>
              <w:t>% patients</w:t>
            </w:r>
          </w:p>
        </w:tc>
      </w:tr>
      <w:tr w:rsidR="008B0DC8" w:rsidRPr="00880FA7" w14:paraId="5B843216" w14:textId="77777777" w:rsidTr="00560A60">
        <w:tc>
          <w:tcPr>
            <w:tcW w:w="567" w:type="pct"/>
            <w:vMerge w:val="restart"/>
            <w:tcBorders>
              <w:top w:val="single" w:sz="4" w:space="0" w:color="auto"/>
            </w:tcBorders>
            <w:hideMark/>
          </w:tcPr>
          <w:p w14:paraId="04AABF13" w14:textId="77777777" w:rsidR="008B0DC8" w:rsidRPr="00880FA7" w:rsidRDefault="008B0DC8" w:rsidP="00D33124">
            <w:pPr>
              <w:spacing w:line="360" w:lineRule="auto"/>
              <w:jc w:val="both"/>
              <w:rPr>
                <w:rFonts w:ascii="Book Antiqua" w:hAnsi="Book Antiqua"/>
              </w:rPr>
            </w:pPr>
            <w:r w:rsidRPr="00880FA7">
              <w:rPr>
                <w:rFonts w:ascii="Book Antiqua" w:hAnsi="Book Antiqua"/>
              </w:rPr>
              <w:t xml:space="preserve">Abou-Alfa </w:t>
            </w:r>
            <w:r w:rsidRPr="00880FA7">
              <w:rPr>
                <w:rFonts w:ascii="Book Antiqua" w:hAnsi="Book Antiqua"/>
                <w:i/>
              </w:rPr>
              <w:t>et al</w:t>
            </w:r>
            <w:r w:rsidRPr="00880FA7">
              <w:rPr>
                <w:rFonts w:ascii="Book Antiqua" w:hAnsi="Book Antiqua"/>
                <w:vertAlign w:val="superscript"/>
              </w:rPr>
              <w:t>[</w:t>
            </w:r>
            <w:r w:rsidR="00690162" w:rsidRPr="00880FA7">
              <w:rPr>
                <w:rFonts w:ascii="Book Antiqua" w:hAnsi="Book Antiqua"/>
                <w:vertAlign w:val="superscript"/>
                <w:lang w:eastAsia="zh-CN"/>
              </w:rPr>
              <w:t>68</w:t>
            </w:r>
            <w:r w:rsidRPr="00880FA7">
              <w:rPr>
                <w:rFonts w:ascii="Book Antiqua" w:hAnsi="Book Antiqua"/>
                <w:vertAlign w:val="superscript"/>
              </w:rPr>
              <w:t>]</w:t>
            </w:r>
          </w:p>
        </w:tc>
        <w:tc>
          <w:tcPr>
            <w:tcW w:w="586" w:type="pct"/>
            <w:tcBorders>
              <w:top w:val="single" w:sz="4" w:space="0" w:color="auto"/>
            </w:tcBorders>
            <w:hideMark/>
          </w:tcPr>
          <w:p w14:paraId="2570EC4F" w14:textId="77777777" w:rsidR="008B0DC8" w:rsidRPr="00880FA7" w:rsidRDefault="008B0DC8" w:rsidP="00D33124">
            <w:pPr>
              <w:spacing w:line="360" w:lineRule="auto"/>
              <w:jc w:val="both"/>
              <w:rPr>
                <w:rFonts w:ascii="Book Antiqua" w:hAnsi="Book Antiqua"/>
                <w:lang w:eastAsia="zh-CN"/>
              </w:rPr>
            </w:pPr>
            <w:r w:rsidRPr="00880FA7">
              <w:rPr>
                <w:rFonts w:ascii="Book Antiqua" w:hAnsi="Book Antiqua"/>
              </w:rPr>
              <w:t>98</w:t>
            </w:r>
          </w:p>
        </w:tc>
        <w:tc>
          <w:tcPr>
            <w:tcW w:w="467" w:type="pct"/>
            <w:tcBorders>
              <w:top w:val="single" w:sz="4" w:space="0" w:color="auto"/>
            </w:tcBorders>
            <w:hideMark/>
          </w:tcPr>
          <w:p w14:paraId="78265336" w14:textId="03843D5A" w:rsidR="008B0DC8" w:rsidRPr="00880FA7" w:rsidRDefault="008B0DC8" w:rsidP="00D33124">
            <w:pPr>
              <w:spacing w:line="360" w:lineRule="auto"/>
              <w:jc w:val="both"/>
              <w:rPr>
                <w:rFonts w:ascii="Book Antiqua" w:hAnsi="Book Antiqua"/>
                <w:lang w:eastAsia="zh-CN"/>
              </w:rPr>
            </w:pPr>
            <w:r w:rsidRPr="00880FA7">
              <w:rPr>
                <w:rFonts w:ascii="Book Antiqua" w:hAnsi="Book Antiqua"/>
              </w:rPr>
              <w:t>Sorafenib (400 mg</w:t>
            </w:r>
            <w:r w:rsidR="00455CC2" w:rsidRPr="00880FA7">
              <w:rPr>
                <w:rFonts w:ascii="Book Antiqua" w:hAnsi="Book Antiqua"/>
                <w:lang w:eastAsia="zh-CN"/>
              </w:rPr>
              <w:t xml:space="preserve"> </w:t>
            </w:r>
            <w:r w:rsidR="00F75B28" w:rsidRPr="00880FA7">
              <w:rPr>
                <w:rFonts w:ascii="Book Antiqua" w:hAnsi="Book Antiqua"/>
              </w:rPr>
              <w:t>×</w:t>
            </w:r>
            <w:r w:rsidRPr="00880FA7">
              <w:rPr>
                <w:rFonts w:ascii="Book Antiqua" w:hAnsi="Book Antiqua"/>
              </w:rPr>
              <w:t xml:space="preserve"> 2/d)</w:t>
            </w:r>
          </w:p>
        </w:tc>
        <w:tc>
          <w:tcPr>
            <w:tcW w:w="473" w:type="pct"/>
            <w:tcBorders>
              <w:top w:val="single" w:sz="4" w:space="0" w:color="auto"/>
            </w:tcBorders>
          </w:tcPr>
          <w:p w14:paraId="71532784" w14:textId="77777777" w:rsidR="008B0DC8" w:rsidRPr="00880FA7" w:rsidRDefault="008B0DC8" w:rsidP="00D33124">
            <w:pPr>
              <w:spacing w:line="360" w:lineRule="auto"/>
              <w:jc w:val="both"/>
              <w:rPr>
                <w:rFonts w:ascii="Book Antiqua" w:hAnsi="Book Antiqua"/>
                <w:lang w:eastAsia="zh-CN"/>
              </w:rPr>
            </w:pPr>
            <w:r w:rsidRPr="00880FA7">
              <w:rPr>
                <w:rFonts w:ascii="Book Antiqua" w:hAnsi="Book Antiqua"/>
              </w:rPr>
              <w:t>10.7</w:t>
            </w:r>
          </w:p>
        </w:tc>
        <w:tc>
          <w:tcPr>
            <w:tcW w:w="546" w:type="pct"/>
            <w:tcBorders>
              <w:top w:val="single" w:sz="4" w:space="0" w:color="auto"/>
            </w:tcBorders>
            <w:hideMark/>
          </w:tcPr>
          <w:p w14:paraId="1E1FD82F" w14:textId="77777777" w:rsidR="008B0DC8" w:rsidRPr="00880FA7" w:rsidRDefault="008B0DC8" w:rsidP="00D33124">
            <w:pPr>
              <w:spacing w:line="360" w:lineRule="auto"/>
              <w:jc w:val="both"/>
              <w:rPr>
                <w:rFonts w:ascii="Book Antiqua" w:hAnsi="Book Antiqua"/>
                <w:lang w:eastAsia="zh-CN"/>
              </w:rPr>
            </w:pPr>
            <w:r w:rsidRPr="00880FA7">
              <w:rPr>
                <w:rFonts w:ascii="Book Antiqua" w:hAnsi="Book Antiqua"/>
              </w:rPr>
              <w:t>2</w:t>
            </w:r>
          </w:p>
        </w:tc>
        <w:tc>
          <w:tcPr>
            <w:tcW w:w="456" w:type="pct"/>
            <w:tcBorders>
              <w:top w:val="single" w:sz="4" w:space="0" w:color="auto"/>
            </w:tcBorders>
            <w:hideMark/>
          </w:tcPr>
          <w:p w14:paraId="46B545D6" w14:textId="77777777" w:rsidR="008B0DC8" w:rsidRPr="00880FA7" w:rsidRDefault="008B0DC8" w:rsidP="00D33124">
            <w:pPr>
              <w:spacing w:line="360" w:lineRule="auto"/>
              <w:jc w:val="both"/>
              <w:rPr>
                <w:rFonts w:ascii="Book Antiqua" w:hAnsi="Book Antiqua"/>
                <w:lang w:eastAsia="zh-CN"/>
              </w:rPr>
            </w:pPr>
            <w:r w:rsidRPr="00880FA7">
              <w:rPr>
                <w:rFonts w:ascii="Book Antiqua" w:hAnsi="Book Antiqua"/>
              </w:rPr>
              <w:t>43</w:t>
            </w:r>
          </w:p>
        </w:tc>
        <w:tc>
          <w:tcPr>
            <w:tcW w:w="473" w:type="pct"/>
            <w:tcBorders>
              <w:top w:val="single" w:sz="4" w:space="0" w:color="auto"/>
            </w:tcBorders>
            <w:hideMark/>
          </w:tcPr>
          <w:p w14:paraId="3344F683" w14:textId="77777777" w:rsidR="008B0DC8" w:rsidRPr="00880FA7" w:rsidRDefault="008B0DC8" w:rsidP="00D33124">
            <w:pPr>
              <w:spacing w:line="360" w:lineRule="auto"/>
              <w:jc w:val="both"/>
              <w:rPr>
                <w:rFonts w:ascii="Book Antiqua" w:hAnsi="Book Antiqua"/>
                <w:lang w:eastAsia="zh-CN"/>
              </w:rPr>
            </w:pPr>
            <w:r w:rsidRPr="00880FA7">
              <w:rPr>
                <w:rFonts w:ascii="Book Antiqua" w:hAnsi="Book Antiqua"/>
              </w:rPr>
              <w:t>5.5</w:t>
            </w:r>
          </w:p>
        </w:tc>
        <w:tc>
          <w:tcPr>
            <w:tcW w:w="579" w:type="pct"/>
            <w:tcBorders>
              <w:top w:val="single" w:sz="4" w:space="0" w:color="auto"/>
            </w:tcBorders>
          </w:tcPr>
          <w:p w14:paraId="77B1DC46" w14:textId="77777777" w:rsidR="008B0DC8" w:rsidRPr="00880FA7" w:rsidRDefault="008B0DC8" w:rsidP="00D33124">
            <w:pPr>
              <w:spacing w:line="360" w:lineRule="auto"/>
              <w:jc w:val="both"/>
              <w:rPr>
                <w:rFonts w:ascii="Book Antiqua" w:hAnsi="Book Antiqua"/>
                <w:lang w:eastAsia="zh-CN"/>
              </w:rPr>
            </w:pPr>
            <w:r w:rsidRPr="00880FA7">
              <w:rPr>
                <w:rFonts w:ascii="Book Antiqua" w:hAnsi="Book Antiqua"/>
              </w:rPr>
              <w:t>26</w:t>
            </w:r>
          </w:p>
        </w:tc>
        <w:tc>
          <w:tcPr>
            <w:tcW w:w="853" w:type="pct"/>
            <w:tcBorders>
              <w:top w:val="single" w:sz="4" w:space="0" w:color="auto"/>
            </w:tcBorders>
          </w:tcPr>
          <w:p w14:paraId="7D5C5DB7" w14:textId="77777777" w:rsidR="008B0DC8" w:rsidRPr="00880FA7" w:rsidRDefault="008B0DC8" w:rsidP="00D33124">
            <w:pPr>
              <w:spacing w:line="360" w:lineRule="auto"/>
              <w:jc w:val="both"/>
              <w:rPr>
                <w:rFonts w:ascii="Book Antiqua" w:hAnsi="Book Antiqua"/>
                <w:lang w:eastAsia="zh-CN"/>
              </w:rPr>
            </w:pPr>
            <w:r w:rsidRPr="00880FA7">
              <w:rPr>
                <w:rFonts w:ascii="Book Antiqua" w:hAnsi="Book Antiqua"/>
              </w:rPr>
              <w:t>11</w:t>
            </w:r>
          </w:p>
        </w:tc>
      </w:tr>
      <w:tr w:rsidR="008B0DC8" w:rsidRPr="00880FA7" w14:paraId="3E1AA262" w14:textId="77777777" w:rsidTr="00560A60">
        <w:tc>
          <w:tcPr>
            <w:tcW w:w="567" w:type="pct"/>
            <w:vMerge/>
          </w:tcPr>
          <w:p w14:paraId="79825287" w14:textId="77777777" w:rsidR="008B0DC8" w:rsidRPr="00880FA7" w:rsidRDefault="008B0DC8" w:rsidP="00D33124">
            <w:pPr>
              <w:spacing w:line="360" w:lineRule="auto"/>
              <w:jc w:val="both"/>
              <w:rPr>
                <w:rFonts w:ascii="Book Antiqua" w:hAnsi="Book Antiqua"/>
              </w:rPr>
            </w:pPr>
          </w:p>
        </w:tc>
        <w:tc>
          <w:tcPr>
            <w:tcW w:w="586" w:type="pct"/>
          </w:tcPr>
          <w:p w14:paraId="17A4EB66" w14:textId="77777777" w:rsidR="008B0DC8" w:rsidRPr="00880FA7" w:rsidRDefault="008B0DC8" w:rsidP="00D33124">
            <w:pPr>
              <w:spacing w:line="360" w:lineRule="auto"/>
              <w:jc w:val="both"/>
              <w:rPr>
                <w:rFonts w:ascii="Book Antiqua" w:hAnsi="Book Antiqua"/>
                <w:lang w:eastAsia="zh-CN"/>
              </w:rPr>
            </w:pPr>
            <w:r w:rsidRPr="00880FA7">
              <w:rPr>
                <w:rFonts w:ascii="Book Antiqua" w:hAnsi="Book Antiqua"/>
              </w:rPr>
              <w:t>38</w:t>
            </w:r>
          </w:p>
        </w:tc>
        <w:tc>
          <w:tcPr>
            <w:tcW w:w="467" w:type="pct"/>
          </w:tcPr>
          <w:p w14:paraId="2CE76054" w14:textId="033256C7" w:rsidR="008B0DC8" w:rsidRPr="00880FA7" w:rsidRDefault="008B0DC8" w:rsidP="00D33124">
            <w:pPr>
              <w:spacing w:line="360" w:lineRule="auto"/>
              <w:jc w:val="both"/>
              <w:rPr>
                <w:rFonts w:ascii="Book Antiqua" w:hAnsi="Book Antiqua"/>
              </w:rPr>
            </w:pPr>
            <w:r w:rsidRPr="00880FA7">
              <w:rPr>
                <w:rFonts w:ascii="Book Antiqua" w:hAnsi="Book Antiqua"/>
              </w:rPr>
              <w:t>Sorafenib</w:t>
            </w:r>
            <w:r w:rsidRPr="00880FA7">
              <w:rPr>
                <w:rFonts w:ascii="Book Antiqua" w:hAnsi="Book Antiqua"/>
                <w:lang w:eastAsia="zh-CN"/>
              </w:rPr>
              <w:t xml:space="preserve"> </w:t>
            </w:r>
            <w:r w:rsidRPr="00880FA7">
              <w:rPr>
                <w:rFonts w:ascii="Book Antiqua" w:hAnsi="Book Antiqua"/>
              </w:rPr>
              <w:t xml:space="preserve">(400 mg </w:t>
            </w:r>
            <w:r w:rsidR="00455CC2" w:rsidRPr="00880FA7">
              <w:rPr>
                <w:rFonts w:ascii="Book Antiqua" w:hAnsi="Book Antiqua"/>
              </w:rPr>
              <w:t>×</w:t>
            </w:r>
            <w:r w:rsidRPr="00880FA7">
              <w:rPr>
                <w:rFonts w:ascii="Book Antiqua" w:hAnsi="Book Antiqua"/>
              </w:rPr>
              <w:t xml:space="preserve"> 2/d)</w:t>
            </w:r>
          </w:p>
        </w:tc>
        <w:tc>
          <w:tcPr>
            <w:tcW w:w="473" w:type="pct"/>
          </w:tcPr>
          <w:p w14:paraId="436739CD" w14:textId="77777777" w:rsidR="008B0DC8" w:rsidRPr="00880FA7" w:rsidRDefault="001A19B2" w:rsidP="00D33124">
            <w:pPr>
              <w:spacing w:line="360" w:lineRule="auto"/>
              <w:jc w:val="both"/>
              <w:rPr>
                <w:rFonts w:ascii="Book Antiqua" w:hAnsi="Book Antiqua"/>
                <w:lang w:eastAsia="zh-CN"/>
              </w:rPr>
            </w:pPr>
            <w:r w:rsidRPr="00880FA7">
              <w:rPr>
                <w:rFonts w:ascii="Book Antiqua" w:hAnsi="Book Antiqua"/>
                <w:lang w:eastAsia="zh-CN"/>
              </w:rPr>
              <w:t>7.9</w:t>
            </w:r>
          </w:p>
        </w:tc>
        <w:tc>
          <w:tcPr>
            <w:tcW w:w="546" w:type="pct"/>
          </w:tcPr>
          <w:p w14:paraId="6A214BA8" w14:textId="77777777" w:rsidR="008B0DC8" w:rsidRPr="00880FA7" w:rsidRDefault="001A19B2" w:rsidP="00D33124">
            <w:pPr>
              <w:spacing w:line="360" w:lineRule="auto"/>
              <w:jc w:val="both"/>
              <w:rPr>
                <w:rFonts w:ascii="Book Antiqua" w:hAnsi="Book Antiqua"/>
              </w:rPr>
            </w:pPr>
            <w:r w:rsidRPr="00880FA7">
              <w:rPr>
                <w:rFonts w:ascii="Book Antiqua" w:hAnsi="Book Antiqua"/>
              </w:rPr>
              <w:t>1</w:t>
            </w:r>
          </w:p>
        </w:tc>
        <w:tc>
          <w:tcPr>
            <w:tcW w:w="456" w:type="pct"/>
          </w:tcPr>
          <w:p w14:paraId="1A60523C" w14:textId="77777777" w:rsidR="008B0DC8" w:rsidRPr="00880FA7" w:rsidRDefault="001A19B2" w:rsidP="00D33124">
            <w:pPr>
              <w:spacing w:line="360" w:lineRule="auto"/>
              <w:jc w:val="both"/>
              <w:rPr>
                <w:rFonts w:ascii="Book Antiqua" w:hAnsi="Book Antiqua"/>
                <w:lang w:eastAsia="zh-CN"/>
              </w:rPr>
            </w:pPr>
            <w:r w:rsidRPr="00880FA7">
              <w:rPr>
                <w:rFonts w:ascii="Book Antiqua" w:hAnsi="Book Antiqua"/>
              </w:rPr>
              <w:t>32</w:t>
            </w:r>
          </w:p>
        </w:tc>
        <w:tc>
          <w:tcPr>
            <w:tcW w:w="473" w:type="pct"/>
          </w:tcPr>
          <w:p w14:paraId="7C3F9857" w14:textId="77777777" w:rsidR="008B0DC8" w:rsidRPr="00880FA7" w:rsidRDefault="001A19B2" w:rsidP="00D33124">
            <w:pPr>
              <w:spacing w:line="360" w:lineRule="auto"/>
              <w:jc w:val="both"/>
              <w:rPr>
                <w:rFonts w:ascii="Book Antiqua" w:hAnsi="Book Antiqua"/>
              </w:rPr>
            </w:pPr>
            <w:r w:rsidRPr="00880FA7">
              <w:rPr>
                <w:rFonts w:ascii="Book Antiqua" w:hAnsi="Book Antiqua"/>
              </w:rPr>
              <w:t>2.8</w:t>
            </w:r>
          </w:p>
        </w:tc>
        <w:tc>
          <w:tcPr>
            <w:tcW w:w="579" w:type="pct"/>
          </w:tcPr>
          <w:p w14:paraId="2EC44BED" w14:textId="77777777" w:rsidR="008B0DC8" w:rsidRPr="00880FA7" w:rsidRDefault="001A19B2" w:rsidP="00D33124">
            <w:pPr>
              <w:spacing w:line="360" w:lineRule="auto"/>
              <w:jc w:val="both"/>
              <w:rPr>
                <w:rFonts w:ascii="Book Antiqua" w:hAnsi="Book Antiqua"/>
                <w:lang w:eastAsia="zh-CN"/>
              </w:rPr>
            </w:pPr>
            <w:r w:rsidRPr="00880FA7">
              <w:rPr>
                <w:rFonts w:ascii="Book Antiqua" w:hAnsi="Book Antiqua"/>
              </w:rPr>
              <w:t>7</w:t>
            </w:r>
          </w:p>
        </w:tc>
        <w:tc>
          <w:tcPr>
            <w:tcW w:w="853" w:type="pct"/>
          </w:tcPr>
          <w:p w14:paraId="3BA18290" w14:textId="77777777" w:rsidR="008B0DC8" w:rsidRPr="00880FA7" w:rsidRDefault="001A19B2" w:rsidP="00D33124">
            <w:pPr>
              <w:spacing w:line="360" w:lineRule="auto"/>
              <w:jc w:val="both"/>
              <w:rPr>
                <w:rFonts w:ascii="Book Antiqua" w:hAnsi="Book Antiqua"/>
                <w:lang w:eastAsia="zh-CN"/>
              </w:rPr>
            </w:pPr>
            <w:r w:rsidRPr="00880FA7">
              <w:rPr>
                <w:rFonts w:ascii="Book Antiqua" w:hAnsi="Book Antiqua"/>
              </w:rPr>
              <w:t>5</w:t>
            </w:r>
          </w:p>
        </w:tc>
      </w:tr>
      <w:tr w:rsidR="003B20F7" w:rsidRPr="00880FA7" w14:paraId="10EB421B" w14:textId="77777777" w:rsidTr="00560A60">
        <w:tc>
          <w:tcPr>
            <w:tcW w:w="567" w:type="pct"/>
            <w:vMerge w:val="restart"/>
            <w:hideMark/>
          </w:tcPr>
          <w:p w14:paraId="1ED45BCD" w14:textId="77777777" w:rsidR="003B20F7" w:rsidRPr="00880FA7" w:rsidRDefault="003B20F7" w:rsidP="00D33124">
            <w:pPr>
              <w:spacing w:line="360" w:lineRule="auto"/>
              <w:jc w:val="both"/>
              <w:rPr>
                <w:rFonts w:ascii="Book Antiqua" w:hAnsi="Book Antiqua"/>
              </w:rPr>
            </w:pPr>
            <w:r w:rsidRPr="00880FA7">
              <w:rPr>
                <w:rFonts w:ascii="Book Antiqua" w:hAnsi="Book Antiqua"/>
              </w:rPr>
              <w:t xml:space="preserve">Cheng </w:t>
            </w:r>
            <w:r w:rsidRPr="00880FA7">
              <w:rPr>
                <w:rFonts w:ascii="Book Antiqua" w:hAnsi="Book Antiqua"/>
                <w:i/>
              </w:rPr>
              <w:t>et al</w:t>
            </w:r>
            <w:r w:rsidRPr="00880FA7">
              <w:rPr>
                <w:rFonts w:ascii="Book Antiqua" w:hAnsi="Book Antiqua"/>
                <w:vertAlign w:val="superscript"/>
              </w:rPr>
              <w:t>[3</w:t>
            </w:r>
            <w:r w:rsidRPr="00880FA7">
              <w:rPr>
                <w:rFonts w:ascii="Book Antiqua" w:hAnsi="Book Antiqua"/>
                <w:vertAlign w:val="superscript"/>
                <w:lang w:eastAsia="zh-CN"/>
              </w:rPr>
              <w:t>4</w:t>
            </w:r>
            <w:r w:rsidRPr="00880FA7">
              <w:rPr>
                <w:rFonts w:ascii="Book Antiqua" w:hAnsi="Book Antiqua"/>
                <w:vertAlign w:val="superscript"/>
              </w:rPr>
              <w:t>]</w:t>
            </w:r>
            <w:r w:rsidRPr="00880FA7">
              <w:rPr>
                <w:rFonts w:ascii="Book Antiqua" w:hAnsi="Book Antiqua"/>
              </w:rPr>
              <w:t xml:space="preserve"> (Asia-Pacific)</w:t>
            </w:r>
          </w:p>
        </w:tc>
        <w:tc>
          <w:tcPr>
            <w:tcW w:w="586" w:type="pct"/>
            <w:hideMark/>
          </w:tcPr>
          <w:p w14:paraId="53D284EA" w14:textId="77777777" w:rsidR="003B20F7" w:rsidRPr="00880FA7" w:rsidRDefault="003B20F7" w:rsidP="00D33124">
            <w:pPr>
              <w:spacing w:line="360" w:lineRule="auto"/>
              <w:jc w:val="both"/>
              <w:rPr>
                <w:rFonts w:ascii="Book Antiqua" w:hAnsi="Book Antiqua"/>
                <w:lang w:eastAsia="zh-CN"/>
              </w:rPr>
            </w:pPr>
            <w:r w:rsidRPr="00880FA7">
              <w:rPr>
                <w:rFonts w:ascii="Book Antiqua" w:hAnsi="Book Antiqua"/>
              </w:rPr>
              <w:t>150</w:t>
            </w:r>
            <w:r w:rsidRPr="00880FA7">
              <w:rPr>
                <w:rFonts w:ascii="Book Antiqua" w:hAnsi="Book Antiqua"/>
                <w:lang w:eastAsia="zh-CN"/>
              </w:rPr>
              <w:t xml:space="preserve"> </w:t>
            </w:r>
            <w:r w:rsidRPr="00880FA7">
              <w:rPr>
                <w:rFonts w:ascii="Book Antiqua" w:hAnsi="Book Antiqua"/>
              </w:rPr>
              <w:t>(146/4)</w:t>
            </w:r>
          </w:p>
        </w:tc>
        <w:tc>
          <w:tcPr>
            <w:tcW w:w="467" w:type="pct"/>
            <w:hideMark/>
          </w:tcPr>
          <w:p w14:paraId="4E41DCC0" w14:textId="1F38CFED" w:rsidR="003B20F7" w:rsidRPr="00880FA7" w:rsidRDefault="003B20F7" w:rsidP="00D33124">
            <w:pPr>
              <w:spacing w:line="360" w:lineRule="auto"/>
              <w:jc w:val="both"/>
              <w:rPr>
                <w:rFonts w:ascii="Book Antiqua" w:hAnsi="Book Antiqua"/>
                <w:lang w:eastAsia="zh-CN"/>
              </w:rPr>
            </w:pPr>
            <w:r w:rsidRPr="00880FA7">
              <w:rPr>
                <w:rFonts w:ascii="Book Antiqua" w:hAnsi="Book Antiqua"/>
              </w:rPr>
              <w:t>Sorafenib</w:t>
            </w:r>
            <w:r w:rsidRPr="00880FA7">
              <w:rPr>
                <w:rFonts w:ascii="Book Antiqua" w:hAnsi="Book Antiqua"/>
                <w:lang w:eastAsia="zh-CN"/>
              </w:rPr>
              <w:t xml:space="preserve"> </w:t>
            </w:r>
            <w:r w:rsidRPr="00880FA7">
              <w:rPr>
                <w:rFonts w:ascii="Book Antiqua" w:hAnsi="Book Antiqua"/>
              </w:rPr>
              <w:t>(400 mg × 2/</w:t>
            </w:r>
            <w:r w:rsidR="00E0308E" w:rsidRPr="00880FA7">
              <w:rPr>
                <w:rFonts w:ascii="Book Antiqua" w:hAnsi="Book Antiqua"/>
              </w:rPr>
              <w:t>d</w:t>
            </w:r>
            <w:r w:rsidRPr="00880FA7">
              <w:rPr>
                <w:rFonts w:ascii="Book Antiqua" w:hAnsi="Book Antiqua"/>
              </w:rPr>
              <w:t>)</w:t>
            </w:r>
          </w:p>
        </w:tc>
        <w:tc>
          <w:tcPr>
            <w:tcW w:w="473" w:type="pct"/>
          </w:tcPr>
          <w:p w14:paraId="4FBE8020" w14:textId="77777777" w:rsidR="003B20F7" w:rsidRPr="00880FA7" w:rsidRDefault="003B20F7" w:rsidP="00D33124">
            <w:pPr>
              <w:spacing w:line="360" w:lineRule="auto"/>
              <w:jc w:val="both"/>
              <w:rPr>
                <w:rFonts w:ascii="Book Antiqua" w:hAnsi="Book Antiqua"/>
                <w:lang w:eastAsia="zh-CN"/>
              </w:rPr>
            </w:pPr>
            <w:r w:rsidRPr="00880FA7">
              <w:rPr>
                <w:rFonts w:ascii="Book Antiqua" w:hAnsi="Book Antiqua"/>
              </w:rPr>
              <w:t>6.5</w:t>
            </w:r>
          </w:p>
        </w:tc>
        <w:tc>
          <w:tcPr>
            <w:tcW w:w="546" w:type="pct"/>
            <w:hideMark/>
          </w:tcPr>
          <w:p w14:paraId="5A462550" w14:textId="77777777" w:rsidR="003B20F7" w:rsidRPr="00880FA7" w:rsidRDefault="003B20F7" w:rsidP="00D33124">
            <w:pPr>
              <w:spacing w:line="360" w:lineRule="auto"/>
              <w:jc w:val="both"/>
              <w:rPr>
                <w:rFonts w:ascii="Book Antiqua" w:hAnsi="Book Antiqua"/>
                <w:lang w:eastAsia="zh-CN"/>
              </w:rPr>
            </w:pPr>
            <w:r w:rsidRPr="00880FA7">
              <w:rPr>
                <w:rFonts w:ascii="Book Antiqua" w:hAnsi="Book Antiqua"/>
              </w:rPr>
              <w:t>3.3</w:t>
            </w:r>
          </w:p>
        </w:tc>
        <w:tc>
          <w:tcPr>
            <w:tcW w:w="456" w:type="pct"/>
            <w:hideMark/>
          </w:tcPr>
          <w:p w14:paraId="50125829" w14:textId="77777777" w:rsidR="003B20F7" w:rsidRPr="00880FA7" w:rsidRDefault="003B20F7" w:rsidP="00D33124">
            <w:pPr>
              <w:spacing w:line="360" w:lineRule="auto"/>
              <w:jc w:val="both"/>
              <w:rPr>
                <w:rFonts w:ascii="Book Antiqua" w:hAnsi="Book Antiqua"/>
                <w:lang w:eastAsia="zh-CN"/>
              </w:rPr>
            </w:pPr>
            <w:r w:rsidRPr="00880FA7">
              <w:rPr>
                <w:rFonts w:ascii="Book Antiqua" w:hAnsi="Book Antiqua"/>
              </w:rPr>
              <w:t>35.3</w:t>
            </w:r>
          </w:p>
        </w:tc>
        <w:tc>
          <w:tcPr>
            <w:tcW w:w="473" w:type="pct"/>
            <w:hideMark/>
          </w:tcPr>
          <w:p w14:paraId="6ACCFE86" w14:textId="77777777" w:rsidR="003B20F7" w:rsidRPr="00880FA7" w:rsidRDefault="003B20F7" w:rsidP="00D33124">
            <w:pPr>
              <w:spacing w:line="360" w:lineRule="auto"/>
              <w:jc w:val="both"/>
              <w:rPr>
                <w:rFonts w:ascii="Book Antiqua" w:hAnsi="Book Antiqua"/>
                <w:lang w:eastAsia="zh-CN"/>
              </w:rPr>
            </w:pPr>
            <w:r w:rsidRPr="00880FA7">
              <w:rPr>
                <w:rFonts w:ascii="Book Antiqua" w:hAnsi="Book Antiqua"/>
              </w:rPr>
              <w:t>5.5</w:t>
            </w:r>
          </w:p>
        </w:tc>
        <w:tc>
          <w:tcPr>
            <w:tcW w:w="579" w:type="pct"/>
          </w:tcPr>
          <w:p w14:paraId="554D4E85" w14:textId="77777777" w:rsidR="003B20F7" w:rsidRPr="00880FA7" w:rsidRDefault="003B20F7" w:rsidP="00D33124">
            <w:pPr>
              <w:spacing w:line="360" w:lineRule="auto"/>
              <w:jc w:val="both"/>
              <w:rPr>
                <w:rFonts w:ascii="Book Antiqua" w:hAnsi="Book Antiqua"/>
                <w:lang w:eastAsia="zh-CN"/>
              </w:rPr>
            </w:pPr>
            <w:r w:rsidRPr="00880FA7">
              <w:rPr>
                <w:rFonts w:ascii="Book Antiqua" w:hAnsi="Book Antiqua"/>
              </w:rPr>
              <w:t>30.9</w:t>
            </w:r>
          </w:p>
        </w:tc>
        <w:tc>
          <w:tcPr>
            <w:tcW w:w="853" w:type="pct"/>
          </w:tcPr>
          <w:p w14:paraId="11CA1744" w14:textId="77777777" w:rsidR="003B20F7" w:rsidRPr="00880FA7" w:rsidRDefault="003B20F7" w:rsidP="00D33124">
            <w:pPr>
              <w:spacing w:line="360" w:lineRule="auto"/>
              <w:jc w:val="both"/>
              <w:rPr>
                <w:rFonts w:ascii="Book Antiqua" w:hAnsi="Book Antiqua"/>
                <w:lang w:eastAsia="zh-CN"/>
              </w:rPr>
            </w:pPr>
            <w:r w:rsidRPr="00880FA7">
              <w:rPr>
                <w:rFonts w:ascii="Book Antiqua" w:hAnsi="Book Antiqua"/>
              </w:rPr>
              <w:t>19.5</w:t>
            </w:r>
          </w:p>
        </w:tc>
      </w:tr>
      <w:tr w:rsidR="003B20F7" w:rsidRPr="00880FA7" w14:paraId="783B6DF1" w14:textId="77777777" w:rsidTr="00560A60">
        <w:tc>
          <w:tcPr>
            <w:tcW w:w="567" w:type="pct"/>
            <w:vMerge/>
          </w:tcPr>
          <w:p w14:paraId="2C53B457" w14:textId="77777777" w:rsidR="003B20F7" w:rsidRPr="00880FA7" w:rsidRDefault="003B20F7" w:rsidP="00D33124">
            <w:pPr>
              <w:spacing w:line="360" w:lineRule="auto"/>
              <w:jc w:val="both"/>
              <w:rPr>
                <w:rFonts w:ascii="Book Antiqua" w:hAnsi="Book Antiqua"/>
              </w:rPr>
            </w:pPr>
          </w:p>
        </w:tc>
        <w:tc>
          <w:tcPr>
            <w:tcW w:w="586" w:type="pct"/>
          </w:tcPr>
          <w:p w14:paraId="223A3FBB" w14:textId="77777777" w:rsidR="003B20F7" w:rsidRPr="00880FA7" w:rsidRDefault="003B20F7" w:rsidP="00D33124">
            <w:pPr>
              <w:spacing w:line="360" w:lineRule="auto"/>
              <w:jc w:val="both"/>
              <w:rPr>
                <w:rFonts w:ascii="Book Antiqua" w:hAnsi="Book Antiqua"/>
              </w:rPr>
            </w:pPr>
            <w:r w:rsidRPr="00880FA7">
              <w:rPr>
                <w:rFonts w:ascii="Book Antiqua" w:hAnsi="Book Antiqua"/>
              </w:rPr>
              <w:t>76</w:t>
            </w:r>
            <w:r w:rsidRPr="00880FA7">
              <w:rPr>
                <w:rFonts w:ascii="Book Antiqua" w:hAnsi="Book Antiqua"/>
                <w:lang w:eastAsia="zh-CN"/>
              </w:rPr>
              <w:t xml:space="preserve"> </w:t>
            </w:r>
            <w:r w:rsidRPr="00880FA7">
              <w:rPr>
                <w:rFonts w:ascii="Book Antiqua" w:hAnsi="Book Antiqua"/>
              </w:rPr>
              <w:t>(74/2)</w:t>
            </w:r>
          </w:p>
        </w:tc>
        <w:tc>
          <w:tcPr>
            <w:tcW w:w="467" w:type="pct"/>
          </w:tcPr>
          <w:p w14:paraId="2FAB9F68" w14:textId="77777777" w:rsidR="003B20F7" w:rsidRPr="00880FA7" w:rsidRDefault="003B20F7" w:rsidP="00D33124">
            <w:pPr>
              <w:spacing w:line="360" w:lineRule="auto"/>
              <w:jc w:val="both"/>
              <w:rPr>
                <w:rFonts w:ascii="Book Antiqua" w:hAnsi="Book Antiqua"/>
              </w:rPr>
            </w:pPr>
            <w:r w:rsidRPr="00880FA7">
              <w:rPr>
                <w:rFonts w:ascii="Book Antiqua" w:hAnsi="Book Antiqua"/>
              </w:rPr>
              <w:t>Placebo</w:t>
            </w:r>
          </w:p>
        </w:tc>
        <w:tc>
          <w:tcPr>
            <w:tcW w:w="473" w:type="pct"/>
          </w:tcPr>
          <w:p w14:paraId="660F34A4" w14:textId="77777777" w:rsidR="003B20F7" w:rsidRPr="00880FA7" w:rsidRDefault="003B20F7" w:rsidP="00D33124">
            <w:pPr>
              <w:spacing w:line="360" w:lineRule="auto"/>
              <w:jc w:val="both"/>
              <w:rPr>
                <w:rFonts w:ascii="Book Antiqua" w:hAnsi="Book Antiqua"/>
              </w:rPr>
            </w:pPr>
            <w:r w:rsidRPr="00880FA7">
              <w:rPr>
                <w:rFonts w:ascii="Book Antiqua" w:hAnsi="Book Antiqua"/>
              </w:rPr>
              <w:t>4.2</w:t>
            </w:r>
          </w:p>
        </w:tc>
        <w:tc>
          <w:tcPr>
            <w:tcW w:w="546" w:type="pct"/>
          </w:tcPr>
          <w:p w14:paraId="70636BF0" w14:textId="77777777" w:rsidR="003B20F7" w:rsidRPr="00880FA7" w:rsidRDefault="003B20F7" w:rsidP="00D33124">
            <w:pPr>
              <w:spacing w:line="360" w:lineRule="auto"/>
              <w:jc w:val="both"/>
              <w:rPr>
                <w:rFonts w:ascii="Book Antiqua" w:hAnsi="Book Antiqua"/>
              </w:rPr>
            </w:pPr>
            <w:r w:rsidRPr="00880FA7">
              <w:rPr>
                <w:rFonts w:ascii="Book Antiqua" w:hAnsi="Book Antiqua"/>
              </w:rPr>
              <w:t>1.3</w:t>
            </w:r>
          </w:p>
        </w:tc>
        <w:tc>
          <w:tcPr>
            <w:tcW w:w="456" w:type="pct"/>
          </w:tcPr>
          <w:p w14:paraId="3130D9C3" w14:textId="77777777" w:rsidR="003B20F7" w:rsidRPr="00880FA7" w:rsidRDefault="003B20F7" w:rsidP="00D33124">
            <w:pPr>
              <w:spacing w:line="360" w:lineRule="auto"/>
              <w:jc w:val="both"/>
              <w:rPr>
                <w:rFonts w:ascii="Book Antiqua" w:hAnsi="Book Antiqua"/>
              </w:rPr>
            </w:pPr>
            <w:r w:rsidRPr="00880FA7">
              <w:rPr>
                <w:rFonts w:ascii="Book Antiqua" w:hAnsi="Book Antiqua"/>
              </w:rPr>
              <w:t>15.8</w:t>
            </w:r>
          </w:p>
        </w:tc>
        <w:tc>
          <w:tcPr>
            <w:tcW w:w="473" w:type="pct"/>
          </w:tcPr>
          <w:p w14:paraId="3A1EE62E" w14:textId="77777777" w:rsidR="003B20F7" w:rsidRPr="00880FA7" w:rsidRDefault="003B20F7" w:rsidP="00D33124">
            <w:pPr>
              <w:spacing w:line="360" w:lineRule="auto"/>
              <w:jc w:val="both"/>
              <w:rPr>
                <w:rFonts w:ascii="Book Antiqua" w:hAnsi="Book Antiqua"/>
              </w:rPr>
            </w:pPr>
            <w:r w:rsidRPr="00880FA7">
              <w:rPr>
                <w:rFonts w:ascii="Book Antiqua" w:hAnsi="Book Antiqua"/>
              </w:rPr>
              <w:t>2.8</w:t>
            </w:r>
          </w:p>
        </w:tc>
        <w:tc>
          <w:tcPr>
            <w:tcW w:w="579" w:type="pct"/>
          </w:tcPr>
          <w:p w14:paraId="4E715278" w14:textId="77777777" w:rsidR="003B20F7" w:rsidRPr="00880FA7" w:rsidRDefault="003B20F7" w:rsidP="00D33124">
            <w:pPr>
              <w:spacing w:line="360" w:lineRule="auto"/>
              <w:jc w:val="both"/>
              <w:rPr>
                <w:rFonts w:ascii="Book Antiqua" w:hAnsi="Book Antiqua"/>
              </w:rPr>
            </w:pPr>
            <w:r w:rsidRPr="00880FA7">
              <w:rPr>
                <w:rFonts w:ascii="Book Antiqua" w:hAnsi="Book Antiqua"/>
              </w:rPr>
              <w:t>2.7</w:t>
            </w:r>
          </w:p>
        </w:tc>
        <w:tc>
          <w:tcPr>
            <w:tcW w:w="853" w:type="pct"/>
          </w:tcPr>
          <w:p w14:paraId="6C75A4AD" w14:textId="77777777" w:rsidR="003B20F7" w:rsidRPr="00880FA7" w:rsidRDefault="003B20F7" w:rsidP="00D33124">
            <w:pPr>
              <w:spacing w:line="360" w:lineRule="auto"/>
              <w:jc w:val="both"/>
              <w:rPr>
                <w:rFonts w:ascii="Book Antiqua" w:hAnsi="Book Antiqua"/>
              </w:rPr>
            </w:pPr>
            <w:r w:rsidRPr="00880FA7">
              <w:rPr>
                <w:rFonts w:ascii="Book Antiqua" w:hAnsi="Book Antiqua"/>
              </w:rPr>
              <w:t>13.3</w:t>
            </w:r>
          </w:p>
        </w:tc>
      </w:tr>
    </w:tbl>
    <w:p w14:paraId="1AF5A260" w14:textId="36D0C6F7" w:rsidR="00621A22" w:rsidRPr="00880FA7" w:rsidRDefault="00E85AC9" w:rsidP="00D33124">
      <w:pPr>
        <w:spacing w:line="360" w:lineRule="auto"/>
        <w:jc w:val="both"/>
        <w:rPr>
          <w:rFonts w:ascii="Book Antiqua" w:hAnsi="Book Antiqua"/>
          <w:lang w:eastAsia="zh-CN"/>
        </w:rPr>
      </w:pPr>
      <w:r w:rsidRPr="00880FA7">
        <w:rPr>
          <w:rFonts w:ascii="Book Antiqua" w:hAnsi="Book Antiqua"/>
        </w:rPr>
        <w:t>AE: Adverse event; OS: Overall survival; TP: Time to progression</w:t>
      </w:r>
      <w:r w:rsidR="00E814BE" w:rsidRPr="00880FA7">
        <w:rPr>
          <w:rFonts w:ascii="Book Antiqua" w:hAnsi="Book Antiqua"/>
          <w:lang w:eastAsia="zh-CN"/>
        </w:rPr>
        <w:t>.</w:t>
      </w:r>
    </w:p>
    <w:p w14:paraId="026DCEA5" w14:textId="499D4C69" w:rsidR="00880FA7" w:rsidRPr="00880FA7" w:rsidRDefault="00880FA7">
      <w:pPr>
        <w:rPr>
          <w:rFonts w:ascii="Book Antiqua" w:hAnsi="Book Antiqua"/>
          <w:lang w:eastAsia="zh-CN"/>
        </w:rPr>
      </w:pPr>
      <w:r w:rsidRPr="00880FA7">
        <w:rPr>
          <w:rFonts w:ascii="Book Antiqua" w:hAnsi="Book Antiqua"/>
          <w:lang w:eastAsia="zh-CN"/>
        </w:rPr>
        <w:br w:type="page"/>
      </w:r>
    </w:p>
    <w:p w14:paraId="51EB34C4" w14:textId="77777777" w:rsidR="00880FA7" w:rsidRPr="00880FA7" w:rsidRDefault="00880FA7" w:rsidP="00880FA7">
      <w:pPr>
        <w:ind w:leftChars="100" w:left="240"/>
        <w:jc w:val="center"/>
        <w:rPr>
          <w:rFonts w:ascii="Book Antiqua" w:hAnsi="Book Antiqua"/>
          <w:lang w:val="pt-BR" w:eastAsia="zh-CN"/>
        </w:rPr>
      </w:pPr>
      <w:bookmarkStart w:id="7" w:name="_Hlk88512952"/>
    </w:p>
    <w:p w14:paraId="47543552" w14:textId="77777777" w:rsidR="00880FA7" w:rsidRPr="00880FA7" w:rsidRDefault="00880FA7" w:rsidP="00880FA7">
      <w:pPr>
        <w:ind w:leftChars="100" w:left="240"/>
        <w:jc w:val="center"/>
        <w:rPr>
          <w:rFonts w:ascii="Book Antiqua" w:hAnsi="Book Antiqua"/>
          <w:lang w:val="pt-BR" w:eastAsia="zh-CN"/>
        </w:rPr>
      </w:pPr>
    </w:p>
    <w:p w14:paraId="048E56C5" w14:textId="77777777" w:rsidR="00880FA7" w:rsidRPr="00880FA7" w:rsidRDefault="00880FA7" w:rsidP="00880FA7">
      <w:pPr>
        <w:ind w:leftChars="100" w:left="240"/>
        <w:jc w:val="center"/>
        <w:rPr>
          <w:rFonts w:ascii="Book Antiqua" w:hAnsi="Book Antiqua"/>
          <w:lang w:val="pt-BR" w:eastAsia="zh-CN"/>
        </w:rPr>
      </w:pPr>
    </w:p>
    <w:p w14:paraId="63A37E15" w14:textId="77777777" w:rsidR="00880FA7" w:rsidRPr="00880FA7" w:rsidRDefault="00880FA7" w:rsidP="00880FA7">
      <w:pPr>
        <w:ind w:leftChars="100" w:left="240"/>
        <w:jc w:val="center"/>
        <w:rPr>
          <w:rFonts w:ascii="Book Antiqua" w:hAnsi="Book Antiqua"/>
          <w:lang w:val="pt-BR" w:eastAsia="zh-CN"/>
        </w:rPr>
      </w:pPr>
    </w:p>
    <w:p w14:paraId="1228E684" w14:textId="77777777" w:rsidR="00880FA7" w:rsidRPr="00880FA7" w:rsidRDefault="00880FA7" w:rsidP="00880FA7">
      <w:pPr>
        <w:ind w:leftChars="100" w:left="240"/>
        <w:jc w:val="center"/>
        <w:rPr>
          <w:rFonts w:ascii="Book Antiqua" w:hAnsi="Book Antiqua"/>
          <w:lang w:eastAsia="zh-CN"/>
        </w:rPr>
      </w:pPr>
      <w:r w:rsidRPr="00880FA7">
        <w:rPr>
          <w:rFonts w:ascii="Book Antiqua" w:hAnsi="Book Antiqua"/>
          <w:noProof/>
          <w:lang w:eastAsia="zh-CN"/>
        </w:rPr>
        <w:drawing>
          <wp:inline distT="0" distB="0" distL="0" distR="0" wp14:anchorId="1CE8173A" wp14:editId="0ECFD5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20053C" w14:textId="77777777" w:rsidR="00880FA7" w:rsidRPr="00880FA7" w:rsidRDefault="00880FA7" w:rsidP="00880FA7">
      <w:pPr>
        <w:ind w:leftChars="100" w:left="240"/>
        <w:jc w:val="center"/>
        <w:rPr>
          <w:rFonts w:ascii="Book Antiqua" w:hAnsi="Book Antiqua"/>
          <w:lang w:eastAsia="zh-CN"/>
        </w:rPr>
      </w:pPr>
    </w:p>
    <w:p w14:paraId="557599E0" w14:textId="77777777" w:rsidR="00880FA7" w:rsidRPr="00880FA7" w:rsidRDefault="00880FA7" w:rsidP="00880FA7">
      <w:pPr>
        <w:autoSpaceDE w:val="0"/>
        <w:autoSpaceDN w:val="0"/>
        <w:adjustRightInd w:val="0"/>
        <w:ind w:leftChars="100" w:left="240"/>
        <w:jc w:val="center"/>
        <w:rPr>
          <w:rFonts w:ascii="Book Antiqua" w:eastAsia="Garamond-Bold" w:hAnsi="Book Antiqua" w:cs="Garamond-Bold"/>
          <w:b/>
          <w:bCs/>
          <w:color w:val="000000"/>
          <w:sz w:val="28"/>
          <w:szCs w:val="28"/>
        </w:rPr>
      </w:pPr>
      <w:r w:rsidRPr="00880FA7">
        <w:rPr>
          <w:rFonts w:ascii="Book Antiqua" w:eastAsia="TimesNewRomanPSMT" w:hAnsi="Book Antiqua" w:cs="TimesNewRomanPSMT"/>
          <w:color w:val="000000"/>
          <w:sz w:val="28"/>
          <w:szCs w:val="28"/>
        </w:rPr>
        <w:t xml:space="preserve">Published by </w:t>
      </w:r>
      <w:r w:rsidRPr="00880FA7">
        <w:rPr>
          <w:rFonts w:ascii="Book Antiqua" w:eastAsia="Garamond-Bold" w:hAnsi="Book Antiqua" w:cs="Garamond-Bold"/>
          <w:b/>
          <w:bCs/>
          <w:color w:val="000000"/>
          <w:sz w:val="28"/>
          <w:szCs w:val="28"/>
        </w:rPr>
        <w:t>Baishideng Publishing Group Inc</w:t>
      </w:r>
    </w:p>
    <w:p w14:paraId="1B9D005E" w14:textId="77777777" w:rsidR="00880FA7" w:rsidRPr="00880FA7" w:rsidRDefault="00880FA7" w:rsidP="00880FA7">
      <w:pPr>
        <w:autoSpaceDE w:val="0"/>
        <w:autoSpaceDN w:val="0"/>
        <w:adjustRightInd w:val="0"/>
        <w:ind w:leftChars="100" w:left="240"/>
        <w:jc w:val="center"/>
        <w:rPr>
          <w:rFonts w:ascii="Book Antiqua" w:eastAsia="TimesNewRomanPSMT" w:hAnsi="Book Antiqua" w:cs="Garamond"/>
          <w:color w:val="000000"/>
          <w:sz w:val="28"/>
          <w:szCs w:val="28"/>
        </w:rPr>
      </w:pPr>
      <w:r w:rsidRPr="00880FA7">
        <w:rPr>
          <w:rFonts w:ascii="Book Antiqua" w:eastAsia="TimesNewRomanPSMT" w:hAnsi="Book Antiqua" w:cs="Garamond"/>
          <w:color w:val="000000"/>
          <w:sz w:val="28"/>
          <w:szCs w:val="28"/>
        </w:rPr>
        <w:t>7041 Koll Center Parkway, Suite 160, Pleasanton, CA 94566, USA</w:t>
      </w:r>
    </w:p>
    <w:p w14:paraId="7123CF64" w14:textId="77777777" w:rsidR="00880FA7" w:rsidRPr="00880FA7" w:rsidRDefault="00880FA7" w:rsidP="00880FA7">
      <w:pPr>
        <w:autoSpaceDE w:val="0"/>
        <w:autoSpaceDN w:val="0"/>
        <w:adjustRightInd w:val="0"/>
        <w:ind w:leftChars="100" w:left="240"/>
        <w:jc w:val="center"/>
        <w:rPr>
          <w:rFonts w:ascii="Book Antiqua" w:eastAsia="TimesNewRomanPSMT" w:hAnsi="Book Antiqua" w:cs="Garamond"/>
          <w:color w:val="000000"/>
          <w:sz w:val="28"/>
          <w:szCs w:val="28"/>
        </w:rPr>
      </w:pPr>
      <w:r w:rsidRPr="00880FA7">
        <w:rPr>
          <w:rFonts w:ascii="Book Antiqua" w:eastAsia="Garamond-Bold" w:hAnsi="Book Antiqua" w:cs="Garamond-Bold"/>
          <w:b/>
          <w:bCs/>
          <w:color w:val="000000"/>
          <w:sz w:val="28"/>
          <w:szCs w:val="28"/>
        </w:rPr>
        <w:t xml:space="preserve">Telephone: </w:t>
      </w:r>
      <w:r w:rsidRPr="00880FA7">
        <w:rPr>
          <w:rFonts w:ascii="Book Antiqua" w:eastAsia="TimesNewRomanPSMT" w:hAnsi="Book Antiqua" w:cs="Garamond"/>
          <w:color w:val="000000"/>
          <w:sz w:val="28"/>
          <w:szCs w:val="28"/>
        </w:rPr>
        <w:t>+1-925-3991568</w:t>
      </w:r>
    </w:p>
    <w:p w14:paraId="05D826D8" w14:textId="77777777" w:rsidR="00880FA7" w:rsidRPr="00880FA7" w:rsidRDefault="00880FA7" w:rsidP="00880FA7">
      <w:pPr>
        <w:autoSpaceDE w:val="0"/>
        <w:autoSpaceDN w:val="0"/>
        <w:adjustRightInd w:val="0"/>
        <w:ind w:leftChars="100" w:left="240"/>
        <w:jc w:val="center"/>
        <w:rPr>
          <w:rFonts w:ascii="Book Antiqua" w:eastAsia="TimesNewRomanPSMT" w:hAnsi="Book Antiqua" w:cs="Garamond"/>
          <w:color w:val="D56400"/>
          <w:sz w:val="28"/>
          <w:szCs w:val="28"/>
        </w:rPr>
      </w:pPr>
      <w:r w:rsidRPr="00880FA7">
        <w:rPr>
          <w:rFonts w:ascii="Book Antiqua" w:eastAsia="Garamond-Bold" w:hAnsi="Book Antiqua" w:cs="Garamond-Bold"/>
          <w:b/>
          <w:bCs/>
          <w:color w:val="000000"/>
          <w:sz w:val="28"/>
          <w:szCs w:val="28"/>
        </w:rPr>
        <w:t xml:space="preserve">E-mail: </w:t>
      </w:r>
      <w:r w:rsidRPr="00880FA7">
        <w:rPr>
          <w:rFonts w:ascii="Book Antiqua" w:eastAsia="TimesNewRomanPSMT" w:hAnsi="Book Antiqua" w:cs="Garamond"/>
          <w:color w:val="D56400"/>
          <w:sz w:val="28"/>
          <w:szCs w:val="28"/>
        </w:rPr>
        <w:t>bpgoffice@wjgnet.com</w:t>
      </w:r>
    </w:p>
    <w:p w14:paraId="5056D527" w14:textId="77777777" w:rsidR="00880FA7" w:rsidRPr="00880FA7" w:rsidRDefault="00880FA7" w:rsidP="00880FA7">
      <w:pPr>
        <w:autoSpaceDE w:val="0"/>
        <w:autoSpaceDN w:val="0"/>
        <w:adjustRightInd w:val="0"/>
        <w:ind w:leftChars="100" w:left="240"/>
        <w:jc w:val="center"/>
        <w:rPr>
          <w:rFonts w:ascii="Book Antiqua" w:eastAsia="TimesNewRomanPSMT" w:hAnsi="Book Antiqua" w:cs="Garamond"/>
          <w:color w:val="D56400"/>
          <w:sz w:val="28"/>
          <w:szCs w:val="28"/>
        </w:rPr>
      </w:pPr>
      <w:r w:rsidRPr="00880FA7">
        <w:rPr>
          <w:rFonts w:ascii="Book Antiqua" w:eastAsia="Garamond-Bold" w:hAnsi="Book Antiqua" w:cs="Garamond-Bold"/>
          <w:b/>
          <w:bCs/>
          <w:color w:val="000000"/>
          <w:sz w:val="28"/>
          <w:szCs w:val="28"/>
        </w:rPr>
        <w:t xml:space="preserve">Help Desk: </w:t>
      </w:r>
      <w:r w:rsidRPr="00880FA7">
        <w:rPr>
          <w:rFonts w:ascii="Book Antiqua" w:eastAsia="TimesNewRomanPSMT" w:hAnsi="Book Antiqua" w:cs="Garamond"/>
          <w:color w:val="D56400"/>
          <w:sz w:val="28"/>
          <w:szCs w:val="28"/>
        </w:rPr>
        <w:t>https://www.f6publishing.com/helpdesk</w:t>
      </w:r>
    </w:p>
    <w:p w14:paraId="2E3C2B36" w14:textId="77777777" w:rsidR="00880FA7" w:rsidRPr="00880FA7" w:rsidRDefault="00880FA7" w:rsidP="00880FA7">
      <w:pPr>
        <w:ind w:leftChars="100" w:left="240"/>
        <w:jc w:val="center"/>
        <w:rPr>
          <w:rFonts w:ascii="Book Antiqua" w:hAnsi="Book Antiqua"/>
          <w:lang w:eastAsia="zh-CN"/>
        </w:rPr>
      </w:pPr>
      <w:r w:rsidRPr="00880FA7">
        <w:rPr>
          <w:rFonts w:ascii="Book Antiqua" w:eastAsia="TimesNewRomanPSMT" w:hAnsi="Book Antiqua" w:cs="Garamond"/>
          <w:color w:val="D56400"/>
          <w:sz w:val="28"/>
          <w:szCs w:val="28"/>
        </w:rPr>
        <w:t>https://www.wjgnet.com</w:t>
      </w:r>
    </w:p>
    <w:p w14:paraId="55527BA0" w14:textId="77777777" w:rsidR="00880FA7" w:rsidRPr="00880FA7" w:rsidRDefault="00880FA7" w:rsidP="00880FA7">
      <w:pPr>
        <w:ind w:leftChars="100" w:left="240"/>
        <w:jc w:val="center"/>
        <w:rPr>
          <w:rFonts w:ascii="Book Antiqua" w:hAnsi="Book Antiqua"/>
          <w:lang w:eastAsia="zh-CN"/>
        </w:rPr>
      </w:pPr>
    </w:p>
    <w:p w14:paraId="585D8E21" w14:textId="77777777" w:rsidR="00880FA7" w:rsidRPr="00880FA7" w:rsidRDefault="00880FA7" w:rsidP="00880FA7">
      <w:pPr>
        <w:ind w:leftChars="100" w:left="240"/>
        <w:jc w:val="center"/>
        <w:rPr>
          <w:rFonts w:ascii="Book Antiqua" w:hAnsi="Book Antiqua"/>
          <w:lang w:eastAsia="zh-CN"/>
        </w:rPr>
      </w:pPr>
    </w:p>
    <w:p w14:paraId="18225C23" w14:textId="77777777" w:rsidR="00880FA7" w:rsidRPr="00880FA7" w:rsidRDefault="00880FA7" w:rsidP="00880FA7">
      <w:pPr>
        <w:ind w:leftChars="100" w:left="240"/>
        <w:jc w:val="center"/>
        <w:rPr>
          <w:rFonts w:ascii="Book Antiqua" w:hAnsi="Book Antiqua"/>
          <w:lang w:eastAsia="zh-CN"/>
        </w:rPr>
      </w:pPr>
    </w:p>
    <w:p w14:paraId="79355D83" w14:textId="77777777" w:rsidR="00880FA7" w:rsidRPr="00880FA7" w:rsidRDefault="00880FA7" w:rsidP="00880FA7">
      <w:pPr>
        <w:ind w:leftChars="100" w:left="240"/>
        <w:jc w:val="center"/>
        <w:rPr>
          <w:rFonts w:ascii="Book Antiqua" w:hAnsi="Book Antiqua"/>
          <w:lang w:eastAsia="zh-CN"/>
        </w:rPr>
      </w:pPr>
      <w:r w:rsidRPr="00880FA7">
        <w:rPr>
          <w:rFonts w:ascii="Book Antiqua" w:hAnsi="Book Antiqua"/>
          <w:noProof/>
          <w:lang w:eastAsia="zh-CN"/>
        </w:rPr>
        <w:drawing>
          <wp:inline distT="0" distB="0" distL="0" distR="0" wp14:anchorId="5649E91F" wp14:editId="6C8127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5170A4" w14:textId="77777777" w:rsidR="00880FA7" w:rsidRPr="00880FA7" w:rsidRDefault="00880FA7" w:rsidP="00880FA7">
      <w:pPr>
        <w:ind w:leftChars="100" w:left="240"/>
        <w:jc w:val="center"/>
        <w:rPr>
          <w:rFonts w:ascii="Book Antiqua" w:hAnsi="Book Antiqua"/>
          <w:lang w:eastAsia="zh-CN"/>
        </w:rPr>
      </w:pPr>
    </w:p>
    <w:p w14:paraId="425AF568" w14:textId="77777777" w:rsidR="00880FA7" w:rsidRPr="00880FA7" w:rsidRDefault="00880FA7" w:rsidP="00880FA7">
      <w:pPr>
        <w:ind w:leftChars="100" w:left="240"/>
        <w:jc w:val="center"/>
        <w:rPr>
          <w:rFonts w:ascii="Book Antiqua" w:hAnsi="Book Antiqua"/>
          <w:lang w:eastAsia="zh-CN"/>
        </w:rPr>
      </w:pPr>
    </w:p>
    <w:p w14:paraId="3685689B" w14:textId="77777777" w:rsidR="00880FA7" w:rsidRPr="00880FA7" w:rsidRDefault="00880FA7" w:rsidP="00880FA7">
      <w:pPr>
        <w:ind w:leftChars="100" w:left="240"/>
        <w:jc w:val="center"/>
        <w:rPr>
          <w:rFonts w:ascii="Book Antiqua" w:hAnsi="Book Antiqua"/>
          <w:lang w:eastAsia="zh-CN"/>
        </w:rPr>
      </w:pPr>
    </w:p>
    <w:p w14:paraId="370AC346" w14:textId="77777777" w:rsidR="00880FA7" w:rsidRPr="00880FA7" w:rsidRDefault="00880FA7" w:rsidP="00880FA7">
      <w:pPr>
        <w:ind w:leftChars="100" w:left="240"/>
        <w:jc w:val="center"/>
        <w:rPr>
          <w:rFonts w:ascii="Book Antiqua" w:hAnsi="Book Antiqua"/>
          <w:lang w:eastAsia="zh-CN"/>
        </w:rPr>
      </w:pPr>
    </w:p>
    <w:p w14:paraId="32F21A6A" w14:textId="77777777" w:rsidR="00880FA7" w:rsidRPr="00880FA7" w:rsidRDefault="00880FA7" w:rsidP="00880FA7">
      <w:pPr>
        <w:ind w:leftChars="100" w:left="240"/>
        <w:jc w:val="center"/>
        <w:rPr>
          <w:rFonts w:ascii="Book Antiqua" w:hAnsi="Book Antiqua"/>
          <w:lang w:eastAsia="zh-CN"/>
        </w:rPr>
      </w:pPr>
    </w:p>
    <w:p w14:paraId="0CEC2103" w14:textId="77777777" w:rsidR="00880FA7" w:rsidRPr="00880FA7" w:rsidRDefault="00880FA7" w:rsidP="00880FA7">
      <w:pPr>
        <w:ind w:leftChars="100" w:left="240"/>
        <w:jc w:val="center"/>
        <w:rPr>
          <w:rFonts w:ascii="Book Antiqua" w:hAnsi="Book Antiqua"/>
          <w:lang w:eastAsia="zh-CN"/>
        </w:rPr>
      </w:pPr>
    </w:p>
    <w:p w14:paraId="59BB3506" w14:textId="77777777" w:rsidR="00880FA7" w:rsidRPr="00880FA7" w:rsidRDefault="00880FA7" w:rsidP="00880FA7">
      <w:pPr>
        <w:ind w:leftChars="100" w:left="240"/>
        <w:jc w:val="center"/>
        <w:rPr>
          <w:rFonts w:ascii="Book Antiqua" w:hAnsi="Book Antiqua"/>
          <w:lang w:eastAsia="zh-CN"/>
        </w:rPr>
      </w:pPr>
    </w:p>
    <w:p w14:paraId="7DEE0536" w14:textId="77777777" w:rsidR="00880FA7" w:rsidRPr="00880FA7" w:rsidRDefault="00880FA7" w:rsidP="00880FA7">
      <w:pPr>
        <w:ind w:leftChars="100" w:left="240"/>
        <w:jc w:val="center"/>
        <w:rPr>
          <w:rFonts w:ascii="Book Antiqua" w:hAnsi="Book Antiqua"/>
          <w:lang w:eastAsia="zh-CN"/>
        </w:rPr>
      </w:pPr>
    </w:p>
    <w:p w14:paraId="2F4AE73F" w14:textId="77777777" w:rsidR="00880FA7" w:rsidRPr="00880FA7" w:rsidRDefault="00880FA7" w:rsidP="00880FA7">
      <w:pPr>
        <w:ind w:leftChars="100" w:left="240"/>
        <w:jc w:val="center"/>
        <w:rPr>
          <w:rFonts w:ascii="Book Antiqua" w:hAnsi="Book Antiqua"/>
          <w:lang w:eastAsia="zh-CN"/>
        </w:rPr>
      </w:pPr>
    </w:p>
    <w:p w14:paraId="679634D3" w14:textId="77777777" w:rsidR="00880FA7" w:rsidRPr="00880FA7" w:rsidRDefault="00880FA7" w:rsidP="00880FA7">
      <w:pPr>
        <w:ind w:leftChars="100" w:left="240"/>
        <w:jc w:val="right"/>
        <w:rPr>
          <w:rFonts w:ascii="Book Antiqua" w:hAnsi="Book Antiqua"/>
          <w:color w:val="000000" w:themeColor="text1"/>
          <w:lang w:eastAsia="zh-CN"/>
        </w:rPr>
      </w:pPr>
    </w:p>
    <w:p w14:paraId="087573CC" w14:textId="77777777" w:rsidR="00880FA7" w:rsidRPr="00763D22" w:rsidRDefault="00880FA7" w:rsidP="00880FA7">
      <w:pPr>
        <w:ind w:leftChars="100" w:left="240"/>
        <w:jc w:val="center"/>
        <w:rPr>
          <w:rFonts w:ascii="Book Antiqua" w:hAnsi="Book Antiqua"/>
          <w:color w:val="000000" w:themeColor="text1"/>
          <w:lang w:eastAsia="zh-CN"/>
        </w:rPr>
      </w:pPr>
      <w:r w:rsidRPr="00880FA7">
        <w:rPr>
          <w:rFonts w:ascii="Book Antiqua" w:eastAsia="BookAntiqua-Bold" w:hAnsi="Book Antiqua" w:cs="BookAntiqua-Bold"/>
          <w:b/>
          <w:bCs/>
          <w:color w:val="000000" w:themeColor="text1"/>
        </w:rPr>
        <w:t>© 2023 Baishideng Publishing Group Inc. All rights reserved.</w:t>
      </w:r>
      <w:r w:rsidRPr="00880FA7">
        <w:rPr>
          <w:rFonts w:ascii="Book Antiqua" w:hAnsi="Book Antiqua"/>
          <w:color w:val="000000" w:themeColor="text1"/>
          <w:lang w:eastAsia="zh-CN"/>
        </w:rPr>
        <w:fldChar w:fldCharType="begin"/>
      </w:r>
      <w:r w:rsidRPr="00880FA7">
        <w:rPr>
          <w:rFonts w:ascii="Book Antiqua" w:hAnsi="Book Antiqua"/>
          <w:color w:val="000000" w:themeColor="text1"/>
          <w:lang w:eastAsia="zh-CN"/>
        </w:rPr>
        <w:instrText xml:space="preserve"> ADDIN EN.REFLIST </w:instrText>
      </w:r>
      <w:r w:rsidRPr="00880FA7">
        <w:rPr>
          <w:rFonts w:ascii="Book Antiqua" w:hAnsi="Book Antiqua"/>
          <w:color w:val="000000" w:themeColor="text1"/>
          <w:lang w:eastAsia="zh-CN"/>
        </w:rPr>
        <w:fldChar w:fldCharType="end"/>
      </w:r>
      <w:bookmarkEnd w:id="7"/>
    </w:p>
    <w:p w14:paraId="32892207" w14:textId="77777777" w:rsidR="00880FA7" w:rsidRPr="00880FA7" w:rsidRDefault="00880FA7" w:rsidP="00D33124">
      <w:pPr>
        <w:spacing w:line="360" w:lineRule="auto"/>
        <w:jc w:val="both"/>
        <w:rPr>
          <w:rFonts w:ascii="Book Antiqua" w:hAnsi="Book Antiqua"/>
          <w:lang w:eastAsia="zh-CN"/>
        </w:rPr>
      </w:pPr>
    </w:p>
    <w:sectPr w:rsidR="00880FA7" w:rsidRPr="00880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3153" w14:textId="77777777" w:rsidR="001C1BD5" w:rsidRDefault="001C1BD5" w:rsidP="00BA77B1">
      <w:r>
        <w:separator/>
      </w:r>
    </w:p>
  </w:endnote>
  <w:endnote w:type="continuationSeparator" w:id="0">
    <w:p w14:paraId="60492889" w14:textId="77777777" w:rsidR="001C1BD5" w:rsidRDefault="001C1BD5" w:rsidP="00BA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27652"/>
      <w:docPartObj>
        <w:docPartGallery w:val="Page Numbers (Bottom of Page)"/>
        <w:docPartUnique/>
      </w:docPartObj>
    </w:sdtPr>
    <w:sdtEndPr>
      <w:rPr>
        <w:rFonts w:ascii="Book Antiqua" w:hAnsi="Book Antiqua"/>
        <w:sz w:val="24"/>
        <w:szCs w:val="24"/>
      </w:rPr>
    </w:sdtEndPr>
    <w:sdtContent>
      <w:sdt>
        <w:sdtPr>
          <w:id w:val="-364824066"/>
          <w:docPartObj>
            <w:docPartGallery w:val="Page Numbers (Top of Page)"/>
            <w:docPartUnique/>
          </w:docPartObj>
        </w:sdtPr>
        <w:sdtEndPr>
          <w:rPr>
            <w:rFonts w:ascii="Book Antiqua" w:hAnsi="Book Antiqua"/>
            <w:sz w:val="24"/>
            <w:szCs w:val="24"/>
          </w:rPr>
        </w:sdtEndPr>
        <w:sdtContent>
          <w:p w14:paraId="0436A152" w14:textId="77777777" w:rsidR="00387EEC" w:rsidRPr="00F82EC7" w:rsidRDefault="00387EEC">
            <w:pPr>
              <w:pStyle w:val="a5"/>
              <w:jc w:val="right"/>
              <w:rPr>
                <w:rFonts w:ascii="Book Antiqua" w:hAnsi="Book Antiqua"/>
                <w:sz w:val="24"/>
                <w:szCs w:val="24"/>
              </w:rPr>
            </w:pPr>
            <w:r>
              <w:rPr>
                <w:lang w:val="zh-CN" w:eastAsia="zh-CN"/>
              </w:rPr>
              <w:t xml:space="preserve"> </w:t>
            </w:r>
            <w:r w:rsidRPr="00477638">
              <w:rPr>
                <w:rFonts w:ascii="Book Antiqua" w:hAnsi="Book Antiqua"/>
                <w:sz w:val="24"/>
                <w:szCs w:val="24"/>
              </w:rPr>
              <w:fldChar w:fldCharType="begin"/>
            </w:r>
            <w:r w:rsidRPr="00477638">
              <w:rPr>
                <w:rFonts w:ascii="Book Antiqua" w:hAnsi="Book Antiqua"/>
                <w:sz w:val="24"/>
                <w:szCs w:val="24"/>
              </w:rPr>
              <w:instrText>PAGE</w:instrText>
            </w:r>
            <w:r w:rsidRPr="00477638">
              <w:rPr>
                <w:rFonts w:ascii="Book Antiqua" w:hAnsi="Book Antiqua"/>
                <w:sz w:val="24"/>
                <w:szCs w:val="24"/>
              </w:rPr>
              <w:fldChar w:fldCharType="separate"/>
            </w:r>
            <w:r w:rsidR="006F72AD" w:rsidRPr="00477638">
              <w:rPr>
                <w:rFonts w:ascii="Book Antiqua" w:hAnsi="Book Antiqua"/>
                <w:noProof/>
                <w:sz w:val="24"/>
                <w:szCs w:val="24"/>
              </w:rPr>
              <w:t>44</w:t>
            </w:r>
            <w:r w:rsidRPr="00477638">
              <w:rPr>
                <w:rFonts w:ascii="Book Antiqua" w:hAnsi="Book Antiqua"/>
                <w:sz w:val="24"/>
                <w:szCs w:val="24"/>
              </w:rPr>
              <w:fldChar w:fldCharType="end"/>
            </w:r>
            <w:r w:rsidRPr="00F82EC7">
              <w:rPr>
                <w:rFonts w:ascii="Book Antiqua" w:hAnsi="Book Antiqua"/>
                <w:sz w:val="24"/>
                <w:szCs w:val="24"/>
                <w:lang w:val="zh-CN" w:eastAsia="zh-CN"/>
              </w:rPr>
              <w:t xml:space="preserve"> / </w:t>
            </w:r>
            <w:r w:rsidRPr="00477638">
              <w:rPr>
                <w:rFonts w:ascii="Book Antiqua" w:hAnsi="Book Antiqua"/>
                <w:sz w:val="24"/>
                <w:szCs w:val="24"/>
              </w:rPr>
              <w:fldChar w:fldCharType="begin"/>
            </w:r>
            <w:r w:rsidRPr="00477638">
              <w:rPr>
                <w:rFonts w:ascii="Book Antiqua" w:hAnsi="Book Antiqua"/>
                <w:sz w:val="24"/>
                <w:szCs w:val="24"/>
              </w:rPr>
              <w:instrText>NUMPAGES</w:instrText>
            </w:r>
            <w:r w:rsidRPr="00477638">
              <w:rPr>
                <w:rFonts w:ascii="Book Antiqua" w:hAnsi="Book Antiqua"/>
                <w:sz w:val="24"/>
                <w:szCs w:val="24"/>
              </w:rPr>
              <w:fldChar w:fldCharType="separate"/>
            </w:r>
            <w:r w:rsidR="006F72AD" w:rsidRPr="00477638">
              <w:rPr>
                <w:rFonts w:ascii="Book Antiqua" w:hAnsi="Book Antiqua"/>
                <w:noProof/>
                <w:sz w:val="24"/>
                <w:szCs w:val="24"/>
              </w:rPr>
              <w:t>50</w:t>
            </w:r>
            <w:r w:rsidRPr="00477638">
              <w:rPr>
                <w:rFonts w:ascii="Book Antiqua" w:hAnsi="Book Antiqua"/>
                <w:sz w:val="24"/>
                <w:szCs w:val="24"/>
              </w:rPr>
              <w:fldChar w:fldCharType="end"/>
            </w:r>
          </w:p>
        </w:sdtContent>
      </w:sdt>
    </w:sdtContent>
  </w:sdt>
  <w:p w14:paraId="3ED78A9A" w14:textId="77777777" w:rsidR="00387EEC" w:rsidRDefault="00387E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6EBA" w14:textId="77777777" w:rsidR="001C1BD5" w:rsidRDefault="001C1BD5" w:rsidP="00BA77B1">
      <w:r>
        <w:separator/>
      </w:r>
    </w:p>
  </w:footnote>
  <w:footnote w:type="continuationSeparator" w:id="0">
    <w:p w14:paraId="4337698A" w14:textId="77777777" w:rsidR="001C1BD5" w:rsidRDefault="001C1BD5" w:rsidP="00BA7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BF"/>
    <w:rsid w:val="00004480"/>
    <w:rsid w:val="000258AF"/>
    <w:rsid w:val="00030457"/>
    <w:rsid w:val="000330C8"/>
    <w:rsid w:val="000535D9"/>
    <w:rsid w:val="00055EDA"/>
    <w:rsid w:val="00067241"/>
    <w:rsid w:val="00074296"/>
    <w:rsid w:val="0007657F"/>
    <w:rsid w:val="000776B3"/>
    <w:rsid w:val="00080413"/>
    <w:rsid w:val="00084EBA"/>
    <w:rsid w:val="00094E8A"/>
    <w:rsid w:val="000A26D0"/>
    <w:rsid w:val="000A4803"/>
    <w:rsid w:val="000B16EF"/>
    <w:rsid w:val="000B4F98"/>
    <w:rsid w:val="000C1E50"/>
    <w:rsid w:val="000C1FE2"/>
    <w:rsid w:val="000C62CB"/>
    <w:rsid w:val="000D1F84"/>
    <w:rsid w:val="000E5093"/>
    <w:rsid w:val="000F6882"/>
    <w:rsid w:val="000F78E2"/>
    <w:rsid w:val="00106B2A"/>
    <w:rsid w:val="0011034D"/>
    <w:rsid w:val="001113EE"/>
    <w:rsid w:val="001225E9"/>
    <w:rsid w:val="00133D26"/>
    <w:rsid w:val="001379FA"/>
    <w:rsid w:val="00140FBC"/>
    <w:rsid w:val="001460B5"/>
    <w:rsid w:val="0015130D"/>
    <w:rsid w:val="00155C08"/>
    <w:rsid w:val="0016769A"/>
    <w:rsid w:val="00174BA5"/>
    <w:rsid w:val="00190AC8"/>
    <w:rsid w:val="00195CDC"/>
    <w:rsid w:val="00196620"/>
    <w:rsid w:val="001A19B2"/>
    <w:rsid w:val="001B4053"/>
    <w:rsid w:val="001C1BD5"/>
    <w:rsid w:val="001C2F65"/>
    <w:rsid w:val="001C3325"/>
    <w:rsid w:val="001D6717"/>
    <w:rsid w:val="001E044E"/>
    <w:rsid w:val="001E1199"/>
    <w:rsid w:val="001E22B2"/>
    <w:rsid w:val="001E45DE"/>
    <w:rsid w:val="001E6866"/>
    <w:rsid w:val="001F351B"/>
    <w:rsid w:val="001F3F17"/>
    <w:rsid w:val="0020336A"/>
    <w:rsid w:val="00203900"/>
    <w:rsid w:val="0022169A"/>
    <w:rsid w:val="00231E1E"/>
    <w:rsid w:val="0023263F"/>
    <w:rsid w:val="002372D8"/>
    <w:rsid w:val="00251F16"/>
    <w:rsid w:val="002533C8"/>
    <w:rsid w:val="00253BFB"/>
    <w:rsid w:val="00260B73"/>
    <w:rsid w:val="00267761"/>
    <w:rsid w:val="00293BB1"/>
    <w:rsid w:val="002951A8"/>
    <w:rsid w:val="002A5872"/>
    <w:rsid w:val="002B3144"/>
    <w:rsid w:val="002C2453"/>
    <w:rsid w:val="002D5003"/>
    <w:rsid w:val="002E177A"/>
    <w:rsid w:val="002F3627"/>
    <w:rsid w:val="002F6226"/>
    <w:rsid w:val="002F6A21"/>
    <w:rsid w:val="002F6AF0"/>
    <w:rsid w:val="00304FBF"/>
    <w:rsid w:val="00306550"/>
    <w:rsid w:val="00316576"/>
    <w:rsid w:val="003174B6"/>
    <w:rsid w:val="003177D7"/>
    <w:rsid w:val="00324DDC"/>
    <w:rsid w:val="003301F6"/>
    <w:rsid w:val="003302FA"/>
    <w:rsid w:val="003338C7"/>
    <w:rsid w:val="00340D64"/>
    <w:rsid w:val="003439CF"/>
    <w:rsid w:val="003634BF"/>
    <w:rsid w:val="0036781F"/>
    <w:rsid w:val="00373A8B"/>
    <w:rsid w:val="00382DAA"/>
    <w:rsid w:val="00387EEC"/>
    <w:rsid w:val="00395E04"/>
    <w:rsid w:val="003A0855"/>
    <w:rsid w:val="003B20F7"/>
    <w:rsid w:val="003B624B"/>
    <w:rsid w:val="003C0747"/>
    <w:rsid w:val="003C1826"/>
    <w:rsid w:val="003C3EB7"/>
    <w:rsid w:val="003C48AA"/>
    <w:rsid w:val="003C4F6F"/>
    <w:rsid w:val="003C7D2C"/>
    <w:rsid w:val="003D4786"/>
    <w:rsid w:val="003D579E"/>
    <w:rsid w:val="003E01A8"/>
    <w:rsid w:val="003F084C"/>
    <w:rsid w:val="003F1D90"/>
    <w:rsid w:val="003F31AB"/>
    <w:rsid w:val="003F3C3B"/>
    <w:rsid w:val="003F5A21"/>
    <w:rsid w:val="00406057"/>
    <w:rsid w:val="0041481D"/>
    <w:rsid w:val="004237E7"/>
    <w:rsid w:val="0042767E"/>
    <w:rsid w:val="0043183D"/>
    <w:rsid w:val="00434F14"/>
    <w:rsid w:val="00440337"/>
    <w:rsid w:val="00452F0B"/>
    <w:rsid w:val="00455CC2"/>
    <w:rsid w:val="004578EB"/>
    <w:rsid w:val="00466F17"/>
    <w:rsid w:val="00471003"/>
    <w:rsid w:val="00471D45"/>
    <w:rsid w:val="00473450"/>
    <w:rsid w:val="0047463B"/>
    <w:rsid w:val="00477638"/>
    <w:rsid w:val="004838AF"/>
    <w:rsid w:val="00487CF9"/>
    <w:rsid w:val="00487ED3"/>
    <w:rsid w:val="00490E19"/>
    <w:rsid w:val="004A099E"/>
    <w:rsid w:val="004A1612"/>
    <w:rsid w:val="004B1C12"/>
    <w:rsid w:val="004B1C23"/>
    <w:rsid w:val="004B26B2"/>
    <w:rsid w:val="004B67DE"/>
    <w:rsid w:val="004C5482"/>
    <w:rsid w:val="004D1958"/>
    <w:rsid w:val="004D6359"/>
    <w:rsid w:val="004E00B1"/>
    <w:rsid w:val="004E0D29"/>
    <w:rsid w:val="004F4ED7"/>
    <w:rsid w:val="004F4EE4"/>
    <w:rsid w:val="00502B6B"/>
    <w:rsid w:val="005067E8"/>
    <w:rsid w:val="005074EF"/>
    <w:rsid w:val="005111DF"/>
    <w:rsid w:val="00514FC2"/>
    <w:rsid w:val="00516C50"/>
    <w:rsid w:val="00521B1C"/>
    <w:rsid w:val="005227B7"/>
    <w:rsid w:val="00527279"/>
    <w:rsid w:val="00535BD7"/>
    <w:rsid w:val="005455FC"/>
    <w:rsid w:val="00547FC6"/>
    <w:rsid w:val="00551309"/>
    <w:rsid w:val="00560A60"/>
    <w:rsid w:val="005712D2"/>
    <w:rsid w:val="00580CE3"/>
    <w:rsid w:val="005A0B23"/>
    <w:rsid w:val="005A13AC"/>
    <w:rsid w:val="005A2CEA"/>
    <w:rsid w:val="005A3604"/>
    <w:rsid w:val="005B3B37"/>
    <w:rsid w:val="005C03CE"/>
    <w:rsid w:val="005C58FE"/>
    <w:rsid w:val="005C5EC5"/>
    <w:rsid w:val="005D0C77"/>
    <w:rsid w:val="005D54AB"/>
    <w:rsid w:val="005E139F"/>
    <w:rsid w:val="006030BC"/>
    <w:rsid w:val="006128B1"/>
    <w:rsid w:val="00617BD0"/>
    <w:rsid w:val="00621A22"/>
    <w:rsid w:val="00624E93"/>
    <w:rsid w:val="006265B3"/>
    <w:rsid w:val="00627C6A"/>
    <w:rsid w:val="00631B0B"/>
    <w:rsid w:val="006364FE"/>
    <w:rsid w:val="00642F99"/>
    <w:rsid w:val="006513C9"/>
    <w:rsid w:val="00653943"/>
    <w:rsid w:val="006574CF"/>
    <w:rsid w:val="00660430"/>
    <w:rsid w:val="006612BF"/>
    <w:rsid w:val="00661F57"/>
    <w:rsid w:val="00666AC0"/>
    <w:rsid w:val="00670322"/>
    <w:rsid w:val="00675E51"/>
    <w:rsid w:val="00685AA5"/>
    <w:rsid w:val="00686BC0"/>
    <w:rsid w:val="00690162"/>
    <w:rsid w:val="006904E7"/>
    <w:rsid w:val="00693259"/>
    <w:rsid w:val="006955BB"/>
    <w:rsid w:val="006A0F5C"/>
    <w:rsid w:val="006A6BB7"/>
    <w:rsid w:val="006B0C83"/>
    <w:rsid w:val="006C140A"/>
    <w:rsid w:val="006C4BFD"/>
    <w:rsid w:val="006C6D0A"/>
    <w:rsid w:val="006D6A6E"/>
    <w:rsid w:val="006E5167"/>
    <w:rsid w:val="006F72AD"/>
    <w:rsid w:val="00703E69"/>
    <w:rsid w:val="00704EB5"/>
    <w:rsid w:val="00707F1C"/>
    <w:rsid w:val="007136A9"/>
    <w:rsid w:val="00722696"/>
    <w:rsid w:val="00724AF2"/>
    <w:rsid w:val="0072740A"/>
    <w:rsid w:val="007278CA"/>
    <w:rsid w:val="0073244B"/>
    <w:rsid w:val="00747968"/>
    <w:rsid w:val="007545B2"/>
    <w:rsid w:val="00765CFE"/>
    <w:rsid w:val="0077358D"/>
    <w:rsid w:val="00777421"/>
    <w:rsid w:val="00780091"/>
    <w:rsid w:val="0078173B"/>
    <w:rsid w:val="0079069C"/>
    <w:rsid w:val="00792B75"/>
    <w:rsid w:val="00793C29"/>
    <w:rsid w:val="00795C2F"/>
    <w:rsid w:val="00797B70"/>
    <w:rsid w:val="007C068D"/>
    <w:rsid w:val="007C122F"/>
    <w:rsid w:val="007D07ED"/>
    <w:rsid w:val="007D28BA"/>
    <w:rsid w:val="007D6563"/>
    <w:rsid w:val="007E003D"/>
    <w:rsid w:val="007E278F"/>
    <w:rsid w:val="007E7498"/>
    <w:rsid w:val="007F2BF1"/>
    <w:rsid w:val="00803776"/>
    <w:rsid w:val="00811DD6"/>
    <w:rsid w:val="00826102"/>
    <w:rsid w:val="00831918"/>
    <w:rsid w:val="00833021"/>
    <w:rsid w:val="008372BA"/>
    <w:rsid w:val="008402C4"/>
    <w:rsid w:val="008475B0"/>
    <w:rsid w:val="0085293B"/>
    <w:rsid w:val="00854422"/>
    <w:rsid w:val="008661E4"/>
    <w:rsid w:val="00876CA9"/>
    <w:rsid w:val="00880FA7"/>
    <w:rsid w:val="00881130"/>
    <w:rsid w:val="0088318D"/>
    <w:rsid w:val="008878D7"/>
    <w:rsid w:val="00894626"/>
    <w:rsid w:val="008B0DC8"/>
    <w:rsid w:val="008B3FF1"/>
    <w:rsid w:val="008B516A"/>
    <w:rsid w:val="008B59D9"/>
    <w:rsid w:val="008D2970"/>
    <w:rsid w:val="008D49CC"/>
    <w:rsid w:val="008E2C8D"/>
    <w:rsid w:val="008E5E9D"/>
    <w:rsid w:val="008F141B"/>
    <w:rsid w:val="008F2E15"/>
    <w:rsid w:val="008F3CE1"/>
    <w:rsid w:val="008F5141"/>
    <w:rsid w:val="009043D6"/>
    <w:rsid w:val="00911495"/>
    <w:rsid w:val="009116E2"/>
    <w:rsid w:val="0091265F"/>
    <w:rsid w:val="0091459F"/>
    <w:rsid w:val="00914E4C"/>
    <w:rsid w:val="00915090"/>
    <w:rsid w:val="00915C49"/>
    <w:rsid w:val="00916524"/>
    <w:rsid w:val="00916908"/>
    <w:rsid w:val="009233BA"/>
    <w:rsid w:val="00924D30"/>
    <w:rsid w:val="00941860"/>
    <w:rsid w:val="00952840"/>
    <w:rsid w:val="00960BEC"/>
    <w:rsid w:val="009612DA"/>
    <w:rsid w:val="00963010"/>
    <w:rsid w:val="009662B5"/>
    <w:rsid w:val="00970872"/>
    <w:rsid w:val="0097342D"/>
    <w:rsid w:val="00991E0A"/>
    <w:rsid w:val="0099320B"/>
    <w:rsid w:val="009A51EC"/>
    <w:rsid w:val="009A68DB"/>
    <w:rsid w:val="009B0323"/>
    <w:rsid w:val="009B051D"/>
    <w:rsid w:val="009D0DB8"/>
    <w:rsid w:val="009E0849"/>
    <w:rsid w:val="009F3F54"/>
    <w:rsid w:val="00A01F41"/>
    <w:rsid w:val="00A03F48"/>
    <w:rsid w:val="00A10597"/>
    <w:rsid w:val="00A13060"/>
    <w:rsid w:val="00A14C39"/>
    <w:rsid w:val="00A2660A"/>
    <w:rsid w:val="00A3071C"/>
    <w:rsid w:val="00A31FEC"/>
    <w:rsid w:val="00A33B66"/>
    <w:rsid w:val="00A3456B"/>
    <w:rsid w:val="00A36BFD"/>
    <w:rsid w:val="00A45609"/>
    <w:rsid w:val="00A63AF6"/>
    <w:rsid w:val="00A676F0"/>
    <w:rsid w:val="00A71B4F"/>
    <w:rsid w:val="00A77B3E"/>
    <w:rsid w:val="00A8199B"/>
    <w:rsid w:val="00A840B5"/>
    <w:rsid w:val="00A85F94"/>
    <w:rsid w:val="00A92039"/>
    <w:rsid w:val="00A93E83"/>
    <w:rsid w:val="00A94C92"/>
    <w:rsid w:val="00A94D4F"/>
    <w:rsid w:val="00A94D67"/>
    <w:rsid w:val="00A97F1D"/>
    <w:rsid w:val="00AB23A1"/>
    <w:rsid w:val="00AB27DC"/>
    <w:rsid w:val="00AC3643"/>
    <w:rsid w:val="00AE7ADC"/>
    <w:rsid w:val="00AF5038"/>
    <w:rsid w:val="00B06C35"/>
    <w:rsid w:val="00B0732F"/>
    <w:rsid w:val="00B07AD6"/>
    <w:rsid w:val="00B14542"/>
    <w:rsid w:val="00B161E9"/>
    <w:rsid w:val="00B20CDA"/>
    <w:rsid w:val="00B2678A"/>
    <w:rsid w:val="00B349FF"/>
    <w:rsid w:val="00B46D95"/>
    <w:rsid w:val="00B51B4E"/>
    <w:rsid w:val="00B52588"/>
    <w:rsid w:val="00B570C4"/>
    <w:rsid w:val="00B60519"/>
    <w:rsid w:val="00B633BA"/>
    <w:rsid w:val="00B6523B"/>
    <w:rsid w:val="00B663B2"/>
    <w:rsid w:val="00B71291"/>
    <w:rsid w:val="00B73DD2"/>
    <w:rsid w:val="00B81C34"/>
    <w:rsid w:val="00B83B20"/>
    <w:rsid w:val="00B97AEF"/>
    <w:rsid w:val="00BA7268"/>
    <w:rsid w:val="00BA77B1"/>
    <w:rsid w:val="00BB0250"/>
    <w:rsid w:val="00BB3021"/>
    <w:rsid w:val="00BB3256"/>
    <w:rsid w:val="00BC4864"/>
    <w:rsid w:val="00BC7245"/>
    <w:rsid w:val="00BD1E39"/>
    <w:rsid w:val="00BD3FCE"/>
    <w:rsid w:val="00BE2C48"/>
    <w:rsid w:val="00BF4AA2"/>
    <w:rsid w:val="00C02370"/>
    <w:rsid w:val="00C06BD1"/>
    <w:rsid w:val="00C07439"/>
    <w:rsid w:val="00C12AFD"/>
    <w:rsid w:val="00C16272"/>
    <w:rsid w:val="00C2147D"/>
    <w:rsid w:val="00C3357B"/>
    <w:rsid w:val="00C37DC7"/>
    <w:rsid w:val="00C4071E"/>
    <w:rsid w:val="00C40BEC"/>
    <w:rsid w:val="00C4237E"/>
    <w:rsid w:val="00C447C6"/>
    <w:rsid w:val="00C450F9"/>
    <w:rsid w:val="00C46C16"/>
    <w:rsid w:val="00C53392"/>
    <w:rsid w:val="00C546C8"/>
    <w:rsid w:val="00C6560E"/>
    <w:rsid w:val="00C665E6"/>
    <w:rsid w:val="00C70B89"/>
    <w:rsid w:val="00C72E12"/>
    <w:rsid w:val="00C74557"/>
    <w:rsid w:val="00C7646E"/>
    <w:rsid w:val="00C85DB7"/>
    <w:rsid w:val="00C8683A"/>
    <w:rsid w:val="00C90534"/>
    <w:rsid w:val="00C91323"/>
    <w:rsid w:val="00C9166E"/>
    <w:rsid w:val="00C92D07"/>
    <w:rsid w:val="00C93CCA"/>
    <w:rsid w:val="00CA2A55"/>
    <w:rsid w:val="00CB3E64"/>
    <w:rsid w:val="00CB5147"/>
    <w:rsid w:val="00CC2831"/>
    <w:rsid w:val="00CC4061"/>
    <w:rsid w:val="00CD1B48"/>
    <w:rsid w:val="00CE0259"/>
    <w:rsid w:val="00CF3A0D"/>
    <w:rsid w:val="00CF3BCE"/>
    <w:rsid w:val="00D02A82"/>
    <w:rsid w:val="00D02EA2"/>
    <w:rsid w:val="00D06EA3"/>
    <w:rsid w:val="00D12E0D"/>
    <w:rsid w:val="00D13ADC"/>
    <w:rsid w:val="00D14130"/>
    <w:rsid w:val="00D224E6"/>
    <w:rsid w:val="00D266D5"/>
    <w:rsid w:val="00D33124"/>
    <w:rsid w:val="00D43999"/>
    <w:rsid w:val="00D50C70"/>
    <w:rsid w:val="00D609DE"/>
    <w:rsid w:val="00D73C4F"/>
    <w:rsid w:val="00D759CC"/>
    <w:rsid w:val="00D82816"/>
    <w:rsid w:val="00D8495C"/>
    <w:rsid w:val="00D84A1D"/>
    <w:rsid w:val="00D8700E"/>
    <w:rsid w:val="00D93BA4"/>
    <w:rsid w:val="00D979CC"/>
    <w:rsid w:val="00DA1F40"/>
    <w:rsid w:val="00DB3C9B"/>
    <w:rsid w:val="00DC3681"/>
    <w:rsid w:val="00DC5CC9"/>
    <w:rsid w:val="00DF3365"/>
    <w:rsid w:val="00E0308E"/>
    <w:rsid w:val="00E10460"/>
    <w:rsid w:val="00E130A8"/>
    <w:rsid w:val="00E22BC3"/>
    <w:rsid w:val="00E25965"/>
    <w:rsid w:val="00E339B5"/>
    <w:rsid w:val="00E35D6D"/>
    <w:rsid w:val="00E373F2"/>
    <w:rsid w:val="00E437FA"/>
    <w:rsid w:val="00E449D0"/>
    <w:rsid w:val="00E45285"/>
    <w:rsid w:val="00E538A9"/>
    <w:rsid w:val="00E568D5"/>
    <w:rsid w:val="00E60AC9"/>
    <w:rsid w:val="00E716D8"/>
    <w:rsid w:val="00E814BE"/>
    <w:rsid w:val="00E85AC9"/>
    <w:rsid w:val="00E93E10"/>
    <w:rsid w:val="00E95B32"/>
    <w:rsid w:val="00EA30E6"/>
    <w:rsid w:val="00EA3C00"/>
    <w:rsid w:val="00ED0F8E"/>
    <w:rsid w:val="00ED3F20"/>
    <w:rsid w:val="00ED5E16"/>
    <w:rsid w:val="00EE1FEF"/>
    <w:rsid w:val="00EE4FE7"/>
    <w:rsid w:val="00EF0D08"/>
    <w:rsid w:val="00EF2484"/>
    <w:rsid w:val="00EF7D18"/>
    <w:rsid w:val="00F13A31"/>
    <w:rsid w:val="00F1463C"/>
    <w:rsid w:val="00F14C9E"/>
    <w:rsid w:val="00F21183"/>
    <w:rsid w:val="00F22691"/>
    <w:rsid w:val="00F22BD8"/>
    <w:rsid w:val="00F23A3B"/>
    <w:rsid w:val="00F340AB"/>
    <w:rsid w:val="00F40CE4"/>
    <w:rsid w:val="00F41BD4"/>
    <w:rsid w:val="00F454D9"/>
    <w:rsid w:val="00F560C8"/>
    <w:rsid w:val="00F62F40"/>
    <w:rsid w:val="00F70681"/>
    <w:rsid w:val="00F706F9"/>
    <w:rsid w:val="00F73D95"/>
    <w:rsid w:val="00F75B28"/>
    <w:rsid w:val="00F76E34"/>
    <w:rsid w:val="00F820C9"/>
    <w:rsid w:val="00F82EC7"/>
    <w:rsid w:val="00F92FC3"/>
    <w:rsid w:val="00F93CC8"/>
    <w:rsid w:val="00FA2174"/>
    <w:rsid w:val="00FA2B05"/>
    <w:rsid w:val="00FA6D44"/>
    <w:rsid w:val="00FA6E07"/>
    <w:rsid w:val="00FB18A6"/>
    <w:rsid w:val="00FB329D"/>
    <w:rsid w:val="00FB3D49"/>
    <w:rsid w:val="00FB4406"/>
    <w:rsid w:val="00FB48FA"/>
    <w:rsid w:val="00FB660C"/>
    <w:rsid w:val="00FC1CC2"/>
    <w:rsid w:val="00FD2940"/>
    <w:rsid w:val="00FD63A4"/>
    <w:rsid w:val="00FE17BE"/>
    <w:rsid w:val="00FE3DCC"/>
    <w:rsid w:val="00FF2863"/>
    <w:rsid w:val="00FF2CB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E15BB"/>
  <w15:docId w15:val="{398B9F45-8D32-5E4A-92D4-30847FBA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BA77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77B1"/>
    <w:rPr>
      <w:sz w:val="18"/>
      <w:szCs w:val="18"/>
    </w:rPr>
  </w:style>
  <w:style w:type="paragraph" w:styleId="a5">
    <w:name w:val="footer"/>
    <w:basedOn w:val="a"/>
    <w:link w:val="a6"/>
    <w:uiPriority w:val="99"/>
    <w:unhideWhenUsed/>
    <w:rsid w:val="00BA77B1"/>
    <w:pPr>
      <w:tabs>
        <w:tab w:val="center" w:pos="4153"/>
        <w:tab w:val="right" w:pos="8306"/>
      </w:tabs>
      <w:snapToGrid w:val="0"/>
    </w:pPr>
    <w:rPr>
      <w:sz w:val="18"/>
      <w:szCs w:val="18"/>
    </w:rPr>
  </w:style>
  <w:style w:type="character" w:customStyle="1" w:styleId="a6">
    <w:name w:val="页脚 字符"/>
    <w:basedOn w:val="a0"/>
    <w:link w:val="a5"/>
    <w:uiPriority w:val="99"/>
    <w:rsid w:val="00BA77B1"/>
    <w:rPr>
      <w:sz w:val="18"/>
      <w:szCs w:val="18"/>
    </w:rPr>
  </w:style>
  <w:style w:type="character" w:styleId="a7">
    <w:name w:val="annotation reference"/>
    <w:basedOn w:val="a0"/>
    <w:semiHidden/>
    <w:unhideWhenUsed/>
    <w:rsid w:val="000330C8"/>
    <w:rPr>
      <w:sz w:val="21"/>
      <w:szCs w:val="21"/>
    </w:rPr>
  </w:style>
  <w:style w:type="paragraph" w:styleId="a8">
    <w:name w:val="annotation text"/>
    <w:basedOn w:val="a"/>
    <w:link w:val="a9"/>
    <w:semiHidden/>
    <w:unhideWhenUsed/>
    <w:rsid w:val="000330C8"/>
  </w:style>
  <w:style w:type="character" w:customStyle="1" w:styleId="a9">
    <w:name w:val="批注文字 字符"/>
    <w:basedOn w:val="a0"/>
    <w:link w:val="a8"/>
    <w:semiHidden/>
    <w:rsid w:val="000330C8"/>
    <w:rPr>
      <w:sz w:val="24"/>
      <w:szCs w:val="24"/>
    </w:rPr>
  </w:style>
  <w:style w:type="paragraph" w:styleId="aa">
    <w:name w:val="annotation subject"/>
    <w:basedOn w:val="a8"/>
    <w:next w:val="a8"/>
    <w:link w:val="ab"/>
    <w:semiHidden/>
    <w:unhideWhenUsed/>
    <w:rsid w:val="000330C8"/>
    <w:rPr>
      <w:b/>
      <w:bCs/>
    </w:rPr>
  </w:style>
  <w:style w:type="character" w:customStyle="1" w:styleId="ab">
    <w:name w:val="批注主题 字符"/>
    <w:basedOn w:val="a9"/>
    <w:link w:val="aa"/>
    <w:semiHidden/>
    <w:rsid w:val="000330C8"/>
    <w:rPr>
      <w:b/>
      <w:bCs/>
      <w:sz w:val="24"/>
      <w:szCs w:val="24"/>
    </w:rPr>
  </w:style>
  <w:style w:type="paragraph" w:styleId="ac">
    <w:name w:val="Balloon Text"/>
    <w:basedOn w:val="a"/>
    <w:link w:val="ad"/>
    <w:rsid w:val="000330C8"/>
    <w:rPr>
      <w:sz w:val="18"/>
      <w:szCs w:val="18"/>
    </w:rPr>
  </w:style>
  <w:style w:type="character" w:customStyle="1" w:styleId="ad">
    <w:name w:val="批注框文本 字符"/>
    <w:basedOn w:val="a0"/>
    <w:link w:val="ac"/>
    <w:rsid w:val="000330C8"/>
    <w:rPr>
      <w:sz w:val="18"/>
      <w:szCs w:val="18"/>
    </w:rPr>
  </w:style>
  <w:style w:type="table" w:styleId="ae">
    <w:name w:val="Table Grid"/>
    <w:basedOn w:val="a1"/>
    <w:rsid w:val="00DF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455FC"/>
    <w:rPr>
      <w:sz w:val="24"/>
      <w:szCs w:val="24"/>
    </w:rPr>
  </w:style>
  <w:style w:type="character" w:styleId="af0">
    <w:name w:val="Hyperlink"/>
    <w:basedOn w:val="a0"/>
    <w:unhideWhenUsed/>
    <w:rsid w:val="00880FA7"/>
    <w:rPr>
      <w:color w:val="0000FF" w:themeColor="hyperlink"/>
      <w:u w:val="single"/>
    </w:rPr>
  </w:style>
  <w:style w:type="character" w:styleId="af1">
    <w:name w:val="Unresolved Mention"/>
    <w:basedOn w:val="a0"/>
    <w:uiPriority w:val="99"/>
    <w:semiHidden/>
    <w:unhideWhenUsed/>
    <w:rsid w:val="0088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9/i10/155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14561</Words>
  <Characters>83002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Fujisu</dc:creator>
  <cp:lastModifiedBy>Li Jia-Hui</cp:lastModifiedBy>
  <cp:revision>8</cp:revision>
  <dcterms:created xsi:type="dcterms:W3CDTF">2023-03-01T04:17:00Z</dcterms:created>
  <dcterms:modified xsi:type="dcterms:W3CDTF">2023-03-14T06:55:00Z</dcterms:modified>
</cp:coreProperties>
</file>