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A22D9"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3F7BF91"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80513</w:t>
      </w:r>
    </w:p>
    <w:p w14:paraId="227CE443"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4D95DD" w14:textId="77777777" w:rsidR="00BC56AD" w:rsidRDefault="00BC56AD">
      <w:pPr>
        <w:spacing w:line="360" w:lineRule="auto"/>
        <w:jc w:val="both"/>
        <w:rPr>
          <w:rFonts w:ascii="Book Antiqua" w:hAnsi="Book Antiqua"/>
        </w:rPr>
      </w:pPr>
    </w:p>
    <w:p w14:paraId="377B099D"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Extraskeletal Ewing sarcoma of the stomach</w:t>
      </w:r>
      <w:r>
        <w:rPr>
          <w:rFonts w:ascii="Book Antiqua" w:hAnsi="Book Antiqua" w:cs="Book Antiqua"/>
          <w:b/>
          <w:color w:val="000000"/>
          <w:lang w:eastAsia="zh-CN"/>
        </w:rPr>
        <w:t xml:space="preserve">: </w:t>
      </w:r>
      <w:r>
        <w:rPr>
          <w:rFonts w:ascii="Book Antiqua" w:eastAsia="Book Antiqua" w:hAnsi="Book Antiqua" w:cs="Book Antiqua"/>
          <w:b/>
          <w:color w:val="000000"/>
        </w:rPr>
        <w:t>A rare case report</w:t>
      </w:r>
    </w:p>
    <w:p w14:paraId="062CAD12" w14:textId="77777777" w:rsidR="00BC56AD" w:rsidRDefault="00BC56AD">
      <w:pPr>
        <w:spacing w:line="360" w:lineRule="auto"/>
        <w:jc w:val="both"/>
        <w:rPr>
          <w:rFonts w:ascii="Book Antiqua" w:hAnsi="Book Antiqua"/>
        </w:rPr>
      </w:pPr>
    </w:p>
    <w:p w14:paraId="7AF847A1"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 xml:space="preserve">Shu Q </w:t>
      </w:r>
      <w:r>
        <w:rPr>
          <w:rFonts w:ascii="Book Antiqua" w:eastAsia="Book Antiqua" w:hAnsi="Book Antiqua" w:cs="Book Antiqua"/>
          <w:i/>
          <w:iCs/>
          <w:color w:val="000000"/>
        </w:rPr>
        <w:t>et al</w:t>
      </w:r>
      <w:r>
        <w:rPr>
          <w:rFonts w:ascii="Book Antiqua" w:eastAsia="Book Antiqua" w:hAnsi="Book Antiqua" w:cs="Book Antiqua"/>
          <w:color w:val="000000"/>
        </w:rPr>
        <w:t>. Extraskeletal Ewing sarcoma of the stomach</w:t>
      </w:r>
    </w:p>
    <w:p w14:paraId="21E0DF41" w14:textId="77777777" w:rsidR="00BC56AD" w:rsidRDefault="00BC56AD">
      <w:pPr>
        <w:spacing w:line="360" w:lineRule="auto"/>
        <w:jc w:val="both"/>
        <w:rPr>
          <w:rFonts w:ascii="Book Antiqua" w:hAnsi="Book Antiqua"/>
        </w:rPr>
      </w:pPr>
    </w:p>
    <w:p w14:paraId="4AE18C84"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Qiang Shu, Jia-Nong Luo, Xiao-Ling Liu, Min Jing, Ting-Gang Mou, Fei Xie</w:t>
      </w:r>
    </w:p>
    <w:p w14:paraId="49D87DDE" w14:textId="77777777" w:rsidR="00BC56AD" w:rsidRDefault="00BC56AD">
      <w:pPr>
        <w:spacing w:line="360" w:lineRule="auto"/>
        <w:jc w:val="both"/>
        <w:rPr>
          <w:rFonts w:ascii="Book Antiqua" w:hAnsi="Book Antiqua"/>
        </w:rPr>
      </w:pPr>
    </w:p>
    <w:p w14:paraId="1161864B" w14:textId="0E995AD9" w:rsidR="00BC56AD" w:rsidRDefault="004338DE">
      <w:pPr>
        <w:spacing w:line="360" w:lineRule="auto"/>
        <w:jc w:val="both"/>
        <w:rPr>
          <w:rFonts w:ascii="Book Antiqua" w:hAnsi="Book Antiqua"/>
        </w:rPr>
      </w:pPr>
      <w:r>
        <w:rPr>
          <w:rFonts w:ascii="Book Antiqua" w:eastAsia="Book Antiqua" w:hAnsi="Book Antiqua" w:cs="Book Antiqua"/>
          <w:b/>
          <w:bCs/>
          <w:color w:val="000000"/>
        </w:rPr>
        <w:t>Qiang Shu, Jia-Nong Luo, Ting-Gang Mou,</w:t>
      </w:r>
      <w:r w:rsidR="00FA1A8E" w:rsidRPr="00FA1A8E">
        <w:rPr>
          <w:rFonts w:ascii="Book Antiqua" w:eastAsia="Book Antiqua" w:hAnsi="Book Antiqua" w:cs="Book Antiqua"/>
          <w:b/>
          <w:bCs/>
          <w:color w:val="000000"/>
        </w:rPr>
        <w:t xml:space="preserve"> </w:t>
      </w:r>
      <w:r w:rsidR="00FA1A8E">
        <w:rPr>
          <w:rFonts w:ascii="Book Antiqua" w:eastAsia="Book Antiqua" w:hAnsi="Book Antiqua" w:cs="Book Antiqua"/>
          <w:b/>
          <w:bCs/>
          <w:color w:val="000000"/>
        </w:rPr>
        <w:t>Fei Xie,</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Hepatic-Biliary-Pancreatic Surgery, Neijiang First People’s Hospital Affiliated to Chongqing Medical University, Neijiang 641000, Sichuan Province, China</w:t>
      </w:r>
    </w:p>
    <w:p w14:paraId="65699A26" w14:textId="77777777" w:rsidR="00BC56AD" w:rsidRDefault="00BC56AD">
      <w:pPr>
        <w:spacing w:line="360" w:lineRule="auto"/>
        <w:jc w:val="both"/>
        <w:rPr>
          <w:rFonts w:ascii="Book Antiqua" w:hAnsi="Book Antiqua"/>
        </w:rPr>
      </w:pPr>
    </w:p>
    <w:p w14:paraId="1F4B98C5"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Xiao-Ling Liu, </w:t>
      </w:r>
      <w:r>
        <w:rPr>
          <w:rFonts w:ascii="Book Antiqua" w:eastAsia="Book Antiqua" w:hAnsi="Book Antiqua" w:cs="Book Antiqua"/>
          <w:color w:val="000000"/>
        </w:rPr>
        <w:t>Department of Hospital Infection Management, Neijiang Hospital of Traditional Chinese Medicine, Neijiang 641000, Sichuan Province, China</w:t>
      </w:r>
    </w:p>
    <w:p w14:paraId="323085CC" w14:textId="77777777" w:rsidR="00BC56AD" w:rsidRDefault="00BC56AD">
      <w:pPr>
        <w:spacing w:line="360" w:lineRule="auto"/>
        <w:jc w:val="both"/>
        <w:rPr>
          <w:rFonts w:ascii="Book Antiqua" w:hAnsi="Book Antiqua"/>
        </w:rPr>
      </w:pPr>
    </w:p>
    <w:p w14:paraId="0A89C0D9" w14:textId="4BE7F308"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Min Jing, </w:t>
      </w:r>
      <w:r>
        <w:rPr>
          <w:rFonts w:ascii="Book Antiqua" w:eastAsia="Book Antiqua" w:hAnsi="Book Antiqua" w:cs="Book Antiqua"/>
          <w:color w:val="000000"/>
        </w:rPr>
        <w:t xml:space="preserve">Department of </w:t>
      </w:r>
      <w:r w:rsidR="0081205B">
        <w:rPr>
          <w:rFonts w:ascii="Book Antiqua" w:eastAsia="Book Antiqua" w:hAnsi="Book Antiqua" w:cs="Book Antiqua"/>
          <w:color w:val="000000"/>
        </w:rPr>
        <w:t>P</w:t>
      </w:r>
      <w:r>
        <w:rPr>
          <w:rFonts w:ascii="Book Antiqua" w:eastAsia="Book Antiqua" w:hAnsi="Book Antiqua" w:cs="Book Antiqua"/>
          <w:color w:val="000000"/>
        </w:rPr>
        <w:t>athology, Neijiang First People’s Hospital Affiliated to Chongqing Medical University, Neijiang 641000, Sichuan Province, China</w:t>
      </w:r>
    </w:p>
    <w:p w14:paraId="61B80139" w14:textId="77777777" w:rsidR="00BC56AD" w:rsidRDefault="00BC56AD">
      <w:pPr>
        <w:spacing w:line="360" w:lineRule="auto"/>
        <w:jc w:val="both"/>
        <w:rPr>
          <w:rFonts w:ascii="Book Antiqua" w:hAnsi="Book Antiqua"/>
        </w:rPr>
      </w:pPr>
    </w:p>
    <w:p w14:paraId="6B13D0FB"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Xie F designed the report; Shu Q wrote the paper; Luo JN, Liu XL, Mou TG and Jing M collected the patient’s clinical data; all authors have read and approved the final version of this manuscript.</w:t>
      </w:r>
    </w:p>
    <w:p w14:paraId="72450EE3" w14:textId="77777777" w:rsidR="00BC56AD" w:rsidRDefault="00BC56AD">
      <w:pPr>
        <w:spacing w:line="360" w:lineRule="auto"/>
        <w:jc w:val="both"/>
        <w:rPr>
          <w:rFonts w:ascii="Book Antiqua" w:hAnsi="Book Antiqua"/>
        </w:rPr>
      </w:pPr>
    </w:p>
    <w:p w14:paraId="5E591545"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Science and Education Project of Neijiang First People’s Hospital.</w:t>
      </w:r>
    </w:p>
    <w:p w14:paraId="1A91ED2F" w14:textId="77777777" w:rsidR="00BC56AD" w:rsidRDefault="00BC56AD">
      <w:pPr>
        <w:spacing w:line="360" w:lineRule="auto"/>
        <w:jc w:val="both"/>
        <w:rPr>
          <w:rFonts w:ascii="Book Antiqua" w:hAnsi="Book Antiqua"/>
        </w:rPr>
      </w:pPr>
    </w:p>
    <w:p w14:paraId="6B44D3E0" w14:textId="77777777" w:rsidR="00BC56AD" w:rsidRDefault="004338D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Fei Xie, PhD, Doctor, Professor, </w:t>
      </w:r>
      <w:r>
        <w:rPr>
          <w:rFonts w:ascii="Book Antiqua" w:eastAsia="Book Antiqua" w:hAnsi="Book Antiqua" w:cs="Book Antiqua"/>
          <w:color w:val="000000"/>
        </w:rPr>
        <w:t xml:space="preserve">Department of Hepatic-Biliary-Pancreatic Surgery, Neijiang First People’s Hospital Affiliated to Chongqing Medical </w:t>
      </w:r>
      <w:r>
        <w:rPr>
          <w:rFonts w:ascii="Book Antiqua" w:eastAsia="Book Antiqua" w:hAnsi="Book Antiqua" w:cs="Book Antiqua"/>
          <w:color w:val="000000"/>
        </w:rPr>
        <w:lastRenderedPageBreak/>
        <w:t>University, Shizhong District, Neijiang 641000, Sichuan Province, China. whitetower@163.com</w:t>
      </w:r>
    </w:p>
    <w:p w14:paraId="4A81343B" w14:textId="77777777" w:rsidR="00BC56AD" w:rsidRDefault="00BC56AD">
      <w:pPr>
        <w:spacing w:line="360" w:lineRule="auto"/>
        <w:jc w:val="both"/>
        <w:rPr>
          <w:rFonts w:ascii="Book Antiqua" w:hAnsi="Book Antiqua"/>
        </w:rPr>
      </w:pPr>
    </w:p>
    <w:p w14:paraId="59BD9F03" w14:textId="77777777" w:rsidR="00BC56AD" w:rsidRDefault="00BC56AD">
      <w:pPr>
        <w:spacing w:line="360" w:lineRule="auto"/>
        <w:jc w:val="both"/>
        <w:rPr>
          <w:rFonts w:ascii="Book Antiqua" w:hAnsi="Book Antiqua"/>
        </w:rPr>
      </w:pPr>
    </w:p>
    <w:p w14:paraId="5A8A1F4A"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 2022</w:t>
      </w:r>
    </w:p>
    <w:p w14:paraId="7FDF349E"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5, 2022</w:t>
      </w:r>
    </w:p>
    <w:p w14:paraId="30F29054" w14:textId="4B521B0E"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680F8D" w:rsidRPr="00680F8D">
        <w:rPr>
          <w:rFonts w:ascii="Book Antiqua" w:eastAsia="Book Antiqua" w:hAnsi="Book Antiqua" w:cs="Book Antiqua"/>
          <w:color w:val="000000"/>
        </w:rPr>
        <w:t>December 21, 2022</w:t>
      </w:r>
    </w:p>
    <w:p w14:paraId="6497B4F7" w14:textId="4F7AE45D"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8570EC" w:rsidRPr="008570EC">
        <w:rPr>
          <w:rFonts w:ascii="Book Antiqua" w:eastAsia="Book Antiqua" w:hAnsi="Book Antiqua" w:cs="Book Antiqua"/>
          <w:color w:val="000000"/>
        </w:rPr>
        <w:t>January 6, 2023</w:t>
      </w:r>
    </w:p>
    <w:p w14:paraId="2B064864" w14:textId="77777777" w:rsidR="00BC56AD" w:rsidRDefault="00BC56AD">
      <w:pPr>
        <w:spacing w:line="360" w:lineRule="auto"/>
        <w:jc w:val="both"/>
        <w:rPr>
          <w:rFonts w:ascii="Book Antiqua" w:hAnsi="Book Antiqua"/>
        </w:rPr>
      </w:pPr>
    </w:p>
    <w:p w14:paraId="2B13E3F2" w14:textId="77777777" w:rsidR="00BC56AD" w:rsidRDefault="00BC56AD">
      <w:pPr>
        <w:spacing w:line="360" w:lineRule="auto"/>
        <w:jc w:val="both"/>
        <w:rPr>
          <w:rFonts w:ascii="Book Antiqua" w:hAnsi="Book Antiqua"/>
        </w:rPr>
      </w:pPr>
    </w:p>
    <w:p w14:paraId="351C768F"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Abstract</w:t>
      </w:r>
    </w:p>
    <w:p w14:paraId="1FFD15E8"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BACKGROUND</w:t>
      </w:r>
    </w:p>
    <w:p w14:paraId="4B3E2379"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Extraskeletal Ewing sarcoma (EES) is a rare and highly malignant small round cell tumor associated with a poor clinical outcome. Ewing sarcoma (ES) involving the stomach is an uncommon presentation and can be easily confused with other small round cell tumors. We herein present a rare case of ES involving the gastric area.</w:t>
      </w:r>
    </w:p>
    <w:p w14:paraId="29E3A9A8" w14:textId="77777777" w:rsidR="00BC56AD" w:rsidRDefault="00BC56AD">
      <w:pPr>
        <w:spacing w:line="360" w:lineRule="auto"/>
        <w:jc w:val="both"/>
        <w:rPr>
          <w:rFonts w:ascii="Book Antiqua" w:hAnsi="Book Antiqua"/>
        </w:rPr>
      </w:pPr>
    </w:p>
    <w:p w14:paraId="1DF05D90"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CASE SUMMARY</w:t>
      </w:r>
    </w:p>
    <w:p w14:paraId="29421463" w14:textId="208ACDD9" w:rsidR="00BC56AD" w:rsidRDefault="004338DE">
      <w:pPr>
        <w:spacing w:line="360" w:lineRule="auto"/>
        <w:jc w:val="both"/>
        <w:rPr>
          <w:rFonts w:ascii="Book Antiqua" w:hAnsi="Book Antiqua"/>
        </w:rPr>
      </w:pPr>
      <w:r>
        <w:rPr>
          <w:rFonts w:ascii="Book Antiqua" w:eastAsia="Book Antiqua" w:hAnsi="Book Antiqua" w:cs="Book Antiqua"/>
          <w:color w:val="000000"/>
        </w:rPr>
        <w:t>We report a case of gastric ES in a 19-year-old female patient who initially presented with a complaint of a tender epigastric mass for 5 d. Contrast-enhanced abdominal computed tomography revealed a soft-tissue-density mass with a diameter of 8.5 cm between the liver and stomach; the mass was connected to the gastric antrum. Then, the mass was surgically excised completely. Upon histopathological, immunophenotype</w:t>
      </w:r>
      <w:r w:rsidR="004D2169">
        <w:rPr>
          <w:rFonts w:ascii="Book Antiqua" w:eastAsia="Book Antiqua" w:hAnsi="Book Antiqua" w:cs="Book Antiqua"/>
          <w:color w:val="000000"/>
        </w:rPr>
        <w:t xml:space="preserve"> </w:t>
      </w:r>
      <w:r>
        <w:rPr>
          <w:rFonts w:ascii="Book Antiqua" w:eastAsia="Book Antiqua" w:hAnsi="Book Antiqua" w:cs="Book Antiqua"/>
          <w:color w:val="000000"/>
        </w:rPr>
        <w:t>and molecular analysis, the mass was identified to be a primary gastric ES.</w:t>
      </w:r>
    </w:p>
    <w:p w14:paraId="6714E0D8" w14:textId="77777777" w:rsidR="00BC56AD" w:rsidRDefault="00BC56AD">
      <w:pPr>
        <w:spacing w:line="360" w:lineRule="auto"/>
        <w:jc w:val="both"/>
        <w:rPr>
          <w:rFonts w:ascii="Book Antiqua" w:hAnsi="Book Antiqua"/>
        </w:rPr>
      </w:pPr>
    </w:p>
    <w:p w14:paraId="2702B83B"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CONCLUSION</w:t>
      </w:r>
    </w:p>
    <w:p w14:paraId="2E626948"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 xml:space="preserve">EES is an aggressive tumor with poor prognosis. Therefore, early diagnosis and timely intervention are essential for a good prognosis. It is imperative for us to raise awareness about this rare tumor. Surgical </w:t>
      </w:r>
      <w:r>
        <w:rPr>
          <w:rFonts w:ascii="Book Antiqua" w:eastAsia="Book Antiqua" w:hAnsi="Book Antiqua" w:cs="Book Antiqua"/>
          <w:color w:val="000000"/>
          <w:shd w:val="clear" w:color="auto" w:fill="FFFFFF"/>
        </w:rPr>
        <w:t xml:space="preserve">resection </w:t>
      </w:r>
      <w:r>
        <w:rPr>
          <w:rFonts w:ascii="Book Antiqua" w:eastAsia="Book Antiqua" w:hAnsi="Book Antiqua" w:cs="Book Antiqua"/>
          <w:color w:val="000000"/>
        </w:rPr>
        <w:t>is still the best treatment option.</w:t>
      </w:r>
    </w:p>
    <w:p w14:paraId="106DAB54" w14:textId="77777777" w:rsidR="00BC56AD" w:rsidRDefault="00BC56AD">
      <w:pPr>
        <w:spacing w:line="360" w:lineRule="auto"/>
        <w:jc w:val="both"/>
        <w:rPr>
          <w:rFonts w:ascii="Book Antiqua" w:hAnsi="Book Antiqua"/>
        </w:rPr>
      </w:pPr>
    </w:p>
    <w:p w14:paraId="5A526385"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hint="eastAsia"/>
          <w:color w:val="000000"/>
        </w:rPr>
        <w:t>Stomach</w:t>
      </w:r>
      <w:r>
        <w:rPr>
          <w:rFonts w:ascii="Book Antiqua" w:eastAsia="宋体" w:hAnsi="Book Antiqua" w:cs="Book Antiqua" w:hint="eastAsia"/>
          <w:color w:val="000000"/>
          <w:lang w:eastAsia="zh-CN"/>
        </w:rPr>
        <w:t xml:space="preserve"> neoplasms</w:t>
      </w:r>
      <w:r>
        <w:rPr>
          <w:rFonts w:ascii="Book Antiqua" w:eastAsia="Book Antiqua" w:hAnsi="Book Antiqua" w:cs="Book Antiqua" w:hint="eastAsia"/>
          <w:color w:val="000000"/>
        </w:rPr>
        <w:t>; Extraskeletal; Ewing</w:t>
      </w:r>
      <w:r>
        <w:rPr>
          <w:rFonts w:ascii="Book Antiqua" w:eastAsia="Book Antiqua" w:hAnsi="Book Antiqua" w:cs="Book Antiqua"/>
          <w:color w:val="000000"/>
        </w:rPr>
        <w:t>’</w:t>
      </w:r>
      <w:r>
        <w:rPr>
          <w:rFonts w:ascii="Book Antiqua" w:eastAsia="Book Antiqua" w:hAnsi="Book Antiqua" w:cs="Book Antiqua" w:hint="eastAsia"/>
          <w:color w:val="000000"/>
        </w:rPr>
        <w:t>s sarcoma</w:t>
      </w:r>
      <w:r>
        <w:rPr>
          <w:rFonts w:ascii="Book Antiqua" w:eastAsia="Book Antiqua" w:hAnsi="Book Antiqua" w:cs="Book Antiqua"/>
          <w:color w:val="000000"/>
        </w:rPr>
        <w:t>; CD99; FLI-1; Case report</w:t>
      </w:r>
    </w:p>
    <w:p w14:paraId="5B993A44" w14:textId="77777777" w:rsidR="00D31596" w:rsidRPr="004B3D38" w:rsidRDefault="00D31596" w:rsidP="00D31596">
      <w:pPr>
        <w:spacing w:line="360" w:lineRule="auto"/>
        <w:rPr>
          <w:rFonts w:ascii="Book Antiqua" w:eastAsia="Book Antiqua" w:hAnsi="Book Antiqua" w:cs="Book Antiqua"/>
          <w:szCs w:val="21"/>
        </w:rPr>
      </w:pPr>
    </w:p>
    <w:p w14:paraId="205D1D5E" w14:textId="77777777" w:rsidR="00D31596" w:rsidRPr="004B3D38" w:rsidRDefault="00D31596" w:rsidP="00D31596">
      <w:pPr>
        <w:spacing w:line="360" w:lineRule="auto"/>
        <w:rPr>
          <w:rFonts w:ascii="Book Antiqua" w:eastAsia="Book Antiqua" w:hAnsi="Book Antiqua" w:cs="Book Antiqua"/>
          <w:color w:val="000000"/>
          <w:szCs w:val="21"/>
        </w:rPr>
      </w:pPr>
      <w:r w:rsidRPr="004B3D38">
        <w:rPr>
          <w:rFonts w:ascii="Book Antiqua" w:eastAsia="Book Antiqua" w:hAnsi="Book Antiqua" w:cs="Book Antiqua" w:hint="eastAsia"/>
          <w:b/>
          <w:color w:val="000000"/>
          <w:szCs w:val="21"/>
        </w:rPr>
        <w:t>©</w:t>
      </w:r>
      <w:r w:rsidRPr="004B3D38">
        <w:rPr>
          <w:rFonts w:ascii="Book Antiqua" w:eastAsia="Book Antiqua" w:hAnsi="Book Antiqua" w:cs="Book Antiqua"/>
          <w:b/>
          <w:color w:val="000000"/>
          <w:szCs w:val="21"/>
        </w:rPr>
        <w:t>The</w:t>
      </w:r>
      <w:r w:rsidRPr="004B3D38">
        <w:rPr>
          <w:rFonts w:ascii="Book Antiqua" w:eastAsia="Book Antiqua" w:hAnsi="Book Antiqua" w:cs="Book Antiqua"/>
          <w:color w:val="000000"/>
          <w:szCs w:val="21"/>
        </w:rPr>
        <w:t xml:space="preserve"> </w:t>
      </w:r>
      <w:r w:rsidRPr="004B3D38">
        <w:rPr>
          <w:rFonts w:ascii="Book Antiqua" w:eastAsia="Book Antiqua" w:hAnsi="Book Antiqua" w:cs="Book Antiqua"/>
          <w:b/>
          <w:color w:val="000000"/>
          <w:szCs w:val="21"/>
        </w:rPr>
        <w:t>Author(s) 202</w:t>
      </w:r>
      <w:r w:rsidRPr="004B3D38">
        <w:rPr>
          <w:rFonts w:ascii="Book Antiqua" w:hAnsi="Book Antiqua" w:cs="Book Antiqua"/>
          <w:b/>
          <w:color w:val="000000"/>
          <w:szCs w:val="21"/>
        </w:rPr>
        <w:t>3</w:t>
      </w:r>
      <w:r w:rsidRPr="004B3D38">
        <w:rPr>
          <w:rFonts w:ascii="Book Antiqua" w:eastAsia="Book Antiqua" w:hAnsi="Book Antiqua" w:cs="Book Antiqua"/>
          <w:b/>
          <w:color w:val="000000"/>
          <w:szCs w:val="21"/>
        </w:rPr>
        <w:t xml:space="preserve">. </w:t>
      </w:r>
      <w:r w:rsidRPr="004B3D38">
        <w:rPr>
          <w:rFonts w:ascii="Book Antiqua" w:eastAsia="Book Antiqua" w:hAnsi="Book Antiqua" w:cs="Book Antiqua"/>
          <w:color w:val="000000"/>
          <w:szCs w:val="21"/>
        </w:rPr>
        <w:t>Published by Baishideng Publishing Group Inc. All rights reserved.</w:t>
      </w:r>
    </w:p>
    <w:p w14:paraId="2F3C70BF" w14:textId="77777777" w:rsidR="00D31596" w:rsidRPr="004B3D38" w:rsidRDefault="00D31596" w:rsidP="00D31596">
      <w:pPr>
        <w:spacing w:line="360" w:lineRule="auto"/>
        <w:rPr>
          <w:rFonts w:ascii="Book Antiqua" w:eastAsia="Book Antiqua" w:hAnsi="Book Antiqua" w:cs="Book Antiqua"/>
          <w:szCs w:val="21"/>
        </w:rPr>
      </w:pPr>
    </w:p>
    <w:p w14:paraId="031D4B20" w14:textId="4561BA8A" w:rsidR="00BA6AFE" w:rsidRDefault="009A2F83" w:rsidP="00BA6AFE">
      <w:pPr>
        <w:spacing w:line="360" w:lineRule="auto"/>
        <w:jc w:val="both"/>
        <w:rPr>
          <w:rFonts w:ascii="Book Antiqua" w:eastAsia="Book Antiqua" w:hAnsi="Book Antiqua" w:cs="Book Antiqua"/>
          <w:color w:val="000000" w:themeColor="text1"/>
        </w:rPr>
      </w:pPr>
      <w:r w:rsidRPr="00350395">
        <w:rPr>
          <w:rFonts w:ascii="Book Antiqua" w:eastAsia="Book Antiqua" w:hAnsi="Book Antiqua" w:cs="Book Antiqua"/>
          <w:b/>
          <w:bCs/>
          <w:color w:val="000000"/>
        </w:rPr>
        <w:t>Citation</w:t>
      </w:r>
      <w:r w:rsidRPr="00350395">
        <w:rPr>
          <w:rFonts w:ascii="Book Antiqua" w:eastAsia="Book Antiqua" w:hAnsi="Book Antiqua" w:cs="Book Antiqua"/>
          <w:color w:val="000000"/>
        </w:rPr>
        <w:t xml:space="preserve">: </w:t>
      </w:r>
      <w:r w:rsidR="004338DE">
        <w:rPr>
          <w:rFonts w:ascii="Book Antiqua" w:eastAsia="Book Antiqua" w:hAnsi="Book Antiqua" w:cs="Book Antiqua"/>
          <w:color w:val="000000"/>
        </w:rPr>
        <w:t>Shu Q, Luo JN, Liu XL, Jing M, Mou TG, Xie F. Extraskeletal Ewing sarcoma of the stomach</w:t>
      </w:r>
      <w:r w:rsidR="004338DE">
        <w:rPr>
          <w:rFonts w:ascii="宋体" w:eastAsia="宋体" w:hAnsi="宋体" w:cs="宋体" w:hint="eastAsia"/>
          <w:color w:val="000000"/>
          <w:lang w:eastAsia="zh-CN"/>
        </w:rPr>
        <w:t>:</w:t>
      </w:r>
      <w:r w:rsidR="004338DE">
        <w:rPr>
          <w:rFonts w:ascii="宋体" w:eastAsia="宋体" w:hAnsi="宋体" w:cs="宋体"/>
          <w:color w:val="000000"/>
          <w:lang w:eastAsia="zh-CN"/>
        </w:rPr>
        <w:t xml:space="preserve"> </w:t>
      </w:r>
      <w:r w:rsidR="004338DE">
        <w:rPr>
          <w:rFonts w:ascii="Book Antiqua" w:eastAsia="Book Antiqua" w:hAnsi="Book Antiqua" w:cs="Book Antiqua"/>
          <w:color w:val="000000"/>
        </w:rPr>
        <w:t xml:space="preserve">A rare case report. </w:t>
      </w:r>
      <w:r w:rsidR="004338DE">
        <w:rPr>
          <w:rFonts w:ascii="Book Antiqua" w:eastAsia="Book Antiqua" w:hAnsi="Book Antiqua" w:cs="Book Antiqua"/>
          <w:i/>
          <w:iCs/>
          <w:color w:val="000000"/>
        </w:rPr>
        <w:t>World J Clin Cases</w:t>
      </w:r>
      <w:r w:rsidR="004338DE">
        <w:rPr>
          <w:rFonts w:ascii="Book Antiqua" w:eastAsia="Book Antiqua" w:hAnsi="Book Antiqua" w:cs="Book Antiqua"/>
          <w:color w:val="000000"/>
        </w:rPr>
        <w:t xml:space="preserve"> </w:t>
      </w:r>
      <w:r w:rsidR="00BA6AFE" w:rsidRPr="00B16BA8">
        <w:rPr>
          <w:rFonts w:ascii="Book Antiqua" w:eastAsia="Book Antiqua" w:hAnsi="Book Antiqua" w:cs="Book Antiqua"/>
          <w:color w:val="000000" w:themeColor="text1"/>
        </w:rPr>
        <w:t>202</w:t>
      </w:r>
      <w:r w:rsidR="00BA6AFE">
        <w:rPr>
          <w:rFonts w:ascii="Book Antiqua" w:eastAsia="Book Antiqua" w:hAnsi="Book Antiqua" w:cs="Book Antiqua"/>
          <w:color w:val="000000" w:themeColor="text1"/>
        </w:rPr>
        <w:t>3</w:t>
      </w:r>
      <w:r w:rsidR="00BA6AFE" w:rsidRPr="00B16BA8">
        <w:rPr>
          <w:rFonts w:ascii="Book Antiqua" w:eastAsia="Book Antiqua" w:hAnsi="Book Antiqua" w:cs="Book Antiqua"/>
          <w:color w:val="000000" w:themeColor="text1"/>
        </w:rPr>
        <w:t xml:space="preserve">; 11(1): </w:t>
      </w:r>
      <w:r w:rsidR="00320687" w:rsidRPr="00D7722C">
        <w:rPr>
          <w:rFonts w:ascii="Book Antiqua" w:hAnsi="Book Antiqua"/>
        </w:rPr>
        <w:t>201-209</w:t>
      </w:r>
    </w:p>
    <w:p w14:paraId="15D7B2B7" w14:textId="0536A5A1" w:rsidR="00BA6AFE" w:rsidRDefault="00BA6AFE" w:rsidP="00BA6AFE">
      <w:pPr>
        <w:spacing w:line="360" w:lineRule="auto"/>
        <w:jc w:val="both"/>
        <w:rPr>
          <w:rFonts w:ascii="Book Antiqua" w:eastAsia="Book Antiqua" w:hAnsi="Book Antiqua" w:cs="Book Antiqua"/>
          <w:color w:val="000000" w:themeColor="text1"/>
        </w:rPr>
      </w:pPr>
      <w:r w:rsidRPr="001F2851">
        <w:rPr>
          <w:rFonts w:ascii="Book Antiqua" w:eastAsia="Book Antiqua" w:hAnsi="Book Antiqua" w:cs="Book Antiqua"/>
          <w:b/>
          <w:bCs/>
          <w:color w:val="000000" w:themeColor="text1"/>
        </w:rPr>
        <w:t>URL</w:t>
      </w:r>
      <w:r w:rsidRPr="00B16BA8">
        <w:rPr>
          <w:rFonts w:ascii="Book Antiqua" w:eastAsia="Book Antiqua" w:hAnsi="Book Antiqua" w:cs="Book Antiqua"/>
          <w:color w:val="000000" w:themeColor="text1"/>
        </w:rPr>
        <w:t>: https://www.wjgnet.com/2307-8960/full/v11/i1/</w:t>
      </w:r>
      <w:r w:rsidR="00320687" w:rsidRPr="00D7722C">
        <w:rPr>
          <w:rFonts w:ascii="Book Antiqua" w:hAnsi="Book Antiqua"/>
        </w:rPr>
        <w:t>201</w:t>
      </w:r>
      <w:r w:rsidRPr="00B16BA8">
        <w:rPr>
          <w:rFonts w:ascii="Book Antiqua" w:eastAsia="Book Antiqua" w:hAnsi="Book Antiqua" w:cs="Book Antiqua"/>
          <w:color w:val="000000" w:themeColor="text1"/>
        </w:rPr>
        <w:t>.htm</w:t>
      </w:r>
    </w:p>
    <w:p w14:paraId="717A5048" w14:textId="6796A595" w:rsidR="00BC56AD" w:rsidRDefault="00BA6AFE" w:rsidP="00BA6AFE">
      <w:pPr>
        <w:spacing w:line="360" w:lineRule="auto"/>
        <w:jc w:val="both"/>
        <w:rPr>
          <w:rFonts w:ascii="Book Antiqua" w:hAnsi="Book Antiqua"/>
        </w:rPr>
      </w:pPr>
      <w:r w:rsidRPr="001F2851">
        <w:rPr>
          <w:rFonts w:ascii="Book Antiqua" w:eastAsia="Book Antiqua" w:hAnsi="Book Antiqua" w:cs="Book Antiqua"/>
          <w:b/>
          <w:bCs/>
          <w:color w:val="000000" w:themeColor="text1"/>
        </w:rPr>
        <w:t>DOI</w:t>
      </w:r>
      <w:r w:rsidRPr="00B16BA8">
        <w:rPr>
          <w:rFonts w:ascii="Book Antiqua" w:eastAsia="Book Antiqua" w:hAnsi="Book Antiqua" w:cs="Book Antiqua"/>
          <w:color w:val="000000" w:themeColor="text1"/>
        </w:rPr>
        <w:t>: https://dx.doi.org/10.12998/wjcc.v11.i1.</w:t>
      </w:r>
      <w:r w:rsidR="00320687" w:rsidRPr="00D7722C">
        <w:rPr>
          <w:rFonts w:ascii="Book Antiqua" w:hAnsi="Book Antiqua"/>
        </w:rPr>
        <w:t>201</w:t>
      </w:r>
    </w:p>
    <w:p w14:paraId="7C66D9C1" w14:textId="77777777" w:rsidR="00BC56AD" w:rsidRDefault="00BC56AD">
      <w:pPr>
        <w:spacing w:line="360" w:lineRule="auto"/>
        <w:jc w:val="both"/>
        <w:rPr>
          <w:rFonts w:ascii="Book Antiqua" w:hAnsi="Book Antiqua"/>
        </w:rPr>
      </w:pPr>
    </w:p>
    <w:p w14:paraId="10BCCE35"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Ewing sarcoma (ES)</w:t>
      </w:r>
      <w:r>
        <w:rPr>
          <w:rFonts w:ascii="Book Antiqua" w:eastAsia="Book Antiqua" w:hAnsi="Book Antiqua" w:cs="Book Antiqua"/>
          <w:color w:val="000000"/>
          <w:shd w:val="clear" w:color="auto" w:fill="FFFFFF"/>
        </w:rPr>
        <w:t xml:space="preserve"> is a rare and highly malignant small round cell tumor. </w:t>
      </w:r>
      <w:r>
        <w:rPr>
          <w:rFonts w:ascii="Book Antiqua" w:eastAsia="Book Antiqua" w:hAnsi="Book Antiqua" w:cs="Book Antiqua"/>
          <w:color w:val="000000"/>
        </w:rPr>
        <w:t xml:space="preserve">Extraskeletal ES </w:t>
      </w:r>
      <w:r>
        <w:rPr>
          <w:rFonts w:ascii="Book Antiqua" w:eastAsia="Book Antiqua" w:hAnsi="Book Antiqua" w:cs="Book Antiqua"/>
          <w:color w:val="000000"/>
          <w:shd w:val="clear" w:color="auto" w:fill="FFFFFF"/>
        </w:rPr>
        <w:t>is more common in the paravertebral region, extremities, and retroperitoneum and very rarely occurs in the stomach. Due to its rarity, there are few studies on its clinicopathological characteristics and diagnostic protocols. It is an aggressive tumor with poor prognosis, and therefore, early diagnosis and timely intervention are vital for a good prognosis. Herein, we report on a case of primary gastric ES which was timely resected surgically. This was followed by chemotherapy, which was comprised of alternating vincristine–doxorubicin, cyclophosphamide, and ifosfamide–etoposide every 3 wk. Ultimately, the patient was tumor-free and achieved an excellent prognosis.</w:t>
      </w:r>
    </w:p>
    <w:p w14:paraId="363F7BEE" w14:textId="77777777" w:rsidR="00BC56AD" w:rsidRDefault="00BC56AD">
      <w:pPr>
        <w:spacing w:line="360" w:lineRule="auto"/>
        <w:jc w:val="both"/>
        <w:rPr>
          <w:rFonts w:ascii="Book Antiqua" w:hAnsi="Book Antiqua"/>
        </w:rPr>
      </w:pPr>
    </w:p>
    <w:p w14:paraId="3C822789" w14:textId="77777777" w:rsidR="00BC56AD" w:rsidRDefault="004338DE">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83396F2" w14:textId="3578B50E" w:rsidR="00BC56AD" w:rsidRDefault="004338DE">
      <w:pPr>
        <w:spacing w:line="360" w:lineRule="auto"/>
        <w:jc w:val="both"/>
        <w:rPr>
          <w:rFonts w:ascii="Book Antiqua" w:hAnsi="Book Antiqua"/>
        </w:rPr>
      </w:pPr>
      <w:r>
        <w:rPr>
          <w:rFonts w:ascii="Book Antiqua" w:eastAsia="Book Antiqua" w:hAnsi="Book Antiqua" w:cs="Book Antiqua"/>
          <w:color w:val="000000"/>
        </w:rPr>
        <w:t>Ewing sarcoma (ES) is a rare and highly malignant small round cell tumor</w:t>
      </w:r>
      <w:r>
        <w:rPr>
          <w:rFonts w:ascii="Book Antiqua" w:eastAsia="Book Antiqua" w:hAnsi="Book Antiqua" w:cs="Book Antiqua"/>
          <w:color w:val="000000"/>
          <w:vertAlign w:val="superscript"/>
        </w:rPr>
        <w:t>[1]</w:t>
      </w:r>
      <w:r>
        <w:rPr>
          <w:rFonts w:ascii="Book Antiqua" w:eastAsia="Book Antiqua" w:hAnsi="Book Antiqua" w:cs="Book Antiqua"/>
          <w:color w:val="000000"/>
        </w:rPr>
        <w:t>. It is characterized by different degrees of neuroectoderm differentiation and an EWSR1-ETS fusion protein</w:t>
      </w:r>
      <w:r>
        <w:rPr>
          <w:rFonts w:ascii="Book Antiqua" w:eastAsia="Book Antiqua" w:hAnsi="Book Antiqua" w:cs="Book Antiqua"/>
          <w:color w:val="000000"/>
          <w:vertAlign w:val="superscript"/>
        </w:rPr>
        <w:t>[2]</w:t>
      </w:r>
      <w:r>
        <w:rPr>
          <w:rFonts w:ascii="Book Antiqua" w:eastAsia="Book Antiqua" w:hAnsi="Book Antiqua" w:cs="Book Antiqua"/>
          <w:color w:val="000000"/>
        </w:rPr>
        <w:t>. ES often occurs in the pelvis, long axial bones, and the femur, whereas extraskeletal ES (EES) is more common in the paravertebral region, extremities, and the retroperitoneum</w:t>
      </w:r>
      <w:r>
        <w:rPr>
          <w:rFonts w:ascii="Book Antiqua" w:eastAsia="Book Antiqua" w:hAnsi="Book Antiqua" w:cs="Book Antiqua"/>
          <w:color w:val="000000"/>
          <w:vertAlign w:val="superscript"/>
        </w:rPr>
        <w:t>[3]</w:t>
      </w:r>
      <w:r>
        <w:rPr>
          <w:rFonts w:ascii="Book Antiqua" w:eastAsia="Book Antiqua" w:hAnsi="Book Antiqua" w:cs="Book Antiqua"/>
          <w:color w:val="000000"/>
        </w:rPr>
        <w:t>. It is very rare for EES to occur in the stomach. As reported in Hopp</w:t>
      </w:r>
      <w:r>
        <w:rPr>
          <w:rStyle w:val="15"/>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r>
        <w:rPr>
          <w:rFonts w:ascii="Book Antiqua" w:eastAsia="Book Antiqua" w:hAnsi="Book Antiqua" w:cs="Book Antiqua"/>
          <w:i/>
          <w:iCs/>
          <w:color w:val="000000"/>
        </w:rPr>
        <w:lastRenderedPageBreak/>
        <w:t>al</w:t>
      </w:r>
      <w:r>
        <w:rPr>
          <w:rFonts w:ascii="Book Antiqua" w:eastAsia="Book Antiqua" w:hAnsi="Book Antiqua" w:cs="Book Antiqua"/>
          <w:color w:val="000000"/>
        </w:rPr>
        <w:t>’s study, the incidence of EES accounted for 15%-20% of all ES cases</w:t>
      </w:r>
      <w:r>
        <w:rPr>
          <w:rFonts w:ascii="Book Antiqua" w:eastAsia="Book Antiqua" w:hAnsi="Book Antiqua" w:cs="Book Antiqua"/>
          <w:color w:val="000000"/>
          <w:vertAlign w:val="superscript"/>
        </w:rPr>
        <w:t>[4]</w:t>
      </w:r>
      <w:r>
        <w:rPr>
          <w:rFonts w:ascii="Book Antiqua" w:eastAsia="Book Antiqua" w:hAnsi="Book Antiqua" w:cs="Book Antiqua"/>
          <w:color w:val="000000"/>
        </w:rPr>
        <w:t>. Among the 70 EES cases reported by Huh, only 4 cases (5.7%) were of primary gastric ES</w:t>
      </w:r>
      <w:r>
        <w:rPr>
          <w:rFonts w:ascii="Book Antiqua" w:eastAsia="Book Antiqua" w:hAnsi="Book Antiqua" w:cs="Book Antiqua"/>
          <w:color w:val="000000"/>
          <w:vertAlign w:val="superscript"/>
        </w:rPr>
        <w:t>[5]</w:t>
      </w:r>
      <w:r>
        <w:rPr>
          <w:rFonts w:ascii="Book Antiqua" w:eastAsia="Book Antiqua" w:hAnsi="Book Antiqua" w:cs="Book Antiqua"/>
          <w:color w:val="000000"/>
        </w:rPr>
        <w:t>. Due to its rarity, there are few studies on its clinicopathological characteristics and diagnostic protocols. We herein report a case of primary gastric ES to raise awareness about this rare tumor for clinicians and radiologists.</w:t>
      </w:r>
    </w:p>
    <w:p w14:paraId="1E32BC80" w14:textId="77777777" w:rsidR="00BC56AD" w:rsidRDefault="00BC56AD">
      <w:pPr>
        <w:spacing w:line="360" w:lineRule="auto"/>
        <w:jc w:val="both"/>
        <w:rPr>
          <w:rFonts w:ascii="Book Antiqua" w:hAnsi="Book Antiqua"/>
        </w:rPr>
      </w:pPr>
    </w:p>
    <w:p w14:paraId="1B763446" w14:textId="77777777" w:rsidR="00BC56AD" w:rsidRDefault="004338DE">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0C016A2" w14:textId="77777777" w:rsidR="00BC56AD" w:rsidRDefault="004338DE">
      <w:pPr>
        <w:spacing w:line="360" w:lineRule="auto"/>
        <w:jc w:val="both"/>
        <w:rPr>
          <w:rFonts w:ascii="Book Antiqua" w:hAnsi="Book Antiqua"/>
        </w:rPr>
      </w:pPr>
      <w:r>
        <w:rPr>
          <w:rFonts w:ascii="Book Antiqua" w:eastAsia="Book Antiqua" w:hAnsi="Book Antiqua" w:cs="Book Antiqua"/>
          <w:b/>
          <w:i/>
          <w:color w:val="000000"/>
        </w:rPr>
        <w:t>Chief complaints</w:t>
      </w:r>
    </w:p>
    <w:p w14:paraId="0430F6FC"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A 19-year-old female patient presented with a complaint of a tender epigastric mass for 5 d.</w:t>
      </w:r>
    </w:p>
    <w:p w14:paraId="657FC283" w14:textId="77777777" w:rsidR="00BC56AD" w:rsidRDefault="00BC56AD">
      <w:pPr>
        <w:spacing w:line="360" w:lineRule="auto"/>
        <w:jc w:val="both"/>
        <w:rPr>
          <w:rFonts w:ascii="Book Antiqua" w:hAnsi="Book Antiqua"/>
        </w:rPr>
      </w:pPr>
    </w:p>
    <w:p w14:paraId="715618CB" w14:textId="77777777" w:rsidR="00BC56AD" w:rsidRDefault="004338DE">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F021198"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Five days ago, the patient was admitted for a complaint of a tender epigastric mass. There was no prior history of gastroesophageal reflux symptoms or black stools, and she recently reported upper abdominal fullness after intake of little food.</w:t>
      </w:r>
    </w:p>
    <w:p w14:paraId="5D69B2C8" w14:textId="77777777" w:rsidR="00BC56AD" w:rsidRDefault="00BC56AD">
      <w:pPr>
        <w:spacing w:line="360" w:lineRule="auto"/>
        <w:jc w:val="both"/>
        <w:rPr>
          <w:rFonts w:ascii="Book Antiqua" w:hAnsi="Book Antiqua"/>
        </w:rPr>
      </w:pPr>
    </w:p>
    <w:p w14:paraId="3AFC9632" w14:textId="77777777" w:rsidR="00BC56AD" w:rsidRDefault="004338DE">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71AD974"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The patient had no history of past illness.</w:t>
      </w:r>
    </w:p>
    <w:p w14:paraId="2C14F016" w14:textId="77777777" w:rsidR="00BC56AD" w:rsidRDefault="00BC56AD">
      <w:pPr>
        <w:spacing w:line="360" w:lineRule="auto"/>
        <w:jc w:val="both"/>
        <w:rPr>
          <w:rFonts w:ascii="Book Antiqua" w:hAnsi="Book Antiqua"/>
        </w:rPr>
      </w:pPr>
    </w:p>
    <w:p w14:paraId="3A4B57A1" w14:textId="77777777" w:rsidR="00BC56AD" w:rsidRDefault="004338DE">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776D9AF2"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No personal or family history was available.</w:t>
      </w:r>
    </w:p>
    <w:p w14:paraId="42DE1F7D" w14:textId="77777777" w:rsidR="00BC56AD" w:rsidRDefault="00BC56AD">
      <w:pPr>
        <w:spacing w:line="360" w:lineRule="auto"/>
        <w:jc w:val="both"/>
        <w:rPr>
          <w:rFonts w:ascii="Book Antiqua" w:hAnsi="Book Antiqua"/>
        </w:rPr>
      </w:pPr>
    </w:p>
    <w:p w14:paraId="5E6AD5B3" w14:textId="77777777" w:rsidR="00BC56AD" w:rsidRDefault="004338DE">
      <w:pPr>
        <w:spacing w:line="360" w:lineRule="auto"/>
        <w:jc w:val="both"/>
        <w:rPr>
          <w:rFonts w:ascii="Book Antiqua" w:hAnsi="Book Antiqua"/>
        </w:rPr>
      </w:pPr>
      <w:r>
        <w:rPr>
          <w:rFonts w:ascii="Book Antiqua" w:eastAsia="Book Antiqua" w:hAnsi="Book Antiqua" w:cs="Book Antiqua"/>
          <w:b/>
          <w:i/>
          <w:color w:val="000000"/>
        </w:rPr>
        <w:t>Physical examination</w:t>
      </w:r>
    </w:p>
    <w:p w14:paraId="43952552"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On clinical examination, slight tenderness and an immovable mass in the right upper abdomen were identified.</w:t>
      </w:r>
    </w:p>
    <w:p w14:paraId="4BC586D7" w14:textId="77777777" w:rsidR="00BC56AD" w:rsidRDefault="00BC56AD">
      <w:pPr>
        <w:spacing w:line="360" w:lineRule="auto"/>
        <w:jc w:val="both"/>
        <w:rPr>
          <w:rFonts w:ascii="Book Antiqua" w:hAnsi="Book Antiqua"/>
        </w:rPr>
      </w:pPr>
    </w:p>
    <w:p w14:paraId="73D2CDF4" w14:textId="77777777" w:rsidR="00BC56AD" w:rsidRDefault="004338DE">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9340066"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lastRenderedPageBreak/>
        <w:t xml:space="preserve">Serum fetoprotein, carcinoembryonic antigen, </w:t>
      </w:r>
      <w:r>
        <w:rPr>
          <w:rFonts w:ascii="Book Antiqua" w:eastAsia="Book Antiqua" w:hAnsi="Book Antiqua" w:cs="Book Antiqua"/>
          <w:color w:val="000000"/>
          <w:shd w:val="clear" w:color="auto" w:fill="FFFFFF"/>
        </w:rPr>
        <w:t xml:space="preserve">squamous cell carcinoma antigen, neuron-specific enolase, </w:t>
      </w:r>
      <w:r>
        <w:rPr>
          <w:rFonts w:ascii="Book Antiqua" w:eastAsia="Book Antiqua" w:hAnsi="Book Antiqua" w:cs="Book Antiqua"/>
          <w:color w:val="000000"/>
        </w:rPr>
        <w:t>carbohydrate antigen 125, carbohydrate antigen 153, and carbohydrate antigen 19-9 were all normal.</w:t>
      </w:r>
    </w:p>
    <w:p w14:paraId="5B004582" w14:textId="77777777" w:rsidR="00BC56AD" w:rsidRDefault="00BC56AD">
      <w:pPr>
        <w:spacing w:line="360" w:lineRule="auto"/>
        <w:jc w:val="both"/>
        <w:rPr>
          <w:rFonts w:ascii="Book Antiqua" w:hAnsi="Book Antiqua"/>
        </w:rPr>
      </w:pPr>
    </w:p>
    <w:p w14:paraId="34778131" w14:textId="77777777" w:rsidR="00BC56AD" w:rsidRDefault="004338DE">
      <w:pPr>
        <w:spacing w:line="360" w:lineRule="auto"/>
        <w:jc w:val="both"/>
        <w:rPr>
          <w:rFonts w:ascii="Book Antiqua" w:hAnsi="Book Antiqua"/>
        </w:rPr>
      </w:pPr>
      <w:r>
        <w:rPr>
          <w:rFonts w:ascii="Book Antiqua" w:eastAsia="Book Antiqua" w:hAnsi="Book Antiqua" w:cs="Book Antiqua"/>
          <w:b/>
          <w:i/>
          <w:color w:val="000000"/>
        </w:rPr>
        <w:t>Imaging examinations</w:t>
      </w:r>
    </w:p>
    <w:p w14:paraId="67A3FD08"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The abdominal contrast-enhanced ultrasound revealed a hypoechoic mass with a diameter of 8.5 cm between the liver and stomach. It had poorly defined boundaries and an irregular shape and mutual continuity with the gastric antrum. The pancreas was compressed by the mass, and a branch of the celiac trunk was seen to extend into the center of the mass. The ultrasound contrast agent SonoVue (12 mL) was injected through the cubital vein, and the mass and liver parenchyma showed synchronous homogeneous enhancement in the arterial phase; conversely, the mass showed non-homogeneous enhancement in the portal vein phase and slightly non-homogeneous enhancement in the hepatic delay phase. Contrast-enhanced ultrasound indicated a gastric stromal tumor (Figure 1). Contrast-enhanced abdominal computed tomography (CT) revealed a soft-tissue-density mass measuring 8.5 cm in diameter between the liver and stomach. The mass had uneven internal density, mild continuous enhancement in the arterial phase, and blood supply from a small branch of the gastroduodenal artery. Furthermore, the mass was connected with the gastric antrum. There were no clearly enlarged lymph nodes in the abdominal cavity or retroperitoneum. Contrast-enhanced abdominal CT indicates a g</w:t>
      </w:r>
      <w:r>
        <w:rPr>
          <w:rFonts w:ascii="Book Antiqua" w:eastAsia="Book Antiqua" w:hAnsi="Book Antiqua" w:cs="Book Antiqua"/>
          <w:color w:val="000000"/>
          <w:shd w:val="clear" w:color="auto" w:fill="FCFCFE"/>
        </w:rPr>
        <w:t>astric antrum tumor</w:t>
      </w:r>
      <w:r>
        <w:rPr>
          <w:rFonts w:ascii="Book Antiqua" w:eastAsia="Book Antiqua" w:hAnsi="Book Antiqua" w:cs="Book Antiqua"/>
          <w:color w:val="000000"/>
        </w:rPr>
        <w:t xml:space="preserve"> (Figure 2)</w:t>
      </w:r>
      <w:r>
        <w:rPr>
          <w:rFonts w:ascii="Book Antiqua" w:eastAsia="Book Antiqua" w:hAnsi="Book Antiqua" w:cs="Book Antiqua"/>
          <w:color w:val="000000"/>
          <w:shd w:val="clear" w:color="auto" w:fill="FCFCFE"/>
        </w:rPr>
        <w:t>. Subsequent esophagogastroduodenoscopy revealed that the gastric antrum mucosa was intact and smooth</w:t>
      </w:r>
      <w:r>
        <w:rPr>
          <w:rFonts w:ascii="Book Antiqua" w:eastAsia="Book Antiqua" w:hAnsi="Book Antiqua" w:cs="Book Antiqua"/>
          <w:color w:val="000000"/>
        </w:rPr>
        <w:t xml:space="preserve"> (Figure 3)</w:t>
      </w:r>
      <w:r>
        <w:rPr>
          <w:rFonts w:ascii="Book Antiqua" w:eastAsia="Book Antiqua" w:hAnsi="Book Antiqua" w:cs="Book Antiqua"/>
          <w:color w:val="000000"/>
          <w:shd w:val="clear" w:color="auto" w:fill="FCFCFE"/>
        </w:rPr>
        <w:t xml:space="preserve">. </w:t>
      </w:r>
      <w:r>
        <w:rPr>
          <w:rFonts w:ascii="Book Antiqua" w:eastAsia="Book Antiqua" w:hAnsi="Book Antiqua" w:cs="Book Antiqua"/>
          <w:color w:val="000000"/>
        </w:rPr>
        <w:t>Chest CT and bone scan emission CT showed no abnormal findings.</w:t>
      </w:r>
    </w:p>
    <w:p w14:paraId="192EF9A5" w14:textId="77777777" w:rsidR="00BC56AD" w:rsidRDefault="00BC56AD">
      <w:pPr>
        <w:spacing w:line="360" w:lineRule="auto"/>
        <w:jc w:val="both"/>
        <w:rPr>
          <w:rFonts w:ascii="Book Antiqua" w:hAnsi="Book Antiqua"/>
        </w:rPr>
      </w:pPr>
    </w:p>
    <w:p w14:paraId="3A2BEB56" w14:textId="77777777" w:rsidR="00BC56AD" w:rsidRDefault="004338DE">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1F00527"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According to the above history and the related imaging examination, the final diagnosis was of an abdominal tumor potentially of a gastric origin.</w:t>
      </w:r>
    </w:p>
    <w:p w14:paraId="30028AE0" w14:textId="77777777" w:rsidR="00BC56AD" w:rsidRDefault="00BC56AD">
      <w:pPr>
        <w:spacing w:line="360" w:lineRule="auto"/>
        <w:jc w:val="both"/>
        <w:rPr>
          <w:rFonts w:ascii="Book Antiqua" w:hAnsi="Book Antiqua"/>
        </w:rPr>
      </w:pPr>
    </w:p>
    <w:p w14:paraId="6C9687D1" w14:textId="77777777" w:rsidR="00BC56AD" w:rsidRDefault="004338DE">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5E551F6"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lastRenderedPageBreak/>
        <w:t xml:space="preserve">The patient underwent distal subtotal gastrectomy, gastroenterostomy, intestinal anastomosis, and regional lymphadenectomy. The resected specimen contained a firm, round tumor with extraluminal growth. It was located in the gastric antrum and measured 8.5 cm × 5.0 cm. Histological examination revealed that the tumor developed from the serous layer of the stomach and involved the muscularis externa of the stomach (Figure 4A). Tumor cells were characterized by uniform, compact, round-to-oval nuclei, a modest amount of pale eosinophilic cytoplasm, and pseudorosette formation. There were punctate areas of necrosis, but the degree of necrosis was less than seen in usual small-cell carcinoma; atypical mitoses were occasionally observed (Figure 4A). No metastatic tumors were found in the regional lymph nodes. On immunohistochemistry, the tumor cells were found to strongly express CD99 on the membrane and in the cytoplasm, vimentin in the cytoplasm, Fli-1 in the nuclei, and NSE and SYN in the cytoplasm (Figure 4B-F). Molecular analysis using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revealed the EWS-FLI1 gene translocation t(11; 22) (q24; q12). Therefore, the tumor was eventually determined to be primary gastric ES. The patient recovered and was discharged from the hospital. Two months after the surgery, she underwent chemotherapy which was comprised of alternating vincristine–doxorubicin, cyclophosphamide, and ifosfamide–etoposide every 3 wk.</w:t>
      </w:r>
    </w:p>
    <w:p w14:paraId="29864015" w14:textId="77777777" w:rsidR="00BC56AD" w:rsidRDefault="00BC56AD">
      <w:pPr>
        <w:spacing w:line="360" w:lineRule="auto"/>
        <w:jc w:val="both"/>
        <w:rPr>
          <w:rFonts w:ascii="Book Antiqua" w:hAnsi="Book Antiqua"/>
        </w:rPr>
      </w:pPr>
    </w:p>
    <w:p w14:paraId="1E5526D2" w14:textId="77777777" w:rsidR="00BC56AD" w:rsidRDefault="004338DE">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3BEFAD0" w14:textId="0A0749F4" w:rsidR="00BC56AD" w:rsidRDefault="004338DE">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Ultimately, the patient was tumor-free and achieved an excellent prognosis. At the time of writing this paper, </w:t>
      </w:r>
      <w:r>
        <w:rPr>
          <w:rFonts w:ascii="Book Antiqua" w:eastAsia="Book Antiqua" w:hAnsi="Book Antiqua" w:cs="Book Antiqua"/>
          <w:color w:val="000000"/>
        </w:rPr>
        <w:t xml:space="preserve">she was still alive and undergoing her tenth round of chemotherapy, </w:t>
      </w:r>
      <w:r>
        <w:rPr>
          <w:rFonts w:ascii="Book Antiqua" w:eastAsia="Book Antiqua" w:hAnsi="Book Antiqua" w:cs="Book Antiqua"/>
          <w:color w:val="000000"/>
          <w:shd w:val="clear" w:color="auto" w:fill="FFFFFF"/>
        </w:rPr>
        <w:t>and she showed</w:t>
      </w:r>
      <w:r>
        <w:rPr>
          <w:rFonts w:ascii="Book Antiqua" w:eastAsia="Book Antiqua" w:hAnsi="Book Antiqua" w:cs="Book Antiqua"/>
          <w:color w:val="000000"/>
        </w:rPr>
        <w:t xml:space="preserve"> no sign of a relapse 11 mo after the surgery (Figure 5).</w:t>
      </w:r>
    </w:p>
    <w:p w14:paraId="10A8E411" w14:textId="77777777" w:rsidR="00BC56AD" w:rsidRDefault="00BC56AD">
      <w:pPr>
        <w:spacing w:line="360" w:lineRule="auto"/>
        <w:jc w:val="both"/>
        <w:rPr>
          <w:rFonts w:ascii="Book Antiqua" w:hAnsi="Book Antiqua"/>
        </w:rPr>
      </w:pPr>
    </w:p>
    <w:p w14:paraId="3A42263C" w14:textId="77777777" w:rsidR="00BC56AD" w:rsidRDefault="004338D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6C19F45" w14:textId="77777777" w:rsidR="00BC56AD" w:rsidRDefault="004338DE">
      <w:pPr>
        <w:spacing w:line="360" w:lineRule="auto"/>
        <w:jc w:val="both"/>
        <w:rPr>
          <w:rFonts w:ascii="Book Antiqua" w:hAnsi="Book Antiqua"/>
        </w:rPr>
      </w:pPr>
      <w:r>
        <w:rPr>
          <w:rFonts w:ascii="Book Antiqua" w:eastAsia="Book Antiqua" w:hAnsi="Book Antiqua" w:cs="Book Antiqua"/>
          <w:color w:val="000000"/>
          <w:shd w:val="clear" w:color="auto" w:fill="FFFFFF"/>
        </w:rPr>
        <w:t>ES is a highly malignant and small round cell tumor. It comprises classic ES of the bone, EES, and peripheral PNETs of the bone and soft tissue</w:t>
      </w:r>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Primary gastric ES is exceptionally rare. Czekalla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first reported a case of gastric ES in 2004, and few cases have been reported in the literature so far. We summarize the reported cases of primary </w:t>
      </w:r>
      <w:r>
        <w:rPr>
          <w:rFonts w:ascii="Book Antiqua" w:eastAsia="Book Antiqua" w:hAnsi="Book Antiqua" w:cs="Book Antiqua"/>
          <w:color w:val="000000"/>
          <w:shd w:val="clear" w:color="auto" w:fill="FFFFFF"/>
        </w:rPr>
        <w:lastRenderedPageBreak/>
        <w:t>gastric ES in Table 1, describing their clinical presentation, immunohistochemistry findings, treatment and outcome</w:t>
      </w:r>
      <w:r>
        <w:rPr>
          <w:rFonts w:ascii="Book Antiqua" w:eastAsia="Book Antiqua" w:hAnsi="Book Antiqua" w:cs="Book Antiqua"/>
          <w:color w:val="000000"/>
          <w:shd w:val="clear" w:color="auto" w:fill="FFFFFF"/>
          <w:vertAlign w:val="superscript"/>
        </w:rPr>
        <w:t>[1,4,6-15]</w:t>
      </w:r>
      <w:r>
        <w:rPr>
          <w:rFonts w:ascii="Book Antiqua" w:eastAsia="Book Antiqua" w:hAnsi="Book Antiqua" w:cs="Book Antiqua"/>
          <w:color w:val="000000"/>
          <w:shd w:val="clear" w:color="auto" w:fill="FFFFFF"/>
        </w:rPr>
        <w:t xml:space="preserve">. The rare occurrence of EES in the stomach may be related to its origin from primitive tumor cells. Although the histogenesis of </w:t>
      </w:r>
      <w:r>
        <w:rPr>
          <w:rFonts w:ascii="Book Antiqua" w:eastAsia="Book Antiqua" w:hAnsi="Book Antiqua" w:cs="Book Antiqua"/>
          <w:color w:val="000000"/>
        </w:rPr>
        <w:t>ES is unclear, it is well known that the most common chromosomal rearrangement in ES is a translocation between chromosomes 11 and 22 [t(11;22) (q24; q12)], which can result in new EWSR1-ETS fusion proteins as transcription factors that regulate the target genes, consequently leading to cell transformation and generation of tumors with ES morphology and gene expression characteristics</w:t>
      </w:r>
      <w:r>
        <w:rPr>
          <w:rFonts w:ascii="Book Antiqua" w:eastAsia="Book Antiqua" w:hAnsi="Book Antiqua" w:cs="Book Antiqua"/>
          <w:color w:val="000000"/>
          <w:shd w:val="clear" w:color="auto" w:fill="FFFFFF"/>
          <w:vertAlign w:val="superscript"/>
        </w:rPr>
        <w:t>[16]</w:t>
      </w:r>
      <w:r>
        <w:rPr>
          <w:rFonts w:ascii="Book Antiqua" w:eastAsia="Book Antiqua" w:hAnsi="Book Antiqua" w:cs="Book Antiqua"/>
          <w:color w:val="000000"/>
          <w:shd w:val="clear" w:color="auto" w:fill="FFFFFF"/>
        </w:rPr>
        <w:t xml:space="preserve">. By projecting t(11; 22) (q24; Q12) translocation, Sole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[17]</w:t>
      </w:r>
      <w:r>
        <w:rPr>
          <w:rFonts w:ascii="Book Antiqua" w:eastAsia="Book Antiqua" w:hAnsi="Book Antiqua" w:cs="Book Antiqua"/>
          <w:color w:val="000000"/>
          <w:shd w:val="clear" w:color="auto" w:fill="FFFFFF"/>
        </w:rPr>
        <w:t xml:space="preserve"> generated a large number of immortalized cells (EWIma cells) resistant to EWSR1-FLI1 expression from primary mesenchymal stem cells; these cells induced tumors and metastases in mice, suggesting that </w:t>
      </w:r>
      <w:r>
        <w:rPr>
          <w:rFonts w:ascii="Book Antiqua" w:eastAsia="Book Antiqua" w:hAnsi="Book Antiqua" w:cs="Book Antiqua"/>
          <w:color w:val="000000"/>
        </w:rPr>
        <w:t xml:space="preserve">ES </w:t>
      </w:r>
      <w:r>
        <w:rPr>
          <w:rFonts w:ascii="Book Antiqua" w:eastAsia="Book Antiqua" w:hAnsi="Book Antiqua" w:cs="Book Antiqua"/>
          <w:color w:val="000000"/>
          <w:shd w:val="clear" w:color="auto" w:fill="FFFFFF"/>
        </w:rPr>
        <w:t>originates from human bone marrow primitive mesenchymal cells. Therefore, embryonic stem cell tumor cells of ES are possibly derived from primitive mesenchymal cells and possess limited neural differentiation potential</w:t>
      </w:r>
      <w:r>
        <w:rPr>
          <w:rFonts w:ascii="Book Antiqua" w:eastAsia="Book Antiqua" w:hAnsi="Book Antiqua" w:cs="Book Antiqua"/>
          <w:color w:val="000000"/>
          <w:shd w:val="clear" w:color="auto" w:fill="FFFFFF"/>
          <w:vertAlign w:val="superscript"/>
        </w:rPr>
        <w:t>[18,19]</w:t>
      </w:r>
      <w:r>
        <w:rPr>
          <w:rFonts w:ascii="Book Antiqua" w:eastAsia="Book Antiqua" w:hAnsi="Book Antiqua" w:cs="Book Antiqua"/>
          <w:color w:val="000000"/>
          <w:shd w:val="clear" w:color="auto" w:fill="FFFFFF"/>
        </w:rPr>
        <w:t>. This explains why they are typically located in the bone, peripheral nerves, and soft tissue</w:t>
      </w:r>
      <w:r>
        <w:rPr>
          <w:rFonts w:ascii="Book Antiqua" w:eastAsia="Book Antiqua" w:hAnsi="Book Antiqua" w:cs="Book Antiqua"/>
          <w:color w:val="000000"/>
          <w:shd w:val="clear" w:color="auto" w:fill="FFFFFF"/>
          <w:vertAlign w:val="superscript"/>
        </w:rPr>
        <w:t>[20]</w:t>
      </w:r>
      <w:r>
        <w:rPr>
          <w:rFonts w:ascii="Book Antiqua" w:eastAsia="Book Antiqua" w:hAnsi="Book Antiqua" w:cs="Book Antiqua"/>
          <w:color w:val="000000"/>
          <w:shd w:val="clear" w:color="auto" w:fill="FFFFFF"/>
        </w:rPr>
        <w:t>.</w:t>
      </w:r>
    </w:p>
    <w:p w14:paraId="1D07DAE2" w14:textId="77777777" w:rsidR="00BC56AD" w:rsidRDefault="004338DE">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EES grows slowly, and the mass diameter can exceed 20 cm; however, patients often do not exhibit any evident clinical symptoms</w:t>
      </w:r>
      <w:r>
        <w:rPr>
          <w:rFonts w:ascii="Book Antiqua" w:eastAsia="Book Antiqua" w:hAnsi="Book Antiqua" w:cs="Book Antiqua"/>
          <w:color w:val="000000"/>
          <w:shd w:val="clear" w:color="auto" w:fill="FFFFFF"/>
          <w:vertAlign w:val="superscript"/>
        </w:rPr>
        <w:t>[21]</w:t>
      </w:r>
      <w:r>
        <w:rPr>
          <w:rFonts w:ascii="Book Antiqua" w:eastAsia="Book Antiqua" w:hAnsi="Book Antiqua" w:cs="Book Antiqua"/>
          <w:color w:val="000000"/>
          <w:shd w:val="clear" w:color="auto" w:fill="FFFFFF"/>
        </w:rPr>
        <w:t>. Y</w:t>
      </w:r>
      <w:r>
        <w:rPr>
          <w:rFonts w:ascii="Book Antiqua" w:eastAsia="宋体"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summarized 12 cases of primary gastric ES and found that it tends to occur more often in women, has nonspecific clinical manifestations, and predominantly presents as single tumors larger than 5 cm in diameter. Therefore, primary gastric ES is difficult to detect and diagnose early. In our patient, the clinical manifestations were nonspecific, and she was admitted to the hospital for further examination because she inadvertently palpated and identified an abdominal mass, which was eventually found to be an abdominal tumor.</w:t>
      </w:r>
    </w:p>
    <w:p w14:paraId="5164C826" w14:textId="77777777" w:rsidR="00BC56AD" w:rsidRDefault="004338DE">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Clinical examination, imaging, and histology are nonspecific in evaluating rare tumors and distinguishing them from other solid masses. </w:t>
      </w:r>
      <w:r>
        <w:rPr>
          <w:rFonts w:ascii="Book Antiqua" w:eastAsia="Book Antiqua" w:hAnsi="Book Antiqua" w:cs="Book Antiqua"/>
          <w:color w:val="000000"/>
        </w:rPr>
        <w:t>The imaging features of EES are nonspecific, with fluoro-18 fluorodeoxyglucose positron emission tomography/CT showing hypermetabolic lesions and CT/Magnetic resonance imaging typically showing an enhanced, bulky, soft-tissue lesion with internal heterogeneity if the tumor grows sufficiently large, secondary to ulceration, hemorrhage, and/or necrosis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Calcification </w:t>
      </w:r>
      <w:r>
        <w:rPr>
          <w:rFonts w:ascii="Book Antiqua" w:eastAsia="Book Antiqua" w:hAnsi="Book Antiqua" w:cs="Book Antiqua"/>
          <w:color w:val="000000"/>
        </w:rPr>
        <w:lastRenderedPageBreak/>
        <w:t>has been reported in up to 25% of cases</w:t>
      </w:r>
      <w:r>
        <w:rPr>
          <w:rFonts w:ascii="Book Antiqua" w:eastAsia="Book Antiqua" w:hAnsi="Book Antiqua" w:cs="Book Antiqua"/>
          <w:color w:val="000000"/>
          <w:vertAlign w:val="superscript"/>
        </w:rPr>
        <w:t>[4]</w:t>
      </w:r>
      <w:r>
        <w:rPr>
          <w:rFonts w:ascii="Book Antiqua" w:eastAsia="Book Antiqua" w:hAnsi="Book Antiqua" w:cs="Book Antiqua"/>
          <w:color w:val="000000"/>
        </w:rPr>
        <w:t>. On ultrasonography, EES usually appears as a low-echogenicity heterogeneous mass with intratumoral blood flow signals</w:t>
      </w:r>
      <w:r>
        <w:rPr>
          <w:rFonts w:ascii="Book Antiqua" w:eastAsia="Book Antiqua" w:hAnsi="Book Antiqua" w:cs="Book Antiqua"/>
          <w:color w:val="000000"/>
          <w:vertAlign w:val="superscript"/>
        </w:rPr>
        <w:t>[22]</w:t>
      </w:r>
      <w:r>
        <w:rPr>
          <w:rFonts w:ascii="Book Antiqua" w:eastAsia="Book Antiqua" w:hAnsi="Book Antiqua" w:cs="Book Antiqua"/>
          <w:color w:val="000000"/>
        </w:rPr>
        <w:t>. Owing to radiographic similarities, EES in abdominal and pelvic cavities may be frequently mistaken for gists</w:t>
      </w:r>
      <w:r>
        <w:rPr>
          <w:rFonts w:ascii="Book Antiqua" w:eastAsia="Book Antiqua" w:hAnsi="Book Antiqua" w:cs="Book Antiqua"/>
          <w:color w:val="000000"/>
          <w:vertAlign w:val="superscript"/>
        </w:rPr>
        <w:t>[5]</w:t>
      </w:r>
      <w:r>
        <w:rPr>
          <w:rFonts w:ascii="Book Antiqua" w:eastAsia="Book Antiqua" w:hAnsi="Book Antiqua" w:cs="Book Antiqua"/>
          <w:color w:val="000000"/>
        </w:rPr>
        <w:t>, which was also the case in the preoperative imaging examination of this patient.</w:t>
      </w:r>
    </w:p>
    <w:p w14:paraId="225F2E8D" w14:textId="77777777" w:rsidR="00BC56AD" w:rsidRDefault="004338DE">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Pathological diagnosis is the </w:t>
      </w:r>
      <w:r>
        <w:rPr>
          <w:rFonts w:ascii="Book Antiqua" w:eastAsia="Book Antiqua" w:hAnsi="Book Antiqua" w:cs="Book Antiqua"/>
          <w:color w:val="000000"/>
        </w:rPr>
        <w:t>gold</w:t>
      </w:r>
      <w:r>
        <w:rPr>
          <w:rFonts w:ascii="Book Antiqua" w:eastAsia="Book Antiqua" w:hAnsi="Book Antiqua" w:cs="Book Antiqua"/>
          <w:color w:val="000000"/>
          <w:shd w:val="clear" w:color="auto" w:fill="FFFFFF"/>
        </w:rPr>
        <w:t xml:space="preserve"> standard for EES diagnosis. Histologically, ES presents with undifferentiated uniform small round cells, absence of nucleoli, a finely granular chromatin pattern, and a scanty cytoplasm with varying degrees of neuroectodermal differentiation</w:t>
      </w:r>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Therefore, EES diagnosis relies on a constellation of immunohistochemical features as there is no pathognomonic marker, and these features include round cell morphology and characteristic immunohistochemistry findings, such as </w:t>
      </w:r>
      <w:r>
        <w:rPr>
          <w:rFonts w:ascii="Book Antiqua" w:eastAsia="Book Antiqua" w:hAnsi="Book Antiqua" w:cs="Book Antiqua"/>
          <w:color w:val="000000"/>
        </w:rPr>
        <w:t>CD99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FLI</w:t>
      </w:r>
      <w:r>
        <w:rPr>
          <w:rFonts w:ascii="Book Antiqua" w:eastAsia="Book Antiqua" w:hAnsi="Book Antiqua" w:cs="Book Antiqua"/>
          <w:color w:val="000000"/>
          <w:shd w:val="clear" w:color="auto" w:fill="FFFFFF"/>
        </w:rPr>
        <w:t xml:space="preserve">-1, vimentin, </w:t>
      </w:r>
      <w:r>
        <w:rPr>
          <w:rFonts w:ascii="Book Antiqua" w:eastAsia="Book Antiqua" w:hAnsi="Book Antiqua" w:cs="Book Antiqua"/>
          <w:color w:val="000000"/>
        </w:rPr>
        <w:t>NKX2</w:t>
      </w:r>
      <w:r>
        <w:rPr>
          <w:rFonts w:ascii="Book Antiqua" w:eastAsia="Book Antiqua" w:hAnsi="Book Antiqua" w:cs="Book Antiqua"/>
          <w:color w:val="000000"/>
          <w:shd w:val="clear" w:color="auto" w:fill="FFFFFF"/>
        </w:rPr>
        <w:t>, ERG, NSE, Leu-7, and SYN positivity</w:t>
      </w:r>
      <w:r>
        <w:rPr>
          <w:rFonts w:ascii="Book Antiqua" w:eastAsia="Book Antiqua" w:hAnsi="Book Antiqua" w:cs="Book Antiqua"/>
          <w:color w:val="000000"/>
          <w:shd w:val="clear" w:color="auto" w:fill="FFFFFF"/>
          <w:vertAlign w:val="superscript"/>
        </w:rPr>
        <w:t>[24,25]</w:t>
      </w:r>
      <w:r>
        <w:rPr>
          <w:rFonts w:ascii="Book Antiqua" w:eastAsia="Book Antiqua" w:hAnsi="Book Antiqua" w:cs="Book Antiqua"/>
          <w:color w:val="000000"/>
          <w:shd w:val="clear" w:color="auto" w:fill="FFFFFF"/>
        </w:rPr>
        <w:t>.</w:t>
      </w:r>
    </w:p>
    <w:p w14:paraId="38899B68" w14:textId="77777777" w:rsidR="00BC56AD" w:rsidRDefault="004338DE">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CD99 is a single-chain type-1 glycoprotein that is highly sensitive but not specific, and its presence can be noted in a lot of other neoplastic conditions</w:t>
      </w:r>
      <w:r>
        <w:rPr>
          <w:rFonts w:ascii="Book Antiqua" w:eastAsia="Book Antiqua" w:hAnsi="Book Antiqua" w:cs="Book Antiqua"/>
          <w:color w:val="000000"/>
          <w:shd w:val="clear" w:color="auto" w:fill="FFFFFF"/>
          <w:vertAlign w:val="superscript"/>
        </w:rPr>
        <w:t>[23,2</w:t>
      </w:r>
      <w:r>
        <w:rPr>
          <w:rFonts w:ascii="Book Antiqua" w:eastAsia="宋体" w:hAnsi="Book Antiqua" w:cs="Book Antiqua" w:hint="eastAsia"/>
          <w:color w:val="000000"/>
          <w:shd w:val="clear" w:color="auto" w:fill="FFFFFF"/>
          <w:vertAlign w:val="superscript"/>
          <w:lang w:eastAsia="zh-CN"/>
        </w:rPr>
        <w:t>4</w:t>
      </w:r>
      <w:r>
        <w:rPr>
          <w:rFonts w:ascii="Book Antiqua" w:eastAsia="Book Antiqua" w:hAnsi="Book Antiqua" w:cs="Book Antiqua"/>
          <w:color w:val="000000"/>
          <w:shd w:val="clear" w:color="auto" w:fill="FFFFFF"/>
          <w:vertAlign w:val="superscript"/>
        </w:rPr>
        <w:t>,</w:t>
      </w:r>
      <w:r>
        <w:rPr>
          <w:rFonts w:ascii="Book Antiqua" w:eastAsia="宋体" w:hAnsi="Book Antiqua" w:cs="Book Antiqua" w:hint="eastAsia"/>
          <w:color w:val="000000"/>
          <w:shd w:val="clear" w:color="auto" w:fill="FFFFFF"/>
          <w:vertAlign w:val="superscript"/>
          <w:lang w:eastAsia="zh-CN"/>
        </w:rPr>
        <w:t>26</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FLI-1 has recently been discovered as a DNA-binding transcription factor involved in t(11;22) translocation; although FLI-1 immunohistochemistry is typically positive in ES (about 75% of cases), it is also nonspecific and can occur in mucosal melanoma and neuroendocrine carcinoma</w:t>
      </w:r>
      <w:r>
        <w:rPr>
          <w:rFonts w:ascii="Book Antiqua" w:eastAsia="Book Antiqua" w:hAnsi="Book Antiqua" w:cs="Book Antiqua"/>
          <w:color w:val="000000"/>
          <w:shd w:val="clear" w:color="auto" w:fill="FFFFFF"/>
          <w:vertAlign w:val="superscript"/>
        </w:rPr>
        <w:t>[2</w:t>
      </w:r>
      <w:r>
        <w:rPr>
          <w:rFonts w:ascii="Book Antiqua" w:eastAsia="宋体" w:hAnsi="Book Antiqua" w:cs="Book Antiqua" w:hint="eastAsia"/>
          <w:color w:val="000000"/>
          <w:shd w:val="clear" w:color="auto" w:fill="FFFFFF"/>
          <w:vertAlign w:val="superscript"/>
          <w:lang w:eastAsia="zh-CN"/>
        </w:rPr>
        <w:t>4</w:t>
      </w:r>
      <w:r>
        <w:rPr>
          <w:rFonts w:ascii="Book Antiqua" w:eastAsia="Book Antiqua" w:hAnsi="Book Antiqua" w:cs="Book Antiqua"/>
          <w:color w:val="000000"/>
          <w:shd w:val="clear" w:color="auto" w:fill="FFFFFF"/>
          <w:vertAlign w:val="superscript"/>
        </w:rPr>
        <w:t>,2</w:t>
      </w:r>
      <w:r>
        <w:rPr>
          <w:rFonts w:ascii="Book Antiqua" w:eastAsia="宋体" w:hAnsi="Book Antiqua" w:cs="Book Antiqua" w:hint="eastAsia"/>
          <w:color w:val="000000"/>
          <w:shd w:val="clear" w:color="auto" w:fill="FFFFFF"/>
          <w:vertAlign w:val="superscript"/>
          <w:lang w:eastAsia="zh-CN"/>
        </w:rPr>
        <w:t>6</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Immunohistochemical studies may include an epithelial marker (pancytokeratin, such as CKAE1/AE3, epithelial membrane antigen, or OSCAR), a neuroendocrine marker (synaptophysin), a muscle marker (desmin, myogenin, or MYOD1), and S100 (to exclude melanoma)</w:t>
      </w:r>
      <w:r>
        <w:rPr>
          <w:rFonts w:ascii="Book Antiqua" w:eastAsia="Book Antiqua" w:hAnsi="Book Antiqua" w:cs="Book Antiqua"/>
          <w:color w:val="000000"/>
          <w:shd w:val="clear" w:color="auto" w:fill="FFFFFF"/>
          <w:vertAlign w:val="superscript"/>
        </w:rPr>
        <w:t>[26]</w:t>
      </w:r>
      <w:r>
        <w:rPr>
          <w:rFonts w:ascii="Book Antiqua" w:eastAsia="Book Antiqua" w:hAnsi="Book Antiqua" w:cs="Book Antiqua"/>
          <w:color w:val="000000"/>
          <w:shd w:val="clear" w:color="auto" w:fill="FFFFFF"/>
        </w:rPr>
        <w:t>. For patients suspected as having EES, fluorescence in situ hybridization is necessary to confirm the pathognomonic molecular abnormalities of t(11;22) (q24; q12)</w:t>
      </w:r>
      <w:r>
        <w:rPr>
          <w:rFonts w:ascii="Book Antiqua" w:eastAsia="Book Antiqua" w:hAnsi="Book Antiqua" w:cs="Book Antiqua"/>
          <w:color w:val="000000"/>
          <w:shd w:val="clear" w:color="auto" w:fill="FFFFFF"/>
          <w:vertAlign w:val="superscript"/>
        </w:rPr>
        <w:t>[24,25]</w:t>
      </w:r>
      <w:r>
        <w:rPr>
          <w:rFonts w:ascii="Book Antiqua" w:eastAsia="Book Antiqua" w:hAnsi="Book Antiqua" w:cs="Book Antiqua"/>
          <w:color w:val="000000"/>
          <w:shd w:val="clear" w:color="auto" w:fill="FFFFFF"/>
        </w:rPr>
        <w:t>.</w:t>
      </w:r>
    </w:p>
    <w:p w14:paraId="121BC9DD" w14:textId="77777777" w:rsidR="00BC56AD" w:rsidRDefault="004338DE">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There is no unified standard for the treatment of EES. Currently, surgical resection and chemoradiotherapy are the most widely used treatments</w:t>
      </w:r>
      <w:r>
        <w:rPr>
          <w:rFonts w:ascii="Book Antiqua" w:eastAsia="Book Antiqua" w:hAnsi="Book Antiqua" w:cs="Book Antiqua"/>
          <w:color w:val="000000"/>
          <w:shd w:val="clear" w:color="auto" w:fill="FFFFFF"/>
          <w:vertAlign w:val="superscript"/>
        </w:rPr>
        <w:t>[25]</w:t>
      </w:r>
      <w:r>
        <w:rPr>
          <w:rFonts w:ascii="Book Antiqua" w:eastAsia="Book Antiqua" w:hAnsi="Book Antiqua" w:cs="Book Antiqua"/>
          <w:color w:val="000000"/>
          <w:shd w:val="clear" w:color="auto" w:fill="FFFFFF"/>
        </w:rPr>
        <w:t xml:space="preserve">. In our patient, the tumor lesion was relatively </w:t>
      </w:r>
      <w:r>
        <w:rPr>
          <w:rFonts w:ascii="Book Antiqua" w:eastAsia="Book Antiqua" w:hAnsi="Book Antiqua" w:cs="Book Antiqua"/>
          <w:color w:val="000000"/>
        </w:rPr>
        <w:t>isolated</w:t>
      </w:r>
      <w:r>
        <w:rPr>
          <w:rFonts w:ascii="Book Antiqua" w:eastAsia="Book Antiqua" w:hAnsi="Book Antiqua" w:cs="Book Antiqua"/>
          <w:color w:val="000000"/>
          <w:shd w:val="clear" w:color="auto" w:fill="FFFFFF"/>
        </w:rPr>
        <w:t xml:space="preserve"> and had not spread to the abdominopelvic cavity, thus allowing for its complete excision. ES is a radiosensitive tumor, and isolated radiotherapy can be used as a local treatment. Both ES and EES possess the EWSR1–ETS fusion protein and belong to the ES family. Therefore, EES is similarly sensitive to radiotherapy. When </w:t>
      </w:r>
      <w:r>
        <w:rPr>
          <w:rFonts w:ascii="Book Antiqua" w:eastAsia="Book Antiqua" w:hAnsi="Book Antiqua" w:cs="Book Antiqua"/>
          <w:color w:val="000000"/>
          <w:shd w:val="clear" w:color="auto" w:fill="FFFFFF"/>
        </w:rPr>
        <w:lastRenderedPageBreak/>
        <w:t>it is not possible to obtain wide margins because of the presence of fixed structures, such as vessels and/or nerves, postoperative radiotherapy can be implemented for better local control</w:t>
      </w:r>
      <w:r>
        <w:rPr>
          <w:rFonts w:ascii="Book Antiqua" w:eastAsia="Book Antiqua" w:hAnsi="Book Antiqua" w:cs="Book Antiqua"/>
          <w:color w:val="000000"/>
          <w:shd w:val="clear" w:color="auto" w:fill="FFFFFF"/>
          <w:vertAlign w:val="superscript"/>
        </w:rPr>
        <w:t>[2</w:t>
      </w:r>
      <w:r>
        <w:rPr>
          <w:rFonts w:ascii="Book Antiqua" w:eastAsia="宋体" w:hAnsi="Book Antiqua" w:cs="Book Antiqua" w:hint="eastAsia"/>
          <w:color w:val="000000"/>
          <w:shd w:val="clear" w:color="auto" w:fill="FFFFFF"/>
          <w:vertAlign w:val="superscript"/>
          <w:lang w:eastAsia="zh-CN"/>
        </w:rPr>
        <w:t>7</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Accordingly, event-free survival at 5 years was better when surgery was followed by radiotherapy (70%) compared to only surgery (59%)</w:t>
      </w:r>
      <w:r>
        <w:rPr>
          <w:rFonts w:ascii="Book Antiqua" w:eastAsia="Book Antiqua" w:hAnsi="Book Antiqua" w:cs="Book Antiqua"/>
          <w:color w:val="000000"/>
          <w:shd w:val="clear" w:color="auto" w:fill="FFFFFF"/>
          <w:vertAlign w:val="superscript"/>
        </w:rPr>
        <w:t>[2</w:t>
      </w:r>
      <w:r>
        <w:rPr>
          <w:rFonts w:ascii="Book Antiqua" w:eastAsia="宋体" w:hAnsi="Book Antiqua" w:cs="Book Antiqua" w:hint="eastAsia"/>
          <w:color w:val="000000"/>
          <w:shd w:val="clear" w:color="auto" w:fill="FFFFFF"/>
          <w:vertAlign w:val="superscript"/>
          <w:lang w:eastAsia="zh-CN"/>
        </w:rPr>
        <w:t>8</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However, our patient refused to undergo radiation therapy after radical surgery. </w:t>
      </w:r>
      <w:r>
        <w:rPr>
          <w:rFonts w:ascii="Book Antiqua" w:eastAsia="Book Antiqua" w:hAnsi="Book Antiqua" w:cs="Book Antiqua"/>
          <w:color w:val="000000"/>
        </w:rPr>
        <w:t>Two months after the surgery, she underwent chemotherapy which comprised alternating cyclophosphamide, vincristine–doxorubicin, and ifosfamide–etoposide every 3 wk. At the time of the writing of this report, she is alive and shows no signs of recurrence 11 mo after the operation.</w:t>
      </w:r>
    </w:p>
    <w:p w14:paraId="4F1BD809" w14:textId="77777777" w:rsidR="00BC56AD" w:rsidRDefault="00BC56AD">
      <w:pPr>
        <w:spacing w:line="360" w:lineRule="auto"/>
        <w:ind w:firstLine="480"/>
        <w:jc w:val="both"/>
        <w:rPr>
          <w:rFonts w:ascii="Book Antiqua" w:hAnsi="Book Antiqua"/>
        </w:rPr>
      </w:pPr>
    </w:p>
    <w:p w14:paraId="7A3BA64F" w14:textId="77777777" w:rsidR="00BC56AD" w:rsidRDefault="004338D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D682B1E" w14:textId="77777777" w:rsidR="00BC56AD" w:rsidRDefault="004338DE">
      <w:pPr>
        <w:spacing w:line="360" w:lineRule="auto"/>
        <w:jc w:val="both"/>
        <w:rPr>
          <w:rFonts w:ascii="Book Antiqua" w:hAnsi="Book Antiqua"/>
        </w:rPr>
      </w:pPr>
      <w:r>
        <w:rPr>
          <w:rFonts w:ascii="Book Antiqua" w:eastAsia="Book Antiqua" w:hAnsi="Book Antiqua" w:cs="Book Antiqua"/>
          <w:color w:val="000000"/>
          <w:shd w:val="clear" w:color="auto" w:fill="FFFFFF"/>
        </w:rPr>
        <w:t>Taken together, primary gastric ES is difficult to diagnose early because of its rarity and nonspecific symptoms, signs, and imaging features.</w:t>
      </w:r>
      <w:r>
        <w:rPr>
          <w:rFonts w:ascii="Book Antiqua" w:eastAsia="Book Antiqua" w:hAnsi="Book Antiqua" w:cs="Book Antiqua"/>
          <w:color w:val="000000"/>
        </w:rPr>
        <w:t xml:space="preserve"> We believe this rare case is of importance for clinicians and radiologists to enhance their awareness of early identification and diagnosis of this type of tumor.</w:t>
      </w:r>
    </w:p>
    <w:p w14:paraId="004B1903" w14:textId="77777777" w:rsidR="00BC56AD" w:rsidRDefault="00BC56AD">
      <w:pPr>
        <w:spacing w:line="360" w:lineRule="auto"/>
        <w:jc w:val="both"/>
        <w:rPr>
          <w:rFonts w:ascii="Book Antiqua" w:hAnsi="Book Antiqua"/>
        </w:rPr>
      </w:pPr>
    </w:p>
    <w:p w14:paraId="5C0B25E9"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REFERENCES</w:t>
      </w:r>
    </w:p>
    <w:p w14:paraId="32BA40BA"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Ye Y</w:t>
      </w:r>
      <w:r>
        <w:rPr>
          <w:rFonts w:ascii="Book Antiqua" w:eastAsia="Book Antiqua" w:hAnsi="Book Antiqua" w:cs="Book Antiqua"/>
        </w:rPr>
        <w:t xml:space="preserve">, Qiu X, Mei J, He D, Zou A. Primary gastric Ewing sarcoma/primitive neuroectodermal tumor. </w:t>
      </w:r>
      <w:r>
        <w:rPr>
          <w:rFonts w:ascii="Book Antiqua" w:eastAsia="Book Antiqua" w:hAnsi="Book Antiqua" w:cs="Book Antiqua"/>
          <w:i/>
          <w:iCs/>
        </w:rPr>
        <w:t>J Int Med Res</w:t>
      </w:r>
      <w:r>
        <w:rPr>
          <w:rFonts w:ascii="Book Antiqua" w:eastAsia="Book Antiqua" w:hAnsi="Book Antiqua" w:cs="Book Antiqua"/>
        </w:rPr>
        <w:t xml:space="preserve"> 2021; </w:t>
      </w:r>
      <w:r>
        <w:rPr>
          <w:rFonts w:ascii="Book Antiqua" w:eastAsia="Book Antiqua" w:hAnsi="Book Antiqua" w:cs="Book Antiqua"/>
          <w:b/>
          <w:bCs/>
        </w:rPr>
        <w:t>49</w:t>
      </w:r>
      <w:r>
        <w:rPr>
          <w:rFonts w:ascii="Book Antiqua" w:eastAsia="Book Antiqua" w:hAnsi="Book Antiqua" w:cs="Book Antiqua"/>
        </w:rPr>
        <w:t>: 300060520986681 [PMID: 33530793 DOI: 10.1177/0300060520986681]</w:t>
      </w:r>
    </w:p>
    <w:p w14:paraId="2E51E2B5"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Lewis TB</w:t>
      </w:r>
      <w:r>
        <w:rPr>
          <w:rFonts w:ascii="Book Antiqua" w:eastAsia="Book Antiqua" w:hAnsi="Book Antiqua" w:cs="Book Antiqua"/>
        </w:rPr>
        <w:t xml:space="preserve">, Coffin CM, Bernard PS. Differentiating Ewing's sarcoma from other round blue cell tumors using a RT-PCR translocation panel on formalin-fixed paraffin-embedded tissues. </w:t>
      </w:r>
      <w:r>
        <w:rPr>
          <w:rFonts w:ascii="Book Antiqua" w:eastAsia="Book Antiqua" w:hAnsi="Book Antiqua" w:cs="Book Antiqua"/>
          <w:i/>
          <w:iCs/>
        </w:rPr>
        <w:t>Mod Pathol</w:t>
      </w:r>
      <w:r>
        <w:rPr>
          <w:rFonts w:ascii="Book Antiqua" w:eastAsia="Book Antiqua" w:hAnsi="Book Antiqua" w:cs="Book Antiqua"/>
        </w:rPr>
        <w:t xml:space="preserve"> 2007; </w:t>
      </w:r>
      <w:r>
        <w:rPr>
          <w:rFonts w:ascii="Book Antiqua" w:eastAsia="Book Antiqua" w:hAnsi="Book Antiqua" w:cs="Book Antiqua"/>
          <w:b/>
          <w:bCs/>
        </w:rPr>
        <w:t>20</w:t>
      </w:r>
      <w:r>
        <w:rPr>
          <w:rFonts w:ascii="Book Antiqua" w:eastAsia="Book Antiqua" w:hAnsi="Book Antiqua" w:cs="Book Antiqua"/>
        </w:rPr>
        <w:t>: 397-404 [PMID: 17334332 DOI: 10.1038/modpathol.3800755]</w:t>
      </w:r>
    </w:p>
    <w:p w14:paraId="16730A01"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Brasme JF</w:t>
      </w:r>
      <w:r>
        <w:rPr>
          <w:rFonts w:ascii="Book Antiqua" w:eastAsia="Book Antiqua" w:hAnsi="Book Antiqua" w:cs="Book Antiqua"/>
        </w:rPr>
        <w:t xml:space="preserve">, Chalumeau M, Oberlin O, Valteau-Couanet D, Gaspar N. Time to diagnosis of Ewing tumors in children and adolescents is not associated with metastasis or survival: a prospective multicenter study of 436 patients. </w:t>
      </w:r>
      <w:r>
        <w:rPr>
          <w:rFonts w:ascii="Book Antiqua" w:eastAsia="Book Antiqua" w:hAnsi="Book Antiqua" w:cs="Book Antiqua"/>
          <w:i/>
          <w:iCs/>
        </w:rPr>
        <w:t>J Clin Oncol</w:t>
      </w:r>
      <w:r>
        <w:rPr>
          <w:rFonts w:ascii="Book Antiqua" w:eastAsia="Book Antiqua" w:hAnsi="Book Antiqua" w:cs="Book Antiqua"/>
        </w:rPr>
        <w:t xml:space="preserve"> 2014; </w:t>
      </w:r>
      <w:r>
        <w:rPr>
          <w:rFonts w:ascii="Book Antiqua" w:eastAsia="Book Antiqua" w:hAnsi="Book Antiqua" w:cs="Book Antiqua"/>
          <w:b/>
          <w:bCs/>
        </w:rPr>
        <w:t>32</w:t>
      </w:r>
      <w:r>
        <w:rPr>
          <w:rFonts w:ascii="Book Antiqua" w:eastAsia="Book Antiqua" w:hAnsi="Book Antiqua" w:cs="Book Antiqua"/>
        </w:rPr>
        <w:t>: 1935-1940 [PMID: 24841977 DOI: 10.1200/JCO.2013.53.8058]</w:t>
      </w:r>
    </w:p>
    <w:p w14:paraId="56539071" w14:textId="77777777" w:rsidR="00BC56AD" w:rsidRDefault="004338DE">
      <w:pPr>
        <w:spacing w:line="360" w:lineRule="auto"/>
        <w:jc w:val="both"/>
        <w:rPr>
          <w:rFonts w:ascii="Book Antiqua" w:hAnsi="Book Antiqua"/>
        </w:rPr>
      </w:pPr>
      <w:r>
        <w:rPr>
          <w:rFonts w:ascii="Book Antiqua" w:eastAsia="Book Antiqua" w:hAnsi="Book Antiqua" w:cs="Book Antiqua"/>
        </w:rPr>
        <w:lastRenderedPageBreak/>
        <w:t xml:space="preserve">4 </w:t>
      </w:r>
      <w:r>
        <w:rPr>
          <w:rFonts w:ascii="Book Antiqua" w:eastAsia="Book Antiqua" w:hAnsi="Book Antiqua" w:cs="Book Antiqua"/>
          <w:b/>
          <w:bCs/>
        </w:rPr>
        <w:t>Hopp AC</w:t>
      </w:r>
      <w:r>
        <w:rPr>
          <w:rFonts w:ascii="Book Antiqua" w:eastAsia="Book Antiqua" w:hAnsi="Book Antiqua" w:cs="Book Antiqua"/>
        </w:rPr>
        <w:t xml:space="preserve">, Nguyen BD. Gastrointestinal: Multi-modality imaging of extraskeletal Ewing sarcoma of the stomach. </w:t>
      </w:r>
      <w:r>
        <w:rPr>
          <w:rFonts w:ascii="Book Antiqua" w:eastAsia="Book Antiqua" w:hAnsi="Book Antiqua" w:cs="Book Antiqua"/>
          <w:i/>
          <w:iCs/>
        </w:rPr>
        <w:t>J Gastroenterol Hepatol</w:t>
      </w:r>
      <w:r>
        <w:rPr>
          <w:rFonts w:ascii="Book Antiqua" w:eastAsia="Book Antiqua" w:hAnsi="Book Antiqua" w:cs="Book Antiqua"/>
        </w:rPr>
        <w:t xml:space="preserve"> 2019; </w:t>
      </w:r>
      <w:r>
        <w:rPr>
          <w:rFonts w:ascii="Book Antiqua" w:eastAsia="Book Antiqua" w:hAnsi="Book Antiqua" w:cs="Book Antiqua"/>
          <w:b/>
          <w:bCs/>
        </w:rPr>
        <w:t>34</w:t>
      </w:r>
      <w:r>
        <w:rPr>
          <w:rFonts w:ascii="Book Antiqua" w:eastAsia="Book Antiqua" w:hAnsi="Book Antiqua" w:cs="Book Antiqua"/>
        </w:rPr>
        <w:t>: 1273 [PMID: 30912185 DOI: 10.1111/jgh.14638]</w:t>
      </w:r>
    </w:p>
    <w:p w14:paraId="5ED93536"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Huh J</w:t>
      </w:r>
      <w:r>
        <w:rPr>
          <w:rFonts w:ascii="Book Antiqua" w:eastAsia="Book Antiqua" w:hAnsi="Book Antiqua" w:cs="Book Antiqua"/>
        </w:rPr>
        <w:t xml:space="preserve">, Kim KW, Park SJ, Kim HJ, Lee JS, Ha HK, Tirumani SH, Ramaiya NH. Imaging Features of Primary Tumors and Metastatic Patterns of the Extraskeletal Ewing Sarcoma Family of Tumors in Adults: A 17-Year Experience at a Single Institution. </w:t>
      </w:r>
      <w:r>
        <w:rPr>
          <w:rFonts w:ascii="Book Antiqua" w:eastAsia="Book Antiqua" w:hAnsi="Book Antiqua" w:cs="Book Antiqua"/>
          <w:i/>
          <w:iCs/>
        </w:rPr>
        <w:t>Korean J Radiol</w:t>
      </w:r>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783-790 [PMID: 26175577 DOI: 10.3348/kjr.2015.16.4.783]</w:t>
      </w:r>
    </w:p>
    <w:p w14:paraId="4DDB439D"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Czekalla R</w:t>
      </w:r>
      <w:r>
        <w:rPr>
          <w:rFonts w:ascii="Book Antiqua" w:eastAsia="Book Antiqua" w:hAnsi="Book Antiqua" w:cs="Book Antiqua"/>
        </w:rPr>
        <w:t xml:space="preserve">, Fuchs M, Stölzle A, Nerlich A, Poremba C, Schaefer KL, Weirich G, Höfler H, Schneller F, Peschel C, Siewert JR, Schepp W. Peripheral primitive neuroectodermal tumor of the stomach in a 14-year-old boy: a case report. </w:t>
      </w:r>
      <w:r>
        <w:rPr>
          <w:rFonts w:ascii="Book Antiqua" w:eastAsia="Book Antiqua" w:hAnsi="Book Antiqua" w:cs="Book Antiqua"/>
          <w:i/>
          <w:iCs/>
        </w:rPr>
        <w:t>Eur J Gastroenterol Hepatol</w:t>
      </w:r>
      <w:r>
        <w:rPr>
          <w:rFonts w:ascii="Book Antiqua" w:eastAsia="Book Antiqua" w:hAnsi="Book Antiqua" w:cs="Book Antiqua"/>
        </w:rPr>
        <w:t xml:space="preserve"> 2004; </w:t>
      </w:r>
      <w:r>
        <w:rPr>
          <w:rFonts w:ascii="Book Antiqua" w:eastAsia="Book Antiqua" w:hAnsi="Book Antiqua" w:cs="Book Antiqua"/>
          <w:b/>
          <w:bCs/>
        </w:rPr>
        <w:t>16</w:t>
      </w:r>
      <w:r>
        <w:rPr>
          <w:rFonts w:ascii="Book Antiqua" w:eastAsia="Book Antiqua" w:hAnsi="Book Antiqua" w:cs="Book Antiqua"/>
        </w:rPr>
        <w:t>: 1391-1400 [PMID: 15618851 DOI: 10.1097/00042737-200412000-00026]</w:t>
      </w:r>
    </w:p>
    <w:p w14:paraId="6FBDC68F"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Soulard R</w:t>
      </w:r>
      <w:r>
        <w:rPr>
          <w:rFonts w:ascii="Book Antiqua" w:eastAsia="Book Antiqua" w:hAnsi="Book Antiqua" w:cs="Book Antiqua"/>
        </w:rPr>
        <w:t xml:space="preserve">, Claude V, Camparo P, Dufau JP, Saint-Blancard P, Gros P. Primitive neuroectodermal tumor of the stomach. </w:t>
      </w:r>
      <w:r>
        <w:rPr>
          <w:rFonts w:ascii="Book Antiqua" w:eastAsia="Book Antiqua" w:hAnsi="Book Antiqua" w:cs="Book Antiqua"/>
          <w:i/>
          <w:iCs/>
        </w:rPr>
        <w:t>Arch Pathol Lab Med</w:t>
      </w:r>
      <w:r>
        <w:rPr>
          <w:rFonts w:ascii="Book Antiqua" w:eastAsia="Book Antiqua" w:hAnsi="Book Antiqua" w:cs="Book Antiqua"/>
        </w:rPr>
        <w:t xml:space="preserve"> 2005; </w:t>
      </w:r>
      <w:r>
        <w:rPr>
          <w:rFonts w:ascii="Book Antiqua" w:eastAsia="Book Antiqua" w:hAnsi="Book Antiqua" w:cs="Book Antiqua"/>
          <w:b/>
          <w:bCs/>
        </w:rPr>
        <w:t>129</w:t>
      </w:r>
      <w:r>
        <w:rPr>
          <w:rFonts w:ascii="Book Antiqua" w:eastAsia="Book Antiqua" w:hAnsi="Book Antiqua" w:cs="Book Antiqua"/>
        </w:rPr>
        <w:t>: 107-110 [PMID: 15628889 DOI: 10.5858/2005-129-107-PNTOTS]</w:t>
      </w:r>
    </w:p>
    <w:p w14:paraId="5E7744B3"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Colovic RB</w:t>
      </w:r>
      <w:r>
        <w:rPr>
          <w:rFonts w:ascii="Book Antiqua" w:eastAsia="Book Antiqua" w:hAnsi="Book Antiqua" w:cs="Book Antiqua"/>
        </w:rPr>
        <w:t xml:space="preserve">, Grubor NM, Micev MT, Matic SV, Atkinson HD, Latincic SM. Perigastric extraskeletal Ewing's sarcoma: a case report. </w:t>
      </w:r>
      <w:r>
        <w:rPr>
          <w:rFonts w:ascii="Book Antiqua" w:eastAsia="Book Antiqua" w:hAnsi="Book Antiqua" w:cs="Book Antiqua"/>
          <w:i/>
          <w:iCs/>
        </w:rPr>
        <w:t>World J Gastroenterol</w:t>
      </w:r>
      <w:r>
        <w:rPr>
          <w:rFonts w:ascii="Book Antiqua" w:eastAsia="Book Antiqua" w:hAnsi="Book Antiqua" w:cs="Book Antiqua"/>
        </w:rPr>
        <w:t xml:space="preserve"> 2009; </w:t>
      </w:r>
      <w:r>
        <w:rPr>
          <w:rFonts w:ascii="Book Antiqua" w:eastAsia="Book Antiqua" w:hAnsi="Book Antiqua" w:cs="Book Antiqua"/>
          <w:b/>
          <w:bCs/>
        </w:rPr>
        <w:t>15</w:t>
      </w:r>
      <w:r>
        <w:rPr>
          <w:rFonts w:ascii="Book Antiqua" w:eastAsia="Book Antiqua" w:hAnsi="Book Antiqua" w:cs="Book Antiqua"/>
        </w:rPr>
        <w:t>: 245-247 [PMID: 19132777 DOI: 10.3748/wjg.15.245]</w:t>
      </w:r>
    </w:p>
    <w:p w14:paraId="20935E79"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Rafailidis S</w:t>
      </w:r>
      <w:r>
        <w:rPr>
          <w:rFonts w:ascii="Book Antiqua" w:eastAsia="Book Antiqua" w:hAnsi="Book Antiqua" w:cs="Book Antiqua"/>
        </w:rPr>
        <w:t xml:space="preserve">, Ballas K, Psarras K, Pavlidis T, Symeonidis N, Marakis G, Sakadamis A. Primary Ewing sarcoma of the stomach--a newly described entity. </w:t>
      </w:r>
      <w:r>
        <w:rPr>
          <w:rFonts w:ascii="Book Antiqua" w:eastAsia="Book Antiqua" w:hAnsi="Book Antiqua" w:cs="Book Antiqua"/>
          <w:i/>
          <w:iCs/>
        </w:rPr>
        <w:t>Eur Surg Res</w:t>
      </w:r>
      <w:r>
        <w:rPr>
          <w:rFonts w:ascii="Book Antiqua" w:eastAsia="Book Antiqua" w:hAnsi="Book Antiqua" w:cs="Book Antiqua"/>
        </w:rPr>
        <w:t xml:space="preserve"> 2009; </w:t>
      </w:r>
      <w:r>
        <w:rPr>
          <w:rFonts w:ascii="Book Antiqua" w:eastAsia="Book Antiqua" w:hAnsi="Book Antiqua" w:cs="Book Antiqua"/>
          <w:b/>
          <w:bCs/>
        </w:rPr>
        <w:t>42</w:t>
      </w:r>
      <w:r>
        <w:rPr>
          <w:rFonts w:ascii="Book Antiqua" w:eastAsia="Book Antiqua" w:hAnsi="Book Antiqua" w:cs="Book Antiqua"/>
        </w:rPr>
        <w:t>: 17-20 [PMID: 18971581 DOI: 10.1159/000166166]</w:t>
      </w:r>
    </w:p>
    <w:p w14:paraId="509BFA75"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Inoue M</w:t>
      </w:r>
      <w:r>
        <w:rPr>
          <w:rFonts w:ascii="Book Antiqua" w:eastAsia="Book Antiqua" w:hAnsi="Book Antiqua" w:cs="Book Antiqua"/>
        </w:rPr>
        <w:t xml:space="preserve">, Wakai T, Korita PV, Sakata J, Kurosaki R, Ogose A, Kawashima H, Shirai Y, Ajioka Y, Hatakeyama K. Gastric Ewing sarcoma/primitive neuroectodermal tumor: A case report. </w:t>
      </w:r>
      <w:r>
        <w:rPr>
          <w:rFonts w:ascii="Book Antiqua" w:eastAsia="Book Antiqua" w:hAnsi="Book Antiqua" w:cs="Book Antiqua"/>
          <w:i/>
          <w:iCs/>
        </w:rPr>
        <w:t>Oncol Lett</w:t>
      </w:r>
      <w:r>
        <w:rPr>
          <w:rFonts w:ascii="Book Antiqua" w:eastAsia="Book Antiqua" w:hAnsi="Book Antiqua" w:cs="Book Antiqua"/>
        </w:rPr>
        <w:t xml:space="preserve"> 2011; </w:t>
      </w:r>
      <w:r>
        <w:rPr>
          <w:rFonts w:ascii="Book Antiqua" w:eastAsia="Book Antiqua" w:hAnsi="Book Antiqua" w:cs="Book Antiqua"/>
          <w:b/>
          <w:bCs/>
        </w:rPr>
        <w:t>2</w:t>
      </w:r>
      <w:r>
        <w:rPr>
          <w:rFonts w:ascii="Book Antiqua" w:eastAsia="Book Antiqua" w:hAnsi="Book Antiqua" w:cs="Book Antiqua"/>
        </w:rPr>
        <w:t>: 207-210 [PMID: 22866065 DOI: 10.3892/ol.2011.246]</w:t>
      </w:r>
    </w:p>
    <w:p w14:paraId="0AE444AE"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Kim HS</w:t>
      </w:r>
      <w:r>
        <w:rPr>
          <w:rFonts w:ascii="Book Antiqua" w:eastAsia="Book Antiqua" w:hAnsi="Book Antiqua" w:cs="Book Antiqua"/>
        </w:rPr>
        <w:t xml:space="preserve">, Kim S, Min YD, Kee KH, Hong R. Ewing's Sarcoma of the Stomach; Rare Case of Ewing's Sarcoma and Suggestion of New Treatment Strategy. </w:t>
      </w:r>
      <w:r>
        <w:rPr>
          <w:rFonts w:ascii="Book Antiqua" w:eastAsia="Book Antiqua" w:hAnsi="Book Antiqua" w:cs="Book Antiqua"/>
          <w:i/>
          <w:iCs/>
        </w:rPr>
        <w:t>J Gastric Cancer</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258-261 [PMID: 23346500 DOI: 10.5230/jgc.2012.12.4.258]</w:t>
      </w:r>
    </w:p>
    <w:p w14:paraId="722B8972"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Song MJ</w:t>
      </w:r>
      <w:r>
        <w:rPr>
          <w:rFonts w:ascii="Book Antiqua" w:eastAsia="Book Antiqua" w:hAnsi="Book Antiqua" w:cs="Book Antiqua"/>
        </w:rPr>
        <w:t xml:space="preserve">, An S, Lee SS, Kim BS, Kim J. Primitive Neuroectodermal Tumor of the Stomach: A Case Report. </w:t>
      </w:r>
      <w:r>
        <w:rPr>
          <w:rFonts w:ascii="Book Antiqua" w:eastAsia="Book Antiqua" w:hAnsi="Book Antiqua" w:cs="Book Antiqua"/>
          <w:i/>
          <w:iCs/>
        </w:rPr>
        <w:t>Int J Surg Pathol</w:t>
      </w:r>
      <w:r>
        <w:rPr>
          <w:rFonts w:ascii="Book Antiqua" w:eastAsia="Book Antiqua" w:hAnsi="Book Antiqua" w:cs="Book Antiqua"/>
        </w:rPr>
        <w:t xml:space="preserve"> 2016; </w:t>
      </w:r>
      <w:r>
        <w:rPr>
          <w:rFonts w:ascii="Book Antiqua" w:eastAsia="Book Antiqua" w:hAnsi="Book Antiqua" w:cs="Book Antiqua"/>
          <w:b/>
          <w:bCs/>
        </w:rPr>
        <w:t>24</w:t>
      </w:r>
      <w:r>
        <w:rPr>
          <w:rFonts w:ascii="Book Antiqua" w:eastAsia="Book Antiqua" w:hAnsi="Book Antiqua" w:cs="Book Antiqua"/>
        </w:rPr>
        <w:t>: 543-547 [PMID: 27006299 DOI: 10.1177/1066896916639371]</w:t>
      </w:r>
    </w:p>
    <w:p w14:paraId="0B44CA23" w14:textId="77777777" w:rsidR="00BC56AD" w:rsidRDefault="004338DE">
      <w:pPr>
        <w:spacing w:line="360" w:lineRule="auto"/>
        <w:jc w:val="both"/>
        <w:rPr>
          <w:rFonts w:ascii="Book Antiqua" w:hAnsi="Book Antiqua"/>
        </w:rPr>
      </w:pPr>
      <w:r>
        <w:rPr>
          <w:rFonts w:ascii="Book Antiqua" w:eastAsia="Book Antiqua" w:hAnsi="Book Antiqua" w:cs="Book Antiqua"/>
        </w:rPr>
        <w:lastRenderedPageBreak/>
        <w:t xml:space="preserve">13 </w:t>
      </w:r>
      <w:r>
        <w:rPr>
          <w:rFonts w:ascii="Book Antiqua" w:eastAsia="Book Antiqua" w:hAnsi="Book Antiqua" w:cs="Book Antiqua"/>
          <w:b/>
          <w:bCs/>
        </w:rPr>
        <w:t>Kumar D</w:t>
      </w:r>
      <w:r>
        <w:rPr>
          <w:rFonts w:ascii="Book Antiqua" w:eastAsia="Book Antiqua" w:hAnsi="Book Antiqua" w:cs="Book Antiqua"/>
        </w:rPr>
        <w:t xml:space="preserve">. Primary Ewing’s sarcoma /primitive neuroectodermal tumor of stomach. </w:t>
      </w:r>
      <w:r>
        <w:rPr>
          <w:rFonts w:ascii="Book Antiqua" w:eastAsia="Book Antiqua" w:hAnsi="Book Antiqua" w:cs="Book Antiqua"/>
          <w:i/>
          <w:iCs/>
        </w:rPr>
        <w:t>Tropical Gastroenterology</w:t>
      </w:r>
      <w:r>
        <w:rPr>
          <w:rFonts w:ascii="Book Antiqua" w:eastAsia="Book Antiqua" w:hAnsi="Book Antiqua" w:cs="Book Antiqua"/>
        </w:rPr>
        <w:t xml:space="preserve"> 2016; 37 [DOI: 10.7869/tg.340]</w:t>
      </w:r>
    </w:p>
    <w:p w14:paraId="690B4D98"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Khuri S</w:t>
      </w:r>
      <w:r>
        <w:rPr>
          <w:rFonts w:ascii="Book Antiqua" w:eastAsia="Book Antiqua" w:hAnsi="Book Antiqua" w:cs="Book Antiqua"/>
        </w:rPr>
        <w:t xml:space="preserve">, Gilshtein H, Sayidaa S, Bishara B, Kluger Y. Primary Ewing Sarcoma/Primitive Neuroectodermal Tumor of the Stomach. </w:t>
      </w:r>
      <w:r>
        <w:rPr>
          <w:rFonts w:ascii="Book Antiqua" w:eastAsia="Book Antiqua" w:hAnsi="Book Antiqua" w:cs="Book Antiqua"/>
          <w:i/>
          <w:iCs/>
        </w:rPr>
        <w:t>Case Rep Oncol</w:t>
      </w:r>
      <w:r>
        <w:rPr>
          <w:rFonts w:ascii="Book Antiqua" w:eastAsia="Book Antiqua" w:hAnsi="Book Antiqua" w:cs="Book Antiqua"/>
        </w:rPr>
        <w:t xml:space="preserve"> 2016; </w:t>
      </w:r>
      <w:r>
        <w:rPr>
          <w:rFonts w:ascii="Book Antiqua" w:eastAsia="Book Antiqua" w:hAnsi="Book Antiqua" w:cs="Book Antiqua"/>
          <w:b/>
          <w:bCs/>
        </w:rPr>
        <w:t>9</w:t>
      </w:r>
      <w:r>
        <w:rPr>
          <w:rFonts w:ascii="Book Antiqua" w:eastAsia="Book Antiqua" w:hAnsi="Book Antiqua" w:cs="Book Antiqua"/>
        </w:rPr>
        <w:t>: 666-671 [PMID: 27920700 DOI: 10.1159/000449126]</w:t>
      </w:r>
    </w:p>
    <w:p w14:paraId="71ACB8DA"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Maxwell AW</w:t>
      </w:r>
      <w:r>
        <w:rPr>
          <w:rFonts w:ascii="Book Antiqua" w:eastAsia="Book Antiqua" w:hAnsi="Book Antiqua" w:cs="Book Antiqua"/>
        </w:rPr>
        <w:t xml:space="preserve">, Wood S, Dupuy DE. Primary extraskeletal Ewing sarcoma of the stomach: a rare disease in an uncommon location. </w:t>
      </w:r>
      <w:r>
        <w:rPr>
          <w:rFonts w:ascii="Book Antiqua" w:eastAsia="Book Antiqua" w:hAnsi="Book Antiqua" w:cs="Book Antiqua"/>
          <w:i/>
          <w:iCs/>
        </w:rPr>
        <w:t>Clin Imaging</w:t>
      </w:r>
      <w:r>
        <w:rPr>
          <w:rFonts w:ascii="Book Antiqua" w:eastAsia="Book Antiqua" w:hAnsi="Book Antiqua" w:cs="Book Antiqua"/>
        </w:rPr>
        <w:t xml:space="preserve"> 2016; </w:t>
      </w:r>
      <w:r>
        <w:rPr>
          <w:rFonts w:ascii="Book Antiqua" w:eastAsia="Book Antiqua" w:hAnsi="Book Antiqua" w:cs="Book Antiqua"/>
          <w:b/>
          <w:bCs/>
        </w:rPr>
        <w:t>40</w:t>
      </w:r>
      <w:r>
        <w:rPr>
          <w:rFonts w:ascii="Book Antiqua" w:eastAsia="Book Antiqua" w:hAnsi="Book Antiqua" w:cs="Book Antiqua"/>
        </w:rPr>
        <w:t>: 843-845 [PMID: 27179157 DOI: 10.1016/j.clinimag.2016.03.013]</w:t>
      </w:r>
    </w:p>
    <w:p w14:paraId="0A3C6DF9"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Castillero-Trejo Y</w:t>
      </w:r>
      <w:r>
        <w:rPr>
          <w:rFonts w:ascii="Book Antiqua" w:eastAsia="Book Antiqua" w:hAnsi="Book Antiqua" w:cs="Book Antiqua"/>
        </w:rPr>
        <w:t xml:space="preserve">, Eliazer S, Xiang L, Richardson JA, Ilaria RL Jr. Expression of the EWS/FLI-1 oncogene in murine primary bone-derived cells Results in EWS/FLI-1-dependent, ewing sarcoma-like tumors. </w:t>
      </w:r>
      <w:r>
        <w:rPr>
          <w:rFonts w:ascii="Book Antiqua" w:eastAsia="Book Antiqua" w:hAnsi="Book Antiqua" w:cs="Book Antiqua"/>
          <w:i/>
          <w:iCs/>
        </w:rPr>
        <w:t>Cancer Res</w:t>
      </w:r>
      <w:r>
        <w:rPr>
          <w:rFonts w:ascii="Book Antiqua" w:eastAsia="Book Antiqua" w:hAnsi="Book Antiqua" w:cs="Book Antiqua"/>
        </w:rPr>
        <w:t xml:space="preserve"> 2005; </w:t>
      </w:r>
      <w:r>
        <w:rPr>
          <w:rFonts w:ascii="Book Antiqua" w:eastAsia="Book Antiqua" w:hAnsi="Book Antiqua" w:cs="Book Antiqua"/>
          <w:b/>
          <w:bCs/>
        </w:rPr>
        <w:t>65</w:t>
      </w:r>
      <w:r>
        <w:rPr>
          <w:rFonts w:ascii="Book Antiqua" w:eastAsia="Book Antiqua" w:hAnsi="Book Antiqua" w:cs="Book Antiqua"/>
        </w:rPr>
        <w:t>: 8698-8705 [PMID: 16204038 DOI: 10.1158/0008-5472.CAN-05-1704]</w:t>
      </w:r>
    </w:p>
    <w:p w14:paraId="4B5396CA"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Sole A</w:t>
      </w:r>
      <w:r>
        <w:rPr>
          <w:rFonts w:ascii="Book Antiqua" w:eastAsia="Book Antiqua" w:hAnsi="Book Antiqua" w:cs="Book Antiqua"/>
        </w:rPr>
        <w:t xml:space="preserve">, Grossetête S, Heintzé M, Babin L, Zaïdi S, Revy P, Renouf B, De Cian A, Giovannangeli C, Pierre-Eugène C, Janoueix-Lerosey I, Couronné L, Kaltenbach S, Tomishima M, Jasin M, Grünewald TGP, Delattre O, Surdez D, Brunet E. Unraveling Ewing Sarcoma Tumorigenesis Originating from Patient-Derived Mesenchymal Stem Cells. </w:t>
      </w:r>
      <w:r>
        <w:rPr>
          <w:rFonts w:ascii="Book Antiqua" w:eastAsia="Book Antiqua" w:hAnsi="Book Antiqua" w:cs="Book Antiqua"/>
          <w:i/>
          <w:iCs/>
        </w:rPr>
        <w:t>Cancer Research</w:t>
      </w:r>
      <w:r>
        <w:rPr>
          <w:rFonts w:ascii="Book Antiqua" w:eastAsia="Book Antiqua" w:hAnsi="Book Antiqua" w:cs="Book Antiqua"/>
        </w:rPr>
        <w:t xml:space="preserve"> 2021; </w:t>
      </w:r>
      <w:r>
        <w:rPr>
          <w:rFonts w:ascii="Book Antiqua" w:eastAsia="Book Antiqua" w:hAnsi="Book Antiqua" w:cs="Book Antiqua"/>
          <w:b/>
          <w:bCs/>
        </w:rPr>
        <w:t>81</w:t>
      </w:r>
      <w:r>
        <w:rPr>
          <w:rFonts w:ascii="Book Antiqua" w:eastAsia="Book Antiqua" w:hAnsi="Book Antiqua" w:cs="Book Antiqua"/>
        </w:rPr>
        <w:t>: 4994-5006 [DOI: 10.1158/0008-5472.can-20-3837]</w:t>
      </w:r>
    </w:p>
    <w:p w14:paraId="60CC9919"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Riggi N</w:t>
      </w:r>
      <w:r>
        <w:rPr>
          <w:rFonts w:ascii="Book Antiqua" w:eastAsia="Book Antiqua" w:hAnsi="Book Antiqua" w:cs="Book Antiqua"/>
        </w:rPr>
        <w:t xml:space="preserve">, Cironi L, Provero P, Suvà ML, Kaloulis K, Garcia-Echeverria C, Hoffmann F, Trumpp A, Stamenkovic I. Development of Ewing's sarcoma from primary bone marrow-derived mesenchymal progenitor cells. </w:t>
      </w:r>
      <w:r>
        <w:rPr>
          <w:rFonts w:ascii="Book Antiqua" w:eastAsia="Book Antiqua" w:hAnsi="Book Antiqua" w:cs="Book Antiqua"/>
          <w:i/>
          <w:iCs/>
        </w:rPr>
        <w:t>Cancer Res</w:t>
      </w:r>
      <w:r>
        <w:rPr>
          <w:rFonts w:ascii="Book Antiqua" w:eastAsia="Book Antiqua" w:hAnsi="Book Antiqua" w:cs="Book Antiqua"/>
        </w:rPr>
        <w:t xml:space="preserve"> 2005; </w:t>
      </w:r>
      <w:r>
        <w:rPr>
          <w:rFonts w:ascii="Book Antiqua" w:eastAsia="Book Antiqua" w:hAnsi="Book Antiqua" w:cs="Book Antiqua"/>
          <w:b/>
          <w:bCs/>
        </w:rPr>
        <w:t>65</w:t>
      </w:r>
      <w:r>
        <w:rPr>
          <w:rFonts w:ascii="Book Antiqua" w:eastAsia="Book Antiqua" w:hAnsi="Book Antiqua" w:cs="Book Antiqua"/>
        </w:rPr>
        <w:t>: 11459-11468 [PMID: 16357154 DOI: 10.1158/0008-5472.CAN-05-1696]</w:t>
      </w:r>
    </w:p>
    <w:p w14:paraId="241A4C7E"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Tirode F</w:t>
      </w:r>
      <w:r>
        <w:rPr>
          <w:rFonts w:ascii="Book Antiqua" w:eastAsia="Book Antiqua" w:hAnsi="Book Antiqua" w:cs="Book Antiqua"/>
        </w:rPr>
        <w:t xml:space="preserve">, Laud-Duval K, Prieur A, Delorme B, Charbord P, Delattre O. Mesenchymal stem cell features of Ewing tumors. </w:t>
      </w:r>
      <w:r>
        <w:rPr>
          <w:rFonts w:ascii="Book Antiqua" w:eastAsia="Book Antiqua" w:hAnsi="Book Antiqua" w:cs="Book Antiqua"/>
          <w:i/>
          <w:iCs/>
        </w:rPr>
        <w:t>Cancer Cell</w:t>
      </w:r>
      <w:r>
        <w:rPr>
          <w:rFonts w:ascii="Book Antiqua" w:eastAsia="Book Antiqua" w:hAnsi="Book Antiqua" w:cs="Book Antiqua"/>
        </w:rPr>
        <w:t xml:space="preserve"> 2007; </w:t>
      </w:r>
      <w:r>
        <w:rPr>
          <w:rFonts w:ascii="Book Antiqua" w:eastAsia="Book Antiqua" w:hAnsi="Book Antiqua" w:cs="Book Antiqua"/>
          <w:b/>
          <w:bCs/>
        </w:rPr>
        <w:t>11</w:t>
      </w:r>
      <w:r>
        <w:rPr>
          <w:rFonts w:ascii="Book Antiqua" w:eastAsia="Book Antiqua" w:hAnsi="Book Antiqua" w:cs="Book Antiqua"/>
        </w:rPr>
        <w:t>: 421-429 [PMID: 17482132 DOI: 10.1016/j.ccr.2007.02.027]</w:t>
      </w:r>
    </w:p>
    <w:p w14:paraId="1FF553A5"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Tsokos M</w:t>
      </w:r>
      <w:r>
        <w:rPr>
          <w:rFonts w:ascii="Book Antiqua" w:eastAsia="Book Antiqua" w:hAnsi="Book Antiqua" w:cs="Book Antiqua"/>
        </w:rPr>
        <w:t xml:space="preserve">, Alaggio RD, Dehner LP, Dickman PS. Ewing sarcoma/peripheral primitive neuroectodermal tumor and related tumors. </w:t>
      </w:r>
      <w:r>
        <w:rPr>
          <w:rFonts w:ascii="Book Antiqua" w:eastAsia="Book Antiqua" w:hAnsi="Book Antiqua" w:cs="Book Antiqua"/>
          <w:i/>
          <w:iCs/>
        </w:rPr>
        <w:t>Pediatr Dev Pathol</w:t>
      </w:r>
      <w:r>
        <w:rPr>
          <w:rFonts w:ascii="Book Antiqua" w:eastAsia="Book Antiqua" w:hAnsi="Book Antiqua" w:cs="Book Antiqua"/>
        </w:rPr>
        <w:t xml:space="preserve"> 2012; </w:t>
      </w:r>
      <w:r>
        <w:rPr>
          <w:rFonts w:ascii="Book Antiqua" w:eastAsia="Book Antiqua" w:hAnsi="Book Antiqua" w:cs="Book Antiqua"/>
          <w:b/>
          <w:bCs/>
        </w:rPr>
        <w:t>15</w:t>
      </w:r>
      <w:r>
        <w:rPr>
          <w:rFonts w:ascii="Book Antiqua" w:eastAsia="Book Antiqua" w:hAnsi="Book Antiqua" w:cs="Book Antiqua"/>
        </w:rPr>
        <w:t>: 108-126 [PMID: 22420726 DOI: 10.2350/11-08-1078-PB.1]</w:t>
      </w:r>
    </w:p>
    <w:p w14:paraId="21969A90"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Nissim L</w:t>
      </w:r>
      <w:r>
        <w:rPr>
          <w:rFonts w:ascii="Book Antiqua" w:eastAsia="Book Antiqua" w:hAnsi="Book Antiqua" w:cs="Book Antiqua"/>
        </w:rPr>
        <w:t xml:space="preserve">, Mandell G. Gastric Ewing Sarcoma identified on a Meckel's scan. </w:t>
      </w:r>
      <w:r>
        <w:rPr>
          <w:rFonts w:ascii="Book Antiqua" w:eastAsia="Book Antiqua" w:hAnsi="Book Antiqua" w:cs="Book Antiqua"/>
          <w:i/>
          <w:iCs/>
        </w:rPr>
        <w:t>Radiol Case Rep</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1235-1237 [PMID: 32577140 DOI: 10.1016/j.radcr.2020.05.033]</w:t>
      </w:r>
    </w:p>
    <w:p w14:paraId="29B453F1" w14:textId="77777777" w:rsidR="00BC56AD" w:rsidRDefault="004338DE">
      <w:pPr>
        <w:spacing w:line="360" w:lineRule="auto"/>
        <w:jc w:val="both"/>
        <w:rPr>
          <w:rFonts w:ascii="Book Antiqua" w:hAnsi="Book Antiqua"/>
        </w:rPr>
      </w:pPr>
      <w:r>
        <w:rPr>
          <w:rFonts w:ascii="Book Antiqua" w:eastAsia="Book Antiqua" w:hAnsi="Book Antiqua" w:cs="Book Antiqua"/>
        </w:rPr>
        <w:lastRenderedPageBreak/>
        <w:t xml:space="preserve">22 </w:t>
      </w:r>
      <w:r>
        <w:rPr>
          <w:rFonts w:ascii="Book Antiqua" w:eastAsia="Book Antiqua" w:hAnsi="Book Antiqua" w:cs="Book Antiqua"/>
          <w:b/>
          <w:bCs/>
        </w:rPr>
        <w:t>Abboud A</w:t>
      </w:r>
      <w:r>
        <w:rPr>
          <w:rFonts w:ascii="Book Antiqua" w:eastAsia="Book Antiqua" w:hAnsi="Book Antiqua" w:cs="Book Antiqua"/>
        </w:rPr>
        <w:t xml:space="preserve">, Masrouha K, Saliba M, Haidar R, Saab R, Khoury N, Tawil A, Saghieh S. Extraskeletal Ewing sarcoma: Diagnosis, management and prognosis. </w:t>
      </w:r>
      <w:r>
        <w:rPr>
          <w:rFonts w:ascii="Book Antiqua" w:eastAsia="Book Antiqua" w:hAnsi="Book Antiqua" w:cs="Book Antiqua"/>
          <w:i/>
          <w:iCs/>
        </w:rPr>
        <w:t>Oncol Lett</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354 [PMID: 33747211 DOI: 10.3892/ol.2021.12615]</w:t>
      </w:r>
    </w:p>
    <w:p w14:paraId="0604FEEC"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Fletcher CDM,</w:t>
      </w:r>
      <w:r>
        <w:rPr>
          <w:rFonts w:ascii="Book Antiqua" w:eastAsia="Book Antiqua" w:hAnsi="Book Antiqua" w:cs="Book Antiqua"/>
        </w:rPr>
        <w:t xml:space="preserve"> Bridge JA, Hogendoorn P, Mertens F. Ewing Sarcoma. In: WHO Classification of Tumours of Soft Tissue and Bone. Fourth Edition. IARC, editor. 2013; 306-309</w:t>
      </w:r>
    </w:p>
    <w:p w14:paraId="08B46A52"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Bovée JVMG</w:t>
      </w:r>
      <w:r>
        <w:rPr>
          <w:rFonts w:ascii="Book Antiqua" w:eastAsia="Book Antiqua" w:hAnsi="Book Antiqua" w:cs="Book Antiqua"/>
        </w:rPr>
        <w:t xml:space="preserve">. Jason L. Hornick: Practical soft tissue pathology: a diagnostic approach, 2nd edition. </w:t>
      </w:r>
      <w:r>
        <w:rPr>
          <w:rFonts w:ascii="Book Antiqua" w:eastAsia="Book Antiqua" w:hAnsi="Book Antiqua" w:cs="Book Antiqua"/>
          <w:i/>
          <w:iCs/>
        </w:rPr>
        <w:t>Virchows Arch</w:t>
      </w:r>
      <w:r>
        <w:rPr>
          <w:rFonts w:ascii="Book Antiqua" w:eastAsia="Book Antiqua" w:hAnsi="Book Antiqua" w:cs="Book Antiqua"/>
        </w:rPr>
        <w:t xml:space="preserve"> 2018; </w:t>
      </w:r>
      <w:r>
        <w:rPr>
          <w:rFonts w:ascii="Book Antiqua" w:eastAsia="Book Antiqua" w:hAnsi="Book Antiqua" w:cs="Book Antiqua"/>
          <w:b/>
          <w:bCs/>
        </w:rPr>
        <w:t>473</w:t>
      </w:r>
      <w:r>
        <w:rPr>
          <w:rFonts w:ascii="Book Antiqua" w:eastAsia="Book Antiqua" w:hAnsi="Book Antiqua" w:cs="Book Antiqua"/>
        </w:rPr>
        <w:t>: 785-786 [PMID: 30159597 DOI: 10.1007/s00428-018-2440-z]</w:t>
      </w:r>
    </w:p>
    <w:p w14:paraId="0C5F8350"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Sethi P</w:t>
      </w:r>
      <w:r>
        <w:rPr>
          <w:rFonts w:ascii="Book Antiqua" w:eastAsia="Book Antiqua" w:hAnsi="Book Antiqua" w:cs="Book Antiqua"/>
        </w:rPr>
        <w:t xml:space="preserve">, Singh A, Srinivas BH, Ganesh RN, Kayal S. Practical Approach in Management of Extraosseous Ewing's Sarcoma of Head and Neck: A Case Series and Review of literature. </w:t>
      </w:r>
      <w:r>
        <w:rPr>
          <w:rFonts w:ascii="Book Antiqua" w:eastAsia="Book Antiqua" w:hAnsi="Book Antiqua" w:cs="Book Antiqua"/>
          <w:i/>
          <w:iCs/>
        </w:rPr>
        <w:t>Gulf J Oncolog</w:t>
      </w:r>
      <w:r>
        <w:rPr>
          <w:rFonts w:ascii="Book Antiqua" w:eastAsia="Book Antiqua" w:hAnsi="Book Antiqua" w:cs="Book Antiqua"/>
        </w:rPr>
        <w:t xml:space="preserve"> 2022; </w:t>
      </w:r>
      <w:r>
        <w:rPr>
          <w:rFonts w:ascii="Book Antiqua" w:eastAsia="Book Antiqua" w:hAnsi="Book Antiqua" w:cs="Book Antiqua"/>
          <w:b/>
          <w:bCs/>
        </w:rPr>
        <w:t>1</w:t>
      </w:r>
      <w:r>
        <w:rPr>
          <w:rFonts w:ascii="Book Antiqua" w:eastAsia="Book Antiqua" w:hAnsi="Book Antiqua" w:cs="Book Antiqua"/>
        </w:rPr>
        <w:t>: 79-88 [PMID: 35695350]</w:t>
      </w:r>
    </w:p>
    <w:p w14:paraId="473D5E64" w14:textId="77777777" w:rsidR="00BC56AD" w:rsidRDefault="004338DE">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Thompson LD</w:t>
      </w:r>
      <w:r>
        <w:rPr>
          <w:rFonts w:ascii="Book Antiqua" w:eastAsia="Book Antiqua" w:hAnsi="Book Antiqua" w:cs="Book Antiqua"/>
        </w:rPr>
        <w:t xml:space="preserve">. Small round blue cell tumors of the sinonasal tract: a differential diagnosis approach. </w:t>
      </w:r>
      <w:r>
        <w:rPr>
          <w:rFonts w:ascii="Book Antiqua" w:eastAsia="Book Antiqua" w:hAnsi="Book Antiqua" w:cs="Book Antiqua"/>
          <w:i/>
          <w:iCs/>
        </w:rPr>
        <w:t>Mod Pathol</w:t>
      </w:r>
      <w:r>
        <w:rPr>
          <w:rFonts w:ascii="Book Antiqua" w:eastAsia="Book Antiqua" w:hAnsi="Book Antiqua" w:cs="Book Antiqua"/>
        </w:rPr>
        <w:t xml:space="preserve"> 2017; </w:t>
      </w:r>
      <w:r>
        <w:rPr>
          <w:rFonts w:ascii="Book Antiqua" w:eastAsia="Book Antiqua" w:hAnsi="Book Antiqua" w:cs="Book Antiqua"/>
          <w:b/>
          <w:bCs/>
        </w:rPr>
        <w:t>30</w:t>
      </w:r>
      <w:r>
        <w:rPr>
          <w:rFonts w:ascii="Book Antiqua" w:eastAsia="Book Antiqua" w:hAnsi="Book Antiqua" w:cs="Book Antiqua"/>
        </w:rPr>
        <w:t>: S1-S26 [PMID: 28060373 DOI: 10.1038/modpathol.2016.119]</w:t>
      </w:r>
    </w:p>
    <w:p w14:paraId="185B035D" w14:textId="77777777" w:rsidR="00BC56AD" w:rsidRDefault="004338DE">
      <w:pPr>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Casali PG</w:t>
      </w:r>
      <w:r>
        <w:rPr>
          <w:rFonts w:ascii="Book Antiqua" w:eastAsia="Book Antiqua" w:hAnsi="Book Antiqua" w:cs="Book Antiqua"/>
        </w:rPr>
        <w:t xml:space="preserve">, Bielack S, Abecassis N, Aro HT, Bauer S, Biagini R, Bonvalot S, Boukovinas I, Bovee JVMG, Brennan B, Brodowicz T, Broto JM, Brugières L, Buonadonna A, De Álava E, Dei Tos AP, Del Muro XG, Dileo P, Dhooge C, Eriksson M, Fagioli F, Fedenko A, Ferraresi V, Ferrari A, Ferrari S, Frezza AM, Gaspar N, Gasperoni S, Gelderblom H, Gil T, Grignani G, Gronchi A, Haas RL, Hassan B, Hecker-Nolting S, Hohenberger P, Issels R, Joensuu H, Jones RL, Judson I, Jutte P, Kaal S, Kager L, Kasper B, Kopeckova K, Krákorová DA, Ladenstein R, Le Cesne A, Lugowska I, Merimsky O, Montemurro M, Morland B, Pantaleo MA, Piana R, Picci P, Piperno-Neumann S, Pousa AL, Reichardt P, Robinson MH, Rutkowski P, Safwat AA, Schöffski P, Sleijfer S, Stacchiotti S, Strauss SJ, Sundby Hall K, Unk M, Van Coevorden F, van der Graaf WTA, Whelan J, Wardelmann E, Zaikova O, Blay JY; ESMO Guidelines Committee, PaedCan and ERN EURACAN. Bone sarcomas: ESMO-PaedCan-EURACAN Clinical Practice Guidelines for diagnosis, treatment and follow-up. </w:t>
      </w:r>
      <w:r>
        <w:rPr>
          <w:rFonts w:ascii="Book Antiqua" w:eastAsia="Book Antiqua" w:hAnsi="Book Antiqua" w:cs="Book Antiqua"/>
          <w:i/>
          <w:iCs/>
        </w:rPr>
        <w:t>Ann Oncol</w:t>
      </w:r>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iv79-iv95 [PMID: 30285218 DOI: 10.1093/annonc/mdy310]</w:t>
      </w:r>
    </w:p>
    <w:p w14:paraId="769CC2E0" w14:textId="77777777" w:rsidR="00BC56AD" w:rsidRDefault="004338DE">
      <w:pPr>
        <w:spacing w:line="360" w:lineRule="auto"/>
        <w:jc w:val="both"/>
        <w:rPr>
          <w:rFonts w:ascii="Book Antiqua" w:hAnsi="Book Antiqua"/>
        </w:rPr>
      </w:pPr>
      <w:r>
        <w:rPr>
          <w:rFonts w:ascii="Book Antiqua" w:eastAsia="Book Antiqua" w:hAnsi="Book Antiqua" w:cs="Book Antiqua"/>
        </w:rPr>
        <w:lastRenderedPageBreak/>
        <w:t>2</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Muratori F</w:t>
      </w:r>
      <w:r>
        <w:rPr>
          <w:rFonts w:ascii="Book Antiqua" w:eastAsia="Book Antiqua" w:hAnsi="Book Antiqua" w:cs="Book Antiqua"/>
        </w:rPr>
        <w:t xml:space="preserve">, Mondanelli N, Pelagatti L, Frenos F, Matera D, Beltrami G, Innocenti M, Capanna R, Roselli G, Scoccianti G, Livi L, Greto D, Muntoni C, Baldi G, Tamburini A, Campanacci DA. Clinical features, prognostic factors and outcome in a series of 29 extra-skeletal Ewing Sarcoma. Adequate margins and surgery-radiotherapy association improve overall survival. </w:t>
      </w:r>
      <w:r>
        <w:rPr>
          <w:rFonts w:ascii="Book Antiqua" w:eastAsia="Book Antiqua" w:hAnsi="Book Antiqua" w:cs="Book Antiqua"/>
          <w:i/>
          <w:iCs/>
        </w:rPr>
        <w:t>J Orthop</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236-239 [PMID: 32273664 DOI: 10.1016/j.jor.2020.03.018]</w:t>
      </w:r>
    </w:p>
    <w:p w14:paraId="62054B0E" w14:textId="77777777" w:rsidR="00BC56AD" w:rsidRDefault="00BC56AD">
      <w:pPr>
        <w:spacing w:line="360" w:lineRule="auto"/>
        <w:jc w:val="both"/>
        <w:rPr>
          <w:rFonts w:ascii="Book Antiqua" w:hAnsi="Book Antiqua"/>
        </w:rPr>
        <w:sectPr w:rsidR="00BC56AD">
          <w:footerReference w:type="default" r:id="rId6"/>
          <w:pgSz w:w="12240" w:h="15840"/>
          <w:pgMar w:top="1440" w:right="1440" w:bottom="1440" w:left="1440" w:header="720" w:footer="720" w:gutter="0"/>
          <w:cols w:space="720"/>
          <w:docGrid w:linePitch="360"/>
        </w:sectPr>
      </w:pPr>
    </w:p>
    <w:p w14:paraId="001D300E"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AC94600"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168F61B2" w14:textId="77777777" w:rsidR="00BC56AD" w:rsidRDefault="00BC56AD">
      <w:pPr>
        <w:spacing w:line="360" w:lineRule="auto"/>
        <w:jc w:val="both"/>
        <w:rPr>
          <w:rFonts w:ascii="Book Antiqua" w:hAnsi="Book Antiqua"/>
        </w:rPr>
      </w:pPr>
    </w:p>
    <w:p w14:paraId="15A3968D"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3FD34B22" w14:textId="77777777" w:rsidR="00BC56AD" w:rsidRDefault="00BC56AD">
      <w:pPr>
        <w:spacing w:line="360" w:lineRule="auto"/>
        <w:jc w:val="both"/>
        <w:rPr>
          <w:rFonts w:ascii="Book Antiqua" w:hAnsi="Book Antiqua"/>
        </w:rPr>
      </w:pPr>
    </w:p>
    <w:p w14:paraId="27F61BC3"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793DB76" w14:textId="77777777" w:rsidR="00BC56AD" w:rsidRDefault="00BC56AD">
      <w:pPr>
        <w:spacing w:line="360" w:lineRule="auto"/>
        <w:jc w:val="both"/>
        <w:rPr>
          <w:rFonts w:ascii="Book Antiqua" w:hAnsi="Book Antiqua"/>
        </w:rPr>
      </w:pPr>
    </w:p>
    <w:p w14:paraId="6E570C9D"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8BDF92" w14:textId="77777777" w:rsidR="00BC56AD" w:rsidRDefault="00BC56AD">
      <w:pPr>
        <w:spacing w:line="360" w:lineRule="auto"/>
        <w:jc w:val="both"/>
        <w:rPr>
          <w:rFonts w:ascii="Book Antiqua" w:hAnsi="Book Antiqua"/>
        </w:rPr>
      </w:pPr>
    </w:p>
    <w:p w14:paraId="3D0C9352"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67C7BDE"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0A8CDA4" w14:textId="77777777" w:rsidR="00BC56AD" w:rsidRDefault="00BC56AD">
      <w:pPr>
        <w:spacing w:line="360" w:lineRule="auto"/>
        <w:jc w:val="both"/>
        <w:rPr>
          <w:rFonts w:ascii="Book Antiqua" w:hAnsi="Book Antiqua"/>
        </w:rPr>
      </w:pPr>
    </w:p>
    <w:p w14:paraId="36E5C5D3"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 2022</w:t>
      </w:r>
    </w:p>
    <w:p w14:paraId="27E300CD"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21, 2022</w:t>
      </w:r>
    </w:p>
    <w:p w14:paraId="4AA28772" w14:textId="385A26EE"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2A143F" w:rsidRPr="00680F8D">
        <w:rPr>
          <w:rFonts w:ascii="Book Antiqua" w:eastAsia="Book Antiqua" w:hAnsi="Book Antiqua" w:cs="Book Antiqua"/>
          <w:color w:val="000000"/>
        </w:rPr>
        <w:t>December 21, 2022</w:t>
      </w:r>
    </w:p>
    <w:p w14:paraId="58330B7C" w14:textId="77777777" w:rsidR="00BC56AD" w:rsidRDefault="00BC56AD">
      <w:pPr>
        <w:spacing w:line="360" w:lineRule="auto"/>
        <w:jc w:val="both"/>
        <w:rPr>
          <w:rFonts w:ascii="Book Antiqua" w:hAnsi="Book Antiqua"/>
        </w:rPr>
      </w:pPr>
    </w:p>
    <w:p w14:paraId="394C838A"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75F29C3"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8D1F582" w14:textId="77777777" w:rsidR="00BC56AD" w:rsidRDefault="004338D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9C443A3"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Grade A (Excellent): 0</w:t>
      </w:r>
    </w:p>
    <w:p w14:paraId="19637BAA"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Grade B (Very good): B</w:t>
      </w:r>
    </w:p>
    <w:p w14:paraId="188BEC1F"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4AEE200D"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Grade D (Fair): D</w:t>
      </w:r>
    </w:p>
    <w:p w14:paraId="2C5074CE" w14:textId="77777777" w:rsidR="00BC56AD" w:rsidRDefault="004338DE">
      <w:pPr>
        <w:spacing w:line="360" w:lineRule="auto"/>
        <w:jc w:val="both"/>
        <w:rPr>
          <w:rFonts w:ascii="Book Antiqua" w:hAnsi="Book Antiqua"/>
        </w:rPr>
      </w:pPr>
      <w:r>
        <w:rPr>
          <w:rFonts w:ascii="Book Antiqua" w:eastAsia="Book Antiqua" w:hAnsi="Book Antiqua" w:cs="Book Antiqua"/>
          <w:color w:val="000000"/>
        </w:rPr>
        <w:t>Grade E (Poor): 0</w:t>
      </w:r>
    </w:p>
    <w:p w14:paraId="259DD3C3" w14:textId="77777777" w:rsidR="00BC56AD" w:rsidRDefault="00BC56AD">
      <w:pPr>
        <w:spacing w:line="360" w:lineRule="auto"/>
        <w:jc w:val="both"/>
        <w:rPr>
          <w:rFonts w:ascii="Book Antiqua" w:hAnsi="Book Antiqua"/>
        </w:rPr>
      </w:pPr>
    </w:p>
    <w:p w14:paraId="32D199E9" w14:textId="47DAADA4" w:rsidR="00BC56AD" w:rsidRDefault="004338D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Elpek GO, Turkey; Kumar S, India; Musoni L, Morocco</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Chang KL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2A143F">
        <w:rPr>
          <w:rFonts w:ascii="Book Antiqua" w:eastAsia="Book Antiqua" w:hAnsi="Book Antiqua" w:cs="Book Antiqua"/>
          <w:bCs/>
          <w:color w:val="000000"/>
        </w:rPr>
        <w:t>Chang KL</w:t>
      </w:r>
    </w:p>
    <w:p w14:paraId="2E0A50B8" w14:textId="77777777" w:rsidR="00BC56AD" w:rsidRDefault="00BC56AD">
      <w:pPr>
        <w:spacing w:line="360" w:lineRule="auto"/>
        <w:jc w:val="both"/>
        <w:rPr>
          <w:rFonts w:ascii="Book Antiqua" w:hAnsi="Book Antiqua"/>
        </w:rPr>
        <w:sectPr w:rsidR="00BC56AD">
          <w:pgSz w:w="12240" w:h="15840"/>
          <w:pgMar w:top="1440" w:right="1440" w:bottom="1440" w:left="1440" w:header="720" w:footer="720" w:gutter="0"/>
          <w:cols w:space="720"/>
          <w:docGrid w:linePitch="360"/>
        </w:sectPr>
      </w:pPr>
    </w:p>
    <w:p w14:paraId="5CC76AD9" w14:textId="77777777" w:rsidR="00BC56AD" w:rsidRDefault="004338DE">
      <w:pPr>
        <w:spacing w:line="360" w:lineRule="auto"/>
        <w:jc w:val="both"/>
        <w:rPr>
          <w:rFonts w:ascii="Book Antiqua" w:hAnsi="Book Antiqua"/>
          <w:b/>
          <w:bCs/>
          <w:lang w:eastAsia="zh-CN"/>
        </w:rPr>
      </w:pPr>
      <w:r>
        <w:rPr>
          <w:rFonts w:ascii="Book Antiqua" w:hAnsi="Book Antiqua" w:hint="eastAsia"/>
          <w:b/>
          <w:bCs/>
          <w:lang w:eastAsia="zh-CN"/>
        </w:rPr>
        <w:lastRenderedPageBreak/>
        <w:t>F</w:t>
      </w:r>
      <w:r>
        <w:rPr>
          <w:rFonts w:ascii="Book Antiqua" w:hAnsi="Book Antiqua"/>
          <w:b/>
          <w:bCs/>
          <w:lang w:eastAsia="zh-CN"/>
        </w:rPr>
        <w:t>igure Legends</w:t>
      </w:r>
    </w:p>
    <w:p w14:paraId="695AF606" w14:textId="5CD5D3DA" w:rsidR="00BC56AD" w:rsidRDefault="00604789">
      <w:pPr>
        <w:spacing w:line="360" w:lineRule="auto"/>
        <w:jc w:val="both"/>
        <w:rPr>
          <w:rFonts w:ascii="Book Antiqua" w:hAnsi="Book Antiqua"/>
          <w:lang w:eastAsia="zh-CN"/>
        </w:rPr>
      </w:pPr>
      <w:r>
        <w:rPr>
          <w:noProof/>
        </w:rPr>
        <w:drawing>
          <wp:inline distT="0" distB="0" distL="0" distR="0" wp14:anchorId="749E922C" wp14:editId="4846BD37">
            <wp:extent cx="5795645" cy="38474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5645" cy="3847465"/>
                    </a:xfrm>
                    <a:prstGeom prst="rect">
                      <a:avLst/>
                    </a:prstGeom>
                    <a:noFill/>
                    <a:ln>
                      <a:noFill/>
                    </a:ln>
                  </pic:spPr>
                </pic:pic>
              </a:graphicData>
            </a:graphic>
          </wp:inline>
        </w:drawing>
      </w:r>
    </w:p>
    <w:p w14:paraId="619D334C"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Figure 1 Abdominal contrast-enhanced ultrasound.</w:t>
      </w:r>
      <w:r>
        <w:rPr>
          <w:rFonts w:ascii="Book Antiqua" w:eastAsia="Book Antiqua" w:hAnsi="Book Antiqua" w:cs="Book Antiqua"/>
          <w:color w:val="000000"/>
        </w:rPr>
        <w:t xml:space="preserve"> A: Hepatic arterial phase; B: Hepatic portal vein phase; C: Hepatic delay phase.</w:t>
      </w:r>
    </w:p>
    <w:p w14:paraId="66C5D2C2" w14:textId="77777777" w:rsidR="00BC56AD" w:rsidRDefault="004338DE">
      <w:pPr>
        <w:spacing w:line="360" w:lineRule="auto"/>
        <w:jc w:val="both"/>
        <w:rPr>
          <w:rFonts w:ascii="Book Antiqua" w:eastAsia="Book Antiqua" w:hAnsi="Book Antiqua" w:cs="Book Antiqua"/>
          <w:color w:val="000000"/>
        </w:rPr>
        <w:sectPr w:rsidR="00BC56AD">
          <w:pgSz w:w="12240" w:h="15840"/>
          <w:pgMar w:top="1440" w:right="1440" w:bottom="1440" w:left="1440" w:header="720" w:footer="720" w:gutter="0"/>
          <w:cols w:space="720"/>
          <w:docGrid w:linePitch="360"/>
        </w:sectPr>
      </w:pPr>
      <w:r>
        <w:rPr>
          <w:rFonts w:ascii="Book Antiqua" w:eastAsia="Book Antiqua" w:hAnsi="Book Antiqua" w:cs="Book Antiqua"/>
          <w:color w:val="000000"/>
        </w:rPr>
        <w:t xml:space="preserve"> </w:t>
      </w:r>
    </w:p>
    <w:p w14:paraId="4E3348BF" w14:textId="53F77AE4" w:rsidR="00BC56AD" w:rsidRDefault="00604789">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F0C11A7" wp14:editId="2B90AF53">
            <wp:extent cx="5943600" cy="15227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522730"/>
                    </a:xfrm>
                    <a:prstGeom prst="rect">
                      <a:avLst/>
                    </a:prstGeom>
                    <a:noFill/>
                    <a:ln>
                      <a:noFill/>
                    </a:ln>
                  </pic:spPr>
                </pic:pic>
              </a:graphicData>
            </a:graphic>
          </wp:inline>
        </w:drawing>
      </w:r>
    </w:p>
    <w:p w14:paraId="207AB349"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Figure 2 Contrast-enhanced abdominal computerized tomography.</w:t>
      </w:r>
      <w:r>
        <w:rPr>
          <w:rFonts w:ascii="Book Antiqua" w:eastAsia="Book Antiqua" w:hAnsi="Book Antiqua" w:cs="Book Antiqua"/>
          <w:color w:val="000000"/>
        </w:rPr>
        <w:t xml:space="preserve"> A: Hepatic arterial phase; B: Hepatic portal phase; C: Hepatic venous phase.</w:t>
      </w:r>
    </w:p>
    <w:p w14:paraId="1E3CC094" w14:textId="77777777" w:rsidR="00BC56AD" w:rsidRDefault="004338DE">
      <w:pPr>
        <w:spacing w:line="360" w:lineRule="auto"/>
        <w:jc w:val="both"/>
        <w:rPr>
          <w:rFonts w:ascii="Book Antiqua" w:eastAsia="Book Antiqua" w:hAnsi="Book Antiqua" w:cs="Book Antiqua"/>
          <w:color w:val="000000"/>
        </w:rPr>
        <w:sectPr w:rsidR="00BC56AD">
          <w:pgSz w:w="12240" w:h="15840"/>
          <w:pgMar w:top="1440" w:right="1440" w:bottom="1440" w:left="1440" w:header="720" w:footer="720" w:gutter="0"/>
          <w:cols w:space="720"/>
          <w:docGrid w:linePitch="360"/>
        </w:sectPr>
      </w:pPr>
      <w:r>
        <w:rPr>
          <w:rFonts w:ascii="Book Antiqua" w:eastAsia="Book Antiqua" w:hAnsi="Book Antiqua" w:cs="Book Antiqua"/>
          <w:color w:val="000000"/>
        </w:rPr>
        <w:t xml:space="preserve"> </w:t>
      </w:r>
    </w:p>
    <w:p w14:paraId="1BB4A511" w14:textId="6D94621B" w:rsidR="00BC56AD" w:rsidRDefault="00604789">
      <w:pPr>
        <w:spacing w:line="360" w:lineRule="auto"/>
        <w:jc w:val="both"/>
        <w:rPr>
          <w:rFonts w:ascii="Book Antiqua" w:hAnsi="Book Antiqua"/>
        </w:rPr>
      </w:pPr>
      <w:r>
        <w:rPr>
          <w:noProof/>
        </w:rPr>
        <w:lastRenderedPageBreak/>
        <w:drawing>
          <wp:inline distT="0" distB="0" distL="0" distR="0" wp14:anchorId="6E0CDA22" wp14:editId="39362774">
            <wp:extent cx="2651760" cy="207518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760" cy="2075180"/>
                    </a:xfrm>
                    <a:prstGeom prst="rect">
                      <a:avLst/>
                    </a:prstGeom>
                    <a:noFill/>
                    <a:ln>
                      <a:noFill/>
                    </a:ln>
                  </pic:spPr>
                </pic:pic>
              </a:graphicData>
            </a:graphic>
          </wp:inline>
        </w:drawing>
      </w:r>
    </w:p>
    <w:p w14:paraId="7C2D3299" w14:textId="77777777" w:rsidR="00BC56AD" w:rsidRDefault="004338DE">
      <w:pPr>
        <w:spacing w:line="360" w:lineRule="auto"/>
        <w:jc w:val="both"/>
        <w:rPr>
          <w:rFonts w:ascii="Book Antiqua" w:hAnsi="Book Antiqua"/>
          <w:b/>
          <w:bCs/>
        </w:rPr>
      </w:pPr>
      <w:r>
        <w:rPr>
          <w:rFonts w:ascii="Book Antiqua" w:eastAsia="Book Antiqua" w:hAnsi="Book Antiqua" w:cs="Book Antiqua"/>
          <w:b/>
          <w:bCs/>
          <w:color w:val="000000"/>
        </w:rPr>
        <w:t>Figure 3 Esophagogastroduodenoscopy</w:t>
      </w:r>
      <w:r>
        <w:rPr>
          <w:rFonts w:ascii="Book Antiqua" w:eastAsia="Book Antiqua" w:hAnsi="Book Antiqua" w:cs="Book Antiqua"/>
          <w:b/>
          <w:bCs/>
          <w:color w:val="000000"/>
          <w:shd w:val="clear" w:color="auto" w:fill="FCFCFE"/>
        </w:rPr>
        <w:t xml:space="preserve"> revealed that the gastric antrum mucosa was intact and smooth.</w:t>
      </w:r>
    </w:p>
    <w:p w14:paraId="6CFB04FA" w14:textId="77777777" w:rsidR="00BC56AD" w:rsidRDefault="00BC56AD">
      <w:pPr>
        <w:spacing w:line="360" w:lineRule="auto"/>
        <w:jc w:val="both"/>
        <w:rPr>
          <w:rFonts w:ascii="Book Antiqua" w:hAnsi="Book Antiqua"/>
        </w:rPr>
        <w:sectPr w:rsidR="00BC56AD">
          <w:pgSz w:w="12240" w:h="15840"/>
          <w:pgMar w:top="1440" w:right="1440" w:bottom="1440" w:left="1440" w:header="720" w:footer="720" w:gutter="0"/>
          <w:cols w:space="720"/>
          <w:docGrid w:linePitch="360"/>
        </w:sectPr>
      </w:pPr>
    </w:p>
    <w:p w14:paraId="74FACC26" w14:textId="0D8E407D" w:rsidR="00BC56AD" w:rsidRDefault="00604789">
      <w:pPr>
        <w:spacing w:line="360" w:lineRule="auto"/>
        <w:jc w:val="both"/>
        <w:rPr>
          <w:rFonts w:ascii="Book Antiqua" w:hAnsi="Book Antiqua"/>
        </w:rPr>
      </w:pPr>
      <w:r>
        <w:rPr>
          <w:noProof/>
        </w:rPr>
        <w:lastRenderedPageBreak/>
        <w:drawing>
          <wp:inline distT="0" distB="0" distL="0" distR="0" wp14:anchorId="14955C8E" wp14:editId="162B1340">
            <wp:extent cx="5795645" cy="46774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645" cy="4677410"/>
                    </a:xfrm>
                    <a:prstGeom prst="rect">
                      <a:avLst/>
                    </a:prstGeom>
                    <a:noFill/>
                    <a:ln>
                      <a:noFill/>
                    </a:ln>
                  </pic:spPr>
                </pic:pic>
              </a:graphicData>
            </a:graphic>
          </wp:inline>
        </w:drawing>
      </w:r>
    </w:p>
    <w:p w14:paraId="5476CC35" w14:textId="77777777" w:rsidR="00BC56AD" w:rsidRDefault="004338DE">
      <w:pPr>
        <w:spacing w:line="360" w:lineRule="auto"/>
        <w:jc w:val="both"/>
        <w:rPr>
          <w:rFonts w:ascii="Book Antiqua" w:hAnsi="Book Antiqua"/>
        </w:rPr>
      </w:pPr>
      <w:r>
        <w:rPr>
          <w:rFonts w:ascii="Book Antiqua" w:eastAsia="Book Antiqua" w:hAnsi="Book Antiqua" w:cs="Book Antiqua"/>
          <w:b/>
          <w:bCs/>
          <w:color w:val="000000"/>
        </w:rPr>
        <w:t>Figure 4. Postoperative pathological examination.</w:t>
      </w:r>
      <w:r>
        <w:rPr>
          <w:rFonts w:ascii="Book Antiqua" w:eastAsia="Book Antiqua" w:hAnsi="Book Antiqua" w:cs="Book Antiqua"/>
          <w:color w:val="000000"/>
        </w:rPr>
        <w:t xml:space="preserve"> A: Hematoxylin and eosin staining. The tumor was identified to originate from the serous layer of the stomach and involve the muscularis externa of the stomach (20 ×). Upper right inset indicates small round cells with different sizes (original magnification, 200 ×); B-F: CD99-positive, vimentin-positive, FLI-1-positive, NSE-positive, amd SYN-positive cells (immunohistochemistry staining, 200 ×).</w:t>
      </w:r>
    </w:p>
    <w:p w14:paraId="6C84F793" w14:textId="77777777" w:rsidR="00BC56AD" w:rsidRDefault="00BC56AD">
      <w:pPr>
        <w:spacing w:line="360" w:lineRule="auto"/>
        <w:jc w:val="both"/>
        <w:rPr>
          <w:rFonts w:ascii="Book Antiqua" w:hAnsi="Book Antiqua"/>
        </w:rPr>
        <w:sectPr w:rsidR="00BC56AD">
          <w:pgSz w:w="12240" w:h="15840"/>
          <w:pgMar w:top="1440" w:right="1440" w:bottom="1440" w:left="1440" w:header="720" w:footer="720" w:gutter="0"/>
          <w:cols w:space="720"/>
          <w:docGrid w:linePitch="360"/>
        </w:sectPr>
      </w:pPr>
    </w:p>
    <w:p w14:paraId="441AB8F0" w14:textId="3BDC9464" w:rsidR="00BC56AD" w:rsidRDefault="00883441">
      <w:pPr>
        <w:spacing w:line="360" w:lineRule="auto"/>
        <w:jc w:val="both"/>
        <w:rPr>
          <w:rFonts w:ascii="Book Antiqua" w:eastAsia="Book Antiqua" w:hAnsi="Book Antiqua" w:cs="Book Antiqua"/>
          <w:color w:val="000000"/>
        </w:rPr>
      </w:pPr>
      <w:r>
        <w:rPr>
          <w:noProof/>
        </w:rPr>
        <w:lastRenderedPageBreak/>
        <w:drawing>
          <wp:inline distT="0" distB="0" distL="0" distR="0" wp14:anchorId="4F491655" wp14:editId="322B22A3">
            <wp:extent cx="2658745" cy="1990725"/>
            <wp:effectExtent l="0" t="0" r="825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745" cy="1990725"/>
                    </a:xfrm>
                    <a:prstGeom prst="rect">
                      <a:avLst/>
                    </a:prstGeom>
                    <a:noFill/>
                    <a:ln>
                      <a:noFill/>
                    </a:ln>
                  </pic:spPr>
                </pic:pic>
              </a:graphicData>
            </a:graphic>
          </wp:inline>
        </w:drawing>
      </w:r>
    </w:p>
    <w:p w14:paraId="5035B6D0" w14:textId="77777777" w:rsidR="00BC56AD" w:rsidRDefault="004338D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 Contrast-enhanced abdominal computerized tomography 11 mo postoperatively.</w:t>
      </w:r>
    </w:p>
    <w:p w14:paraId="37B32B6B" w14:textId="77777777" w:rsidR="00BC56AD" w:rsidRDefault="00BC56AD">
      <w:pPr>
        <w:spacing w:line="360" w:lineRule="auto"/>
        <w:jc w:val="both"/>
        <w:rPr>
          <w:rFonts w:ascii="Book Antiqua" w:hAnsi="Book Antiqua"/>
          <w:b/>
          <w:bCs/>
          <w:lang w:eastAsia="zh-CN"/>
        </w:rPr>
        <w:sectPr w:rsidR="00BC56AD">
          <w:pgSz w:w="12240" w:h="15840"/>
          <w:pgMar w:top="1440" w:right="1440" w:bottom="1440" w:left="1440" w:header="720" w:footer="720" w:gutter="0"/>
          <w:cols w:space="720"/>
          <w:docGrid w:linePitch="360"/>
        </w:sectPr>
      </w:pPr>
    </w:p>
    <w:p w14:paraId="6F958A40" w14:textId="77777777" w:rsidR="00BC56AD" w:rsidRDefault="004338DE">
      <w:pPr>
        <w:spacing w:line="360" w:lineRule="auto"/>
        <w:jc w:val="both"/>
        <w:rPr>
          <w:rFonts w:ascii="Book Antiqua" w:hAnsi="Book Antiqua"/>
          <w:b/>
          <w:bCs/>
          <w:lang w:eastAsia="zh-CN"/>
        </w:rPr>
      </w:pPr>
      <w:r>
        <w:rPr>
          <w:rFonts w:ascii="Book Antiqua" w:hAnsi="Book Antiqua"/>
          <w:b/>
          <w:bCs/>
          <w:lang w:eastAsia="zh-CN"/>
        </w:rPr>
        <w:lastRenderedPageBreak/>
        <w:t>Table 1 Clinical characteristics and outcomes in reported cases of gastric Ewing’s sarcoma</w:t>
      </w:r>
    </w:p>
    <w:tbl>
      <w:tblPr>
        <w:tblStyle w:val="ab"/>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13"/>
        <w:gridCol w:w="731"/>
        <w:gridCol w:w="2033"/>
        <w:gridCol w:w="1333"/>
        <w:gridCol w:w="1046"/>
        <w:gridCol w:w="3086"/>
        <w:gridCol w:w="2056"/>
        <w:gridCol w:w="1617"/>
        <w:gridCol w:w="1883"/>
        <w:gridCol w:w="1601"/>
        <w:gridCol w:w="1888"/>
        <w:gridCol w:w="1128"/>
        <w:gridCol w:w="1216"/>
      </w:tblGrid>
      <w:tr w:rsidR="00BC56AD" w14:paraId="274B0F78" w14:textId="77777777">
        <w:trPr>
          <w:trHeight w:val="1280"/>
        </w:trPr>
        <w:tc>
          <w:tcPr>
            <w:tcW w:w="0" w:type="auto"/>
            <w:tcBorders>
              <w:top w:val="single" w:sz="4" w:space="0" w:color="auto"/>
              <w:left w:val="nil"/>
              <w:right w:val="nil"/>
            </w:tcBorders>
          </w:tcPr>
          <w:p w14:paraId="56E5A60B"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Ref.</w:t>
            </w:r>
          </w:p>
        </w:tc>
        <w:tc>
          <w:tcPr>
            <w:tcW w:w="0" w:type="auto"/>
            <w:tcBorders>
              <w:top w:val="single" w:sz="4" w:space="0" w:color="auto"/>
              <w:left w:val="nil"/>
              <w:right w:val="nil"/>
            </w:tcBorders>
          </w:tcPr>
          <w:p w14:paraId="431FEA4F"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Age in yr, sex</w:t>
            </w:r>
          </w:p>
        </w:tc>
        <w:tc>
          <w:tcPr>
            <w:tcW w:w="0" w:type="auto"/>
            <w:tcBorders>
              <w:top w:val="single" w:sz="4" w:space="0" w:color="auto"/>
              <w:left w:val="nil"/>
              <w:right w:val="nil"/>
            </w:tcBorders>
          </w:tcPr>
          <w:p w14:paraId="3A6CAB45"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Clinical presentation</w:t>
            </w:r>
          </w:p>
        </w:tc>
        <w:tc>
          <w:tcPr>
            <w:tcW w:w="0" w:type="auto"/>
            <w:tcBorders>
              <w:top w:val="single" w:sz="4" w:space="0" w:color="auto"/>
              <w:left w:val="nil"/>
              <w:right w:val="nil"/>
            </w:tcBorders>
          </w:tcPr>
          <w:p w14:paraId="75F35659"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Location</w:t>
            </w:r>
          </w:p>
        </w:tc>
        <w:tc>
          <w:tcPr>
            <w:tcW w:w="0" w:type="auto"/>
            <w:tcBorders>
              <w:top w:val="single" w:sz="4" w:space="0" w:color="auto"/>
              <w:left w:val="nil"/>
              <w:right w:val="nil"/>
            </w:tcBorders>
          </w:tcPr>
          <w:p w14:paraId="13447DD6"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Tumor size in cm</w:t>
            </w:r>
          </w:p>
        </w:tc>
        <w:tc>
          <w:tcPr>
            <w:tcW w:w="0" w:type="auto"/>
            <w:tcBorders>
              <w:top w:val="single" w:sz="4" w:space="0" w:color="auto"/>
              <w:left w:val="nil"/>
              <w:right w:val="nil"/>
            </w:tcBorders>
          </w:tcPr>
          <w:p w14:paraId="459C24A1"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Immunohistochemistry</w:t>
            </w:r>
          </w:p>
        </w:tc>
        <w:tc>
          <w:tcPr>
            <w:tcW w:w="0" w:type="auto"/>
            <w:tcBorders>
              <w:top w:val="single" w:sz="4" w:space="0" w:color="auto"/>
              <w:left w:val="nil"/>
              <w:right w:val="nil"/>
            </w:tcBorders>
          </w:tcPr>
          <w:p w14:paraId="1235FC93"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Molecular genetic detection</w:t>
            </w:r>
          </w:p>
        </w:tc>
        <w:tc>
          <w:tcPr>
            <w:tcW w:w="0" w:type="auto"/>
            <w:tcBorders>
              <w:top w:val="single" w:sz="4" w:space="0" w:color="auto"/>
              <w:left w:val="nil"/>
              <w:right w:val="nil"/>
            </w:tcBorders>
          </w:tcPr>
          <w:p w14:paraId="3C273CD7"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Distant metastasis</w:t>
            </w:r>
          </w:p>
        </w:tc>
        <w:tc>
          <w:tcPr>
            <w:tcW w:w="0" w:type="auto"/>
            <w:tcBorders>
              <w:top w:val="single" w:sz="4" w:space="0" w:color="auto"/>
              <w:left w:val="nil"/>
              <w:right w:val="nil"/>
            </w:tcBorders>
          </w:tcPr>
          <w:p w14:paraId="4855C8BD"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Neoadjuvant chemotherapy</w:t>
            </w:r>
          </w:p>
        </w:tc>
        <w:tc>
          <w:tcPr>
            <w:tcW w:w="0" w:type="auto"/>
            <w:tcBorders>
              <w:top w:val="single" w:sz="4" w:space="0" w:color="auto"/>
              <w:left w:val="nil"/>
              <w:right w:val="nil"/>
            </w:tcBorders>
          </w:tcPr>
          <w:p w14:paraId="1E02E330"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Surgery</w:t>
            </w:r>
          </w:p>
        </w:tc>
        <w:tc>
          <w:tcPr>
            <w:tcW w:w="0" w:type="auto"/>
            <w:tcBorders>
              <w:top w:val="single" w:sz="4" w:space="0" w:color="auto"/>
              <w:left w:val="nil"/>
              <w:right w:val="nil"/>
            </w:tcBorders>
          </w:tcPr>
          <w:p w14:paraId="6FD26AD2" w14:textId="77777777" w:rsidR="00BC56AD" w:rsidRDefault="004338DE">
            <w:pPr>
              <w:widowControl/>
              <w:spacing w:line="360" w:lineRule="auto"/>
              <w:rPr>
                <w:rFonts w:ascii="Book Antiqua" w:hAnsi="Book Antiqua"/>
                <w:b/>
                <w:bCs/>
                <w:lang w:eastAsia="zh-CN"/>
              </w:rPr>
            </w:pPr>
            <w:r>
              <w:rPr>
                <w:rFonts w:ascii="Book Antiqua" w:hAnsi="Book Antiqua"/>
                <w:b/>
                <w:bCs/>
                <w:lang w:eastAsia="zh-CN"/>
              </w:rPr>
              <w:t>Postoperative chemotherapy</w:t>
            </w:r>
          </w:p>
        </w:tc>
        <w:tc>
          <w:tcPr>
            <w:tcW w:w="0" w:type="auto"/>
            <w:tcBorders>
              <w:top w:val="single" w:sz="4" w:space="0" w:color="auto"/>
              <w:left w:val="nil"/>
              <w:right w:val="nil"/>
            </w:tcBorders>
          </w:tcPr>
          <w:p w14:paraId="7658F7F1" w14:textId="77777777" w:rsidR="00BC56AD" w:rsidRDefault="004338DE">
            <w:pPr>
              <w:spacing w:line="360" w:lineRule="auto"/>
              <w:rPr>
                <w:rFonts w:ascii="Book Antiqua" w:hAnsi="Book Antiqua"/>
                <w:b/>
                <w:bCs/>
                <w:lang w:eastAsia="zh-CN"/>
              </w:rPr>
            </w:pPr>
            <w:r>
              <w:rPr>
                <w:rFonts w:ascii="Book Antiqua" w:hAnsi="Book Antiqua"/>
                <w:b/>
                <w:bCs/>
                <w:lang w:eastAsia="zh-CN"/>
              </w:rPr>
              <w:t>Follow-up in mo</w:t>
            </w:r>
          </w:p>
        </w:tc>
        <w:tc>
          <w:tcPr>
            <w:tcW w:w="0" w:type="auto"/>
            <w:tcBorders>
              <w:top w:val="single" w:sz="4" w:space="0" w:color="auto"/>
              <w:left w:val="nil"/>
            </w:tcBorders>
          </w:tcPr>
          <w:p w14:paraId="4E2CC9EB" w14:textId="77777777" w:rsidR="00BC56AD" w:rsidRDefault="004338DE">
            <w:pPr>
              <w:spacing w:line="360" w:lineRule="auto"/>
              <w:rPr>
                <w:rFonts w:ascii="Book Antiqua" w:hAnsi="Book Antiqua"/>
                <w:b/>
                <w:bCs/>
                <w:lang w:eastAsia="zh-CN"/>
              </w:rPr>
            </w:pPr>
            <w:r>
              <w:rPr>
                <w:rFonts w:ascii="Book Antiqua" w:hAnsi="Book Antiqua"/>
                <w:b/>
                <w:bCs/>
                <w:lang w:eastAsia="zh-CN"/>
              </w:rPr>
              <w:t>Outcome</w:t>
            </w:r>
          </w:p>
        </w:tc>
      </w:tr>
      <w:tr w:rsidR="00BC56AD" w14:paraId="67932226" w14:textId="77777777">
        <w:trPr>
          <w:trHeight w:val="90"/>
        </w:trPr>
        <w:tc>
          <w:tcPr>
            <w:tcW w:w="0" w:type="auto"/>
            <w:tcBorders>
              <w:left w:val="nil"/>
              <w:bottom w:val="nil"/>
              <w:right w:val="nil"/>
            </w:tcBorders>
          </w:tcPr>
          <w:p w14:paraId="059D32EF"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Czekalla </w:t>
            </w:r>
            <w:r>
              <w:rPr>
                <w:rFonts w:ascii="Book Antiqua" w:hAnsi="Book Antiqua"/>
                <w:i/>
                <w:iCs/>
                <w:lang w:eastAsia="zh-CN"/>
              </w:rPr>
              <w:t>et al</w:t>
            </w:r>
            <w:r>
              <w:rPr>
                <w:rFonts w:ascii="Book Antiqua" w:hAnsi="Book Antiqua"/>
                <w:vertAlign w:val="superscript"/>
                <w:lang w:eastAsia="zh-CN"/>
              </w:rPr>
              <w:t>[</w:t>
            </w:r>
            <w:r>
              <w:rPr>
                <w:rFonts w:ascii="Book Antiqua" w:hAnsi="Book Antiqua" w:hint="eastAsia"/>
                <w:vertAlign w:val="superscript"/>
                <w:lang w:eastAsia="zh-CN"/>
              </w:rPr>
              <w:t>6</w:t>
            </w:r>
            <w:r>
              <w:rPr>
                <w:rFonts w:ascii="Book Antiqua" w:hAnsi="Book Antiqua"/>
                <w:vertAlign w:val="superscript"/>
                <w:lang w:eastAsia="zh-CN"/>
              </w:rPr>
              <w:t>]</w:t>
            </w:r>
            <w:r>
              <w:rPr>
                <w:rFonts w:ascii="Book Antiqua" w:hAnsi="Book Antiqua"/>
                <w:lang w:eastAsia="zh-CN"/>
              </w:rPr>
              <w:t>, 2004</w:t>
            </w:r>
          </w:p>
        </w:tc>
        <w:tc>
          <w:tcPr>
            <w:tcW w:w="0" w:type="auto"/>
            <w:tcBorders>
              <w:left w:val="nil"/>
              <w:bottom w:val="nil"/>
              <w:right w:val="nil"/>
            </w:tcBorders>
          </w:tcPr>
          <w:p w14:paraId="7AB7A11C" w14:textId="77777777" w:rsidR="00BC56AD" w:rsidRDefault="004338DE">
            <w:pPr>
              <w:widowControl/>
              <w:spacing w:line="360" w:lineRule="auto"/>
              <w:rPr>
                <w:rFonts w:ascii="Book Antiqua" w:hAnsi="Book Antiqua"/>
                <w:lang w:eastAsia="zh-CN"/>
              </w:rPr>
            </w:pPr>
            <w:r>
              <w:rPr>
                <w:rFonts w:ascii="Book Antiqua" w:hAnsi="Book Antiqua"/>
                <w:lang w:eastAsia="zh-CN"/>
              </w:rPr>
              <w:t>14, M</w:t>
            </w:r>
          </w:p>
        </w:tc>
        <w:tc>
          <w:tcPr>
            <w:tcW w:w="0" w:type="auto"/>
            <w:tcBorders>
              <w:left w:val="nil"/>
              <w:bottom w:val="nil"/>
              <w:right w:val="nil"/>
            </w:tcBorders>
          </w:tcPr>
          <w:p w14:paraId="71ACA867" w14:textId="0FA9CAB5" w:rsidR="00BC56AD" w:rsidRDefault="004D2169">
            <w:pPr>
              <w:widowControl/>
              <w:spacing w:line="360" w:lineRule="auto"/>
              <w:rPr>
                <w:rFonts w:ascii="Book Antiqua" w:hAnsi="Book Antiqua"/>
                <w:lang w:eastAsia="zh-CN"/>
              </w:rPr>
            </w:pPr>
            <w:r>
              <w:rPr>
                <w:rFonts w:ascii="Book Antiqua" w:hAnsi="Book Antiqua"/>
              </w:rPr>
              <w:t>A</w:t>
            </w:r>
            <w:r w:rsidRPr="004D2169">
              <w:rPr>
                <w:rFonts w:ascii="Book Antiqua" w:hAnsi="Book Antiqua"/>
              </w:rPr>
              <w:t>norexia</w:t>
            </w:r>
            <w:r w:rsidRPr="004D2169">
              <w:rPr>
                <w:rFonts w:ascii="Book Antiqua" w:hAnsi="Book Antiqua"/>
                <w:lang w:eastAsia="zh-CN"/>
              </w:rPr>
              <w:t xml:space="preserve">, </w:t>
            </w:r>
            <w:r>
              <w:rPr>
                <w:rFonts w:ascii="Book Antiqua" w:hAnsi="Book Antiqua"/>
                <w:lang w:eastAsia="zh-CN"/>
              </w:rPr>
              <w:t>epigastric pain</w:t>
            </w:r>
          </w:p>
        </w:tc>
        <w:tc>
          <w:tcPr>
            <w:tcW w:w="0" w:type="auto"/>
            <w:tcBorders>
              <w:left w:val="nil"/>
              <w:bottom w:val="nil"/>
              <w:right w:val="nil"/>
            </w:tcBorders>
          </w:tcPr>
          <w:p w14:paraId="2D863945" w14:textId="77777777" w:rsidR="00BC56AD" w:rsidRDefault="004338DE">
            <w:pPr>
              <w:widowControl/>
              <w:spacing w:line="360" w:lineRule="auto"/>
              <w:rPr>
                <w:rFonts w:ascii="Book Antiqua" w:hAnsi="Book Antiqua"/>
                <w:lang w:eastAsia="zh-CN"/>
              </w:rPr>
            </w:pPr>
            <w:r>
              <w:rPr>
                <w:rFonts w:ascii="Book Antiqua" w:hAnsi="Book Antiqua"/>
                <w:lang w:eastAsia="zh-CN"/>
              </w:rPr>
              <w:t>Anterior wall body</w:t>
            </w:r>
          </w:p>
        </w:tc>
        <w:tc>
          <w:tcPr>
            <w:tcW w:w="0" w:type="auto"/>
            <w:tcBorders>
              <w:left w:val="nil"/>
              <w:bottom w:val="nil"/>
              <w:right w:val="nil"/>
            </w:tcBorders>
          </w:tcPr>
          <w:p w14:paraId="114FE90E" w14:textId="77777777" w:rsidR="00BC56AD" w:rsidRDefault="004338DE">
            <w:pPr>
              <w:widowControl/>
              <w:spacing w:line="360" w:lineRule="auto"/>
              <w:rPr>
                <w:rFonts w:ascii="Book Antiqua" w:hAnsi="Book Antiqua"/>
                <w:lang w:eastAsia="zh-CN"/>
              </w:rPr>
            </w:pPr>
            <w:r>
              <w:rPr>
                <w:rFonts w:ascii="Book Antiqua" w:hAnsi="Book Antiqua"/>
                <w:lang w:eastAsia="zh-CN"/>
              </w:rPr>
              <w:t>5</w:t>
            </w:r>
          </w:p>
        </w:tc>
        <w:tc>
          <w:tcPr>
            <w:tcW w:w="0" w:type="auto"/>
            <w:tcBorders>
              <w:left w:val="nil"/>
              <w:bottom w:val="nil"/>
              <w:right w:val="nil"/>
            </w:tcBorders>
          </w:tcPr>
          <w:p w14:paraId="41AC8186" w14:textId="77777777" w:rsidR="00BC56AD" w:rsidRDefault="004338DE">
            <w:pPr>
              <w:widowControl/>
              <w:spacing w:line="360" w:lineRule="auto"/>
              <w:rPr>
                <w:rFonts w:ascii="Book Antiqua" w:hAnsi="Book Antiqua"/>
                <w:lang w:eastAsia="zh-CN"/>
              </w:rPr>
            </w:pPr>
            <w:r>
              <w:rPr>
                <w:rFonts w:ascii="Book Antiqua" w:hAnsi="Book Antiqua"/>
                <w:lang w:eastAsia="zh-CN"/>
              </w:rPr>
              <w:t>CD99, CD117, S100, vimentin, neurofilament, NSE</w:t>
            </w:r>
          </w:p>
        </w:tc>
        <w:tc>
          <w:tcPr>
            <w:tcW w:w="0" w:type="auto"/>
            <w:tcBorders>
              <w:left w:val="nil"/>
              <w:bottom w:val="nil"/>
              <w:right w:val="nil"/>
            </w:tcBorders>
          </w:tcPr>
          <w:p w14:paraId="11F1B771" w14:textId="77777777" w:rsidR="00BC56AD" w:rsidRDefault="004338DE">
            <w:pPr>
              <w:widowControl/>
              <w:spacing w:line="360" w:lineRule="auto"/>
              <w:rPr>
                <w:rFonts w:ascii="Book Antiqua" w:hAnsi="Book Antiqua"/>
                <w:lang w:eastAsia="zh-CN"/>
              </w:rPr>
            </w:pPr>
            <w:r>
              <w:rPr>
                <w:rFonts w:ascii="Book Antiqua" w:hAnsi="Book Antiqua"/>
                <w:lang w:eastAsia="zh-CN"/>
              </w:rPr>
              <w:t>t(11;22)(q24;q12)</w:t>
            </w:r>
          </w:p>
        </w:tc>
        <w:tc>
          <w:tcPr>
            <w:tcW w:w="0" w:type="auto"/>
            <w:tcBorders>
              <w:left w:val="nil"/>
              <w:bottom w:val="nil"/>
              <w:right w:val="nil"/>
            </w:tcBorders>
          </w:tcPr>
          <w:p w14:paraId="011721A7" w14:textId="77777777" w:rsidR="00BC56AD" w:rsidRDefault="004338DE">
            <w:pPr>
              <w:widowControl/>
              <w:spacing w:line="360" w:lineRule="auto"/>
              <w:rPr>
                <w:rFonts w:ascii="Book Antiqua" w:hAnsi="Book Antiqua"/>
                <w:lang w:eastAsia="zh-CN"/>
              </w:rPr>
            </w:pPr>
            <w:r>
              <w:rPr>
                <w:rFonts w:ascii="Book Antiqua" w:hAnsi="Book Antiqua"/>
                <w:lang w:eastAsia="zh-CN"/>
              </w:rPr>
              <w:t>Liver</w:t>
            </w:r>
          </w:p>
        </w:tc>
        <w:tc>
          <w:tcPr>
            <w:tcW w:w="0" w:type="auto"/>
            <w:tcBorders>
              <w:left w:val="nil"/>
              <w:bottom w:val="nil"/>
              <w:right w:val="nil"/>
            </w:tcBorders>
          </w:tcPr>
          <w:p w14:paraId="6F72AE99" w14:textId="77777777" w:rsidR="00BC56AD" w:rsidRDefault="004338DE">
            <w:pPr>
              <w:widowControl/>
              <w:spacing w:line="360" w:lineRule="auto"/>
              <w:rPr>
                <w:rFonts w:ascii="Book Antiqua" w:hAnsi="Book Antiqua"/>
                <w:lang w:eastAsia="zh-CN"/>
              </w:rPr>
            </w:pPr>
            <w:r>
              <w:rPr>
                <w:rFonts w:ascii="Book Antiqua" w:hAnsi="Book Antiqua"/>
                <w:lang w:eastAsia="zh-CN"/>
              </w:rPr>
              <w:t>Yes</w:t>
            </w:r>
          </w:p>
        </w:tc>
        <w:tc>
          <w:tcPr>
            <w:tcW w:w="0" w:type="auto"/>
            <w:tcBorders>
              <w:left w:val="nil"/>
              <w:bottom w:val="nil"/>
              <w:right w:val="nil"/>
            </w:tcBorders>
          </w:tcPr>
          <w:p w14:paraId="1DA126DC" w14:textId="77777777" w:rsidR="00BC56AD" w:rsidRDefault="004338DE">
            <w:pPr>
              <w:widowControl/>
              <w:spacing w:line="360" w:lineRule="auto"/>
              <w:rPr>
                <w:rFonts w:ascii="Book Antiqua" w:hAnsi="Book Antiqua"/>
                <w:lang w:eastAsia="zh-CN"/>
              </w:rPr>
            </w:pPr>
            <w:r>
              <w:rPr>
                <w:rFonts w:ascii="Book Antiqua" w:hAnsi="Book Antiqua"/>
                <w:lang w:eastAsia="zh-CN"/>
              </w:rPr>
              <w:t>SG</w:t>
            </w:r>
          </w:p>
        </w:tc>
        <w:tc>
          <w:tcPr>
            <w:tcW w:w="0" w:type="auto"/>
            <w:tcBorders>
              <w:left w:val="nil"/>
              <w:bottom w:val="nil"/>
              <w:right w:val="nil"/>
            </w:tcBorders>
          </w:tcPr>
          <w:p w14:paraId="4A5C8DED"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left w:val="nil"/>
              <w:bottom w:val="nil"/>
              <w:right w:val="nil"/>
            </w:tcBorders>
          </w:tcPr>
          <w:p w14:paraId="5BBDAC4A" w14:textId="77777777" w:rsidR="00BC56AD" w:rsidRDefault="004338DE">
            <w:pPr>
              <w:widowControl/>
              <w:spacing w:line="360" w:lineRule="auto"/>
              <w:rPr>
                <w:rFonts w:ascii="Book Antiqua" w:hAnsi="Book Antiqua"/>
                <w:lang w:eastAsia="zh-CN"/>
              </w:rPr>
            </w:pPr>
            <w:r>
              <w:rPr>
                <w:rFonts w:ascii="Book Antiqua" w:hAnsi="Book Antiqua"/>
                <w:lang w:eastAsia="zh-CN"/>
              </w:rPr>
              <w:t>24</w:t>
            </w:r>
          </w:p>
        </w:tc>
        <w:tc>
          <w:tcPr>
            <w:tcW w:w="0" w:type="auto"/>
            <w:tcBorders>
              <w:left w:val="nil"/>
              <w:bottom w:val="nil"/>
            </w:tcBorders>
          </w:tcPr>
          <w:p w14:paraId="16878201" w14:textId="77777777" w:rsidR="00BC56AD" w:rsidRDefault="004338DE">
            <w:pPr>
              <w:widowControl/>
              <w:spacing w:line="360" w:lineRule="auto"/>
              <w:rPr>
                <w:rFonts w:ascii="Book Antiqua" w:hAnsi="Book Antiqua"/>
                <w:lang w:eastAsia="zh-CN"/>
              </w:rPr>
            </w:pPr>
            <w:r>
              <w:rPr>
                <w:rFonts w:ascii="Book Antiqua" w:hAnsi="Book Antiqua"/>
                <w:lang w:eastAsia="zh-CN"/>
              </w:rPr>
              <w:t>Alive</w:t>
            </w:r>
          </w:p>
        </w:tc>
      </w:tr>
      <w:tr w:rsidR="00BC56AD" w14:paraId="42639D96" w14:textId="77777777">
        <w:trPr>
          <w:trHeight w:val="90"/>
        </w:trPr>
        <w:tc>
          <w:tcPr>
            <w:tcW w:w="0" w:type="auto"/>
            <w:tcBorders>
              <w:top w:val="nil"/>
              <w:left w:val="nil"/>
              <w:bottom w:val="nil"/>
              <w:right w:val="nil"/>
            </w:tcBorders>
          </w:tcPr>
          <w:p w14:paraId="1291F814"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Soulard </w:t>
            </w:r>
            <w:r>
              <w:rPr>
                <w:rFonts w:ascii="Book Antiqua" w:hAnsi="Book Antiqua"/>
                <w:i/>
                <w:iCs/>
                <w:lang w:eastAsia="zh-CN"/>
              </w:rPr>
              <w:t>et al</w:t>
            </w:r>
            <w:r>
              <w:rPr>
                <w:rFonts w:ascii="Book Antiqua" w:hAnsi="Book Antiqua"/>
                <w:vertAlign w:val="superscript"/>
                <w:lang w:eastAsia="zh-CN"/>
              </w:rPr>
              <w:t>[7]</w:t>
            </w:r>
            <w:r>
              <w:rPr>
                <w:rFonts w:ascii="Book Antiqua" w:hAnsi="Book Antiqua"/>
                <w:lang w:eastAsia="zh-CN"/>
              </w:rPr>
              <w:t>, 2005</w:t>
            </w:r>
          </w:p>
        </w:tc>
        <w:tc>
          <w:tcPr>
            <w:tcW w:w="0" w:type="auto"/>
            <w:tcBorders>
              <w:top w:val="nil"/>
              <w:left w:val="nil"/>
              <w:bottom w:val="nil"/>
              <w:right w:val="nil"/>
            </w:tcBorders>
          </w:tcPr>
          <w:p w14:paraId="04E6DCCE" w14:textId="77777777" w:rsidR="00BC56AD" w:rsidRDefault="004338DE">
            <w:pPr>
              <w:widowControl/>
              <w:spacing w:line="360" w:lineRule="auto"/>
              <w:rPr>
                <w:rFonts w:ascii="Book Antiqua" w:hAnsi="Book Antiqua"/>
                <w:lang w:eastAsia="zh-CN"/>
              </w:rPr>
            </w:pPr>
            <w:r>
              <w:rPr>
                <w:rFonts w:ascii="Book Antiqua" w:hAnsi="Book Antiqua"/>
                <w:lang w:eastAsia="zh-CN"/>
              </w:rPr>
              <w:t>66, F</w:t>
            </w:r>
          </w:p>
        </w:tc>
        <w:tc>
          <w:tcPr>
            <w:tcW w:w="0" w:type="auto"/>
            <w:tcBorders>
              <w:top w:val="nil"/>
              <w:left w:val="nil"/>
              <w:bottom w:val="nil"/>
              <w:right w:val="nil"/>
            </w:tcBorders>
          </w:tcPr>
          <w:p w14:paraId="27B16D88" w14:textId="77777777" w:rsidR="00BC56AD" w:rsidRDefault="004338DE">
            <w:pPr>
              <w:widowControl/>
              <w:spacing w:line="360" w:lineRule="auto"/>
              <w:rPr>
                <w:rFonts w:ascii="Book Antiqua" w:hAnsi="Book Antiqua"/>
                <w:lang w:eastAsia="zh-CN"/>
              </w:rPr>
            </w:pPr>
            <w:r>
              <w:rPr>
                <w:rFonts w:ascii="Book Antiqua" w:hAnsi="Book Antiqua"/>
                <w:lang w:eastAsia="zh-CN"/>
              </w:rPr>
              <w:t>Epigastric pain</w:t>
            </w:r>
          </w:p>
        </w:tc>
        <w:tc>
          <w:tcPr>
            <w:tcW w:w="0" w:type="auto"/>
            <w:tcBorders>
              <w:top w:val="nil"/>
              <w:left w:val="nil"/>
              <w:bottom w:val="nil"/>
              <w:right w:val="nil"/>
            </w:tcBorders>
          </w:tcPr>
          <w:p w14:paraId="5CC3B1B4" w14:textId="77777777" w:rsidR="00BC56AD" w:rsidRDefault="004338DE">
            <w:pPr>
              <w:widowControl/>
              <w:spacing w:line="360" w:lineRule="auto"/>
              <w:rPr>
                <w:rFonts w:ascii="Book Antiqua" w:hAnsi="Book Antiqua"/>
                <w:lang w:eastAsia="zh-CN"/>
              </w:rPr>
            </w:pPr>
            <w:r>
              <w:rPr>
                <w:rFonts w:ascii="Book Antiqua" w:hAnsi="Book Antiqua"/>
                <w:lang w:eastAsia="zh-CN"/>
              </w:rPr>
              <w:t>Antrum</w:t>
            </w:r>
          </w:p>
        </w:tc>
        <w:tc>
          <w:tcPr>
            <w:tcW w:w="0" w:type="auto"/>
            <w:tcBorders>
              <w:top w:val="nil"/>
              <w:left w:val="nil"/>
              <w:bottom w:val="nil"/>
              <w:right w:val="nil"/>
            </w:tcBorders>
          </w:tcPr>
          <w:p w14:paraId="5A85222D" w14:textId="77777777" w:rsidR="00BC56AD" w:rsidRDefault="004338DE">
            <w:pPr>
              <w:widowControl/>
              <w:spacing w:line="360" w:lineRule="auto"/>
              <w:rPr>
                <w:rFonts w:ascii="Book Antiqua" w:hAnsi="Book Antiqua"/>
                <w:lang w:eastAsia="zh-CN"/>
              </w:rPr>
            </w:pPr>
            <w:r>
              <w:rPr>
                <w:rFonts w:ascii="Book Antiqua" w:hAnsi="Book Antiqua"/>
                <w:lang w:eastAsia="zh-CN"/>
              </w:rPr>
              <w:t>8</w:t>
            </w:r>
          </w:p>
        </w:tc>
        <w:tc>
          <w:tcPr>
            <w:tcW w:w="0" w:type="auto"/>
            <w:tcBorders>
              <w:top w:val="nil"/>
              <w:left w:val="nil"/>
              <w:bottom w:val="nil"/>
              <w:right w:val="nil"/>
            </w:tcBorders>
          </w:tcPr>
          <w:p w14:paraId="407D05BE" w14:textId="77777777" w:rsidR="00BC56AD" w:rsidRDefault="004338DE">
            <w:pPr>
              <w:widowControl/>
              <w:spacing w:line="360" w:lineRule="auto"/>
              <w:rPr>
                <w:rFonts w:ascii="Book Antiqua" w:hAnsi="Book Antiqua"/>
                <w:lang w:eastAsia="zh-CN"/>
              </w:rPr>
            </w:pPr>
            <w:r>
              <w:rPr>
                <w:rFonts w:ascii="Book Antiqua" w:hAnsi="Book Antiqua"/>
                <w:lang w:eastAsia="zh-CN"/>
              </w:rPr>
              <w:t>CD99, S100, NSE, vimentin</w:t>
            </w:r>
          </w:p>
        </w:tc>
        <w:tc>
          <w:tcPr>
            <w:tcW w:w="0" w:type="auto"/>
            <w:tcBorders>
              <w:top w:val="nil"/>
              <w:left w:val="nil"/>
              <w:bottom w:val="nil"/>
              <w:right w:val="nil"/>
            </w:tcBorders>
          </w:tcPr>
          <w:p w14:paraId="17522B5C" w14:textId="77777777" w:rsidR="00BC56AD" w:rsidRDefault="004338DE">
            <w:pPr>
              <w:widowControl/>
              <w:spacing w:line="360" w:lineRule="auto"/>
              <w:rPr>
                <w:rFonts w:ascii="Book Antiqua" w:hAnsi="Book Antiqua"/>
                <w:lang w:eastAsia="zh-CN"/>
              </w:rPr>
            </w:pPr>
            <w:r>
              <w:rPr>
                <w:rFonts w:ascii="Book Antiqua" w:hAnsi="Book Antiqua"/>
                <w:lang w:eastAsia="zh-CN"/>
              </w:rPr>
              <w:t>t(</w:t>
            </w:r>
            <w:r>
              <w:rPr>
                <w:rFonts w:ascii="Book Antiqua" w:hAnsi="Book Antiqua" w:hint="eastAsia"/>
                <w:lang w:eastAsia="zh-CN"/>
              </w:rPr>
              <w:t>2</w:t>
            </w:r>
            <w:r>
              <w:rPr>
                <w:rFonts w:ascii="Book Antiqua" w:hAnsi="Book Antiqua"/>
                <w:lang w:eastAsia="zh-CN"/>
              </w:rPr>
              <w:t>1;22)(q2</w:t>
            </w:r>
            <w:r>
              <w:rPr>
                <w:rFonts w:ascii="Book Antiqua" w:hAnsi="Book Antiqua" w:hint="eastAsia"/>
                <w:lang w:eastAsia="zh-CN"/>
              </w:rPr>
              <w:t>2</w:t>
            </w:r>
            <w:r>
              <w:rPr>
                <w:rFonts w:ascii="Book Antiqua" w:hAnsi="Book Antiqua"/>
                <w:lang w:eastAsia="zh-CN"/>
              </w:rPr>
              <w:t>;q12)</w:t>
            </w:r>
          </w:p>
        </w:tc>
        <w:tc>
          <w:tcPr>
            <w:tcW w:w="0" w:type="auto"/>
            <w:tcBorders>
              <w:top w:val="nil"/>
              <w:left w:val="nil"/>
              <w:bottom w:val="nil"/>
              <w:right w:val="nil"/>
            </w:tcBorders>
          </w:tcPr>
          <w:p w14:paraId="46561A06"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70313B75"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2BC2EB32" w14:textId="77777777" w:rsidR="00BC56AD" w:rsidRDefault="004338DE">
            <w:pPr>
              <w:widowControl/>
              <w:spacing w:line="360" w:lineRule="auto"/>
              <w:rPr>
                <w:rFonts w:ascii="Book Antiqua" w:hAnsi="Book Antiqua"/>
                <w:lang w:eastAsia="zh-CN"/>
              </w:rPr>
            </w:pPr>
            <w:r>
              <w:rPr>
                <w:rFonts w:ascii="Book Antiqua" w:hAnsi="Book Antiqua"/>
                <w:lang w:eastAsia="zh-CN"/>
              </w:rPr>
              <w:t>Gastrectomy</w:t>
            </w:r>
          </w:p>
        </w:tc>
        <w:tc>
          <w:tcPr>
            <w:tcW w:w="0" w:type="auto"/>
            <w:tcBorders>
              <w:top w:val="nil"/>
              <w:left w:val="nil"/>
              <w:bottom w:val="nil"/>
              <w:right w:val="nil"/>
            </w:tcBorders>
          </w:tcPr>
          <w:p w14:paraId="6FC5A205" w14:textId="77777777" w:rsidR="00BC56AD" w:rsidRDefault="004338DE">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0BE59740" w14:textId="77777777" w:rsidR="00BC56AD" w:rsidRDefault="004338DE">
            <w:pPr>
              <w:widowControl/>
              <w:spacing w:line="360" w:lineRule="auto"/>
              <w:rPr>
                <w:rFonts w:ascii="Book Antiqua" w:hAnsi="Book Antiqua"/>
                <w:lang w:eastAsia="zh-CN"/>
              </w:rPr>
            </w:pPr>
            <w:r>
              <w:rPr>
                <w:rFonts w:ascii="Book Antiqua" w:hAnsi="Book Antiqua"/>
                <w:lang w:eastAsia="zh-CN"/>
              </w:rPr>
              <w:t>10</w:t>
            </w:r>
          </w:p>
        </w:tc>
        <w:tc>
          <w:tcPr>
            <w:tcW w:w="0" w:type="auto"/>
            <w:tcBorders>
              <w:top w:val="nil"/>
              <w:left w:val="nil"/>
              <w:bottom w:val="nil"/>
            </w:tcBorders>
          </w:tcPr>
          <w:p w14:paraId="01E8286D" w14:textId="77777777" w:rsidR="00BC56AD" w:rsidRDefault="004338DE">
            <w:pPr>
              <w:widowControl/>
              <w:spacing w:line="360" w:lineRule="auto"/>
              <w:rPr>
                <w:rFonts w:ascii="Book Antiqua" w:hAnsi="Book Antiqua"/>
                <w:lang w:eastAsia="zh-CN"/>
              </w:rPr>
            </w:pPr>
            <w:r>
              <w:rPr>
                <w:rFonts w:ascii="Book Antiqua" w:hAnsi="Book Antiqua"/>
                <w:lang w:eastAsia="zh-CN"/>
              </w:rPr>
              <w:t>Dead</w:t>
            </w:r>
          </w:p>
        </w:tc>
      </w:tr>
      <w:tr w:rsidR="00BC56AD" w14:paraId="2561853E" w14:textId="77777777">
        <w:trPr>
          <w:trHeight w:val="90"/>
        </w:trPr>
        <w:tc>
          <w:tcPr>
            <w:tcW w:w="0" w:type="auto"/>
            <w:tcBorders>
              <w:top w:val="nil"/>
              <w:left w:val="nil"/>
              <w:bottom w:val="nil"/>
              <w:right w:val="nil"/>
            </w:tcBorders>
          </w:tcPr>
          <w:p w14:paraId="02A161FC"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Colovic </w:t>
            </w:r>
            <w:r>
              <w:rPr>
                <w:rFonts w:ascii="Book Antiqua" w:hAnsi="Book Antiqua"/>
                <w:i/>
                <w:iCs/>
                <w:lang w:eastAsia="zh-CN"/>
              </w:rPr>
              <w:t>et al</w:t>
            </w:r>
            <w:r>
              <w:rPr>
                <w:rFonts w:ascii="Book Antiqua" w:hAnsi="Book Antiqua"/>
                <w:vertAlign w:val="superscript"/>
                <w:lang w:eastAsia="zh-CN"/>
              </w:rPr>
              <w:t>[8]</w:t>
            </w:r>
            <w:r>
              <w:rPr>
                <w:rFonts w:ascii="Book Antiqua" w:hAnsi="Book Antiqua"/>
                <w:lang w:eastAsia="zh-CN"/>
              </w:rPr>
              <w:t>, 2009</w:t>
            </w:r>
          </w:p>
        </w:tc>
        <w:tc>
          <w:tcPr>
            <w:tcW w:w="0" w:type="auto"/>
            <w:tcBorders>
              <w:top w:val="nil"/>
              <w:left w:val="nil"/>
              <w:bottom w:val="nil"/>
              <w:right w:val="nil"/>
            </w:tcBorders>
          </w:tcPr>
          <w:p w14:paraId="0438A68A" w14:textId="77777777" w:rsidR="00BC56AD" w:rsidRDefault="004338DE">
            <w:pPr>
              <w:widowControl/>
              <w:spacing w:line="360" w:lineRule="auto"/>
              <w:rPr>
                <w:rFonts w:ascii="Book Antiqua" w:hAnsi="Book Antiqua"/>
                <w:lang w:eastAsia="zh-CN"/>
              </w:rPr>
            </w:pPr>
            <w:r>
              <w:rPr>
                <w:rFonts w:ascii="Book Antiqua" w:hAnsi="Book Antiqua"/>
                <w:lang w:eastAsia="zh-CN"/>
              </w:rPr>
              <w:t>44, F</w:t>
            </w:r>
          </w:p>
        </w:tc>
        <w:tc>
          <w:tcPr>
            <w:tcW w:w="0" w:type="auto"/>
            <w:tcBorders>
              <w:top w:val="nil"/>
              <w:left w:val="nil"/>
              <w:bottom w:val="nil"/>
              <w:right w:val="nil"/>
            </w:tcBorders>
          </w:tcPr>
          <w:p w14:paraId="0C59B323" w14:textId="77777777" w:rsidR="00BC56AD" w:rsidRDefault="004338DE">
            <w:pPr>
              <w:widowControl/>
              <w:spacing w:line="360" w:lineRule="auto"/>
              <w:rPr>
                <w:rFonts w:ascii="Book Antiqua" w:hAnsi="Book Antiqua"/>
                <w:lang w:eastAsia="zh-CN"/>
              </w:rPr>
            </w:pPr>
            <w:r>
              <w:rPr>
                <w:rFonts w:ascii="Book Antiqua" w:hAnsi="Book Antiqua"/>
                <w:lang w:eastAsia="zh-CN"/>
              </w:rPr>
              <w:t>Epigastric pain</w:t>
            </w:r>
          </w:p>
        </w:tc>
        <w:tc>
          <w:tcPr>
            <w:tcW w:w="0" w:type="auto"/>
            <w:tcBorders>
              <w:top w:val="nil"/>
              <w:left w:val="nil"/>
              <w:bottom w:val="nil"/>
              <w:right w:val="nil"/>
            </w:tcBorders>
          </w:tcPr>
          <w:p w14:paraId="6839F642" w14:textId="77777777" w:rsidR="00BC56AD" w:rsidRDefault="004338DE">
            <w:pPr>
              <w:widowControl/>
              <w:spacing w:line="360" w:lineRule="auto"/>
              <w:rPr>
                <w:rFonts w:ascii="Book Antiqua" w:hAnsi="Book Antiqua"/>
                <w:lang w:eastAsia="zh-CN"/>
              </w:rPr>
            </w:pPr>
            <w:r>
              <w:rPr>
                <w:rFonts w:ascii="Book Antiqua" w:hAnsi="Book Antiqua"/>
                <w:lang w:eastAsia="zh-CN"/>
              </w:rPr>
              <w:t>Posterior wall body</w:t>
            </w:r>
          </w:p>
        </w:tc>
        <w:tc>
          <w:tcPr>
            <w:tcW w:w="0" w:type="auto"/>
            <w:tcBorders>
              <w:top w:val="nil"/>
              <w:left w:val="nil"/>
              <w:bottom w:val="nil"/>
              <w:right w:val="nil"/>
            </w:tcBorders>
          </w:tcPr>
          <w:p w14:paraId="12A92789" w14:textId="77777777" w:rsidR="00BC56AD" w:rsidRDefault="004338DE">
            <w:pPr>
              <w:widowControl/>
              <w:spacing w:line="360" w:lineRule="auto"/>
              <w:rPr>
                <w:rFonts w:ascii="Book Antiqua" w:hAnsi="Book Antiqua"/>
                <w:lang w:eastAsia="zh-CN"/>
              </w:rPr>
            </w:pPr>
            <w:r>
              <w:rPr>
                <w:rFonts w:ascii="Book Antiqua" w:hAnsi="Book Antiqua"/>
                <w:lang w:eastAsia="zh-CN"/>
              </w:rPr>
              <w:t>10</w:t>
            </w:r>
          </w:p>
        </w:tc>
        <w:tc>
          <w:tcPr>
            <w:tcW w:w="0" w:type="auto"/>
            <w:tcBorders>
              <w:top w:val="nil"/>
              <w:left w:val="nil"/>
              <w:bottom w:val="nil"/>
              <w:right w:val="nil"/>
            </w:tcBorders>
          </w:tcPr>
          <w:p w14:paraId="7E5E7261" w14:textId="77777777" w:rsidR="00BC56AD" w:rsidRDefault="004338DE">
            <w:pPr>
              <w:widowControl/>
              <w:spacing w:line="360" w:lineRule="auto"/>
              <w:rPr>
                <w:rFonts w:ascii="Book Antiqua" w:hAnsi="Book Antiqua"/>
                <w:lang w:eastAsia="zh-CN"/>
              </w:rPr>
            </w:pPr>
            <w:r>
              <w:rPr>
                <w:rFonts w:ascii="Book Antiqua" w:hAnsi="Book Antiqua"/>
                <w:lang w:eastAsia="zh-CN"/>
              </w:rPr>
              <w:t>CD99, S100, vimentin, NSE, PGP9.5</w:t>
            </w:r>
          </w:p>
        </w:tc>
        <w:tc>
          <w:tcPr>
            <w:tcW w:w="0" w:type="auto"/>
            <w:tcBorders>
              <w:top w:val="nil"/>
              <w:left w:val="nil"/>
              <w:bottom w:val="nil"/>
              <w:right w:val="nil"/>
            </w:tcBorders>
          </w:tcPr>
          <w:p w14:paraId="0856FB9D"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0BFF59A1"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5E1E33AD"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47B16AE9" w14:textId="77777777" w:rsidR="00BC56AD" w:rsidRDefault="004338DE">
            <w:pPr>
              <w:widowControl/>
              <w:spacing w:line="360" w:lineRule="auto"/>
              <w:rPr>
                <w:rFonts w:ascii="Book Antiqua" w:hAnsi="Book Antiqua"/>
                <w:lang w:eastAsia="zh-CN"/>
              </w:rPr>
            </w:pPr>
            <w:r>
              <w:rPr>
                <w:rFonts w:ascii="Book Antiqua" w:hAnsi="Book Antiqua"/>
                <w:lang w:eastAsia="zh-CN"/>
              </w:rPr>
              <w:t>Excision</w:t>
            </w:r>
          </w:p>
        </w:tc>
        <w:tc>
          <w:tcPr>
            <w:tcW w:w="0" w:type="auto"/>
            <w:tcBorders>
              <w:top w:val="nil"/>
              <w:left w:val="nil"/>
              <w:bottom w:val="nil"/>
              <w:right w:val="nil"/>
            </w:tcBorders>
          </w:tcPr>
          <w:p w14:paraId="7C5F382B"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6BFACD6B" w14:textId="77777777" w:rsidR="00BC56AD" w:rsidRDefault="004338DE">
            <w:pPr>
              <w:widowControl/>
              <w:spacing w:line="360" w:lineRule="auto"/>
              <w:rPr>
                <w:rFonts w:ascii="Book Antiqua" w:hAnsi="Book Antiqua"/>
                <w:lang w:eastAsia="zh-CN"/>
              </w:rPr>
            </w:pPr>
            <w:r>
              <w:rPr>
                <w:rFonts w:ascii="Book Antiqua" w:hAnsi="Book Antiqua"/>
                <w:lang w:eastAsia="zh-CN"/>
              </w:rPr>
              <w:t>20</w:t>
            </w:r>
          </w:p>
        </w:tc>
        <w:tc>
          <w:tcPr>
            <w:tcW w:w="0" w:type="auto"/>
            <w:tcBorders>
              <w:top w:val="nil"/>
              <w:left w:val="nil"/>
              <w:bottom w:val="nil"/>
            </w:tcBorders>
          </w:tcPr>
          <w:p w14:paraId="0FA76F32" w14:textId="77777777" w:rsidR="00BC56AD" w:rsidRDefault="004338DE">
            <w:pPr>
              <w:widowControl/>
              <w:spacing w:line="360" w:lineRule="auto"/>
              <w:rPr>
                <w:rFonts w:ascii="Book Antiqua" w:hAnsi="Book Antiqua"/>
                <w:lang w:eastAsia="zh-CN"/>
              </w:rPr>
            </w:pPr>
            <w:r>
              <w:rPr>
                <w:rFonts w:ascii="Book Antiqua" w:hAnsi="Book Antiqua"/>
                <w:lang w:eastAsia="zh-CN"/>
              </w:rPr>
              <w:t>Alive</w:t>
            </w:r>
          </w:p>
        </w:tc>
      </w:tr>
      <w:tr w:rsidR="00BC56AD" w14:paraId="498DC2E0" w14:textId="77777777">
        <w:trPr>
          <w:trHeight w:val="90"/>
        </w:trPr>
        <w:tc>
          <w:tcPr>
            <w:tcW w:w="0" w:type="auto"/>
            <w:tcBorders>
              <w:top w:val="nil"/>
              <w:left w:val="nil"/>
              <w:bottom w:val="nil"/>
              <w:right w:val="nil"/>
            </w:tcBorders>
          </w:tcPr>
          <w:p w14:paraId="29415838" w14:textId="77777777" w:rsidR="00BC56AD" w:rsidRDefault="004338DE">
            <w:pPr>
              <w:spacing w:line="360" w:lineRule="auto"/>
              <w:rPr>
                <w:rFonts w:ascii="Book Antiqua" w:hAnsi="Book Antiqua"/>
                <w:lang w:eastAsia="zh-CN"/>
              </w:rPr>
            </w:pPr>
            <w:r>
              <w:rPr>
                <w:rFonts w:ascii="Book Antiqua" w:hAnsi="Book Antiqua"/>
                <w:lang w:eastAsia="zh-CN"/>
              </w:rPr>
              <w:t xml:space="preserve">Rafailidis </w:t>
            </w:r>
            <w:r>
              <w:rPr>
                <w:rFonts w:ascii="Book Antiqua" w:hAnsi="Book Antiqua"/>
                <w:i/>
                <w:iCs/>
                <w:lang w:eastAsia="zh-CN"/>
              </w:rPr>
              <w:t>et al</w:t>
            </w:r>
            <w:r>
              <w:rPr>
                <w:rFonts w:ascii="Book Antiqua" w:hAnsi="Book Antiqua"/>
                <w:vertAlign w:val="superscript"/>
                <w:lang w:eastAsia="zh-CN"/>
              </w:rPr>
              <w:t>[9]</w:t>
            </w:r>
            <w:r>
              <w:rPr>
                <w:rFonts w:ascii="Book Antiqua" w:hAnsi="Book Antiqua"/>
                <w:lang w:eastAsia="zh-CN"/>
              </w:rPr>
              <w:t>, 2009</w:t>
            </w:r>
          </w:p>
        </w:tc>
        <w:tc>
          <w:tcPr>
            <w:tcW w:w="0" w:type="auto"/>
            <w:tcBorders>
              <w:top w:val="nil"/>
              <w:left w:val="nil"/>
              <w:bottom w:val="nil"/>
              <w:right w:val="nil"/>
            </w:tcBorders>
          </w:tcPr>
          <w:p w14:paraId="4AE214C4" w14:textId="77777777" w:rsidR="00BC56AD" w:rsidRDefault="004338DE">
            <w:pPr>
              <w:spacing w:line="360" w:lineRule="auto"/>
              <w:rPr>
                <w:rFonts w:ascii="Book Antiqua" w:hAnsi="Book Antiqua"/>
                <w:lang w:eastAsia="zh-CN"/>
              </w:rPr>
            </w:pPr>
            <w:r>
              <w:rPr>
                <w:rFonts w:ascii="Book Antiqua" w:hAnsi="Book Antiqua"/>
                <w:lang w:eastAsia="zh-CN"/>
              </w:rPr>
              <w:t>68, M</w:t>
            </w:r>
          </w:p>
          <w:p w14:paraId="5E43746D" w14:textId="77777777" w:rsidR="00BC56AD" w:rsidRDefault="00BC56AD">
            <w:pPr>
              <w:widowControl/>
              <w:spacing w:line="360" w:lineRule="auto"/>
              <w:rPr>
                <w:rFonts w:ascii="Book Antiqua" w:hAnsi="Book Antiqua"/>
                <w:lang w:eastAsia="zh-CN"/>
              </w:rPr>
            </w:pPr>
          </w:p>
        </w:tc>
        <w:tc>
          <w:tcPr>
            <w:tcW w:w="0" w:type="auto"/>
            <w:tcBorders>
              <w:top w:val="nil"/>
              <w:left w:val="nil"/>
              <w:bottom w:val="nil"/>
              <w:right w:val="nil"/>
            </w:tcBorders>
          </w:tcPr>
          <w:p w14:paraId="5CD64F8A" w14:textId="77777777" w:rsidR="00BC56AD" w:rsidRDefault="004338DE">
            <w:pPr>
              <w:spacing w:line="360" w:lineRule="auto"/>
              <w:rPr>
                <w:rFonts w:ascii="Book Antiqua" w:hAnsi="Book Antiqua"/>
                <w:lang w:eastAsia="zh-CN"/>
              </w:rPr>
            </w:pPr>
            <w:r>
              <w:rPr>
                <w:rFonts w:ascii="Book Antiqua" w:hAnsi="Book Antiqua"/>
                <w:lang w:eastAsia="zh-CN"/>
              </w:rPr>
              <w:t>Abdominal pain,</w:t>
            </w:r>
            <w:r>
              <w:rPr>
                <w:rFonts w:ascii="Book Antiqua" w:hAnsi="Book Antiqua" w:hint="eastAsia"/>
                <w:lang w:eastAsia="zh-CN"/>
              </w:rPr>
              <w:t xml:space="preserve"> </w:t>
            </w:r>
            <w:r>
              <w:rPr>
                <w:rFonts w:ascii="Book Antiqua" w:hAnsi="Book Antiqua"/>
                <w:lang w:eastAsia="zh-CN"/>
              </w:rPr>
              <w:t>dyspepsia, weakness</w:t>
            </w:r>
          </w:p>
        </w:tc>
        <w:tc>
          <w:tcPr>
            <w:tcW w:w="0" w:type="auto"/>
            <w:tcBorders>
              <w:top w:val="nil"/>
              <w:left w:val="nil"/>
              <w:bottom w:val="nil"/>
              <w:right w:val="nil"/>
            </w:tcBorders>
          </w:tcPr>
          <w:p w14:paraId="24B64816" w14:textId="77777777" w:rsidR="00BC56AD" w:rsidRDefault="004338DE">
            <w:pPr>
              <w:spacing w:line="360" w:lineRule="auto"/>
              <w:rPr>
                <w:rFonts w:ascii="Book Antiqua" w:hAnsi="Book Antiqua"/>
                <w:lang w:eastAsia="zh-CN"/>
              </w:rPr>
            </w:pPr>
            <w:r>
              <w:rPr>
                <w:rFonts w:ascii="Book Antiqua" w:hAnsi="Book Antiqua"/>
                <w:lang w:eastAsia="zh-CN"/>
              </w:rPr>
              <w:t>Body</w:t>
            </w:r>
          </w:p>
          <w:p w14:paraId="7FF83D7E" w14:textId="77777777" w:rsidR="00BC56AD" w:rsidRDefault="00BC56AD">
            <w:pPr>
              <w:widowControl/>
              <w:spacing w:line="360" w:lineRule="auto"/>
              <w:rPr>
                <w:rFonts w:ascii="Book Antiqua" w:hAnsi="Book Antiqua"/>
                <w:lang w:eastAsia="zh-CN"/>
              </w:rPr>
            </w:pPr>
          </w:p>
        </w:tc>
        <w:tc>
          <w:tcPr>
            <w:tcW w:w="0" w:type="auto"/>
            <w:tcBorders>
              <w:top w:val="nil"/>
              <w:left w:val="nil"/>
              <w:bottom w:val="nil"/>
              <w:right w:val="nil"/>
            </w:tcBorders>
          </w:tcPr>
          <w:p w14:paraId="715C123E" w14:textId="77777777" w:rsidR="00BC56AD" w:rsidRDefault="004338DE">
            <w:pPr>
              <w:spacing w:line="360" w:lineRule="auto"/>
              <w:rPr>
                <w:rFonts w:ascii="Book Antiqua" w:hAnsi="Book Antiqua"/>
                <w:lang w:eastAsia="zh-CN"/>
              </w:rPr>
            </w:pPr>
            <w:r>
              <w:rPr>
                <w:rFonts w:ascii="Book Antiqua" w:hAnsi="Book Antiqua"/>
                <w:lang w:eastAsia="zh-CN"/>
              </w:rPr>
              <w:t>12</w:t>
            </w:r>
          </w:p>
          <w:p w14:paraId="7434BDF2" w14:textId="77777777" w:rsidR="00BC56AD" w:rsidRDefault="00BC56AD">
            <w:pPr>
              <w:widowControl/>
              <w:spacing w:line="360" w:lineRule="auto"/>
              <w:rPr>
                <w:rFonts w:ascii="Book Antiqua" w:hAnsi="Book Antiqua"/>
                <w:lang w:eastAsia="zh-CN"/>
              </w:rPr>
            </w:pPr>
          </w:p>
        </w:tc>
        <w:tc>
          <w:tcPr>
            <w:tcW w:w="0" w:type="auto"/>
            <w:tcBorders>
              <w:top w:val="nil"/>
              <w:left w:val="nil"/>
              <w:bottom w:val="nil"/>
              <w:right w:val="nil"/>
            </w:tcBorders>
          </w:tcPr>
          <w:p w14:paraId="2667DCA2" w14:textId="77777777" w:rsidR="00BC56AD" w:rsidRDefault="004338DE">
            <w:pPr>
              <w:widowControl/>
              <w:spacing w:line="360" w:lineRule="auto"/>
              <w:rPr>
                <w:rFonts w:ascii="Book Antiqua" w:hAnsi="Book Antiqua"/>
                <w:lang w:eastAsia="zh-CN"/>
              </w:rPr>
            </w:pPr>
            <w:r>
              <w:rPr>
                <w:rFonts w:ascii="Book Antiqua" w:hAnsi="Book Antiqua"/>
                <w:lang w:eastAsia="zh-CN"/>
              </w:rPr>
              <w:t>vimentin, NSE, CD99, CD117, Leu-7</w:t>
            </w:r>
          </w:p>
        </w:tc>
        <w:tc>
          <w:tcPr>
            <w:tcW w:w="0" w:type="auto"/>
            <w:tcBorders>
              <w:top w:val="nil"/>
              <w:left w:val="nil"/>
              <w:bottom w:val="nil"/>
              <w:right w:val="nil"/>
            </w:tcBorders>
          </w:tcPr>
          <w:p w14:paraId="79880618" w14:textId="77777777" w:rsidR="00BC56AD" w:rsidRDefault="004338DE">
            <w:pPr>
              <w:widowControl/>
              <w:spacing w:line="360" w:lineRule="auto"/>
              <w:rPr>
                <w:rFonts w:ascii="Book Antiqua" w:hAnsi="Book Antiqua"/>
                <w:lang w:eastAsia="zh-CN"/>
              </w:rPr>
            </w:pPr>
            <w:r>
              <w:rPr>
                <w:rFonts w:ascii="Book Antiqua" w:hAnsi="Book Antiqua"/>
                <w:lang w:eastAsia="zh-CN"/>
              </w:rPr>
              <w:t>t(11;22)(q24;q12)</w:t>
            </w:r>
          </w:p>
        </w:tc>
        <w:tc>
          <w:tcPr>
            <w:tcW w:w="0" w:type="auto"/>
            <w:tcBorders>
              <w:top w:val="nil"/>
              <w:left w:val="nil"/>
              <w:bottom w:val="nil"/>
              <w:right w:val="nil"/>
            </w:tcBorders>
          </w:tcPr>
          <w:p w14:paraId="725EBF5A" w14:textId="77777777" w:rsidR="00BC56AD" w:rsidRDefault="004338DE">
            <w:pPr>
              <w:spacing w:line="360" w:lineRule="auto"/>
              <w:rPr>
                <w:rFonts w:ascii="Book Antiqua" w:hAnsi="Book Antiqua"/>
                <w:lang w:eastAsia="zh-CN"/>
              </w:rPr>
            </w:pPr>
            <w:r>
              <w:rPr>
                <w:rFonts w:ascii="Book Antiqua" w:hAnsi="Book Antiqua"/>
                <w:lang w:eastAsia="zh-CN"/>
              </w:rPr>
              <w:t>Liver</w:t>
            </w:r>
          </w:p>
        </w:tc>
        <w:tc>
          <w:tcPr>
            <w:tcW w:w="0" w:type="auto"/>
            <w:tcBorders>
              <w:top w:val="nil"/>
              <w:left w:val="nil"/>
              <w:bottom w:val="nil"/>
              <w:right w:val="nil"/>
            </w:tcBorders>
          </w:tcPr>
          <w:p w14:paraId="37DFCA9E" w14:textId="77777777" w:rsidR="00BC56AD" w:rsidRDefault="004338DE">
            <w:pPr>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1F6CF108" w14:textId="77777777" w:rsidR="00BC56AD" w:rsidRDefault="004338DE">
            <w:pPr>
              <w:spacing w:line="360" w:lineRule="auto"/>
              <w:rPr>
                <w:rFonts w:ascii="Book Antiqua" w:hAnsi="Book Antiqua"/>
                <w:lang w:eastAsia="zh-CN"/>
              </w:rPr>
            </w:pPr>
            <w:r>
              <w:rPr>
                <w:rFonts w:ascii="Book Antiqua" w:hAnsi="Book Antiqua"/>
                <w:lang w:eastAsia="zh-CN"/>
              </w:rPr>
              <w:t>SG</w:t>
            </w:r>
          </w:p>
        </w:tc>
        <w:tc>
          <w:tcPr>
            <w:tcW w:w="0" w:type="auto"/>
            <w:tcBorders>
              <w:top w:val="nil"/>
              <w:left w:val="nil"/>
              <w:bottom w:val="nil"/>
              <w:right w:val="nil"/>
            </w:tcBorders>
          </w:tcPr>
          <w:p w14:paraId="31678D62" w14:textId="77777777" w:rsidR="00BC56AD" w:rsidRDefault="004338DE">
            <w:pPr>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6CA7BB65" w14:textId="77777777" w:rsidR="00BC56AD" w:rsidRDefault="004338DE">
            <w:pPr>
              <w:spacing w:line="360" w:lineRule="auto"/>
              <w:rPr>
                <w:rFonts w:ascii="Book Antiqua" w:hAnsi="Book Antiqua"/>
                <w:lang w:eastAsia="zh-CN"/>
              </w:rPr>
            </w:pPr>
            <w:r>
              <w:rPr>
                <w:rFonts w:ascii="Book Antiqua" w:hAnsi="Book Antiqua"/>
                <w:lang w:eastAsia="zh-CN"/>
              </w:rPr>
              <w:t>13</w:t>
            </w:r>
          </w:p>
        </w:tc>
        <w:tc>
          <w:tcPr>
            <w:tcW w:w="0" w:type="auto"/>
            <w:tcBorders>
              <w:top w:val="nil"/>
              <w:left w:val="nil"/>
              <w:bottom w:val="nil"/>
            </w:tcBorders>
          </w:tcPr>
          <w:p w14:paraId="79CD06E0" w14:textId="77777777" w:rsidR="00BC56AD" w:rsidRDefault="004338DE">
            <w:pPr>
              <w:spacing w:line="360" w:lineRule="auto"/>
              <w:rPr>
                <w:rFonts w:ascii="Book Antiqua" w:hAnsi="Book Antiqua"/>
                <w:lang w:eastAsia="zh-CN"/>
              </w:rPr>
            </w:pPr>
            <w:r>
              <w:rPr>
                <w:rFonts w:ascii="Book Antiqua" w:hAnsi="Book Antiqua"/>
                <w:lang w:eastAsia="zh-CN"/>
              </w:rPr>
              <w:t>Dead</w:t>
            </w:r>
          </w:p>
        </w:tc>
      </w:tr>
      <w:tr w:rsidR="00BC56AD" w14:paraId="3C96B39C" w14:textId="77777777">
        <w:trPr>
          <w:trHeight w:val="90"/>
        </w:trPr>
        <w:tc>
          <w:tcPr>
            <w:tcW w:w="0" w:type="auto"/>
            <w:tcBorders>
              <w:top w:val="nil"/>
              <w:left w:val="nil"/>
              <w:bottom w:val="nil"/>
              <w:right w:val="nil"/>
            </w:tcBorders>
          </w:tcPr>
          <w:p w14:paraId="5E79DCD2"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Inoue </w:t>
            </w:r>
            <w:r>
              <w:rPr>
                <w:rFonts w:ascii="Book Antiqua" w:hAnsi="Book Antiqua"/>
                <w:i/>
                <w:iCs/>
                <w:lang w:eastAsia="zh-CN"/>
              </w:rPr>
              <w:t>et al</w:t>
            </w:r>
            <w:r>
              <w:rPr>
                <w:rFonts w:ascii="Book Antiqua" w:hAnsi="Book Antiqua"/>
                <w:vertAlign w:val="superscript"/>
                <w:lang w:eastAsia="zh-CN"/>
              </w:rPr>
              <w:t>[10]</w:t>
            </w:r>
            <w:r>
              <w:rPr>
                <w:rFonts w:ascii="Book Antiqua" w:hAnsi="Book Antiqua"/>
                <w:lang w:eastAsia="zh-CN"/>
              </w:rPr>
              <w:t>, 2011</w:t>
            </w:r>
          </w:p>
        </w:tc>
        <w:tc>
          <w:tcPr>
            <w:tcW w:w="0" w:type="auto"/>
            <w:tcBorders>
              <w:top w:val="nil"/>
              <w:left w:val="nil"/>
              <w:bottom w:val="nil"/>
              <w:right w:val="nil"/>
            </w:tcBorders>
          </w:tcPr>
          <w:p w14:paraId="04194F24" w14:textId="77777777" w:rsidR="00BC56AD" w:rsidRDefault="004338DE">
            <w:pPr>
              <w:widowControl/>
              <w:spacing w:line="360" w:lineRule="auto"/>
              <w:rPr>
                <w:rFonts w:ascii="Book Antiqua" w:hAnsi="Book Antiqua"/>
                <w:lang w:eastAsia="zh-CN"/>
              </w:rPr>
            </w:pPr>
            <w:r>
              <w:rPr>
                <w:rFonts w:ascii="Book Antiqua" w:hAnsi="Book Antiqua"/>
                <w:lang w:eastAsia="zh-CN"/>
              </w:rPr>
              <w:t>41, F</w:t>
            </w:r>
          </w:p>
        </w:tc>
        <w:tc>
          <w:tcPr>
            <w:tcW w:w="0" w:type="auto"/>
            <w:tcBorders>
              <w:top w:val="nil"/>
              <w:left w:val="nil"/>
              <w:bottom w:val="nil"/>
              <w:right w:val="nil"/>
            </w:tcBorders>
          </w:tcPr>
          <w:p w14:paraId="59FDCC4D" w14:textId="77777777" w:rsidR="00BC56AD" w:rsidRDefault="004338DE">
            <w:pPr>
              <w:widowControl/>
              <w:spacing w:line="360" w:lineRule="auto"/>
              <w:rPr>
                <w:rFonts w:ascii="Book Antiqua" w:hAnsi="Book Antiqua"/>
                <w:lang w:eastAsia="zh-CN"/>
              </w:rPr>
            </w:pPr>
            <w:r>
              <w:rPr>
                <w:rFonts w:ascii="Book Antiqua" w:hAnsi="Book Antiqua"/>
                <w:lang w:eastAsia="zh-CN"/>
              </w:rPr>
              <w:t>Abdominal pain</w:t>
            </w:r>
          </w:p>
        </w:tc>
        <w:tc>
          <w:tcPr>
            <w:tcW w:w="0" w:type="auto"/>
            <w:tcBorders>
              <w:top w:val="nil"/>
              <w:left w:val="nil"/>
              <w:bottom w:val="nil"/>
              <w:right w:val="nil"/>
            </w:tcBorders>
          </w:tcPr>
          <w:p w14:paraId="789396F6" w14:textId="77777777" w:rsidR="00BC56AD" w:rsidRDefault="004338DE">
            <w:pPr>
              <w:widowControl/>
              <w:spacing w:line="360" w:lineRule="auto"/>
              <w:rPr>
                <w:rFonts w:ascii="Book Antiqua" w:hAnsi="Book Antiqua"/>
                <w:lang w:eastAsia="zh-CN"/>
              </w:rPr>
            </w:pPr>
            <w:r>
              <w:rPr>
                <w:rFonts w:ascii="Book Antiqua" w:hAnsi="Book Antiqua"/>
                <w:lang w:eastAsia="zh-CN"/>
              </w:rPr>
              <w:t>Anterior wall body</w:t>
            </w:r>
          </w:p>
        </w:tc>
        <w:tc>
          <w:tcPr>
            <w:tcW w:w="0" w:type="auto"/>
            <w:tcBorders>
              <w:top w:val="nil"/>
              <w:left w:val="nil"/>
              <w:bottom w:val="nil"/>
              <w:right w:val="nil"/>
            </w:tcBorders>
          </w:tcPr>
          <w:p w14:paraId="51135846" w14:textId="77777777" w:rsidR="00BC56AD" w:rsidRDefault="004338DE">
            <w:pPr>
              <w:widowControl/>
              <w:spacing w:line="360" w:lineRule="auto"/>
              <w:rPr>
                <w:rFonts w:ascii="Book Antiqua" w:hAnsi="Book Antiqua"/>
                <w:lang w:eastAsia="zh-CN"/>
              </w:rPr>
            </w:pPr>
            <w:r>
              <w:rPr>
                <w:rFonts w:ascii="Book Antiqua" w:hAnsi="Book Antiqua"/>
                <w:lang w:eastAsia="zh-CN"/>
              </w:rPr>
              <w:t>9</w:t>
            </w:r>
          </w:p>
        </w:tc>
        <w:tc>
          <w:tcPr>
            <w:tcW w:w="0" w:type="auto"/>
            <w:tcBorders>
              <w:top w:val="nil"/>
              <w:left w:val="nil"/>
              <w:bottom w:val="nil"/>
              <w:right w:val="nil"/>
            </w:tcBorders>
          </w:tcPr>
          <w:p w14:paraId="6E2E4779" w14:textId="77777777" w:rsidR="00BC56AD" w:rsidRDefault="004338DE">
            <w:pPr>
              <w:widowControl/>
              <w:spacing w:line="360" w:lineRule="auto"/>
              <w:rPr>
                <w:rFonts w:ascii="Book Antiqua" w:hAnsi="Book Antiqua"/>
                <w:lang w:eastAsia="zh-CN"/>
              </w:rPr>
            </w:pPr>
            <w:r>
              <w:rPr>
                <w:rFonts w:ascii="Book Antiqua" w:hAnsi="Book Antiqua"/>
                <w:lang w:eastAsia="zh-CN"/>
              </w:rPr>
              <w:t>CD99, vimentin, CD117, S100, chromogranin A, synaptophysin</w:t>
            </w:r>
          </w:p>
        </w:tc>
        <w:tc>
          <w:tcPr>
            <w:tcW w:w="0" w:type="auto"/>
            <w:tcBorders>
              <w:top w:val="nil"/>
              <w:left w:val="nil"/>
              <w:bottom w:val="nil"/>
              <w:right w:val="nil"/>
            </w:tcBorders>
          </w:tcPr>
          <w:p w14:paraId="0078E931" w14:textId="77777777" w:rsidR="00BC56AD" w:rsidRDefault="004338DE">
            <w:pPr>
              <w:widowControl/>
              <w:spacing w:line="360" w:lineRule="auto"/>
              <w:rPr>
                <w:rFonts w:ascii="Book Antiqua" w:hAnsi="Book Antiqua"/>
                <w:lang w:eastAsia="zh-CN"/>
              </w:rPr>
            </w:pPr>
            <w:r>
              <w:rPr>
                <w:rFonts w:ascii="Book Antiqua" w:hAnsi="Book Antiqua"/>
                <w:lang w:eastAsia="zh-CN"/>
              </w:rPr>
              <w:t>t(11;22)(q24;q12)</w:t>
            </w:r>
          </w:p>
        </w:tc>
        <w:tc>
          <w:tcPr>
            <w:tcW w:w="0" w:type="auto"/>
            <w:tcBorders>
              <w:top w:val="nil"/>
              <w:left w:val="nil"/>
              <w:bottom w:val="nil"/>
              <w:right w:val="nil"/>
            </w:tcBorders>
          </w:tcPr>
          <w:p w14:paraId="3996B692" w14:textId="77777777" w:rsidR="00BC56AD" w:rsidRDefault="004338DE">
            <w:pPr>
              <w:widowControl/>
              <w:spacing w:line="360" w:lineRule="auto"/>
              <w:rPr>
                <w:rFonts w:ascii="Book Antiqua" w:hAnsi="Book Antiqua"/>
                <w:lang w:eastAsia="zh-CN"/>
              </w:rPr>
            </w:pPr>
            <w:r>
              <w:rPr>
                <w:rFonts w:ascii="Book Antiqua" w:hAnsi="Book Antiqua"/>
                <w:lang w:eastAsia="zh-CN"/>
              </w:rPr>
              <w:t>Enterocoelia</w:t>
            </w:r>
          </w:p>
        </w:tc>
        <w:tc>
          <w:tcPr>
            <w:tcW w:w="0" w:type="auto"/>
            <w:tcBorders>
              <w:top w:val="nil"/>
              <w:left w:val="nil"/>
              <w:bottom w:val="nil"/>
              <w:right w:val="nil"/>
            </w:tcBorders>
          </w:tcPr>
          <w:p w14:paraId="65E6DA9A"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645D29E6" w14:textId="77777777" w:rsidR="00BC56AD" w:rsidRDefault="004338DE">
            <w:pPr>
              <w:widowControl/>
              <w:spacing w:line="360" w:lineRule="auto"/>
              <w:rPr>
                <w:rFonts w:ascii="Book Antiqua" w:hAnsi="Book Antiqua"/>
                <w:lang w:eastAsia="zh-CN"/>
              </w:rPr>
            </w:pPr>
            <w:r>
              <w:rPr>
                <w:rFonts w:ascii="Book Antiqua" w:hAnsi="Book Antiqua"/>
                <w:lang w:eastAsia="zh-CN"/>
              </w:rPr>
              <w:t>DG</w:t>
            </w:r>
          </w:p>
        </w:tc>
        <w:tc>
          <w:tcPr>
            <w:tcW w:w="0" w:type="auto"/>
            <w:tcBorders>
              <w:top w:val="nil"/>
              <w:left w:val="nil"/>
              <w:bottom w:val="nil"/>
              <w:right w:val="nil"/>
            </w:tcBorders>
          </w:tcPr>
          <w:p w14:paraId="651D423B" w14:textId="77777777" w:rsidR="00BC56AD" w:rsidRDefault="004338DE">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2E82BDEE" w14:textId="77777777" w:rsidR="00BC56AD" w:rsidRDefault="004338DE">
            <w:pPr>
              <w:widowControl/>
              <w:spacing w:line="360" w:lineRule="auto"/>
              <w:rPr>
                <w:rFonts w:ascii="Book Antiqua" w:hAnsi="Book Antiqua"/>
                <w:lang w:eastAsia="zh-CN"/>
              </w:rPr>
            </w:pPr>
            <w:r>
              <w:rPr>
                <w:rFonts w:ascii="Book Antiqua" w:hAnsi="Book Antiqua"/>
                <w:lang w:eastAsia="zh-CN"/>
              </w:rPr>
              <w:t>110</w:t>
            </w:r>
          </w:p>
        </w:tc>
        <w:tc>
          <w:tcPr>
            <w:tcW w:w="0" w:type="auto"/>
            <w:tcBorders>
              <w:top w:val="nil"/>
              <w:left w:val="nil"/>
              <w:bottom w:val="nil"/>
            </w:tcBorders>
          </w:tcPr>
          <w:p w14:paraId="68BD2DE6" w14:textId="77777777" w:rsidR="00BC56AD" w:rsidRDefault="004338DE">
            <w:pPr>
              <w:widowControl/>
              <w:spacing w:line="360" w:lineRule="auto"/>
              <w:rPr>
                <w:rFonts w:ascii="Book Antiqua" w:hAnsi="Book Antiqua"/>
                <w:lang w:eastAsia="zh-CN"/>
              </w:rPr>
            </w:pPr>
            <w:r>
              <w:rPr>
                <w:rFonts w:ascii="Book Antiqua" w:hAnsi="Book Antiqua"/>
                <w:lang w:eastAsia="zh-CN"/>
              </w:rPr>
              <w:t>Dead</w:t>
            </w:r>
          </w:p>
        </w:tc>
      </w:tr>
      <w:tr w:rsidR="00BC56AD" w14:paraId="2C7B4CFD" w14:textId="77777777">
        <w:trPr>
          <w:trHeight w:val="90"/>
        </w:trPr>
        <w:tc>
          <w:tcPr>
            <w:tcW w:w="0" w:type="auto"/>
            <w:tcBorders>
              <w:top w:val="nil"/>
              <w:left w:val="nil"/>
              <w:bottom w:val="nil"/>
              <w:right w:val="nil"/>
            </w:tcBorders>
          </w:tcPr>
          <w:p w14:paraId="7C754674"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Kim </w:t>
            </w:r>
            <w:r>
              <w:rPr>
                <w:rFonts w:ascii="Book Antiqua" w:hAnsi="Book Antiqua"/>
                <w:i/>
                <w:iCs/>
                <w:lang w:eastAsia="zh-CN"/>
              </w:rPr>
              <w:t>et al</w:t>
            </w:r>
            <w:r>
              <w:rPr>
                <w:rFonts w:ascii="Book Antiqua" w:hAnsi="Book Antiqua"/>
                <w:vertAlign w:val="superscript"/>
                <w:lang w:eastAsia="zh-CN"/>
              </w:rPr>
              <w:t>[11]</w:t>
            </w:r>
            <w:r>
              <w:rPr>
                <w:rFonts w:ascii="Book Antiqua" w:hAnsi="Book Antiqua"/>
                <w:lang w:eastAsia="zh-CN"/>
              </w:rPr>
              <w:t>, 2012</w:t>
            </w:r>
          </w:p>
        </w:tc>
        <w:tc>
          <w:tcPr>
            <w:tcW w:w="0" w:type="auto"/>
            <w:tcBorders>
              <w:top w:val="nil"/>
              <w:left w:val="nil"/>
              <w:bottom w:val="nil"/>
              <w:right w:val="nil"/>
            </w:tcBorders>
          </w:tcPr>
          <w:p w14:paraId="3A1CC7BA" w14:textId="77777777" w:rsidR="00BC56AD" w:rsidRDefault="004338DE">
            <w:pPr>
              <w:widowControl/>
              <w:spacing w:line="360" w:lineRule="auto"/>
              <w:rPr>
                <w:rFonts w:ascii="Book Antiqua" w:hAnsi="Book Antiqua"/>
                <w:lang w:eastAsia="zh-CN"/>
              </w:rPr>
            </w:pPr>
            <w:r>
              <w:rPr>
                <w:rFonts w:ascii="Book Antiqua" w:hAnsi="Book Antiqua"/>
                <w:lang w:eastAsia="zh-CN"/>
              </w:rPr>
              <w:t>35, F</w:t>
            </w:r>
          </w:p>
        </w:tc>
        <w:tc>
          <w:tcPr>
            <w:tcW w:w="0" w:type="auto"/>
            <w:tcBorders>
              <w:top w:val="nil"/>
              <w:left w:val="nil"/>
              <w:bottom w:val="nil"/>
              <w:right w:val="nil"/>
            </w:tcBorders>
          </w:tcPr>
          <w:p w14:paraId="7D270082" w14:textId="77777777" w:rsidR="00BC56AD" w:rsidRDefault="004338DE">
            <w:pPr>
              <w:widowControl/>
              <w:spacing w:line="360" w:lineRule="auto"/>
              <w:rPr>
                <w:rFonts w:ascii="Book Antiqua" w:hAnsi="Book Antiqua"/>
                <w:lang w:eastAsia="zh-CN"/>
              </w:rPr>
            </w:pPr>
            <w:r>
              <w:rPr>
                <w:rFonts w:ascii="Book Antiqua" w:hAnsi="Book Antiqua"/>
                <w:lang w:eastAsia="zh-CN"/>
              </w:rPr>
              <w:t>No special symptoms</w:t>
            </w:r>
          </w:p>
        </w:tc>
        <w:tc>
          <w:tcPr>
            <w:tcW w:w="0" w:type="auto"/>
            <w:tcBorders>
              <w:top w:val="nil"/>
              <w:left w:val="nil"/>
              <w:bottom w:val="nil"/>
              <w:right w:val="nil"/>
            </w:tcBorders>
          </w:tcPr>
          <w:p w14:paraId="5C4B888A" w14:textId="77777777" w:rsidR="00BC56AD" w:rsidRDefault="004338DE">
            <w:pPr>
              <w:widowControl/>
              <w:spacing w:line="360" w:lineRule="auto"/>
              <w:rPr>
                <w:rFonts w:ascii="Book Antiqua" w:hAnsi="Book Antiqua"/>
                <w:lang w:eastAsia="zh-CN"/>
              </w:rPr>
            </w:pPr>
            <w:r>
              <w:rPr>
                <w:rFonts w:ascii="Book Antiqua" w:hAnsi="Book Antiqua"/>
                <w:lang w:eastAsia="zh-CN"/>
              </w:rPr>
              <w:t>Antrum</w:t>
            </w:r>
          </w:p>
        </w:tc>
        <w:tc>
          <w:tcPr>
            <w:tcW w:w="0" w:type="auto"/>
            <w:tcBorders>
              <w:top w:val="nil"/>
              <w:left w:val="nil"/>
              <w:bottom w:val="nil"/>
              <w:right w:val="nil"/>
            </w:tcBorders>
          </w:tcPr>
          <w:p w14:paraId="58C20626" w14:textId="77777777" w:rsidR="00BC56AD" w:rsidRDefault="004338DE">
            <w:pPr>
              <w:widowControl/>
              <w:spacing w:line="360" w:lineRule="auto"/>
              <w:rPr>
                <w:rFonts w:ascii="Book Antiqua" w:hAnsi="Book Antiqua"/>
                <w:lang w:eastAsia="zh-CN"/>
              </w:rPr>
            </w:pPr>
            <w:r>
              <w:rPr>
                <w:rFonts w:ascii="Book Antiqua" w:hAnsi="Book Antiqua"/>
                <w:lang w:eastAsia="zh-CN"/>
              </w:rPr>
              <w:t>5.5</w:t>
            </w:r>
          </w:p>
        </w:tc>
        <w:tc>
          <w:tcPr>
            <w:tcW w:w="0" w:type="auto"/>
            <w:tcBorders>
              <w:top w:val="nil"/>
              <w:left w:val="nil"/>
              <w:bottom w:val="nil"/>
              <w:right w:val="nil"/>
            </w:tcBorders>
          </w:tcPr>
          <w:p w14:paraId="2672CEDA" w14:textId="77777777" w:rsidR="00BC56AD" w:rsidRDefault="004338DE">
            <w:pPr>
              <w:widowControl/>
              <w:spacing w:line="360" w:lineRule="auto"/>
              <w:rPr>
                <w:rFonts w:ascii="Book Antiqua" w:hAnsi="Book Antiqua"/>
                <w:lang w:eastAsia="zh-CN"/>
              </w:rPr>
            </w:pPr>
            <w:r>
              <w:rPr>
                <w:rFonts w:ascii="Book Antiqua" w:hAnsi="Book Antiqua"/>
                <w:lang w:eastAsia="zh-CN"/>
              </w:rPr>
              <w:t>CD99, synaptophysin</w:t>
            </w:r>
          </w:p>
        </w:tc>
        <w:tc>
          <w:tcPr>
            <w:tcW w:w="0" w:type="auto"/>
            <w:tcBorders>
              <w:top w:val="nil"/>
              <w:left w:val="nil"/>
              <w:bottom w:val="nil"/>
              <w:right w:val="nil"/>
            </w:tcBorders>
          </w:tcPr>
          <w:p w14:paraId="1D763C04" w14:textId="77777777" w:rsidR="00BC56AD" w:rsidRDefault="004338DE">
            <w:pPr>
              <w:widowControl/>
              <w:spacing w:line="360" w:lineRule="auto"/>
              <w:rPr>
                <w:rFonts w:ascii="Book Antiqua" w:hAnsi="Book Antiqua"/>
                <w:lang w:eastAsia="zh-CN"/>
              </w:rPr>
            </w:pPr>
            <w:r>
              <w:rPr>
                <w:rFonts w:ascii="Book Antiqua" w:hAnsi="Book Antiqua"/>
                <w:lang w:eastAsia="zh-CN"/>
              </w:rPr>
              <w:t>N</w:t>
            </w:r>
            <w:r>
              <w:rPr>
                <w:rFonts w:ascii="Book Antiqua" w:hAnsi="Book Antiqua" w:hint="eastAsia"/>
                <w:lang w:eastAsia="zh-CN"/>
              </w:rPr>
              <w:t>A</w:t>
            </w:r>
          </w:p>
          <w:p w14:paraId="5BE92F7B" w14:textId="77777777" w:rsidR="00BC56AD" w:rsidRDefault="00BC56AD">
            <w:pPr>
              <w:widowControl/>
              <w:spacing w:line="360" w:lineRule="auto"/>
              <w:rPr>
                <w:rFonts w:ascii="Book Antiqua" w:hAnsi="Book Antiqua"/>
                <w:lang w:eastAsia="zh-CN"/>
              </w:rPr>
            </w:pPr>
          </w:p>
        </w:tc>
        <w:tc>
          <w:tcPr>
            <w:tcW w:w="0" w:type="auto"/>
            <w:tcBorders>
              <w:top w:val="nil"/>
              <w:left w:val="nil"/>
              <w:bottom w:val="nil"/>
              <w:right w:val="nil"/>
            </w:tcBorders>
          </w:tcPr>
          <w:p w14:paraId="1BCF6D35"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7F9D56D4"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5218F548" w14:textId="77777777" w:rsidR="00BC56AD" w:rsidRDefault="004338DE">
            <w:pPr>
              <w:widowControl/>
              <w:spacing w:line="360" w:lineRule="auto"/>
              <w:rPr>
                <w:rFonts w:ascii="Book Antiqua" w:hAnsi="Book Antiqua"/>
                <w:lang w:eastAsia="zh-CN"/>
              </w:rPr>
            </w:pPr>
            <w:r>
              <w:rPr>
                <w:rFonts w:ascii="Book Antiqua" w:hAnsi="Book Antiqua"/>
                <w:lang w:eastAsia="zh-CN"/>
              </w:rPr>
              <w:t>WR</w:t>
            </w:r>
          </w:p>
        </w:tc>
        <w:tc>
          <w:tcPr>
            <w:tcW w:w="0" w:type="auto"/>
            <w:tcBorders>
              <w:top w:val="nil"/>
              <w:left w:val="nil"/>
              <w:bottom w:val="nil"/>
              <w:right w:val="nil"/>
            </w:tcBorders>
          </w:tcPr>
          <w:p w14:paraId="2286A526"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227A5C0D" w14:textId="77777777" w:rsidR="00BC56AD" w:rsidRDefault="004338DE">
            <w:pPr>
              <w:widowControl/>
              <w:spacing w:line="360" w:lineRule="auto"/>
              <w:rPr>
                <w:rFonts w:ascii="Book Antiqua" w:hAnsi="Book Antiqua"/>
                <w:lang w:eastAsia="zh-CN"/>
              </w:rPr>
            </w:pPr>
            <w:r>
              <w:rPr>
                <w:rFonts w:ascii="Book Antiqua" w:hAnsi="Book Antiqua"/>
                <w:lang w:eastAsia="zh-CN"/>
              </w:rPr>
              <w:t>11</w:t>
            </w:r>
          </w:p>
        </w:tc>
        <w:tc>
          <w:tcPr>
            <w:tcW w:w="0" w:type="auto"/>
            <w:tcBorders>
              <w:top w:val="nil"/>
              <w:left w:val="nil"/>
              <w:bottom w:val="nil"/>
            </w:tcBorders>
          </w:tcPr>
          <w:p w14:paraId="4B2A2FDF" w14:textId="77777777" w:rsidR="00BC56AD" w:rsidRDefault="004338DE">
            <w:pPr>
              <w:widowControl/>
              <w:spacing w:line="360" w:lineRule="auto"/>
              <w:rPr>
                <w:rFonts w:ascii="Book Antiqua" w:hAnsi="Book Antiqua"/>
                <w:lang w:eastAsia="zh-CN"/>
              </w:rPr>
            </w:pPr>
            <w:r>
              <w:rPr>
                <w:rFonts w:ascii="Book Antiqua" w:hAnsi="Book Antiqua"/>
                <w:lang w:eastAsia="zh-CN"/>
              </w:rPr>
              <w:t>Alive</w:t>
            </w:r>
          </w:p>
        </w:tc>
      </w:tr>
      <w:tr w:rsidR="00BC56AD" w14:paraId="55A246A4" w14:textId="77777777">
        <w:trPr>
          <w:trHeight w:val="90"/>
        </w:trPr>
        <w:tc>
          <w:tcPr>
            <w:tcW w:w="0" w:type="auto"/>
            <w:tcBorders>
              <w:top w:val="nil"/>
              <w:left w:val="nil"/>
              <w:bottom w:val="nil"/>
              <w:right w:val="nil"/>
            </w:tcBorders>
          </w:tcPr>
          <w:p w14:paraId="11454A9F"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Song </w:t>
            </w:r>
            <w:r>
              <w:rPr>
                <w:rFonts w:ascii="Book Antiqua" w:hAnsi="Book Antiqua"/>
                <w:i/>
                <w:iCs/>
                <w:lang w:eastAsia="zh-CN"/>
              </w:rPr>
              <w:t>et al</w:t>
            </w:r>
            <w:r>
              <w:rPr>
                <w:rFonts w:ascii="Book Antiqua" w:hAnsi="Book Antiqua"/>
                <w:vertAlign w:val="superscript"/>
                <w:lang w:eastAsia="zh-CN"/>
              </w:rPr>
              <w:t>[12]</w:t>
            </w:r>
            <w:r>
              <w:rPr>
                <w:rFonts w:ascii="Book Antiqua" w:hAnsi="Book Antiqua"/>
                <w:lang w:eastAsia="zh-CN"/>
              </w:rPr>
              <w:t>, 2016</w:t>
            </w:r>
          </w:p>
        </w:tc>
        <w:tc>
          <w:tcPr>
            <w:tcW w:w="0" w:type="auto"/>
            <w:tcBorders>
              <w:top w:val="nil"/>
              <w:left w:val="nil"/>
              <w:bottom w:val="nil"/>
              <w:right w:val="nil"/>
            </w:tcBorders>
          </w:tcPr>
          <w:p w14:paraId="2A4C7EE5" w14:textId="77777777" w:rsidR="00BC56AD" w:rsidRDefault="004338DE">
            <w:pPr>
              <w:widowControl/>
              <w:spacing w:line="360" w:lineRule="auto"/>
              <w:rPr>
                <w:rFonts w:ascii="Book Antiqua" w:hAnsi="Book Antiqua"/>
                <w:lang w:eastAsia="zh-CN"/>
              </w:rPr>
            </w:pPr>
            <w:r>
              <w:rPr>
                <w:rFonts w:ascii="Book Antiqua" w:hAnsi="Book Antiqua"/>
                <w:lang w:eastAsia="zh-CN"/>
              </w:rPr>
              <w:t>55, M</w:t>
            </w:r>
          </w:p>
        </w:tc>
        <w:tc>
          <w:tcPr>
            <w:tcW w:w="0" w:type="auto"/>
            <w:tcBorders>
              <w:top w:val="nil"/>
              <w:left w:val="nil"/>
              <w:bottom w:val="nil"/>
              <w:right w:val="nil"/>
            </w:tcBorders>
          </w:tcPr>
          <w:p w14:paraId="53ACD575" w14:textId="77777777" w:rsidR="00BC56AD" w:rsidRDefault="004338DE">
            <w:pPr>
              <w:widowControl/>
              <w:spacing w:line="360" w:lineRule="auto"/>
              <w:rPr>
                <w:rFonts w:ascii="Book Antiqua" w:hAnsi="Book Antiqua"/>
                <w:lang w:eastAsia="zh-CN"/>
              </w:rPr>
            </w:pPr>
            <w:r>
              <w:rPr>
                <w:rFonts w:ascii="Book Antiqua" w:hAnsi="Book Antiqua"/>
                <w:lang w:eastAsia="zh-CN"/>
              </w:rPr>
              <w:t>Upper abdominal pain</w:t>
            </w:r>
          </w:p>
        </w:tc>
        <w:tc>
          <w:tcPr>
            <w:tcW w:w="0" w:type="auto"/>
            <w:tcBorders>
              <w:top w:val="nil"/>
              <w:left w:val="nil"/>
              <w:bottom w:val="nil"/>
              <w:right w:val="nil"/>
            </w:tcBorders>
          </w:tcPr>
          <w:p w14:paraId="2885C12C" w14:textId="77777777" w:rsidR="00BC56AD" w:rsidRDefault="004338DE">
            <w:pPr>
              <w:widowControl/>
              <w:spacing w:line="360" w:lineRule="auto"/>
              <w:rPr>
                <w:rFonts w:ascii="Book Antiqua" w:hAnsi="Book Antiqua"/>
                <w:lang w:eastAsia="zh-CN"/>
              </w:rPr>
            </w:pPr>
            <w:r>
              <w:rPr>
                <w:rFonts w:ascii="Book Antiqua" w:hAnsi="Book Antiqua"/>
                <w:lang w:eastAsia="zh-CN"/>
              </w:rPr>
              <w:t>vomiting High body</w:t>
            </w:r>
          </w:p>
        </w:tc>
        <w:tc>
          <w:tcPr>
            <w:tcW w:w="0" w:type="auto"/>
            <w:tcBorders>
              <w:top w:val="nil"/>
              <w:left w:val="nil"/>
              <w:bottom w:val="nil"/>
              <w:right w:val="nil"/>
            </w:tcBorders>
          </w:tcPr>
          <w:p w14:paraId="2E507C64" w14:textId="77777777" w:rsidR="00BC56AD" w:rsidRDefault="004338DE">
            <w:pPr>
              <w:widowControl/>
              <w:spacing w:line="360" w:lineRule="auto"/>
              <w:rPr>
                <w:rFonts w:ascii="Book Antiqua" w:hAnsi="Book Antiqua"/>
                <w:lang w:eastAsia="zh-CN"/>
              </w:rPr>
            </w:pPr>
            <w:r>
              <w:rPr>
                <w:rFonts w:ascii="Book Antiqua" w:hAnsi="Book Antiqua"/>
                <w:lang w:eastAsia="zh-CN"/>
              </w:rPr>
              <w:t>6.5</w:t>
            </w:r>
          </w:p>
        </w:tc>
        <w:tc>
          <w:tcPr>
            <w:tcW w:w="0" w:type="auto"/>
            <w:tcBorders>
              <w:top w:val="nil"/>
              <w:left w:val="nil"/>
              <w:bottom w:val="nil"/>
              <w:right w:val="nil"/>
            </w:tcBorders>
          </w:tcPr>
          <w:p w14:paraId="60C0E623" w14:textId="77777777" w:rsidR="00BC56AD" w:rsidRDefault="004338DE">
            <w:pPr>
              <w:widowControl/>
              <w:spacing w:line="360" w:lineRule="auto"/>
              <w:rPr>
                <w:rFonts w:ascii="Book Antiqua" w:hAnsi="Book Antiqua"/>
                <w:lang w:eastAsia="zh-CN"/>
              </w:rPr>
            </w:pPr>
            <w:r>
              <w:rPr>
                <w:rFonts w:ascii="Book Antiqua" w:hAnsi="Book Antiqua"/>
                <w:lang w:eastAsia="zh-CN"/>
              </w:rPr>
              <w:t>CD99, FLI1, chromogranin</w:t>
            </w:r>
          </w:p>
        </w:tc>
        <w:tc>
          <w:tcPr>
            <w:tcW w:w="0" w:type="auto"/>
            <w:tcBorders>
              <w:top w:val="nil"/>
              <w:left w:val="nil"/>
              <w:bottom w:val="nil"/>
              <w:right w:val="nil"/>
            </w:tcBorders>
          </w:tcPr>
          <w:p w14:paraId="6349B670" w14:textId="77777777" w:rsidR="00BC56AD" w:rsidRDefault="004338DE">
            <w:pPr>
              <w:widowControl/>
              <w:spacing w:line="360" w:lineRule="auto"/>
              <w:rPr>
                <w:rFonts w:ascii="Book Antiqua" w:hAnsi="Book Antiqua"/>
                <w:lang w:eastAsia="zh-CN"/>
              </w:rPr>
            </w:pPr>
            <w:r>
              <w:rPr>
                <w:rFonts w:ascii="Book Antiqua" w:hAnsi="Book Antiqua"/>
                <w:lang w:eastAsia="zh-CN"/>
              </w:rPr>
              <w:t>EWS-FLI1 fusion transcript</w:t>
            </w:r>
          </w:p>
        </w:tc>
        <w:tc>
          <w:tcPr>
            <w:tcW w:w="0" w:type="auto"/>
            <w:tcBorders>
              <w:top w:val="nil"/>
              <w:left w:val="nil"/>
              <w:bottom w:val="nil"/>
              <w:right w:val="nil"/>
            </w:tcBorders>
          </w:tcPr>
          <w:p w14:paraId="1DE8CBD8" w14:textId="77777777" w:rsidR="00BC56AD" w:rsidRDefault="004338DE">
            <w:pPr>
              <w:widowControl/>
              <w:spacing w:line="360" w:lineRule="auto"/>
              <w:rPr>
                <w:rFonts w:ascii="Book Antiqua" w:hAnsi="Book Antiqua"/>
                <w:lang w:eastAsia="zh-CN"/>
              </w:rPr>
            </w:pPr>
            <w:r>
              <w:rPr>
                <w:rFonts w:ascii="Book Antiqua" w:hAnsi="Book Antiqua"/>
                <w:lang w:eastAsia="zh-CN"/>
              </w:rPr>
              <w:t>Lymph nodes</w:t>
            </w:r>
          </w:p>
        </w:tc>
        <w:tc>
          <w:tcPr>
            <w:tcW w:w="0" w:type="auto"/>
            <w:tcBorders>
              <w:top w:val="nil"/>
              <w:left w:val="nil"/>
              <w:bottom w:val="nil"/>
              <w:right w:val="nil"/>
            </w:tcBorders>
          </w:tcPr>
          <w:p w14:paraId="06E0D931"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7AF8D75B" w14:textId="77777777" w:rsidR="00BC56AD" w:rsidRDefault="004338DE">
            <w:pPr>
              <w:widowControl/>
              <w:spacing w:line="360" w:lineRule="auto"/>
              <w:rPr>
                <w:rFonts w:ascii="Book Antiqua" w:hAnsi="Book Antiqua"/>
                <w:lang w:eastAsia="zh-CN"/>
              </w:rPr>
            </w:pPr>
            <w:r>
              <w:rPr>
                <w:rFonts w:ascii="Book Antiqua" w:hAnsi="Book Antiqua"/>
                <w:lang w:eastAsia="zh-CN"/>
              </w:rPr>
              <w:t>TG</w:t>
            </w:r>
          </w:p>
        </w:tc>
        <w:tc>
          <w:tcPr>
            <w:tcW w:w="0" w:type="auto"/>
            <w:tcBorders>
              <w:top w:val="nil"/>
              <w:left w:val="nil"/>
              <w:bottom w:val="nil"/>
              <w:right w:val="nil"/>
            </w:tcBorders>
          </w:tcPr>
          <w:p w14:paraId="376AC4DB" w14:textId="77777777" w:rsidR="00BC56AD" w:rsidRDefault="004338DE">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160ED6B5" w14:textId="77777777" w:rsidR="00BC56AD" w:rsidRDefault="004338DE">
            <w:pPr>
              <w:widowControl/>
              <w:spacing w:line="360" w:lineRule="auto"/>
              <w:rPr>
                <w:rFonts w:ascii="Book Antiqua" w:hAnsi="Book Antiqua"/>
                <w:lang w:eastAsia="zh-CN"/>
              </w:rPr>
            </w:pPr>
            <w:r>
              <w:rPr>
                <w:rFonts w:ascii="Book Antiqua" w:hAnsi="Book Antiqua"/>
                <w:lang w:eastAsia="zh-CN"/>
              </w:rPr>
              <w:t>13</w:t>
            </w:r>
          </w:p>
        </w:tc>
        <w:tc>
          <w:tcPr>
            <w:tcW w:w="0" w:type="auto"/>
            <w:tcBorders>
              <w:top w:val="nil"/>
              <w:left w:val="nil"/>
              <w:bottom w:val="nil"/>
            </w:tcBorders>
          </w:tcPr>
          <w:p w14:paraId="524FACBA" w14:textId="77777777" w:rsidR="00BC56AD" w:rsidRDefault="004338DE">
            <w:pPr>
              <w:widowControl/>
              <w:spacing w:line="360" w:lineRule="auto"/>
              <w:rPr>
                <w:rFonts w:ascii="Book Antiqua" w:hAnsi="Book Antiqua"/>
                <w:lang w:eastAsia="zh-CN"/>
              </w:rPr>
            </w:pPr>
            <w:r>
              <w:rPr>
                <w:rFonts w:ascii="Book Antiqua" w:hAnsi="Book Antiqua"/>
                <w:lang w:eastAsia="zh-CN"/>
              </w:rPr>
              <w:t>Alive</w:t>
            </w:r>
          </w:p>
        </w:tc>
      </w:tr>
      <w:tr w:rsidR="00BC56AD" w14:paraId="7DA75EFC" w14:textId="77777777">
        <w:trPr>
          <w:trHeight w:val="90"/>
        </w:trPr>
        <w:tc>
          <w:tcPr>
            <w:tcW w:w="0" w:type="auto"/>
            <w:tcBorders>
              <w:top w:val="nil"/>
              <w:left w:val="nil"/>
              <w:bottom w:val="nil"/>
              <w:right w:val="nil"/>
            </w:tcBorders>
          </w:tcPr>
          <w:p w14:paraId="4D7CF112"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Kumar </w:t>
            </w:r>
            <w:r>
              <w:rPr>
                <w:rFonts w:ascii="Book Antiqua" w:hAnsi="Book Antiqua"/>
                <w:i/>
                <w:iCs/>
                <w:lang w:eastAsia="zh-CN"/>
              </w:rPr>
              <w:t>et al</w:t>
            </w:r>
            <w:r>
              <w:rPr>
                <w:rFonts w:ascii="Book Antiqua" w:hAnsi="Book Antiqua"/>
                <w:vertAlign w:val="superscript"/>
                <w:lang w:eastAsia="zh-CN"/>
              </w:rPr>
              <w:t>[13]</w:t>
            </w:r>
            <w:r>
              <w:rPr>
                <w:rFonts w:ascii="Book Antiqua" w:hAnsi="Book Antiqua"/>
                <w:lang w:eastAsia="zh-CN"/>
              </w:rPr>
              <w:t>, 2016</w:t>
            </w:r>
          </w:p>
        </w:tc>
        <w:tc>
          <w:tcPr>
            <w:tcW w:w="0" w:type="auto"/>
            <w:tcBorders>
              <w:top w:val="nil"/>
              <w:left w:val="nil"/>
              <w:bottom w:val="nil"/>
              <w:right w:val="nil"/>
            </w:tcBorders>
          </w:tcPr>
          <w:p w14:paraId="4D39242B" w14:textId="77777777" w:rsidR="00BC56AD" w:rsidRDefault="004338DE">
            <w:pPr>
              <w:widowControl/>
              <w:spacing w:line="360" w:lineRule="auto"/>
              <w:rPr>
                <w:rFonts w:ascii="Book Antiqua" w:hAnsi="Book Antiqua"/>
                <w:lang w:eastAsia="zh-CN"/>
              </w:rPr>
            </w:pPr>
            <w:r>
              <w:rPr>
                <w:rFonts w:ascii="Book Antiqua" w:hAnsi="Book Antiqua"/>
                <w:lang w:eastAsia="zh-CN"/>
              </w:rPr>
              <w:t>32, F</w:t>
            </w:r>
          </w:p>
        </w:tc>
        <w:tc>
          <w:tcPr>
            <w:tcW w:w="0" w:type="auto"/>
            <w:tcBorders>
              <w:top w:val="nil"/>
              <w:left w:val="nil"/>
              <w:bottom w:val="nil"/>
              <w:right w:val="nil"/>
            </w:tcBorders>
          </w:tcPr>
          <w:p w14:paraId="242D5D4A" w14:textId="77777777" w:rsidR="00BC56AD" w:rsidRDefault="004338DE">
            <w:pPr>
              <w:widowControl/>
              <w:spacing w:line="360" w:lineRule="auto"/>
              <w:rPr>
                <w:rFonts w:ascii="Book Antiqua" w:hAnsi="Book Antiqua"/>
                <w:lang w:eastAsia="zh-CN"/>
              </w:rPr>
            </w:pPr>
            <w:r>
              <w:rPr>
                <w:rFonts w:ascii="Book Antiqua" w:hAnsi="Book Antiqua"/>
                <w:lang w:eastAsia="zh-CN"/>
              </w:rPr>
              <w:t>Epigastric pain</w:t>
            </w:r>
          </w:p>
        </w:tc>
        <w:tc>
          <w:tcPr>
            <w:tcW w:w="0" w:type="auto"/>
            <w:tcBorders>
              <w:top w:val="nil"/>
              <w:left w:val="nil"/>
              <w:bottom w:val="nil"/>
              <w:right w:val="nil"/>
            </w:tcBorders>
          </w:tcPr>
          <w:p w14:paraId="7B60A749" w14:textId="77777777" w:rsidR="00BC56AD" w:rsidRDefault="004338DE">
            <w:pPr>
              <w:widowControl/>
              <w:spacing w:line="360" w:lineRule="auto"/>
              <w:rPr>
                <w:rFonts w:ascii="Book Antiqua" w:hAnsi="Book Antiqua"/>
                <w:lang w:eastAsia="zh-CN"/>
              </w:rPr>
            </w:pPr>
            <w:r>
              <w:rPr>
                <w:rFonts w:ascii="Book Antiqua" w:hAnsi="Book Antiqua"/>
                <w:lang w:eastAsia="zh-CN"/>
              </w:rPr>
              <w:t>Lesser curvature</w:t>
            </w:r>
          </w:p>
        </w:tc>
        <w:tc>
          <w:tcPr>
            <w:tcW w:w="0" w:type="auto"/>
            <w:tcBorders>
              <w:top w:val="nil"/>
              <w:left w:val="nil"/>
              <w:bottom w:val="nil"/>
              <w:right w:val="nil"/>
            </w:tcBorders>
          </w:tcPr>
          <w:p w14:paraId="45FE9FB1" w14:textId="77777777" w:rsidR="00BC56AD" w:rsidRDefault="004338DE">
            <w:pPr>
              <w:widowControl/>
              <w:spacing w:line="360" w:lineRule="auto"/>
              <w:rPr>
                <w:rFonts w:ascii="Book Antiqua" w:hAnsi="Book Antiqua"/>
                <w:lang w:eastAsia="zh-CN"/>
              </w:rPr>
            </w:pPr>
            <w:r>
              <w:rPr>
                <w:rFonts w:ascii="Book Antiqua" w:hAnsi="Book Antiqua"/>
                <w:lang w:eastAsia="zh-CN"/>
              </w:rPr>
              <w:t>11</w:t>
            </w:r>
          </w:p>
        </w:tc>
        <w:tc>
          <w:tcPr>
            <w:tcW w:w="0" w:type="auto"/>
            <w:tcBorders>
              <w:top w:val="nil"/>
              <w:left w:val="nil"/>
              <w:bottom w:val="nil"/>
              <w:right w:val="nil"/>
            </w:tcBorders>
          </w:tcPr>
          <w:p w14:paraId="54413306" w14:textId="77777777" w:rsidR="00BC56AD" w:rsidRDefault="004338DE">
            <w:pPr>
              <w:widowControl/>
              <w:spacing w:line="360" w:lineRule="auto"/>
              <w:rPr>
                <w:rFonts w:ascii="Book Antiqua" w:hAnsi="Book Antiqua"/>
                <w:lang w:eastAsia="zh-CN"/>
              </w:rPr>
            </w:pPr>
            <w:r>
              <w:rPr>
                <w:rFonts w:ascii="Book Antiqua" w:hAnsi="Book Antiqua"/>
                <w:lang w:eastAsia="zh-CN"/>
              </w:rPr>
              <w:t>CD99, vimentin, S100</w:t>
            </w:r>
          </w:p>
        </w:tc>
        <w:tc>
          <w:tcPr>
            <w:tcW w:w="0" w:type="auto"/>
            <w:tcBorders>
              <w:top w:val="nil"/>
              <w:left w:val="nil"/>
              <w:bottom w:val="nil"/>
              <w:right w:val="nil"/>
            </w:tcBorders>
          </w:tcPr>
          <w:p w14:paraId="644F5255"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521668F6"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40C5764A"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7257D550" w14:textId="77777777" w:rsidR="00BC56AD" w:rsidRDefault="004338DE">
            <w:pPr>
              <w:widowControl/>
              <w:spacing w:line="360" w:lineRule="auto"/>
              <w:rPr>
                <w:rFonts w:ascii="Book Antiqua" w:hAnsi="Book Antiqua"/>
                <w:lang w:eastAsia="zh-CN"/>
              </w:rPr>
            </w:pPr>
            <w:r>
              <w:rPr>
                <w:rFonts w:ascii="Book Antiqua" w:hAnsi="Book Antiqua"/>
                <w:lang w:eastAsia="zh-CN"/>
              </w:rPr>
              <w:t>Excision</w:t>
            </w:r>
          </w:p>
        </w:tc>
        <w:tc>
          <w:tcPr>
            <w:tcW w:w="0" w:type="auto"/>
            <w:tcBorders>
              <w:top w:val="nil"/>
              <w:left w:val="nil"/>
              <w:bottom w:val="nil"/>
              <w:right w:val="nil"/>
            </w:tcBorders>
          </w:tcPr>
          <w:p w14:paraId="2E9F5580" w14:textId="77777777" w:rsidR="00BC56AD" w:rsidRDefault="004338DE">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319FD7A8" w14:textId="77777777" w:rsidR="00BC56AD" w:rsidRDefault="004338DE">
            <w:pPr>
              <w:widowControl/>
              <w:spacing w:line="360" w:lineRule="auto"/>
              <w:rPr>
                <w:rFonts w:ascii="Book Antiqua" w:hAnsi="Book Antiqua"/>
                <w:lang w:eastAsia="zh-CN"/>
              </w:rPr>
            </w:pPr>
            <w:r>
              <w:rPr>
                <w:rFonts w:ascii="Book Antiqua" w:hAnsi="Book Antiqua"/>
                <w:lang w:eastAsia="zh-CN"/>
              </w:rPr>
              <w:t>12</w:t>
            </w:r>
          </w:p>
        </w:tc>
        <w:tc>
          <w:tcPr>
            <w:tcW w:w="0" w:type="auto"/>
            <w:tcBorders>
              <w:top w:val="nil"/>
              <w:left w:val="nil"/>
              <w:bottom w:val="nil"/>
            </w:tcBorders>
          </w:tcPr>
          <w:p w14:paraId="5C211ECC" w14:textId="77777777" w:rsidR="00BC56AD" w:rsidRDefault="004338DE">
            <w:pPr>
              <w:widowControl/>
              <w:spacing w:line="360" w:lineRule="auto"/>
              <w:rPr>
                <w:rFonts w:ascii="Book Antiqua" w:hAnsi="Book Antiqua"/>
                <w:lang w:eastAsia="zh-CN"/>
              </w:rPr>
            </w:pPr>
            <w:r>
              <w:rPr>
                <w:rFonts w:ascii="Book Antiqua" w:hAnsi="Book Antiqua"/>
                <w:lang w:eastAsia="zh-CN"/>
              </w:rPr>
              <w:t>Alive</w:t>
            </w:r>
          </w:p>
        </w:tc>
      </w:tr>
      <w:tr w:rsidR="00BC56AD" w14:paraId="40F72439" w14:textId="77777777">
        <w:trPr>
          <w:trHeight w:val="90"/>
        </w:trPr>
        <w:tc>
          <w:tcPr>
            <w:tcW w:w="0" w:type="auto"/>
            <w:tcBorders>
              <w:top w:val="nil"/>
              <w:left w:val="nil"/>
              <w:bottom w:val="nil"/>
              <w:right w:val="nil"/>
            </w:tcBorders>
          </w:tcPr>
          <w:p w14:paraId="18F3D273"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Khuri </w:t>
            </w:r>
            <w:r>
              <w:rPr>
                <w:rFonts w:ascii="Book Antiqua" w:hAnsi="Book Antiqua"/>
                <w:i/>
                <w:iCs/>
                <w:lang w:eastAsia="zh-CN"/>
              </w:rPr>
              <w:t>et al</w:t>
            </w:r>
            <w:r>
              <w:rPr>
                <w:rFonts w:ascii="Book Antiqua" w:hAnsi="Book Antiqua"/>
                <w:vertAlign w:val="superscript"/>
                <w:lang w:eastAsia="zh-CN"/>
              </w:rPr>
              <w:t>[14]</w:t>
            </w:r>
            <w:r>
              <w:rPr>
                <w:rFonts w:ascii="Book Antiqua" w:hAnsi="Book Antiqua"/>
                <w:lang w:eastAsia="zh-CN"/>
              </w:rPr>
              <w:t>, 2016</w:t>
            </w:r>
          </w:p>
        </w:tc>
        <w:tc>
          <w:tcPr>
            <w:tcW w:w="0" w:type="auto"/>
            <w:tcBorders>
              <w:top w:val="nil"/>
              <w:left w:val="nil"/>
              <w:bottom w:val="nil"/>
              <w:right w:val="nil"/>
            </w:tcBorders>
          </w:tcPr>
          <w:p w14:paraId="5CDD44A4" w14:textId="77777777" w:rsidR="00BC56AD" w:rsidRDefault="004338DE">
            <w:pPr>
              <w:widowControl/>
              <w:spacing w:line="360" w:lineRule="auto"/>
              <w:rPr>
                <w:rFonts w:ascii="Book Antiqua" w:hAnsi="Book Antiqua"/>
                <w:lang w:eastAsia="zh-CN"/>
              </w:rPr>
            </w:pPr>
            <w:r>
              <w:rPr>
                <w:rFonts w:ascii="Book Antiqua" w:hAnsi="Book Antiqua"/>
                <w:lang w:eastAsia="zh-CN"/>
              </w:rPr>
              <w:t>31, F</w:t>
            </w:r>
          </w:p>
        </w:tc>
        <w:tc>
          <w:tcPr>
            <w:tcW w:w="0" w:type="auto"/>
            <w:tcBorders>
              <w:top w:val="nil"/>
              <w:left w:val="nil"/>
              <w:bottom w:val="nil"/>
              <w:right w:val="nil"/>
            </w:tcBorders>
          </w:tcPr>
          <w:p w14:paraId="2F9F30A1" w14:textId="77777777" w:rsidR="00BC56AD" w:rsidRDefault="004338DE">
            <w:pPr>
              <w:widowControl/>
              <w:spacing w:line="360" w:lineRule="auto"/>
              <w:rPr>
                <w:rFonts w:ascii="Book Antiqua" w:hAnsi="Book Antiqua"/>
                <w:lang w:eastAsia="zh-CN"/>
              </w:rPr>
            </w:pPr>
            <w:r>
              <w:rPr>
                <w:rFonts w:ascii="Book Antiqua" w:hAnsi="Book Antiqua"/>
                <w:lang w:eastAsia="zh-CN"/>
              </w:rPr>
              <w:t>Upper gastrointestinal hemorrhage</w:t>
            </w:r>
          </w:p>
        </w:tc>
        <w:tc>
          <w:tcPr>
            <w:tcW w:w="0" w:type="auto"/>
            <w:tcBorders>
              <w:top w:val="nil"/>
              <w:left w:val="nil"/>
              <w:bottom w:val="nil"/>
              <w:right w:val="nil"/>
            </w:tcBorders>
          </w:tcPr>
          <w:p w14:paraId="09195D4B" w14:textId="77777777" w:rsidR="00BC56AD" w:rsidRDefault="004338DE">
            <w:pPr>
              <w:widowControl/>
              <w:spacing w:line="360" w:lineRule="auto"/>
              <w:rPr>
                <w:rFonts w:ascii="Book Antiqua" w:hAnsi="Book Antiqua"/>
                <w:lang w:eastAsia="zh-CN"/>
              </w:rPr>
            </w:pPr>
            <w:r>
              <w:rPr>
                <w:rFonts w:ascii="Book Antiqua" w:hAnsi="Book Antiqua"/>
                <w:lang w:eastAsia="zh-CN"/>
              </w:rPr>
              <w:t>Lesser curvature</w:t>
            </w:r>
          </w:p>
        </w:tc>
        <w:tc>
          <w:tcPr>
            <w:tcW w:w="0" w:type="auto"/>
            <w:tcBorders>
              <w:top w:val="nil"/>
              <w:left w:val="nil"/>
              <w:bottom w:val="nil"/>
              <w:right w:val="nil"/>
            </w:tcBorders>
          </w:tcPr>
          <w:p w14:paraId="2D1CC0B1" w14:textId="77777777" w:rsidR="00BC56AD" w:rsidRDefault="004338DE">
            <w:pPr>
              <w:widowControl/>
              <w:spacing w:line="360" w:lineRule="auto"/>
              <w:rPr>
                <w:rFonts w:ascii="Book Antiqua" w:hAnsi="Book Antiqua"/>
                <w:lang w:eastAsia="zh-CN"/>
              </w:rPr>
            </w:pPr>
            <w:r>
              <w:rPr>
                <w:rFonts w:ascii="Book Antiqua" w:hAnsi="Book Antiqua"/>
                <w:lang w:eastAsia="zh-CN"/>
              </w:rPr>
              <w:t>11</w:t>
            </w:r>
          </w:p>
        </w:tc>
        <w:tc>
          <w:tcPr>
            <w:tcW w:w="0" w:type="auto"/>
            <w:tcBorders>
              <w:top w:val="nil"/>
              <w:left w:val="nil"/>
              <w:bottom w:val="nil"/>
              <w:right w:val="nil"/>
            </w:tcBorders>
          </w:tcPr>
          <w:p w14:paraId="431913DA" w14:textId="77777777" w:rsidR="00BC56AD" w:rsidRDefault="004338DE">
            <w:pPr>
              <w:widowControl/>
              <w:spacing w:line="360" w:lineRule="auto"/>
              <w:rPr>
                <w:rFonts w:ascii="Book Antiqua" w:hAnsi="Book Antiqua"/>
                <w:lang w:eastAsia="zh-CN"/>
              </w:rPr>
            </w:pPr>
            <w:r>
              <w:rPr>
                <w:rFonts w:ascii="Book Antiqua" w:hAnsi="Book Antiqua"/>
                <w:lang w:eastAsia="zh-CN"/>
              </w:rPr>
              <w:t>CD99, FLI1, vimentin, Ki67</w:t>
            </w:r>
          </w:p>
        </w:tc>
        <w:tc>
          <w:tcPr>
            <w:tcW w:w="0" w:type="auto"/>
            <w:tcBorders>
              <w:top w:val="nil"/>
              <w:left w:val="nil"/>
              <w:bottom w:val="nil"/>
              <w:right w:val="nil"/>
            </w:tcBorders>
          </w:tcPr>
          <w:p w14:paraId="341B6BF6" w14:textId="77777777" w:rsidR="00BC56AD" w:rsidRDefault="004338DE">
            <w:pPr>
              <w:widowControl/>
              <w:spacing w:line="360" w:lineRule="auto"/>
              <w:rPr>
                <w:rFonts w:ascii="Book Antiqua" w:hAnsi="Book Antiqua"/>
                <w:lang w:eastAsia="zh-CN"/>
              </w:rPr>
            </w:pPr>
            <w:r>
              <w:rPr>
                <w:rFonts w:ascii="Book Antiqua" w:hAnsi="Book Antiqua"/>
                <w:lang w:eastAsia="zh-CN"/>
              </w:rPr>
              <w:t>(11;22</w:t>
            </w:r>
            <w:r>
              <w:rPr>
                <w:rFonts w:ascii="Book Antiqua" w:hAnsi="Book Antiqua" w:hint="eastAsia"/>
                <w:lang w:eastAsia="zh-CN"/>
              </w:rPr>
              <w:t xml:space="preserve"> translocation)</w:t>
            </w:r>
          </w:p>
        </w:tc>
        <w:tc>
          <w:tcPr>
            <w:tcW w:w="0" w:type="auto"/>
            <w:tcBorders>
              <w:top w:val="nil"/>
              <w:left w:val="nil"/>
              <w:bottom w:val="nil"/>
              <w:right w:val="nil"/>
            </w:tcBorders>
          </w:tcPr>
          <w:p w14:paraId="1B098713" w14:textId="77777777" w:rsidR="00BC56AD" w:rsidRDefault="004338DE">
            <w:pPr>
              <w:widowControl/>
              <w:spacing w:line="360" w:lineRule="auto"/>
              <w:rPr>
                <w:rFonts w:ascii="Book Antiqua" w:hAnsi="Book Antiqua"/>
                <w:lang w:eastAsia="zh-CN"/>
              </w:rPr>
            </w:pPr>
            <w:r>
              <w:rPr>
                <w:rFonts w:ascii="Book Antiqua" w:hAnsi="Book Antiqua"/>
                <w:lang w:eastAsia="zh-CN"/>
              </w:rPr>
              <w:t>Pancreas Splenic hilum</w:t>
            </w:r>
          </w:p>
        </w:tc>
        <w:tc>
          <w:tcPr>
            <w:tcW w:w="0" w:type="auto"/>
            <w:tcBorders>
              <w:top w:val="nil"/>
              <w:left w:val="nil"/>
              <w:bottom w:val="nil"/>
              <w:right w:val="nil"/>
            </w:tcBorders>
          </w:tcPr>
          <w:p w14:paraId="578F9B0C"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3B3C0F93" w14:textId="77777777" w:rsidR="00BC56AD" w:rsidRDefault="004338DE">
            <w:pPr>
              <w:widowControl/>
              <w:spacing w:line="360" w:lineRule="auto"/>
              <w:rPr>
                <w:rFonts w:ascii="Book Antiqua" w:hAnsi="Book Antiqua"/>
                <w:lang w:eastAsia="zh-CN"/>
              </w:rPr>
            </w:pPr>
            <w:r>
              <w:rPr>
                <w:rFonts w:ascii="Book Antiqua" w:hAnsi="Book Antiqua"/>
                <w:lang w:eastAsia="zh-CN"/>
              </w:rPr>
              <w:t>TDPSLA</w:t>
            </w:r>
          </w:p>
        </w:tc>
        <w:tc>
          <w:tcPr>
            <w:tcW w:w="0" w:type="auto"/>
            <w:tcBorders>
              <w:top w:val="nil"/>
              <w:left w:val="nil"/>
              <w:bottom w:val="nil"/>
              <w:right w:val="nil"/>
            </w:tcBorders>
          </w:tcPr>
          <w:p w14:paraId="0A2E49AE"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2CCD526F" w14:textId="77777777" w:rsidR="00BC56AD" w:rsidRDefault="004338DE">
            <w:pPr>
              <w:widowControl/>
              <w:spacing w:line="360" w:lineRule="auto"/>
              <w:rPr>
                <w:rFonts w:ascii="Book Antiqua" w:hAnsi="Book Antiqua"/>
                <w:lang w:eastAsia="zh-CN"/>
              </w:rPr>
            </w:pPr>
            <w:r>
              <w:rPr>
                <w:rFonts w:ascii="Book Antiqua" w:hAnsi="Book Antiqua"/>
                <w:lang w:eastAsia="zh-CN"/>
              </w:rPr>
              <w:t>36</w:t>
            </w:r>
          </w:p>
        </w:tc>
        <w:tc>
          <w:tcPr>
            <w:tcW w:w="0" w:type="auto"/>
            <w:tcBorders>
              <w:top w:val="nil"/>
              <w:left w:val="nil"/>
              <w:bottom w:val="nil"/>
            </w:tcBorders>
          </w:tcPr>
          <w:p w14:paraId="5BE024F8" w14:textId="77777777" w:rsidR="00BC56AD" w:rsidRDefault="004338DE">
            <w:pPr>
              <w:widowControl/>
              <w:spacing w:line="360" w:lineRule="auto"/>
              <w:rPr>
                <w:rFonts w:ascii="Book Antiqua" w:hAnsi="Book Antiqua"/>
                <w:lang w:eastAsia="zh-CN"/>
              </w:rPr>
            </w:pPr>
            <w:r>
              <w:rPr>
                <w:rFonts w:ascii="Book Antiqua" w:hAnsi="Book Antiqua"/>
                <w:lang w:eastAsia="zh-CN"/>
              </w:rPr>
              <w:t>Alive</w:t>
            </w:r>
          </w:p>
        </w:tc>
      </w:tr>
      <w:tr w:rsidR="00BC56AD" w14:paraId="76F2C135" w14:textId="77777777">
        <w:trPr>
          <w:trHeight w:val="90"/>
        </w:trPr>
        <w:tc>
          <w:tcPr>
            <w:tcW w:w="0" w:type="auto"/>
            <w:tcBorders>
              <w:top w:val="nil"/>
              <w:left w:val="nil"/>
              <w:bottom w:val="nil"/>
              <w:right w:val="nil"/>
            </w:tcBorders>
          </w:tcPr>
          <w:p w14:paraId="64356849"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Maxwell </w:t>
            </w:r>
            <w:r>
              <w:rPr>
                <w:rFonts w:ascii="Book Antiqua" w:hAnsi="Book Antiqua"/>
                <w:i/>
                <w:iCs/>
                <w:lang w:eastAsia="zh-CN"/>
              </w:rPr>
              <w:t>et al</w:t>
            </w:r>
            <w:r>
              <w:rPr>
                <w:rFonts w:ascii="Book Antiqua" w:hAnsi="Book Antiqua"/>
                <w:vertAlign w:val="superscript"/>
                <w:lang w:eastAsia="zh-CN"/>
              </w:rPr>
              <w:t>[15]</w:t>
            </w:r>
            <w:r>
              <w:rPr>
                <w:rFonts w:ascii="Book Antiqua" w:hAnsi="Book Antiqua"/>
                <w:lang w:eastAsia="zh-CN"/>
              </w:rPr>
              <w:t>, 2016</w:t>
            </w:r>
          </w:p>
        </w:tc>
        <w:tc>
          <w:tcPr>
            <w:tcW w:w="0" w:type="auto"/>
            <w:tcBorders>
              <w:top w:val="nil"/>
              <w:left w:val="nil"/>
              <w:bottom w:val="nil"/>
              <w:right w:val="nil"/>
            </w:tcBorders>
          </w:tcPr>
          <w:p w14:paraId="6FEEA098" w14:textId="77777777" w:rsidR="00BC56AD" w:rsidRDefault="004338DE">
            <w:pPr>
              <w:widowControl/>
              <w:spacing w:line="360" w:lineRule="auto"/>
              <w:rPr>
                <w:rFonts w:ascii="Book Antiqua" w:hAnsi="Book Antiqua"/>
                <w:lang w:eastAsia="zh-CN"/>
              </w:rPr>
            </w:pPr>
            <w:r>
              <w:rPr>
                <w:rFonts w:ascii="Book Antiqua" w:hAnsi="Book Antiqua"/>
                <w:lang w:eastAsia="zh-CN"/>
              </w:rPr>
              <w:t>66, F</w:t>
            </w:r>
          </w:p>
        </w:tc>
        <w:tc>
          <w:tcPr>
            <w:tcW w:w="0" w:type="auto"/>
            <w:tcBorders>
              <w:top w:val="nil"/>
              <w:left w:val="nil"/>
              <w:bottom w:val="nil"/>
              <w:right w:val="nil"/>
            </w:tcBorders>
          </w:tcPr>
          <w:p w14:paraId="3093CC86" w14:textId="77777777" w:rsidR="00BC56AD" w:rsidRDefault="004338DE">
            <w:pPr>
              <w:widowControl/>
              <w:spacing w:line="360" w:lineRule="auto"/>
              <w:rPr>
                <w:rFonts w:ascii="Book Antiqua" w:hAnsi="Book Antiqua"/>
                <w:lang w:eastAsia="zh-CN"/>
              </w:rPr>
            </w:pPr>
            <w:r>
              <w:rPr>
                <w:rFonts w:ascii="Book Antiqua" w:hAnsi="Book Antiqua"/>
                <w:lang w:eastAsia="zh-CN"/>
              </w:rPr>
              <w:t>Anemia, abdominal pain</w:t>
            </w:r>
          </w:p>
        </w:tc>
        <w:tc>
          <w:tcPr>
            <w:tcW w:w="0" w:type="auto"/>
            <w:tcBorders>
              <w:top w:val="nil"/>
              <w:left w:val="nil"/>
              <w:bottom w:val="nil"/>
              <w:right w:val="nil"/>
            </w:tcBorders>
          </w:tcPr>
          <w:p w14:paraId="3119FA56" w14:textId="77777777" w:rsidR="00BC56AD" w:rsidRDefault="004338DE">
            <w:pPr>
              <w:widowControl/>
              <w:spacing w:line="360" w:lineRule="auto"/>
              <w:rPr>
                <w:rFonts w:ascii="Book Antiqua" w:hAnsi="Book Antiqua"/>
                <w:lang w:eastAsia="zh-CN"/>
              </w:rPr>
            </w:pPr>
            <w:r>
              <w:rPr>
                <w:rFonts w:ascii="Book Antiqua" w:hAnsi="Book Antiqua"/>
                <w:lang w:eastAsia="zh-CN"/>
              </w:rPr>
              <w:t>Antrum</w:t>
            </w:r>
          </w:p>
        </w:tc>
        <w:tc>
          <w:tcPr>
            <w:tcW w:w="0" w:type="auto"/>
            <w:tcBorders>
              <w:top w:val="nil"/>
              <w:left w:val="nil"/>
              <w:bottom w:val="nil"/>
              <w:right w:val="nil"/>
            </w:tcBorders>
          </w:tcPr>
          <w:p w14:paraId="4CA57DEC" w14:textId="77777777" w:rsidR="00BC56AD" w:rsidRDefault="004338DE">
            <w:pPr>
              <w:widowControl/>
              <w:spacing w:line="360" w:lineRule="auto"/>
              <w:rPr>
                <w:rFonts w:ascii="Book Antiqua" w:hAnsi="Book Antiqua"/>
                <w:lang w:eastAsia="zh-CN"/>
              </w:rPr>
            </w:pPr>
            <w:r>
              <w:rPr>
                <w:rFonts w:ascii="Book Antiqua" w:hAnsi="Book Antiqua"/>
                <w:lang w:eastAsia="zh-CN"/>
              </w:rPr>
              <w:t>11</w:t>
            </w:r>
          </w:p>
        </w:tc>
        <w:tc>
          <w:tcPr>
            <w:tcW w:w="0" w:type="auto"/>
            <w:tcBorders>
              <w:top w:val="nil"/>
              <w:left w:val="nil"/>
              <w:bottom w:val="nil"/>
              <w:right w:val="nil"/>
            </w:tcBorders>
          </w:tcPr>
          <w:p w14:paraId="03DCA7EC"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4322AC66" w14:textId="77777777" w:rsidR="00BC56AD" w:rsidRDefault="004338DE">
            <w:pPr>
              <w:widowControl/>
              <w:spacing w:line="360" w:lineRule="auto"/>
              <w:rPr>
                <w:rFonts w:ascii="Book Antiqua" w:hAnsi="Book Antiqua"/>
                <w:lang w:eastAsia="zh-CN"/>
              </w:rPr>
            </w:pPr>
            <w:r>
              <w:rPr>
                <w:rFonts w:ascii="Book Antiqua" w:hAnsi="Book Antiqua"/>
                <w:lang w:eastAsia="zh-CN"/>
              </w:rPr>
              <w:t>EWSR1 gene rearrangement</w:t>
            </w:r>
          </w:p>
        </w:tc>
        <w:tc>
          <w:tcPr>
            <w:tcW w:w="0" w:type="auto"/>
            <w:tcBorders>
              <w:top w:val="nil"/>
              <w:left w:val="nil"/>
              <w:bottom w:val="nil"/>
              <w:right w:val="nil"/>
            </w:tcBorders>
          </w:tcPr>
          <w:p w14:paraId="243CB094"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474EEA58"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nil"/>
              <w:right w:val="nil"/>
            </w:tcBorders>
          </w:tcPr>
          <w:p w14:paraId="3980FDDF" w14:textId="77777777" w:rsidR="00BC56AD" w:rsidRDefault="004338DE">
            <w:pPr>
              <w:widowControl/>
              <w:spacing w:line="360" w:lineRule="auto"/>
              <w:rPr>
                <w:rFonts w:ascii="Book Antiqua" w:hAnsi="Book Antiqua"/>
                <w:lang w:eastAsia="zh-CN"/>
              </w:rPr>
            </w:pPr>
            <w:r>
              <w:rPr>
                <w:rFonts w:ascii="Book Antiqua" w:hAnsi="Book Antiqua"/>
                <w:lang w:eastAsia="zh-CN"/>
              </w:rPr>
              <w:t>DG</w:t>
            </w:r>
          </w:p>
        </w:tc>
        <w:tc>
          <w:tcPr>
            <w:tcW w:w="0" w:type="auto"/>
            <w:tcBorders>
              <w:top w:val="nil"/>
              <w:left w:val="nil"/>
              <w:bottom w:val="nil"/>
              <w:right w:val="nil"/>
            </w:tcBorders>
          </w:tcPr>
          <w:p w14:paraId="24982DED" w14:textId="77777777" w:rsidR="00BC56AD" w:rsidRDefault="004338DE">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7D26B5BC"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tcBorders>
          </w:tcPr>
          <w:p w14:paraId="5116E8EE"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r>
      <w:tr w:rsidR="00BC56AD" w14:paraId="3B44F2CC" w14:textId="77777777">
        <w:trPr>
          <w:trHeight w:val="90"/>
        </w:trPr>
        <w:tc>
          <w:tcPr>
            <w:tcW w:w="0" w:type="auto"/>
            <w:tcBorders>
              <w:top w:val="nil"/>
              <w:left w:val="nil"/>
              <w:bottom w:val="nil"/>
              <w:right w:val="nil"/>
            </w:tcBorders>
          </w:tcPr>
          <w:p w14:paraId="59EB0AC9" w14:textId="77777777" w:rsidR="00BC56AD" w:rsidRDefault="004338DE">
            <w:pPr>
              <w:widowControl/>
              <w:spacing w:line="360" w:lineRule="auto"/>
              <w:rPr>
                <w:rFonts w:ascii="Book Antiqua" w:hAnsi="Book Antiqua"/>
                <w:lang w:eastAsia="zh-CN"/>
              </w:rPr>
            </w:pPr>
            <w:r>
              <w:rPr>
                <w:rFonts w:ascii="Book Antiqua" w:hAnsi="Book Antiqua"/>
                <w:lang w:eastAsia="zh-CN"/>
              </w:rPr>
              <w:lastRenderedPageBreak/>
              <w:t xml:space="preserve">Hopp </w:t>
            </w:r>
            <w:r>
              <w:rPr>
                <w:rFonts w:ascii="Book Antiqua" w:hAnsi="Book Antiqua"/>
                <w:i/>
                <w:iCs/>
                <w:lang w:eastAsia="zh-CN"/>
              </w:rPr>
              <w:t>et al</w:t>
            </w:r>
            <w:r>
              <w:rPr>
                <w:rFonts w:ascii="Book Antiqua" w:hAnsi="Book Antiqua"/>
                <w:vertAlign w:val="superscript"/>
                <w:lang w:eastAsia="zh-CN"/>
              </w:rPr>
              <w:t>[4]</w:t>
            </w:r>
            <w:r>
              <w:rPr>
                <w:rFonts w:ascii="Book Antiqua" w:hAnsi="Book Antiqua"/>
                <w:lang w:eastAsia="zh-CN"/>
              </w:rPr>
              <w:t>, 2019</w:t>
            </w:r>
          </w:p>
        </w:tc>
        <w:tc>
          <w:tcPr>
            <w:tcW w:w="0" w:type="auto"/>
            <w:tcBorders>
              <w:top w:val="nil"/>
              <w:left w:val="nil"/>
              <w:bottom w:val="nil"/>
              <w:right w:val="nil"/>
            </w:tcBorders>
          </w:tcPr>
          <w:p w14:paraId="290996AA" w14:textId="77777777" w:rsidR="00BC56AD" w:rsidRDefault="004338DE">
            <w:pPr>
              <w:widowControl/>
              <w:spacing w:line="360" w:lineRule="auto"/>
              <w:rPr>
                <w:rFonts w:ascii="Book Antiqua" w:hAnsi="Book Antiqua"/>
                <w:lang w:eastAsia="zh-CN"/>
              </w:rPr>
            </w:pPr>
            <w:r>
              <w:rPr>
                <w:rFonts w:ascii="Book Antiqua" w:hAnsi="Book Antiqua"/>
                <w:lang w:eastAsia="zh-CN"/>
              </w:rPr>
              <w:t>24, M</w:t>
            </w:r>
          </w:p>
        </w:tc>
        <w:tc>
          <w:tcPr>
            <w:tcW w:w="0" w:type="auto"/>
            <w:tcBorders>
              <w:top w:val="nil"/>
              <w:left w:val="nil"/>
              <w:bottom w:val="nil"/>
              <w:right w:val="nil"/>
            </w:tcBorders>
          </w:tcPr>
          <w:p w14:paraId="6FE5C2D5" w14:textId="77777777" w:rsidR="00BC56AD" w:rsidRDefault="004338DE">
            <w:pPr>
              <w:widowControl/>
              <w:spacing w:line="360" w:lineRule="auto"/>
              <w:rPr>
                <w:rFonts w:ascii="Book Antiqua" w:hAnsi="Book Antiqua"/>
                <w:lang w:eastAsia="zh-CN"/>
              </w:rPr>
            </w:pPr>
            <w:r>
              <w:rPr>
                <w:rFonts w:ascii="Book Antiqua" w:hAnsi="Book Antiqua"/>
                <w:lang w:eastAsia="zh-CN"/>
              </w:rPr>
              <w:t>Abdominal pain, nausea, vomiting</w:t>
            </w:r>
          </w:p>
        </w:tc>
        <w:tc>
          <w:tcPr>
            <w:tcW w:w="0" w:type="auto"/>
            <w:tcBorders>
              <w:top w:val="nil"/>
              <w:left w:val="nil"/>
              <w:bottom w:val="nil"/>
              <w:right w:val="nil"/>
            </w:tcBorders>
          </w:tcPr>
          <w:p w14:paraId="5C7065BB" w14:textId="77777777" w:rsidR="00BC56AD" w:rsidRDefault="004338DE">
            <w:pPr>
              <w:widowControl/>
              <w:spacing w:line="360" w:lineRule="auto"/>
              <w:rPr>
                <w:rFonts w:ascii="Book Antiqua" w:hAnsi="Book Antiqua"/>
                <w:lang w:eastAsia="zh-CN"/>
              </w:rPr>
            </w:pPr>
            <w:r>
              <w:rPr>
                <w:rFonts w:ascii="Book Antiqua" w:hAnsi="Book Antiqua"/>
                <w:lang w:eastAsia="zh-CN"/>
              </w:rPr>
              <w:t>Posterior wall</w:t>
            </w:r>
          </w:p>
        </w:tc>
        <w:tc>
          <w:tcPr>
            <w:tcW w:w="0" w:type="auto"/>
            <w:tcBorders>
              <w:top w:val="nil"/>
              <w:left w:val="nil"/>
              <w:bottom w:val="nil"/>
              <w:right w:val="nil"/>
            </w:tcBorders>
          </w:tcPr>
          <w:p w14:paraId="5EFB969E" w14:textId="77777777" w:rsidR="00BC56AD" w:rsidRDefault="004338DE">
            <w:pPr>
              <w:widowControl/>
              <w:spacing w:line="360" w:lineRule="auto"/>
              <w:rPr>
                <w:rFonts w:ascii="Book Antiqua" w:hAnsi="Book Antiqua"/>
                <w:lang w:eastAsia="zh-CN"/>
              </w:rPr>
            </w:pPr>
            <w:r>
              <w:rPr>
                <w:rFonts w:ascii="Book Antiqua" w:hAnsi="Book Antiqua"/>
                <w:lang w:eastAsia="zh-CN"/>
              </w:rPr>
              <w:t>10</w:t>
            </w:r>
          </w:p>
        </w:tc>
        <w:tc>
          <w:tcPr>
            <w:tcW w:w="0" w:type="auto"/>
            <w:tcBorders>
              <w:top w:val="nil"/>
              <w:left w:val="nil"/>
              <w:bottom w:val="nil"/>
              <w:right w:val="nil"/>
            </w:tcBorders>
          </w:tcPr>
          <w:p w14:paraId="74CE0383" w14:textId="77777777" w:rsidR="00BC56AD" w:rsidRDefault="004338DE">
            <w:pPr>
              <w:widowControl/>
              <w:spacing w:line="360" w:lineRule="auto"/>
              <w:rPr>
                <w:rFonts w:ascii="Book Antiqua" w:hAnsi="Book Antiqua"/>
                <w:lang w:eastAsia="zh-CN"/>
              </w:rPr>
            </w:pPr>
            <w:r>
              <w:rPr>
                <w:rFonts w:ascii="Book Antiqua" w:hAnsi="Book Antiqua"/>
                <w:lang w:eastAsia="zh-CN"/>
              </w:rPr>
              <w:t>keratin OSCAR/ AE1/AE3, CD99</w:t>
            </w:r>
          </w:p>
        </w:tc>
        <w:tc>
          <w:tcPr>
            <w:tcW w:w="0" w:type="auto"/>
            <w:tcBorders>
              <w:top w:val="nil"/>
              <w:left w:val="nil"/>
              <w:bottom w:val="nil"/>
              <w:right w:val="nil"/>
            </w:tcBorders>
          </w:tcPr>
          <w:p w14:paraId="1E69A9CF"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56A42F5B"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73B9A8FF" w14:textId="77777777" w:rsidR="00BC56AD" w:rsidRDefault="004338DE">
            <w:pPr>
              <w:widowControl/>
              <w:spacing w:line="360" w:lineRule="auto"/>
              <w:rPr>
                <w:rFonts w:ascii="Book Antiqua" w:hAnsi="Book Antiqua"/>
                <w:lang w:eastAsia="zh-CN"/>
              </w:rPr>
            </w:pPr>
            <w:r>
              <w:rPr>
                <w:rFonts w:ascii="Book Antiqua" w:hAnsi="Book Antiqua"/>
                <w:lang w:eastAsia="zh-CN"/>
              </w:rPr>
              <w:t>Yes</w:t>
            </w:r>
          </w:p>
        </w:tc>
        <w:tc>
          <w:tcPr>
            <w:tcW w:w="0" w:type="auto"/>
            <w:tcBorders>
              <w:top w:val="nil"/>
              <w:left w:val="nil"/>
              <w:bottom w:val="nil"/>
              <w:right w:val="nil"/>
            </w:tcBorders>
          </w:tcPr>
          <w:p w14:paraId="349530E7" w14:textId="77777777" w:rsidR="00BC56AD" w:rsidRDefault="004338DE">
            <w:pPr>
              <w:widowControl/>
              <w:spacing w:line="360" w:lineRule="auto"/>
              <w:rPr>
                <w:rFonts w:ascii="Book Antiqua" w:hAnsi="Book Antiqua"/>
                <w:lang w:eastAsia="zh-CN"/>
              </w:rPr>
            </w:pPr>
            <w:r>
              <w:rPr>
                <w:rFonts w:ascii="Book Antiqua" w:hAnsi="Book Antiqua"/>
                <w:lang w:eastAsia="zh-CN"/>
              </w:rPr>
              <w:t>DG</w:t>
            </w:r>
          </w:p>
        </w:tc>
        <w:tc>
          <w:tcPr>
            <w:tcW w:w="0" w:type="auto"/>
            <w:tcBorders>
              <w:top w:val="nil"/>
              <w:left w:val="nil"/>
              <w:bottom w:val="nil"/>
              <w:right w:val="nil"/>
            </w:tcBorders>
          </w:tcPr>
          <w:p w14:paraId="5A81E7E8"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right w:val="nil"/>
            </w:tcBorders>
          </w:tcPr>
          <w:p w14:paraId="44AA8EE4"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nil"/>
            </w:tcBorders>
          </w:tcPr>
          <w:p w14:paraId="5E3891F9"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r>
      <w:tr w:rsidR="00BC56AD" w14:paraId="08382829" w14:textId="77777777">
        <w:trPr>
          <w:trHeight w:val="90"/>
        </w:trPr>
        <w:tc>
          <w:tcPr>
            <w:tcW w:w="0" w:type="auto"/>
            <w:tcBorders>
              <w:top w:val="nil"/>
              <w:left w:val="nil"/>
              <w:bottom w:val="single" w:sz="4" w:space="0" w:color="auto"/>
              <w:right w:val="nil"/>
            </w:tcBorders>
          </w:tcPr>
          <w:p w14:paraId="5F2340D1" w14:textId="77777777" w:rsidR="00BC56AD" w:rsidRDefault="004338DE">
            <w:pPr>
              <w:widowControl/>
              <w:spacing w:line="360" w:lineRule="auto"/>
              <w:rPr>
                <w:rFonts w:ascii="Book Antiqua" w:hAnsi="Book Antiqua"/>
                <w:lang w:eastAsia="zh-CN"/>
              </w:rPr>
            </w:pPr>
            <w:r>
              <w:rPr>
                <w:rFonts w:ascii="Book Antiqua" w:hAnsi="Book Antiqua"/>
                <w:lang w:eastAsia="zh-CN"/>
              </w:rPr>
              <w:t xml:space="preserve">Ye </w:t>
            </w:r>
            <w:r>
              <w:rPr>
                <w:rFonts w:ascii="Book Antiqua" w:hAnsi="Book Antiqua"/>
                <w:i/>
                <w:iCs/>
                <w:lang w:eastAsia="zh-CN"/>
              </w:rPr>
              <w:t>et al</w:t>
            </w:r>
            <w:r>
              <w:rPr>
                <w:rFonts w:ascii="Book Antiqua" w:hAnsi="Book Antiqua"/>
                <w:vertAlign w:val="superscript"/>
                <w:lang w:eastAsia="zh-CN"/>
              </w:rPr>
              <w:t>[1]</w:t>
            </w:r>
            <w:r>
              <w:rPr>
                <w:rFonts w:ascii="Book Antiqua" w:hAnsi="Book Antiqua"/>
                <w:lang w:eastAsia="zh-CN"/>
              </w:rPr>
              <w:t>, 2021</w:t>
            </w:r>
          </w:p>
        </w:tc>
        <w:tc>
          <w:tcPr>
            <w:tcW w:w="0" w:type="auto"/>
            <w:tcBorders>
              <w:top w:val="nil"/>
              <w:left w:val="nil"/>
              <w:bottom w:val="single" w:sz="4" w:space="0" w:color="auto"/>
              <w:right w:val="nil"/>
            </w:tcBorders>
          </w:tcPr>
          <w:p w14:paraId="667A816B" w14:textId="77777777" w:rsidR="00BC56AD" w:rsidRDefault="004338DE">
            <w:pPr>
              <w:widowControl/>
              <w:spacing w:line="360" w:lineRule="auto"/>
              <w:rPr>
                <w:rFonts w:ascii="Book Antiqua" w:hAnsi="Book Antiqua"/>
                <w:lang w:eastAsia="zh-CN"/>
              </w:rPr>
            </w:pPr>
            <w:r>
              <w:rPr>
                <w:rFonts w:ascii="Book Antiqua" w:hAnsi="Book Antiqua"/>
                <w:lang w:eastAsia="zh-CN"/>
              </w:rPr>
              <w:t>55, M</w:t>
            </w:r>
          </w:p>
        </w:tc>
        <w:tc>
          <w:tcPr>
            <w:tcW w:w="0" w:type="auto"/>
            <w:tcBorders>
              <w:top w:val="nil"/>
              <w:left w:val="nil"/>
              <w:bottom w:val="single" w:sz="4" w:space="0" w:color="auto"/>
              <w:right w:val="nil"/>
            </w:tcBorders>
          </w:tcPr>
          <w:p w14:paraId="04C3CA81" w14:textId="77777777" w:rsidR="00BC56AD" w:rsidRDefault="004338DE">
            <w:pPr>
              <w:spacing w:line="360" w:lineRule="auto"/>
              <w:rPr>
                <w:rFonts w:ascii="Book Antiqua" w:hAnsi="Book Antiqua"/>
                <w:lang w:eastAsia="zh-CN"/>
              </w:rPr>
            </w:pPr>
            <w:r>
              <w:rPr>
                <w:rFonts w:ascii="Book Antiqua" w:hAnsi="Book Antiqua"/>
                <w:lang w:eastAsia="zh-CN"/>
              </w:rPr>
              <w:t>fatigue and fever, lose weight</w:t>
            </w:r>
          </w:p>
        </w:tc>
        <w:tc>
          <w:tcPr>
            <w:tcW w:w="0" w:type="auto"/>
            <w:tcBorders>
              <w:top w:val="nil"/>
              <w:left w:val="nil"/>
              <w:bottom w:val="single" w:sz="4" w:space="0" w:color="auto"/>
              <w:right w:val="nil"/>
            </w:tcBorders>
          </w:tcPr>
          <w:p w14:paraId="663C682A" w14:textId="77777777" w:rsidR="00BC56AD" w:rsidRDefault="004338DE">
            <w:pPr>
              <w:widowControl/>
              <w:spacing w:line="360" w:lineRule="auto"/>
              <w:rPr>
                <w:rFonts w:ascii="Book Antiqua" w:hAnsi="Book Antiqua"/>
                <w:lang w:eastAsia="zh-CN"/>
              </w:rPr>
            </w:pPr>
            <w:r>
              <w:rPr>
                <w:rFonts w:ascii="Book Antiqua" w:hAnsi="Book Antiqua"/>
                <w:lang w:eastAsia="zh-CN"/>
              </w:rPr>
              <w:t>posterior wall</w:t>
            </w:r>
          </w:p>
        </w:tc>
        <w:tc>
          <w:tcPr>
            <w:tcW w:w="0" w:type="auto"/>
            <w:tcBorders>
              <w:top w:val="nil"/>
              <w:left w:val="nil"/>
              <w:bottom w:val="single" w:sz="4" w:space="0" w:color="auto"/>
              <w:right w:val="nil"/>
            </w:tcBorders>
          </w:tcPr>
          <w:p w14:paraId="36750107" w14:textId="77777777" w:rsidR="00BC56AD" w:rsidRDefault="004338DE">
            <w:pPr>
              <w:widowControl/>
              <w:spacing w:line="360" w:lineRule="auto"/>
              <w:rPr>
                <w:rFonts w:ascii="Book Antiqua" w:hAnsi="Book Antiqua"/>
                <w:lang w:eastAsia="zh-CN"/>
              </w:rPr>
            </w:pPr>
            <w:r>
              <w:rPr>
                <w:rFonts w:ascii="Book Antiqua" w:hAnsi="Book Antiqua"/>
                <w:lang w:eastAsia="zh-CN"/>
              </w:rPr>
              <w:t>7.5</w:t>
            </w:r>
          </w:p>
        </w:tc>
        <w:tc>
          <w:tcPr>
            <w:tcW w:w="0" w:type="auto"/>
            <w:tcBorders>
              <w:top w:val="nil"/>
              <w:left w:val="nil"/>
              <w:bottom w:val="single" w:sz="4" w:space="0" w:color="auto"/>
              <w:right w:val="nil"/>
            </w:tcBorders>
          </w:tcPr>
          <w:p w14:paraId="41B5475A" w14:textId="77777777" w:rsidR="00BC56AD" w:rsidRDefault="004338DE">
            <w:pPr>
              <w:spacing w:line="360" w:lineRule="auto"/>
              <w:rPr>
                <w:rFonts w:ascii="Book Antiqua" w:hAnsi="Book Antiqua"/>
                <w:lang w:eastAsia="zh-CN"/>
              </w:rPr>
            </w:pPr>
            <w:r>
              <w:rPr>
                <w:rFonts w:ascii="Book Antiqua" w:hAnsi="Book Antiqua"/>
                <w:lang w:eastAsia="zh-CN"/>
              </w:rPr>
              <w:t>CD99, CD57, CD56, vimentin</w:t>
            </w:r>
          </w:p>
        </w:tc>
        <w:tc>
          <w:tcPr>
            <w:tcW w:w="0" w:type="auto"/>
            <w:tcBorders>
              <w:top w:val="nil"/>
              <w:left w:val="nil"/>
              <w:bottom w:val="single" w:sz="4" w:space="0" w:color="auto"/>
              <w:right w:val="nil"/>
            </w:tcBorders>
          </w:tcPr>
          <w:p w14:paraId="627F316B" w14:textId="77777777" w:rsidR="00BC56AD" w:rsidRDefault="004338DE">
            <w:pPr>
              <w:widowControl/>
              <w:spacing w:line="360" w:lineRule="auto"/>
              <w:rPr>
                <w:rFonts w:ascii="Book Antiqua" w:hAnsi="Book Antiqua"/>
                <w:lang w:eastAsia="zh-CN"/>
              </w:rPr>
            </w:pPr>
            <w:r>
              <w:rPr>
                <w:rFonts w:ascii="Book Antiqua" w:hAnsi="Book Antiqua"/>
                <w:lang w:eastAsia="zh-CN"/>
              </w:rPr>
              <w:t>NA</w:t>
            </w:r>
          </w:p>
        </w:tc>
        <w:tc>
          <w:tcPr>
            <w:tcW w:w="0" w:type="auto"/>
            <w:tcBorders>
              <w:top w:val="nil"/>
              <w:left w:val="nil"/>
              <w:bottom w:val="single" w:sz="4" w:space="0" w:color="auto"/>
              <w:right w:val="nil"/>
            </w:tcBorders>
          </w:tcPr>
          <w:p w14:paraId="4497BB06"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single" w:sz="4" w:space="0" w:color="auto"/>
              <w:right w:val="nil"/>
            </w:tcBorders>
          </w:tcPr>
          <w:p w14:paraId="0BEEB744"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single" w:sz="4" w:space="0" w:color="auto"/>
              <w:right w:val="nil"/>
            </w:tcBorders>
          </w:tcPr>
          <w:p w14:paraId="5FF95643" w14:textId="77777777" w:rsidR="00BC56AD" w:rsidRDefault="004338DE">
            <w:pPr>
              <w:widowControl/>
              <w:spacing w:line="360" w:lineRule="auto"/>
              <w:rPr>
                <w:rFonts w:ascii="Book Antiqua" w:hAnsi="Book Antiqua"/>
                <w:lang w:eastAsia="zh-CN"/>
              </w:rPr>
            </w:pPr>
            <w:r>
              <w:rPr>
                <w:rFonts w:ascii="Book Antiqua" w:hAnsi="Book Antiqua"/>
                <w:lang w:eastAsia="zh-CN"/>
              </w:rPr>
              <w:t>DG + Roux-en-Y</w:t>
            </w:r>
          </w:p>
        </w:tc>
        <w:tc>
          <w:tcPr>
            <w:tcW w:w="0" w:type="auto"/>
            <w:tcBorders>
              <w:top w:val="nil"/>
              <w:left w:val="nil"/>
              <w:bottom w:val="single" w:sz="4" w:space="0" w:color="auto"/>
              <w:right w:val="nil"/>
            </w:tcBorders>
          </w:tcPr>
          <w:p w14:paraId="7B6F28C5" w14:textId="77777777" w:rsidR="00BC56AD" w:rsidRDefault="004338DE">
            <w:pPr>
              <w:widowControl/>
              <w:spacing w:line="360" w:lineRule="auto"/>
              <w:rPr>
                <w:rFonts w:ascii="Book Antiqua" w:hAnsi="Book Antiqua"/>
                <w:lang w:eastAsia="zh-CN"/>
              </w:rPr>
            </w:pPr>
            <w:r>
              <w:rPr>
                <w:rFonts w:ascii="Book Antiqua" w:hAnsi="Book Antiqua"/>
                <w:lang w:eastAsia="zh-CN"/>
              </w:rPr>
              <w:t>No</w:t>
            </w:r>
          </w:p>
        </w:tc>
        <w:tc>
          <w:tcPr>
            <w:tcW w:w="0" w:type="auto"/>
            <w:tcBorders>
              <w:top w:val="nil"/>
              <w:left w:val="nil"/>
              <w:bottom w:val="single" w:sz="4" w:space="0" w:color="auto"/>
              <w:right w:val="nil"/>
            </w:tcBorders>
          </w:tcPr>
          <w:p w14:paraId="727C0500" w14:textId="77777777" w:rsidR="00BC56AD" w:rsidRDefault="004338DE">
            <w:pPr>
              <w:widowControl/>
              <w:spacing w:line="360" w:lineRule="auto"/>
              <w:rPr>
                <w:rFonts w:ascii="Book Antiqua" w:hAnsi="Book Antiqua"/>
                <w:lang w:eastAsia="zh-CN"/>
              </w:rPr>
            </w:pPr>
            <w:r>
              <w:rPr>
                <w:rFonts w:ascii="Book Antiqua" w:hAnsi="Book Antiqua"/>
                <w:lang w:eastAsia="zh-CN"/>
              </w:rPr>
              <w:t>8</w:t>
            </w:r>
          </w:p>
        </w:tc>
        <w:tc>
          <w:tcPr>
            <w:tcW w:w="0" w:type="auto"/>
            <w:tcBorders>
              <w:top w:val="nil"/>
              <w:left w:val="nil"/>
              <w:bottom w:val="single" w:sz="4" w:space="0" w:color="auto"/>
            </w:tcBorders>
          </w:tcPr>
          <w:p w14:paraId="1AD8BF86" w14:textId="77777777" w:rsidR="00BC56AD" w:rsidRDefault="004338DE">
            <w:pPr>
              <w:widowControl/>
              <w:spacing w:line="360" w:lineRule="auto"/>
              <w:rPr>
                <w:rFonts w:ascii="Book Antiqua" w:hAnsi="Book Antiqua"/>
                <w:lang w:eastAsia="zh-CN"/>
              </w:rPr>
            </w:pPr>
            <w:r>
              <w:rPr>
                <w:rFonts w:ascii="Book Antiqua" w:hAnsi="Book Antiqua"/>
                <w:lang w:eastAsia="zh-CN"/>
              </w:rPr>
              <w:t>Alive</w:t>
            </w:r>
          </w:p>
        </w:tc>
      </w:tr>
    </w:tbl>
    <w:p w14:paraId="6D697460" w14:textId="5E924775" w:rsidR="00BC56AD" w:rsidRDefault="004338DE">
      <w:pPr>
        <w:spacing w:line="360" w:lineRule="auto"/>
        <w:jc w:val="both"/>
        <w:rPr>
          <w:rFonts w:ascii="Book Antiqua" w:hAnsi="Book Antiqua"/>
          <w:lang w:eastAsia="zh-CN"/>
        </w:rPr>
      </w:pPr>
      <w:r>
        <w:rPr>
          <w:rFonts w:ascii="Book Antiqua" w:hAnsi="Book Antiqua"/>
          <w:lang w:eastAsia="zh-CN"/>
        </w:rPr>
        <w:t>CG: Curative gastrectomy; DG: Distal gastrectomy; NA: Not available; RDG + Roux-en-Y: Distal gastrectomy + Roux-en-Y gastrojejunostomy; SG: Subtotal gastrectomy; TG: Total gastrectomy; TDPSLA: Total gastrectomy + distal pancreatectomy + splenectomy + left adrenalectomy; WR: Wedge resection.</w:t>
      </w:r>
    </w:p>
    <w:p w14:paraId="303048CB" w14:textId="77777777" w:rsidR="00D31596" w:rsidRDefault="00D31596">
      <w:pPr>
        <w:spacing w:line="360" w:lineRule="auto"/>
        <w:jc w:val="both"/>
        <w:rPr>
          <w:rFonts w:ascii="Book Antiqua" w:hAnsi="Book Antiqua"/>
          <w:lang w:eastAsia="zh-CN"/>
        </w:rPr>
        <w:sectPr w:rsidR="00D31596">
          <w:pgSz w:w="23811" w:h="16838" w:orient="landscape"/>
          <w:pgMar w:top="1440" w:right="1440" w:bottom="1440" w:left="1440" w:header="720" w:footer="720" w:gutter="0"/>
          <w:cols w:space="720"/>
          <w:docGrid w:linePitch="360"/>
        </w:sectPr>
      </w:pPr>
    </w:p>
    <w:p w14:paraId="47655648" w14:textId="77777777" w:rsidR="00D31596" w:rsidRDefault="00D31596" w:rsidP="00D31596">
      <w:pPr>
        <w:snapToGrid w:val="0"/>
        <w:ind w:leftChars="100" w:left="240"/>
        <w:jc w:val="center"/>
        <w:rPr>
          <w:rFonts w:ascii="Book Antiqua" w:hAnsi="Book Antiqua"/>
        </w:rPr>
      </w:pPr>
    </w:p>
    <w:p w14:paraId="15ABED63" w14:textId="77777777" w:rsidR="00D31596" w:rsidRDefault="00D31596" w:rsidP="00D31596">
      <w:pPr>
        <w:snapToGrid w:val="0"/>
        <w:ind w:leftChars="100" w:left="240"/>
        <w:jc w:val="center"/>
        <w:rPr>
          <w:rFonts w:ascii="Book Antiqua" w:hAnsi="Book Antiqua"/>
        </w:rPr>
      </w:pPr>
    </w:p>
    <w:p w14:paraId="7FBEB1A6" w14:textId="77777777" w:rsidR="00D31596" w:rsidRDefault="00D31596" w:rsidP="00D31596">
      <w:pPr>
        <w:snapToGrid w:val="0"/>
        <w:ind w:leftChars="100" w:left="240"/>
        <w:jc w:val="center"/>
        <w:rPr>
          <w:rFonts w:ascii="Book Antiqua" w:hAnsi="Book Antiqua"/>
        </w:rPr>
      </w:pPr>
    </w:p>
    <w:p w14:paraId="51B22078" w14:textId="77777777" w:rsidR="00D31596" w:rsidRDefault="00D31596" w:rsidP="00D31596">
      <w:pPr>
        <w:snapToGrid w:val="0"/>
        <w:ind w:leftChars="100" w:left="240"/>
        <w:jc w:val="center"/>
        <w:rPr>
          <w:rFonts w:ascii="Book Antiqua" w:hAnsi="Book Antiqua"/>
        </w:rPr>
      </w:pPr>
    </w:p>
    <w:p w14:paraId="39947C7A" w14:textId="77777777" w:rsidR="00D31596" w:rsidRDefault="00D31596" w:rsidP="00D31596">
      <w:pPr>
        <w:snapToGrid w:val="0"/>
        <w:ind w:leftChars="100" w:left="240"/>
        <w:jc w:val="center"/>
        <w:rPr>
          <w:rFonts w:ascii="Book Antiqua" w:hAnsi="Book Antiqua"/>
        </w:rPr>
      </w:pPr>
      <w:r>
        <w:rPr>
          <w:rFonts w:ascii="Book Antiqua" w:hAnsi="Book Antiqua"/>
          <w:noProof/>
        </w:rPr>
        <w:drawing>
          <wp:inline distT="0" distB="0" distL="0" distR="0" wp14:anchorId="21052A0C" wp14:editId="5E2AC30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07828D8" w14:textId="77777777" w:rsidR="00D31596" w:rsidRDefault="00D31596" w:rsidP="00D31596">
      <w:pPr>
        <w:snapToGrid w:val="0"/>
        <w:ind w:leftChars="100" w:left="240"/>
        <w:jc w:val="center"/>
        <w:rPr>
          <w:rFonts w:ascii="Book Antiqua" w:hAnsi="Book Antiqua"/>
        </w:rPr>
      </w:pPr>
    </w:p>
    <w:p w14:paraId="6CC395BF" w14:textId="77777777" w:rsidR="00D31596" w:rsidRDefault="00D31596" w:rsidP="00D3159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654B1D4" w14:textId="77777777" w:rsidR="00D31596" w:rsidRDefault="00D31596" w:rsidP="00D3159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36EC28" w14:textId="77777777" w:rsidR="00D31596" w:rsidRDefault="00D31596" w:rsidP="00D3159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0E81B7" w14:textId="77777777" w:rsidR="00D31596" w:rsidRDefault="00D31596" w:rsidP="00D3159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931262" w14:textId="77777777" w:rsidR="00D31596" w:rsidRDefault="00D31596" w:rsidP="00D3159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8352FAF" w14:textId="77777777" w:rsidR="00D31596" w:rsidRDefault="00D31596" w:rsidP="00D3159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B7356F8" w14:textId="77777777" w:rsidR="00D31596" w:rsidRDefault="00D31596" w:rsidP="00D31596">
      <w:pPr>
        <w:snapToGrid w:val="0"/>
        <w:ind w:leftChars="100" w:left="240"/>
        <w:jc w:val="center"/>
        <w:rPr>
          <w:rFonts w:ascii="Book Antiqua" w:hAnsi="Book Antiqua"/>
        </w:rPr>
      </w:pPr>
    </w:p>
    <w:p w14:paraId="02DC2E75" w14:textId="77777777" w:rsidR="00D31596" w:rsidRDefault="00D31596" w:rsidP="00D31596">
      <w:pPr>
        <w:snapToGrid w:val="0"/>
        <w:ind w:leftChars="100" w:left="240"/>
        <w:jc w:val="center"/>
        <w:rPr>
          <w:rFonts w:ascii="Book Antiqua" w:hAnsi="Book Antiqua"/>
        </w:rPr>
      </w:pPr>
    </w:p>
    <w:p w14:paraId="53EEE11F" w14:textId="77777777" w:rsidR="00D31596" w:rsidRDefault="00D31596" w:rsidP="00D31596">
      <w:pPr>
        <w:snapToGrid w:val="0"/>
        <w:ind w:leftChars="100" w:left="240"/>
        <w:jc w:val="center"/>
        <w:rPr>
          <w:rFonts w:ascii="Book Antiqua" w:hAnsi="Book Antiqua"/>
        </w:rPr>
      </w:pPr>
    </w:p>
    <w:p w14:paraId="0E3F38F6" w14:textId="77777777" w:rsidR="00D31596" w:rsidRDefault="00D31596" w:rsidP="00D31596">
      <w:pPr>
        <w:snapToGrid w:val="0"/>
        <w:ind w:leftChars="100" w:left="240"/>
        <w:jc w:val="center"/>
        <w:rPr>
          <w:rFonts w:ascii="Book Antiqua" w:hAnsi="Book Antiqua"/>
        </w:rPr>
      </w:pPr>
      <w:r>
        <w:rPr>
          <w:rFonts w:ascii="Book Antiqua" w:hAnsi="Book Antiqua"/>
          <w:noProof/>
        </w:rPr>
        <w:drawing>
          <wp:inline distT="0" distB="0" distL="0" distR="0" wp14:anchorId="2988FE59" wp14:editId="07925A2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A78DF8E" w14:textId="77777777" w:rsidR="00D31596" w:rsidRDefault="00D31596" w:rsidP="00D31596">
      <w:pPr>
        <w:snapToGrid w:val="0"/>
        <w:ind w:leftChars="100" w:left="240"/>
        <w:jc w:val="center"/>
        <w:rPr>
          <w:rFonts w:ascii="Book Antiqua" w:hAnsi="Book Antiqua"/>
        </w:rPr>
      </w:pPr>
    </w:p>
    <w:p w14:paraId="7A25082C" w14:textId="77777777" w:rsidR="00D31596" w:rsidRDefault="00D31596" w:rsidP="00D31596">
      <w:pPr>
        <w:snapToGrid w:val="0"/>
        <w:ind w:leftChars="100" w:left="240"/>
        <w:jc w:val="center"/>
        <w:rPr>
          <w:rFonts w:ascii="Book Antiqua" w:hAnsi="Book Antiqua"/>
        </w:rPr>
      </w:pPr>
    </w:p>
    <w:p w14:paraId="79B78C06" w14:textId="77777777" w:rsidR="00D31596" w:rsidRDefault="00D31596" w:rsidP="00D31596">
      <w:pPr>
        <w:snapToGrid w:val="0"/>
        <w:ind w:leftChars="100" w:left="240"/>
        <w:jc w:val="center"/>
        <w:rPr>
          <w:rFonts w:ascii="Book Antiqua" w:hAnsi="Book Antiqua"/>
        </w:rPr>
      </w:pPr>
    </w:p>
    <w:p w14:paraId="1183AEC1" w14:textId="77777777" w:rsidR="00D31596" w:rsidRDefault="00D31596" w:rsidP="00D31596">
      <w:pPr>
        <w:snapToGrid w:val="0"/>
        <w:ind w:leftChars="100" w:left="240"/>
        <w:jc w:val="center"/>
        <w:rPr>
          <w:rFonts w:ascii="Book Antiqua" w:hAnsi="Book Antiqua"/>
        </w:rPr>
      </w:pPr>
    </w:p>
    <w:p w14:paraId="03D3DD3C" w14:textId="77777777" w:rsidR="00D31596" w:rsidRDefault="00D31596" w:rsidP="00D31596">
      <w:pPr>
        <w:snapToGrid w:val="0"/>
        <w:ind w:leftChars="100" w:left="240"/>
        <w:jc w:val="center"/>
        <w:rPr>
          <w:rFonts w:ascii="Book Antiqua" w:hAnsi="Book Antiqua"/>
        </w:rPr>
      </w:pPr>
    </w:p>
    <w:p w14:paraId="71DB0655" w14:textId="77777777" w:rsidR="00D31596" w:rsidRDefault="00D31596" w:rsidP="00D31596">
      <w:pPr>
        <w:snapToGrid w:val="0"/>
        <w:ind w:leftChars="100" w:left="240"/>
        <w:jc w:val="center"/>
        <w:rPr>
          <w:rFonts w:ascii="Book Antiqua" w:hAnsi="Book Antiqua"/>
        </w:rPr>
      </w:pPr>
    </w:p>
    <w:p w14:paraId="7A8EEC47" w14:textId="77777777" w:rsidR="00D31596" w:rsidRDefault="00D31596" w:rsidP="00D31596">
      <w:pPr>
        <w:snapToGrid w:val="0"/>
        <w:ind w:leftChars="100" w:left="240"/>
        <w:jc w:val="center"/>
        <w:rPr>
          <w:rFonts w:ascii="Book Antiqua" w:hAnsi="Book Antiqua"/>
        </w:rPr>
      </w:pPr>
    </w:p>
    <w:p w14:paraId="580B544E" w14:textId="77777777" w:rsidR="00D31596" w:rsidRDefault="00D31596" w:rsidP="00D31596">
      <w:pPr>
        <w:snapToGrid w:val="0"/>
        <w:ind w:leftChars="100" w:left="240"/>
        <w:jc w:val="center"/>
        <w:rPr>
          <w:rFonts w:ascii="Book Antiqua" w:hAnsi="Book Antiqua"/>
        </w:rPr>
      </w:pPr>
    </w:p>
    <w:p w14:paraId="45AE1F8F" w14:textId="77777777" w:rsidR="00D31596" w:rsidRDefault="00D31596" w:rsidP="00D31596">
      <w:pPr>
        <w:snapToGrid w:val="0"/>
        <w:ind w:leftChars="100" w:left="240"/>
        <w:jc w:val="center"/>
        <w:rPr>
          <w:rFonts w:ascii="Book Antiqua" w:hAnsi="Book Antiqua"/>
        </w:rPr>
      </w:pPr>
    </w:p>
    <w:p w14:paraId="43FD8804" w14:textId="77777777" w:rsidR="00D31596" w:rsidRDefault="00D31596" w:rsidP="00D31596">
      <w:pPr>
        <w:snapToGrid w:val="0"/>
        <w:ind w:leftChars="100" w:left="240"/>
        <w:jc w:val="right"/>
        <w:rPr>
          <w:rFonts w:ascii="Book Antiqua" w:hAnsi="Book Antiqua"/>
          <w:color w:val="000000" w:themeColor="text1"/>
        </w:rPr>
      </w:pPr>
    </w:p>
    <w:p w14:paraId="7057DDD6" w14:textId="77777777" w:rsidR="00D31596" w:rsidRDefault="00D31596" w:rsidP="00D3159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5E65985" w14:textId="77777777" w:rsidR="00D31596" w:rsidRDefault="00D31596" w:rsidP="00D31596">
      <w:pPr>
        <w:rPr>
          <w:rFonts w:ascii="Book Antiqua" w:hAnsi="Book Antiqua" w:cs="Book Antiqua"/>
          <w:b/>
          <w:bCs/>
          <w:color w:val="000000"/>
        </w:rPr>
      </w:pPr>
    </w:p>
    <w:p w14:paraId="2CCC4206" w14:textId="77777777" w:rsidR="00D31596" w:rsidRPr="00D31596" w:rsidRDefault="00D31596">
      <w:pPr>
        <w:spacing w:line="360" w:lineRule="auto"/>
        <w:jc w:val="both"/>
        <w:rPr>
          <w:rFonts w:ascii="Book Antiqua" w:hAnsi="Book Antiqua"/>
          <w:lang w:eastAsia="zh-CN"/>
        </w:rPr>
      </w:pPr>
    </w:p>
    <w:sectPr w:rsidR="00D31596" w:rsidRPr="00D315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BD6FA" w14:textId="77777777" w:rsidR="006B7DB7" w:rsidRDefault="006B7DB7">
      <w:r>
        <w:separator/>
      </w:r>
    </w:p>
  </w:endnote>
  <w:endnote w:type="continuationSeparator" w:id="0">
    <w:p w14:paraId="235A816C" w14:textId="77777777" w:rsidR="006B7DB7" w:rsidRDefault="006B7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21C9" w14:textId="77777777" w:rsidR="00BC56AD" w:rsidRDefault="004338DE">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459AE30D" w14:textId="77777777" w:rsidR="00BC56AD" w:rsidRDefault="00BC56AD">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EB929" w14:textId="77777777" w:rsidR="006B7DB7" w:rsidRDefault="006B7DB7">
      <w:r>
        <w:separator/>
      </w:r>
    </w:p>
  </w:footnote>
  <w:footnote w:type="continuationSeparator" w:id="0">
    <w:p w14:paraId="28B009A0" w14:textId="77777777" w:rsidR="006B7DB7" w:rsidRDefault="006B7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EzNjQ4ZTkzMTVhNDQyMTcxYTBkOGNiMmI4MDBiZGQifQ=="/>
  </w:docVars>
  <w:rsids>
    <w:rsidRoot w:val="00A77B3E"/>
    <w:rsid w:val="000624D1"/>
    <w:rsid w:val="00077631"/>
    <w:rsid w:val="000E7629"/>
    <w:rsid w:val="001B5A52"/>
    <w:rsid w:val="00215190"/>
    <w:rsid w:val="002A143F"/>
    <w:rsid w:val="002B716B"/>
    <w:rsid w:val="002C773C"/>
    <w:rsid w:val="002D12C7"/>
    <w:rsid w:val="00320687"/>
    <w:rsid w:val="00347549"/>
    <w:rsid w:val="00355712"/>
    <w:rsid w:val="00362B12"/>
    <w:rsid w:val="003E7C60"/>
    <w:rsid w:val="00416E05"/>
    <w:rsid w:val="004338DE"/>
    <w:rsid w:val="004C29CB"/>
    <w:rsid w:val="004D2169"/>
    <w:rsid w:val="004E61BF"/>
    <w:rsid w:val="00546ADF"/>
    <w:rsid w:val="005668DB"/>
    <w:rsid w:val="00581228"/>
    <w:rsid w:val="005972B7"/>
    <w:rsid w:val="005C06C0"/>
    <w:rsid w:val="005F4FF1"/>
    <w:rsid w:val="00604789"/>
    <w:rsid w:val="00610064"/>
    <w:rsid w:val="00633E85"/>
    <w:rsid w:val="00666F06"/>
    <w:rsid w:val="00680F8D"/>
    <w:rsid w:val="006B7DB7"/>
    <w:rsid w:val="006D4C02"/>
    <w:rsid w:val="0070583C"/>
    <w:rsid w:val="00716179"/>
    <w:rsid w:val="00767EF7"/>
    <w:rsid w:val="00773EA0"/>
    <w:rsid w:val="007A0E96"/>
    <w:rsid w:val="007A3862"/>
    <w:rsid w:val="0081205B"/>
    <w:rsid w:val="0083766E"/>
    <w:rsid w:val="008570EC"/>
    <w:rsid w:val="00883441"/>
    <w:rsid w:val="008C5FEF"/>
    <w:rsid w:val="008E6210"/>
    <w:rsid w:val="00931A3E"/>
    <w:rsid w:val="0093381A"/>
    <w:rsid w:val="009A2F83"/>
    <w:rsid w:val="009D785E"/>
    <w:rsid w:val="00A24F08"/>
    <w:rsid w:val="00A77B3E"/>
    <w:rsid w:val="00B3440D"/>
    <w:rsid w:val="00BA6AFE"/>
    <w:rsid w:val="00BA78C4"/>
    <w:rsid w:val="00BC56AD"/>
    <w:rsid w:val="00BE20B9"/>
    <w:rsid w:val="00C21805"/>
    <w:rsid w:val="00CA2A55"/>
    <w:rsid w:val="00CD720C"/>
    <w:rsid w:val="00D20FF5"/>
    <w:rsid w:val="00D31596"/>
    <w:rsid w:val="00D651CE"/>
    <w:rsid w:val="00D733CC"/>
    <w:rsid w:val="00DB7E56"/>
    <w:rsid w:val="00DE3DBF"/>
    <w:rsid w:val="00E24FB2"/>
    <w:rsid w:val="00E47D5E"/>
    <w:rsid w:val="00EA3B66"/>
    <w:rsid w:val="00F07330"/>
    <w:rsid w:val="00F2548A"/>
    <w:rsid w:val="00F64F61"/>
    <w:rsid w:val="00F9023D"/>
    <w:rsid w:val="00FA1A8E"/>
    <w:rsid w:val="057F6DC9"/>
    <w:rsid w:val="39406294"/>
    <w:rsid w:val="5A07278A"/>
    <w:rsid w:val="6B424F32"/>
    <w:rsid w:val="77E2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53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table" w:styleId="ab">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Pr>
      <w:color w:val="0000FF" w:themeColor="hyperlink"/>
      <w:u w:val="single"/>
    </w:rPr>
  </w:style>
  <w:style w:type="character" w:styleId="ad">
    <w:name w:val="annotation reference"/>
    <w:basedOn w:val="a0"/>
    <w:semiHidden/>
    <w:unhideWhenUsed/>
    <w:qFormat/>
    <w:rPr>
      <w:sz w:val="21"/>
      <w:szCs w:val="21"/>
    </w:rPr>
  </w:style>
  <w:style w:type="character" w:customStyle="1" w:styleId="15">
    <w:name w:val="15"/>
    <w:basedOn w:val="a0"/>
  </w:style>
  <w:style w:type="character" w:customStyle="1" w:styleId="a4">
    <w:name w:val="批注文字 字符"/>
    <w:basedOn w:val="a0"/>
    <w:link w:val="a3"/>
    <w:qFormat/>
    <w:rPr>
      <w:sz w:val="24"/>
      <w:szCs w:val="24"/>
    </w:rPr>
  </w:style>
  <w:style w:type="character" w:customStyle="1" w:styleId="aa">
    <w:name w:val="批注主题 字符"/>
    <w:basedOn w:val="a4"/>
    <w:link w:val="a9"/>
    <w:semiHidden/>
    <w:rPr>
      <w:b/>
      <w:bCs/>
      <w:sz w:val="24"/>
      <w:szCs w:val="24"/>
    </w:rPr>
  </w:style>
  <w:style w:type="character" w:customStyle="1" w:styleId="1">
    <w:name w:val="未处理的提及1"/>
    <w:basedOn w:val="a0"/>
    <w:uiPriority w:val="99"/>
    <w:semiHidden/>
    <w:unhideWhenUsed/>
    <w:rPr>
      <w:color w:val="605E5C"/>
      <w:shd w:val="clear" w:color="auto" w:fill="E1DFDD"/>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paragraph" w:customStyle="1" w:styleId="Revision1">
    <w:name w:val="Revision1"/>
    <w:hidden/>
    <w:uiPriority w:val="99"/>
    <w:semiHidden/>
    <w:rPr>
      <w:rFonts w:eastAsiaTheme="minorEastAsia"/>
      <w:sz w:val="24"/>
      <w:szCs w:val="24"/>
    </w:rPr>
  </w:style>
  <w:style w:type="paragraph" w:styleId="ae">
    <w:name w:val="Revision"/>
    <w:hidden/>
    <w:uiPriority w:val="99"/>
    <w:semiHidden/>
    <w:rsid w:val="00A24F08"/>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4137</Words>
  <Characters>23583</Characters>
  <Application>Microsoft Office Word</Application>
  <DocSecurity>0</DocSecurity>
  <Lines>196</Lines>
  <Paragraphs>55</Paragraphs>
  <ScaleCrop>false</ScaleCrop>
  <LinksUpToDate>false</LinksUpToDate>
  <CharactersWithSpaces>27665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2022-12-11T19:10:00Z</dcterms:created>
  <dcterms:modified xsi:type="dcterms:W3CDTF">2023-01-03T08:37:00Z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10D68B84E07F48DC938946AEB4372DE4</vt:lpwstr>
  </property>
</Properties>
</file>