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D28D4"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842F53" w14:textId="77777777" w:rsidR="00CE0620" w:rsidRDefault="00000000" w:rsidP="00F575F8">
      <w:pPr>
        <w:spacing w:line="360" w:lineRule="auto"/>
        <w:jc w:val="both"/>
        <w:rPr>
          <w:rFonts w:ascii="Book Antiqua" w:hAnsi="Book Antiqua"/>
          <w:lang w:eastAsia="zh-CN"/>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81156</w:t>
      </w:r>
    </w:p>
    <w:p w14:paraId="7518429D"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EC07B78" w14:textId="77777777" w:rsidR="00CE0620" w:rsidRDefault="00CE0620" w:rsidP="00F575F8">
      <w:pPr>
        <w:spacing w:line="360" w:lineRule="auto"/>
        <w:jc w:val="both"/>
        <w:rPr>
          <w:rFonts w:ascii="Book Antiqua" w:hAnsi="Book Antiqua"/>
        </w:rPr>
      </w:pPr>
    </w:p>
    <w:p w14:paraId="794D7CF0"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Successful treatment of granulomatosis with polyangiitis using tocilizumab combined with glucocorticoids: A case report</w:t>
      </w:r>
    </w:p>
    <w:p w14:paraId="2CBEF4EE" w14:textId="77777777" w:rsidR="00CE0620" w:rsidRDefault="00CE0620" w:rsidP="00F575F8">
      <w:pPr>
        <w:spacing w:line="360" w:lineRule="auto"/>
        <w:jc w:val="both"/>
        <w:rPr>
          <w:rFonts w:ascii="Book Antiqua" w:hAnsi="Book Antiqua"/>
        </w:rPr>
      </w:pPr>
    </w:p>
    <w:p w14:paraId="34C71E1C" w14:textId="77777777" w:rsidR="00CE0620" w:rsidRDefault="00000000" w:rsidP="00F575F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 xml:space="preserve">Tang PF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Successful treatment of GPA</w:t>
      </w:r>
    </w:p>
    <w:p w14:paraId="55DAF53B" w14:textId="77777777" w:rsidR="00CE0620" w:rsidRDefault="00CE0620" w:rsidP="00F575F8">
      <w:pPr>
        <w:spacing w:line="360" w:lineRule="auto"/>
        <w:jc w:val="both"/>
        <w:rPr>
          <w:rFonts w:ascii="Book Antiqua" w:hAnsi="Book Antiqua"/>
          <w:lang w:eastAsia="zh-CN"/>
        </w:rPr>
      </w:pPr>
    </w:p>
    <w:p w14:paraId="4BFEC933" w14:textId="77777777" w:rsidR="00CE0620" w:rsidRDefault="00000000" w:rsidP="00F575F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Peng-Fang Tang, Long-</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 xml:space="preserve"> Xu, Wen-Ting Hong, Hong-Ying Shi</w:t>
      </w:r>
    </w:p>
    <w:p w14:paraId="08799188" w14:textId="77777777" w:rsidR="00CE0620" w:rsidRDefault="00CE0620" w:rsidP="00F575F8">
      <w:pPr>
        <w:spacing w:line="360" w:lineRule="auto"/>
        <w:jc w:val="both"/>
        <w:rPr>
          <w:rFonts w:ascii="Book Antiqua" w:hAnsi="Book Antiqua"/>
          <w:lang w:eastAsia="zh-CN"/>
        </w:rPr>
      </w:pPr>
    </w:p>
    <w:p w14:paraId="3AD0C661" w14:textId="02861445" w:rsidR="00CE0620" w:rsidRDefault="00F575F8" w:rsidP="00F575F8">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Peng-Fang Tang, Wen-Ting Hong,</w:t>
      </w:r>
      <w:r>
        <w:rPr>
          <w:rFonts w:ascii="Book Antiqua" w:eastAsia="Book Antiqua" w:hAnsi="Book Antiqua" w:cs="Book Antiqua"/>
          <w:bCs/>
          <w:color w:val="000000"/>
        </w:rPr>
        <w:t xml:space="preserve"> Department of Rheumatology, Second Affiliated Hospital of Fujian Medical University, Quanzhou 362000, Fujian Province, China</w:t>
      </w:r>
    </w:p>
    <w:p w14:paraId="76574503" w14:textId="77777777" w:rsidR="00CE0620" w:rsidRDefault="00CE0620" w:rsidP="00F575F8">
      <w:pPr>
        <w:spacing w:line="360" w:lineRule="auto"/>
        <w:jc w:val="both"/>
        <w:rPr>
          <w:rFonts w:ascii="Book Antiqua" w:hAnsi="Book Antiqua" w:cs="Book Antiqua"/>
          <w:b/>
          <w:bCs/>
          <w:color w:val="000000"/>
          <w:lang w:eastAsia="zh-CN"/>
        </w:rPr>
      </w:pPr>
    </w:p>
    <w:p w14:paraId="0CFF72C3" w14:textId="6CC448EC" w:rsidR="00CE0620" w:rsidRDefault="00F575F8" w:rsidP="00F575F8">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Long-</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 Xu, </w:t>
      </w:r>
      <w:r>
        <w:rPr>
          <w:rFonts w:ascii="Book Antiqua" w:eastAsia="Book Antiqua" w:hAnsi="Book Antiqua" w:cs="Book Antiqua"/>
          <w:bCs/>
          <w:color w:val="000000"/>
        </w:rPr>
        <w:t>Department of Pathology, Second Affiliated Hospital of Fujian Medical University, Quanzhou 362000, Fujian Province, China</w:t>
      </w:r>
    </w:p>
    <w:p w14:paraId="3EE26141" w14:textId="77777777" w:rsidR="00CE0620" w:rsidRDefault="00CE0620" w:rsidP="00F575F8">
      <w:pPr>
        <w:spacing w:line="360" w:lineRule="auto"/>
        <w:jc w:val="both"/>
        <w:rPr>
          <w:rFonts w:ascii="Book Antiqua" w:hAnsi="Book Antiqua" w:cs="Book Antiqua"/>
          <w:b/>
          <w:bCs/>
          <w:color w:val="000000"/>
          <w:lang w:eastAsia="zh-CN"/>
        </w:rPr>
      </w:pPr>
    </w:p>
    <w:p w14:paraId="0DB9E038" w14:textId="412E65DF" w:rsidR="00CE0620" w:rsidRDefault="00F575F8" w:rsidP="00F575F8">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Hong-Ying Shi, </w:t>
      </w:r>
      <w:r>
        <w:rPr>
          <w:rFonts w:ascii="Book Antiqua" w:eastAsia="Book Antiqua" w:hAnsi="Book Antiqua" w:cs="Book Antiqua"/>
          <w:bCs/>
          <w:color w:val="000000"/>
        </w:rPr>
        <w:t>Department of Immunology, Second Affiliated Hospital of Fujian Medical University, Quanzhou 362000, Fujian Province, China</w:t>
      </w:r>
    </w:p>
    <w:p w14:paraId="2EDB8382" w14:textId="77777777" w:rsidR="00CE0620" w:rsidRDefault="00CE0620" w:rsidP="00F575F8">
      <w:pPr>
        <w:spacing w:line="360" w:lineRule="auto"/>
        <w:jc w:val="both"/>
        <w:rPr>
          <w:rFonts w:ascii="Book Antiqua" w:hAnsi="Book Antiqua"/>
          <w:lang w:eastAsia="zh-CN"/>
        </w:rPr>
      </w:pPr>
    </w:p>
    <w:p w14:paraId="3650F0C9"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Tang PF contributed to manuscript writing and editing, and data collection; Xu LC contributed to data analysis; Shi HY and Hong WT contributed to conceptualization and supervision; all authors have read and approved the final manuscript.</w:t>
      </w:r>
    </w:p>
    <w:p w14:paraId="5A3231B3" w14:textId="77777777" w:rsidR="00CE0620" w:rsidRDefault="00CE0620" w:rsidP="00F575F8">
      <w:pPr>
        <w:spacing w:line="360" w:lineRule="auto"/>
        <w:jc w:val="both"/>
        <w:rPr>
          <w:rFonts w:ascii="Book Antiqua" w:hAnsi="Book Antiqua"/>
        </w:rPr>
      </w:pPr>
    </w:p>
    <w:p w14:paraId="52A98255"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Pr>
          <w:rFonts w:ascii="Book Antiqua" w:hAnsi="Book Antiqua" w:cs="Book Antiqua"/>
          <w:b/>
          <w:bCs/>
          <w:color w:val="000000"/>
          <w:lang w:eastAsia="zh-CN"/>
        </w:rPr>
        <w:t>H</w:t>
      </w:r>
      <w:r>
        <w:rPr>
          <w:rFonts w:ascii="Book Antiqua" w:eastAsia="Book Antiqua" w:hAnsi="Book Antiqua" w:cs="Book Antiqua"/>
          <w:b/>
          <w:bCs/>
          <w:color w:val="000000"/>
        </w:rPr>
        <w:t>ong</w:t>
      </w:r>
      <w:r>
        <w:rPr>
          <w:rFonts w:ascii="Book Antiqua" w:hAnsi="Book Antiqua" w:cs="Book Antiqua"/>
          <w:b/>
          <w:bCs/>
          <w:color w:val="000000"/>
          <w:lang w:eastAsia="zh-CN"/>
        </w:rPr>
        <w:t>-Y</w:t>
      </w:r>
      <w:r>
        <w:rPr>
          <w:rFonts w:ascii="Book Antiqua" w:eastAsia="Book Antiqua" w:hAnsi="Book Antiqua" w:cs="Book Antiqua"/>
          <w:b/>
          <w:bCs/>
          <w:color w:val="000000"/>
        </w:rPr>
        <w:t xml:space="preserve">ing </w:t>
      </w:r>
      <w:r>
        <w:rPr>
          <w:rFonts w:ascii="Book Antiqua" w:hAnsi="Book Antiqua" w:cs="Book Antiqua"/>
          <w:b/>
          <w:bCs/>
          <w:color w:val="000000"/>
          <w:lang w:eastAsia="zh-CN"/>
        </w:rPr>
        <w:t>S</w:t>
      </w:r>
      <w:r>
        <w:rPr>
          <w:rFonts w:ascii="Book Antiqua" w:eastAsia="Book Antiqua" w:hAnsi="Book Antiqua" w:cs="Book Antiqua"/>
          <w:b/>
          <w:bCs/>
          <w:color w:val="000000"/>
        </w:rPr>
        <w:t xml:space="preserve">hi, PhD, Chief Physician, </w:t>
      </w:r>
      <w:r>
        <w:rPr>
          <w:rFonts w:ascii="Book Antiqua" w:eastAsia="Book Antiqua" w:hAnsi="Book Antiqua" w:cs="Book Antiqua"/>
          <w:color w:val="000000"/>
        </w:rPr>
        <w:t xml:space="preserve">Department of Immunology, Second Affiliated Hospital of Fujian Medical University, </w:t>
      </w:r>
      <w:proofErr w:type="spellStart"/>
      <w:r>
        <w:rPr>
          <w:rFonts w:ascii="Book Antiqua" w:eastAsia="Book Antiqua" w:hAnsi="Book Antiqua" w:cs="Book Antiqua"/>
          <w:color w:val="000000"/>
        </w:rPr>
        <w:t>Donghai</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Fengze</w:t>
      </w:r>
      <w:proofErr w:type="spellEnd"/>
      <w:r>
        <w:rPr>
          <w:rFonts w:ascii="Book Antiqua" w:eastAsia="Book Antiqua" w:hAnsi="Book Antiqua" w:cs="Book Antiqua"/>
          <w:color w:val="000000"/>
        </w:rPr>
        <w:t xml:space="preserve"> District, Quanzhou 362000, Fujian Province, China. shyfly@163.com</w:t>
      </w:r>
    </w:p>
    <w:p w14:paraId="4BF9DCB5" w14:textId="77777777" w:rsidR="00CE0620" w:rsidRDefault="00CE0620" w:rsidP="00F575F8">
      <w:pPr>
        <w:spacing w:line="360" w:lineRule="auto"/>
        <w:jc w:val="both"/>
        <w:rPr>
          <w:rFonts w:ascii="Book Antiqua" w:hAnsi="Book Antiqua"/>
        </w:rPr>
      </w:pPr>
    </w:p>
    <w:p w14:paraId="4B94DFD3"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October 27, 2022</w:t>
      </w:r>
    </w:p>
    <w:p w14:paraId="295B73DA"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3, 2022</w:t>
      </w:r>
    </w:p>
    <w:p w14:paraId="34782FA3" w14:textId="446519B0"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BPG Wang,Jin-Lei" w:date="2023-01-28T14:09:00Z">
        <w:r w:rsidR="00915670" w:rsidRPr="00915670">
          <w:rPr>
            <w:rFonts w:ascii="Book Antiqua" w:eastAsia="Book Antiqua" w:hAnsi="Book Antiqua" w:cs="Book Antiqua"/>
            <w:color w:val="000000"/>
          </w:rPr>
          <w:t>January 28, 2023</w:t>
        </w:r>
      </w:ins>
    </w:p>
    <w:p w14:paraId="01C857F6" w14:textId="557C2463"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7DE32060" w14:textId="77777777" w:rsidR="00CE0620" w:rsidRDefault="00CE0620" w:rsidP="00F575F8">
      <w:pPr>
        <w:spacing w:line="360" w:lineRule="auto"/>
        <w:jc w:val="both"/>
        <w:rPr>
          <w:rFonts w:ascii="Book Antiqua" w:hAnsi="Book Antiqua"/>
        </w:rPr>
        <w:sectPr w:rsidR="00CE0620">
          <w:footerReference w:type="default" r:id="rId6"/>
          <w:pgSz w:w="12240" w:h="15840"/>
          <w:pgMar w:top="1440" w:right="1440" w:bottom="1440" w:left="1440" w:header="720" w:footer="720" w:gutter="0"/>
          <w:cols w:space="720"/>
          <w:docGrid w:linePitch="360"/>
        </w:sectPr>
      </w:pPr>
    </w:p>
    <w:p w14:paraId="0D5E02EF"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AA33F32"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BACKGROUND</w:t>
      </w:r>
    </w:p>
    <w:p w14:paraId="13BC6018"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Tocilizumab is a humanized monoclonal antibody against the interleukin-6 (IL-6) receptor that is commonly used to treat large vessel vasculitis and antineutrophil cytoplasmic antibody-related small vessel vasculitis. However, tocilizumab in combination with glucocorticoids for successfully treating granulomatosis with polyangiitis (GPA) has rarely been reported.</w:t>
      </w:r>
    </w:p>
    <w:p w14:paraId="3CBF4705" w14:textId="77777777" w:rsidR="00CE0620" w:rsidRDefault="00CE0620" w:rsidP="00F575F8">
      <w:pPr>
        <w:spacing w:line="360" w:lineRule="auto"/>
        <w:jc w:val="both"/>
        <w:rPr>
          <w:rFonts w:ascii="Book Antiqua" w:hAnsi="Book Antiqua"/>
        </w:rPr>
      </w:pPr>
    </w:p>
    <w:p w14:paraId="11145D8A"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CASE SUMMARY</w:t>
      </w:r>
    </w:p>
    <w:p w14:paraId="55553EFD"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 xml:space="preserve">Here, we report a 40-year-old male patient who suffered GPA for 4 years. He was treated with multiple rounds of drugs, including cyclophosphamide, </w:t>
      </w:r>
      <w:r>
        <w:rPr>
          <w:rFonts w:ascii="Book Antiqua" w:hAnsi="Book Antiqua" w:cs="Book Antiqua"/>
          <w:color w:val="000000"/>
          <w:lang w:eastAsia="zh-CN"/>
        </w:rPr>
        <w:t>T</w:t>
      </w:r>
      <w:r>
        <w:rPr>
          <w:rFonts w:ascii="Book Antiqua" w:eastAsia="Book Antiqua" w:hAnsi="Book Antiqua" w:cs="Book Antiqua"/>
          <w:color w:val="000000"/>
        </w:rPr>
        <w:t xml:space="preserve">ripterygium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mycophenolate mofetil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belimumab, with no improvement. In addition, he exhibited persistently high IL-6 levels. After tocilizumab treatment, his symptoms improved, and his inflammatory marker levels returned to normal.</w:t>
      </w:r>
    </w:p>
    <w:p w14:paraId="425E512B" w14:textId="77777777" w:rsidR="00CE0620" w:rsidRDefault="00CE0620" w:rsidP="00F575F8">
      <w:pPr>
        <w:spacing w:line="360" w:lineRule="auto"/>
        <w:jc w:val="both"/>
        <w:rPr>
          <w:rFonts w:ascii="Book Antiqua" w:hAnsi="Book Antiqua"/>
        </w:rPr>
      </w:pPr>
    </w:p>
    <w:p w14:paraId="375CAF9F"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CONCLUSION</w:t>
      </w:r>
    </w:p>
    <w:p w14:paraId="79CA27CC" w14:textId="3983E586"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 xml:space="preserve">Tocilizumab may be effective for treating </w:t>
      </w:r>
      <w:r>
        <w:rPr>
          <w:rFonts w:ascii="Book Antiqua" w:eastAsia="宋体" w:hAnsi="Book Antiqua" w:cs="Book Antiqua" w:hint="eastAsia"/>
          <w:color w:val="000000"/>
          <w:lang w:eastAsia="zh-CN"/>
        </w:rPr>
        <w:t>GPA</w:t>
      </w:r>
      <w:r>
        <w:rPr>
          <w:rFonts w:ascii="Book Antiqua" w:eastAsia="Book Antiqua" w:hAnsi="Book Antiqua" w:cs="Book Antiqua"/>
          <w:color w:val="000000"/>
        </w:rPr>
        <w:t>.</w:t>
      </w:r>
    </w:p>
    <w:p w14:paraId="5B65B06C" w14:textId="77777777" w:rsidR="00CE0620" w:rsidRDefault="00CE0620" w:rsidP="00F575F8">
      <w:pPr>
        <w:spacing w:line="360" w:lineRule="auto"/>
        <w:jc w:val="both"/>
        <w:rPr>
          <w:rFonts w:ascii="Book Antiqua" w:hAnsi="Book Antiqua"/>
        </w:rPr>
      </w:pPr>
    </w:p>
    <w:p w14:paraId="672E0E0D" w14:textId="77777777" w:rsidR="00CE0620" w:rsidRDefault="00000000" w:rsidP="00F575F8">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hAnsi="Book Antiqua" w:cs="Book Antiqua"/>
          <w:color w:val="000000"/>
          <w:lang w:eastAsia="zh-CN"/>
        </w:rPr>
        <w:t>T</w:t>
      </w:r>
      <w:r>
        <w:rPr>
          <w:rFonts w:ascii="Book Antiqua" w:eastAsia="Book Antiqua" w:hAnsi="Book Antiqua" w:cs="Book Antiqua"/>
          <w:color w:val="000000"/>
        </w:rPr>
        <w:t>ocilizumab;</w:t>
      </w:r>
      <w:r>
        <w:rPr>
          <w:rFonts w:ascii="Book Antiqua" w:hAnsi="Book Antiqua" w:cs="Book Antiqua"/>
          <w:color w:val="000000"/>
          <w:lang w:eastAsia="zh-CN"/>
        </w:rPr>
        <w:t xml:space="preserve"> G</w:t>
      </w:r>
      <w:r>
        <w:rPr>
          <w:rFonts w:ascii="Book Antiqua" w:eastAsia="Book Antiqua" w:hAnsi="Book Antiqua" w:cs="Book Antiqua"/>
          <w:color w:val="000000"/>
        </w:rPr>
        <w:t xml:space="preserve">ranulomatosis with polyangiitis; </w:t>
      </w:r>
      <w:r>
        <w:rPr>
          <w:rFonts w:ascii="Book Antiqua" w:hAnsi="Book Antiqua" w:cs="Book Antiqua"/>
          <w:color w:val="000000"/>
          <w:lang w:eastAsia="zh-CN"/>
        </w:rPr>
        <w:t>A</w:t>
      </w:r>
      <w:r>
        <w:rPr>
          <w:rFonts w:ascii="Book Antiqua" w:eastAsia="Book Antiqua" w:hAnsi="Book Antiqua" w:cs="Book Antiqua"/>
          <w:color w:val="000000"/>
        </w:rPr>
        <w:t>ntineutrophil cytoplasmic antibody</w:t>
      </w:r>
      <w:r>
        <w:rPr>
          <w:rFonts w:ascii="Book Antiqua" w:hAnsi="Book Antiqua" w:cs="Book Antiqua"/>
          <w:color w:val="000000"/>
          <w:lang w:eastAsia="zh-CN"/>
        </w:rPr>
        <w:t>; Case report</w:t>
      </w:r>
    </w:p>
    <w:p w14:paraId="6CDDFB5C" w14:textId="77777777" w:rsidR="00CE0620" w:rsidRDefault="00CE0620" w:rsidP="00F575F8">
      <w:pPr>
        <w:spacing w:line="360" w:lineRule="auto"/>
        <w:jc w:val="both"/>
        <w:rPr>
          <w:rFonts w:ascii="Book Antiqua" w:hAnsi="Book Antiqua"/>
        </w:rPr>
      </w:pPr>
    </w:p>
    <w:p w14:paraId="1B00F52E" w14:textId="404F64D1"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 xml:space="preserve">Tang PF, Xu LC, Hong WT, Shi HY. Successful treatment of granulomatosis with polyangiitis using tocilizumab combined with glucocorticoids: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4A2171">
        <w:rPr>
          <w:rFonts w:ascii="Book Antiqua" w:eastAsia="Book Antiqua" w:hAnsi="Book Antiqua" w:cs="Book Antiqua"/>
          <w:color w:val="000000"/>
        </w:rPr>
        <w:t>3</w:t>
      </w:r>
      <w:r>
        <w:rPr>
          <w:rFonts w:ascii="Book Antiqua" w:eastAsia="Book Antiqua" w:hAnsi="Book Antiqua" w:cs="Book Antiqua"/>
          <w:color w:val="000000"/>
        </w:rPr>
        <w:t>; In press</w:t>
      </w:r>
    </w:p>
    <w:p w14:paraId="0ECAA9D3" w14:textId="77777777" w:rsidR="00CE0620" w:rsidRDefault="00CE0620" w:rsidP="00F575F8">
      <w:pPr>
        <w:spacing w:line="360" w:lineRule="auto"/>
        <w:jc w:val="both"/>
        <w:rPr>
          <w:rFonts w:ascii="Book Antiqua" w:hAnsi="Book Antiqua"/>
        </w:rPr>
      </w:pPr>
    </w:p>
    <w:p w14:paraId="0FE1BB67" w14:textId="77F1532C"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hAnsi="Book Antiqua" w:cs="Book Antiqua" w:hint="eastAsia"/>
          <w:color w:val="000000"/>
          <w:lang w:eastAsia="zh-CN"/>
        </w:rPr>
        <w:t>G</w:t>
      </w:r>
      <w:r>
        <w:rPr>
          <w:rFonts w:ascii="Book Antiqua" w:eastAsia="Book Antiqua" w:hAnsi="Book Antiqua" w:cs="Book Antiqua"/>
          <w:color w:val="000000"/>
        </w:rPr>
        <w:t>ranulomatosis with polyangiitis</w:t>
      </w:r>
      <w:r>
        <w:rPr>
          <w:rFonts w:ascii="Book Antiqua" w:eastAsia="宋体" w:hAnsi="Book Antiqua" w:cs="Book Antiqua" w:hint="eastAsia"/>
          <w:color w:val="000000"/>
          <w:lang w:eastAsia="zh-CN"/>
        </w:rPr>
        <w:t xml:space="preserve"> (GPA),</w:t>
      </w:r>
      <w:r>
        <w:rPr>
          <w:rFonts w:ascii="Book Antiqua" w:eastAsia="Book Antiqua" w:hAnsi="Book Antiqua" w:cs="Book Antiqua"/>
          <w:color w:val="000000"/>
        </w:rPr>
        <w:t xml:space="preserve"> formerly called Wegener's granulomatosis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a necrotizing granulomatous vasculitis that involves small arteries, veins, and capillaries throughout the body. The upper respiratory tract, lower respiratory tract, and kidney are </w:t>
      </w:r>
      <w:proofErr w:type="gramStart"/>
      <w:r>
        <w:rPr>
          <w:rFonts w:ascii="Book Antiqua" w:eastAsia="Book Antiqua" w:hAnsi="Book Antiqua" w:cs="Book Antiqua"/>
          <w:color w:val="000000"/>
        </w:rPr>
        <w:t>most commonly affected</w:t>
      </w:r>
      <w:proofErr w:type="gramEnd"/>
      <w:r>
        <w:rPr>
          <w:rFonts w:ascii="Book Antiqua" w:eastAsia="Book Antiqua" w:hAnsi="Book Antiqua" w:cs="Book Antiqua"/>
          <w:color w:val="000000"/>
        </w:rPr>
        <w:t xml:space="preserve">. Clinically, glucocorticoid combined with </w:t>
      </w:r>
      <w:r>
        <w:rPr>
          <w:rFonts w:ascii="Book Antiqua" w:eastAsia="Book Antiqua" w:hAnsi="Book Antiqua" w:cs="Book Antiqua"/>
          <w:color w:val="000000"/>
        </w:rPr>
        <w:lastRenderedPageBreak/>
        <w:t>cyclophosphamide is the first treatment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GPA. Herein,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we report a case of refractory GPA. Combined with the literature review, we found that interleukin-6 </w:t>
      </w:r>
      <w:r>
        <w:rPr>
          <w:rFonts w:ascii="Book Antiqua" w:eastAsia="宋体" w:hAnsi="Book Antiqua" w:cs="Book Antiqua" w:hint="eastAsia"/>
          <w:color w:val="000000"/>
          <w:lang w:eastAsia="zh-CN"/>
        </w:rPr>
        <w:t>(IL-6) l</w:t>
      </w:r>
      <w:r>
        <w:rPr>
          <w:rFonts w:ascii="Book Antiqua" w:eastAsia="Book Antiqua" w:hAnsi="Book Antiqua" w:cs="Book Antiqua"/>
          <w:color w:val="000000"/>
        </w:rPr>
        <w:t xml:space="preserve">evels were generally elevated in GPA patients. </w:t>
      </w:r>
      <w:r>
        <w:rPr>
          <w:rFonts w:ascii="Book Antiqua" w:hAnsi="Book Antiqua" w:cs="Book Antiqua"/>
          <w:color w:val="000000"/>
          <w:lang w:eastAsia="zh-CN"/>
        </w:rPr>
        <w:t xml:space="preserve">IL-6 </w:t>
      </w:r>
      <w:r>
        <w:rPr>
          <w:rFonts w:ascii="Book Antiqua" w:eastAsia="Book Antiqua" w:hAnsi="Book Antiqua" w:cs="Book Antiqua"/>
          <w:color w:val="000000"/>
        </w:rPr>
        <w:t xml:space="preserve">is involved in the pathogenesis of </w:t>
      </w:r>
      <w:r>
        <w:rPr>
          <w:rFonts w:ascii="Book Antiqua" w:hAnsi="Book Antiqua" w:cs="Book Antiqua"/>
          <w:color w:val="000000"/>
          <w:lang w:eastAsia="zh-CN"/>
        </w:rPr>
        <w:t>a</w:t>
      </w:r>
      <w:r>
        <w:rPr>
          <w:rFonts w:ascii="Book Antiqua" w:eastAsia="Book Antiqua" w:hAnsi="Book Antiqua" w:cs="Book Antiqua"/>
          <w:color w:val="000000"/>
        </w:rPr>
        <w:t xml:space="preserve">ntineutrophil cytoplasmic antibody-related small vessel vasculitis. We successfully treated a patient with refractory GPA using the </w:t>
      </w:r>
      <w:r>
        <w:rPr>
          <w:rFonts w:ascii="Book Antiqua" w:hAnsi="Book Antiqua" w:cs="Book Antiqua"/>
          <w:color w:val="000000"/>
          <w:lang w:eastAsia="zh-CN"/>
        </w:rPr>
        <w:t>IL</w:t>
      </w:r>
      <w:r>
        <w:rPr>
          <w:rFonts w:ascii="Book Antiqua" w:eastAsia="Book Antiqua" w:hAnsi="Book Antiqua" w:cs="Book Antiqua"/>
          <w:color w:val="000000"/>
        </w:rPr>
        <w:t>-6 inhibitor-to</w:t>
      </w:r>
      <w:r>
        <w:rPr>
          <w:rFonts w:ascii="Book Antiqua" w:eastAsia="宋体" w:hAnsi="Book Antiqua" w:cs="Book Antiqua" w:hint="eastAsia"/>
          <w:color w:val="000000"/>
          <w:lang w:eastAsia="zh-CN"/>
        </w:rPr>
        <w:t>c</w:t>
      </w:r>
      <w:r>
        <w:rPr>
          <w:rFonts w:ascii="Book Antiqua" w:eastAsia="Book Antiqua" w:hAnsi="Book Antiqua" w:cs="Book Antiqua"/>
          <w:color w:val="000000"/>
        </w:rPr>
        <w:t>i</w:t>
      </w:r>
      <w:r>
        <w:rPr>
          <w:rFonts w:ascii="Book Antiqua" w:eastAsia="宋体" w:hAnsi="Book Antiqua" w:cs="Book Antiqua" w:hint="eastAsia"/>
          <w:color w:val="000000"/>
          <w:lang w:eastAsia="zh-CN"/>
        </w:rPr>
        <w:t>li</w:t>
      </w:r>
      <w:r>
        <w:rPr>
          <w:rFonts w:ascii="Book Antiqua" w:eastAsia="Book Antiqua" w:hAnsi="Book Antiqua" w:cs="Book Antiqua"/>
          <w:color w:val="000000"/>
        </w:rPr>
        <w:t>zumab. To</w:t>
      </w:r>
      <w:r>
        <w:rPr>
          <w:rFonts w:ascii="Book Antiqua" w:eastAsia="宋体" w:hAnsi="Book Antiqua" w:cs="Book Antiqua" w:hint="eastAsia"/>
          <w:color w:val="000000"/>
          <w:lang w:eastAsia="zh-CN"/>
        </w:rPr>
        <w:t>c</w:t>
      </w:r>
      <w:r>
        <w:rPr>
          <w:rFonts w:ascii="Book Antiqua" w:eastAsia="Book Antiqua" w:hAnsi="Book Antiqua" w:cs="Book Antiqua"/>
          <w:color w:val="000000"/>
        </w:rPr>
        <w:t>i</w:t>
      </w:r>
      <w:r>
        <w:rPr>
          <w:rFonts w:ascii="Book Antiqua" w:eastAsia="宋体" w:hAnsi="Book Antiqua" w:cs="Book Antiqua" w:hint="eastAsia"/>
          <w:color w:val="000000"/>
          <w:lang w:eastAsia="zh-CN"/>
        </w:rPr>
        <w:t>li</w:t>
      </w:r>
      <w:r>
        <w:rPr>
          <w:rFonts w:ascii="Book Antiqua" w:eastAsia="Book Antiqua" w:hAnsi="Book Antiqua" w:cs="Book Antiqua"/>
          <w:color w:val="000000"/>
        </w:rPr>
        <w:t>zumab is an option when conventional immunosuppressants and rituximab are not effective in treating GPA.</w:t>
      </w:r>
    </w:p>
    <w:p w14:paraId="61DF1749" w14:textId="77777777" w:rsidR="00CE0620" w:rsidRDefault="00CE0620" w:rsidP="00F575F8">
      <w:pPr>
        <w:spacing w:line="360" w:lineRule="auto"/>
        <w:jc w:val="both"/>
        <w:rPr>
          <w:rFonts w:ascii="Book Antiqua" w:hAnsi="Book Antiqua"/>
        </w:rPr>
      </w:pPr>
    </w:p>
    <w:p w14:paraId="468D468D" w14:textId="77777777" w:rsidR="00CE0620" w:rsidRDefault="00000000" w:rsidP="00F575F8">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4D872CE" w14:textId="0010BE38"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Antineutrophil cytoplasmic antibody (ANCA)-related small vessel vasculitis (AAV) refers to a set of systemic small vessel vasculitis diseases associated with antineutrophil cytoplasmic antibodies, including microscopic polyangiitis (MPA), granulomatosis with polyangiitis (GPA)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eosinophilic granulomatosis with polyangiitis (EGPA). Patients with GPA are mainly positive for classic </w:t>
      </w:r>
      <w:r>
        <w:rPr>
          <w:rFonts w:ascii="Book Antiqua" w:hAnsi="Book Antiqua" w:cs="Book Antiqua"/>
          <w:color w:val="000000"/>
          <w:lang w:eastAsia="zh-CN"/>
        </w:rPr>
        <w:t>ANCA</w:t>
      </w:r>
      <w:r>
        <w:rPr>
          <w:rFonts w:ascii="Book Antiqua" w:eastAsia="Book Antiqua" w:hAnsi="Book Antiqua" w:cs="Book Antiqua"/>
          <w:color w:val="000000"/>
        </w:rPr>
        <w:t xml:space="preserve"> (C-ANCA) and proteinase 3-</w:t>
      </w:r>
      <w:r>
        <w:rPr>
          <w:rFonts w:ascii="Book Antiqua" w:hAnsi="Book Antiqua" w:cs="Book Antiqua"/>
          <w:color w:val="000000"/>
          <w:lang w:eastAsia="zh-CN"/>
        </w:rPr>
        <w:t>ANCA</w:t>
      </w:r>
      <w:r>
        <w:rPr>
          <w:rFonts w:ascii="Book Antiqua" w:eastAsia="Book Antiqua" w:hAnsi="Book Antiqua" w:cs="Book Antiqua"/>
          <w:color w:val="000000"/>
        </w:rPr>
        <w:t xml:space="preserve"> (PR3-ANCA), and GPA tends to involve the upper and lower respiratory tracts, kidney,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systemic arterioles, venules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capillaries. According to guideline </w:t>
      </w:r>
      <w:proofErr w:type="gramStart"/>
      <w:r>
        <w:rPr>
          <w:rFonts w:ascii="Book Antiqua" w:eastAsia="Book Antiqua" w:hAnsi="Book Antiqua" w:cs="Book Antiqua"/>
          <w:color w:val="000000"/>
        </w:rPr>
        <w:t>recommendations</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cyclophosphamide (CTX) or rituximab is the drug of choice for inducing remission in patients with AAV. Tocilizumab has been reported in the literature for treating primary and secondary small vessel </w:t>
      </w:r>
      <w:proofErr w:type="gramStart"/>
      <w:r>
        <w:rPr>
          <w:rFonts w:ascii="Book Antiqua" w:eastAsia="Book Antiqua" w:hAnsi="Book Antiqua" w:cs="Book Antiqua"/>
          <w:color w:val="000000"/>
        </w:rPr>
        <w:t>vasculitis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However, the use of tocilizumab for treating GPA has rarely been reported. Here, we report a case of successful treatment of GPA with tocilizumab in combination with glucocorticoids, suggesting that tocilizumab may be useful for treating GPA.</w:t>
      </w:r>
    </w:p>
    <w:p w14:paraId="6EB90BAB" w14:textId="77777777" w:rsidR="00CE0620" w:rsidRDefault="00CE0620" w:rsidP="00F575F8">
      <w:pPr>
        <w:spacing w:line="360" w:lineRule="auto"/>
        <w:jc w:val="both"/>
        <w:rPr>
          <w:rFonts w:ascii="Book Antiqua" w:hAnsi="Book Antiqua"/>
        </w:rPr>
      </w:pPr>
    </w:p>
    <w:p w14:paraId="4C01A039" w14:textId="77777777" w:rsidR="00CE0620" w:rsidRDefault="00000000" w:rsidP="00F575F8">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56C8358" w14:textId="77777777" w:rsidR="00CE0620" w:rsidRDefault="00000000" w:rsidP="00F575F8">
      <w:pPr>
        <w:spacing w:line="360" w:lineRule="auto"/>
        <w:jc w:val="both"/>
        <w:rPr>
          <w:rFonts w:ascii="Book Antiqua" w:hAnsi="Book Antiqua"/>
        </w:rPr>
      </w:pPr>
      <w:r>
        <w:rPr>
          <w:rFonts w:ascii="Book Antiqua" w:eastAsia="Book Antiqua" w:hAnsi="Book Antiqua" w:cs="Book Antiqua"/>
          <w:b/>
          <w:i/>
          <w:color w:val="000000"/>
        </w:rPr>
        <w:t>Chief complaints</w:t>
      </w:r>
    </w:p>
    <w:p w14:paraId="5EF7C299"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A 40-year-old man presented to the Rheumatology Department on October 8, 2021,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with the main complaints of 4-year pulmonary nodules and 3-year repeated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w:t>
      </w:r>
    </w:p>
    <w:p w14:paraId="61F15CB1" w14:textId="77777777" w:rsidR="00CE0620" w:rsidRDefault="00CE0620" w:rsidP="00F575F8">
      <w:pPr>
        <w:spacing w:line="360" w:lineRule="auto"/>
        <w:jc w:val="both"/>
        <w:rPr>
          <w:rFonts w:ascii="Book Antiqua" w:hAnsi="Book Antiqua"/>
        </w:rPr>
      </w:pPr>
    </w:p>
    <w:p w14:paraId="037DEED6" w14:textId="77777777" w:rsidR="00CE0620" w:rsidRDefault="00000000" w:rsidP="00F575F8">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14036E0"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lastRenderedPageBreak/>
        <w:t xml:space="preserve">On October 8, 2021, the patient was admitted for recurrent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xml:space="preserve"> without apparent cause.</w:t>
      </w:r>
    </w:p>
    <w:p w14:paraId="6785EC84" w14:textId="77777777" w:rsidR="00CE0620" w:rsidRDefault="00CE0620" w:rsidP="00F575F8">
      <w:pPr>
        <w:spacing w:line="360" w:lineRule="auto"/>
        <w:jc w:val="both"/>
        <w:rPr>
          <w:rFonts w:ascii="Book Antiqua" w:hAnsi="Book Antiqua"/>
        </w:rPr>
      </w:pPr>
    </w:p>
    <w:p w14:paraId="17CF6630" w14:textId="77777777" w:rsidR="00CE0620" w:rsidRDefault="00000000" w:rsidP="00F575F8">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A8FF7F0" w14:textId="77777777" w:rsidR="00CE0620" w:rsidRDefault="00000000" w:rsidP="00F575F8">
      <w:pPr>
        <w:spacing w:line="360" w:lineRule="auto"/>
        <w:jc w:val="both"/>
        <w:rPr>
          <w:rFonts w:ascii="Book Antiqua" w:hAnsi="Book Antiqua"/>
          <w:lang w:eastAsia="zh-CN"/>
        </w:rPr>
      </w:pPr>
      <w:r>
        <w:rPr>
          <w:rFonts w:ascii="Book Antiqua" w:eastAsia="Book Antiqua" w:hAnsi="Book Antiqua" w:cs="Book Antiqua"/>
          <w:color w:val="000000"/>
        </w:rPr>
        <w:t xml:space="preserve">Four years before admission (January 2017), the patient visited a local hospital for trauma (specific unknown). Pulmonary </w:t>
      </w:r>
      <w:r>
        <w:rPr>
          <w:rFonts w:ascii="Book Antiqua" w:hAnsi="Book Antiqua" w:cs="Book Antiqua"/>
          <w:color w:val="000000"/>
        </w:rPr>
        <w:t>computed tomography</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revealed multiple bilateral pulmonary nodules and mass shadows, inflammatory flaked shadows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significantly thickened pleura. Lung biopsy pathology showed granulomatous inflammatory flaked necrosis. Pulmonary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excluded according to immunohistochemical findings. At follow-up, pulmonary CT demonstrated more pulmonary nodules and flaked shadows.</w:t>
      </w:r>
    </w:p>
    <w:p w14:paraId="50276404" w14:textId="721B4651"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On June 2017, the patient visited a tertiary hospital in Beijing,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due to low fever, joint pain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maculopapular rash. Laboratory examination showed an </w:t>
      </w:r>
      <w:r>
        <w:rPr>
          <w:rFonts w:ascii="Book Antiqua" w:hAnsi="Book Antiqua" w:cs="Book Antiqua"/>
          <w:color w:val="000000"/>
          <w:lang w:eastAsia="zh-CN"/>
        </w:rPr>
        <w:t>e</w:t>
      </w:r>
      <w:r>
        <w:rPr>
          <w:rFonts w:ascii="Book Antiqua" w:eastAsia="Book Antiqua" w:hAnsi="Book Antiqua" w:cs="Book Antiqua"/>
          <w:color w:val="000000"/>
        </w:rPr>
        <w:t xml:space="preserve">rythrocyte sedimentation rate (ESR) of 47 mm/h; C-reactive protein </w:t>
      </w:r>
      <w:r>
        <w:rPr>
          <w:rFonts w:ascii="Book Antiqua" w:hAnsi="Book Antiqua" w:cs="Book Antiqua"/>
          <w:color w:val="000000"/>
          <w:lang w:eastAsia="zh-CN"/>
        </w:rPr>
        <w:t>(</w:t>
      </w:r>
      <w:r>
        <w:rPr>
          <w:rFonts w:ascii="Book Antiqua" w:eastAsia="Book Antiqua" w:hAnsi="Book Antiqua" w:cs="Book Antiqua"/>
          <w:color w:val="000000"/>
        </w:rPr>
        <w:t>CRP</w:t>
      </w:r>
      <w:r>
        <w:rPr>
          <w:rFonts w:ascii="Book Antiqua" w:hAnsi="Book Antiqua" w:cs="Book Antiqua"/>
          <w:color w:val="000000"/>
          <w:lang w:eastAsia="zh-CN"/>
        </w:rPr>
        <w:t>)</w:t>
      </w:r>
      <w:r>
        <w:rPr>
          <w:rFonts w:ascii="Book Antiqua" w:eastAsia="Book Antiqua" w:hAnsi="Book Antiqua" w:cs="Book Antiqua"/>
          <w:color w:val="000000"/>
        </w:rPr>
        <w:t xml:space="preserve"> level of 18.6 mg/L; rheumatoid factor (RF) level of 225 IU/mL; normal levels of antinuclear antibodies (ANAs), anti-ENA antibodies, anti-double-stranded DNA antibodies, immunoglobulins (IgA, IgM, </w:t>
      </w:r>
      <w:r>
        <w:rPr>
          <w:rFonts w:ascii="Book Antiqua" w:hAnsi="Book Antiqua" w:cs="Book Antiqua"/>
          <w:color w:val="000000"/>
          <w:lang w:eastAsia="zh-CN"/>
        </w:rPr>
        <w:t xml:space="preserve">and </w:t>
      </w:r>
      <w:r>
        <w:rPr>
          <w:rFonts w:ascii="Book Antiqua" w:eastAsia="Book Antiqua" w:hAnsi="Book Antiqua" w:cs="Book Antiqua"/>
          <w:color w:val="000000"/>
        </w:rPr>
        <w:t>IgG), complement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anti-cyclic citrullinated peptide antibodies; and C-ANCA and PR3-ANCA positivity. AAV was considered. Immunosuppression was obtained using methylprednisolone (80 mg/d) plus </w:t>
      </w:r>
      <w:r>
        <w:rPr>
          <w:rFonts w:ascii="Book Antiqua" w:hAnsi="Book Antiqua" w:cs="Book Antiqua"/>
          <w:color w:val="000000"/>
          <w:lang w:eastAsia="zh-CN"/>
        </w:rPr>
        <w:t>CTX</w:t>
      </w:r>
      <w:r>
        <w:rPr>
          <w:rFonts w:ascii="Book Antiqua" w:eastAsia="Book Antiqua" w:hAnsi="Book Antiqua" w:cs="Book Antiqua"/>
          <w:color w:val="000000"/>
        </w:rPr>
        <w:t xml:space="preserve"> 0.2 g </w:t>
      </w:r>
      <w:proofErr w:type="spellStart"/>
      <w:r>
        <w:rPr>
          <w:rFonts w:ascii="Book Antiqua" w:eastAsia="Book Antiqua" w:hAnsi="Book Antiqua" w:cs="Book Antiqua"/>
          <w:color w:val="000000"/>
        </w:rPr>
        <w:t>qod</w:t>
      </w:r>
      <w:proofErr w:type="spellEnd"/>
      <w:r>
        <w:rPr>
          <w:rFonts w:ascii="Book Antiqua" w:eastAsia="Book Antiqua" w:hAnsi="Book Antiqua" w:cs="Book Antiqua"/>
          <w:color w:val="000000"/>
        </w:rPr>
        <w:t>. In addition, human immunoglobulins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 g/d)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administered for 5 d with satisfactory results. Some pulmonary lesions disappeared, while the inflammatory indicators remained at a high level. After discharge from the hospital, the patient’s maintenance regimen consisted of oral prednisone 20 mg/d combined with </w:t>
      </w:r>
      <w:r>
        <w:rPr>
          <w:rFonts w:ascii="Book Antiqua" w:hAnsi="Book Antiqua" w:cs="Book Antiqua"/>
          <w:color w:val="000000"/>
          <w:lang w:eastAsia="zh-CN"/>
        </w:rPr>
        <w:t>CTX</w:t>
      </w:r>
      <w:r>
        <w:rPr>
          <w:rFonts w:ascii="Book Antiqua" w:eastAsia="Book Antiqua" w:hAnsi="Book Antiqua" w:cs="Book Antiqua"/>
          <w:color w:val="000000"/>
        </w:rPr>
        <w:t xml:space="preserve"> 0.2 g </w:t>
      </w:r>
      <w:proofErr w:type="spellStart"/>
      <w:r>
        <w:rPr>
          <w:rFonts w:ascii="Book Antiqua" w:eastAsia="Book Antiqua" w:hAnsi="Book Antiqua" w:cs="Book Antiqua"/>
          <w:color w:val="000000"/>
        </w:rPr>
        <w:t>qod</w:t>
      </w:r>
      <w:proofErr w:type="spellEnd"/>
      <w:r>
        <w:rPr>
          <w:rFonts w:ascii="Book Antiqua" w:eastAsia="Book Antiqua" w:hAnsi="Book Antiqua" w:cs="Book Antiqua"/>
          <w:color w:val="000000"/>
        </w:rPr>
        <w:t>.</w:t>
      </w:r>
    </w:p>
    <w:p w14:paraId="1234BF47" w14:textId="1B658DF6"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On July 2018, the patient returned to the tertiary hospital for cough and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xml:space="preserve">. He was positive for C-ANCA and exhibited significantly increased inflammatory levels,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more pulmonary nodules and mass shadows. According to the 2017 European League against Rheumatism/American College of Rheumatology classification criteria for granulomatosis with polyangiitis, GPA was diagnosed. Anti-inflammatory methylprednisolone 40 mg/d and oral </w:t>
      </w:r>
      <w:r>
        <w:rPr>
          <w:rFonts w:ascii="Book Antiqua" w:hAnsi="Book Antiqua" w:cs="Book Antiqua"/>
          <w:color w:val="000000"/>
          <w:lang w:eastAsia="zh-CN"/>
        </w:rPr>
        <w:t>CTX</w:t>
      </w:r>
      <w:r>
        <w:rPr>
          <w:rFonts w:ascii="Book Antiqua" w:eastAsia="Book Antiqua" w:hAnsi="Book Antiqua" w:cs="Book Antiqua"/>
          <w:color w:val="000000"/>
        </w:rPr>
        <w:t xml:space="preserve"> (150 mg for one day and 100 mg for two </w:t>
      </w:r>
      <w:r>
        <w:rPr>
          <w:rFonts w:ascii="Book Antiqua" w:eastAsia="Book Antiqua" w:hAnsi="Book Antiqua" w:cs="Book Antiqua"/>
          <w:color w:val="000000"/>
        </w:rPr>
        <w:lastRenderedPageBreak/>
        <w:t xml:space="preserve">consecutive days) were administered. The symptoms improved, while </w:t>
      </w:r>
      <w:r>
        <w:rPr>
          <w:rFonts w:ascii="Book Antiqua" w:eastAsia="宋体" w:hAnsi="Book Antiqua" w:cs="Book Antiqua" w:hint="eastAsia"/>
          <w:color w:val="000000"/>
          <w:lang w:eastAsia="zh-CN"/>
        </w:rPr>
        <w:t xml:space="preserve">he had </w:t>
      </w:r>
      <w:r>
        <w:rPr>
          <w:rFonts w:ascii="Book Antiqua" w:eastAsia="Book Antiqua" w:hAnsi="Book Antiqua" w:cs="Book Antiqua"/>
          <w:color w:val="000000"/>
        </w:rPr>
        <w:t>intermittent cough and shortness of breath after activity.</w:t>
      </w:r>
    </w:p>
    <w:p w14:paraId="0C9AC7C2" w14:textId="5F72E360"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On August 13, 2018, the patient visited our hospital with the main complaint of cough with yellow sputum. Laboratory examination revealed a WBC count of 11.8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neutrophil count of 7.6</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lymphocyte count of 2.6</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Analysis of lymphocyte subsets showed the following results: B lymphocyte antigen</w:t>
      </w:r>
      <w:r>
        <w:rPr>
          <w:rFonts w:ascii="Book Antiqua" w:hAnsi="Book Antiqua" w:cs="Book Antiqua"/>
          <w:color w:val="000000"/>
          <w:lang w:eastAsia="zh-CN"/>
        </w:rPr>
        <w:t xml:space="preserve"> </w:t>
      </w:r>
      <w:r>
        <w:rPr>
          <w:rFonts w:ascii="Book Antiqua" w:eastAsia="Book Antiqua" w:hAnsi="Book Antiqua" w:cs="Book Antiqua"/>
          <w:color w:val="000000"/>
        </w:rPr>
        <w:t>(CD3</w:t>
      </w:r>
      <w:r>
        <w:rPr>
          <w:rFonts w:ascii="Book Antiqua" w:eastAsia="Book Antiqua" w:hAnsi="Book Antiqua" w:cs="Book Antiqua"/>
          <w:color w:val="000000"/>
          <w:vertAlign w:val="superscript"/>
        </w:rPr>
        <w:t>-</w:t>
      </w:r>
      <w:r>
        <w:rPr>
          <w:rFonts w:ascii="Book Antiqua" w:eastAsia="Book Antiqua" w:hAnsi="Book Antiqua" w:cs="Book Antiqua"/>
          <w:color w:val="000000"/>
        </w:rPr>
        <w:t>CD19</w:t>
      </w:r>
      <w:r>
        <w:rPr>
          <w:rFonts w:ascii="Book Antiqua" w:eastAsia="Book Antiqua" w:hAnsi="Book Antiqua" w:cs="Book Antiqua"/>
          <w:color w:val="000000"/>
          <w:vertAlign w:val="superscript"/>
        </w:rPr>
        <w:t>+</w:t>
      </w:r>
      <w:r>
        <w:rPr>
          <w:rFonts w:ascii="Book Antiqua" w:eastAsia="Book Antiqua" w:hAnsi="Book Antiqua" w:cs="Book Antiqua"/>
          <w:color w:val="000000"/>
        </w:rPr>
        <w:t>) 102/</w:t>
      </w:r>
      <w:proofErr w:type="spellStart"/>
      <w:r>
        <w:rPr>
          <w:rFonts w:ascii="Book Antiqua" w:hAnsi="Book Antiqua" w:cs="Arial"/>
          <w:color w:val="333333"/>
          <w:shd w:val="clear" w:color="auto" w:fill="FFFFFF"/>
        </w:rPr>
        <w:t>μL</w:t>
      </w:r>
      <w:proofErr w:type="spellEnd"/>
      <w:r>
        <w:rPr>
          <w:rFonts w:ascii="Book Antiqua" w:eastAsia="Book Antiqua" w:hAnsi="Book Antiqua" w:cs="Book Antiqua"/>
          <w:color w:val="000000"/>
        </w:rPr>
        <w:t>, CD4 875/</w:t>
      </w:r>
      <w:proofErr w:type="spellStart"/>
      <w:r>
        <w:rPr>
          <w:rFonts w:ascii="Book Antiqua" w:hAnsi="Book Antiqua" w:cs="Arial"/>
          <w:color w:val="333333"/>
          <w:shd w:val="clear" w:color="auto" w:fill="FFFFFF"/>
        </w:rPr>
        <w:t>μL</w:t>
      </w:r>
      <w:proofErr w:type="spellEnd"/>
      <w:r>
        <w:rPr>
          <w:rFonts w:ascii="Book Antiqua" w:eastAsia="Book Antiqua" w:hAnsi="Book Antiqua" w:cs="Book Antiqua"/>
          <w:color w:val="000000"/>
        </w:rPr>
        <w:t>, CD8 1300/</w:t>
      </w:r>
      <w:proofErr w:type="spellStart"/>
      <w:r>
        <w:rPr>
          <w:rFonts w:ascii="Book Antiqua" w:hAnsi="Book Antiqua" w:cs="Arial"/>
          <w:color w:val="333333"/>
          <w:shd w:val="clear" w:color="auto" w:fill="FFFFFF"/>
        </w:rPr>
        <w:t>μL</w:t>
      </w:r>
      <w:proofErr w:type="spellEnd"/>
      <w:r>
        <w:rPr>
          <w:rFonts w:ascii="Book Antiqua" w:eastAsia="Book Antiqua" w:hAnsi="Book Antiqua" w:cs="Book Antiqua"/>
          <w:color w:val="000000"/>
        </w:rPr>
        <w:t>, and CD4/CD8 0.67. In addition, the patient exhibited C-ANCA positivity, PR3-ANCA 94.86 nmol/L (&lt;</w:t>
      </w:r>
      <w:r>
        <w:rPr>
          <w:rFonts w:ascii="Book Antiqua" w:hAnsi="Book Antiqua" w:cs="Book Antiqua"/>
          <w:color w:val="000000"/>
          <w:lang w:eastAsia="zh-CN"/>
        </w:rPr>
        <w:t xml:space="preserve"> </w:t>
      </w:r>
      <w:r>
        <w:rPr>
          <w:rFonts w:ascii="Book Antiqua" w:eastAsia="Book Antiqua" w:hAnsi="Book Antiqua" w:cs="Book Antiqua"/>
          <w:color w:val="000000"/>
        </w:rPr>
        <w:t>20 nmol/L), ESR 55 mm/</w:t>
      </w:r>
      <w:r>
        <w:rPr>
          <w:rFonts w:ascii="Book Antiqua" w:hAnsi="Book Antiqua" w:cs="Book Antiqua"/>
          <w:color w:val="000000"/>
          <w:lang w:eastAsia="zh-CN"/>
        </w:rPr>
        <w:t>h</w:t>
      </w:r>
      <w:r>
        <w:rPr>
          <w:rFonts w:ascii="Book Antiqua" w:eastAsia="Book Antiqua" w:hAnsi="Book Antiqua" w:cs="Book Antiqua"/>
          <w:color w:val="000000"/>
        </w:rPr>
        <w:t xml:space="preserve"> (normal, &lt;</w:t>
      </w:r>
      <w:r>
        <w:rPr>
          <w:rFonts w:ascii="Book Antiqua" w:hAnsi="Book Antiqua" w:cs="Book Antiqua"/>
          <w:color w:val="000000"/>
          <w:lang w:eastAsia="zh-CN"/>
        </w:rPr>
        <w:t xml:space="preserve"> </w:t>
      </w:r>
      <w:r>
        <w:rPr>
          <w:rFonts w:ascii="Book Antiqua" w:eastAsia="Book Antiqua" w:hAnsi="Book Antiqua" w:cs="Book Antiqua"/>
          <w:color w:val="000000"/>
        </w:rPr>
        <w:t>15</w:t>
      </w:r>
      <w:r>
        <w:rPr>
          <w:rFonts w:ascii="Book Antiqua" w:hAnsi="Book Antiqua" w:cs="Book Antiqua"/>
          <w:color w:val="000000"/>
          <w:lang w:eastAsia="zh-CN"/>
        </w:rPr>
        <w:t>.0</w:t>
      </w:r>
      <w:r>
        <w:rPr>
          <w:rFonts w:ascii="Book Antiqua" w:eastAsia="Book Antiqua" w:hAnsi="Book Antiqua" w:cs="Book Antiqua"/>
          <w:color w:val="000000"/>
        </w:rPr>
        <w:t>), CRP 14.1 mg/L (normal,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0.5), interleukin-6 (IL-6) 17.11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(normal, &lt;</w:t>
      </w:r>
      <w:r>
        <w:rPr>
          <w:rFonts w:ascii="Book Antiqua" w:hAnsi="Book Antiqua" w:cs="Book Antiqua"/>
          <w:color w:val="000000"/>
          <w:lang w:eastAsia="zh-CN"/>
        </w:rPr>
        <w:t xml:space="preserve"> </w:t>
      </w:r>
      <w:r>
        <w:rPr>
          <w:rFonts w:ascii="Book Antiqua" w:eastAsia="Book Antiqua" w:hAnsi="Book Antiqua" w:cs="Book Antiqua"/>
          <w:color w:val="000000"/>
        </w:rPr>
        <w:t>7</w:t>
      </w:r>
      <w:r>
        <w:rPr>
          <w:rFonts w:ascii="Book Antiqua" w:hAnsi="Book Antiqua" w:cs="Book Antiqua"/>
          <w:color w:val="000000"/>
          <w:lang w:eastAsia="zh-CN"/>
        </w:rPr>
        <w:t>.0</w:t>
      </w:r>
      <w:r>
        <w:rPr>
          <w:rFonts w:ascii="Book Antiqua" w:eastAsia="Book Antiqua" w:hAnsi="Book Antiqua" w:cs="Book Antiqua"/>
          <w:color w:val="000000"/>
        </w:rPr>
        <w:t>), and normal procalcitonin (PCT). Negative results were obtained for the sputum culture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serum G ((1-3)-β-d-glucan), galactomannan (GM), </w:t>
      </w:r>
      <w:r>
        <w:rPr>
          <w:rFonts w:ascii="Book Antiqua" w:eastAsia="宋体" w:hAnsi="Book Antiqua" w:cs="Book Antiqua" w:hint="eastAsia"/>
          <w:color w:val="000000"/>
          <w:lang w:eastAsia="zh-CN"/>
        </w:rPr>
        <w:t>c</w:t>
      </w:r>
      <w:r>
        <w:rPr>
          <w:rFonts w:ascii="Book Antiqua" w:eastAsia="Book Antiqua" w:hAnsi="Book Antiqua" w:cs="Book Antiqua"/>
          <w:color w:val="000000"/>
        </w:rPr>
        <w:t>ytomegalovirus</w:t>
      </w:r>
      <w:r>
        <w:rPr>
          <w:rFonts w:ascii="Book Antiqua" w:hAnsi="Book Antiqua" w:cs="Book Antiqua"/>
          <w:color w:val="000000"/>
          <w:lang w:eastAsia="zh-CN"/>
        </w:rPr>
        <w:t>,</w:t>
      </w:r>
      <w:r>
        <w:rPr>
          <w:rFonts w:ascii="Book Antiqua" w:eastAsia="Book Antiqua" w:hAnsi="Book Antiqua" w:cs="Book Antiqua"/>
          <w:color w:val="000000"/>
        </w:rPr>
        <w:t xml:space="preserve"> Epstein-Barr virus </w:t>
      </w:r>
      <w:r>
        <w:rPr>
          <w:rFonts w:ascii="Book Antiqua" w:hAnsi="Book Antiqua" w:cs="Book Antiqua"/>
          <w:color w:val="000000"/>
          <w:lang w:eastAsia="zh-CN"/>
        </w:rPr>
        <w:t>(</w:t>
      </w:r>
      <w:r>
        <w:rPr>
          <w:rFonts w:ascii="Book Antiqua" w:eastAsia="Book Antiqua" w:hAnsi="Book Antiqua" w:cs="Book Antiqua"/>
          <w:color w:val="000000"/>
        </w:rPr>
        <w:t>EBV</w:t>
      </w:r>
      <w:r>
        <w:rPr>
          <w:rFonts w:ascii="Book Antiqua" w:hAnsi="Book Antiqua" w:cs="Book Antiqua"/>
          <w:color w:val="000000"/>
          <w:lang w:eastAsia="zh-CN"/>
        </w:rPr>
        <w:t>)</w:t>
      </w:r>
      <w:r>
        <w:rPr>
          <w:rFonts w:ascii="Book Antiqua" w:eastAsia="Book Antiqua" w:hAnsi="Book Antiqua" w:cs="Book Antiqua"/>
          <w:color w:val="000000"/>
        </w:rPr>
        <w:t xml:space="preserve"> virus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T-spot tests. Nine respiratory pathogen antibody IgM tests, namely, tests for </w:t>
      </w:r>
      <w:r>
        <w:rPr>
          <w:rFonts w:ascii="Book Antiqua" w:eastAsia="Book Antiqua" w:hAnsi="Book Antiqua" w:cs="Book Antiqua"/>
          <w:i/>
          <w:iCs/>
          <w:color w:val="000000"/>
        </w:rPr>
        <w:t>Legionella pneumophila</w:t>
      </w:r>
      <w:r>
        <w:rPr>
          <w:rFonts w:ascii="Book Antiqua" w:eastAsia="Book Antiqua" w:hAnsi="Book Antiqua" w:cs="Book Antiqua"/>
          <w:color w:val="000000"/>
        </w:rPr>
        <w:t xml:space="preserve">, </w:t>
      </w:r>
      <w:r>
        <w:rPr>
          <w:rFonts w:ascii="Book Antiqua" w:eastAsia="Book Antiqua" w:hAnsi="Book Antiqua" w:cs="Book Antiqua"/>
          <w:i/>
          <w:iCs/>
          <w:color w:val="000000"/>
        </w:rPr>
        <w:t>Mycoplasma pneumoniae</w:t>
      </w:r>
      <w:r>
        <w:rPr>
          <w:rFonts w:ascii="Book Antiqua" w:eastAsia="Book Antiqua" w:hAnsi="Book Antiqua" w:cs="Book Antiqua"/>
          <w:color w:val="000000"/>
        </w:rPr>
        <w:t xml:space="preserve">, </w:t>
      </w:r>
      <w:r>
        <w:rPr>
          <w:rFonts w:ascii="Book Antiqua" w:eastAsia="Book Antiqua" w:hAnsi="Book Antiqua" w:cs="Book Antiqua"/>
          <w:i/>
          <w:iCs/>
          <w:color w:val="000000"/>
        </w:rPr>
        <w:t>Chlamydia pneumoniae</w:t>
      </w:r>
      <w:r>
        <w:rPr>
          <w:rFonts w:ascii="Book Antiqua" w:eastAsia="Book Antiqua" w:hAnsi="Book Antiqua" w:cs="Book Antiqua"/>
          <w:color w:val="000000"/>
        </w:rPr>
        <w:t xml:space="preserve">, </w:t>
      </w:r>
      <w:r>
        <w:rPr>
          <w:rFonts w:ascii="Book Antiqua" w:eastAsia="Book Antiqua" w:hAnsi="Book Antiqua" w:cs="Book Antiqua"/>
          <w:i/>
          <w:iCs/>
          <w:color w:val="000000"/>
        </w:rPr>
        <w:t>Rickettsia</w:t>
      </w:r>
      <w:r>
        <w:rPr>
          <w:rFonts w:ascii="Book Antiqua" w:eastAsia="Book Antiqua" w:hAnsi="Book Antiqua" w:cs="Book Antiqua"/>
          <w:color w:val="000000"/>
        </w:rPr>
        <w:t xml:space="preserve"> Q fever, influenza A and B viruses, parainfluenza virus, respiratory syncytial virus, and adenovirus, were normal. On pulmonary CT, multiple patchy shadows, nodular higher-density shadows, multiple cavities, heterogeneous wall thickness,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air crescent signs and flat lipids in some lesions were observed (Figure 1A). After Respiratory Department consultation, the possibility of lung infection (bacteria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fungi) was considered. </w:t>
      </w:r>
      <w:r>
        <w:rPr>
          <w:rFonts w:ascii="Book Antiqua" w:eastAsia="Book Antiqua" w:hAnsi="Book Antiqua" w:cs="Book Antiqua"/>
          <w:i/>
          <w:iCs/>
          <w:color w:val="000000"/>
        </w:rPr>
        <w:t>Pneumocystis</w:t>
      </w:r>
      <w:r>
        <w:rPr>
          <w:rFonts w:ascii="Book Antiqua" w:eastAsia="Book Antiqua" w:hAnsi="Book Antiqua" w:cs="Book Antiqua"/>
          <w:color w:val="000000"/>
        </w:rPr>
        <w:t xml:space="preserve"> infection could not be ruled out. </w:t>
      </w:r>
      <w:r>
        <w:rPr>
          <w:rFonts w:ascii="Book Antiqua" w:hAnsi="Book Antiqua" w:cs="Book Antiqua"/>
          <w:color w:val="000000"/>
          <w:lang w:eastAsia="zh-CN"/>
        </w:rPr>
        <w:t>CTX</w:t>
      </w:r>
      <w:r>
        <w:rPr>
          <w:rFonts w:ascii="Book Antiqua" w:eastAsia="Book Antiqua" w:hAnsi="Book Antiqua" w:cs="Book Antiqua"/>
          <w:color w:val="000000"/>
        </w:rPr>
        <w:t xml:space="preserve"> was discontinued, and the glucocorticoid doses were reduced. In addition, moxifloxacin </w:t>
      </w:r>
      <w:r>
        <w:rPr>
          <w:rFonts w:ascii="Book Antiqua" w:eastAsia="宋体" w:hAnsi="Book Antiqua" w:cs="Book Antiqua" w:hint="eastAsia"/>
          <w:color w:val="000000"/>
          <w:lang w:eastAsia="zh-CN"/>
        </w:rPr>
        <w:t>(</w:t>
      </w:r>
      <w:r>
        <w:rPr>
          <w:rFonts w:ascii="Book Antiqua" w:eastAsia="Book Antiqua" w:hAnsi="Book Antiqua" w:cs="Book Antiqua"/>
          <w:color w:val="000000"/>
        </w:rPr>
        <w:t>antibacterial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voriconazole </w:t>
      </w:r>
      <w:r>
        <w:rPr>
          <w:rFonts w:ascii="Book Antiqua" w:eastAsia="宋体" w:hAnsi="Book Antiqua" w:cs="Book Antiqua" w:hint="eastAsia"/>
          <w:color w:val="000000"/>
          <w:lang w:eastAsia="zh-CN"/>
        </w:rPr>
        <w:t>(</w:t>
      </w:r>
      <w:r>
        <w:rPr>
          <w:rFonts w:ascii="Book Antiqua" w:eastAsia="Book Antiqua" w:hAnsi="Book Antiqua" w:cs="Book Antiqua"/>
          <w:color w:val="000000"/>
        </w:rPr>
        <w:t>antifungal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prophylactic anti-</w:t>
      </w:r>
      <w:r>
        <w:rPr>
          <w:rFonts w:ascii="Book Antiqua" w:eastAsia="Book Antiqua" w:hAnsi="Book Antiqua" w:cs="Book Antiqua"/>
          <w:i/>
          <w:iCs/>
          <w:color w:val="000000"/>
        </w:rPr>
        <w:t xml:space="preserve">Pneumocystis </w:t>
      </w:r>
      <w:proofErr w:type="spellStart"/>
      <w:r>
        <w:rPr>
          <w:rFonts w:ascii="Book Antiqua" w:eastAsia="Book Antiqua" w:hAnsi="Book Antiqua" w:cs="Book Antiqua"/>
          <w:i/>
          <w:iCs/>
          <w:color w:val="000000"/>
        </w:rPr>
        <w:t>jiroveci</w:t>
      </w:r>
      <w:proofErr w:type="spellEnd"/>
      <w:r>
        <w:rPr>
          <w:rFonts w:ascii="Book Antiqua" w:eastAsia="Book Antiqua" w:hAnsi="Book Antiqua" w:cs="Book Antiqua"/>
          <w:color w:val="000000"/>
        </w:rPr>
        <w:t xml:space="preserve"> treatments were administered for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improved symptoms and decreased inflammatory levels. After discharge, </w:t>
      </w:r>
      <w:r>
        <w:rPr>
          <w:rFonts w:ascii="Book Antiqua" w:hAnsi="Book Antiqua" w:cs="Book Antiqua"/>
          <w:color w:val="000000"/>
          <w:lang w:eastAsia="zh-CN"/>
        </w:rPr>
        <w:t>CTX</w:t>
      </w:r>
      <w:r>
        <w:rPr>
          <w:rFonts w:ascii="Book Antiqua" w:eastAsia="Book Antiqua" w:hAnsi="Book Antiqua" w:cs="Book Antiqua"/>
          <w:color w:val="000000"/>
        </w:rPr>
        <w:t xml:space="preserve"> 100 mg was administered on alternate days, with a cumulative dose of 28 g. During the outpatient follow-up, the inflammatory marker levels were within the normal range, and the pulmonary lesions increasingly disappeared. However, the G test was positive twice, while the GM was negative. The vasculitis </w:t>
      </w:r>
      <w:proofErr w:type="gramStart"/>
      <w:r>
        <w:rPr>
          <w:rFonts w:ascii="Book Antiqua" w:eastAsia="Book Antiqua" w:hAnsi="Book Antiqua" w:cs="Book Antiqua"/>
          <w:color w:val="000000"/>
        </w:rPr>
        <w:t>was considered to be</w:t>
      </w:r>
      <w:proofErr w:type="gramEnd"/>
      <w:r>
        <w:rPr>
          <w:rFonts w:ascii="Book Antiqua" w:eastAsia="Book Antiqua" w:hAnsi="Book Antiqua" w:cs="Book Antiqua"/>
          <w:color w:val="000000"/>
        </w:rPr>
        <w:t xml:space="preserve"> controlled, but the pulmonary fungal infection persisted. Dose reduction was obtained, and methylprednisolone 6 mg/d was administered. </w:t>
      </w:r>
      <w:r>
        <w:rPr>
          <w:rFonts w:ascii="Book Antiqua" w:hAnsi="Book Antiqua" w:cs="Book Antiqua"/>
          <w:color w:val="000000"/>
          <w:lang w:eastAsia="zh-CN"/>
        </w:rPr>
        <w:t>CTX</w:t>
      </w:r>
      <w:r>
        <w:rPr>
          <w:rFonts w:ascii="Book Antiqua" w:eastAsia="Book Antiqua" w:hAnsi="Book Antiqua" w:cs="Book Antiqua"/>
          <w:color w:val="000000"/>
        </w:rPr>
        <w:t xml:space="preserve"> was replaced with </w:t>
      </w:r>
      <w:r>
        <w:rPr>
          <w:rFonts w:ascii="Book Antiqua" w:eastAsia="Book Antiqua" w:hAnsi="Book Antiqua" w:cs="Book Antiqua"/>
          <w:color w:val="000000"/>
        </w:rPr>
        <w:lastRenderedPageBreak/>
        <w:t xml:space="preserve">Tripterygium </w:t>
      </w:r>
      <w:proofErr w:type="spellStart"/>
      <w:r>
        <w:rPr>
          <w:rFonts w:ascii="Book Antiqua" w:eastAsia="Book Antiqua" w:hAnsi="Book Antiqua" w:cs="Book Antiqua"/>
          <w:color w:val="000000"/>
        </w:rPr>
        <w:t>wilfordii</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(TW) for immunosuppression. Oral antifungal agents were concurrently administered and discontinued within one year.</w:t>
      </w:r>
    </w:p>
    <w:p w14:paraId="28EE2376" w14:textId="22DF35B1"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On March 19, 2019, September 5, 2019, November 23, 2019, and June 12, 2020, the patient visited the Rheumatology Department of our hospital for fever, fatigue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systemic muscle soreness. Laboratory examination revealed increased CRP and ESR levels, IL-6 33.43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normal PCT. EBV DNA was 5.09E</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w:t>
      </w:r>
      <w:r>
        <w:rPr>
          <w:rFonts w:ascii="Book Antiqua" w:hAnsi="Book Antiqua" w:cs="Book Antiqua"/>
          <w:color w:val="000000"/>
          <w:lang w:eastAsia="zh-CN"/>
        </w:rPr>
        <w:t xml:space="preserve"> </w:t>
      </w:r>
      <w:r>
        <w:rPr>
          <w:rFonts w:ascii="Book Antiqua" w:eastAsia="Book Antiqua" w:hAnsi="Book Antiqua" w:cs="Book Antiqua"/>
          <w:color w:val="000000"/>
        </w:rPr>
        <w:t>copies/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Negative results were obtained for the pathological examination of tracheal lavage fluid, and TORCH test analysis of lymphocyte subsets revealed B lymphocytes (CD3</w:t>
      </w:r>
      <w:r>
        <w:rPr>
          <w:rFonts w:ascii="Book Antiqua" w:eastAsia="Book Antiqua" w:hAnsi="Book Antiqua" w:cs="Book Antiqua"/>
          <w:color w:val="000000"/>
          <w:vertAlign w:val="superscript"/>
        </w:rPr>
        <w:t>-</w:t>
      </w:r>
      <w:r>
        <w:rPr>
          <w:rFonts w:ascii="Book Antiqua" w:eastAsia="Book Antiqua" w:hAnsi="Book Antiqua" w:cs="Book Antiqua"/>
          <w:color w:val="000000"/>
        </w:rPr>
        <w:t>CD19</w:t>
      </w:r>
      <w:r>
        <w:rPr>
          <w:rFonts w:ascii="Book Antiqua" w:eastAsia="Book Antiqua" w:hAnsi="Book Antiqua" w:cs="Book Antiqua"/>
          <w:color w:val="000000"/>
          <w:vertAlign w:val="superscript"/>
        </w:rPr>
        <w:t>+</w:t>
      </w:r>
      <w:r>
        <w:rPr>
          <w:rFonts w:ascii="Book Antiqua" w:eastAsia="Book Antiqua" w:hAnsi="Book Antiqua" w:cs="Book Antiqua"/>
          <w:color w:val="000000"/>
        </w:rPr>
        <w:t>) 62/µ</w:t>
      </w:r>
      <w:r>
        <w:rPr>
          <w:rFonts w:ascii="Book Antiqua" w:hAnsi="Book Antiqua" w:cs="Book Antiqua"/>
          <w:color w:val="000000"/>
          <w:lang w:eastAsia="zh-CN"/>
        </w:rPr>
        <w:t>L</w:t>
      </w:r>
      <w:r>
        <w:rPr>
          <w:rFonts w:ascii="Book Antiqua" w:eastAsia="Book Antiqua" w:hAnsi="Book Antiqua" w:cs="Book Antiqua"/>
          <w:color w:val="000000"/>
        </w:rPr>
        <w:t xml:space="preserve"> and CD4/CD8 0.6. On pulmonary CT, there were new and larger bilateral pulmonary nodules (Figure 1B). Anti-infectious moxifloxacin and antiviral peramivir were successively applied. The body temperature was normal, while the sensation of fatigue was retained. Elevation of the PR3-ANCA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was examined, </w:t>
      </w:r>
      <w:r>
        <w:rPr>
          <w:rFonts w:ascii="Book Antiqua" w:eastAsia="宋体" w:hAnsi="Book Antiqua" w:cs="Book Antiqua" w:hint="eastAsia"/>
          <w:color w:val="000000"/>
          <w:lang w:eastAsia="zh-CN"/>
        </w:rPr>
        <w:t>suggesting</w:t>
      </w:r>
      <w:r>
        <w:rPr>
          <w:rFonts w:ascii="Book Antiqua" w:eastAsia="Book Antiqua" w:hAnsi="Book Antiqua" w:cs="Book Antiqua"/>
          <w:color w:val="000000"/>
        </w:rPr>
        <w:t xml:space="preserve"> vasculitis activity. Since the patient had a low level of B lymphocytes and a history of deep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infection, rituximab was not recommended. Therefore, the treatment plan was changed to a glucocorticoid dose increase combined with mycophenolate mofetil </w:t>
      </w:r>
      <w:r>
        <w:rPr>
          <w:rFonts w:ascii="Book Antiqua" w:hAnsi="Book Antiqua" w:cs="Book Antiqua"/>
          <w:color w:val="000000"/>
          <w:lang w:eastAsia="zh-CN"/>
        </w:rPr>
        <w:t>(</w:t>
      </w:r>
      <w:r>
        <w:rPr>
          <w:rFonts w:ascii="Book Antiqua" w:eastAsia="Book Antiqua" w:hAnsi="Book Antiqua" w:cs="Book Antiqua"/>
          <w:color w:val="000000"/>
        </w:rPr>
        <w:t>MMF</w:t>
      </w:r>
      <w:r>
        <w:rPr>
          <w:rFonts w:ascii="Book Antiqua" w:hAnsi="Book Antiqua" w:cs="Book Antiqua"/>
          <w:color w:val="000000"/>
          <w:lang w:eastAsia="zh-CN"/>
        </w:rPr>
        <w:t>)</w:t>
      </w:r>
      <w:r>
        <w:rPr>
          <w:rFonts w:ascii="Book Antiqua" w:eastAsia="Book Antiqua" w:hAnsi="Book Antiqua" w:cs="Book Antiqua"/>
          <w:color w:val="000000"/>
        </w:rPr>
        <w:t>. The patient's fatigue symptoms improved. PR3-ANCA and inflammatory marker levels decreased.</w:t>
      </w:r>
    </w:p>
    <w:p w14:paraId="52D3325E" w14:textId="0480B098"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On September 15, 2020, the patient was treated at the Rheumatology Department of our hospital again for fatigue, muscle soreness at the extremities and joints, cough with yellow sputum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shortness of breath. He exhibited CRP 51.09 mg/L, ESR 84 mm/</w:t>
      </w:r>
      <w:r>
        <w:rPr>
          <w:rFonts w:ascii="Book Antiqua" w:hAnsi="Book Antiqua" w:cs="Book Antiqua"/>
          <w:color w:val="000000"/>
          <w:lang w:eastAsia="zh-CN"/>
        </w:rPr>
        <w:t>h</w:t>
      </w:r>
      <w:r>
        <w:rPr>
          <w:rFonts w:ascii="Book Antiqua" w:eastAsia="Book Antiqua" w:hAnsi="Book Antiqua" w:cs="Book Antiqua"/>
          <w:color w:val="000000"/>
        </w:rPr>
        <w:t>, C-ANCA positivity, PR3-ANCA (++), and G-test, GM-test, cryptococcal antigen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TORCH test negativity. Pulmonary CT demonstrated more bilateral pulmonary nodules and cavities and some larger nodular lesions. Renal CT showed a space-occupying lesion in the right middle kidney. Puncture pathology of the space-occupying lesion revealed fibrous tissue proliferation with infiltration of tissue cells, plasma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lymphocytes, focal necrosis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no IGG4-positive plasma cell infiltration</w:t>
      </w:r>
      <w:r>
        <w:rPr>
          <w:rFonts w:ascii="Book Antiqua" w:hAnsi="Book Antiqua" w:cs="Book Antiqua"/>
          <w:color w:val="000000"/>
          <w:lang w:eastAsia="zh-CN"/>
        </w:rPr>
        <w:t xml:space="preserve"> (</w:t>
      </w:r>
      <w:r>
        <w:rPr>
          <w:rFonts w:ascii="Book Antiqua" w:eastAsia="Book Antiqua" w:hAnsi="Book Antiqua" w:cs="Book Antiqua"/>
          <w:color w:val="000000"/>
        </w:rPr>
        <w:t>Figure 2A</w:t>
      </w:r>
      <w:r>
        <w:rPr>
          <w:rFonts w:ascii="Book Antiqua" w:hAnsi="Book Antiqua" w:cs="Book Antiqua"/>
          <w:color w:val="000000"/>
          <w:lang w:eastAsia="zh-CN"/>
        </w:rPr>
        <w:t xml:space="preserve"> and </w:t>
      </w:r>
      <w:r>
        <w:rPr>
          <w:rFonts w:ascii="Book Antiqua" w:eastAsia="Book Antiqua" w:hAnsi="Book Antiqua" w:cs="Book Antiqua"/>
          <w:color w:val="000000"/>
        </w:rPr>
        <w:t>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Vasculitis activity with the involvement of the kidney was considered. Referring to the literature, we noted that the level of circulating B lymphocyte factor increases in patients with AAV. Given the role of the B lymphocyte factor in the onset of AAV, the patient was treated </w:t>
      </w:r>
      <w:r>
        <w:rPr>
          <w:rFonts w:ascii="Book Antiqua" w:eastAsia="Book Antiqua" w:hAnsi="Book Antiqua" w:cs="Book Antiqua"/>
          <w:color w:val="000000"/>
        </w:rPr>
        <w:lastRenderedPageBreak/>
        <w:t>with methylprednisolone 40 mg/d combined with MMF 500 mg bid and belimumab 840 mg (I.V.). The symptoms improved, but the fatigue and soreness at the extremities relapsed due to the dose reduction of glucocorticoids.</w:t>
      </w:r>
    </w:p>
    <w:p w14:paraId="0B402B73" w14:textId="58036885"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On March 21, 2021, the patient was admitted to our hospital for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xml:space="preserve">. Pulmonary CTA manifestations were normal, while the air crescent sign was observed on CT. The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xml:space="preserve"> was then considered a result of pulmonary infection. MMF and belimumab were discontinued. Anti-infectious moxifloxacin was administered. There was no evidence of recurrence while reducing the use of glucocorticoids, and more pulmonary lesions disappeared. After discharge, the patient was treated with belimumab 840 mg (I.V.) once every month for a total of 8 times. Then, renal CT was performed and revealed a space-occupying lesion in the right middle kidney, which was larger than before (Figure 1C). In the meantime, the pulmonary nodules and cavities were similar. The patient experienced repeated elevation of inflammatory indicators, with a poorly controlled disease. The IL-6 Level during the treatment was high, ranging between 32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49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Referring to the literature, tocilizumab 640 mg (I.V., once monthly) was administered. After dose reduction of the glucocorticoids, there was no evidence of recurrence of fatigue or muscle soreness at the extremities and joints. In addition, the right middle kidney-occupying lesion was smaller (Figure 1D), and the ESR recovered to normal (Figure 3</w:t>
      </w:r>
      <w:r>
        <w:rPr>
          <w:rFonts w:ascii="Book Antiqua" w:hAnsi="Book Antiqua" w:cs="Book Antiqua" w:hint="eastAsia"/>
          <w:color w:val="000000"/>
          <w:lang w:eastAsia="zh-CN"/>
        </w:rPr>
        <w:t>A</w:t>
      </w:r>
      <w:r>
        <w:rPr>
          <w:rFonts w:ascii="Book Antiqua" w:eastAsia="Book Antiqua" w:hAnsi="Book Antiqua" w:cs="Book Antiqua"/>
          <w:color w:val="000000"/>
        </w:rPr>
        <w:t>).</w:t>
      </w:r>
    </w:p>
    <w:p w14:paraId="37CF9273" w14:textId="77777777" w:rsidR="00CE0620" w:rsidRDefault="00CE0620" w:rsidP="00F575F8">
      <w:pPr>
        <w:spacing w:line="360" w:lineRule="auto"/>
        <w:jc w:val="both"/>
        <w:rPr>
          <w:rFonts w:ascii="Book Antiqua" w:hAnsi="Book Antiqua"/>
        </w:rPr>
      </w:pPr>
    </w:p>
    <w:p w14:paraId="31321E0B" w14:textId="77777777" w:rsidR="00CE0620" w:rsidRDefault="00000000" w:rsidP="00F575F8">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AB764C9"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The patient had no previous underlying diseases, such as hypertension, nor a bad habit of smoking. He denied any family history of rheumatic diseases.</w:t>
      </w:r>
    </w:p>
    <w:p w14:paraId="18A2563A" w14:textId="77777777" w:rsidR="00CE0620" w:rsidRDefault="00CE0620" w:rsidP="00F575F8">
      <w:pPr>
        <w:spacing w:line="360" w:lineRule="auto"/>
        <w:jc w:val="both"/>
        <w:rPr>
          <w:rFonts w:ascii="Book Antiqua" w:hAnsi="Book Antiqua"/>
        </w:rPr>
      </w:pPr>
    </w:p>
    <w:p w14:paraId="26D2B56E" w14:textId="77777777" w:rsidR="00CE0620" w:rsidRDefault="00000000" w:rsidP="00F575F8">
      <w:pPr>
        <w:spacing w:line="360" w:lineRule="auto"/>
        <w:jc w:val="both"/>
        <w:rPr>
          <w:rFonts w:ascii="Book Antiqua" w:hAnsi="Book Antiqua"/>
          <w:lang w:eastAsia="zh-CN"/>
        </w:rPr>
      </w:pPr>
      <w:r>
        <w:rPr>
          <w:rFonts w:ascii="Book Antiqua" w:eastAsia="Book Antiqua" w:hAnsi="Book Antiqua" w:cs="Book Antiqua"/>
          <w:b/>
          <w:i/>
          <w:color w:val="000000"/>
        </w:rPr>
        <w:t>Physical examination</w:t>
      </w:r>
    </w:p>
    <w:p w14:paraId="7C8705F0" w14:textId="22AA4B33" w:rsidR="00CE0620" w:rsidRDefault="00000000" w:rsidP="00F575F8">
      <w:pPr>
        <w:spacing w:line="360" w:lineRule="auto"/>
        <w:jc w:val="both"/>
        <w:rPr>
          <w:rFonts w:ascii="Book Antiqua" w:hAnsi="Book Antiqua"/>
        </w:rPr>
      </w:pPr>
      <w:r w:rsidRPr="00001C49">
        <w:rPr>
          <w:rFonts w:ascii="Book Antiqua" w:eastAsia="Book Antiqua" w:hAnsi="Book Antiqua" w:cs="Book Antiqua"/>
          <w:color w:val="000000"/>
        </w:rPr>
        <w:t>On physical examination, the vital signs were as follows: Body temperature,</w:t>
      </w:r>
      <w:r w:rsidRPr="00001C49">
        <w:rPr>
          <w:rFonts w:ascii="Book Antiqua" w:hAnsi="Book Antiqua" w:cs="Book Antiqua"/>
          <w:color w:val="000000"/>
          <w:lang w:eastAsia="zh-CN"/>
        </w:rPr>
        <w:t xml:space="preserve"> </w:t>
      </w:r>
      <w:r w:rsidRPr="00001C49">
        <w:rPr>
          <w:rFonts w:ascii="Book Antiqua" w:eastAsia="Book Antiqua" w:hAnsi="Book Antiqua" w:cs="Book Antiqua"/>
          <w:color w:val="000000"/>
        </w:rPr>
        <w:t>36.8</w:t>
      </w:r>
      <w:r w:rsidRPr="00001C49">
        <w:rPr>
          <w:rFonts w:ascii="Book Antiqua" w:hAnsi="Book Antiqua" w:cs="Book Antiqua"/>
          <w:color w:val="000000"/>
          <w:lang w:eastAsia="zh-CN"/>
        </w:rPr>
        <w:t xml:space="preserve"> </w:t>
      </w:r>
      <w:r w:rsidR="00001C49" w:rsidRPr="00001C49">
        <w:rPr>
          <w:rFonts w:ascii="Book Antiqua" w:eastAsia="宋体" w:hAnsi="Book Antiqua" w:cs="宋体"/>
          <w:color w:val="000000"/>
        </w:rPr>
        <w:t>°C</w:t>
      </w:r>
      <w:r w:rsidRPr="00001C49">
        <w:rPr>
          <w:rFonts w:ascii="Book Antiqua" w:eastAsia="Book Antiqua" w:hAnsi="Book Antiqua" w:cs="Book Antiqua"/>
          <w:color w:val="000000"/>
        </w:rPr>
        <w:t>;</w:t>
      </w:r>
      <w:r>
        <w:rPr>
          <w:rFonts w:ascii="Book Antiqua" w:eastAsia="Book Antiqua" w:hAnsi="Book Antiqua" w:cs="Book Antiqua"/>
          <w:color w:val="000000"/>
        </w:rPr>
        <w:t xml:space="preserve"> blood pressure, 130/70 mmHg; heart rate, 90 beats per min; respiratory rate, 20 breaths per min. In addition,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heart, lung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abdominal examination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showed</w:t>
      </w:r>
      <w:r>
        <w:rPr>
          <w:rFonts w:ascii="Book Antiqua" w:eastAsia="Book Antiqua" w:hAnsi="Book Antiqua" w:cs="Book Antiqua"/>
          <w:color w:val="000000"/>
        </w:rPr>
        <w:t xml:space="preserve"> no </w:t>
      </w:r>
      <w:r>
        <w:rPr>
          <w:rFonts w:ascii="Book Antiqua" w:eastAsia="宋体" w:hAnsi="Book Antiqua" w:cs="Book Antiqua" w:hint="eastAsia"/>
          <w:color w:val="000000"/>
          <w:lang w:eastAsia="zh-CN"/>
        </w:rPr>
        <w:t>remarkable changes</w:t>
      </w:r>
      <w:r>
        <w:rPr>
          <w:rFonts w:ascii="Book Antiqua" w:eastAsia="Book Antiqua" w:hAnsi="Book Antiqua" w:cs="Book Antiqua"/>
          <w:color w:val="000000"/>
        </w:rPr>
        <w:t>.</w:t>
      </w:r>
    </w:p>
    <w:p w14:paraId="62FBC53E" w14:textId="77777777" w:rsidR="00CE0620" w:rsidRDefault="00CE0620" w:rsidP="00F575F8">
      <w:pPr>
        <w:spacing w:line="360" w:lineRule="auto"/>
        <w:jc w:val="both"/>
        <w:rPr>
          <w:rFonts w:ascii="Book Antiqua" w:hAnsi="Book Antiqua"/>
        </w:rPr>
      </w:pPr>
    </w:p>
    <w:p w14:paraId="6FCABB81" w14:textId="77777777" w:rsidR="00CE0620" w:rsidRDefault="00000000" w:rsidP="00F575F8">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F8837DA"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 xml:space="preserve">Second-generation gene sequencing revealed growth of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in bronchoalveolar lavage fluid.</w:t>
      </w:r>
    </w:p>
    <w:p w14:paraId="37D386EE" w14:textId="77777777" w:rsidR="00CE0620" w:rsidRDefault="00CE0620" w:rsidP="00F575F8">
      <w:pPr>
        <w:spacing w:line="360" w:lineRule="auto"/>
        <w:jc w:val="both"/>
        <w:rPr>
          <w:rFonts w:ascii="Book Antiqua" w:hAnsi="Book Antiqua"/>
        </w:rPr>
      </w:pPr>
    </w:p>
    <w:p w14:paraId="48EC1F0B" w14:textId="77777777" w:rsidR="00CE0620" w:rsidRDefault="00000000" w:rsidP="00F575F8">
      <w:pPr>
        <w:spacing w:line="360" w:lineRule="auto"/>
        <w:jc w:val="both"/>
        <w:rPr>
          <w:rFonts w:ascii="Book Antiqua" w:hAnsi="Book Antiqua"/>
        </w:rPr>
      </w:pPr>
      <w:r>
        <w:rPr>
          <w:rFonts w:ascii="Book Antiqua" w:eastAsia="Book Antiqua" w:hAnsi="Book Antiqua" w:cs="Book Antiqua"/>
          <w:b/>
          <w:i/>
          <w:color w:val="000000"/>
        </w:rPr>
        <w:t>Imaging examinations</w:t>
      </w:r>
    </w:p>
    <w:p w14:paraId="256FC6E2" w14:textId="77777777" w:rsidR="00CE0620" w:rsidRDefault="00000000" w:rsidP="00F575F8">
      <w:pPr>
        <w:spacing w:line="360" w:lineRule="auto"/>
        <w:jc w:val="both"/>
        <w:rPr>
          <w:rFonts w:ascii="Book Antiqua" w:hAnsi="Book Antiqua"/>
          <w:lang w:eastAsia="zh-CN"/>
        </w:rPr>
      </w:pPr>
      <w:r>
        <w:rPr>
          <w:rFonts w:ascii="Book Antiqua" w:eastAsia="Book Antiqua" w:hAnsi="Book Antiqua" w:cs="Book Antiqua"/>
          <w:color w:val="000000"/>
        </w:rPr>
        <w:t>Arteriography demonstrated more and thickened bilateral bronchial arterial branches.</w:t>
      </w:r>
    </w:p>
    <w:p w14:paraId="4C2D966E" w14:textId="77777777" w:rsidR="00CE0620" w:rsidRDefault="00CE0620" w:rsidP="00F575F8">
      <w:pPr>
        <w:spacing w:line="360" w:lineRule="auto"/>
        <w:jc w:val="both"/>
        <w:rPr>
          <w:rFonts w:ascii="Book Antiqua" w:hAnsi="Book Antiqua"/>
        </w:rPr>
      </w:pPr>
    </w:p>
    <w:p w14:paraId="0BF0DAFF" w14:textId="77777777" w:rsidR="00CE0620" w:rsidRDefault="00000000" w:rsidP="00F575F8">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20E24BB" w14:textId="77777777" w:rsidR="00CE0620" w:rsidRDefault="00000000" w:rsidP="00F575F8">
      <w:pPr>
        <w:spacing w:line="360" w:lineRule="auto"/>
        <w:jc w:val="both"/>
        <w:rPr>
          <w:rFonts w:ascii="Book Antiqua" w:hAnsi="Book Antiqua"/>
          <w:lang w:eastAsia="zh-CN"/>
        </w:rPr>
      </w:pPr>
      <w:r>
        <w:rPr>
          <w:rFonts w:ascii="Book Antiqua" w:eastAsia="Book Antiqua" w:hAnsi="Book Antiqua" w:cs="Book Antiqua"/>
          <w:color w:val="000000"/>
        </w:rPr>
        <w:t>GPA with pulmonary mixed infection (bacteria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fungi) was considered.</w:t>
      </w:r>
    </w:p>
    <w:p w14:paraId="63A3E755" w14:textId="77777777" w:rsidR="00CE0620" w:rsidRDefault="00CE0620" w:rsidP="00F575F8">
      <w:pPr>
        <w:spacing w:line="360" w:lineRule="auto"/>
        <w:jc w:val="both"/>
        <w:rPr>
          <w:rFonts w:ascii="Book Antiqua" w:hAnsi="Book Antiqua"/>
        </w:rPr>
      </w:pPr>
    </w:p>
    <w:p w14:paraId="21EE9A12" w14:textId="77777777" w:rsidR="00CE0620" w:rsidRDefault="00000000" w:rsidP="00F575F8">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999777C" w14:textId="77777777" w:rsidR="00CE0620" w:rsidRDefault="00000000" w:rsidP="00F575F8">
      <w:pPr>
        <w:spacing w:line="360" w:lineRule="auto"/>
        <w:jc w:val="both"/>
        <w:rPr>
          <w:rFonts w:ascii="Book Antiqua" w:hAnsi="Book Antiqua"/>
          <w:lang w:eastAsia="zh-CN"/>
        </w:rPr>
      </w:pPr>
      <w:r>
        <w:rPr>
          <w:rFonts w:ascii="Book Antiqua" w:eastAsia="Book Antiqua" w:hAnsi="Book Antiqua" w:cs="Book Antiqua"/>
          <w:color w:val="000000"/>
        </w:rPr>
        <w:t xml:space="preserve">The bacteria were sensitive to piperacillin sodium and tazobactam sodium administered by injection. Tocilizumab was discontinued, and anti-infection therapy was administered due to drug susceptibility. There was no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and the infection was controlled. Tocilizumab was continued at 640 mg (I.V.) once every month, in combination with methylprednisolone 12 mg/d.</w:t>
      </w:r>
    </w:p>
    <w:p w14:paraId="6F89ACCE" w14:textId="77777777" w:rsidR="00CE0620" w:rsidRDefault="00CE0620" w:rsidP="00F575F8">
      <w:pPr>
        <w:spacing w:line="360" w:lineRule="auto"/>
        <w:jc w:val="both"/>
        <w:rPr>
          <w:rFonts w:ascii="Book Antiqua" w:hAnsi="Book Antiqua"/>
        </w:rPr>
      </w:pPr>
    </w:p>
    <w:p w14:paraId="0FB75619" w14:textId="77777777" w:rsidR="00CE0620" w:rsidRDefault="00000000" w:rsidP="00F575F8">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76EA8EB"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After treatment, there was no fatigue or muscle soreness, while there was occasional cough with yellow sputum. The patient was discharged after improvement on November 5, 2021. The ESR was normal (Figure 3</w:t>
      </w:r>
      <w:r>
        <w:rPr>
          <w:rFonts w:ascii="Book Antiqua" w:hAnsi="Book Antiqua" w:cs="Book Antiqua" w:hint="eastAsia"/>
          <w:color w:val="000000"/>
          <w:lang w:eastAsia="zh-CN"/>
        </w:rPr>
        <w:t>A</w:t>
      </w:r>
      <w:r>
        <w:rPr>
          <w:rFonts w:ascii="Book Antiqua" w:eastAsia="Book Antiqua" w:hAnsi="Book Antiqua" w:cs="Book Antiqua"/>
          <w:color w:val="000000"/>
        </w:rPr>
        <w:t xml:space="preserve">), and the levels of IL-6 (Figure </w:t>
      </w:r>
      <w:r>
        <w:rPr>
          <w:rFonts w:ascii="Book Antiqua" w:hAnsi="Book Antiqua" w:cs="Book Antiqua" w:hint="eastAsia"/>
          <w:color w:val="000000"/>
          <w:lang w:eastAsia="zh-CN"/>
        </w:rPr>
        <w:t>3B</w:t>
      </w:r>
      <w:r>
        <w:rPr>
          <w:rFonts w:ascii="Book Antiqua" w:eastAsia="Book Antiqua" w:hAnsi="Book Antiqua" w:cs="Book Antiqua"/>
          <w:color w:val="000000"/>
        </w:rPr>
        <w:t xml:space="preserve">) and PR3-ANCA (Figure </w:t>
      </w:r>
      <w:r>
        <w:rPr>
          <w:rFonts w:ascii="Book Antiqua" w:hAnsi="Book Antiqua" w:cs="Book Antiqua" w:hint="eastAsia"/>
          <w:color w:val="000000"/>
          <w:lang w:eastAsia="zh-CN"/>
        </w:rPr>
        <w:t>3C</w:t>
      </w:r>
      <w:r>
        <w:rPr>
          <w:rFonts w:ascii="Book Antiqua" w:eastAsia="Book Antiqua" w:hAnsi="Book Antiqua" w:cs="Book Antiqua"/>
          <w:color w:val="000000"/>
        </w:rPr>
        <w:t>) were decreased after the use of tocilizumab. The patient remains under outpatient follow-up. His general condition is normal, and his indicator levels are relatively stable.</w:t>
      </w:r>
    </w:p>
    <w:p w14:paraId="3B52FCD0" w14:textId="77777777" w:rsidR="00CE0620" w:rsidRDefault="00CE0620" w:rsidP="00F575F8">
      <w:pPr>
        <w:spacing w:line="360" w:lineRule="auto"/>
        <w:jc w:val="both"/>
        <w:rPr>
          <w:rFonts w:ascii="Book Antiqua" w:hAnsi="Book Antiqua"/>
        </w:rPr>
      </w:pPr>
    </w:p>
    <w:p w14:paraId="79B98F4D" w14:textId="77777777" w:rsidR="00CE0620" w:rsidRDefault="00000000" w:rsidP="00F575F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EBB71B6"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 xml:space="preserve">At present, there is no literature review of the underlying mechanisms by which IL-6 suppression is effective; notably, IL-6 acts on T cells, B cells, monocyte macrophages,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patient reported here mainly exhibited fever and pulmonary nodules/cavities. He had a significant increase in serum PR3-ANCA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during the disease active phase, and the serum IL-6 Level was increased as well. Serum IL-6 elevation in AAV patients has been reported in the literature. For instance, </w:t>
      </w:r>
      <w:proofErr w:type="spellStart"/>
      <w:r>
        <w:rPr>
          <w:rFonts w:ascii="Book Antiqua" w:eastAsia="Book Antiqua" w:hAnsi="Book Antiqua" w:cs="Book Antiqua"/>
          <w:color w:val="000000"/>
        </w:rPr>
        <w:t>Berti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reported abnormal IL-6 Levels in 81% of 78 patients with AAV and found associations with PR3-ANCA positivity, fever, pulmonary nodules/cavities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urine red cell count. Similarly, the main clinical manifestations of the patient here were pulmonary nodules/cavities and fever, accompanying elevation of serum IL-6 and PR3-ANCA </w:t>
      </w:r>
      <w:proofErr w:type="spellStart"/>
      <w:r>
        <w:rPr>
          <w:rFonts w:ascii="Book Antiqua" w:eastAsia="Book Antiqua" w:hAnsi="Book Antiqua" w:cs="Book Antiqua"/>
          <w:color w:val="000000"/>
        </w:rPr>
        <w:t>titres</w:t>
      </w:r>
      <w:proofErr w:type="spellEnd"/>
      <w:r>
        <w:rPr>
          <w:rFonts w:ascii="Book Antiqua" w:eastAsia="Book Antiqua" w:hAnsi="Book Antiqua" w:cs="Book Antiqua"/>
          <w:color w:val="000000"/>
        </w:rPr>
        <w:t xml:space="preserve">. IL-6 is one of the B-cell differentiation factors that can advance the </w:t>
      </w:r>
      <w:proofErr w:type="gramStart"/>
      <w:r>
        <w:rPr>
          <w:rFonts w:ascii="Book Antiqua" w:eastAsia="Book Antiqua" w:hAnsi="Book Antiqua" w:cs="Book Antiqua"/>
          <w:color w:val="000000"/>
        </w:rPr>
        <w:t>in situ</w:t>
      </w:r>
      <w:proofErr w:type="gramEnd"/>
      <w:r>
        <w:rPr>
          <w:rFonts w:ascii="Book Antiqua" w:eastAsia="Book Antiqua" w:hAnsi="Book Antiqua" w:cs="Book Antiqua"/>
          <w:color w:val="000000"/>
        </w:rPr>
        <w:t xml:space="preserve"> activation of macrophages, T lymphocyte differentiation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synthesis of other proinflammatory cytokines. Patients with MPA and GPA have been reported to have serum IL-6 elevation during the active phase, and IL-6 expression has been documented in renal biopsy tissue </w:t>
      </w:r>
      <w:proofErr w:type="gramStart"/>
      <w:r>
        <w:rPr>
          <w:rFonts w:ascii="Book Antiqua" w:eastAsia="Book Antiqua" w:hAnsi="Book Antiqua" w:cs="Book Antiqua"/>
          <w:color w:val="000000"/>
        </w:rPr>
        <w:t>samples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These findings suggest that IL-6 plays a core role during the pathogenesis of AAV, but the specific involved pathways need to be further identified in a larger cohort.</w:t>
      </w:r>
    </w:p>
    <w:p w14:paraId="58062CF4" w14:textId="7A13A250"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According to the Joint EULAR and European Renal Association-European Dialysis and Transplant Association (EULAR/ERA-EDTA) recommendations for the management of AAV (2016), a combination of glucocorticoids and </w:t>
      </w:r>
      <w:r>
        <w:rPr>
          <w:rFonts w:ascii="Book Antiqua" w:hAnsi="Book Antiqua" w:cs="Book Antiqua"/>
          <w:color w:val="000000"/>
          <w:lang w:eastAsia="zh-CN"/>
        </w:rPr>
        <w:t>CTX</w:t>
      </w:r>
      <w:r>
        <w:rPr>
          <w:rFonts w:ascii="Book Antiqua" w:eastAsia="Book Antiqua" w:hAnsi="Book Antiqua" w:cs="Book Antiqua"/>
          <w:color w:val="000000"/>
        </w:rPr>
        <w:t xml:space="preserve"> or rituximab is preferred for remission induction in cases with organ involvement or in critical medical conditions, followed by methotrexate, azathioprine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MMF applied for maintenance therapy; other drugs can be considered upon recurrence. In the present case, sufficient </w:t>
      </w:r>
      <w:r>
        <w:rPr>
          <w:rFonts w:ascii="Book Antiqua" w:hAnsi="Book Antiqua" w:cs="Book Antiqua"/>
          <w:color w:val="000000"/>
          <w:lang w:eastAsia="zh-CN"/>
        </w:rPr>
        <w:t>CTX</w:t>
      </w:r>
      <w:r>
        <w:rPr>
          <w:rFonts w:ascii="Book Antiqua" w:eastAsia="Book Antiqua" w:hAnsi="Book Antiqua" w:cs="Book Antiqua"/>
          <w:color w:val="000000"/>
        </w:rPr>
        <w:t xml:space="preserve"> was initially administered. The patient then developed pulmonary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infection, and </w:t>
      </w:r>
      <w:r>
        <w:rPr>
          <w:rFonts w:ascii="Book Antiqua" w:hAnsi="Book Antiqua" w:cs="Book Antiqua"/>
          <w:color w:val="000000"/>
          <w:lang w:eastAsia="zh-CN"/>
        </w:rPr>
        <w:t>CTX</w:t>
      </w:r>
      <w:r>
        <w:rPr>
          <w:rFonts w:ascii="Book Antiqua" w:eastAsia="Book Antiqua" w:hAnsi="Book Antiqua" w:cs="Book Antiqua"/>
          <w:color w:val="000000"/>
        </w:rPr>
        <w:t xml:space="preserve"> was replaced by Tripterygium glycosides with persistent disease activity. Referring to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where MMF was proven to be effective for the induction of remission in AAV, the patient was then treated with MMF, but the efficacy remained poor. In addition, given the low B-lymphocyte level and a history of deep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infection, rituximab was not considered. The literature has shown that IL-6 levels are increased in patients with AAV and are involved in the pathogenesis of this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patient was then treated with belimumab with recurrence of symptoms and repeated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xml:space="preserve"> during the disease course. Pulmonary embolism and bronchial vascular malformation were ruled out. </w:t>
      </w:r>
      <w:r>
        <w:rPr>
          <w:rFonts w:ascii="Book Antiqua" w:eastAsia="Book Antiqua" w:hAnsi="Book Antiqua" w:cs="Book Antiqua"/>
          <w:i/>
          <w:iCs/>
          <w:color w:val="000000"/>
        </w:rPr>
        <w:lastRenderedPageBreak/>
        <w:t>Pseudomonas aeruginosa</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grown in BALF. Immunosuppressive agents were discontinued, and anti-infection treatment was intensified. There was no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xml:space="preserve"> after the treatment. Combining the previous medical history, we considered that the repeated </w:t>
      </w:r>
      <w:proofErr w:type="spellStart"/>
      <w:r>
        <w:rPr>
          <w:rFonts w:ascii="Book Antiqua" w:eastAsia="Book Antiqua" w:hAnsi="Book Antiqua" w:cs="Book Antiqua"/>
          <w:color w:val="000000"/>
        </w:rPr>
        <w:t>haemoptysis</w:t>
      </w:r>
      <w:proofErr w:type="spellEnd"/>
      <w:r>
        <w:rPr>
          <w:rFonts w:ascii="Book Antiqua" w:eastAsia="Book Antiqua" w:hAnsi="Book Antiqua" w:cs="Book Antiqua"/>
          <w:color w:val="000000"/>
        </w:rPr>
        <w:t xml:space="preserve"> might be a result of AAV combined with infections. In addition, concurrent immunosuppression and infection could also be a major cause of multiple recurrences and poor therapeutic effects.</w:t>
      </w:r>
    </w:p>
    <w:p w14:paraId="7FF784AC" w14:textId="5E46DF81" w:rsidR="00CE0620" w:rsidRDefault="00000000" w:rsidP="00F575F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Tocilizumab is a humanized monoclonal antibody against the IL-6 receptor that has shown effectiveness in the treatment of large vessel vasculitis, including giant cell arteritis and Takayasu </w:t>
      </w:r>
      <w:proofErr w:type="gramStart"/>
      <w:r>
        <w:rPr>
          <w:rFonts w:ascii="Book Antiqua" w:eastAsia="Book Antiqua" w:hAnsi="Book Antiqua" w:cs="Book Antiqua"/>
          <w:color w:val="000000"/>
        </w:rPr>
        <w:t>arteritis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 foreign prospective, single-arm,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clinical trial reported the therapeutic effect of tocilizumab in MPA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Additionally, another literature review assessed the effectiveness and safety of tocilizumab in this population when combined with large-dose CS and reported its potential for treating primary and secondary </w:t>
      </w:r>
      <w:proofErr w:type="gramStart"/>
      <w:r>
        <w:rPr>
          <w:rFonts w:ascii="Book Antiqua" w:eastAsia="Book Antiqua" w:hAnsi="Book Antiqua" w:cs="Book Antiqua"/>
          <w:color w:val="000000"/>
        </w:rPr>
        <w:t>vasculitis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There was also a case of MPA that was successfully treated with tocilizumab </w:t>
      </w:r>
      <w:proofErr w:type="gramStart"/>
      <w:r>
        <w:rPr>
          <w:rFonts w:ascii="Book Antiqua" w:eastAsia="Book Antiqua" w:hAnsi="Book Antiqua" w:cs="Book Antiqua"/>
          <w:color w:val="000000"/>
        </w:rPr>
        <w:t>alone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Nevertheless, whether tocilizumab is still active in EGPA remains unclear. It has been established that EGPA tends to involve the respiratory tract (primarily the small- and medium-sized vessels) and is associated with asthma and eosinophilia. It was reported that the use of tocilizumab to treat rheumatoid arthritis could lead to the incidence of critical </w:t>
      </w:r>
      <w:proofErr w:type="gramStart"/>
      <w:r>
        <w:rPr>
          <w:rFonts w:ascii="Book Antiqua" w:eastAsia="Book Antiqua" w:hAnsi="Book Antiqua" w:cs="Book Antiqua"/>
          <w:color w:val="000000"/>
        </w:rPr>
        <w:t>eosinophilia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Thus, IL-6 inhibitors may not be a good option for treating EGPA. Sumida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reported good therapeutic outcomes in patients with MPO-ANCA-positive vasculitis and rheumatoid arthritis after receiving tocilizumab plus a rapid reduction in glucocorticoids. Tocilizumab as an induction therapy for </w:t>
      </w:r>
      <w:proofErr w:type="spellStart"/>
      <w:r>
        <w:rPr>
          <w:rFonts w:ascii="Book Antiqua" w:eastAsia="Book Antiqua" w:hAnsi="Book Antiqua" w:cs="Book Antiqua"/>
          <w:color w:val="000000"/>
        </w:rPr>
        <w:t>leukocytoclastic</w:t>
      </w:r>
      <w:proofErr w:type="spellEnd"/>
      <w:r>
        <w:rPr>
          <w:rFonts w:ascii="Book Antiqua" w:eastAsia="Book Antiqua" w:hAnsi="Book Antiqua" w:cs="Book Antiqua"/>
          <w:color w:val="000000"/>
        </w:rPr>
        <w:t xml:space="preserve"> vasculitis in rheumatoid arthritis has also been reported. The present </w:t>
      </w:r>
      <w:r>
        <w:rPr>
          <w:rFonts w:ascii="Book Antiqua" w:eastAsia="宋体" w:hAnsi="Book Antiqua" w:cs="Book Antiqua" w:hint="eastAsia"/>
          <w:color w:val="000000"/>
          <w:lang w:eastAsia="zh-CN"/>
        </w:rPr>
        <w:t>paper</w:t>
      </w:r>
      <w:r>
        <w:rPr>
          <w:rFonts w:ascii="Book Antiqua" w:eastAsia="Book Antiqua" w:hAnsi="Book Antiqua" w:cs="Book Antiqua"/>
          <w:color w:val="000000"/>
        </w:rPr>
        <w:t xml:space="preserve"> describe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patient with repeated symptoms after multiple rounds of treatment with immunosuppressive agents. After treatment with tocilizumab, the patient was stable, with normal inflammatory indicator levels, decreased IL-6 </w:t>
      </w:r>
      <w:r>
        <w:rPr>
          <w:rFonts w:ascii="Book Antiqua" w:hAnsi="Book Antiqua" w:cs="Book Antiqua"/>
          <w:color w:val="000000"/>
          <w:lang w:eastAsia="zh-CN"/>
        </w:rPr>
        <w:t>l</w:t>
      </w:r>
      <w:r>
        <w:rPr>
          <w:rFonts w:ascii="Book Antiqua" w:eastAsia="Book Antiqua" w:hAnsi="Book Antiqua" w:cs="Book Antiqua"/>
          <w:color w:val="000000"/>
        </w:rPr>
        <w:t>evels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smaller right kidney-occupying lesions.</w:t>
      </w:r>
    </w:p>
    <w:p w14:paraId="55A9BA3C" w14:textId="77777777" w:rsidR="00CE0620" w:rsidRDefault="00CE0620" w:rsidP="00F575F8">
      <w:pPr>
        <w:spacing w:line="360" w:lineRule="auto"/>
        <w:jc w:val="both"/>
        <w:rPr>
          <w:rFonts w:ascii="Book Antiqua" w:hAnsi="Book Antiqua"/>
        </w:rPr>
      </w:pPr>
    </w:p>
    <w:p w14:paraId="6B5A8475" w14:textId="77777777" w:rsidR="00CE0620" w:rsidRDefault="00000000" w:rsidP="00F575F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A987597" w14:textId="5FF94F39"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lastRenderedPageBreak/>
        <w:t xml:space="preserve">This case report demonstrates the important role of IL-6 in the pathogenesis of AAV. In patients </w:t>
      </w:r>
      <w:r>
        <w:rPr>
          <w:rFonts w:ascii="Book Antiqua" w:eastAsia="宋体" w:hAnsi="Book Antiqua" w:cs="Book Antiqua" w:hint="eastAsia"/>
          <w:color w:val="000000"/>
          <w:lang w:eastAsia="zh-CN"/>
        </w:rPr>
        <w:t>un</w:t>
      </w:r>
      <w:r>
        <w:rPr>
          <w:rFonts w:ascii="Book Antiqua" w:eastAsia="Book Antiqua" w:hAnsi="Book Antiqua" w:cs="Book Antiqua"/>
          <w:color w:val="000000"/>
        </w:rPr>
        <w:t>responsive to traditional immunosuppressive agents or with contraindications, tocilizumab can be a good treatment option. However, more case studies are required to verify the effectiveness and safety of tocilizumab for</w:t>
      </w:r>
      <w:r>
        <w:rPr>
          <w:rFonts w:ascii="Book Antiqua" w:hAnsi="Book Antiqua"/>
          <w:lang w:eastAsia="zh-CN"/>
        </w:rPr>
        <w:t xml:space="preserve"> </w:t>
      </w:r>
      <w:r>
        <w:rPr>
          <w:rFonts w:ascii="Book Antiqua" w:eastAsia="Book Antiqua" w:hAnsi="Book Antiqua" w:cs="Book Antiqua"/>
          <w:color w:val="000000"/>
        </w:rPr>
        <w:t>treating patients with AAV.</w:t>
      </w:r>
    </w:p>
    <w:p w14:paraId="15E3E9B7" w14:textId="77777777" w:rsidR="00CE0620" w:rsidRDefault="00CE0620" w:rsidP="00F575F8">
      <w:pPr>
        <w:spacing w:line="360" w:lineRule="auto"/>
        <w:jc w:val="both"/>
        <w:rPr>
          <w:rFonts w:ascii="Book Antiqua" w:hAnsi="Book Antiqua"/>
        </w:rPr>
      </w:pPr>
    </w:p>
    <w:p w14:paraId="6389CC5F"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REFERENCES</w:t>
      </w:r>
    </w:p>
    <w:p w14:paraId="38724FE0" w14:textId="77777777" w:rsidR="00CE0620" w:rsidRDefault="00000000" w:rsidP="00F575F8">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Yates M</w:t>
      </w:r>
      <w:r>
        <w:rPr>
          <w:rFonts w:ascii="Book Antiqua" w:eastAsia="Book Antiqua" w:hAnsi="Book Antiqua" w:cs="Book Antiqua"/>
          <w:color w:val="000000"/>
        </w:rPr>
        <w:t xml:space="preserve">, Watts RA, </w:t>
      </w:r>
      <w:proofErr w:type="spellStart"/>
      <w:r>
        <w:rPr>
          <w:rFonts w:ascii="Book Antiqua" w:eastAsia="Book Antiqua" w:hAnsi="Book Antiqua" w:cs="Book Antiqua"/>
          <w:color w:val="000000"/>
        </w:rPr>
        <w:t>Bajema</w:t>
      </w:r>
      <w:proofErr w:type="spellEnd"/>
      <w:r>
        <w:rPr>
          <w:rFonts w:ascii="Book Antiqua" w:eastAsia="Book Antiqua" w:hAnsi="Book Antiqua" w:cs="Book Antiqua"/>
          <w:color w:val="000000"/>
        </w:rPr>
        <w:t xml:space="preserve"> IM, Cid MC, </w:t>
      </w:r>
      <w:proofErr w:type="spellStart"/>
      <w:r>
        <w:rPr>
          <w:rFonts w:ascii="Book Antiqua" w:eastAsia="Book Antiqua" w:hAnsi="Book Antiqua" w:cs="Book Antiqua"/>
          <w:color w:val="000000"/>
        </w:rPr>
        <w:t>Crestani</w:t>
      </w:r>
      <w:proofErr w:type="spellEnd"/>
      <w:r>
        <w:rPr>
          <w:rFonts w:ascii="Book Antiqua" w:eastAsia="Book Antiqua" w:hAnsi="Book Antiqua" w:cs="Book Antiqua"/>
          <w:color w:val="000000"/>
        </w:rPr>
        <w:t xml:space="preserve"> B, Hauser T, </w:t>
      </w:r>
      <w:proofErr w:type="spellStart"/>
      <w:r>
        <w:rPr>
          <w:rFonts w:ascii="Book Antiqua" w:eastAsia="Book Antiqua" w:hAnsi="Book Antiqua" w:cs="Book Antiqua"/>
          <w:color w:val="000000"/>
        </w:rPr>
        <w:t>Hellmich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Holle</w:t>
      </w:r>
      <w:proofErr w:type="spellEnd"/>
      <w:r>
        <w:rPr>
          <w:rFonts w:ascii="Book Antiqua" w:eastAsia="Book Antiqua" w:hAnsi="Book Antiqua" w:cs="Book Antiqua"/>
          <w:color w:val="000000"/>
        </w:rPr>
        <w:t xml:space="preserve"> JU, </w:t>
      </w:r>
      <w:proofErr w:type="spellStart"/>
      <w:r>
        <w:rPr>
          <w:rFonts w:ascii="Book Antiqua" w:eastAsia="Book Antiqua" w:hAnsi="Book Antiqua" w:cs="Book Antiqua"/>
          <w:color w:val="000000"/>
        </w:rPr>
        <w:t>Laudien</w:t>
      </w:r>
      <w:proofErr w:type="spellEnd"/>
      <w:r>
        <w:rPr>
          <w:rFonts w:ascii="Book Antiqua" w:eastAsia="Book Antiqua" w:hAnsi="Book Antiqua" w:cs="Book Antiqua"/>
          <w:color w:val="000000"/>
        </w:rPr>
        <w:t xml:space="preserve"> M, Little MA, </w:t>
      </w:r>
      <w:proofErr w:type="spellStart"/>
      <w:r>
        <w:rPr>
          <w:rFonts w:ascii="Book Antiqua" w:eastAsia="Book Antiqua" w:hAnsi="Book Antiqua" w:cs="Book Antiqua"/>
          <w:color w:val="000000"/>
        </w:rPr>
        <w:t>Luqmani</w:t>
      </w:r>
      <w:proofErr w:type="spellEnd"/>
      <w:r>
        <w:rPr>
          <w:rFonts w:ascii="Book Antiqua" w:eastAsia="Book Antiqua" w:hAnsi="Book Antiqua" w:cs="Book Antiqua"/>
          <w:color w:val="000000"/>
        </w:rPr>
        <w:t xml:space="preserve"> RA, Mahr A, Merkel PA, Mills J, Mooney J, </w:t>
      </w:r>
      <w:proofErr w:type="spellStart"/>
      <w:r>
        <w:rPr>
          <w:rFonts w:ascii="Book Antiqua" w:eastAsia="Book Antiqua" w:hAnsi="Book Antiqua" w:cs="Book Antiqua"/>
          <w:color w:val="000000"/>
        </w:rPr>
        <w:t>Segelmark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Tesar</w:t>
      </w:r>
      <w:proofErr w:type="spellEnd"/>
      <w:r>
        <w:rPr>
          <w:rFonts w:ascii="Book Antiqua" w:eastAsia="Book Antiqua" w:hAnsi="Book Antiqua" w:cs="Book Antiqua"/>
          <w:color w:val="000000"/>
        </w:rPr>
        <w:t xml:space="preserve"> V, Westman K, </w:t>
      </w:r>
      <w:proofErr w:type="spellStart"/>
      <w:r>
        <w:rPr>
          <w:rFonts w:ascii="Book Antiqua" w:eastAsia="Book Antiqua" w:hAnsi="Book Antiqua" w:cs="Book Antiqua"/>
          <w:color w:val="000000"/>
        </w:rPr>
        <w:t>Vaglio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Yalçındağ</w:t>
      </w:r>
      <w:proofErr w:type="spellEnd"/>
      <w:r>
        <w:rPr>
          <w:rFonts w:ascii="Book Antiqua" w:eastAsia="Book Antiqua" w:hAnsi="Book Antiqua" w:cs="Book Antiqua"/>
          <w:color w:val="000000"/>
        </w:rPr>
        <w:t xml:space="preserve"> N, Jayne DR, </w:t>
      </w:r>
      <w:proofErr w:type="spellStart"/>
      <w:r>
        <w:rPr>
          <w:rFonts w:ascii="Book Antiqua" w:eastAsia="Book Antiqua" w:hAnsi="Book Antiqua" w:cs="Book Antiqua"/>
          <w:color w:val="000000"/>
        </w:rPr>
        <w:t>Mukhtyar</w:t>
      </w:r>
      <w:proofErr w:type="spellEnd"/>
      <w:r>
        <w:rPr>
          <w:rFonts w:ascii="Book Antiqua" w:eastAsia="Book Antiqua" w:hAnsi="Book Antiqua" w:cs="Book Antiqua"/>
          <w:color w:val="000000"/>
        </w:rPr>
        <w:t xml:space="preserve"> C. EULAR/ERA-EDTA recommendations for the management of ANCA-associated vasculitis.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75</w:t>
      </w:r>
      <w:r>
        <w:rPr>
          <w:rFonts w:ascii="Book Antiqua" w:eastAsia="Book Antiqua" w:hAnsi="Book Antiqua" w:cs="Book Antiqua"/>
          <w:color w:val="000000"/>
        </w:rPr>
        <w:t>: 1583-1594 [PMID: 27338776 DOI: 10.1136/annrheumdis-2016-209133]</w:t>
      </w:r>
    </w:p>
    <w:p w14:paraId="146F056A" w14:textId="77777777" w:rsidR="00CE0620" w:rsidRDefault="00000000" w:rsidP="00F575F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Berti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Cavalli G, </w:t>
      </w:r>
      <w:proofErr w:type="spellStart"/>
      <w:r>
        <w:rPr>
          <w:rFonts w:ascii="Book Antiqua" w:eastAsia="Book Antiqua" w:hAnsi="Book Antiqua" w:cs="Book Antiqua"/>
          <w:color w:val="000000"/>
        </w:rPr>
        <w:t>Campochiaro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Baldissera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Cappio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Sabbadini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Doglioni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Dagna</w:t>
      </w:r>
      <w:proofErr w:type="spellEnd"/>
      <w:r>
        <w:rPr>
          <w:rFonts w:ascii="Book Antiqua" w:eastAsia="Book Antiqua" w:hAnsi="Book Antiqua" w:cs="Book Antiqua"/>
          <w:color w:val="000000"/>
        </w:rPr>
        <w:t xml:space="preserve"> L. Interleukin-6 in ANCA-associated vasculitis: Rationale for successful treatment with tocilizumab.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48-54 [PMID: 25841802 DOI: 10.1016/j.semarthrit.2015.02.002]</w:t>
      </w:r>
    </w:p>
    <w:p w14:paraId="022F8077" w14:textId="77777777" w:rsidR="00CE0620" w:rsidRDefault="00000000" w:rsidP="00F575F8">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Berti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Warner R, Johnson K, </w:t>
      </w:r>
      <w:proofErr w:type="spellStart"/>
      <w:r>
        <w:rPr>
          <w:rFonts w:ascii="Book Antiqua" w:eastAsia="Book Antiqua" w:hAnsi="Book Antiqua" w:cs="Book Antiqua"/>
          <w:color w:val="000000"/>
        </w:rPr>
        <w:t>Cornec</w:t>
      </w:r>
      <w:proofErr w:type="spellEnd"/>
      <w:r>
        <w:rPr>
          <w:rFonts w:ascii="Book Antiqua" w:eastAsia="Book Antiqua" w:hAnsi="Book Antiqua" w:cs="Book Antiqua"/>
          <w:color w:val="000000"/>
        </w:rPr>
        <w:t xml:space="preserve"> D, Schroeder DR, Kabat BF, Langford CA, </w:t>
      </w:r>
      <w:proofErr w:type="spellStart"/>
      <w:r>
        <w:rPr>
          <w:rFonts w:ascii="Book Antiqua" w:eastAsia="Book Antiqua" w:hAnsi="Book Antiqua" w:cs="Book Antiqua"/>
          <w:color w:val="000000"/>
        </w:rPr>
        <w:t>Kallenberg</w:t>
      </w:r>
      <w:proofErr w:type="spellEnd"/>
      <w:r>
        <w:rPr>
          <w:rFonts w:ascii="Book Antiqua" w:eastAsia="Book Antiqua" w:hAnsi="Book Antiqua" w:cs="Book Antiqua"/>
          <w:color w:val="000000"/>
        </w:rPr>
        <w:t xml:space="preserve"> CGM,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Spiera</w:t>
      </w:r>
      <w:proofErr w:type="spellEnd"/>
      <w:r>
        <w:rPr>
          <w:rFonts w:ascii="Book Antiqua" w:eastAsia="Book Antiqua" w:hAnsi="Book Antiqua" w:cs="Book Antiqua"/>
          <w:color w:val="000000"/>
        </w:rPr>
        <w:t xml:space="preserve"> RF, St Clair EW, </w:t>
      </w:r>
      <w:proofErr w:type="spellStart"/>
      <w:r>
        <w:rPr>
          <w:rFonts w:ascii="Book Antiqua" w:eastAsia="Book Antiqua" w:hAnsi="Book Antiqua" w:cs="Book Antiqua"/>
          <w:color w:val="000000"/>
        </w:rPr>
        <w:t>Fervenza</w:t>
      </w:r>
      <w:proofErr w:type="spellEnd"/>
      <w:r>
        <w:rPr>
          <w:rFonts w:ascii="Book Antiqua" w:eastAsia="Book Antiqua" w:hAnsi="Book Antiqua" w:cs="Book Antiqua"/>
          <w:color w:val="000000"/>
        </w:rPr>
        <w:t xml:space="preserve"> FC, Stone JH, </w:t>
      </w:r>
      <w:proofErr w:type="spellStart"/>
      <w:r>
        <w:rPr>
          <w:rFonts w:ascii="Book Antiqua" w:eastAsia="Book Antiqua" w:hAnsi="Book Antiqua" w:cs="Book Antiqua"/>
          <w:color w:val="000000"/>
        </w:rPr>
        <w:t>Monach</w:t>
      </w:r>
      <w:proofErr w:type="spellEnd"/>
      <w:r>
        <w:rPr>
          <w:rFonts w:ascii="Book Antiqua" w:eastAsia="Book Antiqua" w:hAnsi="Book Antiqua" w:cs="Book Antiqua"/>
          <w:color w:val="000000"/>
        </w:rPr>
        <w:t xml:space="preserve"> PA, Specks U, Merkel PA; RAVE-ITN Research Group. The association of serum interleukin-6 levels with clinical outcomes in antineutrophil cytoplasmic antibody-associated vasculitis.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102302 [PMID: 31320177 DOI: 10.1016/j.jaut.2019.07.001]</w:t>
      </w:r>
    </w:p>
    <w:p w14:paraId="735FF73F"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Berti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Alsawas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Jawaid</w:t>
      </w:r>
      <w:proofErr w:type="spellEnd"/>
      <w:r>
        <w:rPr>
          <w:rFonts w:ascii="Book Antiqua" w:eastAsia="Book Antiqua" w:hAnsi="Book Antiqua" w:cs="Book Antiqua"/>
          <w:color w:val="000000"/>
        </w:rPr>
        <w:t xml:space="preserve"> T, Prokop LJ, Lee JM,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GH, Quintana LF, Moiseev S, </w:t>
      </w:r>
      <w:proofErr w:type="spellStart"/>
      <w:r>
        <w:rPr>
          <w:rFonts w:ascii="Book Antiqua" w:eastAsia="Book Antiqua" w:hAnsi="Book Antiqua" w:cs="Book Antiqua"/>
          <w:color w:val="000000"/>
        </w:rPr>
        <w:t>Vaglio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Tesar</w:t>
      </w:r>
      <w:proofErr w:type="spellEnd"/>
      <w:r>
        <w:rPr>
          <w:rFonts w:ascii="Book Antiqua" w:eastAsia="Book Antiqua" w:hAnsi="Book Antiqua" w:cs="Book Antiqua"/>
          <w:color w:val="000000"/>
        </w:rPr>
        <w:t xml:space="preserve"> V, Geetha D, Shin JIL, </w:t>
      </w:r>
      <w:proofErr w:type="spellStart"/>
      <w:r>
        <w:rPr>
          <w:rFonts w:ascii="Book Antiqua" w:eastAsia="Book Antiqua" w:hAnsi="Book Antiqua" w:cs="Book Antiqua"/>
          <w:color w:val="000000"/>
        </w:rPr>
        <w:t>Kronbichler</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Induction</w:t>
      </w:r>
      <w:proofErr w:type="gramEnd"/>
      <w:r>
        <w:rPr>
          <w:rFonts w:ascii="Book Antiqua" w:eastAsia="Book Antiqua" w:hAnsi="Book Antiqua" w:cs="Book Antiqua"/>
          <w:color w:val="000000"/>
        </w:rPr>
        <w:t xml:space="preserve"> and maintenance of remission with mycophenolate mofetil in ANCA-associated vasculitis: a systematic review and meta-analysis.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2022; </w:t>
      </w:r>
      <w:r>
        <w:rPr>
          <w:rFonts w:ascii="Book Antiqua" w:eastAsia="Book Antiqua" w:hAnsi="Book Antiqua" w:cs="Book Antiqua"/>
          <w:b/>
          <w:bCs/>
          <w:color w:val="000000"/>
        </w:rPr>
        <w:t>37</w:t>
      </w:r>
      <w:r>
        <w:rPr>
          <w:rFonts w:ascii="Book Antiqua" w:eastAsia="Book Antiqua" w:hAnsi="Book Antiqua" w:cs="Book Antiqua"/>
          <w:color w:val="000000"/>
        </w:rPr>
        <w:t>: 2190-2200 [PMID: 34910216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/gfab357]</w:t>
      </w:r>
    </w:p>
    <w:p w14:paraId="439D1790"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Jayne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Blockmans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Luqmani</w:t>
      </w:r>
      <w:proofErr w:type="spellEnd"/>
      <w:r>
        <w:rPr>
          <w:rFonts w:ascii="Book Antiqua" w:eastAsia="Book Antiqua" w:hAnsi="Book Antiqua" w:cs="Book Antiqua"/>
          <w:color w:val="000000"/>
        </w:rPr>
        <w:t xml:space="preserve"> R, Moiseev S, Ji B, Green Y, Hall L, Roth D, Henderson RB, Merkel PA; BREVAS Study Collaborators. Efficacy and Safety of Belimumab and </w:t>
      </w:r>
      <w:r>
        <w:rPr>
          <w:rFonts w:ascii="Book Antiqua" w:eastAsia="Book Antiqua" w:hAnsi="Book Antiqua" w:cs="Book Antiqua"/>
          <w:color w:val="000000"/>
        </w:rPr>
        <w:lastRenderedPageBreak/>
        <w:t xml:space="preserve">Azathioprine for Maintenance of Remission in Antineutrophil Cytoplasmic Antibody-Associated Vasculitis: A Randomized Controlled Study.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952-963 [PMID: 30666823 DOI: 10.1002/art.40802]</w:t>
      </w:r>
    </w:p>
    <w:p w14:paraId="7C9DBA76"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Takenaka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Ohba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Suhara</w:t>
      </w:r>
      <w:proofErr w:type="spellEnd"/>
      <w:r>
        <w:rPr>
          <w:rFonts w:ascii="Book Antiqua" w:eastAsia="Book Antiqua" w:hAnsi="Book Antiqua" w:cs="Book Antiqua"/>
          <w:color w:val="000000"/>
        </w:rPr>
        <w:t xml:space="preserve"> K, Sato Y, </w:t>
      </w:r>
      <w:proofErr w:type="spellStart"/>
      <w:r>
        <w:rPr>
          <w:rFonts w:ascii="Book Antiqua" w:eastAsia="Book Antiqua" w:hAnsi="Book Antiqua" w:cs="Book Antiqua"/>
          <w:color w:val="000000"/>
        </w:rPr>
        <w:t>Nagasaka</w:t>
      </w:r>
      <w:proofErr w:type="spellEnd"/>
      <w:r>
        <w:rPr>
          <w:rFonts w:ascii="Book Antiqua" w:eastAsia="Book Antiqua" w:hAnsi="Book Antiqua" w:cs="Book Antiqua"/>
          <w:color w:val="000000"/>
        </w:rPr>
        <w:t xml:space="preserve"> K. Successful treatment of refractory aortitis in antineutrophil cytoplasmic antibody-associated vasculitis using tocilizumab.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287-289 [PMID: 24357324 DOI: 10.1007/s10067-013-2457-2]</w:t>
      </w:r>
    </w:p>
    <w:p w14:paraId="4A074830"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Sakai R</w:t>
      </w:r>
      <w:r>
        <w:rPr>
          <w:rFonts w:ascii="Book Antiqua" w:eastAsia="Book Antiqua" w:hAnsi="Book Antiqua" w:cs="Book Antiqua"/>
          <w:color w:val="000000"/>
        </w:rPr>
        <w:t xml:space="preserve">, Kondo T, Kikuchi J, Shibata A, Chino K, </w:t>
      </w:r>
      <w:proofErr w:type="spellStart"/>
      <w:r>
        <w:rPr>
          <w:rFonts w:ascii="Book Antiqua" w:eastAsia="Book Antiqua" w:hAnsi="Book Antiqua" w:cs="Book Antiqua"/>
          <w:color w:val="000000"/>
        </w:rPr>
        <w:t>Okuyama</w:t>
      </w:r>
      <w:proofErr w:type="spellEnd"/>
      <w:r>
        <w:rPr>
          <w:rFonts w:ascii="Book Antiqua" w:eastAsia="Book Antiqua" w:hAnsi="Book Antiqua" w:cs="Book Antiqua"/>
          <w:color w:val="000000"/>
        </w:rPr>
        <w:t xml:space="preserve"> A, Takei H, Amano K. Corticosteroid-free treatment of tocilizumab monotherapy for microscopic polyangiitis: a single-arm, single-center, clinical trial.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900-907 [PMID: 26934300 DOI: 10.3109/14397595.2016.1160968]</w:t>
      </w:r>
    </w:p>
    <w:p w14:paraId="14693514"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Sakai R</w:t>
      </w:r>
      <w:r>
        <w:rPr>
          <w:rFonts w:ascii="Book Antiqua" w:eastAsia="Book Antiqua" w:hAnsi="Book Antiqua" w:cs="Book Antiqua"/>
          <w:color w:val="000000"/>
        </w:rPr>
        <w:t xml:space="preserve">, Kondo T, </w:t>
      </w:r>
      <w:proofErr w:type="spellStart"/>
      <w:r>
        <w:rPr>
          <w:rFonts w:ascii="Book Antiqua" w:eastAsia="Book Antiqua" w:hAnsi="Book Antiqua" w:cs="Book Antiqua"/>
          <w:color w:val="000000"/>
        </w:rPr>
        <w:t>Kurasawa</w:t>
      </w:r>
      <w:proofErr w:type="spellEnd"/>
      <w:r>
        <w:rPr>
          <w:rFonts w:ascii="Book Antiqua" w:eastAsia="Book Antiqua" w:hAnsi="Book Antiqua" w:cs="Book Antiqua"/>
          <w:color w:val="000000"/>
        </w:rPr>
        <w:t xml:space="preserve"> T, Nishi E, </w:t>
      </w:r>
      <w:proofErr w:type="spellStart"/>
      <w:r>
        <w:rPr>
          <w:rFonts w:ascii="Book Antiqua" w:eastAsia="Book Antiqua" w:hAnsi="Book Antiqua" w:cs="Book Antiqua"/>
          <w:color w:val="000000"/>
        </w:rPr>
        <w:t>Okuyama</w:t>
      </w:r>
      <w:proofErr w:type="spellEnd"/>
      <w:r>
        <w:rPr>
          <w:rFonts w:ascii="Book Antiqua" w:eastAsia="Book Antiqua" w:hAnsi="Book Antiqua" w:cs="Book Antiqua"/>
          <w:color w:val="000000"/>
        </w:rPr>
        <w:t xml:space="preserve"> A, Chino K, Shibata A, Okada Y, Takei H, Nagasawa H, Amano K. Current clinical evidence of tocilizumab for the treatment of ANCA-associated vasculitis: a prospective case series for microscopic polyangiitis in a combination with corticosteroids and literature review.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2383-2392 [PMID: 28733791 DOI: 10.1007/s10067-017-3752-0]</w:t>
      </w:r>
    </w:p>
    <w:p w14:paraId="2325F95D"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Sakai R</w:t>
      </w:r>
      <w:r>
        <w:rPr>
          <w:rFonts w:ascii="Book Antiqua" w:eastAsia="Book Antiqua" w:hAnsi="Book Antiqua" w:cs="Book Antiqua"/>
          <w:color w:val="000000"/>
        </w:rPr>
        <w:t xml:space="preserve">, Shibata A, Chino K, Kondo T, </w:t>
      </w:r>
      <w:proofErr w:type="spellStart"/>
      <w:r>
        <w:rPr>
          <w:rFonts w:ascii="Book Antiqua" w:eastAsia="Book Antiqua" w:hAnsi="Book Antiqua" w:cs="Book Antiqua"/>
          <w:color w:val="000000"/>
        </w:rPr>
        <w:t>Okuyama</w:t>
      </w:r>
      <w:proofErr w:type="spellEnd"/>
      <w:r>
        <w:rPr>
          <w:rFonts w:ascii="Book Antiqua" w:eastAsia="Book Antiqua" w:hAnsi="Book Antiqua" w:cs="Book Antiqua"/>
          <w:color w:val="000000"/>
        </w:rPr>
        <w:t xml:space="preserve"> A, Takei H, Amano K. Corticosteroid- and cyclophosphamide-free treatment of anti-neutrophil cytoplasmic antibody-associated vasculitis using tocilizumab.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810-811 [PMID: 25736354 DOI: 10.3109/14397595.2015.1021138]</w:t>
      </w:r>
    </w:p>
    <w:p w14:paraId="02DC2800"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Morrisroe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Wong M. Drug-induced </w:t>
      </w:r>
      <w:proofErr w:type="spellStart"/>
      <w:r>
        <w:rPr>
          <w:rFonts w:ascii="Book Antiqua" w:eastAsia="Book Antiqua" w:hAnsi="Book Antiqua" w:cs="Book Antiqua"/>
          <w:color w:val="000000"/>
        </w:rPr>
        <w:t>hypereosinophilia</w:t>
      </w:r>
      <w:proofErr w:type="spellEnd"/>
      <w:r>
        <w:rPr>
          <w:rFonts w:ascii="Book Antiqua" w:eastAsia="Book Antiqua" w:hAnsi="Book Antiqua" w:cs="Book Antiqua"/>
          <w:color w:val="000000"/>
        </w:rPr>
        <w:t xml:space="preserve"> related to tocilizumab therapy for rheumatoid arthritis.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2113-2114 [PMID: 26224305 DOI: 10.1093/rheumatology/kev275]</w:t>
      </w:r>
    </w:p>
    <w:p w14:paraId="52F738DA" w14:textId="77777777" w:rsidR="00CE0620" w:rsidRDefault="00000000" w:rsidP="00F575F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Sumida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Ubara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Suwabe</w:t>
      </w:r>
      <w:proofErr w:type="spellEnd"/>
      <w:r>
        <w:rPr>
          <w:rFonts w:ascii="Book Antiqua" w:eastAsia="Book Antiqua" w:hAnsi="Book Antiqua" w:cs="Book Antiqua"/>
          <w:color w:val="000000"/>
        </w:rPr>
        <w:t xml:space="preserve"> T, Hayami N,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R, Hasegawa E, Yamanouchi M, Hoshino J, </w:t>
      </w:r>
      <w:proofErr w:type="spellStart"/>
      <w:r>
        <w:rPr>
          <w:rFonts w:ascii="Book Antiqua" w:eastAsia="Book Antiqua" w:hAnsi="Book Antiqua" w:cs="Book Antiqua"/>
          <w:color w:val="000000"/>
        </w:rPr>
        <w:t>Sawa</w:t>
      </w:r>
      <w:proofErr w:type="spellEnd"/>
      <w:r>
        <w:rPr>
          <w:rFonts w:ascii="Book Antiqua" w:eastAsia="Book Antiqua" w:hAnsi="Book Antiqua" w:cs="Book Antiqua"/>
          <w:color w:val="000000"/>
        </w:rPr>
        <w:t xml:space="preserve"> N, Takemoto F, </w:t>
      </w:r>
      <w:proofErr w:type="spellStart"/>
      <w:r>
        <w:rPr>
          <w:rFonts w:ascii="Book Antiqua" w:eastAsia="Book Antiqua" w:hAnsi="Book Antiqua" w:cs="Book Antiqua"/>
          <w:color w:val="000000"/>
        </w:rPr>
        <w:t>Takaichi</w:t>
      </w:r>
      <w:proofErr w:type="spellEnd"/>
      <w:r>
        <w:rPr>
          <w:rFonts w:ascii="Book Antiqua" w:eastAsia="Book Antiqua" w:hAnsi="Book Antiqua" w:cs="Book Antiqua"/>
          <w:color w:val="000000"/>
        </w:rPr>
        <w:t xml:space="preserve"> K, Ohashi K. Complete remission of myeloperoxidase-anti-neutrophil cytoplasmic antibody-associated crescentic glomerulonephritis complicated with rheumatoid arthritis using a humanized anti-interleukin 6 receptor antibody.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1928-1930 [PMID: 21719417 DOI: 10.1093/rheumatology/ker222]</w:t>
      </w:r>
    </w:p>
    <w:p w14:paraId="714CED85" w14:textId="77777777" w:rsidR="00CE0620" w:rsidRDefault="00CE0620" w:rsidP="00F575F8">
      <w:pPr>
        <w:spacing w:line="360" w:lineRule="auto"/>
        <w:jc w:val="both"/>
        <w:rPr>
          <w:rFonts w:ascii="Book Antiqua" w:eastAsia="Book Antiqua" w:hAnsi="Book Antiqua" w:cs="Book Antiqua"/>
          <w:b/>
          <w:color w:val="000000"/>
        </w:rPr>
        <w:sectPr w:rsidR="00CE0620">
          <w:pgSz w:w="12240" w:h="15840"/>
          <w:pgMar w:top="1440" w:right="1440" w:bottom="1440" w:left="1440" w:header="720" w:footer="720" w:gutter="0"/>
          <w:cols w:space="720"/>
          <w:docGrid w:linePitch="360"/>
        </w:sectPr>
      </w:pPr>
    </w:p>
    <w:p w14:paraId="2F40EE7E"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90A3641"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7D05DB0" w14:textId="77777777" w:rsidR="00CE0620" w:rsidRDefault="00CE0620" w:rsidP="00F575F8">
      <w:pPr>
        <w:spacing w:line="360" w:lineRule="auto"/>
        <w:jc w:val="both"/>
        <w:rPr>
          <w:rFonts w:ascii="Book Antiqua" w:hAnsi="Book Antiqua"/>
        </w:rPr>
      </w:pPr>
    </w:p>
    <w:p w14:paraId="1FA70F5E"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6705483C" w14:textId="77777777" w:rsidR="00CE0620" w:rsidRDefault="00CE0620" w:rsidP="00F575F8">
      <w:pPr>
        <w:spacing w:line="360" w:lineRule="auto"/>
        <w:jc w:val="both"/>
        <w:rPr>
          <w:rFonts w:ascii="Book Antiqua" w:hAnsi="Book Antiqua"/>
        </w:rPr>
      </w:pPr>
    </w:p>
    <w:p w14:paraId="50B123C0"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hAnsi="Book Antiqua" w:cs="Book Antiqua"/>
          <w:color w:val="000000"/>
          <w:lang w:eastAsia="zh-CN"/>
        </w:rPr>
        <w:t>T</w:t>
      </w:r>
      <w:r>
        <w:rPr>
          <w:rFonts w:ascii="Book Antiqua" w:eastAsia="Book Antiqua" w:hAnsi="Book Antiqua" w:cs="Book Antiqua"/>
          <w:color w:val="000000"/>
        </w:rPr>
        <w:t>he authors have read the CARE Checklist</w:t>
      </w:r>
      <w:r>
        <w:rPr>
          <w:rFonts w:ascii="Book Antiqua" w:hAnsi="Book Antiqua" w:cs="Book Antiqua"/>
          <w:color w:val="000000"/>
          <w:lang w:eastAsia="zh-CN"/>
        </w:rPr>
        <w:t xml:space="preserve"> </w:t>
      </w:r>
      <w:r>
        <w:rPr>
          <w:rFonts w:ascii="Book Antiqua" w:eastAsia="Book Antiqua" w:hAnsi="Book Antiqua" w:cs="Book Antiqua"/>
          <w:color w:val="000000"/>
        </w:rPr>
        <w:t>(2016), and the manuscript was prepared and revised according to the CARE Checklist (2016)</w:t>
      </w:r>
    </w:p>
    <w:p w14:paraId="36B5638D" w14:textId="77777777" w:rsidR="00CE0620" w:rsidRDefault="00CE0620" w:rsidP="00F575F8">
      <w:pPr>
        <w:spacing w:line="360" w:lineRule="auto"/>
        <w:jc w:val="both"/>
        <w:rPr>
          <w:rFonts w:ascii="Book Antiqua" w:hAnsi="Book Antiqua"/>
        </w:rPr>
      </w:pPr>
    </w:p>
    <w:p w14:paraId="67B8FA27" w14:textId="77777777" w:rsidR="00CE0620" w:rsidRDefault="00000000" w:rsidP="00F575F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619384" w14:textId="77777777" w:rsidR="00CE0620" w:rsidRDefault="00CE0620" w:rsidP="00F575F8">
      <w:pPr>
        <w:spacing w:line="360" w:lineRule="auto"/>
        <w:jc w:val="both"/>
        <w:rPr>
          <w:rFonts w:ascii="Book Antiqua" w:hAnsi="Book Antiqua"/>
        </w:rPr>
      </w:pPr>
    </w:p>
    <w:p w14:paraId="406517A1"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1484BD1"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D91399D" w14:textId="77777777" w:rsidR="00CE0620" w:rsidRDefault="00CE0620" w:rsidP="00F575F8">
      <w:pPr>
        <w:spacing w:line="360" w:lineRule="auto"/>
        <w:jc w:val="both"/>
        <w:rPr>
          <w:rFonts w:ascii="Book Antiqua" w:hAnsi="Book Antiqua"/>
        </w:rPr>
      </w:pPr>
    </w:p>
    <w:p w14:paraId="575C07B6"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2022</w:t>
      </w:r>
    </w:p>
    <w:p w14:paraId="00A0C7F5"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2022</w:t>
      </w:r>
    </w:p>
    <w:p w14:paraId="3323B8A1" w14:textId="0320A5D5"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Article in press:</w:t>
      </w:r>
      <w:r w:rsidR="00001C49">
        <w:rPr>
          <w:rFonts w:ascii="Book Antiqua" w:eastAsia="Book Antiqua" w:hAnsi="Book Antiqua" w:cs="Book Antiqua"/>
          <w:b/>
          <w:color w:val="000000"/>
        </w:rPr>
        <w:t xml:space="preserve"> </w:t>
      </w:r>
    </w:p>
    <w:p w14:paraId="7C6EBBEC" w14:textId="77777777" w:rsidR="00CE0620" w:rsidRDefault="00CE0620" w:rsidP="00F575F8">
      <w:pPr>
        <w:spacing w:line="360" w:lineRule="auto"/>
        <w:jc w:val="both"/>
        <w:rPr>
          <w:rFonts w:ascii="Book Antiqua" w:hAnsi="Book Antiqua"/>
        </w:rPr>
      </w:pPr>
    </w:p>
    <w:p w14:paraId="3F2C445C"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204743C8"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0018A2" w14:textId="77777777"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3BDFBE8"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Grade A (Excellent): 0</w:t>
      </w:r>
    </w:p>
    <w:p w14:paraId="6A75D330"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Grade B (Very good): B</w:t>
      </w:r>
    </w:p>
    <w:p w14:paraId="4533C575"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6E2AFE5B"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Grade D (Fair): D</w:t>
      </w:r>
    </w:p>
    <w:p w14:paraId="026CD5A2" w14:textId="77777777" w:rsidR="00CE0620" w:rsidRDefault="00000000" w:rsidP="00F575F8">
      <w:pPr>
        <w:spacing w:line="360" w:lineRule="auto"/>
        <w:jc w:val="both"/>
        <w:rPr>
          <w:rFonts w:ascii="Book Antiqua" w:hAnsi="Book Antiqua"/>
        </w:rPr>
      </w:pPr>
      <w:r>
        <w:rPr>
          <w:rFonts w:ascii="Book Antiqua" w:eastAsia="Book Antiqua" w:hAnsi="Book Antiqua" w:cs="Book Antiqua"/>
          <w:color w:val="000000"/>
        </w:rPr>
        <w:t>Grade E (Poor): 0</w:t>
      </w:r>
    </w:p>
    <w:p w14:paraId="244C62F9" w14:textId="77777777" w:rsidR="00CE0620" w:rsidRDefault="00CE0620" w:rsidP="00F575F8">
      <w:pPr>
        <w:spacing w:line="360" w:lineRule="auto"/>
        <w:jc w:val="both"/>
        <w:rPr>
          <w:rFonts w:ascii="Book Antiqua" w:hAnsi="Book Antiqua"/>
        </w:rPr>
      </w:pPr>
    </w:p>
    <w:p w14:paraId="217DAA00" w14:textId="5C91A83B" w:rsidR="00CE0620" w:rsidRDefault="00000000" w:rsidP="00F575F8">
      <w:pPr>
        <w:spacing w:line="360" w:lineRule="auto"/>
        <w:jc w:val="both"/>
        <w:rPr>
          <w:rFonts w:ascii="Book Antiqua" w:hAnsi="Book Antiqua"/>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Rostaing</w:t>
      </w:r>
      <w:proofErr w:type="spellEnd"/>
      <w:r>
        <w:rPr>
          <w:rFonts w:ascii="Book Antiqua" w:eastAsia="Book Antiqua" w:hAnsi="Book Antiqua" w:cs="Book Antiqua"/>
          <w:color w:val="000000"/>
        </w:rPr>
        <w:t xml:space="preserve"> L, France; Shrestha MR, Nepal</w:t>
      </w:r>
      <w:r>
        <w:rPr>
          <w:rFonts w:ascii="Book Antiqua" w:eastAsia="Book Antiqua" w:hAnsi="Book Antiqua" w:cs="Book Antiqua"/>
          <w:b/>
          <w:color w:val="000000"/>
        </w:rPr>
        <w:t xml:space="preserve"> S-Editor: </w:t>
      </w:r>
      <w:r>
        <w:rPr>
          <w:rFonts w:ascii="Book Antiqua" w:hAnsi="Book Antiqua" w:cs="Book Antiqua"/>
          <w:color w:val="000000"/>
          <w:lang w:eastAsia="zh-CN"/>
        </w:rPr>
        <w:t xml:space="preserve">Chen YL </w:t>
      </w:r>
      <w:r>
        <w:rPr>
          <w:rFonts w:ascii="Book Antiqua" w:eastAsia="Book Antiqua" w:hAnsi="Book Antiqua" w:cs="Book Antiqua"/>
          <w:b/>
          <w:color w:val="000000"/>
        </w:rPr>
        <w:t xml:space="preserve">L-Editor: </w:t>
      </w:r>
      <w:r>
        <w:rPr>
          <w:rFonts w:ascii="Book Antiqua" w:eastAsia="宋体" w:hAnsi="Book Antiqua" w:cs="Book Antiqua" w:hint="eastAsi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001C49">
        <w:rPr>
          <w:rFonts w:ascii="Book Antiqua" w:hAnsi="Book Antiqua" w:cs="Book Antiqua"/>
          <w:color w:val="000000"/>
          <w:lang w:eastAsia="zh-CN"/>
        </w:rPr>
        <w:t>Chen YL</w:t>
      </w:r>
    </w:p>
    <w:p w14:paraId="6CEF8DAD" w14:textId="77777777" w:rsidR="00CE0620" w:rsidRDefault="00CE0620" w:rsidP="00F575F8">
      <w:pPr>
        <w:spacing w:line="360" w:lineRule="auto"/>
        <w:jc w:val="both"/>
        <w:rPr>
          <w:rFonts w:ascii="Book Antiqua" w:hAnsi="Book Antiqua"/>
        </w:rPr>
        <w:sectPr w:rsidR="00CE0620">
          <w:pgSz w:w="12240" w:h="15840"/>
          <w:pgMar w:top="1440" w:right="1440" w:bottom="1440" w:left="1440" w:header="720" w:footer="720" w:gutter="0"/>
          <w:cols w:space="720"/>
          <w:docGrid w:linePitch="360"/>
        </w:sectPr>
      </w:pPr>
    </w:p>
    <w:p w14:paraId="409009EF" w14:textId="36CBF13A" w:rsidR="00CE0620" w:rsidRPr="00796B4F" w:rsidRDefault="00000000" w:rsidP="00F575F8">
      <w:pPr>
        <w:spacing w:line="360" w:lineRule="auto"/>
        <w:jc w:val="both"/>
        <w:rPr>
          <w:rFonts w:ascii="Book Antiqua" w:hAnsi="Book Antiqua"/>
          <w:b/>
          <w:lang w:eastAsia="zh-CN"/>
        </w:rPr>
      </w:pPr>
      <w:r>
        <w:rPr>
          <w:rFonts w:ascii="Book Antiqua" w:hAnsi="Book Antiqua"/>
          <w:b/>
          <w:lang w:eastAsia="zh-CN"/>
        </w:rPr>
        <w:lastRenderedPageBreak/>
        <w:t>Figure Legends</w:t>
      </w:r>
    </w:p>
    <w:p w14:paraId="720AD674" w14:textId="2B1BAE22" w:rsidR="00796B4F" w:rsidRDefault="00796B4F" w:rsidP="00F575F8">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5FF41455" wp14:editId="6096147B">
            <wp:extent cx="5118100" cy="4122636"/>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2340" cy="4126051"/>
                    </a:xfrm>
                    <a:prstGeom prst="rect">
                      <a:avLst/>
                    </a:prstGeom>
                  </pic:spPr>
                </pic:pic>
              </a:graphicData>
            </a:graphic>
          </wp:inline>
        </w:drawing>
      </w:r>
    </w:p>
    <w:p w14:paraId="70D9EA6A" w14:textId="77777777" w:rsidR="00CE0620" w:rsidRDefault="00000000" w:rsidP="00F575F8">
      <w:pPr>
        <w:spacing w:line="360" w:lineRule="auto"/>
        <w:jc w:val="both"/>
        <w:rPr>
          <w:rFonts w:ascii="Book Antiqua" w:hAnsi="Book Antiqua"/>
          <w:lang w:eastAsia="zh-CN"/>
        </w:rPr>
      </w:pPr>
      <w:r>
        <w:rPr>
          <w:rFonts w:ascii="Book Antiqua" w:hAnsi="Book Antiqua"/>
          <w:b/>
        </w:rPr>
        <w:t>Figure 1</w:t>
      </w:r>
      <w:r>
        <w:rPr>
          <w:rFonts w:ascii="Book Antiqua" w:hAnsi="Book Antiqua" w:hint="eastAsia"/>
          <w:b/>
          <w:lang w:eastAsia="zh-CN"/>
        </w:rPr>
        <w:t xml:space="preserve"> </w:t>
      </w:r>
      <w:r>
        <w:rPr>
          <w:rFonts w:ascii="Book Antiqua" w:hAnsi="Book Antiqua" w:cs="Book Antiqua" w:hint="eastAsia"/>
          <w:b/>
          <w:color w:val="000000"/>
          <w:lang w:eastAsia="zh-CN"/>
        </w:rPr>
        <w:t>C</w:t>
      </w:r>
      <w:r>
        <w:rPr>
          <w:rFonts w:ascii="Book Antiqua" w:hAnsi="Book Antiqua" w:cs="Book Antiqua"/>
          <w:b/>
          <w:color w:val="000000"/>
        </w:rPr>
        <w:t>omputed tomography</w:t>
      </w:r>
      <w:r>
        <w:rPr>
          <w:rFonts w:ascii="Book Antiqua" w:hAnsi="Book Antiqua" w:cs="Book Antiqua" w:hint="eastAsia"/>
          <w:b/>
          <w:color w:val="000000"/>
          <w:lang w:eastAsia="zh-CN"/>
        </w:rPr>
        <w:t>.</w:t>
      </w:r>
      <w:r>
        <w:rPr>
          <w:rFonts w:ascii="Book Antiqua" w:hAnsi="Book Antiqua"/>
        </w:rPr>
        <w:t xml:space="preserve"> A</w:t>
      </w:r>
      <w:r>
        <w:rPr>
          <w:rFonts w:ascii="Book Antiqua" w:hAnsi="Book Antiqua" w:hint="eastAsia"/>
          <w:lang w:eastAsia="zh-CN"/>
        </w:rPr>
        <w:t>:</w:t>
      </w:r>
      <w:r>
        <w:rPr>
          <w:rFonts w:ascii="Book Antiqua" w:hAnsi="Book Antiqua"/>
        </w:rPr>
        <w:t xml:space="preserve"> On pulmonary </w:t>
      </w:r>
      <w:r>
        <w:rPr>
          <w:rFonts w:ascii="Book Antiqua" w:hAnsi="Book Antiqua" w:cs="Book Antiqua"/>
          <w:color w:val="000000"/>
        </w:rPr>
        <w:t>computed tomography</w:t>
      </w:r>
      <w:r>
        <w:rPr>
          <w:rFonts w:ascii="Book Antiqua" w:hAnsi="Book Antiqua"/>
        </w:rPr>
        <w:t xml:space="preserve"> </w:t>
      </w:r>
      <w:r>
        <w:rPr>
          <w:rFonts w:ascii="Book Antiqua" w:hAnsi="Book Antiqua" w:hint="eastAsia"/>
          <w:lang w:eastAsia="zh-CN"/>
        </w:rPr>
        <w:t>(</w:t>
      </w:r>
      <w:r>
        <w:rPr>
          <w:rFonts w:ascii="Book Antiqua" w:hAnsi="Book Antiqua"/>
        </w:rPr>
        <w:t>CT</w:t>
      </w:r>
      <w:r>
        <w:rPr>
          <w:rFonts w:ascii="Book Antiqua" w:hAnsi="Book Antiqua" w:hint="eastAsia"/>
          <w:lang w:eastAsia="zh-CN"/>
        </w:rPr>
        <w:t>)</w:t>
      </w:r>
      <w:r>
        <w:rPr>
          <w:rFonts w:ascii="Book Antiqua" w:hAnsi="Book Antiqua"/>
        </w:rPr>
        <w:t>, multiple patchy shadows, nodular higher-density shadows, multiple cavities, heterogeneous wall thickness, and air crescent sign and flat lipid in some lesions were observed (August 13, 2018)</w:t>
      </w:r>
      <w:r>
        <w:rPr>
          <w:rFonts w:ascii="Book Antiqua" w:hAnsi="Book Antiqua" w:hint="eastAsia"/>
          <w:lang w:eastAsia="zh-CN"/>
        </w:rPr>
        <w:t xml:space="preserve">; </w:t>
      </w:r>
      <w:r>
        <w:rPr>
          <w:rFonts w:ascii="Book Antiqua" w:hAnsi="Book Antiqua"/>
          <w:lang w:eastAsia="zh-CN"/>
        </w:rPr>
        <w:t>B</w:t>
      </w:r>
      <w:r>
        <w:rPr>
          <w:rFonts w:ascii="Book Antiqua" w:hAnsi="Book Antiqua" w:hint="eastAsia"/>
          <w:lang w:eastAsia="zh-CN"/>
        </w:rPr>
        <w:t>:</w:t>
      </w:r>
      <w:r>
        <w:rPr>
          <w:rFonts w:ascii="Book Antiqua" w:hAnsi="Book Antiqua"/>
          <w:lang w:eastAsia="zh-CN"/>
        </w:rPr>
        <w:t xml:space="preserve"> On pulmonary CT, there were new and larger bilateral pulmonary nodules (June 12, 2020)</w:t>
      </w:r>
      <w:r>
        <w:rPr>
          <w:rFonts w:ascii="Book Antiqua" w:hAnsi="Book Antiqua" w:hint="eastAsia"/>
          <w:lang w:eastAsia="zh-CN"/>
        </w:rPr>
        <w:t xml:space="preserve">; </w:t>
      </w:r>
      <w:r>
        <w:rPr>
          <w:rFonts w:ascii="Book Antiqua" w:hAnsi="Book Antiqua"/>
          <w:lang w:eastAsia="zh-CN"/>
        </w:rPr>
        <w:t>C</w:t>
      </w:r>
      <w:r>
        <w:rPr>
          <w:rFonts w:ascii="Book Antiqua" w:hAnsi="Book Antiqua" w:hint="eastAsia"/>
          <w:lang w:eastAsia="zh-CN"/>
        </w:rPr>
        <w:t>:</w:t>
      </w:r>
      <w:r>
        <w:rPr>
          <w:rFonts w:ascii="Book Antiqua" w:hAnsi="Book Antiqua"/>
          <w:lang w:eastAsia="zh-CN"/>
        </w:rPr>
        <w:t xml:space="preserve"> Renal CT was performed and revealed a space-occupying lesion in the right middle kidney, which was larger than before (June 15,</w:t>
      </w:r>
      <w:r>
        <w:rPr>
          <w:rFonts w:ascii="Book Antiqua" w:hAnsi="Book Antiqua" w:hint="eastAsia"/>
          <w:lang w:eastAsia="zh-CN"/>
        </w:rPr>
        <w:t xml:space="preserve"> </w:t>
      </w:r>
      <w:r>
        <w:rPr>
          <w:rFonts w:ascii="Book Antiqua" w:hAnsi="Book Antiqua"/>
          <w:lang w:eastAsia="zh-CN"/>
        </w:rPr>
        <w:t>2021)</w:t>
      </w:r>
      <w:r>
        <w:rPr>
          <w:rFonts w:ascii="Book Antiqua" w:hAnsi="Book Antiqua" w:hint="eastAsia"/>
          <w:lang w:eastAsia="zh-CN"/>
        </w:rPr>
        <w:t xml:space="preserve">; </w:t>
      </w:r>
      <w:r>
        <w:rPr>
          <w:rFonts w:ascii="Book Antiqua" w:hAnsi="Book Antiqua"/>
          <w:lang w:eastAsia="zh-CN"/>
        </w:rPr>
        <w:t>D</w:t>
      </w:r>
      <w:r>
        <w:rPr>
          <w:rFonts w:ascii="Book Antiqua" w:hAnsi="Book Antiqua" w:hint="eastAsia"/>
          <w:lang w:eastAsia="zh-CN"/>
        </w:rPr>
        <w:t xml:space="preserve">: </w:t>
      </w:r>
      <w:r>
        <w:rPr>
          <w:rFonts w:ascii="Book Antiqua" w:hAnsi="Book Antiqua"/>
          <w:lang w:eastAsia="zh-CN"/>
        </w:rPr>
        <w:t>The right middle kidney-occupying lesion was significantly absorbed after tocilizumab treatment (August 20,</w:t>
      </w:r>
      <w:r>
        <w:rPr>
          <w:rFonts w:ascii="Book Antiqua" w:hAnsi="Book Antiqua" w:hint="eastAsia"/>
          <w:lang w:eastAsia="zh-CN"/>
        </w:rPr>
        <w:t xml:space="preserve"> </w:t>
      </w:r>
      <w:r>
        <w:rPr>
          <w:rFonts w:ascii="Book Antiqua" w:hAnsi="Book Antiqua"/>
          <w:lang w:eastAsia="zh-CN"/>
        </w:rPr>
        <w:t>2021).</w:t>
      </w:r>
    </w:p>
    <w:p w14:paraId="67EBCBCD" w14:textId="32FBC3BE" w:rsidR="00CE0620" w:rsidRDefault="00CE0620" w:rsidP="00F575F8">
      <w:pPr>
        <w:spacing w:line="360" w:lineRule="auto"/>
        <w:jc w:val="both"/>
        <w:rPr>
          <w:rFonts w:ascii="Book Antiqua" w:hAnsi="Book Antiqua"/>
          <w:lang w:eastAsia="zh-CN"/>
        </w:rPr>
      </w:pPr>
    </w:p>
    <w:p w14:paraId="0A6998DF" w14:textId="5F0CF8B7" w:rsidR="00796B4F" w:rsidRDefault="00796B4F" w:rsidP="00F575F8">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0FAE7A7F" wp14:editId="7C6F3273">
            <wp:extent cx="5182853" cy="2114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6565" cy="2116065"/>
                    </a:xfrm>
                    <a:prstGeom prst="rect">
                      <a:avLst/>
                    </a:prstGeom>
                  </pic:spPr>
                </pic:pic>
              </a:graphicData>
            </a:graphic>
          </wp:inline>
        </w:drawing>
      </w:r>
    </w:p>
    <w:p w14:paraId="5BF65A87" w14:textId="2F63F336" w:rsidR="00CE0620" w:rsidRDefault="00000000" w:rsidP="00F575F8">
      <w:pPr>
        <w:spacing w:line="360" w:lineRule="auto"/>
        <w:jc w:val="both"/>
        <w:rPr>
          <w:rFonts w:ascii="Book Antiqua" w:hAnsi="Book Antiqua"/>
          <w:lang w:eastAsia="zh-CN"/>
        </w:rPr>
      </w:pPr>
      <w:r>
        <w:rPr>
          <w:rFonts w:ascii="Book Antiqua" w:hAnsi="Book Antiqua"/>
          <w:b/>
          <w:lang w:eastAsia="zh-CN"/>
        </w:rPr>
        <w:t>Figure 2</w:t>
      </w:r>
      <w:r>
        <w:rPr>
          <w:rFonts w:ascii="Book Antiqua" w:hAnsi="Book Antiqua" w:hint="eastAsia"/>
          <w:b/>
          <w:lang w:eastAsia="zh-CN"/>
        </w:rPr>
        <w:t xml:space="preserve"> </w:t>
      </w:r>
      <w:r>
        <w:rPr>
          <w:rFonts w:ascii="Book Antiqua" w:hAnsi="Book Antiqua"/>
          <w:b/>
          <w:lang w:eastAsia="zh-CN"/>
        </w:rPr>
        <w:t>Puncture pathology</w:t>
      </w:r>
      <w:r>
        <w:rPr>
          <w:rFonts w:ascii="Book Antiqua" w:hAnsi="Book Antiqua" w:hint="eastAsia"/>
          <w:b/>
          <w:lang w:eastAsia="zh-CN"/>
        </w:rPr>
        <w:t>.</w:t>
      </w:r>
      <w:r>
        <w:rPr>
          <w:rFonts w:ascii="Book Antiqua" w:hAnsi="Book Antiqua"/>
          <w:b/>
          <w:lang w:eastAsia="zh-CN"/>
        </w:rPr>
        <w:t xml:space="preserve"> </w:t>
      </w:r>
      <w:r>
        <w:rPr>
          <w:rFonts w:ascii="Book Antiqua" w:hAnsi="Book Antiqua"/>
          <w:lang w:eastAsia="zh-CN"/>
        </w:rPr>
        <w:t>A</w:t>
      </w:r>
      <w:r>
        <w:rPr>
          <w:rFonts w:ascii="Book Antiqua" w:hAnsi="Book Antiqua" w:hint="eastAsia"/>
          <w:lang w:eastAsia="zh-CN"/>
        </w:rPr>
        <w:t xml:space="preserve"> and B: </w:t>
      </w:r>
      <w:r>
        <w:rPr>
          <w:rFonts w:ascii="Book Antiqua" w:hAnsi="Book Antiqua"/>
          <w:lang w:eastAsia="zh-CN"/>
        </w:rPr>
        <w:t>Puncture pathology of the space-occupying lesion revealed infiltration of tissue cells, plasma cells</w:t>
      </w:r>
      <w:r>
        <w:rPr>
          <w:rFonts w:ascii="Book Antiqua" w:hAnsi="Book Antiqua" w:hint="eastAsia"/>
          <w:lang w:eastAsia="zh-CN"/>
        </w:rPr>
        <w:t>,</w:t>
      </w:r>
      <w:r>
        <w:rPr>
          <w:rFonts w:ascii="Book Antiqua" w:hAnsi="Book Antiqua"/>
          <w:lang w:eastAsia="zh-CN"/>
        </w:rPr>
        <w:t xml:space="preserve"> and lymphocytes (</w:t>
      </w:r>
      <w:r>
        <w:rPr>
          <w:rFonts w:ascii="Book Antiqua" w:hAnsi="Book Antiqua" w:hint="eastAsia"/>
          <w:lang w:eastAsia="zh-CN"/>
        </w:rPr>
        <w:t xml:space="preserve">A: </w:t>
      </w:r>
      <w:r>
        <w:rPr>
          <w:rFonts w:ascii="Book Antiqua" w:hAnsi="Book Antiqua"/>
          <w:lang w:eastAsia="zh-CN"/>
        </w:rPr>
        <w:t>magnification</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200</w:t>
      </w:r>
      <w:r>
        <w:rPr>
          <w:rFonts w:ascii="Book Antiqua" w:hAnsi="Book Antiqua" w:hint="eastAsia"/>
          <w:lang w:eastAsia="zh-CN"/>
        </w:rPr>
        <w:t xml:space="preserve">; </w:t>
      </w:r>
      <w:r>
        <w:rPr>
          <w:rFonts w:ascii="Book Antiqua" w:hAnsi="Book Antiqua"/>
          <w:lang w:eastAsia="zh-CN"/>
        </w:rPr>
        <w:t>B</w:t>
      </w:r>
      <w:r>
        <w:rPr>
          <w:rFonts w:ascii="Book Antiqua" w:hAnsi="Book Antiqua" w:hint="eastAsia"/>
          <w:lang w:eastAsia="zh-CN"/>
        </w:rPr>
        <w:t>: M</w:t>
      </w:r>
      <w:r>
        <w:rPr>
          <w:rFonts w:ascii="Book Antiqua" w:hAnsi="Book Antiqua"/>
          <w:lang w:eastAsia="zh-CN"/>
        </w:rPr>
        <w:t>agnification</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400</w:t>
      </w:r>
      <w:r>
        <w:rPr>
          <w:rFonts w:ascii="Book Antiqua" w:hAnsi="Book Antiqua" w:hint="eastAsia"/>
          <w:lang w:eastAsia="zh-CN"/>
        </w:rPr>
        <w:t>).</w:t>
      </w:r>
    </w:p>
    <w:p w14:paraId="14FBCBD5" w14:textId="7F91187A" w:rsidR="00CE0620" w:rsidRDefault="00CE0620" w:rsidP="00F575F8">
      <w:pPr>
        <w:spacing w:line="360" w:lineRule="auto"/>
        <w:jc w:val="both"/>
        <w:rPr>
          <w:rFonts w:ascii="Book Antiqua" w:hAnsi="Book Antiqua"/>
          <w:lang w:eastAsia="zh-CN"/>
        </w:rPr>
      </w:pPr>
    </w:p>
    <w:p w14:paraId="4D51724A" w14:textId="08EBD0CA" w:rsidR="00CE0620" w:rsidRDefault="00796B4F" w:rsidP="00F575F8">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6A9BED2B" wp14:editId="7DB1C7C1">
            <wp:extent cx="5930900" cy="66576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2462" cy="6670669"/>
                    </a:xfrm>
                    <a:prstGeom prst="rect">
                      <a:avLst/>
                    </a:prstGeom>
                  </pic:spPr>
                </pic:pic>
              </a:graphicData>
            </a:graphic>
          </wp:inline>
        </w:drawing>
      </w:r>
    </w:p>
    <w:p w14:paraId="489A7146" w14:textId="619AE17D" w:rsidR="00CE0620" w:rsidRPr="00796B4F" w:rsidRDefault="00000000" w:rsidP="00F575F8">
      <w:pPr>
        <w:spacing w:line="360" w:lineRule="auto"/>
        <w:jc w:val="both"/>
        <w:rPr>
          <w:rFonts w:ascii="Book Antiqua" w:hAnsi="Book Antiqua"/>
          <w:b/>
          <w:lang w:eastAsia="zh-CN"/>
        </w:rPr>
      </w:pPr>
      <w:r>
        <w:rPr>
          <w:rFonts w:ascii="Book Antiqua" w:hAnsi="Book Antiqua" w:hint="eastAsia"/>
          <w:b/>
          <w:lang w:eastAsia="zh-CN"/>
        </w:rPr>
        <w:t xml:space="preserve">Figure 3 </w:t>
      </w:r>
      <w:r>
        <w:rPr>
          <w:rFonts w:ascii="Book Antiqua" w:eastAsia="宋体" w:hAnsi="Book Antiqua" w:cs="Book Antiqua" w:hint="eastAsia"/>
          <w:b/>
          <w:color w:val="000000"/>
          <w:lang w:eastAsia="zh-CN"/>
        </w:rPr>
        <w:t>E</w:t>
      </w:r>
      <w:r>
        <w:rPr>
          <w:rFonts w:ascii="Book Antiqua" w:eastAsia="Book Antiqua" w:hAnsi="Book Antiqua" w:cs="Book Antiqua"/>
          <w:b/>
          <w:color w:val="000000"/>
        </w:rPr>
        <w:t>rythrocyte sedimentation rate and the levels of interleukin-6 and proteinase 3-</w:t>
      </w:r>
      <w:r>
        <w:rPr>
          <w:rFonts w:ascii="Book Antiqua" w:hAnsi="Book Antiqua" w:cs="Book Antiqua" w:hint="eastAsia"/>
          <w:b/>
          <w:color w:val="000000"/>
          <w:lang w:eastAsia="zh-CN"/>
        </w:rPr>
        <w:t>a</w:t>
      </w:r>
      <w:r>
        <w:rPr>
          <w:rFonts w:ascii="Book Antiqua" w:eastAsia="Book Antiqua" w:hAnsi="Book Antiqua" w:cs="Book Antiqua"/>
          <w:b/>
          <w:color w:val="000000"/>
        </w:rPr>
        <w:t>ntineutrophil cytoplasmic antibody</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A: E</w:t>
      </w:r>
      <w:r>
        <w:rPr>
          <w:rFonts w:ascii="Book Antiqua" w:eastAsia="Book Antiqua" w:hAnsi="Book Antiqua" w:cs="Book Antiqua"/>
          <w:color w:val="000000"/>
        </w:rPr>
        <w:t>rythrocyte sedimentation rate</w:t>
      </w:r>
      <w:r>
        <w:rPr>
          <w:rFonts w:ascii="Book Antiqua"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nterleukin-6</w:t>
      </w:r>
      <w:r>
        <w:rPr>
          <w:rFonts w:ascii="Book Antiqua" w:hAnsi="Book Antiqua" w:cs="Book Antiqua" w:hint="eastAsia"/>
          <w:color w:val="000000"/>
          <w:lang w:eastAsia="zh-CN"/>
        </w:rPr>
        <w:t>; C: P</w:t>
      </w:r>
      <w:r>
        <w:rPr>
          <w:rFonts w:ascii="Book Antiqua" w:eastAsia="Book Antiqua" w:hAnsi="Book Antiqua" w:cs="Book Antiqua"/>
          <w:color w:val="000000"/>
        </w:rPr>
        <w:t>roteinase 3-</w:t>
      </w:r>
      <w:r>
        <w:rPr>
          <w:rFonts w:ascii="Book Antiqua" w:hAnsi="Book Antiqua" w:cs="Book Antiqua" w:hint="eastAsia"/>
          <w:color w:val="000000"/>
          <w:lang w:eastAsia="zh-CN"/>
        </w:rPr>
        <w:t>a</w:t>
      </w:r>
      <w:r>
        <w:rPr>
          <w:rFonts w:ascii="Book Antiqua" w:eastAsia="Book Antiqua" w:hAnsi="Book Antiqua" w:cs="Book Antiqua"/>
          <w:color w:val="000000"/>
        </w:rPr>
        <w:t>ntineutrophil cytoplasmic antibody</w:t>
      </w:r>
      <w:r>
        <w:rPr>
          <w:rFonts w:ascii="Book Antiqua" w:hAnsi="Book Antiqua" w:cs="Book Antiqua" w:hint="eastAsia"/>
          <w:color w:val="000000"/>
          <w:lang w:eastAsia="zh-CN"/>
        </w:rPr>
        <w:t>.</w:t>
      </w:r>
      <w:r w:rsidR="00796B4F">
        <w:rPr>
          <w:rFonts w:ascii="Book Antiqua" w:hAnsi="Book Antiqua" w:cs="Book Antiqua"/>
          <w:color w:val="000000"/>
          <w:lang w:eastAsia="zh-CN"/>
        </w:rPr>
        <w:t xml:space="preserve"> ESR: E</w:t>
      </w:r>
      <w:r w:rsidR="00796B4F">
        <w:rPr>
          <w:rFonts w:ascii="Book Antiqua" w:eastAsia="Book Antiqua" w:hAnsi="Book Antiqua" w:cs="Book Antiqua"/>
          <w:color w:val="000000"/>
        </w:rPr>
        <w:t xml:space="preserve">rythrocyte sedimentation rate; IL-6: Interleukin-6; CTX: Cyclophosphamide; TW: Tripterygium </w:t>
      </w:r>
      <w:proofErr w:type="spellStart"/>
      <w:r w:rsidR="00796B4F">
        <w:rPr>
          <w:rFonts w:ascii="Book Antiqua" w:eastAsia="Book Antiqua" w:hAnsi="Book Antiqua" w:cs="Book Antiqua"/>
          <w:color w:val="000000"/>
        </w:rPr>
        <w:t>wilfordii</w:t>
      </w:r>
      <w:proofErr w:type="spellEnd"/>
      <w:r w:rsidR="00796B4F">
        <w:rPr>
          <w:rFonts w:ascii="Book Antiqua" w:eastAsia="Book Antiqua" w:hAnsi="Book Antiqua" w:cs="Book Antiqua"/>
          <w:color w:val="000000"/>
        </w:rPr>
        <w:t xml:space="preserve">; MMF: Mycophenolate mofetil; TCZ: </w:t>
      </w:r>
      <w:r w:rsidR="00796B4F" w:rsidRPr="00796B4F">
        <w:rPr>
          <w:rFonts w:ascii="Book Antiqua" w:eastAsia="Book Antiqua" w:hAnsi="Book Antiqua" w:cs="Book Antiqua"/>
          <w:color w:val="000000"/>
        </w:rPr>
        <w:t>Tocilizumab</w:t>
      </w:r>
      <w:r w:rsidR="00796B4F">
        <w:rPr>
          <w:rFonts w:ascii="Book Antiqua" w:eastAsia="Book Antiqua" w:hAnsi="Book Antiqua" w:cs="Book Antiqua"/>
          <w:color w:val="000000"/>
        </w:rPr>
        <w:t>.</w:t>
      </w:r>
    </w:p>
    <w:sectPr w:rsidR="00CE0620" w:rsidRPr="00796B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18B1C" w14:textId="77777777" w:rsidR="00EB05A7" w:rsidRDefault="00EB05A7">
      <w:r>
        <w:separator/>
      </w:r>
    </w:p>
  </w:endnote>
  <w:endnote w:type="continuationSeparator" w:id="0">
    <w:p w14:paraId="0DB04448" w14:textId="77777777" w:rsidR="00EB05A7" w:rsidRDefault="00EB05A7">
      <w:r>
        <w:continuationSeparator/>
      </w:r>
    </w:p>
  </w:endnote>
  <w:endnote w:type="continuationNotice" w:id="1">
    <w:p w14:paraId="0F3C09DA" w14:textId="77777777" w:rsidR="00EB05A7" w:rsidRDefault="00EB0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794680"/>
    </w:sdtPr>
    <w:sdtContent>
      <w:sdt>
        <w:sdtPr>
          <w:id w:val="860082579"/>
        </w:sdtPr>
        <w:sdtContent>
          <w:p w14:paraId="1CBAEDFB" w14:textId="1A57AB66" w:rsidR="00CE0620" w:rsidRDefault="00000000">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19</w:t>
            </w:r>
            <w:r>
              <w:rPr>
                <w:b/>
                <w:bCs/>
                <w:sz w:val="24"/>
                <w:szCs w:val="24"/>
              </w:rPr>
              <w:fldChar w:fldCharType="end"/>
            </w:r>
          </w:p>
        </w:sdtContent>
      </w:sdt>
    </w:sdtContent>
  </w:sdt>
  <w:p w14:paraId="4A4884C8" w14:textId="77777777" w:rsidR="00CE0620" w:rsidRDefault="00CE06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379BD" w14:textId="77777777" w:rsidR="00EB05A7" w:rsidRDefault="00EB05A7">
      <w:r>
        <w:separator/>
      </w:r>
    </w:p>
  </w:footnote>
  <w:footnote w:type="continuationSeparator" w:id="0">
    <w:p w14:paraId="0C3C754E" w14:textId="77777777" w:rsidR="00EB05A7" w:rsidRDefault="00EB05A7">
      <w:r>
        <w:continuationSeparator/>
      </w:r>
    </w:p>
  </w:footnote>
  <w:footnote w:type="continuationNotice" w:id="1">
    <w:p w14:paraId="1853EB1A" w14:textId="77777777" w:rsidR="00EB05A7" w:rsidRDefault="00EB05A7"/>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0D28FA"/>
    <w:rsid w:val="00001C49"/>
    <w:rsid w:val="00032B44"/>
    <w:rsid w:val="000B0FE4"/>
    <w:rsid w:val="000D28FA"/>
    <w:rsid w:val="00146946"/>
    <w:rsid w:val="00225D85"/>
    <w:rsid w:val="002F4AEA"/>
    <w:rsid w:val="0034638B"/>
    <w:rsid w:val="003B1DDE"/>
    <w:rsid w:val="0043499E"/>
    <w:rsid w:val="004634EF"/>
    <w:rsid w:val="004A2171"/>
    <w:rsid w:val="004B41E2"/>
    <w:rsid w:val="004F13EA"/>
    <w:rsid w:val="00546F06"/>
    <w:rsid w:val="005F01BB"/>
    <w:rsid w:val="006700D8"/>
    <w:rsid w:val="006B462E"/>
    <w:rsid w:val="006B5004"/>
    <w:rsid w:val="006B7EA1"/>
    <w:rsid w:val="00736754"/>
    <w:rsid w:val="00771F54"/>
    <w:rsid w:val="00796B4F"/>
    <w:rsid w:val="0083799F"/>
    <w:rsid w:val="008A28A3"/>
    <w:rsid w:val="00915670"/>
    <w:rsid w:val="00934542"/>
    <w:rsid w:val="00A57A9A"/>
    <w:rsid w:val="00A80D80"/>
    <w:rsid w:val="00AD0D11"/>
    <w:rsid w:val="00B31519"/>
    <w:rsid w:val="00C40791"/>
    <w:rsid w:val="00CE0620"/>
    <w:rsid w:val="00CE267D"/>
    <w:rsid w:val="00D111E3"/>
    <w:rsid w:val="00DA32D4"/>
    <w:rsid w:val="00DF0FDB"/>
    <w:rsid w:val="00DF652C"/>
    <w:rsid w:val="00EB05A7"/>
    <w:rsid w:val="00EE1D85"/>
    <w:rsid w:val="00F02C80"/>
    <w:rsid w:val="00F04009"/>
    <w:rsid w:val="00F575F8"/>
    <w:rsid w:val="00F6695C"/>
    <w:rsid w:val="00F737B8"/>
    <w:rsid w:val="00FD71D0"/>
    <w:rsid w:val="00FE2C54"/>
    <w:rsid w:val="07D434E8"/>
    <w:rsid w:val="0809790C"/>
    <w:rsid w:val="2CFE690C"/>
    <w:rsid w:val="60BD3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2EE98"/>
  <w15:docId w15:val="{888C4557-C804-4D89-95AF-4EED736A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cs="Times New Roman"/>
      <w:sz w:val="24"/>
      <w:szCs w:val="24"/>
      <w:lang w:eastAsia="en-US"/>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736754"/>
    <w:rPr>
      <w:sz w:val="18"/>
      <w:szCs w:val="18"/>
    </w:rPr>
  </w:style>
  <w:style w:type="paragraph" w:styleId="a5">
    <w:name w:val="footer"/>
    <w:basedOn w:val="a"/>
    <w:link w:val="a6"/>
    <w:uiPriority w:val="99"/>
    <w:unhideWhenUsed/>
    <w:qFormat/>
    <w:rsid w:val="00736754"/>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7">
    <w:name w:val="header"/>
    <w:basedOn w:val="a"/>
    <w:link w:val="a8"/>
    <w:uiPriority w:val="99"/>
    <w:unhideWhenUsed/>
    <w:qFormat/>
    <w:rsid w:val="00736754"/>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10">
    <w:name w:val="标题 1 字符"/>
    <w:basedOn w:val="a0"/>
    <w:link w:val="1"/>
    <w:uiPriority w:val="9"/>
    <w:qFormat/>
    <w:rPr>
      <w:b/>
      <w:bCs/>
      <w:kern w:val="44"/>
      <w:sz w:val="44"/>
      <w:szCs w:val="44"/>
    </w:rPr>
  </w:style>
  <w:style w:type="character" w:customStyle="1" w:styleId="a8">
    <w:name w:val="页眉 字符"/>
    <w:basedOn w:val="a0"/>
    <w:link w:val="a7"/>
    <w:uiPriority w:val="99"/>
    <w:qFormat/>
    <w:rPr>
      <w:kern w:val="2"/>
      <w:sz w:val="18"/>
      <w:szCs w:val="18"/>
    </w:rPr>
  </w:style>
  <w:style w:type="character" w:customStyle="1" w:styleId="a6">
    <w:name w:val="页脚 字符"/>
    <w:basedOn w:val="a0"/>
    <w:link w:val="a5"/>
    <w:uiPriority w:val="99"/>
    <w:qFormat/>
    <w:rPr>
      <w:kern w:val="2"/>
      <w:sz w:val="18"/>
      <w:szCs w:val="18"/>
    </w:rPr>
  </w:style>
  <w:style w:type="character" w:customStyle="1" w:styleId="a4">
    <w:name w:val="批注框文本 字符"/>
    <w:basedOn w:val="a0"/>
    <w:link w:val="a3"/>
    <w:uiPriority w:val="99"/>
    <w:semiHidden/>
    <w:qFormat/>
    <w:rPr>
      <w:rFonts w:ascii="Times New Roman" w:hAnsi="Times New Roman" w:cs="Times New Roman"/>
      <w:sz w:val="18"/>
      <w:szCs w:val="18"/>
      <w:lang w:eastAsia="en-US"/>
    </w:rPr>
  </w:style>
  <w:style w:type="paragraph" w:customStyle="1" w:styleId="11">
    <w:name w:val="修订1"/>
    <w:hidden/>
    <w:uiPriority w:val="99"/>
    <w:semiHidden/>
    <w:qFormat/>
    <w:rPr>
      <w:rFonts w:ascii="Times New Roman" w:hAnsi="Times New Roman" w:cs="Times New Roman"/>
      <w:sz w:val="24"/>
      <w:szCs w:val="24"/>
      <w:lang w:eastAsia="en-US"/>
    </w:rPr>
  </w:style>
  <w:style w:type="paragraph" w:styleId="a9">
    <w:name w:val="Revision"/>
    <w:hidden/>
    <w:uiPriority w:val="99"/>
    <w:semiHidden/>
    <w:rsid w:val="00736754"/>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3692">
      <w:bodyDiv w:val="1"/>
      <w:marLeft w:val="0"/>
      <w:marRight w:val="0"/>
      <w:marTop w:val="0"/>
      <w:marBottom w:val="0"/>
      <w:divBdr>
        <w:top w:val="none" w:sz="0" w:space="0" w:color="auto"/>
        <w:left w:val="none" w:sz="0" w:space="0" w:color="auto"/>
        <w:bottom w:val="none" w:sz="0" w:space="0" w:color="auto"/>
        <w:right w:val="none" w:sz="0" w:space="0" w:color="auto"/>
      </w:divBdr>
    </w:div>
    <w:div w:id="62731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1</Pages>
  <Words>3907</Words>
  <Characters>22274</Characters>
  <Application>Microsoft Office Word</Application>
  <DocSecurity>0</DocSecurity>
  <Lines>185</Lines>
  <Paragraphs>52</Paragraphs>
  <ScaleCrop>false</ScaleCrop>
  <Company/>
  <LinksUpToDate>false</LinksUpToDate>
  <CharactersWithSpaces>26129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CYL</dc:creator>
  <cp:lastModifiedBy>BPG Wang,Jin-Lei</cp:lastModifiedBy>
  <cp:revision>8</cp:revision>
  <dcterms:created xsi:type="dcterms:W3CDTF">2022-12-31T11:56:00Z</dcterms:created>
  <dcterms:modified xsi:type="dcterms:W3CDTF">2023-01-28T06:09:00Z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-1525094943</vt:i4>
  </property>
  <property fmtid="{D5CDD505-2E9C-101B-9397-08002B2CF9AE}" pid="3" name="KSOProductBuildVer">
    <vt:lpwstr>2052-11.1.0.12132</vt:lpwstr>
  </property>
  <property fmtid="{D5CDD505-2E9C-101B-9397-08002B2CF9AE}" pid="4" name="ICV">
    <vt:lpwstr>E3133D432B7B43CCA16582ADBFE476DD</vt:lpwstr>
  </property>
</Properties>
</file>