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7D6E98" w14:textId="77777777" w:rsidR="00ED477D" w:rsidRDefault="00000000">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1C088527" w14:textId="77777777" w:rsidR="00ED477D" w:rsidRDefault="00000000">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81390</w:t>
      </w:r>
    </w:p>
    <w:p w14:paraId="0DE8EB09" w14:textId="77777777" w:rsidR="00ED477D" w:rsidRDefault="00000000">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3B8D5EC9" w14:textId="77777777" w:rsidR="00ED477D" w:rsidRDefault="00ED477D">
      <w:pPr>
        <w:spacing w:line="360" w:lineRule="auto"/>
        <w:jc w:val="both"/>
      </w:pPr>
    </w:p>
    <w:p w14:paraId="397A066F" w14:textId="77777777" w:rsidR="00ED477D" w:rsidRDefault="00000000">
      <w:pPr>
        <w:spacing w:line="360" w:lineRule="auto"/>
        <w:jc w:val="both"/>
      </w:pPr>
      <w:r>
        <w:rPr>
          <w:rFonts w:ascii="Book Antiqua" w:eastAsia="Book Antiqua" w:hAnsi="Book Antiqua" w:cs="Book Antiqua"/>
          <w:b/>
          <w:color w:val="000000"/>
        </w:rPr>
        <w:t>Glucocorticoid-induced thrombotic microangiopathy in paroxysmal nocturnal hemoglobinuria: A case report and review of literature</w:t>
      </w:r>
    </w:p>
    <w:p w14:paraId="195599C2" w14:textId="77777777" w:rsidR="00ED477D" w:rsidRDefault="00ED477D">
      <w:pPr>
        <w:spacing w:line="360" w:lineRule="auto"/>
        <w:jc w:val="both"/>
      </w:pPr>
    </w:p>
    <w:p w14:paraId="03F85B42" w14:textId="77777777" w:rsidR="00ED477D" w:rsidRDefault="00000000">
      <w:pPr>
        <w:spacing w:line="360" w:lineRule="auto"/>
        <w:jc w:val="both"/>
      </w:pPr>
      <w:r>
        <w:rPr>
          <w:rFonts w:ascii="Book Antiqua" w:eastAsia="Book Antiqua" w:hAnsi="Book Antiqua" w:cs="Book Antiqua"/>
          <w:color w:val="000000"/>
        </w:rPr>
        <w:t xml:space="preserve">Yang XD </w:t>
      </w:r>
      <w:r>
        <w:rPr>
          <w:rFonts w:ascii="Book Antiqua" w:eastAsia="Book Antiqua" w:hAnsi="Book Antiqua" w:cs="Book Antiqua"/>
          <w:i/>
          <w:iCs/>
          <w:color w:val="000000"/>
        </w:rPr>
        <w:t>et al</w:t>
      </w:r>
      <w:r>
        <w:rPr>
          <w:rFonts w:ascii="Book Antiqua" w:eastAsia="Book Antiqua" w:hAnsi="Book Antiqua" w:cs="Book Antiqua"/>
          <w:color w:val="000000"/>
        </w:rPr>
        <w:t>. GC-induced TMA in PNH</w:t>
      </w:r>
    </w:p>
    <w:p w14:paraId="69D193CB" w14:textId="77777777" w:rsidR="00ED477D" w:rsidRDefault="00ED477D">
      <w:pPr>
        <w:spacing w:line="360" w:lineRule="auto"/>
        <w:jc w:val="both"/>
      </w:pPr>
    </w:p>
    <w:p w14:paraId="281FC204" w14:textId="77777777" w:rsidR="00ED477D" w:rsidRDefault="00000000">
      <w:pPr>
        <w:spacing w:line="360" w:lineRule="auto"/>
        <w:jc w:val="both"/>
      </w:pPr>
      <w:r>
        <w:rPr>
          <w:rFonts w:ascii="Book Antiqua" w:eastAsia="Book Antiqua" w:hAnsi="Book Antiqua" w:cs="Book Antiqua"/>
          <w:color w:val="000000"/>
        </w:rPr>
        <w:t xml:space="preserve">Xiao-Dong Yang, Bo Ju, Jia Xu, </w:t>
      </w:r>
      <w:proofErr w:type="spellStart"/>
      <w:r>
        <w:rPr>
          <w:rFonts w:ascii="Book Antiqua" w:eastAsia="Book Antiqua" w:hAnsi="Book Antiqua" w:cs="Book Antiqua"/>
          <w:color w:val="000000"/>
        </w:rPr>
        <w:t>Nuan-Nuan</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Xiao-Yun Sun, Xi-Chen Zhao</w:t>
      </w:r>
    </w:p>
    <w:p w14:paraId="6562E32D" w14:textId="77777777" w:rsidR="00ED477D" w:rsidRDefault="00ED477D">
      <w:pPr>
        <w:spacing w:line="360" w:lineRule="auto"/>
        <w:jc w:val="both"/>
      </w:pPr>
    </w:p>
    <w:p w14:paraId="1DB21961" w14:textId="77777777" w:rsidR="00ED477D" w:rsidRDefault="00000000">
      <w:pPr>
        <w:spacing w:line="360" w:lineRule="auto"/>
        <w:jc w:val="both"/>
      </w:pPr>
      <w:r>
        <w:rPr>
          <w:rFonts w:ascii="Book Antiqua" w:eastAsia="Book Antiqua" w:hAnsi="Book Antiqua" w:cs="Book Antiqua"/>
          <w:b/>
          <w:bCs/>
          <w:color w:val="000000"/>
        </w:rPr>
        <w:t xml:space="preserve">Xiao-Dong Yang, Bo Ju, Jia Xu, </w:t>
      </w:r>
      <w:proofErr w:type="spellStart"/>
      <w:r>
        <w:rPr>
          <w:rFonts w:ascii="Book Antiqua" w:eastAsia="Book Antiqua" w:hAnsi="Book Antiqua" w:cs="Book Antiqua"/>
          <w:b/>
          <w:bCs/>
          <w:color w:val="000000"/>
        </w:rPr>
        <w:t>Nuan-Nuan</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Xiu</w:t>
      </w:r>
      <w:proofErr w:type="spellEnd"/>
      <w:r>
        <w:rPr>
          <w:rFonts w:ascii="Book Antiqua" w:eastAsia="Book Antiqua" w:hAnsi="Book Antiqua" w:cs="Book Antiqua"/>
          <w:b/>
          <w:bCs/>
          <w:color w:val="000000"/>
        </w:rPr>
        <w:t xml:space="preserve">, Xiao-Yun Sun, Xi-Chen Zhao, </w:t>
      </w:r>
      <w:r>
        <w:rPr>
          <w:rFonts w:ascii="Book Antiqua" w:eastAsia="Book Antiqua" w:hAnsi="Book Antiqua" w:cs="Book Antiqua"/>
          <w:color w:val="000000"/>
        </w:rPr>
        <w:t>Department of Hematology, The Central Hospital of Qingdao West Coast New Area, Qingdao 266555, Shandong Province, China</w:t>
      </w:r>
    </w:p>
    <w:p w14:paraId="54846485" w14:textId="77777777" w:rsidR="00ED477D" w:rsidRDefault="00ED477D">
      <w:pPr>
        <w:spacing w:line="360" w:lineRule="auto"/>
        <w:jc w:val="both"/>
      </w:pPr>
    </w:p>
    <w:p w14:paraId="76112AB0" w14:textId="7CB5036F" w:rsidR="00ED477D" w:rsidRDefault="00000000">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 xml:space="preserve">Zhao XC developed the idea; Yang XD, Ju B and Xu J analyzed the data and drafted the manuscript; Yang XD, Ju B, Xu J and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NN participated in the treatment; Sun XY supervised the treatment; Zhao XC revised and approved the final manuscript; All authors read and approved the final version of the manuscript.</w:t>
      </w:r>
    </w:p>
    <w:p w14:paraId="0B9FA31E" w14:textId="77777777" w:rsidR="00ED477D" w:rsidRDefault="00ED477D">
      <w:pPr>
        <w:spacing w:line="360" w:lineRule="auto"/>
        <w:jc w:val="both"/>
      </w:pPr>
    </w:p>
    <w:p w14:paraId="06416F13" w14:textId="77777777" w:rsidR="00ED477D" w:rsidRDefault="00000000">
      <w:pPr>
        <w:spacing w:line="360" w:lineRule="auto"/>
        <w:jc w:val="both"/>
      </w:pPr>
      <w:r>
        <w:rPr>
          <w:rFonts w:ascii="Book Antiqua" w:eastAsia="Book Antiqua" w:hAnsi="Book Antiqua" w:cs="Book Antiqua"/>
          <w:b/>
          <w:bCs/>
          <w:color w:val="000000"/>
        </w:rPr>
        <w:t xml:space="preserve">Supported by </w:t>
      </w:r>
      <w:r>
        <w:rPr>
          <w:rFonts w:ascii="Book Antiqua" w:eastAsia="Book Antiqua" w:hAnsi="Book Antiqua" w:cs="Book Antiqua"/>
          <w:color w:val="000000"/>
        </w:rPr>
        <w:t>Specialized Scientific Research Fund Projects of The Medical Group of Qingdao University, No. YLJT20201002.</w:t>
      </w:r>
    </w:p>
    <w:p w14:paraId="174ECFB9" w14:textId="77777777" w:rsidR="00ED477D" w:rsidRDefault="00ED477D">
      <w:pPr>
        <w:spacing w:line="360" w:lineRule="auto"/>
        <w:jc w:val="both"/>
      </w:pPr>
    </w:p>
    <w:p w14:paraId="458398F0" w14:textId="77777777" w:rsidR="00ED477D" w:rsidRDefault="00000000">
      <w:pPr>
        <w:spacing w:line="360" w:lineRule="auto"/>
        <w:jc w:val="both"/>
      </w:pPr>
      <w:r>
        <w:rPr>
          <w:rFonts w:ascii="Book Antiqua" w:eastAsia="Book Antiqua" w:hAnsi="Book Antiqua" w:cs="Book Antiqua"/>
          <w:b/>
          <w:bCs/>
          <w:color w:val="000000"/>
        </w:rPr>
        <w:t xml:space="preserve">Corresponding author: Xi-Chen Zhao, MD, Chief Physician, </w:t>
      </w:r>
      <w:r>
        <w:rPr>
          <w:rFonts w:ascii="Book Antiqua" w:eastAsia="Book Antiqua" w:hAnsi="Book Antiqua" w:cs="Book Antiqua"/>
          <w:color w:val="000000"/>
        </w:rPr>
        <w:t xml:space="preserve">Department of Hematology, The Central Hospital of Qingdao West Coast New Area, No. 9 </w:t>
      </w:r>
      <w:proofErr w:type="spellStart"/>
      <w:r>
        <w:rPr>
          <w:rFonts w:ascii="Book Antiqua" w:eastAsia="Book Antiqua" w:hAnsi="Book Antiqua" w:cs="Book Antiqua"/>
          <w:color w:val="000000"/>
        </w:rPr>
        <w:t>Huangpujiang</w:t>
      </w:r>
      <w:proofErr w:type="spellEnd"/>
      <w:r>
        <w:rPr>
          <w:rFonts w:ascii="Book Antiqua" w:eastAsia="Book Antiqua" w:hAnsi="Book Antiqua" w:cs="Book Antiqua"/>
          <w:color w:val="000000"/>
        </w:rPr>
        <w:t xml:space="preserve"> Road, Qingdao 266555, Shandong Province, China. zhaoxichen2003@163.com</w:t>
      </w:r>
    </w:p>
    <w:p w14:paraId="648F19E2" w14:textId="77777777" w:rsidR="00ED477D" w:rsidRDefault="00ED477D">
      <w:pPr>
        <w:spacing w:line="360" w:lineRule="auto"/>
        <w:jc w:val="both"/>
      </w:pPr>
    </w:p>
    <w:p w14:paraId="60E0E61D" w14:textId="77777777" w:rsidR="00ED477D" w:rsidRDefault="00000000">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November 7, 2022</w:t>
      </w:r>
    </w:p>
    <w:p w14:paraId="2EE8DFC5" w14:textId="77777777" w:rsidR="00ED477D" w:rsidRDefault="00000000">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December 2, 2022</w:t>
      </w:r>
    </w:p>
    <w:p w14:paraId="36DD5E5C" w14:textId="77777777" w:rsidR="00ED477D" w:rsidRDefault="00000000">
      <w:pPr>
        <w:spacing w:line="360" w:lineRule="auto"/>
        <w:jc w:val="both"/>
      </w:pPr>
      <w:r>
        <w:rPr>
          <w:rFonts w:ascii="Book Antiqua" w:eastAsia="Book Antiqua" w:hAnsi="Book Antiqua" w:cs="Book Antiqua"/>
          <w:b/>
          <w:bCs/>
          <w:color w:val="000000"/>
        </w:rPr>
        <w:lastRenderedPageBreak/>
        <w:t>Accepted:</w:t>
      </w:r>
      <w:r>
        <w:t xml:space="preserve"> </w:t>
      </w:r>
      <w:r>
        <w:rPr>
          <w:rFonts w:ascii="Book Antiqua" w:eastAsia="Book Antiqua" w:hAnsi="Book Antiqua" w:cs="Book Antiqua"/>
          <w:color w:val="000000"/>
        </w:rPr>
        <w:t>February 8, 2023</w:t>
      </w:r>
    </w:p>
    <w:p w14:paraId="6579C86F" w14:textId="77777777" w:rsidR="00ED477D" w:rsidRDefault="00000000">
      <w:pPr>
        <w:spacing w:line="360" w:lineRule="auto"/>
        <w:jc w:val="both"/>
      </w:pPr>
      <w:r>
        <w:rPr>
          <w:rFonts w:ascii="Book Antiqua" w:eastAsia="Book Antiqua" w:hAnsi="Book Antiqua" w:cs="Book Antiqua"/>
          <w:b/>
          <w:bCs/>
          <w:color w:val="000000"/>
        </w:rPr>
        <w:t>Published online:</w:t>
      </w:r>
    </w:p>
    <w:p w14:paraId="72BA778C" w14:textId="77777777" w:rsidR="00ED477D" w:rsidRDefault="00ED477D">
      <w:pPr>
        <w:spacing w:line="360" w:lineRule="auto"/>
        <w:jc w:val="both"/>
        <w:rPr>
          <w:rFonts w:ascii="Book Antiqua" w:eastAsia="Book Antiqua" w:hAnsi="Book Antiqua" w:cs="Book Antiqua"/>
          <w:b/>
          <w:color w:val="000000"/>
        </w:rPr>
      </w:pPr>
    </w:p>
    <w:p w14:paraId="76893A8E" w14:textId="77777777" w:rsidR="00ED477D" w:rsidRDefault="00000000">
      <w:pPr>
        <w:spacing w:line="360" w:lineRule="auto"/>
        <w:jc w:val="both"/>
      </w:pPr>
      <w:r>
        <w:rPr>
          <w:rFonts w:ascii="Book Antiqua" w:eastAsia="Book Antiqua" w:hAnsi="Book Antiqua" w:cs="Book Antiqua"/>
          <w:b/>
          <w:color w:val="000000"/>
        </w:rPr>
        <w:t>Abstract</w:t>
      </w:r>
    </w:p>
    <w:p w14:paraId="09984DCE" w14:textId="77777777" w:rsidR="00ED477D" w:rsidRDefault="00000000">
      <w:pPr>
        <w:spacing w:line="360" w:lineRule="auto"/>
        <w:jc w:val="both"/>
      </w:pPr>
      <w:r>
        <w:rPr>
          <w:rFonts w:ascii="Book Antiqua" w:eastAsia="Book Antiqua" w:hAnsi="Book Antiqua" w:cs="Book Antiqua"/>
          <w:color w:val="000000"/>
        </w:rPr>
        <w:t>BACKGROUND</w:t>
      </w:r>
    </w:p>
    <w:p w14:paraId="32ED80D3" w14:textId="77777777" w:rsidR="00ED477D" w:rsidRDefault="00000000">
      <w:pPr>
        <w:spacing w:line="360" w:lineRule="auto"/>
        <w:jc w:val="both"/>
      </w:pPr>
      <w:r>
        <w:rPr>
          <w:rFonts w:ascii="Book Antiqua" w:eastAsia="Book Antiqua" w:hAnsi="Book Antiqua" w:cs="Book Antiqua"/>
          <w:color w:val="000000"/>
        </w:rPr>
        <w:t>Thrombotic microangiopathy (TMA) is a group of disorders that converge on excessive platelet aggregation in the microvasculature, leading to consumptive thrombocytopenia, microangiopathic hemolysis and ischemic end-organ dysfunction. In predisposed patients, TMA can be triggered by many environmental factors. Glucocorticoids (GCs) can compromise the vascular endothelium. However, GC-associated TMA has rarely been reported, which may be due to the lack of awareness of clinicians. Given the high frequency of thrombocytopenia during GC treatment, particular attention should be given to this potentially fatal complication.</w:t>
      </w:r>
    </w:p>
    <w:p w14:paraId="5C73DFD7" w14:textId="77777777" w:rsidR="00ED477D" w:rsidRDefault="00ED477D">
      <w:pPr>
        <w:spacing w:line="360" w:lineRule="auto"/>
        <w:jc w:val="both"/>
      </w:pPr>
    </w:p>
    <w:p w14:paraId="645F15FE" w14:textId="77777777" w:rsidR="00ED477D" w:rsidRDefault="00000000">
      <w:pPr>
        <w:spacing w:line="360" w:lineRule="auto"/>
        <w:jc w:val="both"/>
      </w:pPr>
      <w:r>
        <w:rPr>
          <w:rFonts w:ascii="Book Antiqua" w:eastAsia="Book Antiqua" w:hAnsi="Book Antiqua" w:cs="Book Antiqua"/>
          <w:color w:val="000000"/>
        </w:rPr>
        <w:t>CASE SUMMARY</w:t>
      </w:r>
    </w:p>
    <w:p w14:paraId="2EDB97C7" w14:textId="49B9EA86" w:rsidR="00ED477D" w:rsidRDefault="00000000">
      <w:pPr>
        <w:spacing w:line="360" w:lineRule="auto"/>
        <w:jc w:val="both"/>
      </w:pPr>
      <w:r>
        <w:rPr>
          <w:rFonts w:ascii="Book Antiqua" w:eastAsia="Book Antiqua" w:hAnsi="Book Antiqua" w:cs="Book Antiqua"/>
          <w:color w:val="000000"/>
        </w:rPr>
        <w:t xml:space="preserve">An elderly Chinese male had a 12-year history of aplastic anemia and a 3-year history of paroxysmal nocturnal hemoglobinuria. Three months earlier, methylprednisolone treatment was initiated at 8 mg/d and increased to 20 mg/d to alleviate complement-mediated hemolysis. Following GC treatment, his platelet count and hemoglobin level rapidly decreased. After admission to our hospital, the dose of methylprednisolone was increased to 60 mg/d </w:t>
      </w:r>
      <w:proofErr w:type="gramStart"/>
      <w:r>
        <w:rPr>
          <w:rFonts w:ascii="Book Antiqua" w:eastAsia="Book Antiqua" w:hAnsi="Book Antiqua" w:cs="Book Antiqua"/>
          <w:color w:val="000000"/>
        </w:rPr>
        <w:t>in an attempt to</w:t>
      </w:r>
      <w:proofErr w:type="gramEnd"/>
      <w:r>
        <w:rPr>
          <w:rFonts w:ascii="Book Antiqua" w:eastAsia="Book Antiqua" w:hAnsi="Book Antiqua" w:cs="Book Antiqua"/>
          <w:color w:val="000000"/>
        </w:rPr>
        <w:t xml:space="preserve"> enhance the suppressive effect. However, increasing the GC dose did not alleviate hemolysis, and the cytopenia worsened. Morphological evaluation of the marrow smears revealed increased cellularity with an increased percentage of erythroid progenitors without evident dysplasia. Cluster of differentiation 55 and 59 expression were significantly decreased on erythrocytes and granulocytes. In the following days, platelet transfusion was required due to severe thrombocytopenia. Observation of platelet transfusion refractoriness indicated that the exacerbated cytopenia may have been caused by the development of TMA due to GC treatment because the transfused platelet concentrates had no defects in </w:t>
      </w:r>
      <w:r>
        <w:rPr>
          <w:rFonts w:ascii="Book Antiqua" w:eastAsia="Book Antiqua" w:hAnsi="Book Antiqua" w:cs="Book Antiqua"/>
          <w:color w:val="000000"/>
          <w:shd w:val="clear" w:color="auto" w:fill="FFFFFF"/>
        </w:rPr>
        <w:t>glycosylphosphatidylinositol-anchored proteins</w:t>
      </w:r>
      <w:r>
        <w:rPr>
          <w:rFonts w:ascii="Book Antiqua" w:eastAsia="Book Antiqua" w:hAnsi="Book Antiqua" w:cs="Book Antiqua"/>
          <w:color w:val="000000"/>
        </w:rPr>
        <w:t xml:space="preserve">. We examined blood smears and found </w:t>
      </w:r>
      <w:r>
        <w:rPr>
          <w:rFonts w:ascii="Book Antiqua" w:eastAsia="Book Antiqua" w:hAnsi="Book Antiqua" w:cs="Book Antiqua"/>
          <w:color w:val="000000"/>
        </w:rPr>
        <w:lastRenderedPageBreak/>
        <w:t xml:space="preserve">a small number of </w:t>
      </w:r>
      <w:r>
        <w:rPr>
          <w:rFonts w:ascii="Book Antiqua" w:eastAsia="Book Antiqua" w:hAnsi="Book Antiqua" w:cs="Book Antiqua"/>
          <w:color w:val="000000"/>
          <w:shd w:val="clear" w:color="auto" w:fill="FFFFFF"/>
        </w:rPr>
        <w:t>schistocytes,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dacryocytes</w:t>
      </w:r>
      <w:proofErr w:type="spellEnd"/>
      <w:r>
        <w:rPr>
          <w:rFonts w:ascii="Book Antiqua" w:eastAsia="SimSun" w:hAnsi="Book Antiqua" w:cs="Book Antiqua"/>
          <w:color w:val="000000"/>
          <w:lang w:eastAsia="zh-CN"/>
        </w:rPr>
        <w:t xml:space="preserve">, </w:t>
      </w:r>
      <w:r>
        <w:rPr>
          <w:rFonts w:ascii="Book Antiqua" w:eastAsia="Book Antiqua" w:hAnsi="Book Antiqua" w:cs="Book Antiqua"/>
          <w:color w:val="000000"/>
        </w:rPr>
        <w:t>acanthocytes</w:t>
      </w:r>
      <w:r>
        <w:rPr>
          <w:rFonts w:ascii="Book Antiqua" w:eastAsia="SimSun" w:hAnsi="Book Antiqua" w:cs="Book Antiqua"/>
          <w:color w:val="000000"/>
          <w:lang w:eastAsia="zh-CN"/>
        </w:rPr>
        <w:t xml:space="preserve"> </w:t>
      </w:r>
      <w:r>
        <w:rPr>
          <w:rFonts w:ascii="Book Antiqua" w:eastAsia="Book Antiqua" w:hAnsi="Book Antiqua" w:cs="Book Antiqua"/>
          <w:color w:val="000000"/>
        </w:rPr>
        <w:t xml:space="preserve">and </w:t>
      </w:r>
      <w:r>
        <w:rPr>
          <w:rFonts w:ascii="Book Antiqua" w:eastAsia="SimSun" w:hAnsi="Book Antiqua" w:cs="Book Antiqua"/>
          <w:color w:val="000000"/>
          <w:lang w:eastAsia="zh-CN"/>
        </w:rPr>
        <w:t>target cells</w:t>
      </w:r>
      <w:r>
        <w:rPr>
          <w:rFonts w:ascii="Book Antiqua" w:eastAsia="Book Antiqua" w:hAnsi="Book Antiqua" w:cs="Book Antiqua"/>
          <w:color w:val="000000"/>
        </w:rPr>
        <w:t xml:space="preserve">. Discontinuation of GC treatment resulted in rapidly increased platelet counts and steady increases in hemoglobin levels. The patient’s platelet count and hemoglobin level returned to the levels prior to GC treatment 4 </w:t>
      </w:r>
      <w:proofErr w:type="spellStart"/>
      <w:r>
        <w:rPr>
          <w:rFonts w:ascii="Book Antiqua" w:eastAsia="Book Antiqua" w:hAnsi="Book Antiqua" w:cs="Book Antiqua"/>
          <w:color w:val="000000"/>
        </w:rPr>
        <w:t>wk</w:t>
      </w:r>
      <w:proofErr w:type="spellEnd"/>
      <w:r>
        <w:rPr>
          <w:rFonts w:ascii="Book Antiqua" w:eastAsia="Book Antiqua" w:hAnsi="Book Antiqua" w:cs="Book Antiqua"/>
          <w:color w:val="000000"/>
        </w:rPr>
        <w:t xml:space="preserve"> after GC discontinuation.</w:t>
      </w:r>
    </w:p>
    <w:p w14:paraId="395A735A" w14:textId="77777777" w:rsidR="00ED477D" w:rsidRDefault="00ED477D">
      <w:pPr>
        <w:spacing w:line="360" w:lineRule="auto"/>
        <w:jc w:val="both"/>
      </w:pPr>
    </w:p>
    <w:p w14:paraId="5E08172A" w14:textId="77777777" w:rsidR="00ED477D" w:rsidRDefault="00000000">
      <w:pPr>
        <w:spacing w:line="360" w:lineRule="auto"/>
        <w:jc w:val="both"/>
      </w:pPr>
      <w:r>
        <w:rPr>
          <w:rFonts w:ascii="Book Antiqua" w:eastAsia="Book Antiqua" w:hAnsi="Book Antiqua" w:cs="Book Antiqua"/>
          <w:color w:val="000000"/>
        </w:rPr>
        <w:t>CONCLUSION</w:t>
      </w:r>
    </w:p>
    <w:p w14:paraId="776D8D6E" w14:textId="77777777" w:rsidR="00ED477D" w:rsidRDefault="00000000">
      <w:pPr>
        <w:spacing w:line="360" w:lineRule="auto"/>
        <w:jc w:val="both"/>
      </w:pPr>
      <w:r>
        <w:rPr>
          <w:rFonts w:ascii="Book Antiqua" w:eastAsia="Book Antiqua" w:hAnsi="Book Antiqua" w:cs="Book Antiqua"/>
          <w:color w:val="000000"/>
        </w:rPr>
        <w:t>GCs can drive TMA episodes. When thrombocytopenia occurs during GC treatment, TMA should be considered, and GCs should be discontinued.</w:t>
      </w:r>
    </w:p>
    <w:p w14:paraId="40D7B9BC" w14:textId="77777777" w:rsidR="00ED477D" w:rsidRDefault="00ED477D">
      <w:pPr>
        <w:spacing w:line="360" w:lineRule="auto"/>
        <w:jc w:val="both"/>
      </w:pPr>
    </w:p>
    <w:p w14:paraId="2EFD360B" w14:textId="77777777" w:rsidR="00ED477D" w:rsidRDefault="00000000">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Aplastic anemia; Paroxysmal nocturnal hemoglobinuria; Glucocorticoid; Methylprednisolone; Thrombotic microangiopathy; Platelet transfusion refractoriness; Case report</w:t>
      </w:r>
    </w:p>
    <w:p w14:paraId="430F082E" w14:textId="77777777" w:rsidR="00ED477D" w:rsidRDefault="00ED477D">
      <w:pPr>
        <w:spacing w:line="360" w:lineRule="auto"/>
        <w:jc w:val="both"/>
      </w:pPr>
    </w:p>
    <w:p w14:paraId="32B9B1CA" w14:textId="77777777" w:rsidR="00ED477D" w:rsidRDefault="00000000">
      <w:pPr>
        <w:spacing w:line="360" w:lineRule="auto"/>
        <w:jc w:val="both"/>
      </w:pPr>
      <w:r>
        <w:rPr>
          <w:rFonts w:ascii="Book Antiqua" w:eastAsia="Book Antiqua" w:hAnsi="Book Antiqua" w:cs="Book Antiqua"/>
          <w:color w:val="000000"/>
        </w:rPr>
        <w:t xml:space="preserve">Yang XD, Ju B, Xu J, </w:t>
      </w:r>
      <w:proofErr w:type="spellStart"/>
      <w:r>
        <w:rPr>
          <w:rFonts w:ascii="Book Antiqua" w:eastAsia="Book Antiqua" w:hAnsi="Book Antiqua" w:cs="Book Antiqua"/>
          <w:color w:val="000000"/>
        </w:rPr>
        <w:t>Xiu</w:t>
      </w:r>
      <w:proofErr w:type="spellEnd"/>
      <w:r>
        <w:rPr>
          <w:rFonts w:ascii="Book Antiqua" w:eastAsia="Book Antiqua" w:hAnsi="Book Antiqua" w:cs="Book Antiqua"/>
          <w:color w:val="000000"/>
        </w:rPr>
        <w:t xml:space="preserve"> NN, Sun XY, Zhao XC. Glucocorticoid-induced thrombotic microangiopathy in paroxysmal nocturnal hemoglobinuria: </w:t>
      </w:r>
      <w:r>
        <w:rPr>
          <w:rFonts w:ascii="Book Antiqua" w:eastAsia="Book Antiqua" w:hAnsi="Book Antiqua" w:cs="Book Antiqua"/>
          <w:bCs/>
          <w:color w:val="000000"/>
        </w:rPr>
        <w:t>A case report and review of literature</w:t>
      </w:r>
      <w:r>
        <w:rPr>
          <w:rFonts w:ascii="Book Antiqua" w:eastAsia="Book Antiqua" w:hAnsi="Book Antiqua" w:cs="Book Antiqua"/>
          <w:color w:val="000000"/>
        </w:rPr>
        <w:t xml:space="preserve">.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2023; In press</w:t>
      </w:r>
    </w:p>
    <w:p w14:paraId="18E66D80" w14:textId="77777777" w:rsidR="00ED477D" w:rsidRDefault="00ED477D">
      <w:pPr>
        <w:spacing w:line="360" w:lineRule="auto"/>
        <w:jc w:val="both"/>
      </w:pPr>
    </w:p>
    <w:p w14:paraId="5B03762E" w14:textId="77777777" w:rsidR="00ED477D" w:rsidRDefault="00000000">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Glucocorticoid-associated thrombotic microangiopathy has rarely been reported. Here, we report a patient with paroxysmal nocturnal hemoglobinuria whose hematological parameters worsened during methylprednisolone </w:t>
      </w:r>
      <w:proofErr w:type="gramStart"/>
      <w:r>
        <w:rPr>
          <w:rFonts w:ascii="Book Antiqua" w:eastAsia="Book Antiqua" w:hAnsi="Book Antiqua" w:cs="Book Antiqua"/>
          <w:color w:val="000000"/>
        </w:rPr>
        <w:t>treatment, and</w:t>
      </w:r>
      <w:proofErr w:type="gramEnd"/>
      <w:r>
        <w:rPr>
          <w:rFonts w:ascii="Book Antiqua" w:eastAsia="Book Antiqua" w:hAnsi="Book Antiqua" w:cs="Book Antiqua"/>
          <w:color w:val="000000"/>
        </w:rPr>
        <w:t xml:space="preserve"> increasing methylprednisolone doses further exacerbated the cytopenia. Observation of platelet transfusion refractoriness suggested the possibility of thrombotic microangiopathy development. Significant hematological improvement was achieved after discontinuation of methylprednisolone treatment, confirming that methylprednisolone treatment acted as the triggering factor to promote platelet aggregation within the microcirculation. Given the wide use of glucocorticoids in clinical practice and the high incidence of thrombocytopenia during glucocorticoid treatment, particular attention should be given to this potentially fatal complication.</w:t>
      </w:r>
    </w:p>
    <w:p w14:paraId="2ED9A2C5" w14:textId="77777777" w:rsidR="00ED477D" w:rsidRDefault="00ED477D">
      <w:pPr>
        <w:spacing w:line="360" w:lineRule="auto"/>
        <w:jc w:val="both"/>
      </w:pPr>
    </w:p>
    <w:p w14:paraId="6E463428" w14:textId="77777777" w:rsidR="00ED477D" w:rsidRDefault="00000000">
      <w:pPr>
        <w:spacing w:line="360" w:lineRule="auto"/>
        <w:jc w:val="both"/>
      </w:pPr>
      <w:r>
        <w:rPr>
          <w:rFonts w:ascii="Book Antiqua" w:eastAsia="Book Antiqua" w:hAnsi="Book Antiqua" w:cs="Book Antiqua"/>
          <w:b/>
          <w:caps/>
          <w:color w:val="000000"/>
          <w:u w:val="single"/>
        </w:rPr>
        <w:t>INTRODUCTION</w:t>
      </w:r>
    </w:p>
    <w:p w14:paraId="164BE582" w14:textId="61F6422D" w:rsidR="00ED47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lastRenderedPageBreak/>
        <w:t xml:space="preserve">Thrombotic microangiopathy (TMA) is caused by uncontrolled adhesion, </w:t>
      </w:r>
      <w:proofErr w:type="gramStart"/>
      <w:r>
        <w:rPr>
          <w:rFonts w:ascii="Book Antiqua" w:eastAsia="Book Antiqua" w:hAnsi="Book Antiqua" w:cs="Book Antiqua"/>
          <w:color w:val="000000"/>
        </w:rPr>
        <w:t>activation</w:t>
      </w:r>
      <w:proofErr w:type="gramEnd"/>
      <w:r>
        <w:rPr>
          <w:rFonts w:ascii="Book Antiqua" w:eastAsia="Book Antiqua" w:hAnsi="Book Antiqua" w:cs="Book Antiqua"/>
          <w:color w:val="000000"/>
        </w:rPr>
        <w:t xml:space="preserve"> and aggregation of platelets (</w:t>
      </w:r>
      <w:proofErr w:type="spellStart"/>
      <w:r>
        <w:rPr>
          <w:rFonts w:ascii="Book Antiqua" w:eastAsia="Book Antiqua" w:hAnsi="Book Antiqua" w:cs="Book Antiqua"/>
          <w:color w:val="000000"/>
        </w:rPr>
        <w:t>Plts</w:t>
      </w:r>
      <w:proofErr w:type="spellEnd"/>
      <w:r>
        <w:rPr>
          <w:rFonts w:ascii="Book Antiqua" w:eastAsia="Book Antiqua" w:hAnsi="Book Antiqua" w:cs="Book Antiqua"/>
          <w:color w:val="000000"/>
        </w:rPr>
        <w:t xml:space="preserve">) within the microvasculature, leading to consumptive thrombocytopenia, microangiopathic hemolysis and ischemic end-organ dysfunction. Mutations and polymorphisms in genes of the complement and coagulation systems predispose patients to TMA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 The delayed onset and diverse penetrance indicate that the development of symptomatic TMA requires an engagement of environmental factors to trigger acute episodes. A variety of precipitating factors compromise the vascular endothelium, increase the shear stress of blood flow, stimulate </w:t>
      </w:r>
      <w:proofErr w:type="spellStart"/>
      <w:r>
        <w:rPr>
          <w:rFonts w:ascii="Book Antiqua" w:eastAsia="Book Antiqua" w:hAnsi="Book Antiqua" w:cs="Book Antiqua"/>
          <w:color w:val="000000"/>
        </w:rPr>
        <w:t>ultralarge</w:t>
      </w:r>
      <w:proofErr w:type="spellEnd"/>
      <w:r>
        <w:rPr>
          <w:rFonts w:ascii="Book Antiqua" w:eastAsia="Book Antiqua" w:hAnsi="Book Antiqua" w:cs="Book Antiqua"/>
          <w:color w:val="000000"/>
        </w:rPr>
        <w:t xml:space="preserve"> von Willebrand factor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xml:space="preserve">) secretion, activate innate immune cells, exacerbate complement dysregulation, </w:t>
      </w:r>
      <w:r>
        <w:rPr>
          <w:rFonts w:ascii="Book Antiqua" w:eastAsia="SimSun" w:hAnsi="Book Antiqua" w:cs="Book Antiqua"/>
          <w:color w:val="000000"/>
          <w:lang w:eastAsia="zh-CN"/>
        </w:rPr>
        <w:t>accelerate</w:t>
      </w:r>
      <w:r>
        <w:rPr>
          <w:rFonts w:ascii="Book Antiqua" w:eastAsia="Book Antiqua" w:hAnsi="Book Antiqua" w:cs="Book Antiqua"/>
          <w:color w:val="000000"/>
        </w:rPr>
        <w:t xml:space="preserve"> coagulation </w:t>
      </w:r>
      <w:r>
        <w:rPr>
          <w:rFonts w:ascii="Book Antiqua" w:eastAsia="SimSun" w:hAnsi="Book Antiqua" w:cs="Book Antiqua"/>
          <w:color w:val="000000"/>
          <w:lang w:eastAsia="zh-CN"/>
        </w:rPr>
        <w:t>cascade</w:t>
      </w:r>
      <w:r>
        <w:rPr>
          <w:rFonts w:ascii="Book Antiqua" w:eastAsia="Book Antiqua" w:hAnsi="Book Antiqua" w:cs="Book Antiqua"/>
          <w:color w:val="000000"/>
        </w:rPr>
        <w:t xml:space="preserve">, promote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activation and </w:t>
      </w:r>
      <w:r>
        <w:rPr>
          <w:rFonts w:ascii="Book Antiqua" w:eastAsia="SimSun" w:hAnsi="Book Antiqua" w:cs="Book Antiqua"/>
          <w:color w:val="000000"/>
          <w:lang w:eastAsia="zh-CN"/>
        </w:rPr>
        <w:t>drive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aggregation, thereby triggering TMA episodes in genetically susceptible individuals or initiating TMA occurrence by the combined effects of acquired susceptibilities and precipitating factors</w:t>
      </w:r>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78B0732E" w14:textId="53AD9143" w:rsidR="00ED477D" w:rsidRDefault="00000000" w:rsidP="002528E7">
      <w:pPr>
        <w:spacing w:line="360" w:lineRule="auto"/>
        <w:ind w:firstLine="240"/>
        <w:jc w:val="both"/>
      </w:pPr>
      <w:r>
        <w:rPr>
          <w:rFonts w:ascii="Book Antiqua" w:eastAsia="Book Antiqua" w:hAnsi="Book Antiqua" w:cs="Book Antiqua"/>
          <w:color w:val="000000"/>
        </w:rPr>
        <w:t xml:space="preserve">In TMA development, interactions among the vascular endothelium, </w:t>
      </w:r>
      <w:proofErr w:type="spellStart"/>
      <w:r>
        <w:rPr>
          <w:rFonts w:ascii="Book Antiqua" w:eastAsia="Book Antiqua" w:hAnsi="Book Antiqua" w:cs="Book Antiqua"/>
          <w:color w:val="000000"/>
        </w:rPr>
        <w:t>vasomotoricity</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Plts</w:t>
      </w:r>
      <w:proofErr w:type="spellEnd"/>
      <w:r>
        <w:rPr>
          <w:rFonts w:ascii="Book Antiqua" w:eastAsia="Book Antiqua" w:hAnsi="Book Antiqua" w:cs="Book Antiqua"/>
          <w:color w:val="000000"/>
        </w:rPr>
        <w:t xml:space="preserve">, coagulation factors, complement components and immune cells synergistically facilitate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aggregation and </w:t>
      </w:r>
      <w:proofErr w:type="spellStart"/>
      <w:proofErr w:type="gramStart"/>
      <w:r>
        <w:rPr>
          <w:rFonts w:ascii="Book Antiqua" w:eastAsia="Book Antiqua" w:hAnsi="Book Antiqua" w:cs="Book Antiqua"/>
          <w:color w:val="000000"/>
        </w:rPr>
        <w:t>microthrombogenesis</w:t>
      </w:r>
      <w:proofErr w:type="spellEnd"/>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4-8]</w:t>
      </w:r>
      <w:r>
        <w:rPr>
          <w:rFonts w:ascii="Book Antiqua" w:eastAsia="Book Antiqua" w:hAnsi="Book Antiqua" w:cs="Book Antiqua"/>
          <w:color w:val="000000"/>
        </w:rPr>
        <w:t xml:space="preserve">. Endothelial injury and subsequent </w:t>
      </w:r>
      <w:proofErr w:type="spellStart"/>
      <w:r>
        <w:rPr>
          <w:rFonts w:ascii="Book Antiqua" w:eastAsia="Book Antiqua" w:hAnsi="Book Antiqua" w:cs="Book Antiqua"/>
          <w:color w:val="000000"/>
        </w:rPr>
        <w:t>ultralarge</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rPr>
        <w:t xml:space="preserve"> secretion play a pivotal role in this </w:t>
      </w:r>
      <w:proofErr w:type="gramStart"/>
      <w:r>
        <w:rPr>
          <w:rFonts w:ascii="Book Antiqua" w:eastAsia="Book Antiqua" w:hAnsi="Book Antiqua" w:cs="Book Antiqua"/>
          <w:color w:val="000000"/>
        </w:rPr>
        <w:t>process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8,9]</w:t>
      </w:r>
      <w:r>
        <w:rPr>
          <w:rFonts w:ascii="Book Antiqua" w:eastAsia="Book Antiqua" w:hAnsi="Book Antiqua" w:cs="Book Antiqua"/>
          <w:color w:val="000000"/>
        </w:rPr>
        <w:t xml:space="preserve">, and complement activation, particularly the generation of </w:t>
      </w:r>
      <w:proofErr w:type="spellStart"/>
      <w:r>
        <w:rPr>
          <w:rFonts w:ascii="Book Antiqua" w:eastAsia="Book Antiqua" w:hAnsi="Book Antiqua" w:cs="Book Antiqua"/>
          <w:color w:val="000000"/>
        </w:rPr>
        <w:t>anaphylotoxins</w:t>
      </w:r>
      <w:proofErr w:type="spellEnd"/>
      <w:r>
        <w:rPr>
          <w:rFonts w:ascii="Book Antiqua" w:eastAsia="Book Antiqua" w:hAnsi="Book Antiqua" w:cs="Book Antiqua"/>
          <w:color w:val="000000"/>
        </w:rPr>
        <w:t>, provokes and exacerbates endothelial injury</w:t>
      </w:r>
      <w:r>
        <w:rPr>
          <w:rFonts w:ascii="Book Antiqua" w:eastAsia="Book Antiqua" w:hAnsi="Book Antiqua" w:cs="Book Antiqua"/>
          <w:color w:val="000000"/>
          <w:vertAlign w:val="superscript"/>
        </w:rPr>
        <w:t>[5,7,10,11]</w:t>
      </w:r>
      <w:r>
        <w:rPr>
          <w:rFonts w:ascii="Book Antiqua" w:eastAsia="Book Antiqua" w:hAnsi="Book Antiqua" w:cs="Book Antiqua"/>
          <w:color w:val="000000"/>
        </w:rPr>
        <w:t>. Previously reported environmental factors that can trigger TMA episodes include various infections, malignant hypertension, autoimmune disorders, neoplasms, pregnancy, organ transplantation, critical illness, severe trauma, vitamin B</w:t>
      </w:r>
      <w:r>
        <w:rPr>
          <w:rFonts w:ascii="Book Antiqua" w:eastAsia="Book Antiqua" w:hAnsi="Book Antiqua" w:cs="Book Antiqua"/>
          <w:color w:val="000000"/>
          <w:vertAlign w:val="subscript"/>
        </w:rPr>
        <w:t>12</w:t>
      </w:r>
      <w:r>
        <w:rPr>
          <w:rFonts w:ascii="Book Antiqua" w:eastAsia="Book Antiqua" w:hAnsi="Book Antiqua" w:cs="Book Antiqua"/>
          <w:color w:val="000000"/>
        </w:rPr>
        <w:t xml:space="preserve"> deficiency and </w:t>
      </w:r>
      <w:proofErr w:type="gramStart"/>
      <w:r>
        <w:rPr>
          <w:rFonts w:ascii="Book Antiqua" w:eastAsia="Book Antiqua" w:hAnsi="Book Antiqua" w:cs="Book Antiqua"/>
          <w:color w:val="000000"/>
        </w:rPr>
        <w:t>drugs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243FAC71" w14:textId="61BF0A64" w:rsidR="00ED477D" w:rsidRDefault="00000000">
      <w:pPr>
        <w:spacing w:line="360" w:lineRule="auto"/>
        <w:ind w:firstLineChars="100" w:firstLine="240"/>
        <w:jc w:val="both"/>
        <w:rPr>
          <w:rFonts w:ascii="Book Antiqua" w:eastAsia="Book Antiqua" w:hAnsi="Book Antiqua" w:cs="Book Antiqua"/>
          <w:color w:val="000000"/>
        </w:rPr>
      </w:pPr>
      <w:r>
        <w:rPr>
          <w:rFonts w:ascii="Book Antiqua" w:eastAsia="Book Antiqua" w:hAnsi="Book Antiqua" w:cs="Book Antiqua"/>
          <w:color w:val="000000"/>
        </w:rPr>
        <w:t xml:space="preserve">Drug-induced TMA has been reported to involve immune- and nonimmune-mediated mechanisms. Immune-mediated TMA is caused by the generation of autoantibodies that activate endothelial cells and </w:t>
      </w:r>
      <w:proofErr w:type="spellStart"/>
      <w:r>
        <w:rPr>
          <w:rFonts w:ascii="Book Antiqua" w:eastAsia="Book Antiqua" w:hAnsi="Book Antiqua" w:cs="Book Antiqua"/>
          <w:color w:val="000000"/>
        </w:rPr>
        <w:t>Plts</w:t>
      </w:r>
      <w:proofErr w:type="spellEnd"/>
      <w:r>
        <w:rPr>
          <w:rFonts w:ascii="Book Antiqua" w:eastAsia="Book Antiqua" w:hAnsi="Book Antiqua" w:cs="Book Antiqua"/>
          <w:color w:val="000000"/>
        </w:rPr>
        <w:t xml:space="preserve"> in a dose-independent manner, whereas nonimmune-mediated TMA is caused by drugs that directly compromise the vascular endothelium, activate </w:t>
      </w:r>
      <w:proofErr w:type="spellStart"/>
      <w:r>
        <w:rPr>
          <w:rFonts w:ascii="Book Antiqua" w:eastAsia="Book Antiqua" w:hAnsi="Book Antiqua" w:cs="Book Antiqua"/>
          <w:color w:val="000000"/>
        </w:rPr>
        <w:t>Plts</w:t>
      </w:r>
      <w:proofErr w:type="spellEnd"/>
      <w:r>
        <w:rPr>
          <w:rFonts w:ascii="Book Antiqua" w:eastAsia="Book Antiqua" w:hAnsi="Book Antiqua" w:cs="Book Antiqua"/>
          <w:color w:val="000000"/>
        </w:rPr>
        <w:t xml:space="preserve"> or disrupt the immune system in a dose-dependent manner. Drug-induced TMA is frequently associated with chemotherapeutic agents, anti-vascular endothelial growth factor (VEGF) antibodies, VEGF receptor inhibitors, heparin,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inhibitors, </w:t>
      </w:r>
      <w:r>
        <w:rPr>
          <w:rFonts w:ascii="Book Antiqua" w:eastAsia="Book Antiqua" w:hAnsi="Book Antiqua" w:cs="Book Antiqua"/>
          <w:color w:val="000000"/>
        </w:rPr>
        <w:lastRenderedPageBreak/>
        <w:t xml:space="preserve">thrombopoietin receptor agonists, immune suppressants, recombinant cytokines and immune checkpoint </w:t>
      </w:r>
      <w:proofErr w:type="gramStart"/>
      <w:r>
        <w:rPr>
          <w:rFonts w:ascii="Book Antiqua" w:eastAsia="Book Antiqua" w:hAnsi="Book Antiqua" w:cs="Book Antiqua"/>
          <w:color w:val="000000"/>
        </w:rPr>
        <w:t>inhibitors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12-15]</w:t>
      </w:r>
      <w:r>
        <w:rPr>
          <w:rFonts w:ascii="Book Antiqua" w:eastAsia="Book Antiqua" w:hAnsi="Book Antiqua" w:cs="Book Antiqua"/>
          <w:color w:val="000000"/>
        </w:rPr>
        <w:t>.</w:t>
      </w:r>
    </w:p>
    <w:p w14:paraId="39C720ED" w14:textId="78FE8C18" w:rsidR="00ED477D" w:rsidRDefault="00000000">
      <w:pPr>
        <w:spacing w:line="360" w:lineRule="auto"/>
        <w:ind w:firstLineChars="100" w:firstLine="240"/>
        <w:jc w:val="both"/>
      </w:pPr>
      <w:r>
        <w:rPr>
          <w:rFonts w:ascii="Book Antiqua" w:eastAsia="Book Antiqua" w:hAnsi="Book Antiqua" w:cs="Book Antiqua"/>
          <w:color w:val="000000"/>
        </w:rPr>
        <w:t xml:space="preserve">Glucocorticoids (GCs) are widely used drugs, and the occurrence of thrombocytopenia during GC treatment is a common event in clinical practice. GC treatment can trigger TMA </w:t>
      </w:r>
      <w:proofErr w:type="gramStart"/>
      <w:r>
        <w:rPr>
          <w:rFonts w:ascii="Book Antiqua" w:eastAsia="Book Antiqua" w:hAnsi="Book Antiqua" w:cs="Book Antiqua"/>
          <w:color w:val="000000"/>
        </w:rPr>
        <w:t>episodes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16-20]</w:t>
      </w:r>
      <w:r>
        <w:rPr>
          <w:rFonts w:ascii="Book Antiqua" w:eastAsia="Book Antiqua" w:hAnsi="Book Antiqua" w:cs="Book Antiqua"/>
          <w:color w:val="000000"/>
        </w:rPr>
        <w:t xml:space="preserve"> and exacerbate preexisting TMA</w:t>
      </w:r>
      <w:r>
        <w:rPr>
          <w:rFonts w:ascii="Book Antiqua" w:eastAsia="Book Antiqua" w:hAnsi="Book Antiqua" w:cs="Book Antiqua"/>
          <w:color w:val="000000"/>
          <w:vertAlign w:val="superscript"/>
        </w:rPr>
        <w:t>[21,22]</w:t>
      </w:r>
      <w:r>
        <w:rPr>
          <w:rFonts w:ascii="Book Antiqua" w:eastAsia="Book Antiqua" w:hAnsi="Book Antiqua" w:cs="Book Antiqua"/>
          <w:color w:val="000000"/>
        </w:rPr>
        <w:t xml:space="preserve">. However, GC-associated TMA has rarely been reported, which may be due to the lack of awareness of clinicians, the complexity of the underlying conditions and the lack of sufficient evidence for the diagnosis of microangiopathic hemolysis in most </w:t>
      </w:r>
      <w:proofErr w:type="gramStart"/>
      <w:r>
        <w:rPr>
          <w:rFonts w:ascii="Book Antiqua" w:eastAsia="Book Antiqua" w:hAnsi="Book Antiqua" w:cs="Book Antiqua"/>
          <w:color w:val="000000"/>
        </w:rPr>
        <w:t>circumstances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2,23,24]</w:t>
      </w:r>
      <w:r>
        <w:rPr>
          <w:rFonts w:ascii="Book Antiqua" w:eastAsia="Book Antiqua" w:hAnsi="Book Antiqua" w:cs="Book Antiqua"/>
          <w:color w:val="000000"/>
        </w:rPr>
        <w:t xml:space="preserve">. In </w:t>
      </w:r>
      <w:r>
        <w:rPr>
          <w:rFonts w:ascii="Book Antiqua" w:eastAsia="SimSun" w:hAnsi="Book Antiqua" w:cs="Book Antiqua"/>
          <w:color w:val="000000"/>
          <w:lang w:eastAsia="zh-CN"/>
        </w:rPr>
        <w:t xml:space="preserve">this </w:t>
      </w:r>
      <w:r>
        <w:rPr>
          <w:rFonts w:ascii="Book Antiqua" w:eastAsia="Book Antiqua" w:hAnsi="Book Antiqua" w:cs="Book Antiqua"/>
          <w:color w:val="000000"/>
        </w:rPr>
        <w:t>case report, we present a patient with paroxysmal nocturnal hemoglobinuria (PNH) who developed TMA following GC treatment.</w:t>
      </w:r>
    </w:p>
    <w:p w14:paraId="2746EE94" w14:textId="77777777" w:rsidR="00ED477D" w:rsidRDefault="00ED477D">
      <w:pPr>
        <w:spacing w:line="360" w:lineRule="auto"/>
        <w:jc w:val="both"/>
      </w:pPr>
    </w:p>
    <w:p w14:paraId="673B6C5E" w14:textId="77777777" w:rsidR="00ED477D" w:rsidRDefault="00000000">
      <w:pPr>
        <w:spacing w:line="360" w:lineRule="auto"/>
        <w:jc w:val="both"/>
      </w:pPr>
      <w:r>
        <w:rPr>
          <w:rFonts w:ascii="Book Antiqua" w:eastAsia="Book Antiqua" w:hAnsi="Book Antiqua" w:cs="Book Antiqua"/>
          <w:b/>
          <w:caps/>
          <w:color w:val="000000"/>
          <w:u w:val="single"/>
        </w:rPr>
        <w:t>CASE PRESENTATION</w:t>
      </w:r>
    </w:p>
    <w:p w14:paraId="6DB952B9" w14:textId="77777777" w:rsidR="00ED477D" w:rsidRDefault="00000000">
      <w:pPr>
        <w:spacing w:line="360" w:lineRule="auto"/>
        <w:jc w:val="both"/>
      </w:pPr>
      <w:r>
        <w:rPr>
          <w:rFonts w:ascii="Book Antiqua" w:eastAsia="Book Antiqua" w:hAnsi="Book Antiqua" w:cs="Book Antiqua"/>
          <w:b/>
          <w:i/>
          <w:color w:val="000000"/>
        </w:rPr>
        <w:t>Chief complaints</w:t>
      </w:r>
    </w:p>
    <w:p w14:paraId="79A777B8" w14:textId="4897AC8D" w:rsidR="00ED477D" w:rsidRDefault="00000000">
      <w:pPr>
        <w:spacing w:line="360" w:lineRule="auto"/>
        <w:jc w:val="both"/>
      </w:pPr>
      <w:r>
        <w:rPr>
          <w:rFonts w:ascii="Book Antiqua" w:eastAsia="Book Antiqua" w:hAnsi="Book Antiqua" w:cs="Book Antiqua"/>
          <w:color w:val="000000"/>
        </w:rPr>
        <w:t xml:space="preserve">The patient experienced rapid decreases in hemoglobin (Hb) and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levels for 3 mo.</w:t>
      </w:r>
    </w:p>
    <w:p w14:paraId="28A8B911" w14:textId="77777777" w:rsidR="00ED477D" w:rsidRDefault="00ED477D">
      <w:pPr>
        <w:spacing w:line="360" w:lineRule="auto"/>
        <w:jc w:val="both"/>
      </w:pPr>
    </w:p>
    <w:p w14:paraId="6BD09851" w14:textId="77777777" w:rsidR="00ED477D" w:rsidRDefault="00000000">
      <w:pPr>
        <w:spacing w:line="360" w:lineRule="auto"/>
        <w:jc w:val="both"/>
      </w:pPr>
      <w:r>
        <w:rPr>
          <w:rFonts w:ascii="Book Antiqua" w:eastAsia="Book Antiqua" w:hAnsi="Book Antiqua" w:cs="Book Antiqua"/>
          <w:b/>
          <w:i/>
          <w:color w:val="000000"/>
        </w:rPr>
        <w:t>History of present illness</w:t>
      </w:r>
    </w:p>
    <w:p w14:paraId="3C703EC8" w14:textId="13AC4E01" w:rsidR="00ED477D" w:rsidRDefault="00000000">
      <w:pPr>
        <w:spacing w:line="360" w:lineRule="auto"/>
        <w:jc w:val="both"/>
        <w:rPr>
          <w:b/>
          <w:bCs/>
        </w:rPr>
      </w:pPr>
      <w:r>
        <w:rPr>
          <w:rFonts w:ascii="Book Antiqua" w:eastAsia="Book Antiqua" w:hAnsi="Book Antiqua" w:cs="Book Antiqua"/>
          <w:b/>
          <w:bCs/>
          <w:color w:val="000000"/>
        </w:rPr>
        <w:t>Past treatment for blood diseases:</w:t>
      </w:r>
      <w:r>
        <w:rPr>
          <w:b/>
          <w:bCs/>
          <w:lang w:eastAsia="zh-CN"/>
        </w:rPr>
        <w:t xml:space="preserve"> </w:t>
      </w:r>
      <w:r>
        <w:rPr>
          <w:rFonts w:ascii="Book Antiqua" w:eastAsia="Book Antiqua" w:hAnsi="Book Antiqua" w:cs="Book Antiqua"/>
          <w:color w:val="000000"/>
        </w:rPr>
        <w:t>Twelve years prior, a 51-year-old Chinese male was diagnosed with acquired aplastic anemia in several blood disease centers due to gradually aggravated fatigue. He was prescribed cyclosporine and stanozolol, achieving significant hematological improvement.</w:t>
      </w:r>
    </w:p>
    <w:p w14:paraId="3925531A" w14:textId="54F9B620" w:rsidR="00ED477D" w:rsidRDefault="00000000">
      <w:pPr>
        <w:spacing w:line="360" w:lineRule="auto"/>
        <w:ind w:firstLineChars="200" w:firstLine="480"/>
        <w:jc w:val="both"/>
      </w:pPr>
      <w:r>
        <w:rPr>
          <w:rFonts w:ascii="Book Antiqua" w:eastAsia="Book Antiqua" w:hAnsi="Book Antiqua" w:cs="Book Antiqua"/>
          <w:color w:val="000000"/>
        </w:rPr>
        <w:t>Three years prior, the patient developed evident hemoglobinuria and was diagnosed with PNH based on increased marrow cellularity and a significant decrease in cluster of differentiation (CD)55 and CD59 expression on erythrocytes and granulocytes. Cyclosporine and stanozolol were tapered, and anti-</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drugs became his main treatment. During the 3 years of PNH history, his complete blood count (CBC) results fluctuated within the following range: white blood cell (WBC) count, 5.50–7.50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red blood cell (RBC) count, 2.90-3.30 × 10</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/L; Hb level, 80-100 g/L; and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count, 170-230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w:t>
      </w:r>
    </w:p>
    <w:p w14:paraId="67F1DB1E" w14:textId="6B56EAB4" w:rsidR="00ED477D" w:rsidRDefault="00000000">
      <w:pPr>
        <w:spacing w:line="360" w:lineRule="auto"/>
        <w:ind w:firstLineChars="200" w:firstLine="480"/>
        <w:jc w:val="both"/>
        <w:rPr>
          <w:rFonts w:ascii="Book Antiqua" w:eastAsia="Book Antiqua" w:hAnsi="Book Antiqua" w:cs="Book Antiqua"/>
          <w:color w:val="000000"/>
        </w:rPr>
      </w:pPr>
      <w:r>
        <w:rPr>
          <w:rFonts w:ascii="Book Antiqua" w:eastAsia="Book Antiqua" w:hAnsi="Book Antiqua" w:cs="Book Antiqua"/>
          <w:color w:val="000000"/>
        </w:rPr>
        <w:t xml:space="preserve">Three months prior to admission, the patient’s hemoglobinuria worsened, and he initiated oral administration of methylprednisolone at a dose of 8 mg/d and sodium </w:t>
      </w:r>
      <w:r>
        <w:rPr>
          <w:rFonts w:ascii="Book Antiqua" w:eastAsia="Book Antiqua" w:hAnsi="Book Antiqua" w:cs="Book Antiqua"/>
          <w:color w:val="000000"/>
        </w:rPr>
        <w:lastRenderedPageBreak/>
        <w:t>bicarbonate at a dose of 1.0 g three times per day at another hospital to alleviate complement-mediated hemolysis.</w:t>
      </w:r>
    </w:p>
    <w:p w14:paraId="44700376" w14:textId="77777777" w:rsidR="00ED477D" w:rsidRDefault="00ED477D">
      <w:pPr>
        <w:spacing w:line="360" w:lineRule="auto"/>
        <w:ind w:firstLineChars="200" w:firstLine="480"/>
        <w:jc w:val="both"/>
      </w:pPr>
    </w:p>
    <w:p w14:paraId="18419F7C" w14:textId="6D7400FF" w:rsidR="00ED477D" w:rsidRDefault="00000000">
      <w:pPr>
        <w:spacing w:line="360" w:lineRule="auto"/>
        <w:jc w:val="both"/>
        <w:rPr>
          <w:b/>
          <w:bCs/>
        </w:rPr>
      </w:pPr>
      <w:r>
        <w:rPr>
          <w:rFonts w:ascii="Book Antiqua" w:eastAsia="Book Antiqua" w:hAnsi="Book Antiqua" w:cs="Book Antiqua"/>
          <w:b/>
          <w:bCs/>
          <w:color w:val="000000"/>
        </w:rPr>
        <w:t xml:space="preserve">Rapid decreases in Hb and </w:t>
      </w:r>
      <w:proofErr w:type="spellStart"/>
      <w:r>
        <w:rPr>
          <w:rFonts w:ascii="Book Antiqua" w:eastAsia="Book Antiqua" w:hAnsi="Book Antiqua" w:cs="Book Antiqua"/>
          <w:b/>
          <w:bCs/>
          <w:color w:val="000000"/>
        </w:rPr>
        <w:t>Plt</w:t>
      </w:r>
      <w:proofErr w:type="spellEnd"/>
      <w:r>
        <w:rPr>
          <w:rFonts w:ascii="Book Antiqua" w:eastAsia="Book Antiqua" w:hAnsi="Book Antiqua" w:cs="Book Antiqua"/>
          <w:b/>
          <w:bCs/>
          <w:color w:val="000000"/>
        </w:rPr>
        <w:t xml:space="preserve"> levels following </w:t>
      </w:r>
      <w:r>
        <w:rPr>
          <w:rFonts w:ascii="Book Antiqua" w:eastAsia="SimSun" w:hAnsi="Book Antiqua" w:cs="Book Antiqua"/>
          <w:b/>
          <w:bCs/>
          <w:color w:val="000000"/>
          <w:lang w:eastAsia="zh-CN"/>
        </w:rPr>
        <w:t>GC</w:t>
      </w:r>
      <w:r>
        <w:rPr>
          <w:rFonts w:ascii="Book Antiqua" w:eastAsia="Book Antiqua" w:hAnsi="Book Antiqua" w:cs="Book Antiqua"/>
          <w:b/>
          <w:bCs/>
          <w:color w:val="000000"/>
        </w:rPr>
        <w:t xml:space="preserve"> treatment</w:t>
      </w:r>
      <w:r>
        <w:rPr>
          <w:rFonts w:ascii="Book Antiqua" w:eastAsia="SimSun" w:hAnsi="Book Antiqua" w:cs="SimSun"/>
          <w:b/>
          <w:bCs/>
          <w:color w:val="000000"/>
          <w:lang w:eastAsia="zh-CN"/>
        </w:rPr>
        <w:t>:</w:t>
      </w:r>
      <w:r>
        <w:rPr>
          <w:b/>
          <w:bCs/>
          <w:lang w:eastAsia="zh-CN"/>
        </w:rPr>
        <w:t xml:space="preserve"> </w:t>
      </w:r>
      <w:r>
        <w:rPr>
          <w:rFonts w:ascii="Book Antiqua" w:eastAsia="Book Antiqua" w:hAnsi="Book Antiqua" w:cs="Book Antiqua"/>
          <w:color w:val="000000"/>
        </w:rPr>
        <w:t>Before methylprednisolone treatment, the patient’s CBC showed the following results: WBC count, 6.73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RBC count, 3.15 × 10</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/L; Hb level, 85 g/L;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count, 195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absolute reticulocyte (Ret) count, 290.2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Following GC treatment, the patient’s fatigue worsened, and headache, palpitation and dyspnea symptoms emerged and worsened. Seven days after initiating methylprednisolone treatment, his CBC showed the following results: WBC count, 5.28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RBC count, 2.73 × 10</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/L; Hb level, 70 g/L;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count, 106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Ret count, 283.3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From that time, intermittent transfusion of packed RBCs was initiated, and the dose of methylprednisolone was increased to 20 mg/d. Along with the increase in methylprednisolone dose, his Hb level and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count further decreased, and the frequency of blood transfusion increased. Four days before presenting at our center, the patient’s fatigue was severe with intolerable palpitations and dyspnea. </w:t>
      </w:r>
    </w:p>
    <w:p w14:paraId="289014D1" w14:textId="77777777" w:rsidR="00ED477D" w:rsidRDefault="00ED477D">
      <w:pPr>
        <w:spacing w:line="360" w:lineRule="auto"/>
        <w:jc w:val="both"/>
      </w:pPr>
    </w:p>
    <w:p w14:paraId="3A7B5551" w14:textId="77777777" w:rsidR="00ED477D" w:rsidRDefault="00000000">
      <w:pPr>
        <w:spacing w:line="360" w:lineRule="auto"/>
        <w:jc w:val="both"/>
      </w:pPr>
      <w:r>
        <w:rPr>
          <w:rFonts w:ascii="Book Antiqua" w:eastAsia="Book Antiqua" w:hAnsi="Book Antiqua" w:cs="Book Antiqua"/>
          <w:b/>
          <w:i/>
          <w:color w:val="000000"/>
        </w:rPr>
        <w:t>History of past illness</w:t>
      </w:r>
    </w:p>
    <w:p w14:paraId="2884D187" w14:textId="16573A11" w:rsidR="00ED477D" w:rsidRDefault="00000000">
      <w:pPr>
        <w:spacing w:line="360" w:lineRule="auto"/>
        <w:jc w:val="both"/>
      </w:pPr>
      <w:r>
        <w:rPr>
          <w:rFonts w:ascii="Book Antiqua" w:eastAsia="Book Antiqua" w:hAnsi="Book Antiqua" w:cs="Book Antiqua"/>
          <w:color w:val="000000"/>
        </w:rPr>
        <w:t xml:space="preserve">The patient had no history of diseases in hematological, </w:t>
      </w:r>
      <w:proofErr w:type="gramStart"/>
      <w:r>
        <w:rPr>
          <w:rFonts w:ascii="Book Antiqua" w:eastAsia="Book Antiqua" w:hAnsi="Book Antiqua" w:cs="Book Antiqua"/>
          <w:color w:val="000000"/>
        </w:rPr>
        <w:t>immunological</w:t>
      </w:r>
      <w:proofErr w:type="gramEnd"/>
      <w:r>
        <w:rPr>
          <w:rFonts w:ascii="Book Antiqua" w:eastAsia="Book Antiqua" w:hAnsi="Book Antiqua" w:cs="Book Antiqua"/>
          <w:color w:val="000000"/>
        </w:rPr>
        <w:t xml:space="preserve"> or other systems before the diagnosis of aplastic anemia.</w:t>
      </w:r>
    </w:p>
    <w:p w14:paraId="0A66FE5D" w14:textId="77777777" w:rsidR="00ED477D" w:rsidRDefault="00ED477D">
      <w:pPr>
        <w:spacing w:line="360" w:lineRule="auto"/>
        <w:jc w:val="both"/>
      </w:pPr>
    </w:p>
    <w:p w14:paraId="2C38F2DA" w14:textId="77777777" w:rsidR="00ED477D" w:rsidRDefault="00000000">
      <w:pPr>
        <w:spacing w:line="360" w:lineRule="auto"/>
        <w:jc w:val="both"/>
      </w:pPr>
      <w:r>
        <w:rPr>
          <w:rFonts w:ascii="Book Antiqua" w:eastAsia="Book Antiqua" w:hAnsi="Book Antiqua" w:cs="Book Antiqua"/>
          <w:b/>
          <w:i/>
          <w:color w:val="000000"/>
        </w:rPr>
        <w:t>Personal and family history</w:t>
      </w:r>
    </w:p>
    <w:p w14:paraId="1FC97076" w14:textId="77777777" w:rsidR="00ED477D" w:rsidRDefault="00000000">
      <w:pPr>
        <w:spacing w:line="360" w:lineRule="auto"/>
        <w:jc w:val="both"/>
      </w:pPr>
      <w:r>
        <w:rPr>
          <w:rFonts w:ascii="Book Antiqua" w:eastAsia="Book Antiqua" w:hAnsi="Book Antiqua" w:cs="Book Antiqua"/>
          <w:color w:val="000000"/>
        </w:rPr>
        <w:t xml:space="preserve">The patient had no family history of inherited, hematological, </w:t>
      </w:r>
      <w:proofErr w:type="gramStart"/>
      <w:r>
        <w:rPr>
          <w:rFonts w:ascii="Book Antiqua" w:eastAsia="Book Antiqua" w:hAnsi="Book Antiqua" w:cs="Book Antiqua"/>
          <w:color w:val="000000"/>
        </w:rPr>
        <w:t>autoimmune</w:t>
      </w:r>
      <w:proofErr w:type="gramEnd"/>
      <w:r>
        <w:rPr>
          <w:rFonts w:ascii="Book Antiqua" w:eastAsia="Book Antiqua" w:hAnsi="Book Antiqua" w:cs="Book Antiqua"/>
          <w:color w:val="000000"/>
        </w:rPr>
        <w:t xml:space="preserve"> or malignant diseases.</w:t>
      </w:r>
    </w:p>
    <w:p w14:paraId="0DEC1B7D" w14:textId="77777777" w:rsidR="00ED477D" w:rsidRDefault="00ED477D">
      <w:pPr>
        <w:spacing w:line="360" w:lineRule="auto"/>
        <w:jc w:val="both"/>
      </w:pPr>
    </w:p>
    <w:p w14:paraId="35E73BDD" w14:textId="77777777" w:rsidR="00ED477D" w:rsidRDefault="00000000">
      <w:pPr>
        <w:spacing w:line="360" w:lineRule="auto"/>
        <w:jc w:val="both"/>
      </w:pPr>
      <w:r>
        <w:rPr>
          <w:rFonts w:ascii="Book Antiqua" w:eastAsia="Book Antiqua" w:hAnsi="Book Antiqua" w:cs="Book Antiqua"/>
          <w:b/>
          <w:i/>
          <w:color w:val="000000"/>
        </w:rPr>
        <w:t>Physical examination</w:t>
      </w:r>
    </w:p>
    <w:p w14:paraId="02F062A2" w14:textId="77777777" w:rsidR="00ED477D" w:rsidRDefault="00000000">
      <w:pPr>
        <w:spacing w:line="360" w:lineRule="auto"/>
        <w:jc w:val="both"/>
      </w:pPr>
      <w:r>
        <w:rPr>
          <w:rFonts w:ascii="Book Antiqua" w:eastAsia="Book Antiqua" w:hAnsi="Book Antiqua" w:cs="Book Antiqua"/>
          <w:color w:val="000000"/>
        </w:rPr>
        <w:t xml:space="preserve">The physical examination results of the patient were as follows: height of 171 cm; body weight of 70 kg; body temperature of 36.1 °C; breathing rate of 19 breaths per minute; heart rate of 90 beats per minute; and blood pressure of 130/90 mmHg. Physical examination revealed the presence of a pale face and conjunctiva in the absence of </w:t>
      </w:r>
      <w:r>
        <w:rPr>
          <w:rFonts w:ascii="Book Antiqua" w:eastAsia="Book Antiqua" w:hAnsi="Book Antiqua" w:cs="Book Antiqua"/>
          <w:color w:val="000000"/>
        </w:rPr>
        <w:lastRenderedPageBreak/>
        <w:t xml:space="preserve">conspicuous mucocutaneous hemorrhage, </w:t>
      </w:r>
      <w:proofErr w:type="gramStart"/>
      <w:r>
        <w:rPr>
          <w:rFonts w:ascii="Book Antiqua" w:eastAsia="Book Antiqua" w:hAnsi="Book Antiqua" w:cs="Book Antiqua"/>
          <w:color w:val="000000"/>
        </w:rPr>
        <w:t>jaundice</w:t>
      </w:r>
      <w:proofErr w:type="gramEnd"/>
      <w:r>
        <w:rPr>
          <w:rFonts w:ascii="Book Antiqua" w:eastAsia="Book Antiqua" w:hAnsi="Book Antiqua" w:cs="Book Antiqua"/>
          <w:color w:val="000000"/>
        </w:rPr>
        <w:t xml:space="preserve"> and exanthemata. No significant signs of nervous system, respiratory system, cardiovascular system, gastrointestinal system, urogenital </w:t>
      </w:r>
      <w:proofErr w:type="gramStart"/>
      <w:r>
        <w:rPr>
          <w:rFonts w:ascii="Book Antiqua" w:eastAsia="Book Antiqua" w:hAnsi="Book Antiqua" w:cs="Book Antiqua"/>
          <w:color w:val="000000"/>
        </w:rPr>
        <w:t>system</w:t>
      </w:r>
      <w:proofErr w:type="gramEnd"/>
      <w:r>
        <w:rPr>
          <w:rFonts w:ascii="Book Antiqua" w:eastAsia="Book Antiqua" w:hAnsi="Book Antiqua" w:cs="Book Antiqua"/>
          <w:color w:val="000000"/>
        </w:rPr>
        <w:t xml:space="preserve"> or skeletal musculature system abnormalities were found.</w:t>
      </w:r>
    </w:p>
    <w:p w14:paraId="5B04900E" w14:textId="77777777" w:rsidR="00ED477D" w:rsidRDefault="00ED477D">
      <w:pPr>
        <w:spacing w:line="360" w:lineRule="auto"/>
        <w:jc w:val="both"/>
      </w:pPr>
    </w:p>
    <w:p w14:paraId="5917538F" w14:textId="77777777" w:rsidR="00ED477D" w:rsidRDefault="00000000">
      <w:pPr>
        <w:spacing w:line="360" w:lineRule="auto"/>
        <w:jc w:val="both"/>
      </w:pPr>
      <w:r>
        <w:rPr>
          <w:rFonts w:ascii="Book Antiqua" w:eastAsia="Book Antiqua" w:hAnsi="Book Antiqua" w:cs="Book Antiqua"/>
          <w:b/>
          <w:i/>
          <w:color w:val="000000"/>
        </w:rPr>
        <w:t>Laboratory examinations</w:t>
      </w:r>
    </w:p>
    <w:p w14:paraId="6EED8A0F" w14:textId="68C2CC10" w:rsidR="00ED47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Routine laboratory examinations</w:t>
      </w:r>
      <w:r>
        <w:rPr>
          <w:b/>
          <w:bCs/>
          <w:lang w:eastAsia="zh-CN"/>
        </w:rPr>
        <w:t xml:space="preserve">: </w:t>
      </w:r>
      <w:r>
        <w:rPr>
          <w:rFonts w:ascii="Book Antiqua" w:eastAsia="Book Antiqua" w:hAnsi="Book Antiqua" w:cs="Book Antiqua"/>
          <w:color w:val="000000"/>
        </w:rPr>
        <w:t>On admission, the patient’s CBC showed the following results: WBC count, 4.75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RBC count, 1.72 × 10</w:t>
      </w:r>
      <w:r>
        <w:rPr>
          <w:rFonts w:ascii="Book Antiqua" w:eastAsia="Book Antiqua" w:hAnsi="Book Antiqua" w:cs="Book Antiqua"/>
          <w:color w:val="000000"/>
          <w:vertAlign w:val="superscript"/>
        </w:rPr>
        <w:t>12</w:t>
      </w:r>
      <w:r>
        <w:rPr>
          <w:rFonts w:ascii="Book Antiqua" w:eastAsia="Book Antiqua" w:hAnsi="Book Antiqua" w:cs="Book Antiqua"/>
          <w:color w:val="000000"/>
        </w:rPr>
        <w:t xml:space="preserve">/L; Hb level, 65 g/L;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count, 98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Ret count, 274.90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The coagulation profile was within the normal limits with a D-dimer level of 0.77 mg/L. Urine examination revealed occult blood of 3+ and protein of 1+. Biochemical analysis revealed elevated serum levels of conjugated bilirubin (10.4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 xml:space="preserve">/L), unconjugated bilirubin (24.4 </w:t>
      </w:r>
      <w:proofErr w:type="spellStart"/>
      <w:r>
        <w:rPr>
          <w:rFonts w:ascii="Book Antiqua" w:eastAsia="Book Antiqua" w:hAnsi="Book Antiqua" w:cs="Book Antiqua"/>
          <w:color w:val="000000"/>
        </w:rPr>
        <w:t>μmol</w:t>
      </w:r>
      <w:proofErr w:type="spellEnd"/>
      <w:r>
        <w:rPr>
          <w:rFonts w:ascii="Book Antiqua" w:eastAsia="Book Antiqua" w:hAnsi="Book Antiqua" w:cs="Book Antiqua"/>
          <w:color w:val="000000"/>
        </w:rPr>
        <w:t>/L), lactate dehydrogenase (LDH, 3349 U/L) and hydroxybutyric dehydrogenase (2695 U/L) in the absence of abnormalities in hepatic and renal functions. The results for hepatitis A, B and C viruses as well as human immunodeficiency virus were negative. Various antinuclear antibodies and biomarkers of neoplasms were also negative.</w:t>
      </w:r>
    </w:p>
    <w:p w14:paraId="29D65DFB" w14:textId="77777777" w:rsidR="00ED477D" w:rsidRDefault="00ED477D">
      <w:pPr>
        <w:spacing w:line="360" w:lineRule="auto"/>
        <w:jc w:val="both"/>
        <w:rPr>
          <w:b/>
          <w:bCs/>
        </w:rPr>
      </w:pPr>
    </w:p>
    <w:p w14:paraId="1FE03BD4" w14:textId="141B71AF" w:rsidR="00ED477D" w:rsidRDefault="00000000">
      <w:pPr>
        <w:spacing w:line="360" w:lineRule="auto"/>
        <w:jc w:val="both"/>
        <w:rPr>
          <w:b/>
          <w:bCs/>
        </w:rPr>
      </w:pPr>
      <w:r>
        <w:rPr>
          <w:rFonts w:ascii="Book Antiqua" w:eastAsia="Book Antiqua" w:hAnsi="Book Antiqua" w:cs="Book Antiqua"/>
          <w:b/>
          <w:bCs/>
          <w:color w:val="000000"/>
        </w:rPr>
        <w:t>Specific laboratory examinations for blood diseases</w:t>
      </w:r>
      <w:r>
        <w:rPr>
          <w:b/>
          <w:bCs/>
          <w:lang w:eastAsia="zh-CN"/>
        </w:rPr>
        <w:t xml:space="preserve">: </w:t>
      </w:r>
      <w:r>
        <w:rPr>
          <w:rFonts w:ascii="Book Antiqua" w:eastAsia="Book Antiqua" w:hAnsi="Book Antiqua" w:cs="Book Antiqua"/>
          <w:color w:val="000000"/>
        </w:rPr>
        <w:t xml:space="preserve">Morphological examination of the marrow smears revealed increased cellularity with a significantly increased percentage of erythroid precursors in the absence of evident dysplastic features (Figure 1A). Bone marrow biopsy confirmed the increased cellularity and increased erythropoiesis. </w:t>
      </w:r>
      <w:proofErr w:type="spellStart"/>
      <w:r>
        <w:rPr>
          <w:rFonts w:ascii="Book Antiqua" w:eastAsia="Book Antiqua" w:hAnsi="Book Antiqua" w:cs="Book Antiqua"/>
          <w:color w:val="000000"/>
        </w:rPr>
        <w:t>Coomb’s</w:t>
      </w:r>
      <w:proofErr w:type="spellEnd"/>
      <w:r>
        <w:rPr>
          <w:rFonts w:ascii="Book Antiqua" w:eastAsia="Book Antiqua" w:hAnsi="Book Antiqua" w:cs="Book Antiqua"/>
          <w:color w:val="000000"/>
        </w:rPr>
        <w:t xml:space="preserve"> test was negative. Significantly decreased CD55 and CD59 expression on erythrocytes (11.24% and 7.80%) and granulocytes (40.26% and 37.35%) was identified by flow cytometric analysis. Decreased serum levels of complement C3 but not C4 were detected. Serum levels of ferritin were slightly decreased, and serum levels of folic acid and vitamin B</w:t>
      </w:r>
      <w:r>
        <w:rPr>
          <w:rFonts w:ascii="Book Antiqua" w:eastAsia="Book Antiqua" w:hAnsi="Book Antiqua" w:cs="Book Antiqua"/>
          <w:color w:val="000000"/>
          <w:vertAlign w:val="subscript"/>
        </w:rPr>
        <w:t>12</w:t>
      </w:r>
      <w:r>
        <w:rPr>
          <w:rFonts w:ascii="Book Antiqua" w:eastAsia="Book Antiqua" w:hAnsi="Book Antiqua" w:cs="Book Antiqua"/>
          <w:color w:val="000000"/>
        </w:rPr>
        <w:t xml:space="preserve"> were within the normal limits. Anti-erythrocyte and anti-</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antibodies were undetectable. Myeloid neoplasm-associated gene mutations were also undetectable.</w:t>
      </w:r>
    </w:p>
    <w:p w14:paraId="7863FF17" w14:textId="77777777" w:rsidR="00ED477D" w:rsidRDefault="00ED477D">
      <w:pPr>
        <w:spacing w:line="360" w:lineRule="auto"/>
        <w:jc w:val="both"/>
      </w:pPr>
    </w:p>
    <w:p w14:paraId="2F3E15B6" w14:textId="77777777" w:rsidR="00ED477D" w:rsidRDefault="00000000">
      <w:pPr>
        <w:spacing w:line="360" w:lineRule="auto"/>
        <w:jc w:val="both"/>
      </w:pPr>
      <w:r>
        <w:rPr>
          <w:rFonts w:ascii="Book Antiqua" w:eastAsia="Book Antiqua" w:hAnsi="Book Antiqua" w:cs="Book Antiqua"/>
          <w:b/>
          <w:i/>
          <w:color w:val="000000"/>
        </w:rPr>
        <w:t>Imaging examinations</w:t>
      </w:r>
    </w:p>
    <w:p w14:paraId="7BD3A06F" w14:textId="77777777" w:rsidR="00ED477D" w:rsidRDefault="00000000">
      <w:pPr>
        <w:spacing w:line="360" w:lineRule="auto"/>
        <w:jc w:val="both"/>
      </w:pPr>
      <w:r>
        <w:rPr>
          <w:rFonts w:ascii="Book Antiqua" w:eastAsia="Book Antiqua" w:hAnsi="Book Antiqua" w:cs="Book Antiqua"/>
          <w:color w:val="000000"/>
        </w:rPr>
        <w:t>No evident abnormalities were found in the patient’s chest and abdominal computed tomography scans.</w:t>
      </w:r>
    </w:p>
    <w:p w14:paraId="00BEC0CF" w14:textId="77777777" w:rsidR="00ED477D" w:rsidRDefault="00ED477D">
      <w:pPr>
        <w:spacing w:line="360" w:lineRule="auto"/>
        <w:jc w:val="both"/>
      </w:pPr>
    </w:p>
    <w:p w14:paraId="30F769B1" w14:textId="77777777" w:rsidR="00ED477D" w:rsidRDefault="00000000">
      <w:pPr>
        <w:spacing w:line="360" w:lineRule="auto"/>
        <w:jc w:val="both"/>
      </w:pPr>
      <w:r>
        <w:rPr>
          <w:rFonts w:ascii="Book Antiqua" w:eastAsia="Book Antiqua" w:hAnsi="Book Antiqua" w:cs="Book Antiqua"/>
          <w:b/>
          <w:caps/>
          <w:color w:val="000000"/>
          <w:u w:val="single"/>
        </w:rPr>
        <w:t>FINAL DIAGNOSIS</w:t>
      </w:r>
    </w:p>
    <w:p w14:paraId="1E9E7063" w14:textId="77777777" w:rsidR="00ED477D" w:rsidRDefault="00000000">
      <w:pPr>
        <w:spacing w:line="360" w:lineRule="auto"/>
        <w:jc w:val="both"/>
      </w:pPr>
      <w:r>
        <w:rPr>
          <w:rFonts w:ascii="Book Antiqua" w:eastAsia="Book Antiqua" w:hAnsi="Book Antiqua" w:cs="Book Antiqua"/>
          <w:color w:val="000000"/>
        </w:rPr>
        <w:t>These laboratory data fulfilled the diagnostic criteria for PNH.</w:t>
      </w:r>
    </w:p>
    <w:p w14:paraId="3F4A5713" w14:textId="77777777" w:rsidR="00ED477D" w:rsidRDefault="00ED477D">
      <w:pPr>
        <w:spacing w:line="360" w:lineRule="auto"/>
        <w:jc w:val="both"/>
      </w:pPr>
    </w:p>
    <w:p w14:paraId="21FB5294" w14:textId="77777777" w:rsidR="00ED477D" w:rsidRDefault="00000000">
      <w:pPr>
        <w:spacing w:line="360" w:lineRule="auto"/>
        <w:jc w:val="both"/>
      </w:pPr>
      <w:r>
        <w:rPr>
          <w:rFonts w:ascii="Book Antiqua" w:eastAsia="Book Antiqua" w:hAnsi="Book Antiqua" w:cs="Book Antiqua"/>
          <w:b/>
          <w:caps/>
          <w:color w:val="000000"/>
          <w:u w:val="single"/>
        </w:rPr>
        <w:t>TREATMENT</w:t>
      </w:r>
    </w:p>
    <w:p w14:paraId="419BAB51" w14:textId="5837B2FE" w:rsidR="00ED477D" w:rsidRDefault="00000000">
      <w:pPr>
        <w:spacing w:line="360" w:lineRule="auto"/>
        <w:jc w:val="both"/>
      </w:pPr>
      <w:r>
        <w:rPr>
          <w:rFonts w:ascii="Book Antiqua" w:eastAsia="Book Antiqua" w:hAnsi="Book Antiqua" w:cs="Book Antiqua"/>
          <w:color w:val="000000"/>
        </w:rPr>
        <w:t xml:space="preserve">After hospitalization, the patient was prescribed intravenous administration of methylprednisolone at a dose of 60 mg/d and 5% sodium bicarbonate (100 mL) two times per day. After transfusion of 800 mL of packed RBCs, his Hb level increased to 88 g/L. In the following days, however, his Hb and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levels rapidly declined, and the speed of decline in the Hb levels was disproportionate to the expected life of normal blood cells, indicating that hemolysis occurred not only in the PNH clones but also in normal RBCs. On the 16th d of hospitalization, his Hb level decreased to 61 g/L, and his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level decreased to 7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The patient was transfused with 10 U of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concentrate and demonstrated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transfusion refractoriness. Observation of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transfusion refractoriness suggested that the patient was probably complicated with the development of TMA due to GC treatment because the transfused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concentrates did not have defects in GPI-anchored proteins. We then examined the blood smears (Figure 1B) and found the presence of a small number of </w:t>
      </w:r>
      <w:r>
        <w:rPr>
          <w:rFonts w:ascii="Book Antiqua" w:eastAsia="Book Antiqua" w:hAnsi="Book Antiqua" w:cs="Book Antiqua"/>
          <w:color w:val="000000"/>
          <w:shd w:val="clear" w:color="auto" w:fill="FFFFFF"/>
        </w:rPr>
        <w:t>schistocytes,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dacryocytes</w:t>
      </w:r>
      <w:proofErr w:type="spellEnd"/>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acanthocytes and target cells, confirming the existence of microangiopathic </w:t>
      </w:r>
      <w:proofErr w:type="gramStart"/>
      <w:r>
        <w:rPr>
          <w:rFonts w:ascii="Book Antiqua" w:eastAsia="Book Antiqua" w:hAnsi="Book Antiqua" w:cs="Book Antiqua"/>
          <w:color w:val="000000"/>
        </w:rPr>
        <w:t>hemolysis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2,24]</w:t>
      </w:r>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Thereafter, GC treatment was discontinued.</w:t>
      </w:r>
    </w:p>
    <w:p w14:paraId="0C081B12" w14:textId="77777777" w:rsidR="00ED477D" w:rsidRDefault="00ED477D">
      <w:pPr>
        <w:spacing w:line="360" w:lineRule="auto"/>
        <w:jc w:val="both"/>
      </w:pPr>
    </w:p>
    <w:p w14:paraId="2E033072" w14:textId="77777777" w:rsidR="00ED477D" w:rsidRDefault="00000000">
      <w:pPr>
        <w:spacing w:line="360" w:lineRule="auto"/>
        <w:jc w:val="both"/>
      </w:pPr>
      <w:r>
        <w:rPr>
          <w:rFonts w:ascii="Book Antiqua" w:eastAsia="Book Antiqua" w:hAnsi="Book Antiqua" w:cs="Book Antiqua"/>
          <w:b/>
          <w:caps/>
          <w:color w:val="000000"/>
          <w:u w:val="single"/>
        </w:rPr>
        <w:t>OUTCOME AND FOLLOW-UP</w:t>
      </w:r>
    </w:p>
    <w:p w14:paraId="4B665403" w14:textId="6BDAA92A" w:rsidR="00ED477D" w:rsidRDefault="00000000">
      <w:pPr>
        <w:spacing w:line="360" w:lineRule="auto"/>
        <w:jc w:val="both"/>
      </w:pPr>
      <w:r>
        <w:rPr>
          <w:rFonts w:ascii="Book Antiqua" w:eastAsia="Book Antiqua" w:hAnsi="Book Antiqua" w:cs="Book Antiqua"/>
          <w:b/>
          <w:bCs/>
          <w:i/>
          <w:iCs/>
          <w:color w:val="000000"/>
        </w:rPr>
        <w:t>Rapid increase in Hb level</w:t>
      </w:r>
      <w:r>
        <w:rPr>
          <w:rFonts w:ascii="Book Antiqua" w:eastAsia="SimSun" w:hAnsi="Book Antiqua" w:cs="Book Antiqua"/>
          <w:b/>
          <w:bCs/>
          <w:i/>
          <w:iCs/>
          <w:color w:val="000000"/>
          <w:lang w:eastAsia="zh-CN"/>
        </w:rPr>
        <w:t>s</w:t>
      </w:r>
      <w:r>
        <w:rPr>
          <w:rFonts w:ascii="Book Antiqua" w:eastAsia="Book Antiqua" w:hAnsi="Book Antiqua" w:cs="Book Antiqua"/>
          <w:b/>
          <w:bCs/>
          <w:i/>
          <w:iCs/>
          <w:color w:val="000000"/>
        </w:rPr>
        <w:t xml:space="preserve"> and </w:t>
      </w:r>
      <w:proofErr w:type="spellStart"/>
      <w:r>
        <w:rPr>
          <w:rFonts w:ascii="Book Antiqua" w:eastAsia="Book Antiqua" w:hAnsi="Book Antiqua" w:cs="Book Antiqua"/>
          <w:b/>
          <w:bCs/>
          <w:i/>
          <w:iCs/>
          <w:color w:val="000000"/>
        </w:rPr>
        <w:t>Plt</w:t>
      </w:r>
      <w:proofErr w:type="spellEnd"/>
      <w:r>
        <w:rPr>
          <w:rFonts w:ascii="Book Antiqua" w:eastAsia="Book Antiqua" w:hAnsi="Book Antiqua" w:cs="Book Antiqua"/>
          <w:b/>
          <w:bCs/>
          <w:i/>
          <w:iCs/>
          <w:color w:val="000000"/>
        </w:rPr>
        <w:t xml:space="preserve"> counts occurred after discontinuation of GC treatment</w:t>
      </w:r>
    </w:p>
    <w:p w14:paraId="2FB1E5AF" w14:textId="01B97C00" w:rsidR="00ED47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After discontinuation of GC treatment, the patient’s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counts and Hb levels increased without the need for blood transfusions. Eleven days after the discontinuation of GC treatment, CBC monitoring showed an Hb level of 69 g/L and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counts of 28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The patient was then discharged from our center.</w:t>
      </w:r>
    </w:p>
    <w:p w14:paraId="56C5484F" w14:textId="77777777" w:rsidR="00ED477D" w:rsidRDefault="00ED477D">
      <w:pPr>
        <w:spacing w:line="360" w:lineRule="auto"/>
        <w:jc w:val="both"/>
      </w:pPr>
    </w:p>
    <w:p w14:paraId="6973E174" w14:textId="43D6B104" w:rsidR="00ED477D" w:rsidRDefault="00000000">
      <w:pPr>
        <w:spacing w:line="360" w:lineRule="auto"/>
        <w:jc w:val="both"/>
      </w:pPr>
      <w:r>
        <w:rPr>
          <w:rFonts w:ascii="Book Antiqua" w:eastAsia="Book Antiqua" w:hAnsi="Book Antiqua" w:cs="Book Antiqua"/>
          <w:b/>
          <w:bCs/>
          <w:i/>
          <w:iCs/>
          <w:color w:val="000000"/>
        </w:rPr>
        <w:t>Hematological changes following initiation and discontinuation of GC treatment</w:t>
      </w:r>
    </w:p>
    <w:p w14:paraId="1D9D086B" w14:textId="1E51B5F5" w:rsidR="00ED477D" w:rsidRDefault="00000000">
      <w:pPr>
        <w:spacing w:line="360" w:lineRule="auto"/>
        <w:jc w:val="both"/>
      </w:pPr>
      <w:r>
        <w:rPr>
          <w:rFonts w:ascii="Book Antiqua" w:eastAsia="Book Antiqua" w:hAnsi="Book Antiqua" w:cs="Book Antiqua"/>
          <w:color w:val="000000"/>
        </w:rPr>
        <w:lastRenderedPageBreak/>
        <w:t xml:space="preserve">After the patient was discharged from our center, repeated CBC monitoring revealed that his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counts rapidly increased and his Hb levels steadily increased. The patient’s WBC counts, Hb levels,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counts and Ret counts in the following CBC monitoring are shown in Figure 2.</w:t>
      </w:r>
    </w:p>
    <w:p w14:paraId="2C58AC37" w14:textId="77777777" w:rsidR="00ED477D" w:rsidRDefault="00ED477D">
      <w:pPr>
        <w:spacing w:line="360" w:lineRule="auto"/>
        <w:jc w:val="both"/>
      </w:pPr>
    </w:p>
    <w:p w14:paraId="60D38E6C" w14:textId="77777777" w:rsidR="00ED477D" w:rsidRDefault="00000000">
      <w:pPr>
        <w:spacing w:line="360" w:lineRule="auto"/>
        <w:jc w:val="both"/>
      </w:pPr>
      <w:r>
        <w:rPr>
          <w:rFonts w:ascii="Book Antiqua" w:eastAsia="Book Antiqua" w:hAnsi="Book Antiqua" w:cs="Book Antiqua"/>
          <w:b/>
          <w:caps/>
          <w:color w:val="000000"/>
          <w:u w:val="single"/>
        </w:rPr>
        <w:t>DISCUSSION</w:t>
      </w:r>
    </w:p>
    <w:p w14:paraId="2F0BBA46" w14:textId="22012381" w:rsidR="00ED477D" w:rsidRDefault="00000000">
      <w:pPr>
        <w:spacing w:line="360" w:lineRule="auto"/>
        <w:jc w:val="both"/>
      </w:pPr>
      <w:r>
        <w:rPr>
          <w:rFonts w:ascii="Book Antiqua" w:eastAsia="Book Antiqua" w:hAnsi="Book Antiqua" w:cs="Book Antiqua"/>
          <w:color w:val="000000"/>
        </w:rPr>
        <w:t xml:space="preserve">The patient was treated with methylprednisolone to reduce complement-mediated hemolysis. Initially, he was prescribed methylprednisolone at 8 mg/d, which failed to ameliorate hemoglobinuria and worsened the hematological profile. In the following months, the dose was increased to 20 mg/d. After hospitalization, the morphological, immunological, </w:t>
      </w:r>
      <w:proofErr w:type="gramStart"/>
      <w:r>
        <w:rPr>
          <w:rFonts w:ascii="Book Antiqua" w:eastAsia="Book Antiqua" w:hAnsi="Book Antiqua" w:cs="Book Antiqua"/>
          <w:color w:val="000000"/>
        </w:rPr>
        <w:t>cytogenetic</w:t>
      </w:r>
      <w:proofErr w:type="gramEnd"/>
      <w:r>
        <w:rPr>
          <w:rFonts w:ascii="Book Antiqua" w:eastAsia="Book Antiqua" w:hAnsi="Book Antiqua" w:cs="Book Antiqua"/>
          <w:color w:val="000000"/>
        </w:rPr>
        <w:t xml:space="preserve"> and molecular biological examinations of the marrow and blood samples met the diagnostic criteria for PNH. The dose was increased to 60 mg/d, and the hematological profile was rapidly exacerbated. The longevity of transfused RBCs was greatly reduced with further increases in the hydroxybutyric dehydrogenase and LDH levels, and the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count in CBC monitoring severely decreased, resulting in the requirement for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transfusion. Observation of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transfusion refractoriness and mental symptoms suggested the development of TMA. Therefore, we examined the blood smears and found a small number of </w:t>
      </w:r>
      <w:r>
        <w:rPr>
          <w:rFonts w:ascii="Book Antiqua" w:eastAsia="Book Antiqua" w:hAnsi="Book Antiqua" w:cs="Book Antiqua"/>
          <w:color w:val="000000"/>
          <w:shd w:val="clear" w:color="auto" w:fill="FFFFFF"/>
        </w:rPr>
        <w:t>schistocytes,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dacryocytes</w:t>
      </w:r>
      <w:proofErr w:type="spellEnd"/>
      <w:r>
        <w:rPr>
          <w:rFonts w:ascii="Book Antiqua" w:eastAsia="Book Antiqua" w:hAnsi="Book Antiqua" w:cs="Book Antiqua"/>
          <w:color w:val="000000"/>
        </w:rPr>
        <w:t>,</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acanthocytes and target cells. Although the number of </w:t>
      </w:r>
      <w:r>
        <w:rPr>
          <w:rFonts w:ascii="Book Antiqua" w:eastAsia="Book Antiqua" w:hAnsi="Book Antiqua" w:cs="Book Antiqua"/>
          <w:color w:val="000000"/>
          <w:shd w:val="clear" w:color="auto" w:fill="FFFFFF"/>
        </w:rPr>
        <w:t xml:space="preserve">schistocytes was </w:t>
      </w:r>
      <w:r>
        <w:rPr>
          <w:rFonts w:ascii="Book Antiqua" w:eastAsia="Book Antiqua" w:hAnsi="Book Antiqua" w:cs="Book Antiqua"/>
          <w:color w:val="000000"/>
        </w:rPr>
        <w:t xml:space="preserve">no more than 10%, their appearance was sufficient to confirm the existence of microangiopathic </w:t>
      </w:r>
      <w:proofErr w:type="gramStart"/>
      <w:r>
        <w:rPr>
          <w:rFonts w:ascii="Book Antiqua" w:eastAsia="Book Antiqua" w:hAnsi="Book Antiqua" w:cs="Book Antiqua"/>
          <w:color w:val="000000"/>
        </w:rPr>
        <w:t>hemolysis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2,24]</w:t>
      </w:r>
      <w:r>
        <w:rPr>
          <w:rFonts w:ascii="Book Antiqua" w:eastAsia="Book Antiqua" w:hAnsi="Book Antiqua" w:cs="Book Antiqua"/>
          <w:color w:val="000000"/>
        </w:rPr>
        <w:t xml:space="preserve">. GC treatment was discontinued. As expected, the </w:t>
      </w:r>
      <w:proofErr w:type="spellStart"/>
      <w:r>
        <w:rPr>
          <w:rFonts w:ascii="Book Antiqua" w:eastAsia="Book Antiqua" w:hAnsi="Book Antiqua" w:cs="Book Antiqua"/>
          <w:color w:val="000000"/>
        </w:rPr>
        <w:t>Plts</w:t>
      </w:r>
      <w:proofErr w:type="spellEnd"/>
      <w:r>
        <w:rPr>
          <w:rFonts w:ascii="Book Antiqua" w:eastAsia="Book Antiqua" w:hAnsi="Book Antiqua" w:cs="Book Antiqua"/>
          <w:color w:val="000000"/>
        </w:rPr>
        <w:t xml:space="preserve"> rapidly increased and the LDH and BHDH levels rapidly decreased. The hematological improvement after discontinuation of GC treatment suggested that the exacerbated cytopenia was caused by TMA development due to GC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w:t>
      </w:r>
      <w:r>
        <w:rPr>
          <w:rFonts w:ascii="Book Antiqua" w:eastAsia="Book Antiqua" w:hAnsi="Book Antiqua" w:cs="Book Antiqua"/>
          <w:color w:val="000000"/>
        </w:rPr>
        <w:t>.</w:t>
      </w:r>
    </w:p>
    <w:p w14:paraId="6FF5DEA0" w14:textId="6037A0CA" w:rsidR="00ED477D" w:rsidRDefault="00000000">
      <w:pPr>
        <w:spacing w:line="360" w:lineRule="auto"/>
        <w:ind w:firstLine="240"/>
        <w:jc w:val="both"/>
      </w:pPr>
      <w:r>
        <w:rPr>
          <w:rFonts w:ascii="Book Antiqua" w:eastAsia="Book Antiqua" w:hAnsi="Book Antiqua" w:cs="Book Antiqua"/>
          <w:color w:val="000000"/>
        </w:rPr>
        <w:t>GCs are widely used drugs for treating a variety of conditions, and the development of thrombocytopenia during GC treatment is a common complication in</w:t>
      </w:r>
      <w:r>
        <w:rPr>
          <w:rFonts w:ascii="Book Antiqua" w:eastAsia="Book Antiqua" w:hAnsi="Book Antiqua" w:cs="Book Antiqua"/>
          <w:color w:val="000000"/>
          <w:shd w:val="clear" w:color="auto" w:fill="FFFFFF"/>
        </w:rPr>
        <w:t xml:space="preserve"> </w:t>
      </w:r>
      <w:r>
        <w:rPr>
          <w:rFonts w:ascii="Book Antiqua" w:eastAsia="Book Antiqua" w:hAnsi="Book Antiqua" w:cs="Book Antiqua"/>
          <w:color w:val="000000"/>
        </w:rPr>
        <w:t xml:space="preserve">clinical practice. However, GC-induced TMA has rarely been </w:t>
      </w:r>
      <w:proofErr w:type="gramStart"/>
      <w:r>
        <w:rPr>
          <w:rFonts w:ascii="Book Antiqua" w:eastAsia="Book Antiqua" w:hAnsi="Book Antiqua" w:cs="Book Antiqua"/>
          <w:color w:val="000000"/>
        </w:rPr>
        <w:t>reported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18-2</w:t>
      </w:r>
      <w:r>
        <w:rPr>
          <w:rFonts w:ascii="Book Antiqua" w:eastAsia="SimSun" w:hAnsi="Book Antiqua" w:cs="Book Antiqua" w:hint="eastAsia"/>
          <w:color w:val="000000"/>
          <w:vertAlign w:val="superscript"/>
          <w:lang w:eastAsia="zh-CN"/>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The major reason for the rarity of GC-induced TMA reports may be due to the lack of awareness of clinicians, the dilemma for clinicians to make a definitive diagnosis by examining blood smears on which the percentage of fragmented erythrocytes is not enough to meet the diagnostic </w:t>
      </w:r>
      <w:proofErr w:type="gramStart"/>
      <w:r>
        <w:rPr>
          <w:rFonts w:ascii="Book Antiqua" w:eastAsia="Book Antiqua" w:hAnsi="Book Antiqua" w:cs="Book Antiqua"/>
          <w:color w:val="000000"/>
        </w:rPr>
        <w:lastRenderedPageBreak/>
        <w:t>criteria</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2,23,24]</w:t>
      </w:r>
      <w:r>
        <w:rPr>
          <w:rFonts w:ascii="Book Antiqua" w:eastAsia="Book Antiqua" w:hAnsi="Book Antiqua" w:cs="Book Antiqua"/>
          <w:color w:val="000000"/>
        </w:rPr>
        <w:t xml:space="preserve"> and the complexity of underlying conditions for GC treatment. In the present case, TMA development was not considered during the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GC treatment due to the intravenous hemolysis of PNH itself and the lack of awareness of GC-induced TMA.</w:t>
      </w:r>
    </w:p>
    <w:p w14:paraId="4FC33528" w14:textId="51205241" w:rsidR="00ED477D" w:rsidRDefault="00000000">
      <w:pPr>
        <w:spacing w:line="360" w:lineRule="auto"/>
        <w:ind w:firstLine="240"/>
        <w:jc w:val="both"/>
      </w:pPr>
      <w:r>
        <w:rPr>
          <w:rFonts w:ascii="Book Antiqua" w:eastAsia="Book Antiqua" w:hAnsi="Book Antiqua" w:cs="Book Antiqua"/>
          <w:color w:val="000000"/>
        </w:rPr>
        <w:t xml:space="preserve">The promotion of TMA </w:t>
      </w:r>
      <w:r>
        <w:rPr>
          <w:rFonts w:ascii="Book Antiqua" w:eastAsia="SimSun" w:hAnsi="Book Antiqua" w:cs="Book Antiqua"/>
          <w:color w:val="000000"/>
          <w:lang w:eastAsia="zh-CN"/>
        </w:rPr>
        <w:t xml:space="preserve">onset </w:t>
      </w:r>
      <w:r>
        <w:rPr>
          <w:rFonts w:ascii="Book Antiqua" w:eastAsia="Book Antiqua" w:hAnsi="Book Antiqua" w:cs="Book Antiqua"/>
          <w:color w:val="000000"/>
        </w:rPr>
        <w:t xml:space="preserve">by GCs may be due to their physiological functions and pharmacologic effects. GCs and catecholamines are the main components of acute and chronic stress </w:t>
      </w:r>
      <w:proofErr w:type="gramStart"/>
      <w:r>
        <w:rPr>
          <w:rFonts w:ascii="Book Antiqua" w:eastAsia="Book Antiqua" w:hAnsi="Book Antiqua" w:cs="Book Antiqua"/>
          <w:color w:val="000000"/>
        </w:rPr>
        <w:t>responses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25,26]</w:t>
      </w:r>
      <w:r>
        <w:rPr>
          <w:rFonts w:ascii="Book Antiqua" w:eastAsia="Book Antiqua" w:hAnsi="Book Antiqua" w:cs="Book Antiqua"/>
          <w:color w:val="000000"/>
        </w:rPr>
        <w:t xml:space="preserve">. GCs increase the sensitivity of precapillary arterioles to catecholamine-induced contraction, thus increasing the shear stress of the </w:t>
      </w:r>
      <w:proofErr w:type="gramStart"/>
      <w:r>
        <w:rPr>
          <w:rFonts w:ascii="Book Antiqua" w:eastAsia="Book Antiqua" w:hAnsi="Book Antiqua" w:cs="Book Antiqua"/>
          <w:color w:val="000000"/>
        </w:rPr>
        <w:t>microcirculation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25-27]</w:t>
      </w:r>
      <w:r>
        <w:rPr>
          <w:rFonts w:ascii="Book Antiqua" w:eastAsia="Book Antiqua" w:hAnsi="Book Antiqua" w:cs="Book Antiqua"/>
          <w:color w:val="000000"/>
        </w:rPr>
        <w:t xml:space="preserve">. High-dose GCs can induce vasospasm and aggravate preexisting </w:t>
      </w:r>
      <w:proofErr w:type="gramStart"/>
      <w:r>
        <w:rPr>
          <w:rFonts w:ascii="Book Antiqua" w:eastAsia="Book Antiqua" w:hAnsi="Book Antiqua" w:cs="Book Antiqua"/>
          <w:color w:val="000000"/>
        </w:rPr>
        <w:t>vasoconstriction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28,29]</w:t>
      </w:r>
      <w:r>
        <w:rPr>
          <w:rFonts w:ascii="Book Antiqua" w:eastAsia="Book Antiqua" w:hAnsi="Book Antiqua" w:cs="Book Antiqua"/>
          <w:color w:val="000000"/>
        </w:rPr>
        <w:t xml:space="preserve">. GCs inhibit VEGF, inflammation, hypoxemia-induced angiogenesis and vascular repair, which damages vascular endothelial </w:t>
      </w:r>
      <w:proofErr w:type="gramStart"/>
      <w:r>
        <w:rPr>
          <w:rFonts w:ascii="Book Antiqua" w:eastAsia="Book Antiqua" w:hAnsi="Book Antiqua" w:cs="Book Antiqua"/>
          <w:color w:val="000000"/>
        </w:rPr>
        <w:t>integrity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30-32]</w:t>
      </w:r>
      <w:r>
        <w:rPr>
          <w:rFonts w:ascii="Book Antiqua" w:eastAsia="Book Antiqua" w:hAnsi="Book Antiqua" w:cs="Book Antiqua"/>
          <w:color w:val="000000"/>
        </w:rPr>
        <w:t xml:space="preserve">. GCs inhibit the biosynthesis of </w:t>
      </w:r>
      <w:proofErr w:type="gramStart"/>
      <w:r>
        <w:rPr>
          <w:rFonts w:ascii="Book Antiqua" w:eastAsia="Book Antiqua" w:hAnsi="Book Antiqua" w:cs="Book Antiqua"/>
          <w:color w:val="000000"/>
        </w:rPr>
        <w:t>prostacyclin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33,34]</w:t>
      </w:r>
      <w:r>
        <w:rPr>
          <w:rFonts w:ascii="Book Antiqua" w:eastAsia="Book Antiqua" w:hAnsi="Book Antiqua" w:cs="Book Antiqua"/>
          <w:color w:val="000000"/>
        </w:rPr>
        <w:t>, nitric oxide</w:t>
      </w:r>
      <w:r>
        <w:rPr>
          <w:rFonts w:ascii="Book Antiqua" w:eastAsia="Book Antiqua" w:hAnsi="Book Antiqua" w:cs="Book Antiqua"/>
          <w:color w:val="000000"/>
          <w:vertAlign w:val="superscript"/>
        </w:rPr>
        <w:t>[35]</w:t>
      </w:r>
      <w:r>
        <w:rPr>
          <w:rFonts w:ascii="Book Antiqua" w:eastAsia="Book Antiqua" w:hAnsi="Book Antiqua" w:cs="Book Antiqua"/>
          <w:color w:val="000000"/>
        </w:rPr>
        <w:t xml:space="preserve"> and hydrogen sulfide</w:t>
      </w:r>
      <w:r>
        <w:rPr>
          <w:rFonts w:ascii="Book Antiqua" w:eastAsia="Book Antiqua" w:hAnsi="Book Antiqua" w:cs="Book Antiqua"/>
          <w:color w:val="000000"/>
          <w:vertAlign w:val="superscript"/>
        </w:rPr>
        <w:t>[36]</w:t>
      </w:r>
      <w:r>
        <w:rPr>
          <w:rFonts w:ascii="Book Antiqua" w:eastAsia="Book Antiqua" w:hAnsi="Book Antiqua" w:cs="Book Antiqua"/>
          <w:color w:val="000000"/>
        </w:rPr>
        <w:t>, which increases the shear stress of the microcirculation</w:t>
      </w:r>
      <w:r>
        <w:rPr>
          <w:rFonts w:ascii="Book Antiqua" w:eastAsia="Book Antiqua" w:hAnsi="Book Antiqua" w:cs="Book Antiqua"/>
          <w:color w:val="000000"/>
          <w:vertAlign w:val="superscript"/>
        </w:rPr>
        <w:t>[37,38]</w:t>
      </w:r>
      <w:r>
        <w:rPr>
          <w:rFonts w:ascii="Book Antiqua" w:eastAsia="Book Antiqua" w:hAnsi="Book Antiqua" w:cs="Book Antiqua"/>
          <w:color w:val="000000"/>
        </w:rPr>
        <w:t xml:space="preserve">, promotes the adherent activity of </w:t>
      </w:r>
      <w:proofErr w:type="spellStart"/>
      <w:r>
        <w:rPr>
          <w:rFonts w:ascii="Book Antiqua" w:eastAsia="Book Antiqua" w:hAnsi="Book Antiqua" w:cs="Book Antiqua"/>
          <w:color w:val="000000"/>
        </w:rPr>
        <w:t>vWF</w:t>
      </w:r>
      <w:proofErr w:type="spellEnd"/>
      <w:r>
        <w:rPr>
          <w:rFonts w:ascii="Book Antiqua" w:eastAsia="Book Antiqua" w:hAnsi="Book Antiqua" w:cs="Book Antiqua"/>
          <w:color w:val="000000"/>
          <w:vertAlign w:val="superscript"/>
        </w:rPr>
        <w:t>[39]</w:t>
      </w:r>
      <w:r>
        <w:rPr>
          <w:rFonts w:ascii="Book Antiqua" w:eastAsia="Book Antiqua" w:hAnsi="Book Antiqua" w:cs="Book Antiqua"/>
          <w:color w:val="000000"/>
        </w:rPr>
        <w:t xml:space="preserve"> and activates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aggregation</w:t>
      </w:r>
      <w:r>
        <w:rPr>
          <w:rFonts w:ascii="Book Antiqua" w:eastAsia="Book Antiqua" w:hAnsi="Book Antiqua" w:cs="Book Antiqua"/>
          <w:color w:val="000000"/>
          <w:vertAlign w:val="superscript"/>
        </w:rPr>
        <w:t>[40,41]</w:t>
      </w:r>
      <w:r>
        <w:rPr>
          <w:rFonts w:ascii="Book Antiqua" w:eastAsia="Book Antiqua" w:hAnsi="Book Antiqua" w:cs="Book Antiqua"/>
          <w:color w:val="000000"/>
        </w:rPr>
        <w:t xml:space="preserve">. All of these effects of GCs are precipitating factors for TMA </w:t>
      </w:r>
      <w:proofErr w:type="gramStart"/>
      <w:r>
        <w:rPr>
          <w:rFonts w:ascii="Book Antiqua" w:eastAsia="Book Antiqua" w:hAnsi="Book Antiqua" w:cs="Book Antiqua"/>
          <w:color w:val="000000"/>
        </w:rPr>
        <w:t>development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1-3]</w:t>
      </w:r>
      <w:r>
        <w:rPr>
          <w:rFonts w:ascii="Book Antiqua" w:eastAsia="Book Antiqua" w:hAnsi="Book Antiqua" w:cs="Book Antiqua"/>
          <w:color w:val="000000"/>
        </w:rPr>
        <w:t>.</w:t>
      </w:r>
    </w:p>
    <w:p w14:paraId="0EDB0CA3" w14:textId="6DD8BB02" w:rsidR="00ED477D" w:rsidRDefault="00000000">
      <w:pPr>
        <w:spacing w:line="360" w:lineRule="auto"/>
        <w:ind w:firstLine="240"/>
        <w:jc w:val="both"/>
      </w:pPr>
      <w:r>
        <w:rPr>
          <w:rFonts w:ascii="Book Antiqua" w:eastAsia="Book Antiqua" w:hAnsi="Book Antiqua" w:cs="Book Antiqua"/>
          <w:color w:val="000000"/>
        </w:rPr>
        <w:t xml:space="preserve">In PNH pathogenesis, deranged activation of the alternative complement pathway is caused by extremely low levels of CD55 (decay accelerating factor) and CD59 (membrane inhibitor of reactive lysis) complement regulatory proteins on blood cells. </w:t>
      </w:r>
      <w:r>
        <w:rPr>
          <w:rFonts w:ascii="Book Antiqua" w:eastAsia="Book Antiqua" w:hAnsi="Book Antiqua" w:cs="Book Antiqua"/>
          <w:color w:val="000000"/>
          <w:shd w:val="clear" w:color="auto" w:fill="FFFFFF"/>
        </w:rPr>
        <w:t xml:space="preserve">Thrombotic propensity due to complement-mediated </w:t>
      </w:r>
      <w:proofErr w:type="spellStart"/>
      <w:r>
        <w:rPr>
          <w:rFonts w:ascii="Book Antiqua" w:eastAsia="Book Antiqua" w:hAnsi="Book Antiqua" w:cs="Book Antiqua"/>
          <w:color w:val="000000"/>
          <w:shd w:val="clear" w:color="auto" w:fill="FFFFFF"/>
        </w:rPr>
        <w:t>Plt</w:t>
      </w:r>
      <w:proofErr w:type="spellEnd"/>
      <w:r>
        <w:rPr>
          <w:rFonts w:ascii="Book Antiqua" w:eastAsia="Book Antiqua" w:hAnsi="Book Antiqua" w:cs="Book Antiqua"/>
          <w:color w:val="000000"/>
          <w:shd w:val="clear" w:color="auto" w:fill="FFFFFF"/>
        </w:rPr>
        <w:t xml:space="preserve"> activation and intravenous hemolysis is an intrinsic property of </w:t>
      </w:r>
      <w:proofErr w:type="gramStart"/>
      <w:r>
        <w:rPr>
          <w:rFonts w:ascii="Book Antiqua" w:eastAsia="Book Antiqua" w:hAnsi="Book Antiqua" w:cs="Book Antiqua"/>
          <w:color w:val="000000"/>
          <w:shd w:val="clear" w:color="auto" w:fill="FFFFFF"/>
        </w:rPr>
        <w:t>PNH</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42,43]</w:t>
      </w:r>
      <w:r>
        <w:rPr>
          <w:rFonts w:ascii="Book Antiqua" w:eastAsia="Book Antiqua" w:hAnsi="Book Antiqua" w:cs="Book Antiqua"/>
          <w:color w:val="000000"/>
          <w:shd w:val="clear" w:color="auto" w:fill="FFFFFF"/>
        </w:rPr>
        <w:t xml:space="preserve">. In the present case, GC treatment likely acted as a precipitating factor, </w:t>
      </w:r>
      <w:r>
        <w:rPr>
          <w:rFonts w:ascii="Book Antiqua" w:eastAsia="Book Antiqua" w:hAnsi="Book Antiqua" w:cs="Book Antiqua"/>
          <w:color w:val="000000"/>
        </w:rPr>
        <w:t>breaking</w:t>
      </w:r>
      <w:r>
        <w:rPr>
          <w:rFonts w:ascii="Book Antiqua" w:eastAsia="Book Antiqua" w:hAnsi="Book Antiqua" w:cs="Book Antiqua"/>
          <w:color w:val="000000"/>
          <w:shd w:val="clear" w:color="auto" w:fill="FFFFFF"/>
        </w:rPr>
        <w:t xml:space="preserve"> down the vulnerable balance between prothrombotic and </w:t>
      </w:r>
      <w:r>
        <w:rPr>
          <w:rFonts w:ascii="Book Antiqua" w:eastAsia="Book Antiqua" w:hAnsi="Book Antiqua" w:cs="Book Antiqua"/>
          <w:color w:val="000000"/>
        </w:rPr>
        <w:t>antithrombotic</w:t>
      </w:r>
      <w:r>
        <w:rPr>
          <w:rFonts w:ascii="Book Antiqua" w:eastAsia="Book Antiqua" w:hAnsi="Book Antiqua" w:cs="Book Antiqua"/>
          <w:color w:val="000000"/>
          <w:shd w:val="clear" w:color="auto" w:fill="FFFFFF"/>
        </w:rPr>
        <w:t xml:space="preserve"> factors in the context of defects in the complement regulatory components, thereby </w:t>
      </w:r>
      <w:r>
        <w:rPr>
          <w:rFonts w:ascii="Book Antiqua" w:eastAsia="Book Antiqua" w:hAnsi="Book Antiqua" w:cs="Book Antiqua"/>
          <w:color w:val="000000"/>
        </w:rPr>
        <w:t>provoking vascular endothelial injury and promoting</w:t>
      </w:r>
      <w:r>
        <w:rPr>
          <w:rFonts w:ascii="Book Antiqua" w:eastAsia="Book Antiqua" w:hAnsi="Book Antiqua" w:cs="Book Antiqua"/>
          <w:color w:val="000000"/>
          <w:shd w:val="clear" w:color="auto" w:fill="FFFFFF"/>
        </w:rPr>
        <w:t xml:space="preserve"> C3 deposition to </w:t>
      </w:r>
      <w:r>
        <w:rPr>
          <w:rFonts w:ascii="Book Antiqua" w:eastAsia="Book Antiqua" w:hAnsi="Book Antiqua" w:cs="Book Antiqua"/>
          <w:color w:val="000000"/>
        </w:rPr>
        <w:t xml:space="preserve">the </w:t>
      </w:r>
      <w:r>
        <w:rPr>
          <w:rFonts w:ascii="Book Antiqua" w:eastAsia="Book Antiqua" w:hAnsi="Book Antiqua" w:cs="Book Antiqua"/>
          <w:color w:val="000000"/>
          <w:shd w:val="clear" w:color="auto" w:fill="FFFFFF"/>
        </w:rPr>
        <w:t>vascular endothelium.</w:t>
      </w:r>
    </w:p>
    <w:p w14:paraId="0480792C" w14:textId="2E8B2C0C" w:rsidR="00ED477D" w:rsidRDefault="00000000">
      <w:pPr>
        <w:spacing w:line="360" w:lineRule="auto"/>
        <w:ind w:firstLine="240"/>
        <w:jc w:val="both"/>
      </w:pPr>
      <w:r>
        <w:rPr>
          <w:rFonts w:ascii="Book Antiqua" w:eastAsia="Book Antiqua" w:hAnsi="Book Antiqua" w:cs="Book Antiqua"/>
          <w:color w:val="000000"/>
          <w:shd w:val="clear" w:color="auto" w:fill="FFFFFF"/>
        </w:rPr>
        <w:t xml:space="preserve">When thrombocytopenia develops during GC treatment, GC-induced TMA should be considered because the predisposing factors are unknown in most </w:t>
      </w:r>
      <w:proofErr w:type="gramStart"/>
      <w:r>
        <w:rPr>
          <w:rFonts w:ascii="Book Antiqua" w:eastAsia="Book Antiqua" w:hAnsi="Book Antiqua" w:cs="Book Antiqua"/>
          <w:color w:val="000000"/>
          <w:shd w:val="clear" w:color="auto" w:fill="FFFFFF"/>
        </w:rPr>
        <w:t>cases</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44,45]</w:t>
      </w:r>
      <w:r>
        <w:rPr>
          <w:rFonts w:ascii="Book Antiqua" w:eastAsia="Book Antiqua" w:hAnsi="Book Antiqua" w:cs="Book Antiqua"/>
          <w:color w:val="000000"/>
          <w:shd w:val="clear" w:color="auto" w:fill="FFFFFF"/>
        </w:rPr>
        <w:t xml:space="preserve">. </w:t>
      </w:r>
      <w:r>
        <w:rPr>
          <w:rFonts w:ascii="Book Antiqua" w:eastAsia="SimSun" w:hAnsi="Book Antiqua" w:cs="Book Antiqua"/>
          <w:color w:val="000000"/>
          <w:shd w:val="clear" w:color="auto" w:fill="FFFFFF"/>
          <w:lang w:eastAsia="zh-CN"/>
        </w:rPr>
        <w:t>R</w:t>
      </w:r>
      <w:r>
        <w:rPr>
          <w:rFonts w:ascii="Book Antiqua" w:eastAsia="Book Antiqua" w:hAnsi="Book Antiqua" w:cs="Book Antiqua"/>
          <w:color w:val="000000"/>
          <w:shd w:val="clear" w:color="auto" w:fill="FFFFFF"/>
        </w:rPr>
        <w:t xml:space="preserve">educed serum levels of complement C3, increased serum levels of LHD and increased Ret counts in CBC monitoring were useful parameters to suggest the occurrence of TMA. The presence of schistocytes on blood smears, although no more than 10%, facilitated the diagnosis of </w:t>
      </w:r>
      <w:proofErr w:type="gramStart"/>
      <w:r>
        <w:rPr>
          <w:rFonts w:ascii="Book Antiqua" w:eastAsia="Book Antiqua" w:hAnsi="Book Antiqua" w:cs="Book Antiqua"/>
          <w:color w:val="000000"/>
          <w:shd w:val="clear" w:color="auto" w:fill="FFFFFF"/>
        </w:rPr>
        <w:t>TMA</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2,24]</w:t>
      </w:r>
      <w:r>
        <w:rPr>
          <w:rFonts w:ascii="Book Antiqua" w:eastAsia="Book Antiqua" w:hAnsi="Book Antiqua" w:cs="Book Antiqua"/>
          <w:color w:val="000000"/>
          <w:shd w:val="clear" w:color="auto" w:fill="FFFFFF"/>
        </w:rPr>
        <w:t>. However,</w:t>
      </w:r>
      <w:r>
        <w:rPr>
          <w:rFonts w:ascii="Book Antiqua" w:eastAsia="Book Antiqua" w:hAnsi="Book Antiqua" w:cs="Book Antiqua"/>
          <w:color w:val="000000"/>
        </w:rPr>
        <w:t xml:space="preserve"> the </w:t>
      </w:r>
      <w:r>
        <w:rPr>
          <w:rFonts w:ascii="Book Antiqua" w:eastAsia="Book Antiqua" w:hAnsi="Book Antiqua" w:cs="Book Antiqua"/>
          <w:color w:val="000000"/>
          <w:shd w:val="clear" w:color="auto" w:fill="FFFFFF"/>
        </w:rPr>
        <w:t xml:space="preserve">absence of schistocytes </w:t>
      </w:r>
      <w:r>
        <w:rPr>
          <w:rFonts w:ascii="Book Antiqua" w:eastAsia="Book Antiqua" w:hAnsi="Book Antiqua" w:cs="Book Antiqua"/>
          <w:color w:val="000000"/>
        </w:rPr>
        <w:t xml:space="preserve">cannot </w:t>
      </w:r>
      <w:r>
        <w:rPr>
          <w:rFonts w:ascii="Book Antiqua" w:eastAsia="Book Antiqua" w:hAnsi="Book Antiqua" w:cs="Book Antiqua"/>
          <w:color w:val="000000"/>
          <w:shd w:val="clear" w:color="auto" w:fill="FFFFFF"/>
        </w:rPr>
        <w:t xml:space="preserve">exclude the diagnosis </w:t>
      </w:r>
      <w:r>
        <w:rPr>
          <w:rFonts w:ascii="Book Antiqua" w:eastAsia="Book Antiqua" w:hAnsi="Book Antiqua" w:cs="Book Antiqua"/>
          <w:color w:val="000000"/>
          <w:shd w:val="clear" w:color="auto" w:fill="FFFFFF"/>
        </w:rPr>
        <w:lastRenderedPageBreak/>
        <w:t xml:space="preserve">of </w:t>
      </w:r>
      <w:proofErr w:type="gramStart"/>
      <w:r>
        <w:rPr>
          <w:rFonts w:ascii="Book Antiqua" w:eastAsia="Book Antiqua" w:hAnsi="Book Antiqua" w:cs="Book Antiqua"/>
          <w:color w:val="000000"/>
          <w:shd w:val="clear" w:color="auto" w:fill="FFFFFF"/>
        </w:rPr>
        <w:t>TMA</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23]</w:t>
      </w:r>
      <w:r>
        <w:rPr>
          <w:rFonts w:ascii="Book Antiqua" w:eastAsia="Book Antiqua" w:hAnsi="Book Antiqua" w:cs="Book Antiqua"/>
          <w:color w:val="000000"/>
          <w:shd w:val="clear" w:color="auto" w:fill="FFFFFF"/>
        </w:rPr>
        <w:t xml:space="preserve">. If TMA is suspected, GC treatment should be discontinued, and drugs that inhibit </w:t>
      </w:r>
      <w:proofErr w:type="spellStart"/>
      <w:r>
        <w:rPr>
          <w:rFonts w:ascii="Book Antiqua" w:eastAsia="Book Antiqua" w:hAnsi="Book Antiqua" w:cs="Book Antiqua"/>
          <w:color w:val="000000"/>
          <w:shd w:val="clear" w:color="auto" w:fill="FFFFFF"/>
        </w:rPr>
        <w:t>Plt</w:t>
      </w:r>
      <w:proofErr w:type="spellEnd"/>
      <w:r>
        <w:rPr>
          <w:rFonts w:ascii="Book Antiqua" w:eastAsia="Book Antiqua" w:hAnsi="Book Antiqua" w:cs="Book Antiqua"/>
          <w:color w:val="000000"/>
          <w:shd w:val="clear" w:color="auto" w:fill="FFFFFF"/>
        </w:rPr>
        <w:t xml:space="preserve"> aggregation and complement activation should be </w:t>
      </w:r>
      <w:proofErr w:type="gramStart"/>
      <w:r>
        <w:rPr>
          <w:rFonts w:ascii="Book Antiqua" w:eastAsia="Book Antiqua" w:hAnsi="Book Antiqua" w:cs="Book Antiqua"/>
          <w:color w:val="000000"/>
          <w:shd w:val="clear" w:color="auto" w:fill="FFFFFF"/>
        </w:rPr>
        <w:t>considered</w:t>
      </w:r>
      <w:r>
        <w:rPr>
          <w:rFonts w:ascii="Book Antiqua" w:eastAsia="Book Antiqua" w:hAnsi="Book Antiqua" w:cs="Book Antiqua"/>
          <w:color w:val="000000"/>
          <w:shd w:val="clear" w:color="auto" w:fill="FFFFFF"/>
          <w:vertAlign w:val="superscript"/>
        </w:rPr>
        <w:t>[</w:t>
      </w:r>
      <w:proofErr w:type="gramEnd"/>
      <w:r>
        <w:rPr>
          <w:rFonts w:ascii="Book Antiqua" w:eastAsia="Book Antiqua" w:hAnsi="Book Antiqua" w:cs="Book Antiqua"/>
          <w:color w:val="000000"/>
          <w:shd w:val="clear" w:color="auto" w:fill="FFFFFF"/>
          <w:vertAlign w:val="superscript"/>
        </w:rPr>
        <w:t>1,2]</w:t>
      </w:r>
      <w:r>
        <w:rPr>
          <w:rFonts w:ascii="Book Antiqua" w:eastAsia="Book Antiqua" w:hAnsi="Book Antiqua" w:cs="Book Antiqua"/>
          <w:color w:val="000000"/>
          <w:shd w:val="clear" w:color="auto" w:fill="FFFFFF"/>
        </w:rPr>
        <w:t>.</w:t>
      </w:r>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Drugs that increase the biosynthesis of endogenous </w:t>
      </w:r>
      <w:r>
        <w:rPr>
          <w:rFonts w:ascii="Book Antiqua" w:eastAsia="Book Antiqua" w:hAnsi="Book Antiqua" w:cs="Book Antiqua"/>
          <w:color w:val="000000"/>
        </w:rPr>
        <w:t xml:space="preserve">prostacyclin are beneficial for the reduction of GC-mediated vascular </w:t>
      </w:r>
      <w:proofErr w:type="gramStart"/>
      <w:r>
        <w:rPr>
          <w:rFonts w:ascii="Book Antiqua" w:eastAsia="Book Antiqua" w:hAnsi="Book Antiqua" w:cs="Book Antiqua"/>
          <w:color w:val="000000"/>
        </w:rPr>
        <w:t>injury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40,46,47]</w:t>
      </w:r>
      <w:r>
        <w:rPr>
          <w:rFonts w:ascii="Book Antiqua" w:eastAsia="Book Antiqua" w:hAnsi="Book Antiqua" w:cs="Book Antiqua"/>
          <w:color w:val="000000"/>
          <w:shd w:val="clear" w:color="auto" w:fill="FFFFFF"/>
        </w:rPr>
        <w:t>.</w:t>
      </w:r>
    </w:p>
    <w:p w14:paraId="4FB54A0D" w14:textId="2C2586A0" w:rsidR="00ED477D" w:rsidRDefault="00000000">
      <w:pPr>
        <w:spacing w:line="360" w:lineRule="auto"/>
        <w:ind w:firstLine="240"/>
        <w:jc w:val="both"/>
      </w:pPr>
      <w:r>
        <w:rPr>
          <w:rFonts w:ascii="Book Antiqua" w:eastAsia="Book Antiqua" w:hAnsi="Book Antiqua" w:cs="Book Antiqua"/>
          <w:color w:val="000000"/>
          <w:shd w:val="clear" w:color="auto" w:fill="FFFFFF"/>
        </w:rPr>
        <w:t xml:space="preserve">The present study had limitations. The diagnosis of GC-induced TMA was mainly based on exacerbated cytopenia after GC treatment and hematological improvement after discontinuation of GC treatment. The </w:t>
      </w:r>
      <w:r>
        <w:rPr>
          <w:rFonts w:ascii="Book Antiqua" w:eastAsia="Book Antiqua" w:hAnsi="Book Antiqua" w:cs="Book Antiqua"/>
          <w:color w:val="000000"/>
        </w:rPr>
        <w:t>fragmented</w:t>
      </w:r>
      <w:r>
        <w:rPr>
          <w:rFonts w:ascii="Book Antiqua" w:eastAsia="Book Antiqua" w:hAnsi="Book Antiqua" w:cs="Book Antiqua"/>
          <w:color w:val="000000"/>
          <w:shd w:val="clear" w:color="auto" w:fill="FFFFFF"/>
        </w:rPr>
        <w:t xml:space="preserve"> erythrocytes on blood smears were no more than 10% of the total RBCs. Although t</w:t>
      </w:r>
      <w:r>
        <w:rPr>
          <w:rFonts w:ascii="Book Antiqua" w:eastAsia="Book Antiqua" w:hAnsi="Book Antiqua" w:cs="Book Antiqua"/>
          <w:color w:val="000000"/>
        </w:rPr>
        <w:t xml:space="preserve">he presence of hyaline thrombi in biopsied tissue is direct evidence of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aggregation in the microvasculature, a biopsy was not performed in the present case.</w:t>
      </w:r>
    </w:p>
    <w:p w14:paraId="78E6AFFB" w14:textId="77777777" w:rsidR="00ED477D" w:rsidRDefault="00ED477D">
      <w:pPr>
        <w:spacing w:line="360" w:lineRule="auto"/>
        <w:ind w:firstLine="240"/>
        <w:jc w:val="both"/>
      </w:pPr>
    </w:p>
    <w:p w14:paraId="44FA3987" w14:textId="77777777" w:rsidR="00ED477D" w:rsidRDefault="00000000">
      <w:pPr>
        <w:spacing w:line="360" w:lineRule="auto"/>
        <w:jc w:val="both"/>
      </w:pPr>
      <w:r>
        <w:rPr>
          <w:rFonts w:ascii="Book Antiqua" w:eastAsia="Book Antiqua" w:hAnsi="Book Antiqua" w:cs="Book Antiqua"/>
          <w:b/>
          <w:caps/>
          <w:color w:val="000000"/>
          <w:u w:val="single"/>
        </w:rPr>
        <w:t>CONCLUSION</w:t>
      </w:r>
    </w:p>
    <w:p w14:paraId="4E7DC7EF" w14:textId="45F55627" w:rsidR="00ED477D" w:rsidRDefault="00000000">
      <w:pPr>
        <w:spacing w:line="360" w:lineRule="auto"/>
        <w:jc w:val="both"/>
      </w:pPr>
      <w:r>
        <w:rPr>
          <w:rFonts w:ascii="Book Antiqua" w:eastAsia="Book Antiqua" w:hAnsi="Book Antiqua" w:cs="Book Antiqua"/>
          <w:color w:val="000000"/>
        </w:rPr>
        <w:t xml:space="preserve">GC treatment can cause TMA in predisposed patients, and GC-induced TMA has been underestimated. Because GCs are widely used in treating various diseases and TMA is a potentially fatal condition, GC-induced TMA should be promptly diagnosed. In the case of a significant decrease in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xml:space="preserve"> counts during GC treatment, GC-induced TMA should be taken into consideration. In this situation, blood smears should be carefully examined, and GC treatment should be discontinued. If an increase in </w:t>
      </w:r>
      <w:proofErr w:type="spellStart"/>
      <w:r>
        <w:rPr>
          <w:rFonts w:ascii="Book Antiqua" w:eastAsia="Book Antiqua" w:hAnsi="Book Antiqua" w:cs="Book Antiqua"/>
          <w:color w:val="000000"/>
        </w:rPr>
        <w:t>Plts</w:t>
      </w:r>
      <w:proofErr w:type="spellEnd"/>
      <w:r>
        <w:rPr>
          <w:rFonts w:ascii="Book Antiqua" w:eastAsia="Book Antiqua" w:hAnsi="Book Antiqua" w:cs="Book Antiqua"/>
          <w:color w:val="000000"/>
        </w:rPr>
        <w:t xml:space="preserve"> occurs promptly after GC discontinuation, the diagnosis of GC-induced TMA can be established.</w:t>
      </w:r>
    </w:p>
    <w:p w14:paraId="4A6BF823" w14:textId="77777777" w:rsidR="00ED477D" w:rsidRDefault="00ED477D">
      <w:pPr>
        <w:spacing w:line="360" w:lineRule="auto"/>
        <w:jc w:val="both"/>
      </w:pPr>
    </w:p>
    <w:p w14:paraId="2B1B282A" w14:textId="77777777" w:rsidR="00ED477D" w:rsidRDefault="00000000">
      <w:pPr>
        <w:spacing w:line="360" w:lineRule="auto"/>
        <w:jc w:val="both"/>
      </w:pPr>
      <w:r>
        <w:rPr>
          <w:rFonts w:ascii="Book Antiqua" w:eastAsia="Book Antiqua" w:hAnsi="Book Antiqua" w:cs="Book Antiqua"/>
          <w:b/>
          <w:color w:val="000000"/>
        </w:rPr>
        <w:t>REFERENCES</w:t>
      </w:r>
    </w:p>
    <w:p w14:paraId="4BE097BE" w14:textId="77777777" w:rsidR="00ED477D" w:rsidRDefault="00000000">
      <w:pPr>
        <w:spacing w:line="360" w:lineRule="auto"/>
        <w:jc w:val="both"/>
      </w:pPr>
      <w:r>
        <w:rPr>
          <w:rFonts w:ascii="Book Antiqua" w:eastAsia="Book Antiqua" w:hAnsi="Book Antiqua" w:cs="Book Antiqua"/>
          <w:color w:val="000000"/>
        </w:rPr>
        <w:t xml:space="preserve">1 </w:t>
      </w:r>
      <w:r>
        <w:rPr>
          <w:rFonts w:ascii="Book Antiqua" w:eastAsia="Book Antiqua" w:hAnsi="Book Antiqua" w:cs="Book Antiqua"/>
          <w:b/>
          <w:bCs/>
          <w:color w:val="000000"/>
        </w:rPr>
        <w:t>Hanna RM</w:t>
      </w:r>
      <w:r>
        <w:rPr>
          <w:rFonts w:ascii="Book Antiqua" w:eastAsia="Book Antiqua" w:hAnsi="Book Antiqua" w:cs="Book Antiqua"/>
          <w:color w:val="000000"/>
        </w:rPr>
        <w:t xml:space="preserve">, Henriksen K, </w:t>
      </w:r>
      <w:proofErr w:type="spellStart"/>
      <w:r>
        <w:rPr>
          <w:rFonts w:ascii="Book Antiqua" w:eastAsia="Book Antiqua" w:hAnsi="Book Antiqua" w:cs="Book Antiqua"/>
          <w:color w:val="000000"/>
        </w:rPr>
        <w:t>Kalantar</w:t>
      </w:r>
      <w:proofErr w:type="spellEnd"/>
      <w:r>
        <w:rPr>
          <w:rFonts w:ascii="Book Antiqua" w:eastAsia="Book Antiqua" w:hAnsi="Book Antiqua" w:cs="Book Antiqua"/>
          <w:color w:val="000000"/>
        </w:rPr>
        <w:t xml:space="preserve">-Zadeh K, </w:t>
      </w:r>
      <w:proofErr w:type="spellStart"/>
      <w:r>
        <w:rPr>
          <w:rFonts w:ascii="Book Antiqua" w:eastAsia="Book Antiqua" w:hAnsi="Book Antiqua" w:cs="Book Antiqua"/>
          <w:color w:val="000000"/>
        </w:rPr>
        <w:t>Ferrey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Burwick</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Jhaveri</w:t>
      </w:r>
      <w:proofErr w:type="spellEnd"/>
      <w:r>
        <w:rPr>
          <w:rFonts w:ascii="Book Antiqua" w:eastAsia="Book Antiqua" w:hAnsi="Book Antiqua" w:cs="Book Antiqua"/>
          <w:color w:val="000000"/>
        </w:rPr>
        <w:t xml:space="preserve"> KD. Thrombotic Microangiopathy Syndromes-Common Ground and Distinct Frontiers. </w:t>
      </w:r>
      <w:r>
        <w:rPr>
          <w:rFonts w:ascii="Book Antiqua" w:eastAsia="Book Antiqua" w:hAnsi="Book Antiqua" w:cs="Book Antiqua"/>
          <w:i/>
          <w:iCs/>
          <w:color w:val="000000"/>
        </w:rPr>
        <w:t>Adv Chronic Kidney Dis</w:t>
      </w:r>
      <w:r>
        <w:rPr>
          <w:rFonts w:ascii="Book Antiqua" w:eastAsia="Book Antiqua" w:hAnsi="Book Antiqua" w:cs="Book Antiqua"/>
          <w:color w:val="000000"/>
        </w:rPr>
        <w:t xml:space="preserve"> 2022; </w:t>
      </w:r>
      <w:r>
        <w:rPr>
          <w:rFonts w:ascii="Book Antiqua" w:eastAsia="Book Antiqua" w:hAnsi="Book Antiqua" w:cs="Book Antiqua"/>
          <w:b/>
          <w:bCs/>
          <w:color w:val="000000"/>
        </w:rPr>
        <w:t>29</w:t>
      </w:r>
      <w:r>
        <w:rPr>
          <w:rFonts w:ascii="Book Antiqua" w:eastAsia="Book Antiqua" w:hAnsi="Book Antiqua" w:cs="Book Antiqua"/>
          <w:color w:val="000000"/>
        </w:rPr>
        <w:t>: 149-160.e1 [PMID: 35817522 DOI: 10.1053/j.ackd.2021.11.006]</w:t>
      </w:r>
    </w:p>
    <w:p w14:paraId="022A2E9E" w14:textId="77777777" w:rsidR="00ED477D" w:rsidRDefault="00000000">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Thompson GL</w:t>
      </w:r>
      <w:r>
        <w:rPr>
          <w:rFonts w:ascii="Book Antiqua" w:eastAsia="Book Antiqua" w:hAnsi="Book Antiqua" w:cs="Book Antiqua"/>
          <w:color w:val="000000"/>
        </w:rPr>
        <w:t xml:space="preserve">, Kavanagh D. </w:t>
      </w:r>
      <w:proofErr w:type="gramStart"/>
      <w:r>
        <w:rPr>
          <w:rFonts w:ascii="Book Antiqua" w:eastAsia="Book Antiqua" w:hAnsi="Book Antiqua" w:cs="Book Antiqua"/>
          <w:color w:val="000000"/>
        </w:rPr>
        <w:t>Diagnosis</w:t>
      </w:r>
      <w:proofErr w:type="gramEnd"/>
      <w:r>
        <w:rPr>
          <w:rFonts w:ascii="Book Antiqua" w:eastAsia="Book Antiqua" w:hAnsi="Book Antiqua" w:cs="Book Antiqua"/>
          <w:color w:val="000000"/>
        </w:rPr>
        <w:t xml:space="preserve"> and treatment of thrombotic microangiopathy. </w:t>
      </w:r>
      <w:r>
        <w:rPr>
          <w:rFonts w:ascii="Book Antiqua" w:eastAsia="Book Antiqua" w:hAnsi="Book Antiqua" w:cs="Book Antiqua"/>
          <w:i/>
          <w:iCs/>
          <w:color w:val="000000"/>
        </w:rPr>
        <w:t xml:space="preserve">Int J Lab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44 Suppl 1</w:t>
      </w:r>
      <w:r>
        <w:rPr>
          <w:rFonts w:ascii="Book Antiqua" w:eastAsia="Book Antiqua" w:hAnsi="Book Antiqua" w:cs="Book Antiqua"/>
          <w:color w:val="000000"/>
        </w:rPr>
        <w:t>: 101-113 [PMID: 36074708 DOI: 10.1111/ijlh.13954]</w:t>
      </w:r>
    </w:p>
    <w:p w14:paraId="274B07AA" w14:textId="77777777" w:rsidR="00ED477D" w:rsidRDefault="00000000">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Bayer G</w:t>
      </w:r>
      <w:r>
        <w:rPr>
          <w:rFonts w:ascii="Book Antiqua" w:eastAsia="Book Antiqua" w:hAnsi="Book Antiqua" w:cs="Book Antiqua"/>
          <w:color w:val="000000"/>
        </w:rPr>
        <w:t xml:space="preserve">, von </w:t>
      </w:r>
      <w:proofErr w:type="spellStart"/>
      <w:r>
        <w:rPr>
          <w:rFonts w:ascii="Book Antiqua" w:eastAsia="Book Antiqua" w:hAnsi="Book Antiqua" w:cs="Book Antiqua"/>
          <w:color w:val="000000"/>
        </w:rPr>
        <w:t>Tokarski</w:t>
      </w:r>
      <w:proofErr w:type="spellEnd"/>
      <w:r>
        <w:rPr>
          <w:rFonts w:ascii="Book Antiqua" w:eastAsia="Book Antiqua" w:hAnsi="Book Antiqua" w:cs="Book Antiqua"/>
          <w:color w:val="000000"/>
        </w:rPr>
        <w:t xml:space="preserve"> F, Thoreau B, </w:t>
      </w:r>
      <w:proofErr w:type="spellStart"/>
      <w:r>
        <w:rPr>
          <w:rFonts w:ascii="Book Antiqua" w:eastAsia="Book Antiqua" w:hAnsi="Book Antiqua" w:cs="Book Antiqua"/>
          <w:color w:val="000000"/>
        </w:rPr>
        <w:t>Bauvois</w:t>
      </w:r>
      <w:proofErr w:type="spellEnd"/>
      <w:r>
        <w:rPr>
          <w:rFonts w:ascii="Book Antiqua" w:eastAsia="Book Antiqua" w:hAnsi="Book Antiqua" w:cs="Book Antiqua"/>
          <w:color w:val="000000"/>
        </w:rPr>
        <w:t xml:space="preserve"> A, Barbet C, </w:t>
      </w:r>
      <w:proofErr w:type="spellStart"/>
      <w:r>
        <w:rPr>
          <w:rFonts w:ascii="Book Antiqua" w:eastAsia="Book Antiqua" w:hAnsi="Book Antiqua" w:cs="Book Antiqua"/>
          <w:color w:val="000000"/>
        </w:rPr>
        <w:t>Cloarec</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Mérieau</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Lachot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Garot</w:t>
      </w:r>
      <w:proofErr w:type="spellEnd"/>
      <w:r>
        <w:rPr>
          <w:rFonts w:ascii="Book Antiqua" w:eastAsia="Book Antiqua" w:hAnsi="Book Antiqua" w:cs="Book Antiqua"/>
          <w:color w:val="000000"/>
        </w:rPr>
        <w:t xml:space="preserve"> D, Bernard L, Gyan E, </w:t>
      </w:r>
      <w:proofErr w:type="spellStart"/>
      <w:r>
        <w:rPr>
          <w:rFonts w:ascii="Book Antiqua" w:eastAsia="Book Antiqua" w:hAnsi="Book Antiqua" w:cs="Book Antiqua"/>
          <w:color w:val="000000"/>
        </w:rPr>
        <w:t>Perrotin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Pouplard</w:t>
      </w:r>
      <w:proofErr w:type="spellEnd"/>
      <w:r>
        <w:rPr>
          <w:rFonts w:ascii="Book Antiqua" w:eastAsia="Book Antiqua" w:hAnsi="Book Antiqua" w:cs="Book Antiqua"/>
          <w:color w:val="000000"/>
        </w:rPr>
        <w:t xml:space="preserve"> C, Maillot F, </w:t>
      </w:r>
      <w:proofErr w:type="spellStart"/>
      <w:r>
        <w:rPr>
          <w:rFonts w:ascii="Book Antiqua" w:eastAsia="Book Antiqua" w:hAnsi="Book Antiqua" w:cs="Book Antiqua"/>
          <w:color w:val="000000"/>
        </w:rPr>
        <w:t>Gatault</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Sautenet</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Rusch</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Buchler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Vigneau</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Fakhouri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Halimi</w:t>
      </w:r>
      <w:proofErr w:type="spellEnd"/>
      <w:r>
        <w:rPr>
          <w:rFonts w:ascii="Book Antiqua" w:eastAsia="Book Antiqua" w:hAnsi="Book Antiqua" w:cs="Book Antiqua"/>
          <w:color w:val="000000"/>
        </w:rPr>
        <w:t xml:space="preserve"> JM. Etiology and Outcomes of </w:t>
      </w:r>
      <w:r>
        <w:rPr>
          <w:rFonts w:ascii="Book Antiqua" w:eastAsia="Book Antiqua" w:hAnsi="Book Antiqua" w:cs="Book Antiqua"/>
          <w:color w:val="000000"/>
        </w:rPr>
        <w:lastRenderedPageBreak/>
        <w:t xml:space="preserve">Thrombotic Microangiopathies. </w:t>
      </w:r>
      <w:r>
        <w:rPr>
          <w:rFonts w:ascii="Book Antiqua" w:eastAsia="Book Antiqua" w:hAnsi="Book Antiqua" w:cs="Book Antiqua"/>
          <w:i/>
          <w:iCs/>
          <w:color w:val="000000"/>
        </w:rPr>
        <w:t>Clin J Am Soc Nephrol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14</w:t>
      </w:r>
      <w:r>
        <w:rPr>
          <w:rFonts w:ascii="Book Antiqua" w:eastAsia="Book Antiqua" w:hAnsi="Book Antiqua" w:cs="Book Antiqua"/>
          <w:color w:val="000000"/>
        </w:rPr>
        <w:t>: 557-566 [PMID: 30862697 DOI: 10.2215/CJN.11470918]</w:t>
      </w:r>
    </w:p>
    <w:p w14:paraId="0471DB4E" w14:textId="77777777" w:rsidR="00ED477D" w:rsidRDefault="00000000">
      <w:pPr>
        <w:spacing w:line="360" w:lineRule="auto"/>
        <w:jc w:val="both"/>
      </w:pPr>
      <w:r>
        <w:rPr>
          <w:rFonts w:ascii="Book Antiqua" w:eastAsia="Book Antiqua" w:hAnsi="Book Antiqua" w:cs="Book Antiqua"/>
          <w:color w:val="000000"/>
        </w:rPr>
        <w:t xml:space="preserve">4 </w:t>
      </w:r>
      <w:r>
        <w:rPr>
          <w:rFonts w:ascii="Book Antiqua" w:eastAsia="Book Antiqua" w:hAnsi="Book Antiqua" w:cs="Book Antiqua"/>
          <w:b/>
          <w:bCs/>
          <w:color w:val="000000"/>
        </w:rPr>
        <w:t>Mandel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Casari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Stepanyan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Martyanov</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Deppermann</w:t>
      </w:r>
      <w:proofErr w:type="spellEnd"/>
      <w:r>
        <w:rPr>
          <w:rFonts w:ascii="Book Antiqua" w:eastAsia="Book Antiqua" w:hAnsi="Book Antiqua" w:cs="Book Antiqua"/>
          <w:color w:val="000000"/>
        </w:rPr>
        <w:t xml:space="preserve"> C. Beyond Hemostasis: Platelet Innate Immune Interactions and </w:t>
      </w:r>
      <w:proofErr w:type="spellStart"/>
      <w:r>
        <w:rPr>
          <w:rFonts w:ascii="Book Antiqua" w:eastAsia="Book Antiqua" w:hAnsi="Book Antiqua" w:cs="Book Antiqua"/>
          <w:color w:val="000000"/>
        </w:rPr>
        <w:t>Thromboinflammation</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xml:space="preserve"> [PMID: 35409226 DOI: 10.3390/ijms23073868]</w:t>
      </w:r>
    </w:p>
    <w:p w14:paraId="1EF701F3" w14:textId="77777777" w:rsidR="00ED477D" w:rsidRDefault="00000000">
      <w:pPr>
        <w:spacing w:line="360" w:lineRule="auto"/>
        <w:jc w:val="both"/>
      </w:pPr>
      <w:r>
        <w:rPr>
          <w:rFonts w:ascii="Book Antiqua" w:eastAsia="Book Antiqua" w:hAnsi="Book Antiqua" w:cs="Book Antiqua"/>
          <w:color w:val="000000"/>
        </w:rPr>
        <w:t xml:space="preserve">5 </w:t>
      </w:r>
      <w:proofErr w:type="spellStart"/>
      <w:r>
        <w:rPr>
          <w:rFonts w:ascii="Book Antiqua" w:eastAsia="Book Antiqua" w:hAnsi="Book Antiqua" w:cs="Book Antiqua"/>
          <w:b/>
          <w:bCs/>
          <w:color w:val="000000"/>
        </w:rPr>
        <w:t>Rawish</w:t>
      </w:r>
      <w:proofErr w:type="spellEnd"/>
      <w:r>
        <w:rPr>
          <w:rFonts w:ascii="Book Antiqua" w:eastAsia="Book Antiqua" w:hAnsi="Book Antiqua" w:cs="Book Antiqua"/>
          <w:b/>
          <w:bCs/>
          <w:color w:val="000000"/>
        </w:rPr>
        <w:t xml:space="preserve"> E</w:t>
      </w:r>
      <w:r>
        <w:rPr>
          <w:rFonts w:ascii="Book Antiqua" w:eastAsia="Book Antiqua" w:hAnsi="Book Antiqua" w:cs="Book Antiqua"/>
          <w:color w:val="000000"/>
        </w:rPr>
        <w:t xml:space="preserve">, Sauter M, Sauter R, </w:t>
      </w:r>
      <w:proofErr w:type="spellStart"/>
      <w:r>
        <w:rPr>
          <w:rFonts w:ascii="Book Antiqua" w:eastAsia="Book Antiqua" w:hAnsi="Book Antiqua" w:cs="Book Antiqua"/>
          <w:color w:val="000000"/>
        </w:rPr>
        <w:t>Nording</w:t>
      </w:r>
      <w:proofErr w:type="spellEnd"/>
      <w:r>
        <w:rPr>
          <w:rFonts w:ascii="Book Antiqua" w:eastAsia="Book Antiqua" w:hAnsi="Book Antiqua" w:cs="Book Antiqua"/>
          <w:color w:val="000000"/>
        </w:rPr>
        <w:t xml:space="preserve"> H, Langer HF. Complement, </w:t>
      </w:r>
      <w:proofErr w:type="gramStart"/>
      <w:r>
        <w:rPr>
          <w:rFonts w:ascii="Book Antiqua" w:eastAsia="Book Antiqua" w:hAnsi="Book Antiqua" w:cs="Book Antiqua"/>
          <w:color w:val="000000"/>
        </w:rPr>
        <w:t>inflammation</w:t>
      </w:r>
      <w:proofErr w:type="gramEnd"/>
      <w:r>
        <w:rPr>
          <w:rFonts w:ascii="Book Antiqua" w:eastAsia="Book Antiqua" w:hAnsi="Book Antiqua" w:cs="Book Antiqua"/>
          <w:color w:val="000000"/>
        </w:rPr>
        <w:t xml:space="preserve"> and thrombosis. </w:t>
      </w:r>
      <w:r>
        <w:rPr>
          <w:rFonts w:ascii="Book Antiqua" w:eastAsia="Book Antiqua" w:hAnsi="Book Antiqua" w:cs="Book Antiqua"/>
          <w:i/>
          <w:iCs/>
          <w:color w:val="000000"/>
        </w:rPr>
        <w:t xml:space="preserve">Br J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178</w:t>
      </w:r>
      <w:r>
        <w:rPr>
          <w:rFonts w:ascii="Book Antiqua" w:eastAsia="Book Antiqua" w:hAnsi="Book Antiqua" w:cs="Book Antiqua"/>
          <w:color w:val="000000"/>
        </w:rPr>
        <w:t>: 2892-2904 [PMID: 33817781 DOI: 10.1111/bph.15476]</w:t>
      </w:r>
    </w:p>
    <w:p w14:paraId="05128D1D" w14:textId="77777777" w:rsidR="00ED477D" w:rsidRDefault="00000000">
      <w:pPr>
        <w:spacing w:line="360" w:lineRule="auto"/>
        <w:jc w:val="both"/>
      </w:pPr>
      <w:r>
        <w:rPr>
          <w:rFonts w:ascii="Book Antiqua" w:eastAsia="Book Antiqua" w:hAnsi="Book Antiqua" w:cs="Book Antiqua"/>
          <w:color w:val="000000"/>
        </w:rPr>
        <w:t xml:space="preserve">6 </w:t>
      </w:r>
      <w:proofErr w:type="spellStart"/>
      <w:r>
        <w:rPr>
          <w:rFonts w:ascii="Book Antiqua" w:eastAsia="Book Antiqua" w:hAnsi="Book Antiqua" w:cs="Book Antiqua"/>
          <w:b/>
          <w:bCs/>
          <w:color w:val="000000"/>
        </w:rPr>
        <w:t>Noone</w:t>
      </w:r>
      <w:proofErr w:type="spellEnd"/>
      <w:r>
        <w:rPr>
          <w:rFonts w:ascii="Book Antiqua" w:eastAsia="Book Antiqua" w:hAnsi="Book Antiqua" w:cs="Book Antiqua"/>
          <w:b/>
          <w:bCs/>
          <w:color w:val="000000"/>
        </w:rPr>
        <w:t xml:space="preserve"> DG</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Riedl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Pluthero</w:t>
      </w:r>
      <w:proofErr w:type="spellEnd"/>
      <w:r>
        <w:rPr>
          <w:rFonts w:ascii="Book Antiqua" w:eastAsia="Book Antiqua" w:hAnsi="Book Antiqua" w:cs="Book Antiqua"/>
          <w:color w:val="000000"/>
        </w:rPr>
        <w:t xml:space="preserve"> FG, Bowman ML, </w:t>
      </w:r>
      <w:proofErr w:type="spellStart"/>
      <w:r>
        <w:rPr>
          <w:rFonts w:ascii="Book Antiqua" w:eastAsia="Book Antiqua" w:hAnsi="Book Antiqua" w:cs="Book Antiqua"/>
          <w:color w:val="000000"/>
        </w:rPr>
        <w:t>Liszewski</w:t>
      </w:r>
      <w:proofErr w:type="spellEnd"/>
      <w:r>
        <w:rPr>
          <w:rFonts w:ascii="Book Antiqua" w:eastAsia="Book Antiqua" w:hAnsi="Book Antiqua" w:cs="Book Antiqua"/>
          <w:color w:val="000000"/>
        </w:rPr>
        <w:t xml:space="preserve"> MK, Lu L, Quan Y, </w:t>
      </w:r>
      <w:proofErr w:type="spellStart"/>
      <w:r>
        <w:rPr>
          <w:rFonts w:ascii="Book Antiqua" w:eastAsia="Book Antiqua" w:hAnsi="Book Antiqua" w:cs="Book Antiqua"/>
          <w:color w:val="000000"/>
        </w:rPr>
        <w:t>Balgobin</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Schneppenheim</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Schneppenheim</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Budde</w:t>
      </w:r>
      <w:proofErr w:type="spellEnd"/>
      <w:r>
        <w:rPr>
          <w:rFonts w:ascii="Book Antiqua" w:eastAsia="Book Antiqua" w:hAnsi="Book Antiqua" w:cs="Book Antiqua"/>
          <w:color w:val="000000"/>
        </w:rPr>
        <w:t xml:space="preserve"> U, James P, Atkinson JP, </w:t>
      </w:r>
      <w:proofErr w:type="spellStart"/>
      <w:r>
        <w:rPr>
          <w:rFonts w:ascii="Book Antiqua" w:eastAsia="Book Antiqua" w:hAnsi="Book Antiqua" w:cs="Book Antiqua"/>
          <w:color w:val="000000"/>
        </w:rPr>
        <w:t>Palaniyar</w:t>
      </w:r>
      <w:proofErr w:type="spellEnd"/>
      <w:r>
        <w:rPr>
          <w:rFonts w:ascii="Book Antiqua" w:eastAsia="Book Antiqua" w:hAnsi="Book Antiqua" w:cs="Book Antiqua"/>
          <w:color w:val="000000"/>
        </w:rPr>
        <w:t xml:space="preserve"> N, Kahr WH, Licht C. </w:t>
      </w:r>
      <w:proofErr w:type="gramStart"/>
      <w:r>
        <w:rPr>
          <w:rFonts w:ascii="Book Antiqua" w:eastAsia="Book Antiqua" w:hAnsi="Book Antiqua" w:cs="Book Antiqua"/>
          <w:color w:val="000000"/>
        </w:rPr>
        <w:t>Von</w:t>
      </w:r>
      <w:proofErr w:type="gramEnd"/>
      <w:r>
        <w:rPr>
          <w:rFonts w:ascii="Book Antiqua" w:eastAsia="Book Antiqua" w:hAnsi="Book Antiqua" w:cs="Book Antiqua"/>
          <w:color w:val="000000"/>
        </w:rPr>
        <w:t xml:space="preserve"> Willebrand factor regulates complement on endothelial cells. </w:t>
      </w:r>
      <w:r>
        <w:rPr>
          <w:rFonts w:ascii="Book Antiqua" w:eastAsia="Book Antiqua" w:hAnsi="Book Antiqua" w:cs="Book Antiqua"/>
          <w:i/>
          <w:iCs/>
          <w:color w:val="000000"/>
        </w:rPr>
        <w:t>Kidney Int</w:t>
      </w:r>
      <w:r>
        <w:rPr>
          <w:rFonts w:ascii="Book Antiqua" w:eastAsia="Book Antiqua" w:hAnsi="Book Antiqua" w:cs="Book Antiqua"/>
          <w:color w:val="000000"/>
        </w:rPr>
        <w:t xml:space="preserve"> 2016; </w:t>
      </w:r>
      <w:r>
        <w:rPr>
          <w:rFonts w:ascii="Book Antiqua" w:eastAsia="Book Antiqua" w:hAnsi="Book Antiqua" w:cs="Book Antiqua"/>
          <w:b/>
          <w:bCs/>
          <w:color w:val="000000"/>
        </w:rPr>
        <w:t>90</w:t>
      </w:r>
      <w:r>
        <w:rPr>
          <w:rFonts w:ascii="Book Antiqua" w:eastAsia="Book Antiqua" w:hAnsi="Book Antiqua" w:cs="Book Antiqua"/>
          <w:color w:val="000000"/>
        </w:rPr>
        <w:t>: 123-134 [PMID: 27236750 DOI: 10.1016/j.kint.2016.03.023]</w:t>
      </w:r>
    </w:p>
    <w:p w14:paraId="33BC501A" w14:textId="77777777" w:rsidR="00ED477D" w:rsidRDefault="00000000">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Theofilis</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Sagris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Oikonomou</w:t>
      </w:r>
      <w:proofErr w:type="spellEnd"/>
      <w:r>
        <w:rPr>
          <w:rFonts w:ascii="Book Antiqua" w:eastAsia="Book Antiqua" w:hAnsi="Book Antiqua" w:cs="Book Antiqua"/>
          <w:color w:val="000000"/>
        </w:rPr>
        <w:t xml:space="preserve"> E, Antonopoulos AS, </w:t>
      </w:r>
      <w:proofErr w:type="spellStart"/>
      <w:r>
        <w:rPr>
          <w:rFonts w:ascii="Book Antiqua" w:eastAsia="Book Antiqua" w:hAnsi="Book Antiqua" w:cs="Book Antiqua"/>
          <w:color w:val="000000"/>
        </w:rPr>
        <w:t>Siasos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Tsioufis</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Tousoulis</w:t>
      </w:r>
      <w:proofErr w:type="spellEnd"/>
      <w:r>
        <w:rPr>
          <w:rFonts w:ascii="Book Antiqua" w:eastAsia="Book Antiqua" w:hAnsi="Book Antiqua" w:cs="Book Antiqua"/>
          <w:color w:val="000000"/>
        </w:rPr>
        <w:t xml:space="preserve"> D. Inflammatory Mechanisms Contributing to Endothelial Dysfunction. </w:t>
      </w:r>
      <w:r>
        <w:rPr>
          <w:rFonts w:ascii="Book Antiqua" w:eastAsia="Book Antiqua" w:hAnsi="Book Antiqua" w:cs="Book Antiqua"/>
          <w:i/>
          <w:iCs/>
          <w:color w:val="000000"/>
        </w:rPr>
        <w:t>Biomedicines</w:t>
      </w:r>
      <w:r>
        <w:rPr>
          <w:rFonts w:ascii="Book Antiqua" w:eastAsia="Book Antiqua" w:hAnsi="Book Antiqua" w:cs="Book Antiqua"/>
          <w:color w:val="000000"/>
        </w:rPr>
        <w:t xml:space="preserve"> 2021; </w:t>
      </w:r>
      <w:r>
        <w:rPr>
          <w:rFonts w:ascii="Book Antiqua" w:eastAsia="Book Antiqua" w:hAnsi="Book Antiqua" w:cs="Book Antiqua"/>
          <w:b/>
          <w:bCs/>
          <w:color w:val="000000"/>
        </w:rPr>
        <w:t>9</w:t>
      </w:r>
      <w:r>
        <w:rPr>
          <w:rFonts w:ascii="Book Antiqua" w:eastAsia="Book Antiqua" w:hAnsi="Book Antiqua" w:cs="Book Antiqua"/>
          <w:color w:val="000000"/>
        </w:rPr>
        <w:t xml:space="preserve"> [PMID: 34356845 DOI: 10.3390/biomedicines9070781]</w:t>
      </w:r>
    </w:p>
    <w:p w14:paraId="5A59C29F" w14:textId="77777777" w:rsidR="00ED477D" w:rsidRDefault="00000000">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Chang JC</w:t>
      </w:r>
      <w:r>
        <w:rPr>
          <w:rFonts w:ascii="Book Antiqua" w:eastAsia="Book Antiqua" w:hAnsi="Book Antiqua" w:cs="Book Antiqua"/>
          <w:color w:val="000000"/>
        </w:rPr>
        <w:t xml:space="preserve">. Molecular Pathogenesis of </w:t>
      </w:r>
      <w:proofErr w:type="spellStart"/>
      <w:r>
        <w:rPr>
          <w:rFonts w:ascii="Book Antiqua" w:eastAsia="Book Antiqua" w:hAnsi="Book Antiqua" w:cs="Book Antiqua"/>
          <w:color w:val="000000"/>
        </w:rPr>
        <w:t>Endotheliopathy</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Endotheliopathic</w:t>
      </w:r>
      <w:proofErr w:type="spellEnd"/>
      <w:r>
        <w:rPr>
          <w:rFonts w:ascii="Book Antiqua" w:eastAsia="Book Antiqua" w:hAnsi="Book Antiqua" w:cs="Book Antiqua"/>
          <w:color w:val="000000"/>
        </w:rPr>
        <w:t xml:space="preserve"> Syndromes, Leading to Inflammation and </w:t>
      </w:r>
      <w:proofErr w:type="spellStart"/>
      <w:r>
        <w:rPr>
          <w:rFonts w:ascii="Book Antiqua" w:eastAsia="Book Antiqua" w:hAnsi="Book Antiqua" w:cs="Book Antiqua"/>
          <w:color w:val="000000"/>
        </w:rPr>
        <w:t>Microthrombosis</w:t>
      </w:r>
      <w:proofErr w:type="spellEnd"/>
      <w:r>
        <w:rPr>
          <w:rFonts w:ascii="Book Antiqua" w:eastAsia="Book Antiqua" w:hAnsi="Book Antiqua" w:cs="Book Antiqua"/>
          <w:color w:val="000000"/>
        </w:rPr>
        <w:t xml:space="preserve">, and Various Hemostatic Clinical Phenotypes Based on "Two-Activation Theory of the Endothelium" and "Two-Path Unifying Theory" of Hemostasis. </w:t>
      </w:r>
      <w:proofErr w:type="spellStart"/>
      <w:r>
        <w:rPr>
          <w:rFonts w:ascii="Book Antiqua" w:eastAsia="Book Antiqua" w:hAnsi="Book Antiqua" w:cs="Book Antiqua"/>
          <w:i/>
          <w:iCs/>
          <w:color w:val="000000"/>
        </w:rPr>
        <w:t>Medicina</w:t>
      </w:r>
      <w:proofErr w:type="spellEnd"/>
      <w:r>
        <w:rPr>
          <w:rFonts w:ascii="Book Antiqua" w:eastAsia="Book Antiqua" w:hAnsi="Book Antiqua" w:cs="Book Antiqua"/>
          <w:i/>
          <w:iCs/>
          <w:color w:val="000000"/>
        </w:rPr>
        <w:t xml:space="preserve"> (Kaunas)</w:t>
      </w:r>
      <w:r>
        <w:rPr>
          <w:rFonts w:ascii="Book Antiqua" w:eastAsia="Book Antiqua" w:hAnsi="Book Antiqua" w:cs="Book Antiqua"/>
          <w:color w:val="000000"/>
        </w:rPr>
        <w:t xml:space="preserve"> 2022; </w:t>
      </w:r>
      <w:r>
        <w:rPr>
          <w:rFonts w:ascii="Book Antiqua" w:eastAsia="Book Antiqua" w:hAnsi="Book Antiqua" w:cs="Book Antiqua"/>
          <w:b/>
          <w:bCs/>
          <w:color w:val="000000"/>
        </w:rPr>
        <w:t>58</w:t>
      </w:r>
      <w:r>
        <w:rPr>
          <w:rFonts w:ascii="Book Antiqua" w:eastAsia="Book Antiqua" w:hAnsi="Book Antiqua" w:cs="Book Antiqua"/>
          <w:color w:val="000000"/>
        </w:rPr>
        <w:t xml:space="preserve"> [PMID: 36143988 DOI: 10.3390/medicina58091311]</w:t>
      </w:r>
    </w:p>
    <w:p w14:paraId="408C2B0C" w14:textId="77777777" w:rsidR="00ED477D" w:rsidRDefault="00000000">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Mathew RO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Nayer</w:t>
      </w:r>
      <w:proofErr w:type="spellEnd"/>
      <w:r>
        <w:rPr>
          <w:rFonts w:ascii="Book Antiqua" w:eastAsia="Book Antiqua" w:hAnsi="Book Antiqua" w:cs="Book Antiqua"/>
          <w:color w:val="000000"/>
        </w:rPr>
        <w:t xml:space="preserve"> A, Asif A. The endothelium as the common denominator in malignant hypertension and thrombotic microangiopathy. </w:t>
      </w:r>
      <w:r>
        <w:rPr>
          <w:rFonts w:ascii="Book Antiqua" w:eastAsia="Book Antiqua" w:hAnsi="Book Antiqua" w:cs="Book Antiqua"/>
          <w:i/>
          <w:iCs/>
          <w:color w:val="000000"/>
        </w:rPr>
        <w:t xml:space="preserve">J Am Soc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10</w:t>
      </w:r>
      <w:r>
        <w:rPr>
          <w:rFonts w:ascii="Book Antiqua" w:eastAsia="Book Antiqua" w:hAnsi="Book Antiqua" w:cs="Book Antiqua"/>
          <w:color w:val="000000"/>
        </w:rPr>
        <w:t>: 352-359 [PMID: 26778772 DOI: 10.1016/j.jash.2015.12.007]</w:t>
      </w:r>
    </w:p>
    <w:p w14:paraId="5C5C4AAB" w14:textId="77777777" w:rsidR="00ED477D" w:rsidRDefault="00000000">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Gianni P</w:t>
      </w:r>
      <w:r>
        <w:rPr>
          <w:rFonts w:ascii="Book Antiqua" w:eastAsia="Book Antiqua" w:hAnsi="Book Antiqua" w:cs="Book Antiqua"/>
          <w:color w:val="000000"/>
        </w:rPr>
        <w:t xml:space="preserve">, Goldin M, </w:t>
      </w:r>
      <w:proofErr w:type="spellStart"/>
      <w:r>
        <w:rPr>
          <w:rFonts w:ascii="Book Antiqua" w:eastAsia="Book Antiqua" w:hAnsi="Book Antiqua" w:cs="Book Antiqua"/>
          <w:color w:val="000000"/>
        </w:rPr>
        <w:t>Ngu</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Zafeiropoulos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Geropoulos</w:t>
      </w:r>
      <w:proofErr w:type="spellEnd"/>
      <w:r>
        <w:rPr>
          <w:rFonts w:ascii="Book Antiqua" w:eastAsia="Book Antiqua" w:hAnsi="Book Antiqua" w:cs="Book Antiqua"/>
          <w:color w:val="000000"/>
        </w:rPr>
        <w:t xml:space="preserve"> G, Giannis D. Complement-mediated microvascular </w:t>
      </w:r>
      <w:proofErr w:type="gramStart"/>
      <w:r>
        <w:rPr>
          <w:rFonts w:ascii="Book Antiqua" w:eastAsia="Book Antiqua" w:hAnsi="Book Antiqua" w:cs="Book Antiqua"/>
          <w:color w:val="000000"/>
        </w:rPr>
        <w:t>injury</w:t>
      </w:r>
      <w:proofErr w:type="gramEnd"/>
      <w:r>
        <w:rPr>
          <w:rFonts w:ascii="Book Antiqua" w:eastAsia="Book Antiqua" w:hAnsi="Book Antiqua" w:cs="Book Antiqua"/>
          <w:color w:val="000000"/>
        </w:rPr>
        <w:t xml:space="preserve"> and thrombosis in the pathogenesis of severe COVID-19: A review. </w:t>
      </w:r>
      <w:r>
        <w:rPr>
          <w:rFonts w:ascii="Book Antiqua" w:eastAsia="Book Antiqua" w:hAnsi="Book Antiqua" w:cs="Book Antiqua"/>
          <w:i/>
          <w:iCs/>
          <w:color w:val="000000"/>
        </w:rPr>
        <w:t>World J Exp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12</w:t>
      </w:r>
      <w:r>
        <w:rPr>
          <w:rFonts w:ascii="Book Antiqua" w:eastAsia="Book Antiqua" w:hAnsi="Book Antiqua" w:cs="Book Antiqua"/>
          <w:color w:val="000000"/>
        </w:rPr>
        <w:t>: 53-67 [PMID: 36157337 DOI: 10.5493/</w:t>
      </w:r>
      <w:proofErr w:type="gramStart"/>
      <w:r>
        <w:rPr>
          <w:rFonts w:ascii="Book Antiqua" w:eastAsia="Book Antiqua" w:hAnsi="Book Antiqua" w:cs="Book Antiqua"/>
          <w:color w:val="000000"/>
        </w:rPr>
        <w:t>wjem.v12.i</w:t>
      </w:r>
      <w:proofErr w:type="gramEnd"/>
      <w:r>
        <w:rPr>
          <w:rFonts w:ascii="Book Antiqua" w:eastAsia="Book Antiqua" w:hAnsi="Book Antiqua" w:cs="Book Antiqua"/>
          <w:color w:val="000000"/>
        </w:rPr>
        <w:t>4.53]</w:t>
      </w:r>
    </w:p>
    <w:p w14:paraId="5BA95DC2" w14:textId="77777777" w:rsidR="00ED477D" w:rsidRDefault="00000000">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Aiello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Gastoldi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Galbusera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Ruggenenti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Portalupi</w:t>
      </w:r>
      <w:proofErr w:type="spellEnd"/>
      <w:r>
        <w:rPr>
          <w:rFonts w:ascii="Book Antiqua" w:eastAsia="Book Antiqua" w:hAnsi="Book Antiqua" w:cs="Book Antiqua"/>
          <w:color w:val="000000"/>
        </w:rPr>
        <w:t xml:space="preserve"> V, Rota S, </w:t>
      </w:r>
      <w:proofErr w:type="spellStart"/>
      <w:r>
        <w:rPr>
          <w:rFonts w:ascii="Book Antiqua" w:eastAsia="Book Antiqua" w:hAnsi="Book Antiqua" w:cs="Book Antiqua"/>
          <w:color w:val="000000"/>
        </w:rPr>
        <w:t>Rubis</w:t>
      </w:r>
      <w:proofErr w:type="spellEnd"/>
      <w:r>
        <w:rPr>
          <w:rFonts w:ascii="Book Antiqua" w:eastAsia="Book Antiqua" w:hAnsi="Book Antiqua" w:cs="Book Antiqua"/>
          <w:color w:val="000000"/>
        </w:rPr>
        <w:t xml:space="preserve"> N, Liguori L, Conti S, </w:t>
      </w:r>
      <w:proofErr w:type="spellStart"/>
      <w:r>
        <w:rPr>
          <w:rFonts w:ascii="Book Antiqua" w:eastAsia="Book Antiqua" w:hAnsi="Book Antiqua" w:cs="Book Antiqua"/>
          <w:color w:val="000000"/>
        </w:rPr>
        <w:t>Tironi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Gamba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Santarsiero</w:t>
      </w:r>
      <w:proofErr w:type="spellEnd"/>
      <w:r>
        <w:rPr>
          <w:rFonts w:ascii="Book Antiqua" w:eastAsia="Book Antiqua" w:hAnsi="Book Antiqua" w:cs="Book Antiqua"/>
          <w:color w:val="000000"/>
        </w:rPr>
        <w:t xml:space="preserve"> D, Benigni A, </w:t>
      </w:r>
      <w:proofErr w:type="spellStart"/>
      <w:r>
        <w:rPr>
          <w:rFonts w:ascii="Book Antiqua" w:eastAsia="Book Antiqua" w:hAnsi="Book Antiqua" w:cs="Book Antiqua"/>
          <w:color w:val="000000"/>
        </w:rPr>
        <w:t>Remuzzi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Noris</w:t>
      </w:r>
      <w:proofErr w:type="spellEnd"/>
      <w:r>
        <w:rPr>
          <w:rFonts w:ascii="Book Antiqua" w:eastAsia="Book Antiqua" w:hAnsi="Book Antiqua" w:cs="Book Antiqua"/>
          <w:color w:val="000000"/>
        </w:rPr>
        <w:t xml:space="preserve"> M. C5a and C5aR1 are key drivers of microvascular platelet aggregation in clinical entities spanning </w:t>
      </w:r>
      <w:r>
        <w:rPr>
          <w:rFonts w:ascii="Book Antiqua" w:eastAsia="Book Antiqua" w:hAnsi="Book Antiqua" w:cs="Book Antiqua"/>
          <w:color w:val="000000"/>
        </w:rPr>
        <w:lastRenderedPageBreak/>
        <w:t xml:space="preserve">from </w:t>
      </w:r>
      <w:proofErr w:type="spellStart"/>
      <w:r>
        <w:rPr>
          <w:rFonts w:ascii="Book Antiqua" w:eastAsia="Book Antiqua" w:hAnsi="Book Antiqua" w:cs="Book Antiqua"/>
          <w:color w:val="000000"/>
        </w:rPr>
        <w:t>aHUS</w:t>
      </w:r>
      <w:proofErr w:type="spellEnd"/>
      <w:r>
        <w:rPr>
          <w:rFonts w:ascii="Book Antiqua" w:eastAsia="Book Antiqua" w:hAnsi="Book Antiqua" w:cs="Book Antiqua"/>
          <w:color w:val="000000"/>
        </w:rPr>
        <w:t xml:space="preserve"> to COVID-19. </w:t>
      </w:r>
      <w:r>
        <w:rPr>
          <w:rFonts w:ascii="Book Antiqua" w:eastAsia="Book Antiqua" w:hAnsi="Book Antiqua" w:cs="Book Antiqua"/>
          <w:i/>
          <w:iCs/>
          <w:color w:val="000000"/>
        </w:rPr>
        <w:t>Blood Adv</w:t>
      </w:r>
      <w:r>
        <w:rPr>
          <w:rFonts w:ascii="Book Antiqua" w:eastAsia="Book Antiqua" w:hAnsi="Book Antiqua" w:cs="Book Antiqua"/>
          <w:color w:val="000000"/>
        </w:rPr>
        <w:t xml:space="preserve"> 2022; </w:t>
      </w:r>
      <w:r>
        <w:rPr>
          <w:rFonts w:ascii="Book Antiqua" w:eastAsia="Book Antiqua" w:hAnsi="Book Antiqua" w:cs="Book Antiqua"/>
          <w:b/>
          <w:bCs/>
          <w:color w:val="000000"/>
        </w:rPr>
        <w:t>6</w:t>
      </w:r>
      <w:r>
        <w:rPr>
          <w:rFonts w:ascii="Book Antiqua" w:eastAsia="Book Antiqua" w:hAnsi="Book Antiqua" w:cs="Book Antiqua"/>
          <w:color w:val="000000"/>
        </w:rPr>
        <w:t>: 866-881 [PMID: 34852172 DOI: 10.1182/bloodadvances.2021005246]</w:t>
      </w:r>
    </w:p>
    <w:p w14:paraId="0B7EBAF0" w14:textId="77777777" w:rsidR="00ED477D" w:rsidRDefault="00000000">
      <w:pPr>
        <w:spacing w:line="360" w:lineRule="auto"/>
        <w:jc w:val="both"/>
      </w:pPr>
      <w:r>
        <w:rPr>
          <w:rFonts w:ascii="Book Antiqua" w:eastAsia="Book Antiqua" w:hAnsi="Book Antiqua" w:cs="Book Antiqua"/>
          <w:color w:val="000000"/>
        </w:rPr>
        <w:t xml:space="preserve">12 </w:t>
      </w:r>
      <w:r>
        <w:rPr>
          <w:rFonts w:ascii="Book Antiqua" w:eastAsia="Book Antiqua" w:hAnsi="Book Antiqua" w:cs="Book Antiqua"/>
          <w:b/>
          <w:bCs/>
          <w:color w:val="000000"/>
        </w:rPr>
        <w:t>Al-Nouri ZL</w:t>
      </w:r>
      <w:r>
        <w:rPr>
          <w:rFonts w:ascii="Book Antiqua" w:eastAsia="Book Antiqua" w:hAnsi="Book Antiqua" w:cs="Book Antiqua"/>
          <w:color w:val="000000"/>
        </w:rPr>
        <w:t xml:space="preserve">, Reese JA, Terrell DR, Vesely SK, George JN. Drug-induced thrombotic microangiopathy: a systematic review of published reports. </w:t>
      </w:r>
      <w:r>
        <w:rPr>
          <w:rFonts w:ascii="Book Antiqua" w:eastAsia="Book Antiqua" w:hAnsi="Book Antiqua" w:cs="Book Antiqua"/>
          <w:i/>
          <w:iCs/>
          <w:color w:val="000000"/>
        </w:rPr>
        <w:t>Blood</w:t>
      </w:r>
      <w:r>
        <w:rPr>
          <w:rFonts w:ascii="Book Antiqua" w:eastAsia="Book Antiqua" w:hAnsi="Book Antiqua" w:cs="Book Antiqua"/>
          <w:color w:val="000000"/>
        </w:rPr>
        <w:t xml:space="preserve"> 2015; </w:t>
      </w:r>
      <w:r>
        <w:rPr>
          <w:rFonts w:ascii="Book Antiqua" w:eastAsia="Book Antiqua" w:hAnsi="Book Antiqua" w:cs="Book Antiqua"/>
          <w:b/>
          <w:bCs/>
          <w:color w:val="000000"/>
        </w:rPr>
        <w:t>125</w:t>
      </w:r>
      <w:r>
        <w:rPr>
          <w:rFonts w:ascii="Book Antiqua" w:eastAsia="Book Antiqua" w:hAnsi="Book Antiqua" w:cs="Book Antiqua"/>
          <w:color w:val="000000"/>
        </w:rPr>
        <w:t>: 616-618 [PMID: 25414441 DOI: 10.1182/blood-2014-11-611335]</w:t>
      </w:r>
    </w:p>
    <w:p w14:paraId="17D64C67" w14:textId="77777777" w:rsidR="00ED477D" w:rsidRDefault="00000000">
      <w:pPr>
        <w:spacing w:line="360" w:lineRule="auto"/>
        <w:jc w:val="both"/>
      </w:pPr>
      <w:r>
        <w:rPr>
          <w:rFonts w:ascii="Book Antiqua" w:eastAsia="Book Antiqua" w:hAnsi="Book Antiqua" w:cs="Book Antiqua"/>
          <w:color w:val="000000"/>
        </w:rPr>
        <w:t xml:space="preserve">13 </w:t>
      </w:r>
      <w:r>
        <w:rPr>
          <w:rFonts w:ascii="Book Antiqua" w:eastAsia="Book Antiqua" w:hAnsi="Book Antiqua" w:cs="Book Antiqua"/>
          <w:b/>
          <w:bCs/>
          <w:color w:val="000000"/>
        </w:rPr>
        <w:t>Font C</w:t>
      </w:r>
      <w:r>
        <w:rPr>
          <w:rFonts w:ascii="Book Antiqua" w:eastAsia="Book Antiqua" w:hAnsi="Book Antiqua" w:cs="Book Antiqua"/>
          <w:color w:val="000000"/>
        </w:rPr>
        <w:t xml:space="preserve">, de Herreros MG, </w:t>
      </w:r>
      <w:proofErr w:type="spellStart"/>
      <w:r>
        <w:rPr>
          <w:rFonts w:ascii="Book Antiqua" w:eastAsia="Book Antiqua" w:hAnsi="Book Antiqua" w:cs="Book Antiqua"/>
          <w:color w:val="000000"/>
        </w:rPr>
        <w:t>Tsoukalas</w:t>
      </w:r>
      <w:proofErr w:type="spellEnd"/>
      <w:r>
        <w:rPr>
          <w:rFonts w:ascii="Book Antiqua" w:eastAsia="Book Antiqua" w:hAnsi="Book Antiqua" w:cs="Book Antiqua"/>
          <w:color w:val="000000"/>
        </w:rPr>
        <w:t xml:space="preserve"> N, Brito-</w:t>
      </w:r>
      <w:proofErr w:type="spellStart"/>
      <w:r>
        <w:rPr>
          <w:rFonts w:ascii="Book Antiqua" w:eastAsia="Book Antiqua" w:hAnsi="Book Antiqua" w:cs="Book Antiqua"/>
          <w:color w:val="000000"/>
        </w:rPr>
        <w:t>Dellan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Espósito</w:t>
      </w:r>
      <w:proofErr w:type="spellEnd"/>
      <w:r>
        <w:rPr>
          <w:rFonts w:ascii="Book Antiqua" w:eastAsia="Book Antiqua" w:hAnsi="Book Antiqua" w:cs="Book Antiqua"/>
          <w:color w:val="000000"/>
        </w:rPr>
        <w:t xml:space="preserve"> F, Escalante C, </w:t>
      </w:r>
      <w:proofErr w:type="spellStart"/>
      <w:r>
        <w:rPr>
          <w:rFonts w:ascii="Book Antiqua" w:eastAsia="Book Antiqua" w:hAnsi="Book Antiqua" w:cs="Book Antiqua"/>
          <w:color w:val="000000"/>
        </w:rPr>
        <w:t>Oo</w:t>
      </w:r>
      <w:proofErr w:type="spellEnd"/>
      <w:r>
        <w:rPr>
          <w:rFonts w:ascii="Book Antiqua" w:eastAsia="Book Antiqua" w:hAnsi="Book Antiqua" w:cs="Book Antiqua"/>
          <w:color w:val="000000"/>
        </w:rPr>
        <w:t xml:space="preserve"> TH; MASCC Hemostasis Study Group. Thrombotic microangiopathy (TMA) in adult patients with solid tumors: a challenging complication in the era of emerging anticancer therapies. </w:t>
      </w:r>
      <w:r>
        <w:rPr>
          <w:rFonts w:ascii="Book Antiqua" w:eastAsia="Book Antiqua" w:hAnsi="Book Antiqua" w:cs="Book Antiqua"/>
          <w:i/>
          <w:iCs/>
          <w:color w:val="000000"/>
        </w:rPr>
        <w:t>Support Care Cancer</w:t>
      </w:r>
      <w:r>
        <w:rPr>
          <w:rFonts w:ascii="Book Antiqua" w:eastAsia="Book Antiqua" w:hAnsi="Book Antiqua" w:cs="Book Antiqua"/>
          <w:color w:val="000000"/>
        </w:rPr>
        <w:t xml:space="preserve"> 2022; </w:t>
      </w:r>
      <w:r>
        <w:rPr>
          <w:rFonts w:ascii="Book Antiqua" w:eastAsia="Book Antiqua" w:hAnsi="Book Antiqua" w:cs="Book Antiqua"/>
          <w:b/>
          <w:bCs/>
          <w:color w:val="000000"/>
        </w:rPr>
        <w:t>30</w:t>
      </w:r>
      <w:r>
        <w:rPr>
          <w:rFonts w:ascii="Book Antiqua" w:eastAsia="Book Antiqua" w:hAnsi="Book Antiqua" w:cs="Book Antiqua"/>
          <w:color w:val="000000"/>
        </w:rPr>
        <w:t>: 8599-8609 [PMID: 35545722 DOI: 10.1007/s00520-022-06935-5]</w:t>
      </w:r>
    </w:p>
    <w:p w14:paraId="133DBC46" w14:textId="77777777" w:rsidR="00ED477D" w:rsidRDefault="00000000">
      <w:pPr>
        <w:spacing w:line="360" w:lineRule="auto"/>
        <w:jc w:val="both"/>
      </w:pPr>
      <w:r>
        <w:rPr>
          <w:rFonts w:ascii="Book Antiqua" w:eastAsia="Book Antiqua" w:hAnsi="Book Antiqua" w:cs="Book Antiqua"/>
          <w:color w:val="000000"/>
        </w:rPr>
        <w:t xml:space="preserve">14 </w:t>
      </w:r>
      <w:proofErr w:type="spellStart"/>
      <w:r>
        <w:rPr>
          <w:rFonts w:ascii="Book Antiqua" w:eastAsia="Book Antiqua" w:hAnsi="Book Antiqua" w:cs="Book Antiqua"/>
          <w:b/>
          <w:bCs/>
          <w:color w:val="000000"/>
        </w:rPr>
        <w:t>Tjepkema</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Amini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Schipperus</w:t>
      </w:r>
      <w:proofErr w:type="spellEnd"/>
      <w:r>
        <w:rPr>
          <w:rFonts w:ascii="Book Antiqua" w:eastAsia="Book Antiqua" w:hAnsi="Book Antiqua" w:cs="Book Antiqua"/>
          <w:color w:val="000000"/>
        </w:rPr>
        <w:t xml:space="preserve"> M. Risk of thrombosis with thrombopoietin receptor agonists for ITP patients: A systematic review and meta-analysis. </w:t>
      </w:r>
      <w:r>
        <w:rPr>
          <w:rFonts w:ascii="Book Antiqua" w:eastAsia="Book Antiqua" w:hAnsi="Book Antiqua" w:cs="Book Antiqua"/>
          <w:i/>
          <w:iCs/>
          <w:color w:val="000000"/>
        </w:rPr>
        <w:t xml:space="preserve">Crit Rev Oncol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171</w:t>
      </w:r>
      <w:r>
        <w:rPr>
          <w:rFonts w:ascii="Book Antiqua" w:eastAsia="Book Antiqua" w:hAnsi="Book Antiqua" w:cs="Book Antiqua"/>
          <w:color w:val="000000"/>
        </w:rPr>
        <w:t>: 103581 [PMID: 35007700 DOI: 10.1016/j.critrevonc.2022.103581]</w:t>
      </w:r>
    </w:p>
    <w:p w14:paraId="426C8D64" w14:textId="77777777" w:rsidR="00ED477D" w:rsidRDefault="00000000">
      <w:pPr>
        <w:spacing w:line="360" w:lineRule="auto"/>
        <w:jc w:val="both"/>
      </w:pPr>
      <w:r>
        <w:rPr>
          <w:rFonts w:ascii="Book Antiqua" w:eastAsia="Book Antiqua" w:hAnsi="Book Antiqua" w:cs="Book Antiqua"/>
          <w:color w:val="000000"/>
        </w:rPr>
        <w:t xml:space="preserve">15 </w:t>
      </w:r>
      <w:proofErr w:type="spellStart"/>
      <w:r>
        <w:rPr>
          <w:rFonts w:ascii="Book Antiqua" w:eastAsia="Book Antiqua" w:hAnsi="Book Antiqua" w:cs="Book Antiqua"/>
          <w:b/>
          <w:bCs/>
          <w:color w:val="000000"/>
        </w:rPr>
        <w:t>Hvas</w:t>
      </w:r>
      <w:proofErr w:type="spellEnd"/>
      <w:r>
        <w:rPr>
          <w:rFonts w:ascii="Book Antiqua" w:eastAsia="Book Antiqua" w:hAnsi="Book Antiqua" w:cs="Book Antiqua"/>
          <w:b/>
          <w:bCs/>
          <w:color w:val="000000"/>
        </w:rPr>
        <w:t xml:space="preserve"> AM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Favaloro</w:t>
      </w:r>
      <w:proofErr w:type="spellEnd"/>
      <w:r>
        <w:rPr>
          <w:rFonts w:ascii="Book Antiqua" w:eastAsia="Book Antiqua" w:hAnsi="Book Antiqua" w:cs="Book Antiqua"/>
          <w:color w:val="000000"/>
        </w:rPr>
        <w:t xml:space="preserve"> EJ, </w:t>
      </w:r>
      <w:proofErr w:type="spellStart"/>
      <w:r>
        <w:rPr>
          <w:rFonts w:ascii="Book Antiqua" w:eastAsia="Book Antiqua" w:hAnsi="Book Antiqua" w:cs="Book Antiqua"/>
          <w:color w:val="000000"/>
        </w:rPr>
        <w:t>Hellfritzsch</w:t>
      </w:r>
      <w:proofErr w:type="spellEnd"/>
      <w:r>
        <w:rPr>
          <w:rFonts w:ascii="Book Antiqua" w:eastAsia="Book Antiqua" w:hAnsi="Book Antiqua" w:cs="Book Antiqua"/>
          <w:color w:val="000000"/>
        </w:rPr>
        <w:t xml:space="preserve"> M. Heparin-induced thrombocytopenia: pathophysiology, </w:t>
      </w:r>
      <w:proofErr w:type="gramStart"/>
      <w:r>
        <w:rPr>
          <w:rFonts w:ascii="Book Antiqua" w:eastAsia="Book Antiqua" w:hAnsi="Book Antiqua" w:cs="Book Antiqua"/>
          <w:color w:val="000000"/>
        </w:rPr>
        <w:t>diagnosis</w:t>
      </w:r>
      <w:proofErr w:type="gramEnd"/>
      <w:r>
        <w:rPr>
          <w:rFonts w:ascii="Book Antiqua" w:eastAsia="Book Antiqua" w:hAnsi="Book Antiqua" w:cs="Book Antiqua"/>
          <w:color w:val="000000"/>
        </w:rPr>
        <w:t xml:space="preserve"> and treatment. </w:t>
      </w:r>
      <w:r>
        <w:rPr>
          <w:rFonts w:ascii="Book Antiqua" w:eastAsia="Book Antiqua" w:hAnsi="Book Antiqua" w:cs="Book Antiqua"/>
          <w:i/>
          <w:iCs/>
          <w:color w:val="000000"/>
        </w:rPr>
        <w:t xml:space="preserve">Expert Rev </w:t>
      </w:r>
      <w:proofErr w:type="spellStart"/>
      <w:r>
        <w:rPr>
          <w:rFonts w:ascii="Book Antiqua" w:eastAsia="Book Antiqua" w:hAnsi="Book Antiqua" w:cs="Book Antiqua"/>
          <w:i/>
          <w:iCs/>
          <w:color w:val="000000"/>
        </w:rPr>
        <w:t>Hematol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14</w:t>
      </w:r>
      <w:r>
        <w:rPr>
          <w:rFonts w:ascii="Book Antiqua" w:eastAsia="Book Antiqua" w:hAnsi="Book Antiqua" w:cs="Book Antiqua"/>
          <w:color w:val="000000"/>
        </w:rPr>
        <w:t>: 335-346 [PMID: 33736552 DOI: 10.1080/17474086.2021.1905512]</w:t>
      </w:r>
    </w:p>
    <w:p w14:paraId="59790580" w14:textId="77777777" w:rsidR="00ED477D" w:rsidRDefault="00000000">
      <w:pPr>
        <w:spacing w:line="360" w:lineRule="auto"/>
        <w:jc w:val="both"/>
      </w:pPr>
      <w:r>
        <w:rPr>
          <w:rFonts w:ascii="Book Antiqua" w:eastAsia="Book Antiqua" w:hAnsi="Book Antiqua" w:cs="Book Antiqua"/>
          <w:color w:val="000000"/>
        </w:rPr>
        <w:t xml:space="preserve">16 </w:t>
      </w:r>
      <w:r>
        <w:rPr>
          <w:rFonts w:ascii="Book Antiqua" w:eastAsia="Book Antiqua" w:hAnsi="Book Antiqua" w:cs="Book Antiqua"/>
          <w:b/>
          <w:bCs/>
          <w:color w:val="000000"/>
        </w:rPr>
        <w:t>Nishi K</w:t>
      </w:r>
      <w:r>
        <w:rPr>
          <w:rFonts w:ascii="Book Antiqua" w:eastAsia="Book Antiqua" w:hAnsi="Book Antiqua" w:cs="Book Antiqua"/>
          <w:color w:val="000000"/>
        </w:rPr>
        <w:t xml:space="preserve">, Sato M, Ogura M, </w:t>
      </w:r>
      <w:proofErr w:type="spellStart"/>
      <w:r>
        <w:rPr>
          <w:rFonts w:ascii="Book Antiqua" w:eastAsia="Book Antiqua" w:hAnsi="Book Antiqua" w:cs="Book Antiqua"/>
          <w:color w:val="000000"/>
        </w:rPr>
        <w:t>Okutsu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Ishikura</w:t>
      </w:r>
      <w:proofErr w:type="spellEnd"/>
      <w:r>
        <w:rPr>
          <w:rFonts w:ascii="Book Antiqua" w:eastAsia="Book Antiqua" w:hAnsi="Book Antiqua" w:cs="Book Antiqua"/>
          <w:color w:val="000000"/>
        </w:rPr>
        <w:t xml:space="preserve"> K, Kamei K. Two cases of idiopathic steroid-resistant nephrotic syndrome complicated with thrombotic microangiopathy. </w:t>
      </w:r>
      <w:r>
        <w:rPr>
          <w:rFonts w:ascii="Book Antiqua" w:eastAsia="Book Antiqua" w:hAnsi="Book Antiqua" w:cs="Book Antiqua"/>
          <w:i/>
          <w:iCs/>
          <w:color w:val="000000"/>
        </w:rPr>
        <w:t>BMC Nephrol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323 [PMID: 32746791 DOI: 10.1186/s12882-020-01985-5]</w:t>
      </w:r>
    </w:p>
    <w:p w14:paraId="12D4E6FB" w14:textId="77777777" w:rsidR="00ED477D" w:rsidRDefault="00000000">
      <w:pPr>
        <w:spacing w:line="360" w:lineRule="auto"/>
        <w:jc w:val="both"/>
      </w:pPr>
      <w:r>
        <w:rPr>
          <w:rFonts w:ascii="Book Antiqua" w:eastAsia="Book Antiqua" w:hAnsi="Book Antiqua" w:cs="Book Antiqua"/>
          <w:color w:val="000000"/>
        </w:rPr>
        <w:t xml:space="preserve">17 </w:t>
      </w:r>
      <w:r>
        <w:rPr>
          <w:rFonts w:ascii="Book Antiqua" w:eastAsia="Book Antiqua" w:hAnsi="Book Antiqua" w:cs="Book Antiqua"/>
          <w:b/>
          <w:bCs/>
          <w:color w:val="000000"/>
        </w:rPr>
        <w:t>Miyamoto T</w:t>
      </w:r>
      <w:r>
        <w:rPr>
          <w:rFonts w:ascii="Book Antiqua" w:eastAsia="Book Antiqua" w:hAnsi="Book Antiqua" w:cs="Book Antiqua"/>
          <w:color w:val="000000"/>
        </w:rPr>
        <w:t xml:space="preserve">, Ishikawa Y, Yamamoto J, Yamamura T, </w:t>
      </w:r>
      <w:proofErr w:type="spellStart"/>
      <w:r>
        <w:rPr>
          <w:rFonts w:ascii="Book Antiqua" w:eastAsia="Book Antiqua" w:hAnsi="Book Antiqua" w:cs="Book Antiqua"/>
          <w:color w:val="000000"/>
        </w:rPr>
        <w:t>Kawata</w:t>
      </w:r>
      <w:proofErr w:type="spellEnd"/>
      <w:r>
        <w:rPr>
          <w:rFonts w:ascii="Book Antiqua" w:eastAsia="Book Antiqua" w:hAnsi="Book Antiqua" w:cs="Book Antiqua"/>
          <w:color w:val="000000"/>
        </w:rPr>
        <w:t xml:space="preserve"> T. Thrombotic microangiopathy secondary to steroid pulse therapy administered for refractory nephrotic syndrome.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2099-2103 [PMID: 24042520 DOI: 10.2169/internalmedicine.52.0470]</w:t>
      </w:r>
    </w:p>
    <w:p w14:paraId="0CADD8BE" w14:textId="77777777" w:rsidR="00ED477D" w:rsidRDefault="00000000">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Fukuda M</w:t>
      </w:r>
      <w:r>
        <w:rPr>
          <w:rFonts w:ascii="Book Antiqua" w:eastAsia="Book Antiqua" w:hAnsi="Book Antiqua" w:cs="Book Antiqua"/>
          <w:color w:val="000000"/>
        </w:rPr>
        <w:t xml:space="preserve">, Mizuno H, </w:t>
      </w:r>
      <w:proofErr w:type="spellStart"/>
      <w:r>
        <w:rPr>
          <w:rFonts w:ascii="Book Antiqua" w:eastAsia="Book Antiqua" w:hAnsi="Book Antiqua" w:cs="Book Antiqua"/>
          <w:color w:val="000000"/>
        </w:rPr>
        <w:t>Hiramatsu</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A, Kawada M, Hasegawa E, Yamanouchi M, </w:t>
      </w:r>
      <w:proofErr w:type="spellStart"/>
      <w:r>
        <w:rPr>
          <w:rFonts w:ascii="Book Antiqua" w:eastAsia="Book Antiqua" w:hAnsi="Book Antiqua" w:cs="Book Antiqua"/>
          <w:color w:val="000000"/>
        </w:rPr>
        <w:t>Suwabe</w:t>
      </w:r>
      <w:proofErr w:type="spellEnd"/>
      <w:r>
        <w:rPr>
          <w:rFonts w:ascii="Book Antiqua" w:eastAsia="Book Antiqua" w:hAnsi="Book Antiqua" w:cs="Book Antiqua"/>
          <w:color w:val="000000"/>
        </w:rPr>
        <w:t xml:space="preserve"> T, Hoshino J, </w:t>
      </w:r>
      <w:proofErr w:type="spellStart"/>
      <w:r>
        <w:rPr>
          <w:rFonts w:ascii="Book Antiqua" w:eastAsia="Book Antiqua" w:hAnsi="Book Antiqua" w:cs="Book Antiqua"/>
          <w:color w:val="000000"/>
        </w:rPr>
        <w:t>Sawa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Takaichi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Kinowaki</w:t>
      </w:r>
      <w:proofErr w:type="spellEnd"/>
      <w:r>
        <w:rPr>
          <w:rFonts w:ascii="Book Antiqua" w:eastAsia="Book Antiqua" w:hAnsi="Book Antiqua" w:cs="Book Antiqua"/>
          <w:color w:val="000000"/>
        </w:rPr>
        <w:t xml:space="preserve"> K, Ohashi K, </w:t>
      </w:r>
      <w:proofErr w:type="spellStart"/>
      <w:r>
        <w:rPr>
          <w:rFonts w:ascii="Book Antiqua" w:eastAsia="Book Antiqua" w:hAnsi="Book Antiqua" w:cs="Book Antiqua"/>
          <w:color w:val="000000"/>
        </w:rPr>
        <w:t>Fujii</w:t>
      </w:r>
      <w:proofErr w:type="spellEnd"/>
      <w:r>
        <w:rPr>
          <w:rFonts w:ascii="Book Antiqua" w:eastAsia="Book Antiqua" w:hAnsi="Book Antiqua" w:cs="Book Antiqua"/>
          <w:color w:val="000000"/>
        </w:rPr>
        <w:t xml:space="preserve"> T, Miyazono M, </w:t>
      </w:r>
      <w:proofErr w:type="spellStart"/>
      <w:r>
        <w:rPr>
          <w:rFonts w:ascii="Book Antiqua" w:eastAsia="Book Antiqua" w:hAnsi="Book Antiqua" w:cs="Book Antiqua"/>
          <w:color w:val="000000"/>
        </w:rPr>
        <w:t>Ubara</w:t>
      </w:r>
      <w:proofErr w:type="spellEnd"/>
      <w:r>
        <w:rPr>
          <w:rFonts w:ascii="Book Antiqua" w:eastAsia="Book Antiqua" w:hAnsi="Book Antiqua" w:cs="Book Antiqua"/>
          <w:color w:val="000000"/>
        </w:rPr>
        <w:t xml:space="preserve"> Y. A case of thrombotic microangiopathy associated with polymyositis. </w:t>
      </w:r>
      <w:r>
        <w:rPr>
          <w:rFonts w:ascii="Book Antiqua" w:eastAsia="Book Antiqua" w:hAnsi="Book Antiqua" w:cs="Book Antiqua"/>
          <w:i/>
          <w:iCs/>
          <w:color w:val="000000"/>
        </w:rPr>
        <w:t>Clin Nephrol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95</w:t>
      </w:r>
      <w:r>
        <w:rPr>
          <w:rFonts w:ascii="Book Antiqua" w:eastAsia="Book Antiqua" w:hAnsi="Book Antiqua" w:cs="Book Antiqua"/>
          <w:color w:val="000000"/>
        </w:rPr>
        <w:t>: 339-344 [PMID: 33769275 DOI: 10.5414/CN109989]</w:t>
      </w:r>
    </w:p>
    <w:p w14:paraId="0460B549" w14:textId="77777777" w:rsidR="00ED477D" w:rsidRDefault="00000000">
      <w:pPr>
        <w:spacing w:line="360" w:lineRule="auto"/>
        <w:jc w:val="both"/>
      </w:pPr>
      <w:r>
        <w:rPr>
          <w:rFonts w:ascii="Book Antiqua" w:eastAsia="Book Antiqua" w:hAnsi="Book Antiqua" w:cs="Book Antiqua"/>
          <w:color w:val="000000"/>
        </w:rPr>
        <w:t xml:space="preserve">19 </w:t>
      </w:r>
      <w:r>
        <w:rPr>
          <w:rFonts w:ascii="Book Antiqua" w:eastAsia="Book Antiqua" w:hAnsi="Book Antiqua" w:cs="Book Antiqua"/>
          <w:b/>
          <w:bCs/>
          <w:color w:val="000000"/>
        </w:rPr>
        <w:t>Yoshioka K</w:t>
      </w:r>
      <w:r>
        <w:rPr>
          <w:rFonts w:ascii="Book Antiqua" w:eastAsia="Book Antiqua" w:hAnsi="Book Antiqua" w:cs="Book Antiqua"/>
          <w:color w:val="000000"/>
        </w:rPr>
        <w:t xml:space="preserve">, Hattori T, </w:t>
      </w:r>
      <w:proofErr w:type="spellStart"/>
      <w:r>
        <w:rPr>
          <w:rFonts w:ascii="Book Antiqua" w:eastAsia="Book Antiqua" w:hAnsi="Book Antiqua" w:cs="Book Antiqua"/>
          <w:color w:val="000000"/>
        </w:rPr>
        <w:t>Isaka</w:t>
      </w:r>
      <w:proofErr w:type="spellEnd"/>
      <w:r>
        <w:rPr>
          <w:rFonts w:ascii="Book Antiqua" w:eastAsia="Book Antiqua" w:hAnsi="Book Antiqua" w:cs="Book Antiqua"/>
          <w:color w:val="000000"/>
        </w:rPr>
        <w:t xml:space="preserve"> Y, Yamaguchi T, </w:t>
      </w:r>
      <w:proofErr w:type="spellStart"/>
      <w:r>
        <w:rPr>
          <w:rFonts w:ascii="Book Antiqua" w:eastAsia="Book Antiqua" w:hAnsi="Book Antiqua" w:cs="Book Antiqua"/>
          <w:color w:val="000000"/>
        </w:rPr>
        <w:t>Yamagami</w:t>
      </w:r>
      <w:proofErr w:type="spellEnd"/>
      <w:r>
        <w:rPr>
          <w:rFonts w:ascii="Book Antiqua" w:eastAsia="Book Antiqua" w:hAnsi="Book Antiqua" w:cs="Book Antiqua"/>
          <w:color w:val="000000"/>
        </w:rPr>
        <w:t xml:space="preserve"> K, Morikawa T, </w:t>
      </w:r>
      <w:proofErr w:type="spellStart"/>
      <w:r>
        <w:rPr>
          <w:rFonts w:ascii="Book Antiqua" w:eastAsia="Book Antiqua" w:hAnsi="Book Antiqua" w:cs="Book Antiqua"/>
          <w:color w:val="000000"/>
        </w:rPr>
        <w:t>Konishi</w:t>
      </w:r>
      <w:proofErr w:type="spellEnd"/>
      <w:r>
        <w:rPr>
          <w:rFonts w:ascii="Book Antiqua" w:eastAsia="Book Antiqua" w:hAnsi="Book Antiqua" w:cs="Book Antiqua"/>
          <w:color w:val="000000"/>
        </w:rPr>
        <w:t xml:space="preserve"> Y, Sato T, </w:t>
      </w:r>
      <w:proofErr w:type="spellStart"/>
      <w:r>
        <w:rPr>
          <w:rFonts w:ascii="Book Antiqua" w:eastAsia="Book Antiqua" w:hAnsi="Book Antiqua" w:cs="Book Antiqua"/>
          <w:color w:val="000000"/>
        </w:rPr>
        <w:t>Imanishi</w:t>
      </w:r>
      <w:proofErr w:type="spellEnd"/>
      <w:r>
        <w:rPr>
          <w:rFonts w:ascii="Book Antiqua" w:eastAsia="Book Antiqua" w:hAnsi="Book Antiqua" w:cs="Book Antiqua"/>
          <w:color w:val="000000"/>
        </w:rPr>
        <w:t xml:space="preserve"> M. Thrombotic microangiopathy due to malignant hypertension </w:t>
      </w:r>
      <w:r>
        <w:rPr>
          <w:rFonts w:ascii="Book Antiqua" w:eastAsia="Book Antiqua" w:hAnsi="Book Antiqua" w:cs="Book Antiqua"/>
          <w:color w:val="000000"/>
        </w:rPr>
        <w:lastRenderedPageBreak/>
        <w:t xml:space="preserve">following corticosteroid therapy for microscopic </w:t>
      </w:r>
      <w:proofErr w:type="spellStart"/>
      <w:r>
        <w:rPr>
          <w:rFonts w:ascii="Book Antiqua" w:eastAsia="Book Antiqua" w:hAnsi="Book Antiqua" w:cs="Book Antiqua"/>
          <w:color w:val="000000"/>
        </w:rPr>
        <w:t>polyangitis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2007; </w:t>
      </w:r>
      <w:r>
        <w:rPr>
          <w:rFonts w:ascii="Book Antiqua" w:eastAsia="Book Antiqua" w:hAnsi="Book Antiqua" w:cs="Book Antiqua"/>
          <w:b/>
          <w:bCs/>
          <w:color w:val="000000"/>
        </w:rPr>
        <w:t>46</w:t>
      </w:r>
      <w:r>
        <w:rPr>
          <w:rFonts w:ascii="Book Antiqua" w:eastAsia="Book Antiqua" w:hAnsi="Book Antiqua" w:cs="Book Antiqua"/>
          <w:color w:val="000000"/>
        </w:rPr>
        <w:t>: 785-788 [PMID: 17541236 DOI: 10.2169/internalmedicine.46.6291]</w:t>
      </w:r>
    </w:p>
    <w:p w14:paraId="0D177735" w14:textId="77777777" w:rsidR="00ED477D" w:rsidRDefault="00000000">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Maruyama A</w:t>
      </w:r>
      <w:r>
        <w:rPr>
          <w:rFonts w:ascii="Book Antiqua" w:eastAsia="Book Antiqua" w:hAnsi="Book Antiqua" w:cs="Book Antiqua"/>
          <w:color w:val="000000"/>
        </w:rPr>
        <w:t xml:space="preserve">, Nagashima T, </w:t>
      </w:r>
      <w:proofErr w:type="spellStart"/>
      <w:r>
        <w:rPr>
          <w:rFonts w:ascii="Book Antiqua" w:eastAsia="Book Antiqua" w:hAnsi="Book Antiqua" w:cs="Book Antiqua"/>
          <w:color w:val="000000"/>
        </w:rPr>
        <w:t>Ikenoya</w:t>
      </w:r>
      <w:proofErr w:type="spellEnd"/>
      <w:r>
        <w:rPr>
          <w:rFonts w:ascii="Book Antiqua" w:eastAsia="Book Antiqua" w:hAnsi="Book Antiqua" w:cs="Book Antiqua"/>
          <w:color w:val="000000"/>
        </w:rPr>
        <w:t xml:space="preserve"> K, Aoki Y, Matsuyama Y, Iwamoto M, </w:t>
      </w:r>
      <w:proofErr w:type="spellStart"/>
      <w:r>
        <w:rPr>
          <w:rFonts w:ascii="Book Antiqua" w:eastAsia="Book Antiqua" w:hAnsi="Book Antiqua" w:cs="Book Antiqua"/>
          <w:color w:val="000000"/>
        </w:rPr>
        <w:t>Minota</w:t>
      </w:r>
      <w:proofErr w:type="spellEnd"/>
      <w:r>
        <w:rPr>
          <w:rFonts w:ascii="Book Antiqua" w:eastAsia="Book Antiqua" w:hAnsi="Book Antiqua" w:cs="Book Antiqua"/>
          <w:color w:val="000000"/>
        </w:rPr>
        <w:t xml:space="preserve"> S. Glucocorticoid-induced normotensive scleroderma renal crisis: a report on two cases and a review of the literature in Japan. </w:t>
      </w:r>
      <w:r>
        <w:rPr>
          <w:rFonts w:ascii="Book Antiqua" w:eastAsia="Book Antiqua" w:hAnsi="Book Antiqua" w:cs="Book Antiqua"/>
          <w:i/>
          <w:iCs/>
          <w:color w:val="000000"/>
        </w:rPr>
        <w:t>Intern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52</w:t>
      </w:r>
      <w:r>
        <w:rPr>
          <w:rFonts w:ascii="Book Antiqua" w:eastAsia="Book Antiqua" w:hAnsi="Book Antiqua" w:cs="Book Antiqua"/>
          <w:color w:val="000000"/>
        </w:rPr>
        <w:t>: 1833-1837 [PMID: 23955620 DOI: 10.2169/internalmedicine.52.0400]</w:t>
      </w:r>
    </w:p>
    <w:p w14:paraId="5844DCE2" w14:textId="77777777" w:rsidR="00ED477D" w:rsidRDefault="00000000">
      <w:pPr>
        <w:spacing w:line="360" w:lineRule="auto"/>
        <w:jc w:val="both"/>
      </w:pPr>
      <w:r>
        <w:rPr>
          <w:rFonts w:ascii="Book Antiqua" w:eastAsia="Book Antiqua" w:hAnsi="Book Antiqua" w:cs="Book Antiqua"/>
          <w:color w:val="000000"/>
        </w:rPr>
        <w:t xml:space="preserve">21 </w:t>
      </w:r>
      <w:r>
        <w:rPr>
          <w:rFonts w:ascii="Book Antiqua" w:eastAsia="Book Antiqua" w:hAnsi="Book Antiqua" w:cs="Book Antiqua"/>
          <w:b/>
          <w:bCs/>
          <w:color w:val="000000"/>
        </w:rPr>
        <w:t>Ito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Katsuno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Kachi</w:t>
      </w:r>
      <w:proofErr w:type="spellEnd"/>
      <w:r>
        <w:rPr>
          <w:rFonts w:ascii="Book Antiqua" w:eastAsia="Book Antiqua" w:hAnsi="Book Antiqua" w:cs="Book Antiqua"/>
          <w:color w:val="000000"/>
        </w:rPr>
        <w:t xml:space="preserve"> A, Ito Y. Hypertensive emergency presenting with diffuse alveolar hemorrhaging and thrombotic microangiopathy: A case report and review of the literature. </w:t>
      </w:r>
      <w:r>
        <w:rPr>
          <w:rFonts w:ascii="Book Antiqua" w:eastAsia="Book Antiqua" w:hAnsi="Book Antiqua" w:cs="Book Antiqua"/>
          <w:i/>
          <w:iCs/>
          <w:color w:val="000000"/>
        </w:rPr>
        <w:t>Clin Nephrol Case Stud</w:t>
      </w:r>
      <w:r>
        <w:rPr>
          <w:rFonts w:ascii="Book Antiqua" w:eastAsia="Book Antiqua" w:hAnsi="Book Antiqua" w:cs="Book Antiqua"/>
          <w:color w:val="000000"/>
        </w:rPr>
        <w:t xml:space="preserve"> 2020; </w:t>
      </w:r>
      <w:r>
        <w:rPr>
          <w:rFonts w:ascii="Book Antiqua" w:eastAsia="Book Antiqua" w:hAnsi="Book Antiqua" w:cs="Book Antiqua"/>
          <w:b/>
          <w:bCs/>
          <w:color w:val="000000"/>
        </w:rPr>
        <w:t>8</w:t>
      </w:r>
      <w:r>
        <w:rPr>
          <w:rFonts w:ascii="Book Antiqua" w:eastAsia="Book Antiqua" w:hAnsi="Book Antiqua" w:cs="Book Antiqua"/>
          <w:color w:val="000000"/>
        </w:rPr>
        <w:t>: 53-61 [PMID: 32728521 DOI: 10.5414/CNCS109939]</w:t>
      </w:r>
    </w:p>
    <w:p w14:paraId="64DA9F85" w14:textId="77777777" w:rsidR="00ED477D" w:rsidRDefault="00000000">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Xie</w:t>
      </w:r>
      <w:proofErr w:type="spellEnd"/>
      <w:r>
        <w:rPr>
          <w:rFonts w:ascii="Book Antiqua" w:eastAsia="Book Antiqua" w:hAnsi="Book Antiqua" w:cs="Book Antiqua"/>
          <w:b/>
          <w:bCs/>
          <w:color w:val="000000"/>
        </w:rPr>
        <w:t xml:space="preserve"> X</w:t>
      </w:r>
      <w:r>
        <w:rPr>
          <w:rFonts w:ascii="Book Antiqua" w:eastAsia="Book Antiqua" w:hAnsi="Book Antiqua" w:cs="Book Antiqua"/>
          <w:color w:val="000000"/>
        </w:rPr>
        <w:t xml:space="preserve">, Wang G, Cheng H, Sun L, Dong H. Scleroderma-associated thrombotic microangiopathy in overlap syndrome of systemic sclerosis and systemic lupus erythematosus: A case report and literature review. </w:t>
      </w:r>
      <w:r>
        <w:rPr>
          <w:rFonts w:ascii="Book Antiqua" w:eastAsia="Book Antiqua" w:hAnsi="Book Antiqua" w:cs="Book Antiqua"/>
          <w:i/>
          <w:iCs/>
          <w:color w:val="000000"/>
        </w:rPr>
        <w:t>Medicine (Baltimore)</w:t>
      </w:r>
      <w:r>
        <w:rPr>
          <w:rFonts w:ascii="Book Antiqua" w:eastAsia="Book Antiqua" w:hAnsi="Book Antiqua" w:cs="Book Antiqua"/>
          <w:color w:val="000000"/>
        </w:rPr>
        <w:t xml:space="preserve"> 2020; </w:t>
      </w:r>
      <w:r>
        <w:rPr>
          <w:rFonts w:ascii="Book Antiqua" w:eastAsia="Book Antiqua" w:hAnsi="Book Antiqua" w:cs="Book Antiqua"/>
          <w:b/>
          <w:bCs/>
          <w:color w:val="000000"/>
        </w:rPr>
        <w:t>99</w:t>
      </w:r>
      <w:r>
        <w:rPr>
          <w:rFonts w:ascii="Book Antiqua" w:eastAsia="Book Antiqua" w:hAnsi="Book Antiqua" w:cs="Book Antiqua"/>
          <w:color w:val="000000"/>
        </w:rPr>
        <w:t>: e22582 [PMID: 33031308 DOI: 10.1097/MD.0000000000022582]</w:t>
      </w:r>
    </w:p>
    <w:p w14:paraId="32268DDB" w14:textId="77777777" w:rsidR="00ED477D" w:rsidRDefault="00000000">
      <w:pPr>
        <w:spacing w:line="360" w:lineRule="auto"/>
        <w:jc w:val="both"/>
      </w:pPr>
      <w:r>
        <w:rPr>
          <w:rFonts w:ascii="Book Antiqua" w:eastAsia="Book Antiqua" w:hAnsi="Book Antiqua" w:cs="Book Antiqua"/>
          <w:color w:val="000000"/>
        </w:rPr>
        <w:t xml:space="preserve">23 </w:t>
      </w:r>
      <w:proofErr w:type="spellStart"/>
      <w:r>
        <w:rPr>
          <w:rFonts w:ascii="Book Antiqua" w:eastAsia="Book Antiqua" w:hAnsi="Book Antiqua" w:cs="Book Antiqua"/>
          <w:b/>
          <w:bCs/>
          <w:color w:val="000000"/>
        </w:rPr>
        <w:t>Saha</w:t>
      </w:r>
      <w:proofErr w:type="spellEnd"/>
      <w:r>
        <w:rPr>
          <w:rFonts w:ascii="Book Antiqua" w:eastAsia="Book Antiqua" w:hAnsi="Book Antiqua" w:cs="Book Antiqua"/>
          <w:b/>
          <w:bCs/>
          <w:color w:val="000000"/>
        </w:rPr>
        <w:t xml:space="preserve"> BK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Saha</w:t>
      </w:r>
      <w:proofErr w:type="spellEnd"/>
      <w:r>
        <w:rPr>
          <w:rFonts w:ascii="Book Antiqua" w:eastAsia="Book Antiqua" w:hAnsi="Book Antiqua" w:cs="Book Antiqua"/>
          <w:color w:val="000000"/>
        </w:rPr>
        <w:t xml:space="preserve"> A, Chong W, Beegle S. </w:t>
      </w:r>
      <w:proofErr w:type="gramStart"/>
      <w:r>
        <w:rPr>
          <w:rFonts w:ascii="Book Antiqua" w:eastAsia="Book Antiqua" w:hAnsi="Book Antiqua" w:cs="Book Antiqua"/>
          <w:color w:val="000000"/>
        </w:rPr>
        <w:t>A</w:t>
      </w:r>
      <w:proofErr w:type="gramEnd"/>
      <w:r>
        <w:rPr>
          <w:rFonts w:ascii="Book Antiqua" w:eastAsia="Book Antiqua" w:hAnsi="Book Antiqua" w:cs="Book Antiqua"/>
          <w:color w:val="000000"/>
        </w:rPr>
        <w:t xml:space="preserve"> Fatal Case of Thrombotic Microangiopathy Without </w:t>
      </w:r>
      <w:proofErr w:type="spellStart"/>
      <w:r>
        <w:rPr>
          <w:rFonts w:ascii="Book Antiqua" w:eastAsia="Book Antiqua" w:hAnsi="Book Antiqua" w:cs="Book Antiqua"/>
          <w:color w:val="000000"/>
        </w:rPr>
        <w:t>Schistocytosis</w:t>
      </w:r>
      <w:proofErr w:type="spellEnd"/>
      <w:r>
        <w:rPr>
          <w:rFonts w:ascii="Book Antiqua" w:eastAsia="Book Antiqua" w:hAnsi="Book Antiqua" w:cs="Book Antiqua"/>
          <w:color w:val="000000"/>
        </w:rPr>
        <w:t xml:space="preserve"> and Absent Biochemical Markers of Hemolysis. </w:t>
      </w:r>
      <w:r>
        <w:rPr>
          <w:rFonts w:ascii="Book Antiqua" w:eastAsia="Book Antiqua" w:hAnsi="Book Antiqua" w:cs="Book Antiqua"/>
          <w:i/>
          <w:iCs/>
          <w:color w:val="000000"/>
        </w:rPr>
        <w:t>Am J Med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359</w:t>
      </w:r>
      <w:r>
        <w:rPr>
          <w:rFonts w:ascii="Book Antiqua" w:eastAsia="Book Antiqua" w:hAnsi="Book Antiqua" w:cs="Book Antiqua"/>
          <w:color w:val="000000"/>
        </w:rPr>
        <w:t>: 296-302 [PMID: 32265009 DOI: 10.1016/j.amjms.2020.01.019]</w:t>
      </w:r>
    </w:p>
    <w:p w14:paraId="0C1CCA8D" w14:textId="77777777" w:rsidR="00ED477D" w:rsidRDefault="00000000">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Chang JC</w:t>
      </w:r>
      <w:r>
        <w:rPr>
          <w:rFonts w:ascii="Book Antiqua" w:eastAsia="Book Antiqua" w:hAnsi="Book Antiqua" w:cs="Book Antiqua"/>
          <w:color w:val="000000"/>
        </w:rPr>
        <w:t xml:space="preserve">. Sepsis and septic shock: endothelial molecular pathogenesis associated with vascular </w:t>
      </w:r>
      <w:proofErr w:type="spellStart"/>
      <w:r>
        <w:rPr>
          <w:rFonts w:ascii="Book Antiqua" w:eastAsia="Book Antiqua" w:hAnsi="Book Antiqua" w:cs="Book Antiqua"/>
          <w:color w:val="000000"/>
        </w:rPr>
        <w:t>microthrombotic</w:t>
      </w:r>
      <w:proofErr w:type="spellEnd"/>
      <w:r>
        <w:rPr>
          <w:rFonts w:ascii="Book Antiqua" w:eastAsia="Book Antiqua" w:hAnsi="Book Antiqua" w:cs="Book Antiqua"/>
          <w:color w:val="000000"/>
        </w:rPr>
        <w:t xml:space="preserve"> disease.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2019; </w:t>
      </w:r>
      <w:r>
        <w:rPr>
          <w:rFonts w:ascii="Book Antiqua" w:eastAsia="Book Antiqua" w:hAnsi="Book Antiqua" w:cs="Book Antiqua"/>
          <w:b/>
          <w:bCs/>
          <w:color w:val="000000"/>
        </w:rPr>
        <w:t>17</w:t>
      </w:r>
      <w:r>
        <w:rPr>
          <w:rFonts w:ascii="Book Antiqua" w:eastAsia="Book Antiqua" w:hAnsi="Book Antiqua" w:cs="Book Antiqua"/>
          <w:color w:val="000000"/>
        </w:rPr>
        <w:t>: 10 [PMID: 31160889 DOI: 10.1186/s12959-019-0198-4]</w:t>
      </w:r>
    </w:p>
    <w:p w14:paraId="47933B58" w14:textId="77777777" w:rsidR="00ED477D" w:rsidRDefault="00000000">
      <w:pPr>
        <w:spacing w:line="360" w:lineRule="auto"/>
        <w:jc w:val="both"/>
      </w:pPr>
      <w:r>
        <w:rPr>
          <w:rFonts w:ascii="Book Antiqua" w:eastAsia="Book Antiqua" w:hAnsi="Book Antiqua" w:cs="Book Antiqua"/>
          <w:color w:val="000000"/>
        </w:rPr>
        <w:t xml:space="preserve">25 </w:t>
      </w:r>
      <w:r>
        <w:rPr>
          <w:rFonts w:ascii="Book Antiqua" w:eastAsia="Book Antiqua" w:hAnsi="Book Antiqua" w:cs="Book Antiqua"/>
          <w:b/>
          <w:bCs/>
          <w:color w:val="000000"/>
        </w:rPr>
        <w:t>Schaeuble D</w:t>
      </w:r>
      <w:r>
        <w:rPr>
          <w:rFonts w:ascii="Book Antiqua" w:eastAsia="Book Antiqua" w:hAnsi="Book Antiqua" w:cs="Book Antiqua"/>
          <w:color w:val="000000"/>
        </w:rPr>
        <w:t xml:space="preserve">, Myers B. Cortical-Hypothalamic Integration of Autonomic and Endocrine Stress Responses.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Physiol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13</w:t>
      </w:r>
      <w:r>
        <w:rPr>
          <w:rFonts w:ascii="Book Antiqua" w:eastAsia="Book Antiqua" w:hAnsi="Book Antiqua" w:cs="Book Antiqua"/>
          <w:color w:val="000000"/>
        </w:rPr>
        <w:t>: 820398 [PMID: 35222086 DOI: 10.3389/fphys.2022.820398]</w:t>
      </w:r>
    </w:p>
    <w:p w14:paraId="76587AAE" w14:textId="77777777" w:rsidR="00ED477D" w:rsidRDefault="00000000">
      <w:pPr>
        <w:spacing w:line="360" w:lineRule="auto"/>
        <w:jc w:val="both"/>
      </w:pPr>
      <w:r>
        <w:rPr>
          <w:rFonts w:ascii="Book Antiqua" w:eastAsia="Book Antiqua" w:hAnsi="Book Antiqua" w:cs="Book Antiqua"/>
          <w:color w:val="000000"/>
        </w:rPr>
        <w:t xml:space="preserve">26 </w:t>
      </w:r>
      <w:r>
        <w:rPr>
          <w:rFonts w:ascii="Book Antiqua" w:eastAsia="Book Antiqua" w:hAnsi="Book Antiqua" w:cs="Book Antiqua"/>
          <w:b/>
          <w:bCs/>
          <w:color w:val="000000"/>
        </w:rPr>
        <w:t>Suzuki T</w:t>
      </w:r>
      <w:r>
        <w:rPr>
          <w:rFonts w:ascii="Book Antiqua" w:eastAsia="Book Antiqua" w:hAnsi="Book Antiqua" w:cs="Book Antiqua"/>
          <w:color w:val="000000"/>
        </w:rPr>
        <w:t xml:space="preserve">, Nakamura Y, Moriya T, </w:t>
      </w:r>
      <w:proofErr w:type="spellStart"/>
      <w:r>
        <w:rPr>
          <w:rFonts w:ascii="Book Antiqua" w:eastAsia="Book Antiqua" w:hAnsi="Book Antiqua" w:cs="Book Antiqua"/>
          <w:color w:val="000000"/>
        </w:rPr>
        <w:t>Sasano</w:t>
      </w:r>
      <w:proofErr w:type="spellEnd"/>
      <w:r>
        <w:rPr>
          <w:rFonts w:ascii="Book Antiqua" w:eastAsia="Book Antiqua" w:hAnsi="Book Antiqua" w:cs="Book Antiqua"/>
          <w:color w:val="000000"/>
        </w:rPr>
        <w:t xml:space="preserve"> H. Effects of steroid hormones on vascular functions. </w:t>
      </w:r>
      <w:proofErr w:type="spellStart"/>
      <w:r>
        <w:rPr>
          <w:rFonts w:ascii="Book Antiqua" w:eastAsia="Book Antiqua" w:hAnsi="Book Antiqua" w:cs="Book Antiqua"/>
          <w:i/>
          <w:iCs/>
          <w:color w:val="000000"/>
        </w:rPr>
        <w:t>Microsc</w:t>
      </w:r>
      <w:proofErr w:type="spellEnd"/>
      <w:r>
        <w:rPr>
          <w:rFonts w:ascii="Book Antiqua" w:eastAsia="Book Antiqua" w:hAnsi="Book Antiqua" w:cs="Book Antiqua"/>
          <w:i/>
          <w:iCs/>
          <w:color w:val="000000"/>
        </w:rPr>
        <w:t xml:space="preserve"> Res Tech</w:t>
      </w:r>
      <w:r>
        <w:rPr>
          <w:rFonts w:ascii="Book Antiqua" w:eastAsia="Book Antiqua" w:hAnsi="Book Antiqua" w:cs="Book Antiqua"/>
          <w:color w:val="000000"/>
        </w:rPr>
        <w:t xml:space="preserve"> 2003; </w:t>
      </w:r>
      <w:r>
        <w:rPr>
          <w:rFonts w:ascii="Book Antiqua" w:eastAsia="Book Antiqua" w:hAnsi="Book Antiqua" w:cs="Book Antiqua"/>
          <w:b/>
          <w:bCs/>
          <w:color w:val="000000"/>
        </w:rPr>
        <w:t>60</w:t>
      </w:r>
      <w:r>
        <w:rPr>
          <w:rFonts w:ascii="Book Antiqua" w:eastAsia="Book Antiqua" w:hAnsi="Book Antiqua" w:cs="Book Antiqua"/>
          <w:color w:val="000000"/>
        </w:rPr>
        <w:t>: 76-84 [PMID: 12500264 DOI: 10.1002/jemt.10246]</w:t>
      </w:r>
    </w:p>
    <w:p w14:paraId="3B674BA3" w14:textId="77777777" w:rsidR="00ED477D" w:rsidRDefault="00000000">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Yang S</w:t>
      </w:r>
      <w:r>
        <w:rPr>
          <w:rFonts w:ascii="Book Antiqua" w:eastAsia="Book Antiqua" w:hAnsi="Book Antiqua" w:cs="Book Antiqua"/>
          <w:color w:val="000000"/>
        </w:rPr>
        <w:t xml:space="preserve">, Zhang L. </w:t>
      </w:r>
      <w:proofErr w:type="gramStart"/>
      <w:r>
        <w:rPr>
          <w:rFonts w:ascii="Book Antiqua" w:eastAsia="Book Antiqua" w:hAnsi="Book Antiqua" w:cs="Book Antiqua"/>
          <w:color w:val="000000"/>
        </w:rPr>
        <w:t>Glucocorticoids</w:t>
      </w:r>
      <w:proofErr w:type="gramEnd"/>
      <w:r>
        <w:rPr>
          <w:rFonts w:ascii="Book Antiqua" w:eastAsia="Book Antiqua" w:hAnsi="Book Antiqua" w:cs="Book Antiqua"/>
          <w:color w:val="000000"/>
        </w:rPr>
        <w:t xml:space="preserve"> and vascular reactivity.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Vasc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2</w:t>
      </w:r>
      <w:r>
        <w:rPr>
          <w:rFonts w:ascii="Book Antiqua" w:eastAsia="Book Antiqua" w:hAnsi="Book Antiqua" w:cs="Book Antiqua"/>
          <w:color w:val="000000"/>
        </w:rPr>
        <w:t>: 1-12 [PMID: 15320828 DOI: 10.2174/1570161043476483]</w:t>
      </w:r>
    </w:p>
    <w:p w14:paraId="04CD91BF" w14:textId="77777777" w:rsidR="00ED477D" w:rsidRDefault="00000000">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Tulipan</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Lutsky</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Beredjiklian</w:t>
      </w:r>
      <w:proofErr w:type="spellEnd"/>
      <w:r>
        <w:rPr>
          <w:rFonts w:ascii="Book Antiqua" w:eastAsia="Book Antiqua" w:hAnsi="Book Antiqua" w:cs="Book Antiqua"/>
          <w:color w:val="000000"/>
        </w:rPr>
        <w:t xml:space="preserve"> P. Transient Vasospastic Response Following the Injection of Corticosteroid into the Hand. </w:t>
      </w:r>
      <w:r>
        <w:rPr>
          <w:rFonts w:ascii="Book Antiqua" w:eastAsia="Book Antiqua" w:hAnsi="Book Antiqua" w:cs="Book Antiqua"/>
          <w:i/>
          <w:iCs/>
          <w:color w:val="000000"/>
        </w:rPr>
        <w:t xml:space="preserve">Bull Hosp </w:t>
      </w:r>
      <w:proofErr w:type="spellStart"/>
      <w:r>
        <w:rPr>
          <w:rFonts w:ascii="Book Antiqua" w:eastAsia="Book Antiqua" w:hAnsi="Book Antiqua" w:cs="Book Antiqua"/>
          <w:i/>
          <w:iCs/>
          <w:color w:val="000000"/>
        </w:rPr>
        <w:t>Jt</w:t>
      </w:r>
      <w:proofErr w:type="spellEnd"/>
      <w:r>
        <w:rPr>
          <w:rFonts w:ascii="Book Antiqua" w:eastAsia="Book Antiqua" w:hAnsi="Book Antiqua" w:cs="Book Antiqua"/>
          <w:i/>
          <w:iCs/>
          <w:color w:val="000000"/>
        </w:rPr>
        <w:t xml:space="preserve"> Dis (2013)</w:t>
      </w:r>
      <w:r>
        <w:rPr>
          <w:rFonts w:ascii="Book Antiqua" w:eastAsia="Book Antiqua" w:hAnsi="Book Antiqua" w:cs="Book Antiqua"/>
          <w:color w:val="000000"/>
        </w:rPr>
        <w:t xml:space="preserve"> 2017; </w:t>
      </w:r>
      <w:r>
        <w:rPr>
          <w:rFonts w:ascii="Book Antiqua" w:eastAsia="Book Antiqua" w:hAnsi="Book Antiqua" w:cs="Book Antiqua"/>
          <w:b/>
          <w:bCs/>
          <w:color w:val="000000"/>
        </w:rPr>
        <w:t>75</w:t>
      </w:r>
      <w:r>
        <w:rPr>
          <w:rFonts w:ascii="Book Antiqua" w:eastAsia="Book Antiqua" w:hAnsi="Book Antiqua" w:cs="Book Antiqua"/>
          <w:color w:val="000000"/>
        </w:rPr>
        <w:t>: 217-219 [PMID: 28902610]</w:t>
      </w:r>
    </w:p>
    <w:p w14:paraId="5D5D0495" w14:textId="77777777" w:rsidR="00ED477D" w:rsidRDefault="00000000">
      <w:pPr>
        <w:spacing w:line="360" w:lineRule="auto"/>
        <w:jc w:val="both"/>
      </w:pPr>
      <w:r>
        <w:rPr>
          <w:rFonts w:ascii="Book Antiqua" w:eastAsia="Book Antiqua" w:hAnsi="Book Antiqua" w:cs="Book Antiqua"/>
          <w:color w:val="000000"/>
        </w:rPr>
        <w:lastRenderedPageBreak/>
        <w:t xml:space="preserve">29 </w:t>
      </w:r>
      <w:r>
        <w:rPr>
          <w:rFonts w:ascii="Book Antiqua" w:eastAsia="Book Antiqua" w:hAnsi="Book Antiqua" w:cs="Book Antiqua"/>
          <w:b/>
          <w:bCs/>
          <w:color w:val="000000"/>
        </w:rPr>
        <w:t>Singhal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Topcuoglu</w:t>
      </w:r>
      <w:proofErr w:type="spellEnd"/>
      <w:r>
        <w:rPr>
          <w:rFonts w:ascii="Book Antiqua" w:eastAsia="Book Antiqua" w:hAnsi="Book Antiqua" w:cs="Book Antiqua"/>
          <w:color w:val="000000"/>
        </w:rPr>
        <w:t xml:space="preserve"> MA. Glucocorticoid-associated worsening in reversible cerebral vasoconstriction syndrome. </w:t>
      </w:r>
      <w:r>
        <w:rPr>
          <w:rFonts w:ascii="Book Antiqua" w:eastAsia="Book Antiqua" w:hAnsi="Book Antiqua" w:cs="Book Antiqua"/>
          <w:i/>
          <w:iCs/>
          <w:color w:val="000000"/>
        </w:rPr>
        <w:t>Neurology</w:t>
      </w:r>
      <w:r>
        <w:rPr>
          <w:rFonts w:ascii="Book Antiqua" w:eastAsia="Book Antiqua" w:hAnsi="Book Antiqua" w:cs="Book Antiqua"/>
          <w:color w:val="000000"/>
        </w:rPr>
        <w:t xml:space="preserve"> 2017; </w:t>
      </w:r>
      <w:r>
        <w:rPr>
          <w:rFonts w:ascii="Book Antiqua" w:eastAsia="Book Antiqua" w:hAnsi="Book Antiqua" w:cs="Book Antiqua"/>
          <w:b/>
          <w:bCs/>
          <w:color w:val="000000"/>
        </w:rPr>
        <w:t>88</w:t>
      </w:r>
      <w:r>
        <w:rPr>
          <w:rFonts w:ascii="Book Antiqua" w:eastAsia="Book Antiqua" w:hAnsi="Book Antiqua" w:cs="Book Antiqua"/>
          <w:color w:val="000000"/>
        </w:rPr>
        <w:t>: 228-236 [PMID: 27940651 DOI: 10.1212/WNL.0000000000003510]</w:t>
      </w:r>
    </w:p>
    <w:p w14:paraId="5485AACF" w14:textId="77777777" w:rsidR="00ED477D" w:rsidRDefault="00000000">
      <w:pPr>
        <w:spacing w:line="360" w:lineRule="auto"/>
        <w:jc w:val="both"/>
      </w:pPr>
      <w:r>
        <w:rPr>
          <w:rFonts w:ascii="Book Antiqua" w:eastAsia="Book Antiqua" w:hAnsi="Book Antiqua" w:cs="Book Antiqua"/>
          <w:color w:val="000000"/>
        </w:rPr>
        <w:t xml:space="preserve">30 </w:t>
      </w:r>
      <w:r>
        <w:rPr>
          <w:rFonts w:ascii="Book Antiqua" w:eastAsia="Book Antiqua" w:hAnsi="Book Antiqua" w:cs="Book Antiqua"/>
          <w:b/>
          <w:bCs/>
          <w:color w:val="000000"/>
        </w:rPr>
        <w:t>Arias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Schander</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Bariani</w:t>
      </w:r>
      <w:proofErr w:type="spellEnd"/>
      <w:r>
        <w:rPr>
          <w:rFonts w:ascii="Book Antiqua" w:eastAsia="Book Antiqua" w:hAnsi="Book Antiqua" w:cs="Book Antiqua"/>
          <w:color w:val="000000"/>
        </w:rPr>
        <w:t xml:space="preserve"> MV, Correa F, Domínguez Rubio AP, </w:t>
      </w:r>
      <w:proofErr w:type="spellStart"/>
      <w:r>
        <w:rPr>
          <w:rFonts w:ascii="Book Antiqua" w:eastAsia="Book Antiqua" w:hAnsi="Book Antiqua" w:cs="Book Antiqua"/>
          <w:color w:val="000000"/>
        </w:rPr>
        <w:t>Cella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Cymeryng</w:t>
      </w:r>
      <w:proofErr w:type="spellEnd"/>
      <w:r>
        <w:rPr>
          <w:rFonts w:ascii="Book Antiqua" w:eastAsia="Book Antiqua" w:hAnsi="Book Antiqua" w:cs="Book Antiqua"/>
          <w:color w:val="000000"/>
        </w:rPr>
        <w:t xml:space="preserve"> CB, Wolfson ML, Franchi AM, </w:t>
      </w:r>
      <w:proofErr w:type="spellStart"/>
      <w:r>
        <w:rPr>
          <w:rFonts w:ascii="Book Antiqua" w:eastAsia="Book Antiqua" w:hAnsi="Book Antiqua" w:cs="Book Antiqua"/>
          <w:color w:val="000000"/>
        </w:rPr>
        <w:t>Aisemberg</w:t>
      </w:r>
      <w:proofErr w:type="spellEnd"/>
      <w:r>
        <w:rPr>
          <w:rFonts w:ascii="Book Antiqua" w:eastAsia="Book Antiqua" w:hAnsi="Book Antiqua" w:cs="Book Antiqua"/>
          <w:color w:val="000000"/>
        </w:rPr>
        <w:t xml:space="preserve"> J. Dexamethasone-induced intrauterine growth restriction modulates expression of placental vascular growth factors and fetal and placental growth. </w:t>
      </w:r>
      <w:r>
        <w:rPr>
          <w:rFonts w:ascii="Book Antiqua" w:eastAsia="Book Antiqua" w:hAnsi="Book Antiqua" w:cs="Book Antiqua"/>
          <w:i/>
          <w:iCs/>
          <w:color w:val="000000"/>
        </w:rPr>
        <w:t xml:space="preserve">Mol Hum </w:t>
      </w:r>
      <w:proofErr w:type="spellStart"/>
      <w:r>
        <w:rPr>
          <w:rFonts w:ascii="Book Antiqua" w:eastAsia="Book Antiqua" w:hAnsi="Book Antiqua" w:cs="Book Antiqua"/>
          <w:i/>
          <w:iCs/>
          <w:color w:val="000000"/>
        </w:rPr>
        <w:t>Reprod</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27</w:t>
      </w:r>
      <w:r>
        <w:rPr>
          <w:rFonts w:ascii="Book Antiqua" w:eastAsia="Book Antiqua" w:hAnsi="Book Antiqua" w:cs="Book Antiqua"/>
          <w:color w:val="000000"/>
        </w:rPr>
        <w:t xml:space="preserve"> [PMID: 33528567 DOI: 10.1093/</w:t>
      </w:r>
      <w:proofErr w:type="spellStart"/>
      <w:r>
        <w:rPr>
          <w:rFonts w:ascii="Book Antiqua" w:eastAsia="Book Antiqua" w:hAnsi="Book Antiqua" w:cs="Book Antiqua"/>
          <w:color w:val="000000"/>
        </w:rPr>
        <w:t>molehr</w:t>
      </w:r>
      <w:proofErr w:type="spellEnd"/>
      <w:r>
        <w:rPr>
          <w:rFonts w:ascii="Book Antiqua" w:eastAsia="Book Antiqua" w:hAnsi="Book Antiqua" w:cs="Book Antiqua"/>
          <w:color w:val="000000"/>
        </w:rPr>
        <w:t>/gaab006]</w:t>
      </w:r>
    </w:p>
    <w:p w14:paraId="26F6A982" w14:textId="77777777" w:rsidR="00ED477D" w:rsidRDefault="00000000">
      <w:pPr>
        <w:spacing w:line="360" w:lineRule="auto"/>
        <w:jc w:val="both"/>
      </w:pPr>
      <w:r>
        <w:rPr>
          <w:rFonts w:ascii="Book Antiqua" w:eastAsia="Book Antiqua" w:hAnsi="Book Antiqua" w:cs="Book Antiqua"/>
          <w:color w:val="000000"/>
        </w:rPr>
        <w:t xml:space="preserve">31 </w:t>
      </w:r>
      <w:r>
        <w:rPr>
          <w:rFonts w:ascii="Book Antiqua" w:eastAsia="Book Antiqua" w:hAnsi="Book Antiqua" w:cs="Book Antiqua"/>
          <w:b/>
          <w:bCs/>
          <w:color w:val="000000"/>
        </w:rPr>
        <w:t>Soleimani AA</w:t>
      </w:r>
      <w:r>
        <w:rPr>
          <w:rFonts w:ascii="Book Antiqua" w:eastAsia="Book Antiqua" w:hAnsi="Book Antiqua" w:cs="Book Antiqua"/>
          <w:color w:val="000000"/>
        </w:rPr>
        <w:t xml:space="preserve">, Mohammadi A, </w:t>
      </w:r>
      <w:proofErr w:type="spellStart"/>
      <w:r>
        <w:rPr>
          <w:rFonts w:ascii="Book Antiqua" w:eastAsia="Book Antiqua" w:hAnsi="Book Antiqua" w:cs="Book Antiqua"/>
          <w:color w:val="000000"/>
        </w:rPr>
        <w:t>Ghasempour</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Abkenar</w:t>
      </w:r>
      <w:proofErr w:type="spellEnd"/>
      <w:r>
        <w:rPr>
          <w:rFonts w:ascii="Book Antiqua" w:eastAsia="Book Antiqua" w:hAnsi="Book Antiqua" w:cs="Book Antiqua"/>
          <w:color w:val="000000"/>
        </w:rPr>
        <w:t xml:space="preserve"> BR, Shokri N, Najafi M. Dexamethasone suppresses the proliferation and migration of VSMCs by FAK in high glucose conditions.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Toxicol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23</w:t>
      </w:r>
      <w:r>
        <w:rPr>
          <w:rFonts w:ascii="Book Antiqua" w:eastAsia="Book Antiqua" w:hAnsi="Book Antiqua" w:cs="Book Antiqua"/>
          <w:color w:val="000000"/>
        </w:rPr>
        <w:t>: 63 [PMID: 35978346 DOI: 10.1186/s40360-022-00604-3]</w:t>
      </w:r>
    </w:p>
    <w:p w14:paraId="5FD19FB0" w14:textId="77777777" w:rsidR="00ED477D" w:rsidRDefault="00000000">
      <w:pPr>
        <w:spacing w:line="360" w:lineRule="auto"/>
        <w:jc w:val="both"/>
      </w:pPr>
      <w:r>
        <w:rPr>
          <w:rFonts w:ascii="Book Antiqua" w:eastAsia="Book Antiqua" w:hAnsi="Book Antiqua" w:cs="Book Antiqua"/>
          <w:color w:val="000000"/>
        </w:rPr>
        <w:t xml:space="preserve">32 </w:t>
      </w:r>
      <w:r>
        <w:rPr>
          <w:rFonts w:ascii="Book Antiqua" w:eastAsia="Book Antiqua" w:hAnsi="Book Antiqua" w:cs="Book Antiqua"/>
          <w:b/>
          <w:bCs/>
          <w:color w:val="000000"/>
        </w:rPr>
        <w:t>Yu H</w:t>
      </w:r>
      <w:r>
        <w:rPr>
          <w:rFonts w:ascii="Book Antiqua" w:eastAsia="Book Antiqua" w:hAnsi="Book Antiqua" w:cs="Book Antiqua"/>
          <w:color w:val="000000"/>
        </w:rPr>
        <w:t xml:space="preserve">, Liu P,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W, Sun X, Liu H, Lu F, Guo W, Zhang Q. Decreased angiogenic and increased apoptotic activities of bone microvascular endothelial cells in patients with glucocorticoid-induced osteonecrosis of the femoral head. </w:t>
      </w:r>
      <w:r>
        <w:rPr>
          <w:rFonts w:ascii="Book Antiqua" w:eastAsia="Book Antiqua" w:hAnsi="Book Antiqua" w:cs="Book Antiqua"/>
          <w:i/>
          <w:iCs/>
          <w:color w:val="000000"/>
        </w:rPr>
        <w:t xml:space="preserve">BMC </w:t>
      </w:r>
      <w:proofErr w:type="spellStart"/>
      <w:r>
        <w:rPr>
          <w:rFonts w:ascii="Book Antiqua" w:eastAsia="Book Antiqua" w:hAnsi="Book Antiqua" w:cs="Book Antiqua"/>
          <w:i/>
          <w:iCs/>
          <w:color w:val="000000"/>
        </w:rPr>
        <w:t>Musculoskelet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Disord</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277 [PMID: 32349721 DOI: 10.1186/s12891-020-03225-1]</w:t>
      </w:r>
    </w:p>
    <w:p w14:paraId="07E81D60" w14:textId="77777777" w:rsidR="00ED477D" w:rsidRDefault="00000000">
      <w:pPr>
        <w:spacing w:line="360" w:lineRule="auto"/>
        <w:jc w:val="both"/>
      </w:pPr>
      <w:r>
        <w:rPr>
          <w:rFonts w:ascii="Book Antiqua" w:eastAsia="Book Antiqua" w:hAnsi="Book Antiqua" w:cs="Book Antiqua"/>
          <w:color w:val="000000"/>
        </w:rPr>
        <w:t xml:space="preserve">33 </w:t>
      </w:r>
      <w:r>
        <w:rPr>
          <w:rFonts w:ascii="Book Antiqua" w:eastAsia="Book Antiqua" w:hAnsi="Book Antiqua" w:cs="Book Antiqua"/>
          <w:b/>
          <w:bCs/>
          <w:color w:val="000000"/>
        </w:rPr>
        <w:t>Rosenstock M</w:t>
      </w:r>
      <w:r>
        <w:rPr>
          <w:rFonts w:ascii="Book Antiqua" w:eastAsia="Book Antiqua" w:hAnsi="Book Antiqua" w:cs="Book Antiqua"/>
          <w:color w:val="000000"/>
        </w:rPr>
        <w:t xml:space="preserve">, Katz S, </w:t>
      </w:r>
      <w:proofErr w:type="spellStart"/>
      <w:r>
        <w:rPr>
          <w:rFonts w:ascii="Book Antiqua" w:eastAsia="Book Antiqua" w:hAnsi="Book Antiqua" w:cs="Book Antiqua"/>
          <w:color w:val="000000"/>
        </w:rPr>
        <w:t>Danon</w:t>
      </w:r>
      <w:proofErr w:type="spellEnd"/>
      <w:r>
        <w:rPr>
          <w:rFonts w:ascii="Book Antiqua" w:eastAsia="Book Antiqua" w:hAnsi="Book Antiqua" w:cs="Book Antiqua"/>
          <w:color w:val="000000"/>
        </w:rPr>
        <w:t xml:space="preserve"> A. Glucocorticoids regulate both phorbol ester and calcium ionophore-induced endothelial prostacyclin synthesis. </w:t>
      </w:r>
      <w:r>
        <w:rPr>
          <w:rFonts w:ascii="Book Antiqua" w:eastAsia="Book Antiqua" w:hAnsi="Book Antiqua" w:cs="Book Antiqua"/>
          <w:i/>
          <w:iCs/>
          <w:color w:val="000000"/>
        </w:rPr>
        <w:t xml:space="preserve">Prostaglandins </w:t>
      </w:r>
      <w:proofErr w:type="spellStart"/>
      <w:r>
        <w:rPr>
          <w:rFonts w:ascii="Book Antiqua" w:eastAsia="Book Antiqua" w:hAnsi="Book Antiqua" w:cs="Book Antiqua"/>
          <w:i/>
          <w:iCs/>
          <w:color w:val="000000"/>
        </w:rPr>
        <w:t>Leukot</w:t>
      </w:r>
      <w:proofErr w:type="spellEnd"/>
      <w:r>
        <w:rPr>
          <w:rFonts w:ascii="Book Antiqua" w:eastAsia="Book Antiqua" w:hAnsi="Book Antiqua" w:cs="Book Antiqua"/>
          <w:i/>
          <w:iCs/>
          <w:color w:val="000000"/>
        </w:rPr>
        <w:t xml:space="preserve"> Essent Fatty Acids</w:t>
      </w:r>
      <w:r>
        <w:rPr>
          <w:rFonts w:ascii="Book Antiqua" w:eastAsia="Book Antiqua" w:hAnsi="Book Antiqua" w:cs="Book Antiqua"/>
          <w:color w:val="000000"/>
        </w:rPr>
        <w:t xml:space="preserve"> 1997; </w:t>
      </w:r>
      <w:r>
        <w:rPr>
          <w:rFonts w:ascii="Book Antiqua" w:eastAsia="Book Antiqua" w:hAnsi="Book Antiqua" w:cs="Book Antiqua"/>
          <w:b/>
          <w:bCs/>
          <w:color w:val="000000"/>
        </w:rPr>
        <w:t>56</w:t>
      </w:r>
      <w:r>
        <w:rPr>
          <w:rFonts w:ascii="Book Antiqua" w:eastAsia="Book Antiqua" w:hAnsi="Book Antiqua" w:cs="Book Antiqua"/>
          <w:color w:val="000000"/>
        </w:rPr>
        <w:t>: 1-8 [PMID: 9044429 DOI: 10.1016/s0952-3278(97)90517-2]</w:t>
      </w:r>
    </w:p>
    <w:p w14:paraId="6EBB97B5" w14:textId="77777777" w:rsidR="00ED477D" w:rsidRDefault="00000000">
      <w:pPr>
        <w:spacing w:line="360" w:lineRule="auto"/>
        <w:jc w:val="both"/>
      </w:pPr>
      <w:r>
        <w:rPr>
          <w:rFonts w:ascii="Book Antiqua" w:eastAsia="Book Antiqua" w:hAnsi="Book Antiqua" w:cs="Book Antiqua"/>
          <w:color w:val="000000"/>
        </w:rPr>
        <w:t xml:space="preserve">34 </w:t>
      </w:r>
      <w:r>
        <w:rPr>
          <w:rFonts w:ascii="Book Antiqua" w:eastAsia="Book Antiqua" w:hAnsi="Book Antiqua" w:cs="Book Antiqua"/>
          <w:b/>
          <w:bCs/>
          <w:color w:val="000000"/>
        </w:rPr>
        <w:t>Jun SS</w:t>
      </w:r>
      <w:r>
        <w:rPr>
          <w:rFonts w:ascii="Book Antiqua" w:eastAsia="Book Antiqua" w:hAnsi="Book Antiqua" w:cs="Book Antiqua"/>
          <w:color w:val="000000"/>
        </w:rPr>
        <w:t xml:space="preserve">, Chen Z, Pace MC, </w:t>
      </w:r>
      <w:proofErr w:type="spellStart"/>
      <w:r>
        <w:rPr>
          <w:rFonts w:ascii="Book Antiqua" w:eastAsia="Book Antiqua" w:hAnsi="Book Antiqua" w:cs="Book Antiqua"/>
          <w:color w:val="000000"/>
        </w:rPr>
        <w:t>Shaul</w:t>
      </w:r>
      <w:proofErr w:type="spellEnd"/>
      <w:r>
        <w:rPr>
          <w:rFonts w:ascii="Book Antiqua" w:eastAsia="Book Antiqua" w:hAnsi="Book Antiqua" w:cs="Book Antiqua"/>
          <w:color w:val="000000"/>
        </w:rPr>
        <w:t xml:space="preserve"> PW. Glucocorticoids downregulate cyclooxygenase-1 gene expression and prostacyclin synthesis in fetal pulmonary artery endothelium. </w:t>
      </w:r>
      <w:r>
        <w:rPr>
          <w:rFonts w:ascii="Book Antiqua" w:eastAsia="Book Antiqua" w:hAnsi="Book Antiqua" w:cs="Book Antiqua"/>
          <w:i/>
          <w:iCs/>
          <w:color w:val="000000"/>
        </w:rPr>
        <w:t>Circ Res</w:t>
      </w:r>
      <w:r>
        <w:rPr>
          <w:rFonts w:ascii="Book Antiqua" w:eastAsia="Book Antiqua" w:hAnsi="Book Antiqua" w:cs="Book Antiqua"/>
          <w:color w:val="000000"/>
        </w:rPr>
        <w:t xml:space="preserve"> 1999; </w:t>
      </w:r>
      <w:r>
        <w:rPr>
          <w:rFonts w:ascii="Book Antiqua" w:eastAsia="Book Antiqua" w:hAnsi="Book Antiqua" w:cs="Book Antiqua"/>
          <w:b/>
          <w:bCs/>
          <w:color w:val="000000"/>
        </w:rPr>
        <w:t>84</w:t>
      </w:r>
      <w:r>
        <w:rPr>
          <w:rFonts w:ascii="Book Antiqua" w:eastAsia="Book Antiqua" w:hAnsi="Book Antiqua" w:cs="Book Antiqua"/>
          <w:color w:val="000000"/>
        </w:rPr>
        <w:t>: 193-200 [PMID: 9933251 DOI: 10.1161/01.res.84.2.193]</w:t>
      </w:r>
    </w:p>
    <w:p w14:paraId="2DB7DE8F" w14:textId="77777777" w:rsidR="00ED477D" w:rsidRDefault="00000000">
      <w:pPr>
        <w:spacing w:line="360" w:lineRule="auto"/>
        <w:jc w:val="both"/>
      </w:pPr>
      <w:r>
        <w:rPr>
          <w:rFonts w:ascii="Book Antiqua" w:eastAsia="Book Antiqua" w:hAnsi="Book Antiqua" w:cs="Book Antiqua"/>
          <w:color w:val="000000"/>
        </w:rPr>
        <w:t xml:space="preserve">35 </w:t>
      </w:r>
      <w:r>
        <w:rPr>
          <w:rFonts w:ascii="Book Antiqua" w:eastAsia="Book Antiqua" w:hAnsi="Book Antiqua" w:cs="Book Antiqua"/>
          <w:b/>
          <w:bCs/>
          <w:color w:val="000000"/>
        </w:rPr>
        <w:t>Liu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Mladinov</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Pietrusz</w:t>
      </w:r>
      <w:proofErr w:type="spellEnd"/>
      <w:r>
        <w:rPr>
          <w:rFonts w:ascii="Book Antiqua" w:eastAsia="Book Antiqua" w:hAnsi="Book Antiqua" w:cs="Book Antiqua"/>
          <w:color w:val="000000"/>
        </w:rPr>
        <w:t xml:space="preserve"> JL, </w:t>
      </w:r>
      <w:proofErr w:type="spellStart"/>
      <w:r>
        <w:rPr>
          <w:rFonts w:ascii="Book Antiqua" w:eastAsia="Book Antiqua" w:hAnsi="Book Antiqua" w:cs="Book Antiqua"/>
          <w:color w:val="000000"/>
        </w:rPr>
        <w:t>Usa</w:t>
      </w:r>
      <w:proofErr w:type="spellEnd"/>
      <w:r>
        <w:rPr>
          <w:rFonts w:ascii="Book Antiqua" w:eastAsia="Book Antiqua" w:hAnsi="Book Antiqua" w:cs="Book Antiqua"/>
          <w:color w:val="000000"/>
        </w:rPr>
        <w:t xml:space="preserve"> K, Liang M. Glucocorticoid response elements and 11 beta-hydroxysteroid dehydrogenases in the regulation of endothelial nitric oxide synthase expression. </w:t>
      </w:r>
      <w:r>
        <w:rPr>
          <w:rFonts w:ascii="Book Antiqua" w:eastAsia="Book Antiqua" w:hAnsi="Book Antiqua" w:cs="Book Antiqua"/>
          <w:i/>
          <w:iCs/>
          <w:color w:val="000000"/>
        </w:rPr>
        <w:t>Cardiovasc Res</w:t>
      </w:r>
      <w:r>
        <w:rPr>
          <w:rFonts w:ascii="Book Antiqua" w:eastAsia="Book Antiqua" w:hAnsi="Book Antiqua" w:cs="Book Antiqua"/>
          <w:color w:val="000000"/>
        </w:rPr>
        <w:t xml:space="preserve"> 2009; </w:t>
      </w:r>
      <w:r>
        <w:rPr>
          <w:rFonts w:ascii="Book Antiqua" w:eastAsia="Book Antiqua" w:hAnsi="Book Antiqua" w:cs="Book Antiqua"/>
          <w:b/>
          <w:bCs/>
          <w:color w:val="000000"/>
        </w:rPr>
        <w:t>81</w:t>
      </w:r>
      <w:r>
        <w:rPr>
          <w:rFonts w:ascii="Book Antiqua" w:eastAsia="Book Antiqua" w:hAnsi="Book Antiqua" w:cs="Book Antiqua"/>
          <w:color w:val="000000"/>
        </w:rPr>
        <w:t>: 140-147 [PMID: 18716005 DOI: 10.1093/</w:t>
      </w:r>
      <w:proofErr w:type="spellStart"/>
      <w:r>
        <w:rPr>
          <w:rFonts w:ascii="Book Antiqua" w:eastAsia="Book Antiqua" w:hAnsi="Book Antiqua" w:cs="Book Antiqua"/>
          <w:color w:val="000000"/>
        </w:rPr>
        <w:t>cvr</w:t>
      </w:r>
      <w:proofErr w:type="spellEnd"/>
      <w:r>
        <w:rPr>
          <w:rFonts w:ascii="Book Antiqua" w:eastAsia="Book Antiqua" w:hAnsi="Book Antiqua" w:cs="Book Antiqua"/>
          <w:color w:val="000000"/>
        </w:rPr>
        <w:t>/cvn231]</w:t>
      </w:r>
    </w:p>
    <w:p w14:paraId="01E1EBB2" w14:textId="77777777" w:rsidR="00ED477D" w:rsidRDefault="00000000">
      <w:pPr>
        <w:spacing w:line="360" w:lineRule="auto"/>
        <w:jc w:val="both"/>
      </w:pPr>
      <w:r>
        <w:rPr>
          <w:rFonts w:ascii="Book Antiqua" w:eastAsia="Book Antiqua" w:hAnsi="Book Antiqua" w:cs="Book Antiqua"/>
          <w:color w:val="000000"/>
        </w:rPr>
        <w:t xml:space="preserve">36 </w:t>
      </w:r>
      <w:proofErr w:type="spellStart"/>
      <w:r>
        <w:rPr>
          <w:rFonts w:ascii="Book Antiqua" w:eastAsia="Book Antiqua" w:hAnsi="Book Antiqua" w:cs="Book Antiqua"/>
          <w:b/>
          <w:bCs/>
          <w:color w:val="000000"/>
        </w:rPr>
        <w:t>d'Emmanuele</w:t>
      </w:r>
      <w:proofErr w:type="spellEnd"/>
      <w:r>
        <w:rPr>
          <w:rFonts w:ascii="Book Antiqua" w:eastAsia="Book Antiqua" w:hAnsi="Book Antiqua" w:cs="Book Antiqua"/>
          <w:b/>
          <w:bCs/>
          <w:color w:val="000000"/>
        </w:rPr>
        <w:t xml:space="preserve"> di Villa Bianca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Mitidieri</w:t>
      </w:r>
      <w:proofErr w:type="spellEnd"/>
      <w:r>
        <w:rPr>
          <w:rFonts w:ascii="Book Antiqua" w:eastAsia="Book Antiqua" w:hAnsi="Book Antiqua" w:cs="Book Antiqua"/>
          <w:color w:val="000000"/>
        </w:rPr>
        <w:t xml:space="preserve"> E, Donnarumma E, </w:t>
      </w:r>
      <w:proofErr w:type="spellStart"/>
      <w:r>
        <w:rPr>
          <w:rFonts w:ascii="Book Antiqua" w:eastAsia="Book Antiqua" w:hAnsi="Book Antiqua" w:cs="Book Antiqua"/>
          <w:color w:val="000000"/>
        </w:rPr>
        <w:t>Tramontano</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Brancaleone</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Cirino</w:t>
      </w:r>
      <w:proofErr w:type="spellEnd"/>
      <w:r>
        <w:rPr>
          <w:rFonts w:ascii="Book Antiqua" w:eastAsia="Book Antiqua" w:hAnsi="Book Antiqua" w:cs="Book Antiqua"/>
          <w:color w:val="000000"/>
        </w:rPr>
        <w:t xml:space="preserve"> G, Bucci M, Sorrentino R. Hydrogen sulfide is involved in dexamethasone-induced hypertension in rat. </w:t>
      </w:r>
      <w:r>
        <w:rPr>
          <w:rFonts w:ascii="Book Antiqua" w:eastAsia="Book Antiqua" w:hAnsi="Book Antiqua" w:cs="Book Antiqua"/>
          <w:i/>
          <w:iCs/>
          <w:color w:val="000000"/>
        </w:rPr>
        <w:t>Nitric Oxide</w:t>
      </w:r>
      <w:r>
        <w:rPr>
          <w:rFonts w:ascii="Book Antiqua" w:eastAsia="Book Antiqua" w:hAnsi="Book Antiqua" w:cs="Book Antiqua"/>
          <w:color w:val="000000"/>
        </w:rPr>
        <w:t xml:space="preserve"> 2015; </w:t>
      </w:r>
      <w:r>
        <w:rPr>
          <w:rFonts w:ascii="Book Antiqua" w:eastAsia="Book Antiqua" w:hAnsi="Book Antiqua" w:cs="Book Antiqua"/>
          <w:b/>
          <w:bCs/>
          <w:color w:val="000000"/>
        </w:rPr>
        <w:t>46</w:t>
      </w:r>
      <w:r>
        <w:rPr>
          <w:rFonts w:ascii="Book Antiqua" w:eastAsia="Book Antiqua" w:hAnsi="Book Antiqua" w:cs="Book Antiqua"/>
          <w:color w:val="000000"/>
        </w:rPr>
        <w:t>: 80-86 [PMID: 25461303 DOI: 10.1016/j.niox.2014.11.013]</w:t>
      </w:r>
    </w:p>
    <w:p w14:paraId="531BB3AD" w14:textId="77777777" w:rsidR="00ED477D" w:rsidRDefault="00000000">
      <w:pPr>
        <w:spacing w:line="360" w:lineRule="auto"/>
        <w:jc w:val="both"/>
      </w:pPr>
      <w:r>
        <w:rPr>
          <w:rFonts w:ascii="Book Antiqua" w:eastAsia="Book Antiqua" w:hAnsi="Book Antiqua" w:cs="Book Antiqua"/>
          <w:color w:val="000000"/>
        </w:rPr>
        <w:lastRenderedPageBreak/>
        <w:t xml:space="preserve">37 </w:t>
      </w:r>
      <w:r>
        <w:rPr>
          <w:rFonts w:ascii="Book Antiqua" w:eastAsia="Book Antiqua" w:hAnsi="Book Antiqua" w:cs="Book Antiqua"/>
          <w:b/>
          <w:bCs/>
          <w:color w:val="000000"/>
        </w:rPr>
        <w:t>Hunter RW</w:t>
      </w:r>
      <w:r>
        <w:rPr>
          <w:rFonts w:ascii="Book Antiqua" w:eastAsia="Book Antiqua" w:hAnsi="Book Antiqua" w:cs="Book Antiqua"/>
          <w:color w:val="000000"/>
        </w:rPr>
        <w:t xml:space="preserve">, Bailey MA. Glucocorticoids and 11β-hydroxysteroid dehydrogenases: mechanisms for hypertension.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2015; </w:t>
      </w:r>
      <w:r>
        <w:rPr>
          <w:rFonts w:ascii="Book Antiqua" w:eastAsia="Book Antiqua" w:hAnsi="Book Antiqua" w:cs="Book Antiqua"/>
          <w:b/>
          <w:bCs/>
          <w:color w:val="000000"/>
        </w:rPr>
        <w:t>21</w:t>
      </w:r>
      <w:r>
        <w:rPr>
          <w:rFonts w:ascii="Book Antiqua" w:eastAsia="Book Antiqua" w:hAnsi="Book Antiqua" w:cs="Book Antiqua"/>
          <w:color w:val="000000"/>
        </w:rPr>
        <w:t>: 105-114 [PMID: 25666420 DOI: 10.1016/j.coph.2015.01.005]</w:t>
      </w:r>
    </w:p>
    <w:p w14:paraId="68C8CD89" w14:textId="77777777" w:rsidR="00ED477D" w:rsidRDefault="00000000">
      <w:pPr>
        <w:spacing w:line="360" w:lineRule="auto"/>
        <w:jc w:val="both"/>
      </w:pPr>
      <w:r>
        <w:rPr>
          <w:rFonts w:ascii="Book Antiqua" w:eastAsia="Book Antiqua" w:hAnsi="Book Antiqua" w:cs="Book Antiqua"/>
          <w:color w:val="000000"/>
        </w:rPr>
        <w:t xml:space="preserve">38 </w:t>
      </w:r>
      <w:r>
        <w:rPr>
          <w:rFonts w:ascii="Book Antiqua" w:eastAsia="Book Antiqua" w:hAnsi="Book Antiqua" w:cs="Book Antiqua"/>
          <w:b/>
          <w:bCs/>
          <w:color w:val="000000"/>
        </w:rPr>
        <w:t>Frey FJ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Odermatt</w:t>
      </w:r>
      <w:proofErr w:type="spellEnd"/>
      <w:r>
        <w:rPr>
          <w:rFonts w:ascii="Book Antiqua" w:eastAsia="Book Antiqua" w:hAnsi="Book Antiqua" w:cs="Book Antiqua"/>
          <w:color w:val="000000"/>
        </w:rPr>
        <w:t xml:space="preserve"> A, Frey BM. Glucocorticoid-mediated mineralocorticoid receptor activation and hypertension. </w:t>
      </w:r>
      <w:proofErr w:type="spellStart"/>
      <w:r>
        <w:rPr>
          <w:rFonts w:ascii="Book Antiqua" w:eastAsia="Book Antiqua" w:hAnsi="Book Antiqua" w:cs="Book Antiqua"/>
          <w:i/>
          <w:iCs/>
          <w:color w:val="000000"/>
        </w:rPr>
        <w:t>Curr</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Opin</w:t>
      </w:r>
      <w:proofErr w:type="spellEnd"/>
      <w:r>
        <w:rPr>
          <w:rFonts w:ascii="Book Antiqua" w:eastAsia="Book Antiqua" w:hAnsi="Book Antiqua" w:cs="Book Antiqua"/>
          <w:i/>
          <w:iCs/>
          <w:color w:val="000000"/>
        </w:rPr>
        <w:t xml:space="preserve"> Nephrol </w:t>
      </w:r>
      <w:proofErr w:type="spellStart"/>
      <w:r>
        <w:rPr>
          <w:rFonts w:ascii="Book Antiqua" w:eastAsia="Book Antiqua" w:hAnsi="Book Antiqua" w:cs="Book Antiqua"/>
          <w:i/>
          <w:iCs/>
          <w:color w:val="000000"/>
        </w:rPr>
        <w:t>Hypertens</w:t>
      </w:r>
      <w:proofErr w:type="spellEnd"/>
      <w:r>
        <w:rPr>
          <w:rFonts w:ascii="Book Antiqua" w:eastAsia="Book Antiqua" w:hAnsi="Book Antiqua" w:cs="Book Antiqua"/>
          <w:color w:val="000000"/>
        </w:rPr>
        <w:t xml:space="preserve"> 2004; </w:t>
      </w:r>
      <w:r>
        <w:rPr>
          <w:rFonts w:ascii="Book Antiqua" w:eastAsia="Book Antiqua" w:hAnsi="Book Antiqua" w:cs="Book Antiqua"/>
          <w:b/>
          <w:bCs/>
          <w:color w:val="000000"/>
        </w:rPr>
        <w:t>13</w:t>
      </w:r>
      <w:r>
        <w:rPr>
          <w:rFonts w:ascii="Book Antiqua" w:eastAsia="Book Antiqua" w:hAnsi="Book Antiqua" w:cs="Book Antiqua"/>
          <w:color w:val="000000"/>
        </w:rPr>
        <w:t>: 451-458 [PMID: 15199296 DOI: 10.1097/01.mnh.</w:t>
      </w:r>
      <w:proofErr w:type="gramStart"/>
      <w:r>
        <w:rPr>
          <w:rFonts w:ascii="Book Antiqua" w:eastAsia="Book Antiqua" w:hAnsi="Book Antiqua" w:cs="Book Antiqua"/>
          <w:color w:val="000000"/>
        </w:rPr>
        <w:t>0000133976.32559.b</w:t>
      </w:r>
      <w:proofErr w:type="gramEnd"/>
      <w:r>
        <w:rPr>
          <w:rFonts w:ascii="Book Antiqua" w:eastAsia="Book Antiqua" w:hAnsi="Book Antiqua" w:cs="Book Antiqua"/>
          <w:color w:val="000000"/>
        </w:rPr>
        <w:t>0]</w:t>
      </w:r>
    </w:p>
    <w:p w14:paraId="7A8201DE" w14:textId="77777777" w:rsidR="00ED477D" w:rsidRDefault="00000000">
      <w:pPr>
        <w:spacing w:line="360" w:lineRule="auto"/>
        <w:jc w:val="both"/>
      </w:pPr>
      <w:r>
        <w:rPr>
          <w:rFonts w:ascii="Book Antiqua" w:eastAsia="Book Antiqua" w:hAnsi="Book Antiqua" w:cs="Book Antiqua"/>
          <w:color w:val="000000"/>
        </w:rPr>
        <w:t xml:space="preserve">39 </w:t>
      </w:r>
      <w:r>
        <w:rPr>
          <w:rFonts w:ascii="Book Antiqua" w:eastAsia="Book Antiqua" w:hAnsi="Book Antiqua" w:cs="Book Antiqua"/>
          <w:b/>
          <w:bCs/>
          <w:color w:val="000000"/>
        </w:rPr>
        <w:t>Roberts 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Michno</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Aburima</w:t>
      </w:r>
      <w:proofErr w:type="spellEnd"/>
      <w:r>
        <w:rPr>
          <w:rFonts w:ascii="Book Antiqua" w:eastAsia="Book Antiqua" w:hAnsi="Book Antiqua" w:cs="Book Antiqua"/>
          <w:color w:val="000000"/>
        </w:rPr>
        <w:t xml:space="preserve"> A, Naseem KM. Nitric oxide inhibits von Willebrand factor-mediated platelet adhesion and spreading through regulation of integrin </w:t>
      </w:r>
      <w:proofErr w:type="gramStart"/>
      <w:r>
        <w:rPr>
          <w:rFonts w:ascii="Book Antiqua" w:eastAsia="Book Antiqua" w:hAnsi="Book Antiqua" w:cs="Book Antiqua"/>
          <w:color w:val="000000"/>
        </w:rPr>
        <w:t>alpha(</w:t>
      </w:r>
      <w:proofErr w:type="gramEnd"/>
      <w:r>
        <w:rPr>
          <w:rFonts w:ascii="Book Antiqua" w:eastAsia="Book Antiqua" w:hAnsi="Book Antiqua" w:cs="Book Antiqua"/>
          <w:color w:val="000000"/>
        </w:rPr>
        <w:t xml:space="preserve">IIb)beta(3) and myosin light chain.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Haemost</w:t>
      </w:r>
      <w:proofErr w:type="spellEnd"/>
      <w:r>
        <w:rPr>
          <w:rFonts w:ascii="Book Antiqua" w:eastAsia="Book Antiqua" w:hAnsi="Book Antiqua" w:cs="Book Antiqua"/>
          <w:color w:val="000000"/>
        </w:rPr>
        <w:t xml:space="preserve"> 2009; </w:t>
      </w:r>
      <w:r>
        <w:rPr>
          <w:rFonts w:ascii="Book Antiqua" w:eastAsia="Book Antiqua" w:hAnsi="Book Antiqua" w:cs="Book Antiqua"/>
          <w:b/>
          <w:bCs/>
          <w:color w:val="000000"/>
        </w:rPr>
        <w:t>7</w:t>
      </w:r>
      <w:r>
        <w:rPr>
          <w:rFonts w:ascii="Book Antiqua" w:eastAsia="Book Antiqua" w:hAnsi="Book Antiqua" w:cs="Book Antiqua"/>
          <w:color w:val="000000"/>
        </w:rPr>
        <w:t>: 2106-2115 [PMID: 19765213 DOI: 10.1111/j.1538-7836.</w:t>
      </w:r>
      <w:proofErr w:type="gramStart"/>
      <w:r>
        <w:rPr>
          <w:rFonts w:ascii="Book Antiqua" w:eastAsia="Book Antiqua" w:hAnsi="Book Antiqua" w:cs="Book Antiqua"/>
          <w:color w:val="000000"/>
        </w:rPr>
        <w:t>2009.03619.x</w:t>
      </w:r>
      <w:proofErr w:type="gramEnd"/>
      <w:r>
        <w:rPr>
          <w:rFonts w:ascii="Book Antiqua" w:eastAsia="Book Antiqua" w:hAnsi="Book Antiqua" w:cs="Book Antiqua"/>
          <w:color w:val="000000"/>
        </w:rPr>
        <w:t>]</w:t>
      </w:r>
    </w:p>
    <w:p w14:paraId="688EA093" w14:textId="77777777" w:rsidR="00ED477D" w:rsidRDefault="00000000">
      <w:pPr>
        <w:spacing w:line="360" w:lineRule="auto"/>
        <w:jc w:val="both"/>
      </w:pPr>
      <w:r>
        <w:rPr>
          <w:rFonts w:ascii="Book Antiqua" w:eastAsia="Book Antiqua" w:hAnsi="Book Antiqua" w:cs="Book Antiqua"/>
          <w:color w:val="000000"/>
        </w:rPr>
        <w:t xml:space="preserve">40 </w:t>
      </w:r>
      <w:proofErr w:type="spellStart"/>
      <w:r>
        <w:rPr>
          <w:rFonts w:ascii="Book Antiqua" w:eastAsia="Book Antiqua" w:hAnsi="Book Antiqua" w:cs="Book Antiqua"/>
          <w:b/>
          <w:bCs/>
          <w:color w:val="000000"/>
        </w:rPr>
        <w:t>Braune</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Küpper</w:t>
      </w:r>
      <w:proofErr w:type="spellEnd"/>
      <w:r>
        <w:rPr>
          <w:rFonts w:ascii="Book Antiqua" w:eastAsia="Book Antiqua" w:hAnsi="Book Antiqua" w:cs="Book Antiqua"/>
          <w:color w:val="000000"/>
        </w:rPr>
        <w:t xml:space="preserve"> JH, Jung F. Effect of </w:t>
      </w:r>
      <w:proofErr w:type="spellStart"/>
      <w:r>
        <w:rPr>
          <w:rFonts w:ascii="Book Antiqua" w:eastAsia="Book Antiqua" w:hAnsi="Book Antiqua" w:cs="Book Antiqua"/>
          <w:color w:val="000000"/>
        </w:rPr>
        <w:t>Prostanoids</w:t>
      </w:r>
      <w:proofErr w:type="spellEnd"/>
      <w:r>
        <w:rPr>
          <w:rFonts w:ascii="Book Antiqua" w:eastAsia="Book Antiqua" w:hAnsi="Book Antiqua" w:cs="Book Antiqua"/>
          <w:color w:val="000000"/>
        </w:rPr>
        <w:t xml:space="preserve"> on Human Platelet Function: An Overview. </w:t>
      </w:r>
      <w:r>
        <w:rPr>
          <w:rFonts w:ascii="Book Antiqua" w:eastAsia="Book Antiqua" w:hAnsi="Book Antiqua" w:cs="Book Antiqua"/>
          <w:i/>
          <w:iCs/>
          <w:color w:val="000000"/>
        </w:rPr>
        <w:t>Int J Mol Sci</w:t>
      </w:r>
      <w:r>
        <w:rPr>
          <w:rFonts w:ascii="Book Antiqua" w:eastAsia="Book Antiqua" w:hAnsi="Book Antiqua" w:cs="Book Antiqua"/>
          <w:color w:val="000000"/>
        </w:rPr>
        <w:t xml:space="preserve"> 2020; </w:t>
      </w:r>
      <w:r>
        <w:rPr>
          <w:rFonts w:ascii="Book Antiqua" w:eastAsia="Book Antiqua" w:hAnsi="Book Antiqua" w:cs="Book Antiqua"/>
          <w:b/>
          <w:bCs/>
          <w:color w:val="000000"/>
        </w:rPr>
        <w:t>21</w:t>
      </w:r>
      <w:r>
        <w:rPr>
          <w:rFonts w:ascii="Book Antiqua" w:eastAsia="Book Antiqua" w:hAnsi="Book Antiqua" w:cs="Book Antiqua"/>
          <w:color w:val="000000"/>
        </w:rPr>
        <w:t xml:space="preserve"> [PMID: 33260972 DOI: 10.3390/ijms21239020]</w:t>
      </w:r>
    </w:p>
    <w:p w14:paraId="42B31C37" w14:textId="77777777" w:rsidR="00ED477D" w:rsidRDefault="00000000">
      <w:pPr>
        <w:spacing w:line="360" w:lineRule="auto"/>
        <w:jc w:val="both"/>
      </w:pPr>
      <w:r>
        <w:rPr>
          <w:rFonts w:ascii="Book Antiqua" w:eastAsia="Book Antiqua" w:hAnsi="Book Antiqua" w:cs="Book Antiqua"/>
          <w:color w:val="000000"/>
        </w:rPr>
        <w:t xml:space="preserve">41 </w:t>
      </w:r>
      <w:r>
        <w:rPr>
          <w:rFonts w:ascii="Book Antiqua" w:eastAsia="Book Antiqua" w:hAnsi="Book Antiqua" w:cs="Book Antiqua"/>
          <w:b/>
          <w:bCs/>
          <w:color w:val="000000"/>
        </w:rPr>
        <w:t>Jones CI</w:t>
      </w:r>
      <w:r>
        <w:rPr>
          <w:rFonts w:ascii="Book Antiqua" w:eastAsia="Book Antiqua" w:hAnsi="Book Antiqua" w:cs="Book Antiqua"/>
          <w:color w:val="000000"/>
        </w:rPr>
        <w:t xml:space="preserve">, Barrett NE, </w:t>
      </w:r>
      <w:proofErr w:type="spellStart"/>
      <w:r>
        <w:rPr>
          <w:rFonts w:ascii="Book Antiqua" w:eastAsia="Book Antiqua" w:hAnsi="Book Antiqua" w:cs="Book Antiqua"/>
          <w:color w:val="000000"/>
        </w:rPr>
        <w:t>Moraes</w:t>
      </w:r>
      <w:proofErr w:type="spellEnd"/>
      <w:r>
        <w:rPr>
          <w:rFonts w:ascii="Book Antiqua" w:eastAsia="Book Antiqua" w:hAnsi="Book Antiqua" w:cs="Book Antiqua"/>
          <w:color w:val="000000"/>
        </w:rPr>
        <w:t xml:space="preserve"> LA, Gibbins JM, Jackson DE. Endogenous inhibitory mechanisms and the regulation of platelet function. </w:t>
      </w:r>
      <w:r>
        <w:rPr>
          <w:rFonts w:ascii="Book Antiqua" w:eastAsia="Book Antiqua" w:hAnsi="Book Antiqua" w:cs="Book Antiqua"/>
          <w:i/>
          <w:iCs/>
          <w:color w:val="000000"/>
        </w:rPr>
        <w:t>Methods Mol Biol</w:t>
      </w:r>
      <w:r>
        <w:rPr>
          <w:rFonts w:ascii="Book Antiqua" w:eastAsia="Book Antiqua" w:hAnsi="Book Antiqua" w:cs="Book Antiqua"/>
          <w:color w:val="000000"/>
        </w:rPr>
        <w:t xml:space="preserve"> 2012; </w:t>
      </w:r>
      <w:r>
        <w:rPr>
          <w:rFonts w:ascii="Book Antiqua" w:eastAsia="Book Antiqua" w:hAnsi="Book Antiqua" w:cs="Book Antiqua"/>
          <w:b/>
          <w:bCs/>
          <w:color w:val="000000"/>
        </w:rPr>
        <w:t>788</w:t>
      </w:r>
      <w:r>
        <w:rPr>
          <w:rFonts w:ascii="Book Antiqua" w:eastAsia="Book Antiqua" w:hAnsi="Book Antiqua" w:cs="Book Antiqua"/>
          <w:color w:val="000000"/>
        </w:rPr>
        <w:t>: 341-366 [PMID: 22130718 DOI: 10.1007/978-1-61779-307-3_23]</w:t>
      </w:r>
    </w:p>
    <w:p w14:paraId="6C4E4AA3" w14:textId="77777777" w:rsidR="00ED477D" w:rsidRDefault="00000000">
      <w:pPr>
        <w:spacing w:line="360" w:lineRule="auto"/>
        <w:jc w:val="both"/>
      </w:pPr>
      <w:r>
        <w:rPr>
          <w:rFonts w:ascii="Book Antiqua" w:eastAsia="Book Antiqua" w:hAnsi="Book Antiqua" w:cs="Book Antiqua"/>
          <w:color w:val="000000"/>
        </w:rPr>
        <w:t xml:space="preserve">42 </w:t>
      </w:r>
      <w:proofErr w:type="spellStart"/>
      <w:r>
        <w:rPr>
          <w:rFonts w:ascii="Book Antiqua" w:eastAsia="Book Antiqua" w:hAnsi="Book Antiqua" w:cs="Book Antiqua"/>
          <w:b/>
          <w:bCs/>
          <w:color w:val="000000"/>
        </w:rPr>
        <w:t>Szlendak</w:t>
      </w:r>
      <w:proofErr w:type="spellEnd"/>
      <w:r>
        <w:rPr>
          <w:rFonts w:ascii="Book Antiqua" w:eastAsia="Book Antiqua" w:hAnsi="Book Antiqua" w:cs="Book Antiqua"/>
          <w:b/>
          <w:bCs/>
          <w:color w:val="000000"/>
        </w:rPr>
        <w:t xml:space="preserve"> U</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Budziszewska</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Spychalska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Drozd-Sokołowska</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Patkowska</w:t>
      </w:r>
      <w:proofErr w:type="spellEnd"/>
      <w:r>
        <w:rPr>
          <w:rFonts w:ascii="Book Antiqua" w:eastAsia="Book Antiqua" w:hAnsi="Book Antiqua" w:cs="Book Antiqua"/>
          <w:color w:val="000000"/>
        </w:rPr>
        <w:t xml:space="preserve"> E, Nowak J. Paroxysmal nocturnal hemoglobinuria: advances in the understanding of pathophysiology, diagnosis, and treatment. </w:t>
      </w:r>
      <w:r>
        <w:rPr>
          <w:rFonts w:ascii="Book Antiqua" w:eastAsia="Book Antiqua" w:hAnsi="Book Antiqua" w:cs="Book Antiqua"/>
          <w:i/>
          <w:iCs/>
          <w:color w:val="000000"/>
        </w:rPr>
        <w:t>Pol Arch Intern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132</w:t>
      </w:r>
      <w:r>
        <w:rPr>
          <w:rFonts w:ascii="Book Antiqua" w:eastAsia="Book Antiqua" w:hAnsi="Book Antiqua" w:cs="Book Antiqua"/>
          <w:color w:val="000000"/>
        </w:rPr>
        <w:t xml:space="preserve"> [PMID: 35699625 DOI: 10.20452/pamw.16271]</w:t>
      </w:r>
    </w:p>
    <w:p w14:paraId="12923532" w14:textId="77777777" w:rsidR="00ED477D" w:rsidRDefault="00000000">
      <w:pPr>
        <w:spacing w:line="360" w:lineRule="auto"/>
        <w:jc w:val="both"/>
      </w:pPr>
      <w:r>
        <w:rPr>
          <w:rFonts w:ascii="Book Antiqua" w:eastAsia="Book Antiqua" w:hAnsi="Book Antiqua" w:cs="Book Antiqua"/>
          <w:color w:val="000000"/>
        </w:rPr>
        <w:t xml:space="preserve">43 </w:t>
      </w:r>
      <w:r>
        <w:rPr>
          <w:rFonts w:ascii="Book Antiqua" w:eastAsia="Book Antiqua" w:hAnsi="Book Antiqua" w:cs="Book Antiqua"/>
          <w:b/>
          <w:bCs/>
          <w:color w:val="000000"/>
        </w:rPr>
        <w:t>Lee JW</w:t>
      </w:r>
      <w:r>
        <w:rPr>
          <w:rFonts w:ascii="Book Antiqua" w:eastAsia="Book Antiqua" w:hAnsi="Book Antiqua" w:cs="Book Antiqua"/>
          <w:color w:val="000000"/>
        </w:rPr>
        <w:t xml:space="preserve">, Brodsky RA, Nishimura JI, </w:t>
      </w:r>
      <w:proofErr w:type="spellStart"/>
      <w:r>
        <w:rPr>
          <w:rFonts w:ascii="Book Antiqua" w:eastAsia="Book Antiqua" w:hAnsi="Book Antiqua" w:cs="Book Antiqua"/>
          <w:color w:val="000000"/>
        </w:rPr>
        <w:t>Kulasekararaj</w:t>
      </w:r>
      <w:proofErr w:type="spellEnd"/>
      <w:r>
        <w:rPr>
          <w:rFonts w:ascii="Book Antiqua" w:eastAsia="Book Antiqua" w:hAnsi="Book Antiqua" w:cs="Book Antiqua"/>
          <w:color w:val="000000"/>
        </w:rPr>
        <w:t xml:space="preserve"> AG. The role of the alternative pathway in paroxysmal nocturnal hemoglobinuria and emerging treatments. </w:t>
      </w:r>
      <w:r>
        <w:rPr>
          <w:rFonts w:ascii="Book Antiqua" w:eastAsia="Book Antiqua" w:hAnsi="Book Antiqua" w:cs="Book Antiqua"/>
          <w:i/>
          <w:iCs/>
          <w:color w:val="000000"/>
        </w:rPr>
        <w:t xml:space="preserve">Expert Rev Clin </w:t>
      </w:r>
      <w:proofErr w:type="spellStart"/>
      <w:r>
        <w:rPr>
          <w:rFonts w:ascii="Book Antiqua" w:eastAsia="Book Antiqua" w:hAnsi="Book Antiqua" w:cs="Book Antiqua"/>
          <w:i/>
          <w:iCs/>
          <w:color w:val="000000"/>
        </w:rPr>
        <w:t>Pharmacol</w:t>
      </w:r>
      <w:proofErr w:type="spellEnd"/>
      <w:r>
        <w:rPr>
          <w:rFonts w:ascii="Book Antiqua" w:eastAsia="Book Antiqua" w:hAnsi="Book Antiqua" w:cs="Book Antiqua"/>
          <w:color w:val="000000"/>
        </w:rPr>
        <w:t xml:space="preserve"> 2022; </w:t>
      </w:r>
      <w:r>
        <w:rPr>
          <w:rFonts w:ascii="Book Antiqua" w:eastAsia="Book Antiqua" w:hAnsi="Book Antiqua" w:cs="Book Antiqua"/>
          <w:b/>
          <w:bCs/>
          <w:color w:val="000000"/>
        </w:rPr>
        <w:t>15</w:t>
      </w:r>
      <w:r>
        <w:rPr>
          <w:rFonts w:ascii="Book Antiqua" w:eastAsia="Book Antiqua" w:hAnsi="Book Antiqua" w:cs="Book Antiqua"/>
          <w:color w:val="000000"/>
        </w:rPr>
        <w:t>: 851-861 [PMID: 35980222 DOI: 10.1080/17512433.2022.2109462]</w:t>
      </w:r>
    </w:p>
    <w:p w14:paraId="0E0F7AE3" w14:textId="77777777" w:rsidR="00ED477D" w:rsidRDefault="00000000">
      <w:pPr>
        <w:spacing w:line="360" w:lineRule="auto"/>
        <w:jc w:val="both"/>
      </w:pPr>
      <w:r>
        <w:rPr>
          <w:rFonts w:ascii="Book Antiqua" w:eastAsia="Book Antiqua" w:hAnsi="Book Antiqua" w:cs="Book Antiqua"/>
          <w:color w:val="000000"/>
        </w:rPr>
        <w:t xml:space="preserve">44 </w:t>
      </w:r>
      <w:proofErr w:type="spellStart"/>
      <w:r>
        <w:rPr>
          <w:rFonts w:ascii="Book Antiqua" w:eastAsia="Book Antiqua" w:hAnsi="Book Antiqua" w:cs="Book Antiqua"/>
          <w:b/>
          <w:bCs/>
          <w:color w:val="000000"/>
        </w:rPr>
        <w:t>Roldão</w:t>
      </w:r>
      <w:proofErr w:type="spellEnd"/>
      <w:r>
        <w:rPr>
          <w:rFonts w:ascii="Book Antiqua" w:eastAsia="Book Antiqua" w:hAnsi="Book Antiqua" w:cs="Book Antiqua"/>
          <w:b/>
          <w:bCs/>
          <w:color w:val="000000"/>
        </w:rPr>
        <w:t xml:space="preserve"> M</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Valério</w:t>
      </w:r>
      <w:proofErr w:type="spellEnd"/>
      <w:r>
        <w:rPr>
          <w:rFonts w:ascii="Book Antiqua" w:eastAsia="Book Antiqua" w:hAnsi="Book Antiqua" w:cs="Book Antiqua"/>
          <w:color w:val="000000"/>
        </w:rPr>
        <w:t xml:space="preserve"> Alves R, </w:t>
      </w:r>
      <w:proofErr w:type="spellStart"/>
      <w:r>
        <w:rPr>
          <w:rFonts w:ascii="Book Antiqua" w:eastAsia="Book Antiqua" w:hAnsi="Book Antiqua" w:cs="Book Antiqua"/>
          <w:color w:val="000000"/>
        </w:rPr>
        <w:t>Escoli</w:t>
      </w:r>
      <w:proofErr w:type="spellEnd"/>
      <w:r>
        <w:rPr>
          <w:rFonts w:ascii="Book Antiqua" w:eastAsia="Book Antiqua" w:hAnsi="Book Antiqua" w:cs="Book Antiqua"/>
          <w:color w:val="000000"/>
        </w:rPr>
        <w:t xml:space="preserve"> R, Gonçalves H, Lopes K. Hypertension-associated thrombotic microangiopathy in an adult patient with complement factor H autoantibodies and a rare heterozygous variant in the CFH gene. </w:t>
      </w:r>
      <w:r>
        <w:rPr>
          <w:rFonts w:ascii="Book Antiqua" w:eastAsia="Book Antiqua" w:hAnsi="Book Antiqua" w:cs="Book Antiqua"/>
          <w:i/>
          <w:iCs/>
          <w:color w:val="000000"/>
        </w:rPr>
        <w:t>Clin Nephrol</w:t>
      </w:r>
      <w:r>
        <w:rPr>
          <w:rFonts w:ascii="Book Antiqua" w:eastAsia="Book Antiqua" w:hAnsi="Book Antiqua" w:cs="Book Antiqua"/>
          <w:color w:val="000000"/>
        </w:rPr>
        <w:t xml:space="preserve"> 2021; </w:t>
      </w:r>
      <w:r>
        <w:rPr>
          <w:rFonts w:ascii="Book Antiqua" w:eastAsia="Book Antiqua" w:hAnsi="Book Antiqua" w:cs="Book Antiqua"/>
          <w:b/>
          <w:bCs/>
          <w:color w:val="000000"/>
        </w:rPr>
        <w:t>96</w:t>
      </w:r>
      <w:r>
        <w:rPr>
          <w:rFonts w:ascii="Book Antiqua" w:eastAsia="Book Antiqua" w:hAnsi="Book Antiqua" w:cs="Book Antiqua"/>
          <w:color w:val="000000"/>
        </w:rPr>
        <w:t>: 124-128 [PMID: 34032207 DOI: 10.5414/CN110416]</w:t>
      </w:r>
    </w:p>
    <w:p w14:paraId="02EA0107" w14:textId="77777777" w:rsidR="00ED477D" w:rsidRDefault="00000000">
      <w:pPr>
        <w:spacing w:line="360" w:lineRule="auto"/>
        <w:jc w:val="both"/>
      </w:pPr>
      <w:r>
        <w:rPr>
          <w:rFonts w:ascii="Book Antiqua" w:eastAsia="Book Antiqua" w:hAnsi="Book Antiqua" w:cs="Book Antiqua"/>
          <w:color w:val="000000"/>
        </w:rPr>
        <w:t xml:space="preserve">45 </w:t>
      </w:r>
      <w:proofErr w:type="spellStart"/>
      <w:r>
        <w:rPr>
          <w:rFonts w:ascii="Book Antiqua" w:eastAsia="Book Antiqua" w:hAnsi="Book Antiqua" w:cs="Book Antiqua"/>
          <w:b/>
          <w:bCs/>
          <w:color w:val="000000"/>
        </w:rPr>
        <w:t>Pinte</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Sorohan</w:t>
      </w:r>
      <w:proofErr w:type="spellEnd"/>
      <w:r>
        <w:rPr>
          <w:rFonts w:ascii="Book Antiqua" w:eastAsia="Book Antiqua" w:hAnsi="Book Antiqua" w:cs="Book Antiqua"/>
          <w:color w:val="000000"/>
        </w:rPr>
        <w:t xml:space="preserve"> BM, </w:t>
      </w:r>
      <w:proofErr w:type="spellStart"/>
      <w:r>
        <w:rPr>
          <w:rFonts w:ascii="Book Antiqua" w:eastAsia="Book Antiqua" w:hAnsi="Book Antiqua" w:cs="Book Antiqua"/>
          <w:color w:val="000000"/>
        </w:rPr>
        <w:t>Prohászka</w:t>
      </w:r>
      <w:proofErr w:type="spellEnd"/>
      <w:r>
        <w:rPr>
          <w:rFonts w:ascii="Book Antiqua" w:eastAsia="Book Antiqua" w:hAnsi="Book Antiqua" w:cs="Book Antiqua"/>
          <w:color w:val="000000"/>
        </w:rPr>
        <w:t xml:space="preserve"> Z, </w:t>
      </w:r>
      <w:proofErr w:type="spellStart"/>
      <w:r>
        <w:rPr>
          <w:rFonts w:ascii="Book Antiqua" w:eastAsia="Book Antiqua" w:hAnsi="Book Antiqua" w:cs="Book Antiqua"/>
          <w:color w:val="000000"/>
        </w:rPr>
        <w:t>Gherghiceanu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Băicuş</w:t>
      </w:r>
      <w:proofErr w:type="spellEnd"/>
      <w:r>
        <w:rPr>
          <w:rFonts w:ascii="Book Antiqua" w:eastAsia="Book Antiqua" w:hAnsi="Book Antiqua" w:cs="Book Antiqua"/>
          <w:color w:val="000000"/>
        </w:rPr>
        <w:t xml:space="preserve"> C. COVID-19: a trigger for severe thrombotic microangiopathy in a patient with complement gene variant. </w:t>
      </w:r>
      <w:r>
        <w:rPr>
          <w:rFonts w:ascii="Book Antiqua" w:eastAsia="Book Antiqua" w:hAnsi="Book Antiqua" w:cs="Book Antiqua"/>
          <w:i/>
          <w:iCs/>
          <w:color w:val="000000"/>
        </w:rPr>
        <w:t>Rom J Intern Med</w:t>
      </w:r>
      <w:r>
        <w:rPr>
          <w:rFonts w:ascii="Book Antiqua" w:eastAsia="Book Antiqua" w:hAnsi="Book Antiqua" w:cs="Book Antiqua"/>
          <w:color w:val="000000"/>
        </w:rPr>
        <w:t xml:space="preserve"> 2022; </w:t>
      </w:r>
      <w:r>
        <w:rPr>
          <w:rFonts w:ascii="Book Antiqua" w:eastAsia="Book Antiqua" w:hAnsi="Book Antiqua" w:cs="Book Antiqua"/>
          <w:b/>
          <w:bCs/>
          <w:color w:val="000000"/>
        </w:rPr>
        <w:t>60</w:t>
      </w:r>
      <w:r>
        <w:rPr>
          <w:rFonts w:ascii="Book Antiqua" w:eastAsia="Book Antiqua" w:hAnsi="Book Antiqua" w:cs="Book Antiqua"/>
          <w:color w:val="000000"/>
        </w:rPr>
        <w:t>: 138-142 [PMID: 34997957 DOI: 10.2478/rjim-2021-0040]</w:t>
      </w:r>
    </w:p>
    <w:p w14:paraId="6636239C" w14:textId="77777777" w:rsidR="00ED477D" w:rsidRDefault="00000000">
      <w:pPr>
        <w:spacing w:line="360" w:lineRule="auto"/>
        <w:jc w:val="both"/>
      </w:pPr>
      <w:r>
        <w:rPr>
          <w:rFonts w:ascii="Book Antiqua" w:eastAsia="Book Antiqua" w:hAnsi="Book Antiqua" w:cs="Book Antiqua"/>
          <w:color w:val="000000"/>
        </w:rPr>
        <w:lastRenderedPageBreak/>
        <w:t xml:space="preserve">46 </w:t>
      </w:r>
      <w:r>
        <w:rPr>
          <w:rFonts w:ascii="Book Antiqua" w:eastAsia="Book Antiqua" w:hAnsi="Book Antiqua" w:cs="Book Antiqua"/>
          <w:b/>
          <w:bCs/>
          <w:color w:val="000000"/>
        </w:rPr>
        <w:t>Morrow JD</w:t>
      </w:r>
      <w:r>
        <w:rPr>
          <w:rFonts w:ascii="Book Antiqua" w:eastAsia="Book Antiqua" w:hAnsi="Book Antiqua" w:cs="Book Antiqua"/>
          <w:color w:val="000000"/>
        </w:rPr>
        <w:t xml:space="preserve">, Parsons WG 3rd, Roberts LJ 2nd. Release of markedly increased quantities of prostaglandin D2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in humans following the administration of nicotinic acid. </w:t>
      </w:r>
      <w:r>
        <w:rPr>
          <w:rFonts w:ascii="Book Antiqua" w:eastAsia="Book Antiqua" w:hAnsi="Book Antiqua" w:cs="Book Antiqua"/>
          <w:i/>
          <w:iCs/>
          <w:color w:val="000000"/>
        </w:rPr>
        <w:t>Prostaglandins</w:t>
      </w:r>
      <w:r>
        <w:rPr>
          <w:rFonts w:ascii="Book Antiqua" w:eastAsia="Book Antiqua" w:hAnsi="Book Antiqua" w:cs="Book Antiqua"/>
          <w:color w:val="000000"/>
        </w:rPr>
        <w:t xml:space="preserve"> 1989; </w:t>
      </w:r>
      <w:r>
        <w:rPr>
          <w:rFonts w:ascii="Book Antiqua" w:eastAsia="Book Antiqua" w:hAnsi="Book Antiqua" w:cs="Book Antiqua"/>
          <w:b/>
          <w:bCs/>
          <w:color w:val="000000"/>
        </w:rPr>
        <w:t>38</w:t>
      </w:r>
      <w:r>
        <w:rPr>
          <w:rFonts w:ascii="Book Antiqua" w:eastAsia="Book Antiqua" w:hAnsi="Book Antiqua" w:cs="Book Antiqua"/>
          <w:color w:val="000000"/>
        </w:rPr>
        <w:t>: 263-274 [PMID: 2475889 DOI: 10.1016/0090-6980(89)90088-9]</w:t>
      </w:r>
    </w:p>
    <w:p w14:paraId="46010F1C" w14:textId="77777777" w:rsidR="00ED477D" w:rsidRDefault="00000000">
      <w:pPr>
        <w:spacing w:line="360" w:lineRule="auto"/>
        <w:jc w:val="both"/>
      </w:pPr>
      <w:r>
        <w:rPr>
          <w:rFonts w:ascii="Book Antiqua" w:eastAsia="Book Antiqua" w:hAnsi="Book Antiqua" w:cs="Book Antiqua"/>
          <w:color w:val="000000"/>
        </w:rPr>
        <w:t xml:space="preserve">47 </w:t>
      </w:r>
      <w:r>
        <w:rPr>
          <w:rFonts w:ascii="Book Antiqua" w:eastAsia="Book Antiqua" w:hAnsi="Book Antiqua" w:cs="Book Antiqua"/>
          <w:b/>
          <w:bCs/>
          <w:color w:val="000000"/>
        </w:rPr>
        <w:t xml:space="preserve">van </w:t>
      </w:r>
      <w:proofErr w:type="spellStart"/>
      <w:r>
        <w:rPr>
          <w:rFonts w:ascii="Book Antiqua" w:eastAsia="Book Antiqua" w:hAnsi="Book Antiqua" w:cs="Book Antiqua"/>
          <w:b/>
          <w:bCs/>
          <w:color w:val="000000"/>
        </w:rPr>
        <w:t>Wyk</w:t>
      </w:r>
      <w:proofErr w:type="spellEnd"/>
      <w:r>
        <w:rPr>
          <w:rFonts w:ascii="Book Antiqua" w:eastAsia="Book Antiqua" w:hAnsi="Book Antiqua" w:cs="Book Antiqua"/>
          <w:b/>
          <w:bCs/>
          <w:color w:val="000000"/>
        </w:rPr>
        <w:t xml:space="preserve"> V</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Luus</w:t>
      </w:r>
      <w:proofErr w:type="spellEnd"/>
      <w:r>
        <w:rPr>
          <w:rFonts w:ascii="Book Antiqua" w:eastAsia="Book Antiqua" w:hAnsi="Book Antiqua" w:cs="Book Antiqua"/>
          <w:color w:val="000000"/>
        </w:rPr>
        <w:t xml:space="preserve"> HG, </w:t>
      </w:r>
      <w:proofErr w:type="spellStart"/>
      <w:r>
        <w:rPr>
          <w:rFonts w:ascii="Book Antiqua" w:eastAsia="Book Antiqua" w:hAnsi="Book Antiqua" w:cs="Book Antiqua"/>
          <w:color w:val="000000"/>
        </w:rPr>
        <w:t>Heyns</w:t>
      </w:r>
      <w:proofErr w:type="spellEnd"/>
      <w:r>
        <w:rPr>
          <w:rFonts w:ascii="Book Antiqua" w:eastAsia="Book Antiqua" w:hAnsi="Book Antiqua" w:cs="Book Antiqua"/>
          <w:color w:val="000000"/>
        </w:rPr>
        <w:t xml:space="preserve"> AD. The </w:t>
      </w:r>
      <w:r>
        <w:rPr>
          <w:rFonts w:ascii="Book Antiqua" w:eastAsia="Book Antiqua" w:hAnsi="Book Antiqua" w:cs="Book Antiqua"/>
          <w:i/>
          <w:iCs/>
          <w:color w:val="000000"/>
        </w:rPr>
        <w:t>in vivo</w:t>
      </w:r>
      <w:r>
        <w:rPr>
          <w:rFonts w:ascii="Book Antiqua" w:eastAsia="Book Antiqua" w:hAnsi="Book Antiqua" w:cs="Book Antiqua"/>
          <w:color w:val="000000"/>
        </w:rPr>
        <w:t xml:space="preserve"> effect in humans of pyridoxal-5'-phosphate on platelet function and blood coagulation. </w:t>
      </w:r>
      <w:proofErr w:type="spellStart"/>
      <w:r>
        <w:rPr>
          <w:rFonts w:ascii="Book Antiqua" w:eastAsia="Book Antiqua" w:hAnsi="Book Antiqua" w:cs="Book Antiqua"/>
          <w:i/>
          <w:iCs/>
          <w:color w:val="000000"/>
        </w:rPr>
        <w:t>Thromb</w:t>
      </w:r>
      <w:proofErr w:type="spellEnd"/>
      <w:r>
        <w:rPr>
          <w:rFonts w:ascii="Book Antiqua" w:eastAsia="Book Antiqua" w:hAnsi="Book Antiqua" w:cs="Book Antiqua"/>
          <w:i/>
          <w:iCs/>
          <w:color w:val="000000"/>
        </w:rPr>
        <w:t xml:space="preserve"> Res</w:t>
      </w:r>
      <w:r>
        <w:rPr>
          <w:rFonts w:ascii="Book Antiqua" w:eastAsia="Book Antiqua" w:hAnsi="Book Antiqua" w:cs="Book Antiqua"/>
          <w:color w:val="000000"/>
        </w:rPr>
        <w:t xml:space="preserve"> 1992; </w:t>
      </w:r>
      <w:r>
        <w:rPr>
          <w:rFonts w:ascii="Book Antiqua" w:eastAsia="Book Antiqua" w:hAnsi="Book Antiqua" w:cs="Book Antiqua"/>
          <w:b/>
          <w:bCs/>
          <w:color w:val="000000"/>
        </w:rPr>
        <w:t>66</w:t>
      </w:r>
      <w:r>
        <w:rPr>
          <w:rFonts w:ascii="Book Antiqua" w:eastAsia="Book Antiqua" w:hAnsi="Book Antiqua" w:cs="Book Antiqua"/>
          <w:color w:val="000000"/>
        </w:rPr>
        <w:t>: 657-668 [PMID: 1519226 DOI: 10.1016/0049-3848(92)90042-9]</w:t>
      </w:r>
    </w:p>
    <w:p w14:paraId="31AD842F" w14:textId="77777777" w:rsidR="00ED477D" w:rsidRDefault="00ED477D">
      <w:pPr>
        <w:spacing w:line="360" w:lineRule="auto"/>
        <w:jc w:val="both"/>
      </w:pPr>
    </w:p>
    <w:p w14:paraId="790A07AF" w14:textId="77777777" w:rsidR="00ED477D" w:rsidRDefault="00000000">
      <w:pPr>
        <w:spacing w:line="360" w:lineRule="auto"/>
        <w:jc w:val="both"/>
      </w:pPr>
      <w:r>
        <w:rPr>
          <w:rFonts w:ascii="Book Antiqua" w:eastAsia="Book Antiqua" w:hAnsi="Book Antiqua" w:cs="Book Antiqua"/>
          <w:b/>
          <w:color w:val="000000"/>
        </w:rPr>
        <w:t>Footnotes</w:t>
      </w:r>
    </w:p>
    <w:p w14:paraId="10D5ACA7" w14:textId="77777777" w:rsidR="00ED477D" w:rsidRDefault="00000000">
      <w:pPr>
        <w:spacing w:line="360" w:lineRule="auto"/>
        <w:jc w:val="both"/>
      </w:pPr>
      <w:r>
        <w:rPr>
          <w:rFonts w:ascii="Book Antiqua" w:eastAsia="Book Antiqua" w:hAnsi="Book Antiqua" w:cs="Book Antiqua"/>
          <w:b/>
          <w:bCs/>
          <w:color w:val="000000"/>
        </w:rPr>
        <w:t xml:space="preserve">Informed consent statement: </w:t>
      </w:r>
      <w:r>
        <w:rPr>
          <w:rFonts w:ascii="Book Antiqua" w:eastAsia="Book Antiqua" w:hAnsi="Book Antiqua" w:cs="Book Antiqua"/>
          <w:color w:val="000000"/>
        </w:rPr>
        <w:t>Informed written consent was obtained from the patient for publishing this case report and any accompanying laboratory data.</w:t>
      </w:r>
    </w:p>
    <w:p w14:paraId="704D41AE" w14:textId="77777777" w:rsidR="00ED477D" w:rsidRDefault="00ED477D">
      <w:pPr>
        <w:spacing w:line="360" w:lineRule="auto"/>
        <w:jc w:val="both"/>
      </w:pPr>
    </w:p>
    <w:p w14:paraId="5EDDA732" w14:textId="77777777" w:rsidR="00ED477D" w:rsidRDefault="00000000">
      <w:pPr>
        <w:spacing w:line="360" w:lineRule="auto"/>
        <w:jc w:val="both"/>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rPr>
        <w:t>The authors have no conflicts of interest to declare that are relevant to the content of this article.</w:t>
      </w:r>
    </w:p>
    <w:p w14:paraId="78641415" w14:textId="77777777" w:rsidR="00ED477D" w:rsidRDefault="00ED477D">
      <w:pPr>
        <w:spacing w:line="360" w:lineRule="auto"/>
        <w:jc w:val="both"/>
      </w:pPr>
    </w:p>
    <w:p w14:paraId="3263718D" w14:textId="77777777" w:rsidR="00ED477D" w:rsidRDefault="00000000">
      <w:pPr>
        <w:spacing w:line="360" w:lineRule="auto"/>
        <w:jc w:val="both"/>
      </w:pPr>
      <w:r>
        <w:rPr>
          <w:rFonts w:ascii="Book Antiqua" w:eastAsia="Book Antiqua" w:hAnsi="Book Antiqua" w:cs="Book Antiqua"/>
          <w:b/>
          <w:bCs/>
          <w:color w:val="000000"/>
        </w:rPr>
        <w:t xml:space="preserve">CARE Checklist (2016) statement: </w:t>
      </w:r>
      <w:r>
        <w:rPr>
          <w:rFonts w:ascii="Book Antiqua" w:eastAsia="Book Antiqua" w:hAnsi="Book Antiqua" w:cs="Book Antiqua"/>
          <w:color w:val="000000"/>
        </w:rPr>
        <w:t>The authors have read the CARE Checklist (2016), and the manuscript was prepared and revised according to the CARE Checklist (2016).</w:t>
      </w:r>
    </w:p>
    <w:p w14:paraId="2C07F4E2" w14:textId="77777777" w:rsidR="00ED477D" w:rsidRDefault="00ED477D">
      <w:pPr>
        <w:spacing w:line="360" w:lineRule="auto"/>
        <w:jc w:val="both"/>
      </w:pPr>
    </w:p>
    <w:p w14:paraId="484A4097" w14:textId="77777777" w:rsidR="00ED477D" w:rsidRDefault="00000000">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license (CC BY-NC 4.0), which permits others to distribute, remix, adapt, build upon this work </w:t>
      </w:r>
      <w:proofErr w:type="gramStart"/>
      <w:r>
        <w:rPr>
          <w:rFonts w:ascii="Book Antiqua" w:eastAsia="Book Antiqua" w:hAnsi="Book Antiqua" w:cs="Book Antiqua"/>
          <w:color w:val="000000"/>
        </w:rPr>
        <w:t>noncommercially</w:t>
      </w:r>
      <w:proofErr w:type="gramEnd"/>
      <w:r>
        <w:rPr>
          <w:rFonts w:ascii="Book Antiqua" w:eastAsia="Book Antiqua" w:hAnsi="Book Antiqua" w:cs="Book Antiqua"/>
          <w:color w:val="000000"/>
        </w:rPr>
        <w:t xml:space="preserve"> and license their derivative works on different terms, provided the original work is properly cited and the use is noncommercial. Please see https://creativecommons.org/Licenses/bync/4.0/.</w:t>
      </w:r>
    </w:p>
    <w:p w14:paraId="639CCD6D" w14:textId="77777777" w:rsidR="00ED477D" w:rsidRDefault="00ED477D">
      <w:pPr>
        <w:spacing w:line="360" w:lineRule="auto"/>
        <w:jc w:val="both"/>
      </w:pPr>
    </w:p>
    <w:p w14:paraId="1181B002" w14:textId="77777777" w:rsidR="00ED477D" w:rsidRDefault="00000000">
      <w:pPr>
        <w:spacing w:line="360" w:lineRule="auto"/>
        <w:jc w:val="both"/>
      </w:pPr>
      <w:r>
        <w:rPr>
          <w:rFonts w:ascii="Book Antiqua" w:eastAsia="Book Antiqua" w:hAnsi="Book Antiqua" w:cs="Book Antiqua"/>
          <w:b/>
          <w:color w:val="000000"/>
        </w:rPr>
        <w:t xml:space="preserve">Provenance and peer review: </w:t>
      </w:r>
      <w:r>
        <w:rPr>
          <w:rFonts w:ascii="Book Antiqua" w:eastAsia="Book Antiqua" w:hAnsi="Book Antiqua" w:cs="Book Antiqua"/>
          <w:color w:val="000000"/>
        </w:rPr>
        <w:t>Unsolicited article; externally peer reviewed.</w:t>
      </w:r>
    </w:p>
    <w:p w14:paraId="3749F54C" w14:textId="77777777" w:rsidR="00ED477D" w:rsidRDefault="00000000">
      <w:pPr>
        <w:spacing w:line="360" w:lineRule="auto"/>
        <w:jc w:val="both"/>
      </w:pPr>
      <w:r>
        <w:rPr>
          <w:rFonts w:ascii="Book Antiqua" w:eastAsia="Book Antiqua" w:hAnsi="Book Antiqua" w:cs="Book Antiqua"/>
          <w:b/>
          <w:color w:val="000000"/>
        </w:rPr>
        <w:t xml:space="preserve">Peer-review model: </w:t>
      </w:r>
      <w:r>
        <w:rPr>
          <w:rFonts w:ascii="Book Antiqua" w:eastAsia="Book Antiqua" w:hAnsi="Book Antiqua" w:cs="Book Antiqua"/>
          <w:color w:val="000000"/>
        </w:rPr>
        <w:t>Single blind</w:t>
      </w:r>
    </w:p>
    <w:p w14:paraId="2B5443C5" w14:textId="77777777" w:rsidR="00ED477D" w:rsidRDefault="00ED477D">
      <w:pPr>
        <w:spacing w:line="360" w:lineRule="auto"/>
        <w:jc w:val="both"/>
      </w:pPr>
    </w:p>
    <w:p w14:paraId="5AB8AA44" w14:textId="77777777" w:rsidR="00ED477D" w:rsidRDefault="00000000">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November 7, 2022</w:t>
      </w:r>
    </w:p>
    <w:p w14:paraId="7968DA67" w14:textId="77777777" w:rsidR="00ED477D" w:rsidRDefault="00000000">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November 25, 2022</w:t>
      </w:r>
    </w:p>
    <w:p w14:paraId="468F8A3E" w14:textId="77777777" w:rsidR="00ED477D" w:rsidRDefault="00000000">
      <w:pPr>
        <w:spacing w:line="360" w:lineRule="auto"/>
        <w:jc w:val="both"/>
      </w:pPr>
      <w:r>
        <w:rPr>
          <w:rFonts w:ascii="Book Antiqua" w:eastAsia="Book Antiqua" w:hAnsi="Book Antiqua" w:cs="Book Antiqua"/>
          <w:b/>
          <w:color w:val="000000"/>
        </w:rPr>
        <w:lastRenderedPageBreak/>
        <w:t>Article in press:</w:t>
      </w:r>
    </w:p>
    <w:p w14:paraId="0BB74ADD" w14:textId="77777777" w:rsidR="00ED477D" w:rsidRDefault="00ED477D">
      <w:pPr>
        <w:spacing w:line="360" w:lineRule="auto"/>
        <w:jc w:val="both"/>
      </w:pPr>
    </w:p>
    <w:p w14:paraId="11BFA7B3" w14:textId="77777777" w:rsidR="00ED477D" w:rsidRDefault="00000000">
      <w:pPr>
        <w:spacing w:line="360" w:lineRule="auto"/>
        <w:jc w:val="both"/>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Hematology</w:t>
      </w:r>
    </w:p>
    <w:p w14:paraId="00914656" w14:textId="77777777" w:rsidR="00ED477D" w:rsidRDefault="00000000">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60440F95" w14:textId="77777777" w:rsidR="00ED477D" w:rsidRDefault="00000000">
      <w:pPr>
        <w:spacing w:line="360" w:lineRule="auto"/>
        <w:jc w:val="both"/>
      </w:pPr>
      <w:r>
        <w:rPr>
          <w:rFonts w:ascii="Book Antiqua" w:eastAsia="Book Antiqua" w:hAnsi="Book Antiqua" w:cs="Book Antiqua"/>
          <w:b/>
          <w:color w:val="000000"/>
        </w:rPr>
        <w:t>Peer-review report’s scientific quality classification</w:t>
      </w:r>
    </w:p>
    <w:p w14:paraId="2E16A5C4" w14:textId="77777777" w:rsidR="00ED477D" w:rsidRDefault="00000000">
      <w:pPr>
        <w:spacing w:line="360" w:lineRule="auto"/>
        <w:jc w:val="both"/>
      </w:pPr>
      <w:r>
        <w:rPr>
          <w:rFonts w:ascii="Book Antiqua" w:eastAsia="Book Antiqua" w:hAnsi="Book Antiqua" w:cs="Book Antiqua"/>
          <w:color w:val="000000"/>
        </w:rPr>
        <w:t>Grade A (Excellent): 0</w:t>
      </w:r>
    </w:p>
    <w:p w14:paraId="35E21EF4" w14:textId="77777777" w:rsidR="00ED477D" w:rsidRDefault="00000000">
      <w:pPr>
        <w:spacing w:line="360" w:lineRule="auto"/>
        <w:jc w:val="both"/>
      </w:pPr>
      <w:r>
        <w:rPr>
          <w:rFonts w:ascii="Book Antiqua" w:eastAsia="Book Antiqua" w:hAnsi="Book Antiqua" w:cs="Book Antiqua"/>
          <w:color w:val="000000"/>
        </w:rPr>
        <w:t>Grade B (Very good): 0</w:t>
      </w:r>
    </w:p>
    <w:p w14:paraId="3ECA4CCF" w14:textId="77777777" w:rsidR="00ED477D" w:rsidRDefault="00000000">
      <w:pPr>
        <w:spacing w:line="360" w:lineRule="auto"/>
        <w:jc w:val="both"/>
      </w:pPr>
      <w:r>
        <w:rPr>
          <w:rFonts w:ascii="Book Antiqua" w:eastAsia="Book Antiqua" w:hAnsi="Book Antiqua" w:cs="Book Antiqua"/>
          <w:color w:val="000000"/>
        </w:rPr>
        <w:t>Grade C (Good): C</w:t>
      </w:r>
    </w:p>
    <w:p w14:paraId="71F176B1" w14:textId="77777777" w:rsidR="00ED477D" w:rsidRDefault="00000000">
      <w:pPr>
        <w:spacing w:line="360" w:lineRule="auto"/>
        <w:jc w:val="both"/>
      </w:pPr>
      <w:r>
        <w:rPr>
          <w:rFonts w:ascii="Book Antiqua" w:eastAsia="Book Antiqua" w:hAnsi="Book Antiqua" w:cs="Book Antiqua"/>
          <w:color w:val="000000"/>
        </w:rPr>
        <w:t>Grade D (Fair): D</w:t>
      </w:r>
    </w:p>
    <w:p w14:paraId="576347CE" w14:textId="77777777" w:rsidR="00ED477D" w:rsidRDefault="00000000">
      <w:pPr>
        <w:spacing w:line="360" w:lineRule="auto"/>
        <w:jc w:val="both"/>
      </w:pPr>
      <w:r>
        <w:rPr>
          <w:rFonts w:ascii="Book Antiqua" w:eastAsia="Book Antiqua" w:hAnsi="Book Antiqua" w:cs="Book Antiqua"/>
          <w:color w:val="000000"/>
        </w:rPr>
        <w:t>Grade E (Poor): 0</w:t>
      </w:r>
    </w:p>
    <w:p w14:paraId="16C68C12" w14:textId="77777777" w:rsidR="00ED477D" w:rsidRDefault="00ED477D">
      <w:pPr>
        <w:spacing w:line="360" w:lineRule="auto"/>
        <w:jc w:val="both"/>
      </w:pPr>
    </w:p>
    <w:p w14:paraId="24C9FC76" w14:textId="6FF6F3FA" w:rsidR="00ED477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Barik R, India; Tajiri K, Japan</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M</w:t>
      </w:r>
      <w:r>
        <w:rPr>
          <w:rFonts w:ascii="Book Antiqua" w:hAnsi="Book Antiqua" w:cs="Book Antiqua"/>
          <w:bCs/>
          <w:color w:val="000000"/>
          <w:lang w:eastAsia="zh-CN"/>
        </w:rPr>
        <w:t>a</w:t>
      </w:r>
      <w:r>
        <w:rPr>
          <w:rFonts w:ascii="Book Antiqua" w:eastAsia="Book Antiqua" w:hAnsi="Book Antiqua" w:cs="Book Antiqua"/>
          <w:bCs/>
          <w:color w:val="000000"/>
        </w:rPr>
        <w:t xml:space="preserve"> YJ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Filipodia</w:t>
      </w:r>
      <w:r>
        <w:rPr>
          <w:rFonts w:ascii="Book Antiqua" w:eastAsia="Book Antiqua" w:hAnsi="Book Antiqua" w:cs="Book Antiqua"/>
          <w:b/>
          <w:color w:val="000000"/>
        </w:rPr>
        <w:t xml:space="preserve"> P-Editor:</w:t>
      </w:r>
      <w:r>
        <w:rPr>
          <w:rFonts w:ascii="Book Antiqua" w:eastAsia="Book Antiqua" w:hAnsi="Book Antiqua" w:cs="Book Antiqua"/>
          <w:bCs/>
          <w:color w:val="000000"/>
        </w:rPr>
        <w:t xml:space="preserve"> M</w:t>
      </w:r>
      <w:r>
        <w:rPr>
          <w:rFonts w:ascii="Book Antiqua" w:hAnsi="Book Antiqua" w:cs="Book Antiqua"/>
          <w:bCs/>
          <w:color w:val="000000"/>
          <w:lang w:eastAsia="zh-CN"/>
        </w:rPr>
        <w:t>a</w:t>
      </w:r>
      <w:r>
        <w:rPr>
          <w:rFonts w:ascii="Book Antiqua" w:eastAsia="Book Antiqua" w:hAnsi="Book Antiqua" w:cs="Book Antiqua"/>
          <w:bCs/>
          <w:color w:val="000000"/>
        </w:rPr>
        <w:t xml:space="preserve"> YJ</w:t>
      </w:r>
    </w:p>
    <w:p w14:paraId="73E70CB0" w14:textId="77777777" w:rsidR="00ED477D" w:rsidRDefault="00ED477D">
      <w:pPr>
        <w:spacing w:line="360" w:lineRule="auto"/>
        <w:jc w:val="both"/>
        <w:rPr>
          <w:rFonts w:ascii="Book Antiqua" w:eastAsia="Book Antiqua" w:hAnsi="Book Antiqua" w:cs="Book Antiqua"/>
          <w:b/>
          <w:color w:val="000000"/>
        </w:rPr>
      </w:pPr>
    </w:p>
    <w:p w14:paraId="01DEA345" w14:textId="77777777" w:rsidR="00ED477D"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Figure Legends</w:t>
      </w:r>
    </w:p>
    <w:p w14:paraId="552A2DC3" w14:textId="77777777" w:rsidR="00ED477D" w:rsidRDefault="00000000">
      <w:pPr>
        <w:spacing w:line="360" w:lineRule="auto"/>
        <w:jc w:val="both"/>
      </w:pPr>
      <w:r>
        <w:rPr>
          <w:noProof/>
        </w:rPr>
        <w:drawing>
          <wp:inline distT="0" distB="0" distL="0" distR="0" wp14:anchorId="6254EEB9" wp14:editId="6F5712DC">
            <wp:extent cx="5796915" cy="307657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5802460" cy="3079870"/>
                    </a:xfrm>
                    <a:prstGeom prst="rect">
                      <a:avLst/>
                    </a:prstGeom>
                    <a:noFill/>
                    <a:ln>
                      <a:noFill/>
                    </a:ln>
                  </pic:spPr>
                </pic:pic>
              </a:graphicData>
            </a:graphic>
          </wp:inline>
        </w:drawing>
      </w:r>
    </w:p>
    <w:p w14:paraId="4E2A6550" w14:textId="09F6F656" w:rsidR="00ED477D"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Figure 1 Morphological examination of marrow and blood smears</w:t>
      </w:r>
      <w:r w:rsidRPr="002528E7">
        <w:rPr>
          <w:rFonts w:ascii="Book Antiqua" w:eastAsia="Book Antiqua" w:hAnsi="Book Antiqua" w:cs="Book Antiqua"/>
          <w:b/>
          <w:bCs/>
          <w:color w:val="000000"/>
        </w:rPr>
        <w:t>.</w:t>
      </w:r>
      <w:r>
        <w:rPr>
          <w:rFonts w:ascii="Book Antiqua" w:eastAsia="Book Antiqua" w:hAnsi="Book Antiqua" w:cs="Book Antiqua"/>
          <w:color w:val="000000"/>
        </w:rPr>
        <w:t xml:space="preserve"> A: Marrow smears showed significantly increased cellularity with an increased percentage of erythroid progenitors in the absence of evident dysplasia. The number of megakaryocytes was </w:t>
      </w:r>
      <w:r>
        <w:rPr>
          <w:rFonts w:ascii="Book Antiqua" w:eastAsia="Book Antiqua" w:hAnsi="Book Antiqua" w:cs="Book Antiqua"/>
          <w:color w:val="000000"/>
        </w:rPr>
        <w:lastRenderedPageBreak/>
        <w:t xml:space="preserve">within the normal level without immature and dysplastic features; B: Blood smears revealed the presence of a small number of </w:t>
      </w:r>
      <w:r>
        <w:rPr>
          <w:rFonts w:ascii="Book Antiqua" w:eastAsia="Book Antiqua" w:hAnsi="Book Antiqua" w:cs="Book Antiqua"/>
          <w:color w:val="000000"/>
          <w:shd w:val="clear" w:color="auto" w:fill="FFFFFF"/>
        </w:rPr>
        <w:t>schistocytes (orange arrows),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dacryocytes</w:t>
      </w:r>
      <w:proofErr w:type="spellEnd"/>
      <w:r>
        <w:rPr>
          <w:rFonts w:ascii="Book Antiqua" w:eastAsia="Book Antiqua" w:hAnsi="Book Antiqua" w:cs="Book Antiqua"/>
          <w:color w:val="000000"/>
        </w:rPr>
        <w:t xml:space="preserve"> </w:t>
      </w:r>
      <w:r>
        <w:rPr>
          <w:rFonts w:ascii="Book Antiqua" w:eastAsia="Book Antiqua" w:hAnsi="Book Antiqua" w:cs="Book Antiqua"/>
          <w:color w:val="000000"/>
          <w:shd w:val="clear" w:color="auto" w:fill="FFFFFF"/>
        </w:rPr>
        <w:t xml:space="preserve">(yellow arrows), </w:t>
      </w:r>
      <w:r>
        <w:rPr>
          <w:rFonts w:ascii="Book Antiqua" w:eastAsia="Book Antiqua" w:hAnsi="Book Antiqua" w:cs="Book Antiqua"/>
          <w:color w:val="000000"/>
        </w:rPr>
        <w:t xml:space="preserve">acanthocytes </w:t>
      </w:r>
      <w:r>
        <w:rPr>
          <w:rFonts w:ascii="Book Antiqua" w:eastAsia="Book Antiqua" w:hAnsi="Book Antiqua" w:cs="Book Antiqua"/>
          <w:color w:val="000000"/>
          <w:shd w:val="clear" w:color="auto" w:fill="FFFFFF"/>
        </w:rPr>
        <w:t xml:space="preserve">(purple arrows) </w:t>
      </w:r>
      <w:r>
        <w:rPr>
          <w:rFonts w:ascii="Book Antiqua" w:eastAsia="Book Antiqua" w:hAnsi="Book Antiqua" w:cs="Book Antiqua"/>
          <w:color w:val="000000"/>
        </w:rPr>
        <w:t>and target cells (blue arrows)</w:t>
      </w:r>
      <w:r>
        <w:rPr>
          <w:rFonts w:ascii="Book Antiqua" w:eastAsia="Book Antiqua" w:hAnsi="Book Antiqua" w:cs="Book Antiqua"/>
          <w:color w:val="000000"/>
          <w:shd w:val="clear" w:color="auto" w:fill="FFFFFF"/>
        </w:rPr>
        <w:t>, confirming the existence of microangiopathic hemolysis</w:t>
      </w:r>
      <w:r>
        <w:rPr>
          <w:rFonts w:ascii="Book Antiqua" w:eastAsia="Book Antiqua" w:hAnsi="Book Antiqua" w:cs="Book Antiqua"/>
          <w:color w:val="000000"/>
        </w:rPr>
        <w:t>. Platelets were visualized rarely.</w:t>
      </w:r>
    </w:p>
    <w:p w14:paraId="4B7D85E1" w14:textId="77777777" w:rsidR="00ED477D" w:rsidRDefault="00ED477D">
      <w:pPr>
        <w:spacing w:line="360" w:lineRule="auto"/>
        <w:jc w:val="both"/>
      </w:pPr>
    </w:p>
    <w:p w14:paraId="2985DE15" w14:textId="77777777" w:rsidR="00ED477D" w:rsidRDefault="00000000">
      <w:pPr>
        <w:spacing w:line="360" w:lineRule="auto"/>
        <w:jc w:val="both"/>
      </w:pPr>
      <w:r>
        <w:rPr>
          <w:noProof/>
        </w:rPr>
        <w:drawing>
          <wp:inline distT="0" distB="0" distL="0" distR="0" wp14:anchorId="7A7B7216" wp14:editId="6CD4B30C">
            <wp:extent cx="5826125" cy="33235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5826125" cy="3323590"/>
                    </a:xfrm>
                    <a:prstGeom prst="rect">
                      <a:avLst/>
                    </a:prstGeom>
                    <a:noFill/>
                    <a:ln>
                      <a:noFill/>
                    </a:ln>
                  </pic:spPr>
                </pic:pic>
              </a:graphicData>
            </a:graphic>
          </wp:inline>
        </w:drawing>
      </w:r>
    </w:p>
    <w:p w14:paraId="0FA5A133" w14:textId="77777777" w:rsidR="00ED477D" w:rsidRDefault="00000000">
      <w:pPr>
        <w:spacing w:line="360" w:lineRule="auto"/>
        <w:jc w:val="both"/>
      </w:pPr>
      <w:r>
        <w:rPr>
          <w:rFonts w:ascii="Book Antiqua" w:eastAsia="Book Antiqua" w:hAnsi="Book Antiqua" w:cs="Book Antiqua"/>
          <w:b/>
          <w:bCs/>
          <w:color w:val="000000"/>
        </w:rPr>
        <w:t xml:space="preserve">Figure 2 Sequential hematological changes following initiation and discontinuation of glucocorticoid treatment. </w:t>
      </w:r>
      <w:r>
        <w:rPr>
          <w:rFonts w:ascii="Book Antiqua" w:eastAsia="Book Antiqua" w:hAnsi="Book Antiqua" w:cs="Book Antiqua"/>
          <w:color w:val="000000"/>
        </w:rPr>
        <w:t>Following initiation of methylprednisolone treatment, the hemoglobin levels (Hb; × 10 g/L) and platelet counts (</w:t>
      </w:r>
      <w:proofErr w:type="spellStart"/>
      <w:r>
        <w:rPr>
          <w:rFonts w:ascii="Book Antiqua" w:eastAsia="Book Antiqua" w:hAnsi="Book Antiqua" w:cs="Book Antiqua"/>
          <w:color w:val="000000"/>
        </w:rPr>
        <w:t>Plt</w:t>
      </w:r>
      <w:proofErr w:type="spellEnd"/>
      <w:r>
        <w:rPr>
          <w:rFonts w:ascii="Book Antiqua" w:eastAsia="Book Antiqua" w:hAnsi="Book Antiqua" w:cs="Book Antiqua"/>
          <w:color w:val="000000"/>
        </w:rPr>
        <w:t>; × 10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rapidly decreased, together with a decrease in white blood cells (WBC; × 10</w:t>
      </w:r>
      <w:r>
        <w:rPr>
          <w:rFonts w:ascii="Book Antiqua" w:eastAsia="Book Antiqua" w:hAnsi="Book Antiqua" w:cs="Book Antiqua"/>
          <w:color w:val="000000"/>
          <w:vertAlign w:val="superscript"/>
        </w:rPr>
        <w:t>9</w:t>
      </w:r>
      <w:r>
        <w:rPr>
          <w:rFonts w:ascii="Book Antiqua" w:eastAsia="Book Antiqua" w:hAnsi="Book Antiqua" w:cs="Book Antiqua"/>
          <w:color w:val="000000"/>
        </w:rPr>
        <w:t>/L) and an increase in absolute reticulocyte count (Ret; × 10 × 10</w:t>
      </w:r>
      <w:r>
        <w:rPr>
          <w:rFonts w:ascii="Book Antiqua" w:eastAsia="Book Antiqua" w:hAnsi="Book Antiqua" w:cs="Book Antiqua"/>
          <w:color w:val="000000"/>
          <w:vertAlign w:val="superscript"/>
        </w:rPr>
        <w:t>9</w:t>
      </w:r>
      <w:r>
        <w:rPr>
          <w:rFonts w:ascii="Book Antiqua" w:eastAsia="Book Antiqua" w:hAnsi="Book Antiqua" w:cs="Book Antiqua"/>
          <w:color w:val="000000"/>
        </w:rPr>
        <w:t xml:space="preserve">/L). Increasing the methylprednisolone dose after hospitalization resulted in the worsening of platelet consumption and intravenous hemolysis. Discontinuation of methylprednisolone treatment showed significant hematological improvement with restoration of hemoglobin levels and platelet counts </w:t>
      </w:r>
      <w:proofErr w:type="gramStart"/>
      <w:r>
        <w:rPr>
          <w:rFonts w:ascii="Book Antiqua" w:eastAsia="Book Antiqua" w:hAnsi="Book Antiqua" w:cs="Book Antiqua"/>
          <w:color w:val="000000"/>
        </w:rPr>
        <w:t>similar to</w:t>
      </w:r>
      <w:proofErr w:type="gramEnd"/>
      <w:r>
        <w:rPr>
          <w:rFonts w:ascii="Book Antiqua" w:eastAsia="Book Antiqua" w:hAnsi="Book Antiqua" w:cs="Book Antiqua"/>
          <w:color w:val="000000"/>
        </w:rPr>
        <w:t xml:space="preserve"> those prior to methylprednisolone treatment. </w:t>
      </w:r>
    </w:p>
    <w:sectPr w:rsidR="00ED477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284B2D" w14:textId="77777777" w:rsidR="009C4EB0" w:rsidRDefault="009C4EB0">
      <w:r>
        <w:separator/>
      </w:r>
    </w:p>
  </w:endnote>
  <w:endnote w:type="continuationSeparator" w:id="0">
    <w:p w14:paraId="4D04094E" w14:textId="77777777" w:rsidR="009C4EB0" w:rsidRDefault="009C4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13611" w14:textId="77777777" w:rsidR="00ED477D" w:rsidRDefault="00000000">
    <w:pPr>
      <w:pStyle w:val="Footer"/>
      <w:jc w:val="right"/>
      <w:rPr>
        <w:rFonts w:ascii="Book Antiqua" w:hAnsi="Book Antiqua"/>
      </w:rPr>
    </w:pPr>
    <w:r>
      <w:rPr>
        <w:rFonts w:ascii="Book Antiqua" w:hAnsi="Book Antiqua"/>
      </w:rPr>
      <w:fldChar w:fldCharType="begin"/>
    </w:r>
    <w:r>
      <w:rPr>
        <w:rFonts w:ascii="Book Antiqua" w:hAnsi="Book Antiqua"/>
      </w:rPr>
      <w:instrText>PAGE  \* Arabic  \* MERGEFORMAT</w:instrText>
    </w:r>
    <w:r>
      <w:rPr>
        <w:rFonts w:ascii="Book Antiqua" w:hAnsi="Book Antiqua"/>
      </w:rPr>
      <w:fldChar w:fldCharType="separate"/>
    </w:r>
    <w:r>
      <w:rPr>
        <w:rFonts w:ascii="Book Antiqua" w:hAnsi="Book Antiqua"/>
        <w:lang w:val="zh-CN" w:eastAsia="zh-CN"/>
      </w:rPr>
      <w:t>2</w:t>
    </w:r>
    <w:r>
      <w:rPr>
        <w:rFonts w:ascii="Book Antiqua" w:hAnsi="Book Antiqua"/>
      </w:rPr>
      <w:fldChar w:fldCharType="end"/>
    </w:r>
    <w:r>
      <w:rPr>
        <w:rFonts w:ascii="Book Antiqua" w:hAnsi="Book Antiqua"/>
        <w:lang w:val="zh-CN" w:eastAsia="zh-CN"/>
      </w:rPr>
      <w:t xml:space="preserve"> / </w:t>
    </w:r>
    <w:r>
      <w:rPr>
        <w:rFonts w:ascii="Book Antiqua" w:hAnsi="Book Antiqua"/>
      </w:rPr>
      <w:fldChar w:fldCharType="begin"/>
    </w:r>
    <w:r>
      <w:rPr>
        <w:rFonts w:ascii="Book Antiqua" w:hAnsi="Book Antiqua"/>
      </w:rPr>
      <w:instrText>NUMPAGES  \* Arabic  \* MERGEFORMAT</w:instrText>
    </w:r>
    <w:r>
      <w:rPr>
        <w:rFonts w:ascii="Book Antiqua" w:hAnsi="Book Antiqua"/>
      </w:rPr>
      <w:fldChar w:fldCharType="separate"/>
    </w:r>
    <w:r>
      <w:rPr>
        <w:rFonts w:ascii="Book Antiqua" w:hAnsi="Book Antiqua"/>
        <w:lang w:val="zh-CN" w:eastAsia="zh-CN"/>
      </w:rPr>
      <w:t>2</w:t>
    </w:r>
    <w:r>
      <w:rPr>
        <w:rFonts w:ascii="Book Antiqua" w:hAnsi="Book Antiqu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106E4" w14:textId="77777777" w:rsidR="009C4EB0" w:rsidRDefault="009C4EB0">
      <w:r>
        <w:separator/>
      </w:r>
    </w:p>
  </w:footnote>
  <w:footnote w:type="continuationSeparator" w:id="0">
    <w:p w14:paraId="093A04B9" w14:textId="77777777" w:rsidR="009C4EB0" w:rsidRDefault="009C4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gxMDllZjFkNWM0Y2UwMmZkNWY4OTVjN2FmNTk5ZTEifQ=="/>
    <w:docVar w:name="MachineID" w:val="188|203|197|189|187|197|186|202|197|189|203|197|186|203|197|190|205|"/>
    <w:docVar w:name="Username" w:val="Quality Control Editor"/>
  </w:docVars>
  <w:rsids>
    <w:rsidRoot w:val="00A77B3E"/>
    <w:rsid w:val="00015F49"/>
    <w:rsid w:val="00030E44"/>
    <w:rsid w:val="000403DF"/>
    <w:rsid w:val="0005259D"/>
    <w:rsid w:val="00065BB1"/>
    <w:rsid w:val="00094763"/>
    <w:rsid w:val="000F1ED6"/>
    <w:rsid w:val="001100EB"/>
    <w:rsid w:val="00124D93"/>
    <w:rsid w:val="00163C45"/>
    <w:rsid w:val="00176DE2"/>
    <w:rsid w:val="001817C3"/>
    <w:rsid w:val="00196CA4"/>
    <w:rsid w:val="001C4326"/>
    <w:rsid w:val="001D2126"/>
    <w:rsid w:val="001D3DE1"/>
    <w:rsid w:val="001D597B"/>
    <w:rsid w:val="001E044D"/>
    <w:rsid w:val="002016F3"/>
    <w:rsid w:val="002022B9"/>
    <w:rsid w:val="00230470"/>
    <w:rsid w:val="002528E7"/>
    <w:rsid w:val="0028793E"/>
    <w:rsid w:val="002B347D"/>
    <w:rsid w:val="002D2CCD"/>
    <w:rsid w:val="002D4888"/>
    <w:rsid w:val="002E0BEB"/>
    <w:rsid w:val="00340D8E"/>
    <w:rsid w:val="00386329"/>
    <w:rsid w:val="003A7989"/>
    <w:rsid w:val="003E23D0"/>
    <w:rsid w:val="00401AB1"/>
    <w:rsid w:val="004104A8"/>
    <w:rsid w:val="00430C52"/>
    <w:rsid w:val="00437668"/>
    <w:rsid w:val="004818DA"/>
    <w:rsid w:val="004A570A"/>
    <w:rsid w:val="004A5D06"/>
    <w:rsid w:val="004C158F"/>
    <w:rsid w:val="004C3639"/>
    <w:rsid w:val="004D04FD"/>
    <w:rsid w:val="004D0D6C"/>
    <w:rsid w:val="004D6B4C"/>
    <w:rsid w:val="0056680D"/>
    <w:rsid w:val="00575429"/>
    <w:rsid w:val="00644900"/>
    <w:rsid w:val="00674C5D"/>
    <w:rsid w:val="006B0054"/>
    <w:rsid w:val="006B13D3"/>
    <w:rsid w:val="006D3088"/>
    <w:rsid w:val="0073313B"/>
    <w:rsid w:val="00736045"/>
    <w:rsid w:val="007518C5"/>
    <w:rsid w:val="00790042"/>
    <w:rsid w:val="007C5EE6"/>
    <w:rsid w:val="007F46AB"/>
    <w:rsid w:val="008306DE"/>
    <w:rsid w:val="008361C1"/>
    <w:rsid w:val="0086354C"/>
    <w:rsid w:val="00880ABB"/>
    <w:rsid w:val="008817F9"/>
    <w:rsid w:val="00893BA2"/>
    <w:rsid w:val="008D1BC4"/>
    <w:rsid w:val="009113AF"/>
    <w:rsid w:val="009340BC"/>
    <w:rsid w:val="009401EB"/>
    <w:rsid w:val="009438FC"/>
    <w:rsid w:val="00944656"/>
    <w:rsid w:val="009576A1"/>
    <w:rsid w:val="009700C9"/>
    <w:rsid w:val="0098067A"/>
    <w:rsid w:val="00985194"/>
    <w:rsid w:val="009C4EB0"/>
    <w:rsid w:val="009C66C9"/>
    <w:rsid w:val="009D66A4"/>
    <w:rsid w:val="00A12F8D"/>
    <w:rsid w:val="00A207AA"/>
    <w:rsid w:val="00A77B3E"/>
    <w:rsid w:val="00AB2306"/>
    <w:rsid w:val="00AB326C"/>
    <w:rsid w:val="00AC093B"/>
    <w:rsid w:val="00AE6A34"/>
    <w:rsid w:val="00AF1302"/>
    <w:rsid w:val="00B266F6"/>
    <w:rsid w:val="00B42651"/>
    <w:rsid w:val="00B63EA8"/>
    <w:rsid w:val="00B876BD"/>
    <w:rsid w:val="00BA2865"/>
    <w:rsid w:val="00BB3313"/>
    <w:rsid w:val="00BB38C7"/>
    <w:rsid w:val="00C16AC1"/>
    <w:rsid w:val="00C234BA"/>
    <w:rsid w:val="00C457F2"/>
    <w:rsid w:val="00C626F3"/>
    <w:rsid w:val="00CA2A55"/>
    <w:rsid w:val="00CD6DF5"/>
    <w:rsid w:val="00D06FC6"/>
    <w:rsid w:val="00D22068"/>
    <w:rsid w:val="00D8076A"/>
    <w:rsid w:val="00DD2509"/>
    <w:rsid w:val="00E02FEC"/>
    <w:rsid w:val="00E2605F"/>
    <w:rsid w:val="00E411C3"/>
    <w:rsid w:val="00E442BB"/>
    <w:rsid w:val="00E46CA2"/>
    <w:rsid w:val="00E659F3"/>
    <w:rsid w:val="00E72889"/>
    <w:rsid w:val="00E85ED0"/>
    <w:rsid w:val="00EB1930"/>
    <w:rsid w:val="00EC4CBB"/>
    <w:rsid w:val="00ED477D"/>
    <w:rsid w:val="00EE0ED9"/>
    <w:rsid w:val="00F03003"/>
    <w:rsid w:val="00F14755"/>
    <w:rsid w:val="00F32ADA"/>
    <w:rsid w:val="00F51F67"/>
    <w:rsid w:val="00F61438"/>
    <w:rsid w:val="00FC6710"/>
    <w:rsid w:val="00FE1B45"/>
    <w:rsid w:val="00FF49D7"/>
    <w:rsid w:val="01524904"/>
    <w:rsid w:val="0AB02593"/>
    <w:rsid w:val="23E7310A"/>
    <w:rsid w:val="317B1929"/>
    <w:rsid w:val="3C2D5F22"/>
    <w:rsid w:val="3DE418E4"/>
    <w:rsid w:val="40DA1705"/>
    <w:rsid w:val="45F57F2A"/>
    <w:rsid w:val="56586B3F"/>
    <w:rsid w:val="636B0FD9"/>
    <w:rsid w:val="67F24B47"/>
    <w:rsid w:val="6838692B"/>
    <w:rsid w:val="73CD2B6F"/>
    <w:rsid w:val="7E7776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FC83DF39-24BA-534B-9F5C-261ABAD4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rPr>
      <w:rFonts w:ascii="Tahoma" w:hAnsi="Tahoma" w:cs="Tahoma"/>
      <w:sz w:val="16"/>
      <w:szCs w:val="20"/>
    </w:rPr>
  </w:style>
  <w:style w:type="paragraph" w:styleId="BalloonText">
    <w:name w:val="Balloon Text"/>
    <w:basedOn w:val="Normal"/>
    <w:link w:val="BalloonTextChar"/>
    <w:qFormat/>
    <w:rPr>
      <w:rFonts w:ascii="Tahoma" w:hAnsi="Tahoma" w:cs="Tahoma"/>
      <w:sz w:val="16"/>
      <w:szCs w:val="18"/>
    </w:rPr>
  </w:style>
  <w:style w:type="paragraph" w:styleId="Footer">
    <w:name w:val="footer"/>
    <w:basedOn w:val="Normal"/>
    <w:link w:val="FooterChar"/>
    <w:uiPriority w:val="99"/>
    <w:unhideWhenUsed/>
    <w:qFormat/>
    <w:pPr>
      <w:tabs>
        <w:tab w:val="center" w:pos="4680"/>
        <w:tab w:val="right" w:pos="9360"/>
      </w:tabs>
    </w:pPr>
  </w:style>
  <w:style w:type="paragraph" w:styleId="Header">
    <w:name w:val="header"/>
    <w:basedOn w:val="Normal"/>
    <w:link w:val="HeaderChar"/>
    <w:unhideWhenUsed/>
    <w:qFormat/>
    <w:pPr>
      <w:tabs>
        <w:tab w:val="center" w:pos="4680"/>
        <w:tab w:val="right" w:pos="9360"/>
      </w:tabs>
    </w:pPr>
  </w:style>
  <w:style w:type="paragraph" w:styleId="CommentSubject">
    <w:name w:val="annotation subject"/>
    <w:basedOn w:val="CommentText"/>
    <w:next w:val="CommentText"/>
    <w:link w:val="CommentSubjectChar"/>
    <w:semiHidden/>
    <w:unhideWhenUsed/>
    <w:qFormat/>
    <w:rPr>
      <w:b/>
      <w:bCs/>
    </w:rPr>
  </w:style>
  <w:style w:type="character" w:styleId="CommentReference">
    <w:name w:val="annotation reference"/>
    <w:basedOn w:val="DefaultParagraphFont"/>
    <w:qFormat/>
    <w:rPr>
      <w:sz w:val="16"/>
      <w:szCs w:val="16"/>
    </w:rPr>
  </w:style>
  <w:style w:type="paragraph" w:customStyle="1" w:styleId="1">
    <w:name w:val="修订1"/>
    <w:hidden/>
    <w:uiPriority w:val="99"/>
    <w:semiHidden/>
    <w:qFormat/>
    <w:rPr>
      <w:sz w:val="24"/>
      <w:szCs w:val="24"/>
    </w:rPr>
  </w:style>
  <w:style w:type="character" w:customStyle="1" w:styleId="CommentTextChar">
    <w:name w:val="Comment Text Char"/>
    <w:basedOn w:val="DefaultParagraphFont"/>
    <w:link w:val="CommentText"/>
    <w:qFormat/>
    <w:rPr>
      <w:rFonts w:ascii="Tahoma" w:hAnsi="Tahoma" w:cs="Tahoma"/>
      <w:sz w:val="16"/>
    </w:rPr>
  </w:style>
  <w:style w:type="character" w:customStyle="1" w:styleId="CommentSubjectChar">
    <w:name w:val="Comment Subject Char"/>
    <w:basedOn w:val="CommentTextChar"/>
    <w:link w:val="CommentSubject"/>
    <w:semiHidden/>
    <w:qFormat/>
    <w:rPr>
      <w:rFonts w:ascii="Tahoma" w:hAnsi="Tahoma" w:cs="Tahoma"/>
      <w:b/>
      <w:bCs/>
      <w:sz w:val="16"/>
    </w:rPr>
  </w:style>
  <w:style w:type="character" w:customStyle="1" w:styleId="BalloonTextChar">
    <w:name w:val="Balloon Text Char"/>
    <w:basedOn w:val="DefaultParagraphFont"/>
    <w:link w:val="BalloonText"/>
    <w:qFormat/>
    <w:rPr>
      <w:rFonts w:ascii="Tahoma" w:hAnsi="Tahoma" w:cs="Tahoma"/>
      <w:sz w:val="16"/>
      <w:szCs w:val="18"/>
    </w:rPr>
  </w:style>
  <w:style w:type="character" w:customStyle="1" w:styleId="HeaderChar">
    <w:name w:val="Header Char"/>
    <w:basedOn w:val="DefaultParagraphFont"/>
    <w:link w:val="Header"/>
    <w:qFormat/>
    <w:rPr>
      <w:sz w:val="24"/>
      <w:szCs w:val="24"/>
    </w:rPr>
  </w:style>
  <w:style w:type="character" w:customStyle="1" w:styleId="FooterChar">
    <w:name w:val="Footer Char"/>
    <w:basedOn w:val="DefaultParagraphFont"/>
    <w:link w:val="Footer"/>
    <w:uiPriority w:val="99"/>
    <w:qFormat/>
    <w:rPr>
      <w:sz w:val="24"/>
      <w:szCs w:val="24"/>
    </w:rPr>
  </w:style>
  <w:style w:type="paragraph" w:customStyle="1" w:styleId="2">
    <w:name w:val="修订2"/>
    <w:hidden/>
    <w:uiPriority w:val="99"/>
    <w:semiHidden/>
    <w:qFormat/>
    <w:rPr>
      <w:sz w:val="24"/>
      <w:szCs w:val="24"/>
    </w:rPr>
  </w:style>
  <w:style w:type="paragraph" w:customStyle="1" w:styleId="Revision1">
    <w:name w:val="Revision1"/>
    <w:hidden/>
    <w:uiPriority w:val="99"/>
    <w:semiHidden/>
    <w:qFormat/>
    <w:rPr>
      <w:sz w:val="24"/>
      <w:szCs w:val="24"/>
    </w:rPr>
  </w:style>
  <w:style w:type="paragraph" w:styleId="Revision">
    <w:name w:val="Revision"/>
    <w:hidden/>
    <w:uiPriority w:val="99"/>
    <w:semiHidden/>
    <w:rsid w:val="002528E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5301</Words>
  <Characters>30217</Characters>
  <Application>Microsoft Office Word</Application>
  <DocSecurity>0</DocSecurity>
  <Lines>251</Lines>
  <Paragraphs>70</Paragraphs>
  <ScaleCrop>false</ScaleCrop>
  <Company/>
  <LinksUpToDate>false</LinksUpToDate>
  <CharactersWithSpaces>35448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赵喜晨</dc:creator>
  <cp:lastModifiedBy>Jennifer van Velkinburgh</cp:lastModifiedBy>
  <cp:revision>2</cp:revision>
  <dcterms:created xsi:type="dcterms:W3CDTF">2023-02-18T19:31:00Z</dcterms:created>
  <dcterms:modified xsi:type="dcterms:W3CDTF">2023-02-18T19:31:00Z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D7567E0AADC64BD8BB77C17529B174F9</vt:lpwstr>
  </property>
</Properties>
</file>