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9607" w14:textId="77777777" w:rsidR="00A77B3E" w:rsidRPr="00FD6E68" w:rsidRDefault="00BA03D4" w:rsidP="00FD6E68">
      <w:pPr>
        <w:spacing w:line="360" w:lineRule="auto"/>
        <w:jc w:val="both"/>
        <w:rPr>
          <w:rFonts w:ascii="Book Antiqua" w:hAnsi="Book Antiqua"/>
        </w:rPr>
      </w:pPr>
      <w:r w:rsidRPr="00FD6E68">
        <w:rPr>
          <w:rFonts w:ascii="Book Antiqua" w:eastAsia="Book Antiqua" w:hAnsi="Book Antiqua" w:cs="Book Antiqua"/>
          <w:b/>
        </w:rPr>
        <w:t xml:space="preserve">Name of Journal: </w:t>
      </w:r>
      <w:r w:rsidRPr="00FD6E68">
        <w:rPr>
          <w:rFonts w:ascii="Book Antiqua" w:eastAsia="Book Antiqua" w:hAnsi="Book Antiqua" w:cs="Book Antiqua"/>
          <w:i/>
        </w:rPr>
        <w:t>World Journal of Cardiology</w:t>
      </w:r>
    </w:p>
    <w:p w14:paraId="5D2957B8"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rPr>
        <w:t xml:space="preserve">Manuscript NO: </w:t>
      </w:r>
      <w:r w:rsidRPr="00DD376C">
        <w:rPr>
          <w:rFonts w:ascii="Book Antiqua" w:eastAsia="Book Antiqua" w:hAnsi="Book Antiqua" w:cs="Book Antiqua"/>
        </w:rPr>
        <w:t>81486</w:t>
      </w:r>
    </w:p>
    <w:p w14:paraId="16170B22"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rPr>
        <w:t xml:space="preserve">Manuscript Type: </w:t>
      </w:r>
      <w:r w:rsidRPr="00DD376C">
        <w:rPr>
          <w:rFonts w:ascii="Book Antiqua" w:eastAsia="Book Antiqua" w:hAnsi="Book Antiqua" w:cs="Book Antiqua"/>
        </w:rPr>
        <w:t>META-ANALYSIS</w:t>
      </w:r>
    </w:p>
    <w:p w14:paraId="0D12D04D" w14:textId="77777777" w:rsidR="00A77B3E" w:rsidRPr="00DD376C" w:rsidRDefault="00A77B3E" w:rsidP="00DD376C">
      <w:pPr>
        <w:spacing w:line="360" w:lineRule="auto"/>
        <w:jc w:val="both"/>
        <w:rPr>
          <w:rFonts w:ascii="Book Antiqua" w:hAnsi="Book Antiqua"/>
        </w:rPr>
      </w:pPr>
    </w:p>
    <w:p w14:paraId="25CDCF40" w14:textId="00D66146"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Impact of </w:t>
      </w:r>
      <w:r w:rsidR="00C102FB" w:rsidRPr="00DD376C">
        <w:rPr>
          <w:rFonts w:ascii="Book Antiqua" w:eastAsia="Book Antiqua" w:hAnsi="Book Antiqua" w:cs="Book Antiqua"/>
          <w:b/>
          <w:color w:val="000000"/>
        </w:rPr>
        <w:t>erythropoietin therapy on cardiorenal syndrome</w:t>
      </w:r>
      <w:r w:rsidRPr="00DD376C">
        <w:rPr>
          <w:rFonts w:ascii="Book Antiqua" w:eastAsia="Book Antiqua" w:hAnsi="Book Antiqua" w:cs="Book Antiqua"/>
          <w:b/>
          <w:color w:val="000000"/>
        </w:rPr>
        <w:t>: A</w:t>
      </w:r>
      <w:r w:rsidR="00FE3F66" w:rsidRPr="00DD376C">
        <w:rPr>
          <w:rFonts w:ascii="Book Antiqua" w:eastAsia="Book Antiqua" w:hAnsi="Book Antiqua" w:cs="Book Antiqua"/>
          <w:b/>
          <w:color w:val="000000"/>
        </w:rPr>
        <w:t xml:space="preserve"> systematic review with </w:t>
      </w:r>
      <w:r w:rsidR="00FC555B" w:rsidRPr="00DD376C">
        <w:rPr>
          <w:rFonts w:ascii="Book Antiqua" w:eastAsia="Book Antiqua" w:hAnsi="Book Antiqua" w:cs="Book Antiqua"/>
          <w:b/>
          <w:color w:val="000000"/>
        </w:rPr>
        <w:t>meta-analysis</w:t>
      </w:r>
    </w:p>
    <w:p w14:paraId="63948358" w14:textId="77777777" w:rsidR="00A77B3E" w:rsidRPr="00DD376C" w:rsidRDefault="00A77B3E" w:rsidP="00DD376C">
      <w:pPr>
        <w:spacing w:line="360" w:lineRule="auto"/>
        <w:jc w:val="both"/>
        <w:rPr>
          <w:rFonts w:ascii="Book Antiqua" w:hAnsi="Book Antiqua"/>
        </w:rPr>
      </w:pPr>
    </w:p>
    <w:p w14:paraId="537FB08B" w14:textId="77777777" w:rsidR="00A77B3E" w:rsidRPr="00DD376C" w:rsidRDefault="004B2DA0" w:rsidP="00DD376C">
      <w:pPr>
        <w:spacing w:line="360" w:lineRule="auto"/>
        <w:jc w:val="both"/>
        <w:rPr>
          <w:rFonts w:ascii="Book Antiqua" w:hAnsi="Book Antiqua"/>
        </w:rPr>
      </w:pPr>
      <w:r w:rsidRPr="00DD376C">
        <w:rPr>
          <w:rFonts w:ascii="Book Antiqua" w:eastAsia="Book Antiqua" w:hAnsi="Book Antiqua" w:cs="Book Antiqua"/>
          <w:color w:val="000000"/>
        </w:rPr>
        <w:t xml:space="preserve">Bhangal R </w:t>
      </w:r>
      <w:r w:rsidRPr="00DD376C">
        <w:rPr>
          <w:rFonts w:ascii="Book Antiqua" w:eastAsia="Book Antiqua" w:hAnsi="Book Antiqua" w:cs="Book Antiqua"/>
          <w:i/>
          <w:color w:val="000000"/>
        </w:rPr>
        <w:t>et al</w:t>
      </w:r>
      <w:r w:rsidRPr="00DD376C">
        <w:rPr>
          <w:rFonts w:ascii="Book Antiqua" w:eastAsia="Book Antiqua" w:hAnsi="Book Antiqua" w:cs="Book Antiqua"/>
          <w:color w:val="000000"/>
        </w:rPr>
        <w:t xml:space="preserve">. </w:t>
      </w:r>
      <w:r w:rsidR="00BA03D4" w:rsidRPr="00DD376C">
        <w:rPr>
          <w:rFonts w:ascii="Book Antiqua" w:eastAsia="Book Antiqua" w:hAnsi="Book Antiqua" w:cs="Book Antiqua"/>
          <w:color w:val="000000"/>
        </w:rPr>
        <w:t xml:space="preserve">Cardiorenal </w:t>
      </w:r>
      <w:r w:rsidR="00BC74DD" w:rsidRPr="00DD376C">
        <w:rPr>
          <w:rFonts w:ascii="Book Antiqua" w:eastAsia="Book Antiqua" w:hAnsi="Book Antiqua" w:cs="Book Antiqua"/>
          <w:color w:val="000000"/>
        </w:rPr>
        <w:t>syndrome and erythropoietin</w:t>
      </w:r>
    </w:p>
    <w:p w14:paraId="64A49BB6" w14:textId="77777777" w:rsidR="00A77B3E" w:rsidRPr="00DD376C" w:rsidRDefault="00A77B3E" w:rsidP="00DD376C">
      <w:pPr>
        <w:spacing w:line="360" w:lineRule="auto"/>
        <w:jc w:val="both"/>
        <w:rPr>
          <w:rFonts w:ascii="Book Antiqua" w:hAnsi="Book Antiqua"/>
        </w:rPr>
      </w:pPr>
    </w:p>
    <w:p w14:paraId="19F67F71"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Rubal Bhangal, Ivan Cancarevic, Mahmoud Nassar, Zaryab Umar</w:t>
      </w:r>
    </w:p>
    <w:p w14:paraId="2083E23A" w14:textId="77777777" w:rsidR="00A77B3E" w:rsidRPr="00DD376C" w:rsidRDefault="00A77B3E" w:rsidP="00DD376C">
      <w:pPr>
        <w:spacing w:line="360" w:lineRule="auto"/>
        <w:jc w:val="both"/>
        <w:rPr>
          <w:rFonts w:ascii="Book Antiqua" w:hAnsi="Book Antiqua"/>
        </w:rPr>
      </w:pPr>
    </w:p>
    <w:p w14:paraId="7E8A8C2E" w14:textId="7A5380E5"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color w:val="000000"/>
        </w:rPr>
        <w:t xml:space="preserve">Rubal Bhangal, </w:t>
      </w:r>
      <w:r w:rsidR="00606BDC" w:rsidRPr="00DD376C">
        <w:rPr>
          <w:rFonts w:ascii="Book Antiqua" w:eastAsia="Book Antiqua" w:hAnsi="Book Antiqua" w:cs="Book Antiqua"/>
          <w:b/>
          <w:bCs/>
          <w:color w:val="000000"/>
        </w:rPr>
        <w:t xml:space="preserve">Ivan Cancarevic, </w:t>
      </w:r>
      <w:r w:rsidR="00036062" w:rsidRPr="00DD376C">
        <w:rPr>
          <w:rFonts w:ascii="Book Antiqua" w:eastAsia="Book Antiqua" w:hAnsi="Book Antiqua" w:cs="Book Antiqua"/>
          <w:b/>
          <w:bCs/>
          <w:color w:val="000000"/>
        </w:rPr>
        <w:t xml:space="preserve">Zaryab Umar, </w:t>
      </w:r>
      <w:r w:rsidR="00EB1FFE" w:rsidRPr="00DD376C">
        <w:rPr>
          <w:rFonts w:ascii="Book Antiqua" w:eastAsia="Book Antiqua" w:hAnsi="Book Antiqua" w:cs="Book Antiqua"/>
          <w:bCs/>
          <w:color w:val="000000"/>
        </w:rPr>
        <w:t xml:space="preserve">Department of </w:t>
      </w:r>
      <w:r w:rsidR="00824C5D" w:rsidRPr="00DD376C">
        <w:rPr>
          <w:rFonts w:ascii="Book Antiqua" w:eastAsia="Book Antiqua" w:hAnsi="Book Antiqua" w:cs="Book Antiqua"/>
          <w:color w:val="000000"/>
        </w:rPr>
        <w:t>Internal Medicine</w:t>
      </w:r>
      <w:r w:rsidRPr="00DD376C">
        <w:rPr>
          <w:rFonts w:ascii="Book Antiqua" w:eastAsia="Book Antiqua" w:hAnsi="Book Antiqua" w:cs="Book Antiqua"/>
          <w:color w:val="000000"/>
        </w:rPr>
        <w:t>, Icahn Sc</w:t>
      </w:r>
      <w:r w:rsidR="00E37C1B" w:rsidRPr="00DD376C">
        <w:rPr>
          <w:rFonts w:ascii="Book Antiqua" w:eastAsia="Book Antiqua" w:hAnsi="Book Antiqua" w:cs="Book Antiqua"/>
          <w:color w:val="000000"/>
        </w:rPr>
        <w:t>hool of Medicine at Mount Sinai</w:t>
      </w:r>
      <w:r w:rsidR="00EE4308" w:rsidRPr="00DD376C">
        <w:rPr>
          <w:rFonts w:ascii="Book Antiqua" w:eastAsia="Book Antiqua" w:hAnsi="Book Antiqua" w:cs="Book Antiqua"/>
          <w:color w:val="000000"/>
        </w:rPr>
        <w:t>/NYC Health+Hospitals Queens</w:t>
      </w:r>
      <w:r w:rsidRPr="00DD376C">
        <w:rPr>
          <w:rFonts w:ascii="Book Antiqua" w:eastAsia="Book Antiqua" w:hAnsi="Book Antiqua" w:cs="Book Antiqua"/>
          <w:color w:val="000000"/>
        </w:rPr>
        <w:t xml:space="preserve">, New York, </w:t>
      </w:r>
      <w:r w:rsidR="00EE4308" w:rsidRPr="00DD376C">
        <w:rPr>
          <w:rFonts w:ascii="Book Antiqua" w:eastAsia="Book Antiqua" w:hAnsi="Book Antiqua" w:cs="Book Antiqua"/>
          <w:color w:val="000000"/>
        </w:rPr>
        <w:t xml:space="preserve">NY </w:t>
      </w:r>
      <w:r w:rsidRPr="00DD376C">
        <w:rPr>
          <w:rFonts w:ascii="Book Antiqua" w:eastAsia="Book Antiqua" w:hAnsi="Book Antiqua" w:cs="Book Antiqua"/>
          <w:color w:val="000000"/>
        </w:rPr>
        <w:t>11432, United States</w:t>
      </w:r>
    </w:p>
    <w:p w14:paraId="2430BAFF" w14:textId="77777777" w:rsidR="00A77B3E" w:rsidRPr="00DD376C" w:rsidRDefault="00A77B3E" w:rsidP="00DD376C">
      <w:pPr>
        <w:spacing w:line="360" w:lineRule="auto"/>
        <w:jc w:val="both"/>
        <w:rPr>
          <w:rFonts w:ascii="Book Antiqua" w:hAnsi="Book Antiqua"/>
        </w:rPr>
      </w:pPr>
    </w:p>
    <w:p w14:paraId="7C828CE5"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color w:val="000000"/>
        </w:rPr>
        <w:t xml:space="preserve">Mahmoud Nassar, </w:t>
      </w:r>
      <w:r w:rsidR="007A74D9" w:rsidRPr="00DD376C">
        <w:rPr>
          <w:rFonts w:ascii="Book Antiqua" w:eastAsia="Book Antiqua" w:hAnsi="Book Antiqua" w:cs="Book Antiqua"/>
          <w:bCs/>
          <w:color w:val="000000"/>
        </w:rPr>
        <w:t xml:space="preserve">Department of </w:t>
      </w:r>
      <w:r w:rsidR="004D4D31" w:rsidRPr="00DD376C">
        <w:rPr>
          <w:rFonts w:ascii="Book Antiqua" w:eastAsia="Book Antiqua" w:hAnsi="Book Antiqua" w:cs="Book Antiqua"/>
          <w:color w:val="000000"/>
        </w:rPr>
        <w:t>Internal Medicine</w:t>
      </w:r>
      <w:r w:rsidRPr="00DD376C">
        <w:rPr>
          <w:rFonts w:ascii="Book Antiqua" w:eastAsia="Book Antiqua" w:hAnsi="Book Antiqua" w:cs="Book Antiqua"/>
          <w:color w:val="000000"/>
        </w:rPr>
        <w:t>, Icahn School of Me</w:t>
      </w:r>
      <w:r w:rsidR="00580957" w:rsidRPr="00DD376C">
        <w:rPr>
          <w:rFonts w:ascii="Book Antiqua" w:eastAsia="Book Antiqua" w:hAnsi="Book Antiqua" w:cs="Book Antiqua"/>
          <w:color w:val="000000"/>
        </w:rPr>
        <w:t>dicine at Mount Sinai, New York</w:t>
      </w:r>
      <w:r w:rsidRPr="00DD376C">
        <w:rPr>
          <w:rFonts w:ascii="Book Antiqua" w:eastAsia="Book Antiqua" w:hAnsi="Book Antiqua" w:cs="Book Antiqua"/>
          <w:color w:val="000000"/>
        </w:rPr>
        <w:t xml:space="preserve">, </w:t>
      </w:r>
      <w:r w:rsidR="00580957" w:rsidRPr="00DD376C">
        <w:rPr>
          <w:rFonts w:ascii="Book Antiqua" w:eastAsia="Book Antiqua" w:hAnsi="Book Antiqua" w:cs="Book Antiqua"/>
          <w:color w:val="000000"/>
        </w:rPr>
        <w:t xml:space="preserve">NY </w:t>
      </w:r>
      <w:r w:rsidRPr="00DD376C">
        <w:rPr>
          <w:rFonts w:ascii="Book Antiqua" w:eastAsia="Book Antiqua" w:hAnsi="Book Antiqua" w:cs="Book Antiqua"/>
          <w:color w:val="000000"/>
        </w:rPr>
        <w:t>10029, United States</w:t>
      </w:r>
    </w:p>
    <w:p w14:paraId="3764193D" w14:textId="77777777" w:rsidR="00A77B3E" w:rsidRPr="00DD376C" w:rsidRDefault="00A77B3E" w:rsidP="00DD376C">
      <w:pPr>
        <w:spacing w:line="360" w:lineRule="auto"/>
        <w:jc w:val="both"/>
        <w:rPr>
          <w:rFonts w:ascii="Book Antiqua" w:hAnsi="Book Antiqua"/>
        </w:rPr>
      </w:pPr>
    </w:p>
    <w:p w14:paraId="1629104E"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color w:val="000000"/>
        </w:rPr>
        <w:t xml:space="preserve">Mahmoud Nassar, </w:t>
      </w:r>
      <w:r w:rsidR="001E7AC8" w:rsidRPr="00DD376C">
        <w:rPr>
          <w:rFonts w:ascii="Book Antiqua" w:eastAsia="Book Antiqua" w:hAnsi="Book Antiqua" w:cs="Book Antiqua"/>
          <w:bCs/>
          <w:color w:val="000000"/>
        </w:rPr>
        <w:t xml:space="preserve">Department of </w:t>
      </w:r>
      <w:r w:rsidR="00036062" w:rsidRPr="00DD376C">
        <w:rPr>
          <w:rFonts w:ascii="Book Antiqua" w:eastAsia="Book Antiqua" w:hAnsi="Book Antiqua" w:cs="Book Antiqua"/>
          <w:color w:val="000000"/>
        </w:rPr>
        <w:t>Internal Medicine</w:t>
      </w:r>
      <w:r w:rsidRPr="00DD376C">
        <w:rPr>
          <w:rFonts w:ascii="Book Antiqua" w:eastAsia="Book Antiqua" w:hAnsi="Book Antiqua" w:cs="Book Antiqua"/>
          <w:color w:val="000000"/>
        </w:rPr>
        <w:t xml:space="preserve">, NYC Health+Hospital Queens, New York, </w:t>
      </w:r>
      <w:r w:rsidR="00580957" w:rsidRPr="00DD376C">
        <w:rPr>
          <w:rFonts w:ascii="Book Antiqua" w:eastAsia="Book Antiqua" w:hAnsi="Book Antiqua" w:cs="Book Antiqua"/>
          <w:color w:val="000000"/>
        </w:rPr>
        <w:t xml:space="preserve">NY </w:t>
      </w:r>
      <w:r w:rsidRPr="00DD376C">
        <w:rPr>
          <w:rFonts w:ascii="Book Antiqua" w:eastAsia="Book Antiqua" w:hAnsi="Book Antiqua" w:cs="Book Antiqua"/>
          <w:color w:val="000000"/>
        </w:rPr>
        <w:t>11432, United States</w:t>
      </w:r>
    </w:p>
    <w:p w14:paraId="40633D54" w14:textId="77777777" w:rsidR="00A77B3E" w:rsidRPr="00DD376C" w:rsidRDefault="00A77B3E" w:rsidP="00DD376C">
      <w:pPr>
        <w:spacing w:line="360" w:lineRule="auto"/>
        <w:jc w:val="both"/>
        <w:rPr>
          <w:rFonts w:ascii="Book Antiqua" w:hAnsi="Book Antiqua"/>
        </w:rPr>
      </w:pPr>
    </w:p>
    <w:p w14:paraId="3A3493D0" w14:textId="3E4F9FBA"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color w:val="000000"/>
        </w:rPr>
        <w:t xml:space="preserve">Author contributions: </w:t>
      </w:r>
      <w:r w:rsidR="00036062" w:rsidRPr="00DD376C">
        <w:rPr>
          <w:rFonts w:ascii="Book Antiqua" w:eastAsia="Book Antiqua" w:hAnsi="Book Antiqua" w:cs="Book Antiqua"/>
          <w:color w:val="000000"/>
        </w:rPr>
        <w:t>All author contributed equally</w:t>
      </w:r>
      <w:r w:rsidR="00B76947">
        <w:rPr>
          <w:rFonts w:ascii="Book Antiqua" w:eastAsia="Book Antiqua" w:hAnsi="Book Antiqua" w:cs="Book Antiqua"/>
          <w:color w:val="000000"/>
        </w:rPr>
        <w:t>;</w:t>
      </w:r>
      <w:r w:rsidR="00B76947"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All authors have read and approve</w:t>
      </w:r>
      <w:r w:rsidR="00CF0D5B">
        <w:rPr>
          <w:rFonts w:ascii="Book Antiqua" w:eastAsia="Book Antiqua" w:hAnsi="Book Antiqua" w:cs="Book Antiqua"/>
          <w:color w:val="000000"/>
        </w:rPr>
        <w:t>d</w:t>
      </w:r>
      <w:r w:rsidRPr="00DD376C">
        <w:rPr>
          <w:rFonts w:ascii="Book Antiqua" w:eastAsia="Book Antiqua" w:hAnsi="Book Antiqua" w:cs="Book Antiqua"/>
          <w:color w:val="000000"/>
        </w:rPr>
        <w:t xml:space="preserve"> the final version</w:t>
      </w:r>
      <w:r w:rsidR="009B69DD" w:rsidRPr="00DD376C">
        <w:rPr>
          <w:rFonts w:ascii="Book Antiqua" w:eastAsia="Book Antiqua" w:hAnsi="Book Antiqua" w:cs="Book Antiqua"/>
          <w:color w:val="000000"/>
        </w:rPr>
        <w:t>.</w:t>
      </w:r>
    </w:p>
    <w:p w14:paraId="0E17534E" w14:textId="77777777" w:rsidR="00A77B3E" w:rsidRPr="00DD376C" w:rsidRDefault="00A77B3E" w:rsidP="00DD376C">
      <w:pPr>
        <w:spacing w:line="360" w:lineRule="auto"/>
        <w:jc w:val="both"/>
        <w:rPr>
          <w:rFonts w:ascii="Book Antiqua" w:hAnsi="Book Antiqua"/>
        </w:rPr>
      </w:pPr>
    </w:p>
    <w:p w14:paraId="2FE3886A" w14:textId="6D930E70"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color w:val="000000"/>
        </w:rPr>
        <w:t xml:space="preserve">Corresponding author: Mahmoud Nassar, MD, MSc, PhD, Doctor, </w:t>
      </w:r>
      <w:r w:rsidR="000F120F" w:rsidRPr="00DD376C">
        <w:rPr>
          <w:rFonts w:ascii="Book Antiqua" w:eastAsia="Book Antiqua" w:hAnsi="Book Antiqua" w:cs="Book Antiqua"/>
          <w:bCs/>
          <w:color w:val="000000"/>
        </w:rPr>
        <w:t xml:space="preserve">Department of </w:t>
      </w:r>
      <w:r w:rsidR="000F120F" w:rsidRPr="00DD376C">
        <w:rPr>
          <w:rFonts w:ascii="Book Antiqua" w:eastAsia="Book Antiqua" w:hAnsi="Book Antiqua" w:cs="Book Antiqua"/>
          <w:color w:val="000000"/>
        </w:rPr>
        <w:t>Internal Medicine</w:t>
      </w:r>
      <w:r w:rsidRPr="00DD376C">
        <w:rPr>
          <w:rFonts w:ascii="Book Antiqua" w:eastAsia="Book Antiqua" w:hAnsi="Book Antiqua" w:cs="Book Antiqua"/>
          <w:color w:val="000000"/>
        </w:rPr>
        <w:t>,</w:t>
      </w:r>
      <w:r w:rsidR="00A34E93" w:rsidRPr="00DD376C">
        <w:rPr>
          <w:rFonts w:ascii="Book Antiqua" w:eastAsia="Book Antiqua" w:hAnsi="Book Antiqua" w:cs="Book Antiqua"/>
          <w:color w:val="000000"/>
        </w:rPr>
        <w:t xml:space="preserve"> NYC</w:t>
      </w:r>
      <w:r w:rsidRPr="00DD376C">
        <w:rPr>
          <w:rFonts w:ascii="Book Antiqua" w:eastAsia="Book Antiqua" w:hAnsi="Book Antiqua" w:cs="Book Antiqua"/>
          <w:color w:val="000000"/>
        </w:rPr>
        <w:t xml:space="preserve"> </w:t>
      </w:r>
      <w:r w:rsidR="00A34E93" w:rsidRPr="00DD376C">
        <w:rPr>
          <w:rFonts w:ascii="Book Antiqua" w:eastAsia="Book Antiqua" w:hAnsi="Book Antiqua" w:cs="Book Antiqua"/>
          <w:color w:val="000000"/>
        </w:rPr>
        <w:t>Health+Hospital Queens, New York, NY 11432</w:t>
      </w:r>
      <w:r w:rsidRPr="00DD376C">
        <w:rPr>
          <w:rFonts w:ascii="Book Antiqua" w:eastAsia="Book Antiqua" w:hAnsi="Book Antiqua" w:cs="Book Antiqua"/>
          <w:color w:val="000000"/>
        </w:rPr>
        <w:t>, United States. dr.nassar@aucegypt.edu</w:t>
      </w:r>
    </w:p>
    <w:p w14:paraId="46F5235F" w14:textId="77777777" w:rsidR="00A77B3E" w:rsidRPr="00DD376C" w:rsidRDefault="00A77B3E" w:rsidP="00DD376C">
      <w:pPr>
        <w:spacing w:line="360" w:lineRule="auto"/>
        <w:jc w:val="both"/>
        <w:rPr>
          <w:rFonts w:ascii="Book Antiqua" w:hAnsi="Book Antiqua"/>
        </w:rPr>
      </w:pPr>
    </w:p>
    <w:p w14:paraId="455ADDAF"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Received: </w:t>
      </w:r>
      <w:r w:rsidRPr="00DD376C">
        <w:rPr>
          <w:rFonts w:ascii="Book Antiqua" w:eastAsia="Book Antiqua" w:hAnsi="Book Antiqua" w:cs="Book Antiqua"/>
        </w:rPr>
        <w:t>December 19, 2022</w:t>
      </w:r>
    </w:p>
    <w:p w14:paraId="49F76B2D"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Revised: </w:t>
      </w:r>
      <w:r w:rsidR="00D043FF" w:rsidRPr="00DD376C">
        <w:rPr>
          <w:rFonts w:ascii="Book Antiqua" w:eastAsia="Book Antiqua" w:hAnsi="Book Antiqua" w:cs="Book Antiqua"/>
          <w:bCs/>
        </w:rPr>
        <w:t>March 24, 2023</w:t>
      </w:r>
    </w:p>
    <w:p w14:paraId="33D766B4" w14:textId="17C3C5D3"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lastRenderedPageBreak/>
        <w:t xml:space="preserve">Accepted: </w:t>
      </w:r>
      <w:r w:rsidR="004E68F9" w:rsidRPr="008246BA">
        <w:rPr>
          <w:rFonts w:ascii="Book Antiqua" w:eastAsia="Book Antiqua" w:hAnsi="Book Antiqua" w:cs="Book Antiqua"/>
        </w:rPr>
        <w:t>April 4, 2023</w:t>
      </w:r>
    </w:p>
    <w:p w14:paraId="698BDA8F" w14:textId="77777777" w:rsidR="00A15294"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Published online: </w:t>
      </w:r>
    </w:p>
    <w:p w14:paraId="354C919E" w14:textId="77777777" w:rsidR="00A15294" w:rsidRPr="00DD376C" w:rsidRDefault="00A15294" w:rsidP="00DD376C">
      <w:pPr>
        <w:spacing w:line="360" w:lineRule="auto"/>
        <w:jc w:val="both"/>
        <w:rPr>
          <w:rFonts w:ascii="Book Antiqua" w:hAnsi="Book Antiqua"/>
        </w:rPr>
      </w:pPr>
    </w:p>
    <w:p w14:paraId="557B22EE"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Abstract</w:t>
      </w:r>
    </w:p>
    <w:p w14:paraId="6FF7D7B4"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BACKGROUND</w:t>
      </w:r>
    </w:p>
    <w:p w14:paraId="121B0D07" w14:textId="4E809B12"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shd w:val="clear" w:color="auto" w:fill="FFFFFF"/>
        </w:rPr>
        <w:t xml:space="preserve">Heart and kidney dysfunction frequently coexist in patients with acute heart failure due to the overlap between these two organ systems. Cardiorenal </w:t>
      </w:r>
      <w:r w:rsidR="009F6809" w:rsidRPr="00DD376C">
        <w:rPr>
          <w:rFonts w:ascii="Book Antiqua" w:eastAsia="Book Antiqua" w:hAnsi="Book Antiqua" w:cs="Book Antiqua"/>
          <w:color w:val="000000"/>
          <w:shd w:val="clear" w:color="auto" w:fill="FFFFFF"/>
        </w:rPr>
        <w:t xml:space="preserve">syndrome </w:t>
      </w:r>
      <w:r w:rsidRPr="00DD376C">
        <w:rPr>
          <w:rFonts w:ascii="Book Antiqua" w:eastAsia="Book Antiqua" w:hAnsi="Book Antiqua" w:cs="Book Antiqua"/>
          <w:color w:val="000000"/>
          <w:shd w:val="clear" w:color="auto" w:fill="FFFFFF"/>
        </w:rPr>
        <w:t>(CRS) results from pathology occurring in the heart and kidneys along with the consequences of dysfunction in one organ contributing to dysfunction in the other and vice</w:t>
      </w:r>
      <w:r w:rsidR="00CF0D5B">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versa.</w:t>
      </w:r>
    </w:p>
    <w:p w14:paraId="32CF8A1A" w14:textId="77777777" w:rsidR="00A77B3E" w:rsidRPr="00DD376C" w:rsidRDefault="00A77B3E" w:rsidP="00DD376C">
      <w:pPr>
        <w:spacing w:line="360" w:lineRule="auto"/>
        <w:jc w:val="both"/>
        <w:rPr>
          <w:rFonts w:ascii="Book Antiqua" w:hAnsi="Book Antiqua"/>
        </w:rPr>
      </w:pPr>
    </w:p>
    <w:p w14:paraId="5EF1E900"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AIM</w:t>
      </w:r>
    </w:p>
    <w:p w14:paraId="018491E0" w14:textId="36C9EBCA"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shd w:val="clear" w:color="auto" w:fill="FFFFFF"/>
        </w:rPr>
        <w:t xml:space="preserve">To evaluate the use of erythropoietin (EPO) in patients with CRS and its effects on hemoglobin (Hb), major cardiovascular </w:t>
      </w:r>
      <w:r w:rsidR="00A2692B">
        <w:rPr>
          <w:rFonts w:ascii="Book Antiqua" w:eastAsia="Book Antiqua" w:hAnsi="Book Antiqua" w:cs="Book Antiqua"/>
          <w:shd w:val="clear" w:color="auto" w:fill="FFFFFF"/>
        </w:rPr>
        <w:t xml:space="preserve">(CV) </w:t>
      </w:r>
      <w:r w:rsidRPr="00DD376C">
        <w:rPr>
          <w:rFonts w:ascii="Book Antiqua" w:eastAsia="Book Antiqua" w:hAnsi="Book Antiqua" w:cs="Book Antiqua"/>
          <w:shd w:val="clear" w:color="auto" w:fill="FFFFFF"/>
        </w:rPr>
        <w:t>events, and hospitalization rates.</w:t>
      </w:r>
    </w:p>
    <w:p w14:paraId="55DCEEED" w14:textId="77777777" w:rsidR="00A77B3E" w:rsidRPr="00DD376C" w:rsidRDefault="00A77B3E" w:rsidP="00DD376C">
      <w:pPr>
        <w:spacing w:line="360" w:lineRule="auto"/>
        <w:jc w:val="both"/>
        <w:rPr>
          <w:rFonts w:ascii="Book Antiqua" w:hAnsi="Book Antiqua"/>
        </w:rPr>
      </w:pPr>
    </w:p>
    <w:p w14:paraId="17C6EEEA"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METHODS</w:t>
      </w:r>
    </w:p>
    <w:p w14:paraId="45C84CC4" w14:textId="2AA2E40B"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shd w:val="clear" w:color="auto" w:fill="FFFFFF"/>
        </w:rPr>
        <w:t>On February 24, 2022, searches were conducted using PubMed, Medline, and Embase, and 148 articles were identified. A total of nine studies were considered in this systematic review. We assessed the included articles based on the National Heart, Lung, and Blood Institute</w:t>
      </w:r>
      <w:r w:rsidR="008246BA">
        <w:rPr>
          <w:rFonts w:ascii="Book Antiqua" w:eastAsia="Book Antiqua" w:hAnsi="Book Antiqua" w:cs="Book Antiqua"/>
          <w:shd w:val="clear" w:color="auto" w:fill="FFFFFF"/>
        </w:rPr>
        <w:t xml:space="preserve"> </w:t>
      </w:r>
      <w:r w:rsidRPr="00DD376C">
        <w:rPr>
          <w:rFonts w:ascii="Book Antiqua" w:eastAsia="Book Antiqua" w:hAnsi="Book Antiqua" w:cs="Book Antiqua"/>
          <w:shd w:val="clear" w:color="auto" w:fill="FFFFFF"/>
        </w:rPr>
        <w:t>quality assessment tools for controlled intervention and observational cohort or cross-sectional studies. An assessment of bias risk was conducted on the chosen studies, and data relevant to our review was extracted.</w:t>
      </w:r>
    </w:p>
    <w:p w14:paraId="3035D92A" w14:textId="77777777" w:rsidR="00A77B3E" w:rsidRPr="00DD376C" w:rsidRDefault="00A77B3E" w:rsidP="00DD376C">
      <w:pPr>
        <w:spacing w:line="360" w:lineRule="auto"/>
        <w:jc w:val="both"/>
        <w:rPr>
          <w:rFonts w:ascii="Book Antiqua" w:hAnsi="Book Antiqua"/>
        </w:rPr>
      </w:pPr>
    </w:p>
    <w:p w14:paraId="1CD8F18F"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RESULTS</w:t>
      </w:r>
    </w:p>
    <w:p w14:paraId="49B7B17F" w14:textId="7B676D96"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shd w:val="clear" w:color="auto" w:fill="FFFFFF"/>
        </w:rPr>
        <w:t xml:space="preserve">The systematic review of these studies concluded that most existing literature indicates that EPO improves baseline Hb levels and decreases myocardial remodeling and </w:t>
      </w:r>
      <w:r w:rsidR="007954E6" w:rsidRPr="00DD376C">
        <w:rPr>
          <w:rFonts w:ascii="Book Antiqua" w:eastAsia="Book Antiqua" w:hAnsi="Book Antiqua" w:cs="Book Antiqua"/>
          <w:color w:val="000000"/>
          <w:shd w:val="clear" w:color="auto" w:fill="FFFFFF"/>
        </w:rPr>
        <w:t>left ventricular</w:t>
      </w:r>
      <w:r w:rsidRPr="00DD376C">
        <w:rPr>
          <w:rFonts w:ascii="Book Antiqua" w:eastAsia="Book Antiqua" w:hAnsi="Book Antiqua" w:cs="Book Antiqua"/>
          <w:shd w:val="clear" w:color="auto" w:fill="FFFFFF"/>
        </w:rPr>
        <w:t xml:space="preserve"> dysfunction without reducing </w:t>
      </w:r>
      <w:r w:rsidR="00A2692B">
        <w:rPr>
          <w:rFonts w:ascii="Book Antiqua" w:eastAsia="Book Antiqua" w:hAnsi="Book Antiqua" w:cs="Book Antiqua"/>
          <w:shd w:val="clear" w:color="auto" w:fill="FFFFFF"/>
        </w:rPr>
        <w:t>CV</w:t>
      </w:r>
      <w:r w:rsidR="00A2692B" w:rsidRPr="00DD376C">
        <w:rPr>
          <w:rFonts w:ascii="Book Antiqua" w:eastAsia="Book Antiqua" w:hAnsi="Book Antiqua" w:cs="Book Antiqua"/>
          <w:shd w:val="clear" w:color="auto" w:fill="FFFFFF"/>
        </w:rPr>
        <w:t xml:space="preserve"> </w:t>
      </w:r>
      <w:r w:rsidRPr="00DD376C">
        <w:rPr>
          <w:rFonts w:ascii="Book Antiqua" w:eastAsia="Book Antiqua" w:hAnsi="Book Antiqua" w:cs="Book Antiqua"/>
          <w:shd w:val="clear" w:color="auto" w:fill="FFFFFF"/>
        </w:rPr>
        <w:t>mortality. In addition, the effect of EPO on the hospitalization rate of patients with CRS needs to be further studied since this relationship is unknown. Future studies, such as randomized controlled clinical trials and prospective cohort studies, should be conducted to enhance the literature on the potential of EPO therapy in patients with CRS.</w:t>
      </w:r>
    </w:p>
    <w:p w14:paraId="406CEEF9"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lastRenderedPageBreak/>
        <w:t>CONCLUSION</w:t>
      </w:r>
    </w:p>
    <w:p w14:paraId="2E18A40B" w14:textId="253076AB"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Our systematic review suggests that EPO therapy may have a significant role in managing CRS. The review highlights the potential benefits of EPO in improving baseline Hb levels, reducing the risk of major CV events, improving cardiac remodeling, myocardial function, N</w:t>
      </w:r>
      <w:r w:rsidR="00CF0D5B">
        <w:rPr>
          <w:rFonts w:ascii="Book Antiqua" w:eastAsia="Book Antiqua" w:hAnsi="Book Antiqua" w:cs="Book Antiqua"/>
        </w:rPr>
        <w:t xml:space="preserve">ew </w:t>
      </w:r>
      <w:r w:rsidRPr="00DD376C">
        <w:rPr>
          <w:rFonts w:ascii="Book Antiqua" w:eastAsia="Book Antiqua" w:hAnsi="Book Antiqua" w:cs="Book Antiqua"/>
        </w:rPr>
        <w:t>Y</w:t>
      </w:r>
      <w:r w:rsidR="00CF0D5B">
        <w:rPr>
          <w:rFonts w:ascii="Book Antiqua" w:eastAsia="Book Antiqua" w:hAnsi="Book Antiqua" w:cs="Book Antiqua"/>
        </w:rPr>
        <w:t xml:space="preserve">ork </w:t>
      </w:r>
      <w:r w:rsidRPr="00DD376C">
        <w:rPr>
          <w:rFonts w:ascii="Book Antiqua" w:eastAsia="Book Antiqua" w:hAnsi="Book Antiqua" w:cs="Book Antiqua"/>
        </w:rPr>
        <w:t>H</w:t>
      </w:r>
      <w:r w:rsidR="00CF0D5B">
        <w:rPr>
          <w:rFonts w:ascii="Book Antiqua" w:eastAsia="Book Antiqua" w:hAnsi="Book Antiqua" w:cs="Book Antiqua"/>
        </w:rPr>
        <w:t xml:space="preserve">eart </w:t>
      </w:r>
      <w:r w:rsidRPr="00DD376C">
        <w:rPr>
          <w:rFonts w:ascii="Book Antiqua" w:eastAsia="Book Antiqua" w:hAnsi="Book Antiqua" w:cs="Book Antiqua"/>
        </w:rPr>
        <w:t>A</w:t>
      </w:r>
      <w:r w:rsidR="00CF0D5B">
        <w:rPr>
          <w:rFonts w:ascii="Book Antiqua" w:eastAsia="Book Antiqua" w:hAnsi="Book Antiqua" w:cs="Book Antiqua"/>
        </w:rPr>
        <w:t>ssociation</w:t>
      </w:r>
      <w:r w:rsidRPr="00DD376C">
        <w:rPr>
          <w:rFonts w:ascii="Book Antiqua" w:eastAsia="Book Antiqua" w:hAnsi="Book Antiqua" w:cs="Book Antiqua"/>
        </w:rPr>
        <w:t xml:space="preserve"> class, and </w:t>
      </w:r>
      <w:r w:rsidR="00CD4E27" w:rsidRPr="00DD376C">
        <w:rPr>
          <w:rFonts w:ascii="Book Antiqua" w:eastAsia="Book Antiqua" w:hAnsi="Book Antiqua" w:cs="Book Antiqua"/>
          <w:color w:val="000000"/>
        </w:rPr>
        <w:t>B-type natriuretic peptide</w:t>
      </w:r>
      <w:r w:rsidRPr="00DD376C">
        <w:rPr>
          <w:rFonts w:ascii="Book Antiqua" w:eastAsia="Book Antiqua" w:hAnsi="Book Antiqua" w:cs="Book Antiqua"/>
        </w:rPr>
        <w:t xml:space="preserve"> levels. However, the effect of EPO treatment on hospitalization remains unclear and needs further exploration.</w:t>
      </w:r>
    </w:p>
    <w:p w14:paraId="025A0ED2" w14:textId="77777777" w:rsidR="00A77B3E" w:rsidRPr="00DD376C" w:rsidRDefault="00A77B3E" w:rsidP="00DD376C">
      <w:pPr>
        <w:spacing w:line="360" w:lineRule="auto"/>
        <w:jc w:val="both"/>
        <w:rPr>
          <w:rFonts w:ascii="Book Antiqua" w:hAnsi="Book Antiqua"/>
        </w:rPr>
      </w:pPr>
    </w:p>
    <w:p w14:paraId="53F73314"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Key Words: </w:t>
      </w:r>
      <w:r w:rsidRPr="00DD376C">
        <w:rPr>
          <w:rFonts w:ascii="Book Antiqua" w:eastAsia="Book Antiqua" w:hAnsi="Book Antiqua" w:cs="Book Antiqua"/>
        </w:rPr>
        <w:t xml:space="preserve">Cardiorenal syndrome; </w:t>
      </w:r>
      <w:r w:rsidR="00D14785" w:rsidRPr="00DD376C">
        <w:rPr>
          <w:rFonts w:ascii="Book Antiqua" w:eastAsia="Book Antiqua" w:hAnsi="Book Antiqua" w:cs="Book Antiqua"/>
        </w:rPr>
        <w:t>Anemia; Cardiovascular</w:t>
      </w:r>
      <w:r w:rsidRPr="00DD376C">
        <w:rPr>
          <w:rFonts w:ascii="Book Antiqua" w:eastAsia="Book Antiqua" w:hAnsi="Book Antiqua" w:cs="Book Antiqua"/>
        </w:rPr>
        <w:t xml:space="preserve"> disease; </w:t>
      </w:r>
      <w:r w:rsidR="00D14785" w:rsidRPr="00DD376C">
        <w:rPr>
          <w:rFonts w:ascii="Book Antiqua" w:eastAsia="Book Antiqua" w:hAnsi="Book Antiqua" w:cs="Book Antiqua"/>
        </w:rPr>
        <w:t>End</w:t>
      </w:r>
      <w:r w:rsidRPr="00DD376C">
        <w:rPr>
          <w:rFonts w:ascii="Book Antiqua" w:eastAsia="Book Antiqua" w:hAnsi="Book Antiqua" w:cs="Book Antiqua"/>
        </w:rPr>
        <w:t>-stage renal disease;</w:t>
      </w:r>
      <w:r w:rsidR="00D14785" w:rsidRPr="00DD376C">
        <w:rPr>
          <w:rFonts w:ascii="Book Antiqua" w:eastAsia="Book Antiqua" w:hAnsi="Book Antiqua" w:cs="Book Antiqua"/>
        </w:rPr>
        <w:t xml:space="preserve"> Erythropoietin; Congestive</w:t>
      </w:r>
      <w:r w:rsidRPr="00DD376C">
        <w:rPr>
          <w:rFonts w:ascii="Book Antiqua" w:eastAsia="Book Antiqua" w:hAnsi="Book Antiqua" w:cs="Book Antiqua"/>
        </w:rPr>
        <w:t xml:space="preserve"> heart failure</w:t>
      </w:r>
    </w:p>
    <w:p w14:paraId="4D6F673A" w14:textId="77777777" w:rsidR="00A77B3E" w:rsidRPr="00DD376C" w:rsidRDefault="00A77B3E" w:rsidP="00DD376C">
      <w:pPr>
        <w:spacing w:line="360" w:lineRule="auto"/>
        <w:jc w:val="both"/>
        <w:rPr>
          <w:rFonts w:ascii="Book Antiqua" w:hAnsi="Book Antiqua"/>
        </w:rPr>
      </w:pPr>
    </w:p>
    <w:p w14:paraId="45D7E833" w14:textId="49E3FF1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 xml:space="preserve">Bhangal R, Cancarevic I, Nassar M, Umar Z. Impact of </w:t>
      </w:r>
      <w:r w:rsidR="007E5BAB" w:rsidRPr="00DD376C">
        <w:rPr>
          <w:rFonts w:ascii="Book Antiqua" w:eastAsia="Book Antiqua" w:hAnsi="Book Antiqua" w:cs="Book Antiqua"/>
        </w:rPr>
        <w:t xml:space="preserve">erythropoietin therapy on cardiorenal syndrome: </w:t>
      </w:r>
      <w:r w:rsidR="00CF0D5B">
        <w:rPr>
          <w:rFonts w:ascii="Book Antiqua" w:eastAsia="Book Antiqua" w:hAnsi="Book Antiqua" w:cs="Book Antiqua"/>
        </w:rPr>
        <w:t>A</w:t>
      </w:r>
      <w:r w:rsidR="007E5BAB" w:rsidRPr="00DD376C">
        <w:rPr>
          <w:rFonts w:ascii="Book Antiqua" w:eastAsia="Book Antiqua" w:hAnsi="Book Antiqua" w:cs="Book Antiqua"/>
        </w:rPr>
        <w:t xml:space="preserve"> systematic review with </w:t>
      </w:r>
      <w:r w:rsidR="00470238" w:rsidRPr="00DD376C">
        <w:rPr>
          <w:rFonts w:ascii="Book Antiqua" w:eastAsia="Book Antiqua" w:hAnsi="Book Antiqua" w:cs="Book Antiqua"/>
        </w:rPr>
        <w:t>meta-analysis</w:t>
      </w:r>
      <w:r w:rsidRPr="00DD376C">
        <w:rPr>
          <w:rFonts w:ascii="Book Antiqua" w:eastAsia="Book Antiqua" w:hAnsi="Book Antiqua" w:cs="Book Antiqua"/>
        </w:rPr>
        <w:t xml:space="preserve">. </w:t>
      </w:r>
      <w:r w:rsidRPr="00DD376C">
        <w:rPr>
          <w:rFonts w:ascii="Book Antiqua" w:eastAsia="Book Antiqua" w:hAnsi="Book Antiqua" w:cs="Book Antiqua"/>
          <w:i/>
          <w:iCs/>
        </w:rPr>
        <w:t>World J Cardiol</w:t>
      </w:r>
      <w:r w:rsidRPr="00DD376C">
        <w:rPr>
          <w:rFonts w:ascii="Book Antiqua" w:eastAsia="Book Antiqua" w:hAnsi="Book Antiqua" w:cs="Book Antiqua"/>
        </w:rPr>
        <w:t xml:space="preserve"> 2023; In press</w:t>
      </w:r>
    </w:p>
    <w:p w14:paraId="06F3B4FD" w14:textId="77777777" w:rsidR="00A77B3E" w:rsidRPr="00DD376C" w:rsidRDefault="00A77B3E" w:rsidP="00DD376C">
      <w:pPr>
        <w:spacing w:line="360" w:lineRule="auto"/>
        <w:jc w:val="both"/>
        <w:rPr>
          <w:rFonts w:ascii="Book Antiqua" w:hAnsi="Book Antiqua"/>
        </w:rPr>
      </w:pPr>
    </w:p>
    <w:p w14:paraId="4E72F3D3"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Core Tip: </w:t>
      </w:r>
      <w:r w:rsidR="00EB62CD" w:rsidRPr="00DD376C">
        <w:rPr>
          <w:rFonts w:ascii="Book Antiqua" w:eastAsia="Book Antiqua" w:hAnsi="Book Antiqua" w:cs="Book Antiqua"/>
          <w:shd w:val="clear" w:color="auto" w:fill="FFFFFF"/>
        </w:rPr>
        <w:t>Erythropoietin</w:t>
      </w:r>
      <w:r w:rsidR="00EB62CD" w:rsidRPr="00DD376C">
        <w:rPr>
          <w:rFonts w:ascii="Book Antiqua" w:eastAsia="Book Antiqua" w:hAnsi="Book Antiqua" w:cs="Book Antiqua"/>
        </w:rPr>
        <w:t xml:space="preserve"> </w:t>
      </w:r>
      <w:r w:rsidRPr="00DD376C">
        <w:rPr>
          <w:rFonts w:ascii="Book Antiqua" w:eastAsia="Book Antiqua" w:hAnsi="Book Antiqua" w:cs="Book Antiqua"/>
        </w:rPr>
        <w:t xml:space="preserve">improves baseline </w:t>
      </w:r>
      <w:r w:rsidR="009A2C58" w:rsidRPr="00DD376C">
        <w:rPr>
          <w:rFonts w:ascii="Book Antiqua" w:eastAsia="Book Antiqua" w:hAnsi="Book Antiqua" w:cs="Book Antiqua"/>
          <w:shd w:val="clear" w:color="auto" w:fill="FFFFFF"/>
        </w:rPr>
        <w:t>hemoglobin</w:t>
      </w:r>
      <w:r w:rsidRPr="00DD376C">
        <w:rPr>
          <w:rFonts w:ascii="Book Antiqua" w:eastAsia="Book Antiqua" w:hAnsi="Book Antiqua" w:cs="Book Antiqua"/>
        </w:rPr>
        <w:t xml:space="preserve"> levels and decreases the risk of major cardiovascular.</w:t>
      </w:r>
    </w:p>
    <w:p w14:paraId="2B00BC0C" w14:textId="77777777" w:rsidR="00A77B3E" w:rsidRPr="00DD376C" w:rsidRDefault="00A77B3E" w:rsidP="00DD376C">
      <w:pPr>
        <w:spacing w:line="360" w:lineRule="auto"/>
        <w:jc w:val="both"/>
        <w:rPr>
          <w:rFonts w:ascii="Book Antiqua" w:hAnsi="Book Antiqua"/>
        </w:rPr>
      </w:pPr>
    </w:p>
    <w:p w14:paraId="563ADC65"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INTRODUCTION</w:t>
      </w:r>
    </w:p>
    <w:p w14:paraId="2B25E5D6" w14:textId="7FC08650"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shd w:val="clear" w:color="auto" w:fill="FFFFFF"/>
        </w:rPr>
        <w:t>Many patients with heart failure also experience kidney dysfunction and vice versa, as these two organs are closely related in their functions. Cardiorenal syndrome (CRS) describes a pathophysiological disorder of the heart and kidneys, whereby dysfunction of one system may contribute to dysfunction of another</w:t>
      </w:r>
      <w:r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shd w:val="clear" w:color="auto" w:fill="FFFFFF"/>
        </w:rPr>
        <w:t>. An estimated 50% of patients with congestive heart failure (CHF)</w:t>
      </w:r>
      <w:r w:rsidR="00CF0D5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xml:space="preserve"> who have both reduced and preserved left ventricular ejection fraction</w:t>
      </w:r>
      <w:r w:rsidR="00CF0D5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xml:space="preserve"> have an estimated glomerular filtrate rate (eGFR) of less than 60 mL/min/1.73 m</w:t>
      </w:r>
      <w:r w:rsidRPr="00DD376C">
        <w:rPr>
          <w:rFonts w:ascii="Book Antiqua" w:eastAsia="Book Antiqua" w:hAnsi="Book Antiqua" w:cs="Book Antiqua"/>
          <w:color w:val="000000"/>
          <w:shd w:val="clear" w:color="auto" w:fill="FFFFFF"/>
          <w:vertAlign w:val="superscript"/>
        </w:rPr>
        <w:t>2</w:t>
      </w:r>
      <w:r w:rsidRPr="00DD376C">
        <w:rPr>
          <w:rFonts w:ascii="Book Antiqua" w:eastAsia="Book Antiqua" w:hAnsi="Book Antiqua" w:cs="Book Antiqua"/>
          <w:color w:val="000000"/>
          <w:vertAlign w:val="superscript"/>
        </w:rPr>
        <w:t>[2]</w:t>
      </w:r>
      <w:r w:rsidRPr="00DD376C">
        <w:rPr>
          <w:rFonts w:ascii="Book Antiqua" w:eastAsia="Book Antiqua" w:hAnsi="Book Antiqua" w:cs="Book Antiqua"/>
          <w:color w:val="000000"/>
          <w:shd w:val="clear" w:color="auto" w:fill="FFFFFF"/>
        </w:rPr>
        <w:t>.</w:t>
      </w:r>
      <w:r w:rsidR="00AB3491"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Even moderate renal insufficiency, defined as an eGFR less than 60 mL/min/1.73 m</w:t>
      </w:r>
      <w:r w:rsidRPr="00DD376C">
        <w:rPr>
          <w:rFonts w:ascii="Book Antiqua" w:eastAsia="Book Antiqua" w:hAnsi="Book Antiqua" w:cs="Book Antiqua"/>
          <w:color w:val="000000"/>
          <w:shd w:val="clear" w:color="auto" w:fill="FFFFFF"/>
          <w:vertAlign w:val="superscript"/>
        </w:rPr>
        <w:t>2</w:t>
      </w:r>
      <w:r w:rsidRPr="00DD376C">
        <w:rPr>
          <w:rFonts w:ascii="Book Antiqua" w:eastAsia="Book Antiqua" w:hAnsi="Book Antiqua" w:cs="Book Antiqua"/>
          <w:color w:val="000000"/>
          <w:shd w:val="clear" w:color="auto" w:fill="FFFFFF"/>
        </w:rPr>
        <w:t>, is associated with an increased risk of cardiac failure, hospitalization, and all-cause mortality</w:t>
      </w:r>
      <w:r w:rsidRPr="00DD376C">
        <w:rPr>
          <w:rFonts w:ascii="Book Antiqua" w:eastAsia="Book Antiqua" w:hAnsi="Book Antiqua" w:cs="Book Antiqua"/>
          <w:color w:val="000000"/>
          <w:vertAlign w:val="superscript"/>
        </w:rPr>
        <w:t>[2]</w:t>
      </w:r>
      <w:r w:rsidRPr="00DD376C">
        <w:rPr>
          <w:rFonts w:ascii="Book Antiqua" w:eastAsia="Book Antiqua" w:hAnsi="Book Antiqua" w:cs="Book Antiqua"/>
          <w:color w:val="000000"/>
          <w:shd w:val="clear" w:color="auto" w:fill="FFFFFF"/>
        </w:rPr>
        <w:t>.</w:t>
      </w:r>
      <w:r w:rsidR="00AB3491"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CRS was previously considered to indicate acute kidney injury resulting from acute cardiac disease; however, more recent research suggests that the relationship between these two organs is bi-directional, meaning either </w:t>
      </w:r>
      <w:r w:rsidRPr="00DD376C">
        <w:rPr>
          <w:rFonts w:ascii="Book Antiqua" w:eastAsia="Book Antiqua" w:hAnsi="Book Antiqua" w:cs="Book Antiqua"/>
          <w:color w:val="000000"/>
          <w:shd w:val="clear" w:color="auto" w:fill="FFFFFF"/>
        </w:rPr>
        <w:lastRenderedPageBreak/>
        <w:t>organ could be the primary culprit</w:t>
      </w:r>
      <w:r w:rsidR="00AB3491"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vertAlign w:val="superscript"/>
        </w:rPr>
        <w:t>3]</w:t>
      </w:r>
      <w:r w:rsidRPr="00DD376C">
        <w:rPr>
          <w:rFonts w:ascii="Book Antiqua" w:eastAsia="Book Antiqua" w:hAnsi="Book Antiqua" w:cs="Book Antiqua"/>
          <w:color w:val="000000"/>
          <w:shd w:val="clear" w:color="auto" w:fill="FFFFFF"/>
        </w:rPr>
        <w:t>. CRS is categorized into five categories</w:t>
      </w:r>
      <w:r w:rsidR="00CF0D5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xml:space="preserve"> acute and chronic cardiorenal, acute and chronic nephrocardiac, and secondary cardiorenal syndrome</w:t>
      </w:r>
      <w:r w:rsidR="00AB3491"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vertAlign w:val="superscript"/>
        </w:rPr>
        <w:t>3]</w:t>
      </w:r>
      <w:r w:rsidRPr="00DD376C">
        <w:rPr>
          <w:rFonts w:ascii="Book Antiqua" w:eastAsia="Book Antiqua" w:hAnsi="Book Antiqua" w:cs="Book Antiqua"/>
          <w:color w:val="000000"/>
          <w:shd w:val="clear" w:color="auto" w:fill="FFFFFF"/>
        </w:rPr>
        <w:t>. Essentially, each sub-category of CRS describes the acuity and pathophysiology of cardiac and kidney dysfunction, how the two overlap, and the presence of other systemic disorders</w:t>
      </w:r>
      <w:r w:rsidRPr="00DD376C">
        <w:rPr>
          <w:rFonts w:ascii="Book Antiqua" w:eastAsia="Book Antiqua" w:hAnsi="Book Antiqua" w:cs="Book Antiqua"/>
          <w:color w:val="000000"/>
          <w:vertAlign w:val="superscript"/>
        </w:rPr>
        <w:t>[3]</w:t>
      </w:r>
      <w:r w:rsidRPr="00DD376C">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shd w:val="clear" w:color="auto" w:fill="FFFFFF"/>
        </w:rPr>
        <w:t>The most common subtype of CRS is type one (acute cardiorenal), with approximately 50% of patients diagnosed with this condition</w:t>
      </w:r>
      <w:r w:rsidRPr="00DD376C">
        <w:rPr>
          <w:rFonts w:ascii="Book Antiqua" w:eastAsia="Book Antiqua" w:hAnsi="Book Antiqua" w:cs="Book Antiqua"/>
          <w:color w:val="000000"/>
          <w:vertAlign w:val="superscript"/>
        </w:rPr>
        <w:t>[4]</w:t>
      </w:r>
      <w:r w:rsidRPr="00DD376C">
        <w:rPr>
          <w:rFonts w:ascii="Book Antiqua" w:eastAsia="Book Antiqua" w:hAnsi="Book Antiqua" w:cs="Book Antiqua"/>
          <w:color w:val="000000"/>
          <w:shd w:val="clear" w:color="auto" w:fill="FFFFFF"/>
        </w:rPr>
        <w:t>. The risk factors associated with worsening renal function in CRS include existing chronic kidney disease, hypertension, history of heart failure, diabetes mellitus, coronary artery disease, ischemic cardiomyopathy, and history of acute kidney injury</w:t>
      </w:r>
      <w:r w:rsidRPr="00DD376C">
        <w:rPr>
          <w:rFonts w:ascii="Book Antiqua" w:eastAsia="Book Antiqua" w:hAnsi="Book Antiqua" w:cs="Book Antiqua"/>
          <w:color w:val="000000"/>
          <w:vertAlign w:val="superscript"/>
        </w:rPr>
        <w:t>[4]</w:t>
      </w:r>
      <w:r w:rsidRPr="00DD376C">
        <w:rPr>
          <w:rFonts w:ascii="Book Antiqua" w:eastAsia="Book Antiqua" w:hAnsi="Book Antiqua" w:cs="Book Antiqua"/>
          <w:color w:val="000000"/>
          <w:shd w:val="clear" w:color="auto" w:fill="FFFFFF"/>
        </w:rPr>
        <w:t>.</w:t>
      </w:r>
    </w:p>
    <w:p w14:paraId="67EEFFBB" w14:textId="17EDA69F" w:rsidR="00A77B3E" w:rsidRPr="00DD376C" w:rsidRDefault="00BA03D4" w:rsidP="008246BA">
      <w:pPr>
        <w:spacing w:line="360" w:lineRule="auto"/>
        <w:ind w:firstLineChars="100" w:firstLine="240"/>
        <w:jc w:val="both"/>
        <w:rPr>
          <w:rFonts w:ascii="Book Antiqua" w:hAnsi="Book Antiqua"/>
        </w:rPr>
      </w:pPr>
      <w:r w:rsidRPr="00DD376C">
        <w:rPr>
          <w:rFonts w:ascii="Book Antiqua" w:eastAsia="Book Antiqua" w:hAnsi="Book Antiqua" w:cs="Book Antiqua"/>
          <w:color w:val="000000"/>
          <w:shd w:val="clear" w:color="auto" w:fill="FFFFFF"/>
        </w:rPr>
        <w:t>In addition, many studies have shown that kidney dysfunction in CHF is caused by poor renal plasma flow, which leads the kidneys to retain water and sodium, which in turn, allows for improved perfusion of all essential organs</w:t>
      </w:r>
      <w:r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shd w:val="clear" w:color="auto" w:fill="FFFFFF"/>
        </w:rPr>
        <w:t>. The presence of anemia can result in tissue hypoxia and peripheral vasodilation, resulting in lower blood pressure and renal blood flow, increased heart rate, stroke volume, renal vasoconstriction, and sodium and water reabsorption</w:t>
      </w:r>
      <w:r w:rsidRPr="00DD376C">
        <w:rPr>
          <w:rFonts w:ascii="Book Antiqua" w:eastAsia="Book Antiqua" w:hAnsi="Book Antiqua" w:cs="Book Antiqua"/>
          <w:color w:val="000000"/>
          <w:vertAlign w:val="superscript"/>
        </w:rPr>
        <w:t>[5]</w:t>
      </w:r>
      <w:r w:rsidRPr="00DD376C">
        <w:rPr>
          <w:rFonts w:ascii="Book Antiqua" w:eastAsia="Book Antiqua" w:hAnsi="Book Antiqua" w:cs="Book Antiqua"/>
          <w:color w:val="000000"/>
          <w:shd w:val="clear" w:color="auto" w:fill="FFFFFF"/>
        </w:rPr>
        <w:t>. Poor renal blood flow causes increased release of renin, angiotensin, aldosterone, and antidiuretic hormone (ADH), further increasing renal vasoconstriction and sodium and water reabsorption</w:t>
      </w:r>
      <w:r w:rsidRPr="00DD376C">
        <w:rPr>
          <w:rFonts w:ascii="Book Antiqua" w:eastAsia="Book Antiqua" w:hAnsi="Book Antiqua" w:cs="Book Antiqua"/>
          <w:color w:val="000000"/>
          <w:vertAlign w:val="superscript"/>
        </w:rPr>
        <w:t>[5]</w:t>
      </w:r>
      <w:r w:rsidRPr="00DD376C">
        <w:rPr>
          <w:rFonts w:ascii="Book Antiqua" w:eastAsia="Book Antiqua" w:hAnsi="Book Antiqua" w:cs="Book Antiqua"/>
          <w:color w:val="000000"/>
          <w:shd w:val="clear" w:color="auto" w:fill="FFFFFF"/>
        </w:rPr>
        <w:t>. Renin, angiotensin, aldosterone, and ADH are toxic to cardiac, renal, and endothelial cells, which results in dysfunction in these tissues</w:t>
      </w:r>
      <w:r w:rsidRPr="00DD376C">
        <w:rPr>
          <w:rFonts w:ascii="Book Antiqua" w:eastAsia="Book Antiqua" w:hAnsi="Book Antiqua" w:cs="Book Antiqua"/>
          <w:color w:val="000000"/>
          <w:vertAlign w:val="superscript"/>
        </w:rPr>
        <w:t>[5]</w:t>
      </w:r>
      <w:r w:rsidRPr="00DD376C">
        <w:rPr>
          <w:rFonts w:ascii="Book Antiqua" w:eastAsia="Book Antiqua" w:hAnsi="Book Antiqua" w:cs="Book Antiqua"/>
          <w:color w:val="000000"/>
          <w:shd w:val="clear" w:color="auto" w:fill="FFFFFF"/>
        </w:rPr>
        <w:t>.</w:t>
      </w:r>
    </w:p>
    <w:p w14:paraId="56D5A397" w14:textId="131DE979"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shd w:val="clear" w:color="auto" w:fill="FFFFFF"/>
        </w:rPr>
        <w:t>Nevertheless, recent studies have revealed that kidney hemodynamic changes can occur independently of the heart</w:t>
      </w:r>
      <w:r w:rsidR="00CF0D5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s hemodynamic changes</w:t>
      </w:r>
      <w:r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shd w:val="clear" w:color="auto" w:fill="FFFFFF"/>
        </w:rPr>
        <w:t>. An initial response of the kidneys to CHF is to reduce renal plasma flow and eGFR, which results in a higher filtration fraction</w:t>
      </w:r>
      <w:r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shd w:val="clear" w:color="auto" w:fill="FFFFFF"/>
        </w:rPr>
        <w:t>. To maintain eGFR, both efferent arteriolar resistance and glomerular capillary hydrostatic pressure must be increased, severely impairing overall cardiac function</w:t>
      </w:r>
      <w:r w:rsidRPr="00DD376C">
        <w:rPr>
          <w:rFonts w:ascii="Book Antiqua" w:eastAsia="Book Antiqua" w:hAnsi="Book Antiqua" w:cs="Book Antiqua"/>
          <w:color w:val="000000"/>
          <w:vertAlign w:val="superscript"/>
        </w:rPr>
        <w:t>[1]</w:t>
      </w:r>
      <w:r w:rsidRPr="00DD376C">
        <w:rPr>
          <w:rStyle w:val="MsoPageNumber0"/>
          <w:rFonts w:ascii="Book Antiqua" w:eastAsia="Book Antiqua" w:hAnsi="Book Antiqua" w:cs="Book Antiqua"/>
          <w:color w:val="000000"/>
        </w:rPr>
        <w:t xml:space="preserve">. </w:t>
      </w:r>
      <w:r w:rsidRPr="00DD376C">
        <w:rPr>
          <w:rFonts w:ascii="Book Antiqua" w:eastAsia="Book Antiqua" w:hAnsi="Book Antiqua" w:cs="Book Antiqua"/>
          <w:color w:val="000000"/>
          <w:shd w:val="clear" w:color="auto" w:fill="FFFFFF"/>
        </w:rPr>
        <w:t>Additionally, there is evidence of increased sodium reabsorption, specifically in the Loop of Henle, as well as activation of the sympathetic nervous system and the renin-angiotensin-aldosterone system (RAAS) all play a role in the development of CRS</w:t>
      </w:r>
      <w:r w:rsidR="00C052C8" w:rsidRPr="00DD376C">
        <w:rPr>
          <w:rFonts w:ascii="Book Antiqua" w:eastAsia="Book Antiqua" w:hAnsi="Book Antiqua" w:cs="Book Antiqua"/>
          <w:color w:val="000000"/>
          <w:vertAlign w:val="superscript"/>
        </w:rPr>
        <w:t>[1,</w:t>
      </w:r>
      <w:r w:rsidRPr="00DD376C">
        <w:rPr>
          <w:rFonts w:ascii="Book Antiqua" w:eastAsia="Book Antiqua" w:hAnsi="Book Antiqua" w:cs="Book Antiqua"/>
          <w:color w:val="000000"/>
          <w:vertAlign w:val="superscript"/>
        </w:rPr>
        <w:t>3]</w:t>
      </w:r>
      <w:r w:rsidRPr="00DD376C">
        <w:rPr>
          <w:rFonts w:ascii="Book Antiqua" w:eastAsia="Book Antiqua" w:hAnsi="Book Antiqua" w:cs="Book Antiqua"/>
          <w:color w:val="000000"/>
          <w:shd w:val="clear" w:color="auto" w:fill="FFFFFF"/>
        </w:rPr>
        <w:t xml:space="preserve">. Overactivation of the </w:t>
      </w:r>
      <w:r w:rsidR="00E92B83" w:rsidRPr="00DD376C">
        <w:rPr>
          <w:rFonts w:ascii="Book Antiqua" w:eastAsia="Book Antiqua" w:hAnsi="Book Antiqua" w:cs="Book Antiqua"/>
          <w:color w:val="000000"/>
          <w:shd w:val="clear" w:color="auto" w:fill="FFFFFF"/>
        </w:rPr>
        <w:t>RAAS</w:t>
      </w:r>
      <w:r w:rsidRPr="00DD376C">
        <w:rPr>
          <w:rFonts w:ascii="Book Antiqua" w:eastAsia="Book Antiqua" w:hAnsi="Book Antiqua" w:cs="Book Antiqua"/>
          <w:color w:val="000000"/>
          <w:shd w:val="clear" w:color="auto" w:fill="FFFFFF"/>
        </w:rPr>
        <w:t xml:space="preserve"> increases both preload and afterload, leading in the long-term to cardiac dysfunction.</w:t>
      </w:r>
    </w:p>
    <w:p w14:paraId="7C9824B7" w14:textId="2F2D04FB" w:rsidR="00CF0D5B" w:rsidRPr="00DD376C" w:rsidRDefault="00BA03D4" w:rsidP="001B7234">
      <w:pPr>
        <w:spacing w:line="360" w:lineRule="auto"/>
        <w:ind w:firstLine="270"/>
        <w:jc w:val="both"/>
        <w:rPr>
          <w:rFonts w:ascii="Book Antiqua" w:hAnsi="Book Antiqua"/>
        </w:rPr>
      </w:pPr>
      <w:r w:rsidRPr="00DD376C">
        <w:rPr>
          <w:rStyle w:val="MsoPageNumber0"/>
          <w:rFonts w:ascii="Book Antiqua" w:eastAsia="Book Antiqua" w:hAnsi="Book Antiqua" w:cs="Book Antiqua"/>
          <w:color w:val="000000"/>
        </w:rPr>
        <w:lastRenderedPageBreak/>
        <w:t>The presence of anemia with kidney dysfunction has also been shown to exacerbate CHF's progression and increase the risk of morbidity and mortality</w:t>
      </w:r>
      <w:r w:rsidRPr="00DD376C">
        <w:rPr>
          <w:rFonts w:ascii="Book Antiqua" w:eastAsia="Book Antiqua" w:hAnsi="Book Antiqua" w:cs="Book Antiqua"/>
          <w:color w:val="000000"/>
          <w:vertAlign w:val="superscript"/>
        </w:rPr>
        <w:t>[6]</w:t>
      </w:r>
      <w:r w:rsidRPr="00DD376C">
        <w:rPr>
          <w:rFonts w:ascii="Book Antiqua" w:eastAsia="Book Antiqua" w:hAnsi="Book Antiqua" w:cs="Book Antiqua"/>
          <w:color w:val="000000"/>
        </w:rPr>
        <w:t>. Besides contributing to tissue dysfunction by potentiating hypoxia, anemia</w:t>
      </w:r>
      <w:r w:rsidRPr="00DD376C">
        <w:rPr>
          <w:rStyle w:val="MsoPageNumber0"/>
          <w:rFonts w:ascii="Book Antiqua" w:eastAsia="Book Antiqua" w:hAnsi="Book Antiqua" w:cs="Book Antiqua"/>
          <w:color w:val="000000"/>
        </w:rPr>
        <w:t xml:space="preserve"> can also increase oxidative stress, which contributes to increased hyperdynamic blood circulation and heart failure development</w:t>
      </w:r>
      <w:r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 xml:space="preserve">. </w:t>
      </w:r>
      <w:r w:rsidR="00366CB7" w:rsidRPr="00DD376C">
        <w:rPr>
          <w:rStyle w:val="MsoPageNumber0"/>
          <w:rFonts w:ascii="Book Antiqua" w:eastAsia="Book Antiqua" w:hAnsi="Book Antiqua" w:cs="Book Antiqua"/>
          <w:color w:val="000000"/>
        </w:rPr>
        <w:t>Hemoglobin (Hb)</w:t>
      </w:r>
      <w:r w:rsidRPr="00DD376C">
        <w:rPr>
          <w:rStyle w:val="MsoPageNumber0"/>
          <w:rFonts w:ascii="Book Antiqua" w:eastAsia="Book Antiqua" w:hAnsi="Book Antiqua" w:cs="Book Antiqua"/>
          <w:color w:val="000000"/>
        </w:rPr>
        <w:t xml:space="preserve"> levels are less than or equal to 12 g/dL in approximately 40% of patients with CHF</w:t>
      </w:r>
      <w:r w:rsidRPr="00DD376C">
        <w:rPr>
          <w:rFonts w:ascii="Book Antiqua" w:eastAsia="Book Antiqua" w:hAnsi="Book Antiqua" w:cs="Book Antiqua"/>
          <w:color w:val="000000"/>
          <w:vertAlign w:val="superscript"/>
        </w:rPr>
        <w:t>[5]</w:t>
      </w:r>
      <w:r w:rsidRPr="00DD376C">
        <w:rPr>
          <w:rStyle w:val="MsoPageNumber0"/>
          <w:rFonts w:ascii="Book Antiqua" w:eastAsia="Book Antiqua" w:hAnsi="Book Antiqua" w:cs="Book Antiqua"/>
          <w:color w:val="000000"/>
        </w:rPr>
        <w:t>. Moreover, anemia is more common in the elderly, diabetics, and patients with poor baseline cardiac and/or renal function</w:t>
      </w:r>
      <w:r w:rsidRPr="00DD376C">
        <w:rPr>
          <w:rFonts w:ascii="Book Antiqua" w:eastAsia="Book Antiqua" w:hAnsi="Book Antiqua" w:cs="Book Antiqua"/>
          <w:color w:val="000000"/>
          <w:vertAlign w:val="superscript"/>
        </w:rPr>
        <w:t>[5]</w:t>
      </w:r>
      <w:r w:rsidRPr="00DD376C">
        <w:rPr>
          <w:rStyle w:val="MsoPageNumber0"/>
          <w:rFonts w:ascii="Book Antiqua" w:eastAsia="Book Antiqua" w:hAnsi="Book Antiqua" w:cs="Book Antiqua"/>
          <w:color w:val="000000"/>
        </w:rPr>
        <w:t>.</w:t>
      </w:r>
      <w:r w:rsidR="00C052C8" w:rsidRPr="00DD376C">
        <w:rPr>
          <w:rStyle w:val="MsoPageNumber0"/>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 xml:space="preserve">Increasing Hb levels can limit </w:t>
      </w:r>
      <w:r w:rsidR="00CF0D5B">
        <w:rPr>
          <w:rStyle w:val="MsoPageNumber0"/>
          <w:rFonts w:ascii="Book Antiqua" w:eastAsia="Book Antiqua" w:hAnsi="Book Antiqua" w:cs="Book Antiqua"/>
          <w:color w:val="000000"/>
        </w:rPr>
        <w:t xml:space="preserve">the detrimental effects of </w:t>
      </w:r>
      <w:r w:rsidRPr="00DD376C">
        <w:rPr>
          <w:rStyle w:val="MsoPageNumber0"/>
          <w:rFonts w:ascii="Book Antiqua" w:eastAsia="Book Antiqua" w:hAnsi="Book Antiqua" w:cs="Book Antiqua"/>
          <w:color w:val="000000"/>
        </w:rPr>
        <w:t>oxidative stress</w:t>
      </w:r>
      <w:r w:rsidR="00CF0D5B">
        <w:rPr>
          <w:rStyle w:val="MsoPageNumber0"/>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 xml:space="preserve">on the kidney and cardiac function. In a study by Pagourelias </w:t>
      </w:r>
      <w:r w:rsidRPr="00DD376C">
        <w:rPr>
          <w:rStyle w:val="MsoPageNumber0"/>
          <w:rFonts w:ascii="Book Antiqua" w:eastAsia="Book Antiqua" w:hAnsi="Book Antiqua" w:cs="Book Antiqua"/>
          <w:i/>
          <w:iCs/>
          <w:color w:val="000000"/>
        </w:rPr>
        <w:t>et al</w:t>
      </w:r>
      <w:r w:rsidR="009A14D9"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 xml:space="preserve">, for every </w:t>
      </w:r>
      <w:r w:rsidR="00CF0D5B">
        <w:rPr>
          <w:rStyle w:val="MsoPageNumber0"/>
          <w:rFonts w:ascii="Book Antiqua" w:eastAsia="Book Antiqua" w:hAnsi="Book Antiqua" w:cs="Book Antiqua"/>
          <w:color w:val="000000"/>
        </w:rPr>
        <w:t>1</w:t>
      </w:r>
      <w:r w:rsidR="00CF0D5B" w:rsidRPr="00DD376C">
        <w:rPr>
          <w:rStyle w:val="MsoPageNumber0"/>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 xml:space="preserve">g/dL increase in Hb, there </w:t>
      </w:r>
      <w:r w:rsidR="00CF0D5B">
        <w:rPr>
          <w:rStyle w:val="MsoPageNumber0"/>
          <w:rFonts w:ascii="Book Antiqua" w:eastAsia="Book Antiqua" w:hAnsi="Book Antiqua" w:cs="Book Antiqua"/>
          <w:color w:val="000000"/>
        </w:rPr>
        <w:t>was</w:t>
      </w:r>
      <w:r w:rsidR="00CF0D5B" w:rsidRPr="00DD376C">
        <w:rPr>
          <w:rStyle w:val="MsoPageNumber0"/>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a 15.8% reduction in mortality and a 14.2% reduction in mortality plus hospitalization in patients with CHF</w:t>
      </w:r>
      <w:r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 xml:space="preserve">. </w:t>
      </w:r>
      <w:r w:rsidRPr="00DD376C">
        <w:rPr>
          <w:rFonts w:ascii="Book Antiqua" w:eastAsia="Book Antiqua" w:hAnsi="Book Antiqua" w:cs="Book Antiqua"/>
          <w:color w:val="000000"/>
          <w:shd w:val="clear" w:color="auto" w:fill="FFFFFF"/>
        </w:rPr>
        <w:t>Erythropoietin (</w:t>
      </w:r>
      <w:r w:rsidRPr="00DD376C">
        <w:rPr>
          <w:rStyle w:val="MsoPageNumber0"/>
          <w:rFonts w:ascii="Book Antiqua" w:eastAsia="Book Antiqua" w:hAnsi="Book Antiqua" w:cs="Book Antiqua"/>
          <w:color w:val="000000"/>
        </w:rPr>
        <w:t xml:space="preserve">EPO) is a hematopoietic growth factor, the major function of which is to stimulate the proliferation and differentiation of erythropoiesis. EPO treatment is an efficient approach to increase Hb levels in patients with CHF whose anemia is caused by reduced EPO production. </w:t>
      </w:r>
      <w:r w:rsidRPr="00DD376C">
        <w:rPr>
          <w:rFonts w:ascii="Book Antiqua" w:eastAsia="Book Antiqua" w:hAnsi="Book Antiqua" w:cs="Book Antiqua"/>
          <w:color w:val="000000"/>
          <w:shd w:val="clear" w:color="auto" w:fill="FFFFFF"/>
        </w:rPr>
        <w:t>EPO can also influence other cellular processes, such as cell integrity and angiogenesis</w:t>
      </w:r>
      <w:r w:rsidRPr="00DD376C">
        <w:rPr>
          <w:rFonts w:ascii="Book Antiqua" w:eastAsia="Book Antiqua" w:hAnsi="Book Antiqua" w:cs="Book Antiqua"/>
          <w:color w:val="000000"/>
          <w:vertAlign w:val="superscript"/>
        </w:rPr>
        <w:t>[7]</w:t>
      </w:r>
      <w:r w:rsidRPr="00DD376C">
        <w:rPr>
          <w:rFonts w:ascii="Book Antiqua" w:eastAsia="Book Antiqua" w:hAnsi="Book Antiqua" w:cs="Book Antiqua"/>
          <w:color w:val="000000"/>
          <w:shd w:val="clear" w:color="auto" w:fill="FFFFFF"/>
        </w:rPr>
        <w:t>.</w:t>
      </w:r>
      <w:r w:rsidR="00C052C8" w:rsidRPr="00DD376C">
        <w:rPr>
          <w:rFonts w:ascii="Book Antiqua" w:eastAsia="Book Antiqua" w:hAnsi="Book Antiqua" w:cs="Book Antiqua"/>
          <w:color w:val="000000"/>
          <w:shd w:val="clear" w:color="auto" w:fill="FFFFFF"/>
        </w:rPr>
        <w:t xml:space="preserve"> </w:t>
      </w:r>
      <w:r w:rsidRPr="00DD376C">
        <w:rPr>
          <w:rStyle w:val="MsoPageNumber0"/>
          <w:rFonts w:ascii="Book Antiqua" w:eastAsia="Book Antiqua" w:hAnsi="Book Antiqua" w:cs="Book Antiqua"/>
          <w:color w:val="000000"/>
        </w:rPr>
        <w:t>EPO has been demonstrated to improve both renal and cardiac function. EPO can decrease marrow inflammation, which can reverse the myelosuppressive effects of cardiac dysfunction and coexisting uremia</w:t>
      </w:r>
      <w:r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 Furthermore, EPO may prevent myocardial ischemic injury in CHF patients by inhibiting the apoptosis of cardiac myocytes</w:t>
      </w:r>
      <w:r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 xml:space="preserve">. Iron therapy </w:t>
      </w:r>
      <w:r w:rsidR="00CF0D5B">
        <w:rPr>
          <w:rStyle w:val="MsoPageNumber0"/>
          <w:rFonts w:ascii="Book Antiqua" w:eastAsia="Book Antiqua" w:hAnsi="Book Antiqua" w:cs="Book Antiqua"/>
          <w:color w:val="000000"/>
        </w:rPr>
        <w:t>i</w:t>
      </w:r>
      <w:r w:rsidR="00CF0D5B" w:rsidRPr="00DD376C">
        <w:rPr>
          <w:rStyle w:val="MsoPageNumber0"/>
          <w:rFonts w:ascii="Book Antiqua" w:eastAsia="Book Antiqua" w:hAnsi="Book Antiqua" w:cs="Book Antiqua"/>
          <w:color w:val="000000"/>
        </w:rPr>
        <w:t xml:space="preserve">s </w:t>
      </w:r>
      <w:r w:rsidRPr="00DD376C">
        <w:rPr>
          <w:rStyle w:val="MsoPageNumber0"/>
          <w:rFonts w:ascii="Book Antiqua" w:eastAsia="Book Antiqua" w:hAnsi="Book Antiqua" w:cs="Book Antiqua"/>
          <w:color w:val="000000"/>
        </w:rPr>
        <w:t>unable to provide such effects on hematopoiesis due to the lack of hematological and immunological regulatory ability and its limited bioavailability</w:t>
      </w:r>
      <w:r w:rsidRPr="00DD376C">
        <w:rPr>
          <w:rFonts w:ascii="Book Antiqua" w:eastAsia="Book Antiqua" w:hAnsi="Book Antiqua" w:cs="Book Antiqua"/>
          <w:color w:val="000000"/>
          <w:vertAlign w:val="superscript"/>
        </w:rPr>
        <w:t>[6]</w:t>
      </w:r>
      <w:r w:rsidRPr="00DD376C">
        <w:rPr>
          <w:rStyle w:val="MsoPageNumber0"/>
          <w:rFonts w:ascii="Book Antiqua" w:eastAsia="Book Antiqua" w:hAnsi="Book Antiqua" w:cs="Book Antiqua"/>
          <w:color w:val="000000"/>
        </w:rPr>
        <w:t>.</w:t>
      </w:r>
    </w:p>
    <w:p w14:paraId="6ED62DD8" w14:textId="25EFCF7B" w:rsidR="00CF0D5B" w:rsidRDefault="00BA03D4" w:rsidP="00222D45">
      <w:pPr>
        <w:spacing w:line="360" w:lineRule="auto"/>
        <w:ind w:firstLine="270"/>
        <w:jc w:val="both"/>
        <w:rPr>
          <w:rFonts w:ascii="Book Antiqua" w:eastAsia="Book Antiqua" w:hAnsi="Book Antiqua" w:cs="Book Antiqua"/>
          <w:color w:val="000000"/>
          <w:shd w:val="clear" w:color="auto" w:fill="FFFFFF"/>
        </w:rPr>
      </w:pPr>
      <w:r w:rsidRPr="00DD376C">
        <w:rPr>
          <w:rFonts w:ascii="Book Antiqua" w:eastAsia="Book Antiqua" w:hAnsi="Book Antiqua" w:cs="Book Antiqua"/>
          <w:color w:val="000000"/>
          <w:shd w:val="clear" w:color="auto" w:fill="FFFFFF"/>
        </w:rPr>
        <w:t xml:space="preserve">It is of great significance to investigate </w:t>
      </w:r>
      <w:r w:rsidR="00CF0D5B">
        <w:rPr>
          <w:rFonts w:ascii="Book Antiqua" w:eastAsia="Book Antiqua" w:hAnsi="Book Antiqua" w:cs="Book Antiqua"/>
          <w:color w:val="000000"/>
          <w:shd w:val="clear" w:color="auto" w:fill="FFFFFF"/>
        </w:rPr>
        <w:t xml:space="preserve">the role of </w:t>
      </w:r>
      <w:r w:rsidRPr="00DD376C">
        <w:rPr>
          <w:rFonts w:ascii="Book Antiqua" w:eastAsia="Book Antiqua" w:hAnsi="Book Antiqua" w:cs="Book Antiqua"/>
          <w:color w:val="000000"/>
          <w:shd w:val="clear" w:color="auto" w:fill="FFFFFF"/>
        </w:rPr>
        <w:t>EPO</w:t>
      </w:r>
      <w:r w:rsidR="00CF0D5B">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in treating patients with CRS. Recombinant human </w:t>
      </w:r>
      <w:r w:rsidR="00CF0D5B">
        <w:rPr>
          <w:rFonts w:ascii="Book Antiqua" w:eastAsia="Book Antiqua" w:hAnsi="Book Antiqua" w:cs="Book Antiqua"/>
          <w:color w:val="000000"/>
          <w:shd w:val="clear" w:color="auto" w:fill="FFFFFF"/>
        </w:rPr>
        <w:t>EPO</w:t>
      </w:r>
      <w:r w:rsidR="00CF0D5B"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(rhEPO) is a drug routinely prescribed to treat anemia in patients with end-stage renal disease (ESRD), and rhEPO treatment has been demonstrated to be beneficial for improving patients</w:t>
      </w:r>
      <w:r w:rsidR="00CF0D5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xml:space="preserve"> life quality and survival. It is reasonable to assume that rhEPO treatment is beneficial for patients with CRS. Given the high prevalence of CRS, searching for a treatment modality that can improve therapeutic responses is of high significance in clinical practice and will significantly decrease the mortality and hospitalization of CRS patients. Fewer hospitalizations would likely result in lower healthcare costs as well. Several studies are ongoing to examine the benefits of </w:t>
      </w:r>
      <w:r w:rsidRPr="00DD376C">
        <w:rPr>
          <w:rFonts w:ascii="Book Antiqua" w:eastAsia="Book Antiqua" w:hAnsi="Book Antiqua" w:cs="Book Antiqua"/>
          <w:color w:val="000000"/>
          <w:shd w:val="clear" w:color="auto" w:fill="FFFFFF"/>
        </w:rPr>
        <w:lastRenderedPageBreak/>
        <w:t>rhEPO treatment in patients with CRS. A two-part clinical trial conducted by the University of Alberta is currently examining whether treatment with EPO will increase cardiac performance and decrease renal disease progression in patients with CRS</w:t>
      </w:r>
      <w:r w:rsidRPr="00DD376C">
        <w:rPr>
          <w:rFonts w:ascii="Book Antiqua" w:eastAsia="Book Antiqua" w:hAnsi="Book Antiqua" w:cs="Book Antiqua"/>
          <w:color w:val="000000"/>
          <w:vertAlign w:val="superscript"/>
        </w:rPr>
        <w:t>[8]</w:t>
      </w:r>
      <w:r w:rsidRPr="00DD376C">
        <w:rPr>
          <w:rFonts w:ascii="Book Antiqua" w:eastAsia="Book Antiqua" w:hAnsi="Book Antiqua" w:cs="Book Antiqua"/>
          <w:color w:val="000000"/>
          <w:shd w:val="clear" w:color="auto" w:fill="FFFFFF"/>
        </w:rPr>
        <w:t xml:space="preserve">. The failure to further investigate EPO for use in the treatment of CRS will result in the deprivation of a promising treatment option for many patients. </w:t>
      </w:r>
    </w:p>
    <w:p w14:paraId="41379472" w14:textId="7BF756E1" w:rsidR="00A77B3E" w:rsidRPr="00DD376C" w:rsidRDefault="00BA03D4" w:rsidP="001B7234">
      <w:pPr>
        <w:spacing w:line="360" w:lineRule="auto"/>
        <w:ind w:firstLine="270"/>
        <w:jc w:val="both"/>
        <w:rPr>
          <w:rFonts w:ascii="Book Antiqua" w:hAnsi="Book Antiqua"/>
        </w:rPr>
      </w:pPr>
      <w:r w:rsidRPr="00DD376C">
        <w:rPr>
          <w:rFonts w:ascii="Book Antiqua" w:eastAsia="Book Antiqua" w:hAnsi="Book Antiqua" w:cs="Book Antiqua"/>
          <w:color w:val="000000"/>
          <w:shd w:val="clear" w:color="auto" w:fill="FFFFFF"/>
        </w:rPr>
        <w:t xml:space="preserve">Through this systematic review, we aim to deepen our understanding of </w:t>
      </w:r>
      <w:r w:rsidR="00CF0D5B">
        <w:rPr>
          <w:rFonts w:ascii="Book Antiqua" w:eastAsia="Book Antiqua" w:hAnsi="Book Antiqua" w:cs="Book Antiqua"/>
          <w:color w:val="000000"/>
          <w:shd w:val="clear" w:color="auto" w:fill="FFFFFF"/>
        </w:rPr>
        <w:t xml:space="preserve">the role of </w:t>
      </w:r>
      <w:r w:rsidRPr="00DD376C">
        <w:rPr>
          <w:rFonts w:ascii="Book Antiqua" w:eastAsia="Book Antiqua" w:hAnsi="Book Antiqua" w:cs="Book Antiqua"/>
          <w:color w:val="000000"/>
          <w:shd w:val="clear" w:color="auto" w:fill="FFFFFF"/>
        </w:rPr>
        <w:t>EPO</w:t>
      </w:r>
      <w:r w:rsidR="00CF0D5B">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in managing CRS.</w:t>
      </w:r>
    </w:p>
    <w:p w14:paraId="0C46B248" w14:textId="77777777" w:rsidR="00A77B3E" w:rsidRPr="00DD376C" w:rsidRDefault="00A77B3E" w:rsidP="00DD376C">
      <w:pPr>
        <w:spacing w:line="360" w:lineRule="auto"/>
        <w:jc w:val="both"/>
        <w:rPr>
          <w:rFonts w:ascii="Book Antiqua" w:hAnsi="Book Antiqua"/>
        </w:rPr>
      </w:pPr>
    </w:p>
    <w:p w14:paraId="0F3237F8"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MATERIALS AND METHODS</w:t>
      </w:r>
    </w:p>
    <w:p w14:paraId="1499E755" w14:textId="77777777" w:rsidR="00A77B3E" w:rsidRPr="00DD376C" w:rsidRDefault="00BA03D4" w:rsidP="00DD376C">
      <w:pPr>
        <w:spacing w:line="360" w:lineRule="auto"/>
        <w:jc w:val="both"/>
        <w:rPr>
          <w:rFonts w:ascii="Book Antiqua" w:hAnsi="Book Antiqua"/>
        </w:rPr>
      </w:pPr>
      <w:r w:rsidRPr="00DD376C">
        <w:rPr>
          <w:rStyle w:val="MsoPageNumber0"/>
          <w:rFonts w:ascii="Book Antiqua" w:eastAsia="Book Antiqua" w:hAnsi="Book Antiqua" w:cs="Book Antiqua"/>
          <w:color w:val="000000"/>
        </w:rPr>
        <w:t>Our article was written according to the Preferred Reporting Items for Systematic Reviews and Meta-Analyses (PRISMA) guidelines</w:t>
      </w:r>
      <w:r w:rsidRPr="00DD376C">
        <w:rPr>
          <w:rFonts w:ascii="Book Antiqua" w:eastAsia="Book Antiqua" w:hAnsi="Book Antiqua" w:cs="Book Antiqua"/>
          <w:color w:val="000000"/>
          <w:vertAlign w:val="superscript"/>
        </w:rPr>
        <w:t>[9]</w:t>
      </w:r>
      <w:r w:rsidRPr="00DD376C">
        <w:rPr>
          <w:rFonts w:ascii="Book Antiqua" w:eastAsia="Book Antiqua" w:hAnsi="Book Antiqua" w:cs="Book Antiqua"/>
          <w:color w:val="000000"/>
        </w:rPr>
        <w:t>. It was not registered as a systematic review and no separate protocol was written. On February 24, 2022, a literature search was conducted on PubMed, Medline, and Embase databases. The literature search was conducted using the following search strategy consisting of medical subject headings (MeSH) terms and regular keywords: ("Cardio-Renal Syndrome"[Mesh] OR "cardio-renal syndrome" OR "cardiorenal" OR "cardiorenal syndrome" OR "CRS" OR "reno-cardiac syndrome" OR "renocardiac syndrome") AND ("Erythropoietin"[Mesh] OR "erythropoietin" OR "EPO" OR "epoetin alfa" OR "darbepoetin alfa" OR "colony-stimulating factors").</w:t>
      </w:r>
    </w:p>
    <w:p w14:paraId="53A4F7D2" w14:textId="653301EF" w:rsidR="004A2608" w:rsidRPr="00DD376C" w:rsidRDefault="00CF0D5B" w:rsidP="001B7234">
      <w:pPr>
        <w:spacing w:line="360" w:lineRule="auto"/>
        <w:ind w:firstLineChars="112" w:firstLine="269"/>
        <w:jc w:val="both"/>
        <w:rPr>
          <w:rFonts w:ascii="Book Antiqua" w:hAnsi="Book Antiqua"/>
        </w:rPr>
      </w:pPr>
      <w:r>
        <w:rPr>
          <w:rFonts w:ascii="Book Antiqua" w:eastAsia="Book Antiqua" w:hAnsi="Book Antiqua" w:cs="Book Antiqua"/>
          <w:color w:val="000000"/>
        </w:rPr>
        <w:t>Subsequently,</w:t>
      </w:r>
      <w:r w:rsidR="00BA03D4" w:rsidRPr="00DD376C">
        <w:rPr>
          <w:rFonts w:ascii="Book Antiqua" w:eastAsia="Book Antiqua" w:hAnsi="Book Antiqua" w:cs="Book Antiqua"/>
          <w:color w:val="000000"/>
        </w:rPr>
        <w:t xml:space="preserve"> the search results were imported into the Covidence platform, which automatically removed duplicate articles. Two reviewers independently examined titles and abstracts as part of an initial screening, followed by a second screening of full-length articles. Conflicts in the selected articles were discussed directly between the two reviewers, and a conclusion was drawn after each conflict article</w:t>
      </w:r>
      <w:r w:rsidR="004A2608">
        <w:rPr>
          <w:rFonts w:ascii="Book Antiqua" w:eastAsia="Book Antiqua" w:hAnsi="Book Antiqua" w:cs="Book Antiqua"/>
          <w:color w:val="000000"/>
        </w:rPr>
        <w:t>’</w:t>
      </w:r>
      <w:r w:rsidR="00BA03D4" w:rsidRPr="00DD376C">
        <w:rPr>
          <w:rFonts w:ascii="Book Antiqua" w:eastAsia="Book Antiqua" w:hAnsi="Book Antiqua" w:cs="Book Antiqua"/>
          <w:color w:val="000000"/>
        </w:rPr>
        <w:t xml:space="preserve">s discussion. In the event that a conclusion could not be reached, a third reviewer was consulted to vote on the final decision. We included randomized controlled clinical trials, cross-sectional studies, prospective and retrospective case-control, and cohort studies exploring the use of erythropoietin in CRS management. The articles published up to February 24, 2022, were included. We excluded </w:t>
      </w:r>
      <w:r w:rsidR="00BA03D4" w:rsidRPr="00DD376C">
        <w:rPr>
          <w:rFonts w:ascii="Book Antiqua" w:eastAsia="Book Antiqua" w:hAnsi="Book Antiqua" w:cs="Book Antiqua"/>
          <w:i/>
          <w:iCs/>
          <w:color w:val="000000"/>
        </w:rPr>
        <w:t>in vitro</w:t>
      </w:r>
      <w:r w:rsidR="00BA03D4" w:rsidRPr="00DD376C">
        <w:rPr>
          <w:rFonts w:ascii="Book Antiqua" w:eastAsia="Book Antiqua" w:hAnsi="Book Antiqua" w:cs="Book Antiqua"/>
          <w:color w:val="000000"/>
        </w:rPr>
        <w:t xml:space="preserve"> studies, animal studies, abstracts, case reports, case </w:t>
      </w:r>
      <w:r w:rsidR="00BA03D4" w:rsidRPr="00DD376C">
        <w:rPr>
          <w:rFonts w:ascii="Book Antiqua" w:eastAsia="Book Antiqua" w:hAnsi="Book Antiqua" w:cs="Book Antiqua"/>
          <w:color w:val="000000"/>
        </w:rPr>
        <w:lastRenderedPageBreak/>
        <w:t>series, systematic reviews, and meta-analyses. Furthermore, we excluded articles in languages other than English.</w:t>
      </w:r>
    </w:p>
    <w:p w14:paraId="62A0DDF7" w14:textId="0BE4FAD9"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rPr>
        <w:t>Following this, a quality assessment was performed using the 2013 National Heart, Lung, and Blood Institute (NHLBI) quality assessment tools for controlled intervention studies and observational cohort or cross-sectional studies</w:t>
      </w:r>
      <w:r w:rsidRPr="00DD376C">
        <w:rPr>
          <w:rFonts w:ascii="Book Antiqua" w:eastAsia="Book Antiqua" w:hAnsi="Book Antiqua" w:cs="Book Antiqua"/>
          <w:color w:val="000000"/>
          <w:vertAlign w:val="superscript"/>
        </w:rPr>
        <w:t>[10]</w:t>
      </w:r>
      <w:r w:rsidRPr="00DD376C">
        <w:rPr>
          <w:rFonts w:ascii="Book Antiqua" w:eastAsia="Book Antiqua" w:hAnsi="Book Antiqua" w:cs="Book Antiqua"/>
          <w:color w:val="000000"/>
        </w:rPr>
        <w:t>. We included studies that scored 11 or higher on each quality assessment tool. Each study was then analyzed for obvious biases and confounding variables. Extrapolation of data was performed by one reviewer and displayed in a table (shown below). A qualitative analysis of the data was conducted following data extraction for the systematic review.</w:t>
      </w:r>
    </w:p>
    <w:p w14:paraId="50703E8C" w14:textId="1A8F1B22"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rPr>
        <w:t>We performed a meta-analysis since there were a number of eligible studies. For studies included in the meta-analysis, an odds ratio</w:t>
      </w:r>
      <w:r w:rsidR="00A2692B">
        <w:rPr>
          <w:rFonts w:ascii="Book Antiqua" w:eastAsia="Book Antiqua" w:hAnsi="Book Antiqua" w:cs="Book Antiqua"/>
          <w:color w:val="000000"/>
        </w:rPr>
        <w:t xml:space="preserve"> (OR)</w:t>
      </w:r>
      <w:r w:rsidRPr="00DD376C">
        <w:rPr>
          <w:rFonts w:ascii="Book Antiqua" w:eastAsia="Book Antiqua" w:hAnsi="Book Antiqua" w:cs="Book Antiqua"/>
          <w:color w:val="000000"/>
        </w:rPr>
        <w:t xml:space="preserve"> was calculated. Due to the substantial heterogeneity in the concluded study, a random effects model was used for the meta-analysis. Meta-analysis was conducted using Review Manager 5.4.1 software. Meta-analysis studies with forest plots were included for the outcomes.</w:t>
      </w:r>
    </w:p>
    <w:p w14:paraId="7D1C5753" w14:textId="77777777" w:rsidR="00A77B3E" w:rsidRPr="00DD376C" w:rsidRDefault="00A77B3E" w:rsidP="00DD376C">
      <w:pPr>
        <w:spacing w:line="360" w:lineRule="auto"/>
        <w:jc w:val="both"/>
        <w:rPr>
          <w:rFonts w:ascii="Book Antiqua" w:hAnsi="Book Antiqua"/>
        </w:rPr>
      </w:pPr>
    </w:p>
    <w:p w14:paraId="434EFC85"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RESULTS</w:t>
      </w:r>
    </w:p>
    <w:p w14:paraId="483A4D69" w14:textId="435DEDF5" w:rsidR="00A77B3E" w:rsidRPr="00BD5F33"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We selected 148 relevant articles from PubMed, Medline, and Embase using an advanced search strategy combining MeSH terms and common keywords. We removed 11 duplicate articles. We screened 137 titles and abstracts before selecting 43 articles for full-text review. </w:t>
      </w:r>
      <w:r w:rsidR="00C33D2F">
        <w:rPr>
          <w:rFonts w:ascii="Book Antiqua" w:eastAsia="Book Antiqua" w:hAnsi="Book Antiqua" w:cs="Book Antiqua"/>
          <w:color w:val="000000"/>
        </w:rPr>
        <w:t>O</w:t>
      </w:r>
      <w:r w:rsidRPr="00DD376C">
        <w:rPr>
          <w:rFonts w:ascii="Book Antiqua" w:eastAsia="Book Antiqua" w:hAnsi="Book Antiqua" w:cs="Book Antiqua"/>
          <w:color w:val="000000"/>
        </w:rPr>
        <w:t>f the 43 articles assessed for eligibility, 34 articles were excluded (</w:t>
      </w:r>
      <w:r w:rsidR="00C33D2F">
        <w:rPr>
          <w:rFonts w:ascii="Book Antiqua" w:eastAsia="Book Antiqua" w:hAnsi="Book Antiqua" w:cs="Book Antiqua"/>
          <w:color w:val="000000"/>
        </w:rPr>
        <w:t xml:space="preserve">7 </w:t>
      </w:r>
      <w:r w:rsidRPr="00DD376C">
        <w:rPr>
          <w:rFonts w:ascii="Book Antiqua" w:eastAsia="Book Antiqua" w:hAnsi="Book Antiqua" w:cs="Book Antiqua"/>
          <w:color w:val="000000"/>
        </w:rPr>
        <w:t xml:space="preserve">were incorrect study designs, </w:t>
      </w:r>
      <w:r w:rsidR="00C33D2F">
        <w:rPr>
          <w:rFonts w:ascii="Book Antiqua" w:eastAsia="Book Antiqua" w:hAnsi="Book Antiqua" w:cs="Book Antiqua"/>
          <w:color w:val="000000"/>
        </w:rPr>
        <w:t>3</w:t>
      </w:r>
      <w:r w:rsidR="00C33D2F"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 xml:space="preserve">were not retrievable, and </w:t>
      </w:r>
      <w:r w:rsidR="00C33D2F">
        <w:rPr>
          <w:rFonts w:ascii="Book Antiqua" w:eastAsia="Book Antiqua" w:hAnsi="Book Antiqua" w:cs="Book Antiqua"/>
          <w:color w:val="000000"/>
        </w:rPr>
        <w:t>1</w:t>
      </w:r>
      <w:r w:rsidR="00C33D2F"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 xml:space="preserve">was an abstract). A total of nine studies were evaluated using the NHLBI quality assessment tools for controlled intervention studies and observational cohort studies or cross-sectional studies. Of the nine studies, six were randomized controlled trials, two were retrospective cohort studies, and one was a prospective cohort study. Articles that scored 11 or higher out of 14 on the assessment scale were considered high-quality articles, </w:t>
      </w:r>
      <w:r w:rsidR="00C33D2F">
        <w:rPr>
          <w:rFonts w:ascii="Book Antiqua" w:eastAsia="Book Antiqua" w:hAnsi="Book Antiqua" w:cs="Book Antiqua"/>
          <w:color w:val="000000"/>
        </w:rPr>
        <w:t xml:space="preserve">and </w:t>
      </w:r>
      <w:r w:rsidRPr="00DD376C">
        <w:rPr>
          <w:rFonts w:ascii="Book Antiqua" w:eastAsia="Book Antiqua" w:hAnsi="Book Antiqua" w:cs="Book Antiqua"/>
          <w:color w:val="000000"/>
        </w:rPr>
        <w:t>therefore</w:t>
      </w:r>
      <w:r w:rsidR="00C33D2F">
        <w:rPr>
          <w:rFonts w:ascii="Book Antiqua" w:eastAsia="Book Antiqua" w:hAnsi="Book Antiqua" w:cs="Book Antiqua"/>
          <w:color w:val="000000"/>
        </w:rPr>
        <w:t xml:space="preserve"> were </w:t>
      </w:r>
      <w:r w:rsidRPr="00DD376C">
        <w:rPr>
          <w:rFonts w:ascii="Book Antiqua" w:eastAsia="Book Antiqua" w:hAnsi="Book Antiqua" w:cs="Book Antiqua"/>
          <w:color w:val="000000"/>
        </w:rPr>
        <w:t xml:space="preserve">included in the systematic review. Eight studies scored 11 points out of 14, </w:t>
      </w:r>
      <w:r w:rsidR="00C33D2F">
        <w:rPr>
          <w:rFonts w:ascii="Book Antiqua" w:eastAsia="Book Antiqua" w:hAnsi="Book Antiqua" w:cs="Book Antiqua"/>
          <w:color w:val="000000"/>
        </w:rPr>
        <w:t>whereas</w:t>
      </w:r>
      <w:r w:rsidR="00C33D2F"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 xml:space="preserve">one study scored 12 points out of 14. A PRISMA flowchart of the reviewed literature and search strategies can be found in Figure 1. Table 1 summarizes the included studies and </w:t>
      </w:r>
      <w:r w:rsidRPr="00DD376C">
        <w:rPr>
          <w:rFonts w:ascii="Book Antiqua" w:eastAsia="Book Antiqua" w:hAnsi="Book Antiqua" w:cs="Book Antiqua"/>
          <w:color w:val="000000"/>
        </w:rPr>
        <w:lastRenderedPageBreak/>
        <w:t>their statistical signific</w:t>
      </w:r>
      <w:r w:rsidRPr="00C00E6E">
        <w:rPr>
          <w:rFonts w:ascii="Book Antiqua" w:eastAsia="Book Antiqua" w:hAnsi="Book Antiqua" w:cs="Book Antiqua"/>
          <w:color w:val="000000"/>
        </w:rPr>
        <w:t>ance</w:t>
      </w:r>
      <w:r w:rsidR="0035345B" w:rsidRPr="00BD5F33">
        <w:rPr>
          <w:rFonts w:ascii="Book Antiqua" w:eastAsia="Book Antiqua" w:hAnsi="Book Antiqua" w:cs="Book Antiqua"/>
          <w:color w:val="000000"/>
          <w:vertAlign w:val="superscript"/>
        </w:rPr>
        <w:t>[</w:t>
      </w:r>
      <w:r w:rsidR="00716AD8" w:rsidRPr="00BD5F33">
        <w:rPr>
          <w:rFonts w:ascii="Book Antiqua" w:eastAsia="Book Antiqua" w:hAnsi="Book Antiqua" w:cs="Book Antiqua"/>
          <w:color w:val="000000"/>
          <w:vertAlign w:val="superscript"/>
        </w:rPr>
        <w:t>11</w:t>
      </w:r>
      <w:r w:rsidR="0035345B" w:rsidRPr="00BD5F33">
        <w:rPr>
          <w:rFonts w:ascii="Book Antiqua" w:eastAsia="Book Antiqua" w:hAnsi="Book Antiqua" w:cs="Book Antiqua"/>
          <w:color w:val="000000"/>
          <w:vertAlign w:val="superscript"/>
        </w:rPr>
        <w:t>-19]</w:t>
      </w:r>
      <w:r w:rsidRPr="00C00E6E">
        <w:rPr>
          <w:rFonts w:ascii="Book Antiqua" w:eastAsia="Book Antiqua" w:hAnsi="Book Antiqua" w:cs="Book Antiqua"/>
          <w:color w:val="000000"/>
        </w:rPr>
        <w:t xml:space="preserve">. In addition, </w:t>
      </w:r>
      <w:r w:rsidR="00522248" w:rsidRPr="00C00E6E">
        <w:rPr>
          <w:rFonts w:ascii="Book Antiqua" w:eastAsia="Book Antiqua" w:hAnsi="Book Antiqua" w:cs="Book Antiqua"/>
          <w:color w:val="000000"/>
        </w:rPr>
        <w:t xml:space="preserve">Table </w:t>
      </w:r>
      <w:r w:rsidRPr="00BD5F33">
        <w:rPr>
          <w:rFonts w:ascii="Book Antiqua" w:eastAsia="Book Antiqua" w:hAnsi="Book Antiqua" w:cs="Book Antiqua"/>
          <w:color w:val="000000"/>
        </w:rPr>
        <w:t>1 illustrates how each study was scored according to the NHLBI quality assessment tools.</w:t>
      </w:r>
    </w:p>
    <w:p w14:paraId="7FB89FD7" w14:textId="232A4E76" w:rsidR="00A77B3E" w:rsidRPr="00DD376C" w:rsidRDefault="00BA03D4" w:rsidP="001B7234">
      <w:pPr>
        <w:spacing w:line="360" w:lineRule="auto"/>
        <w:ind w:firstLine="270"/>
        <w:jc w:val="both"/>
        <w:rPr>
          <w:rFonts w:ascii="Book Antiqua" w:hAnsi="Book Antiqua"/>
        </w:rPr>
      </w:pPr>
      <w:r w:rsidRPr="00BD5F33">
        <w:rPr>
          <w:rFonts w:ascii="Book Antiqua" w:eastAsia="Book Antiqua" w:hAnsi="Book Antiqua" w:cs="Book Antiqua"/>
          <w:color w:val="000000"/>
          <w:shd w:val="clear" w:color="auto" w:fill="FFFFFF"/>
        </w:rPr>
        <w:t xml:space="preserve">There </w:t>
      </w:r>
      <w:r w:rsidR="00A2692B">
        <w:rPr>
          <w:rFonts w:ascii="Book Antiqua" w:eastAsia="Book Antiqua" w:hAnsi="Book Antiqua" w:cs="Book Antiqua"/>
          <w:color w:val="000000"/>
          <w:shd w:val="clear" w:color="auto" w:fill="FFFFFF"/>
        </w:rPr>
        <w:t>were</w:t>
      </w:r>
      <w:r w:rsidR="00A2692B" w:rsidRPr="00BD5F33">
        <w:rPr>
          <w:rFonts w:ascii="Book Antiqua" w:eastAsia="Book Antiqua" w:hAnsi="Book Antiqua" w:cs="Book Antiqua"/>
          <w:color w:val="000000"/>
          <w:shd w:val="clear" w:color="auto" w:fill="FFFFFF"/>
        </w:rPr>
        <w:t xml:space="preserve"> </w:t>
      </w:r>
      <w:r w:rsidRPr="00BD5F33">
        <w:rPr>
          <w:rFonts w:ascii="Book Antiqua" w:eastAsia="Book Antiqua" w:hAnsi="Book Antiqua" w:cs="Book Antiqua"/>
          <w:color w:val="000000"/>
          <w:shd w:val="clear" w:color="auto" w:fill="FFFFFF"/>
        </w:rPr>
        <w:t>two studies included in the meta-analysis</w:t>
      </w:r>
      <w:r w:rsidR="00D47D7C" w:rsidRPr="00BD5F33">
        <w:rPr>
          <w:rFonts w:ascii="Book Antiqua" w:eastAsia="Book Antiqua" w:hAnsi="Book Antiqua" w:cs="Book Antiqua"/>
          <w:color w:val="000000"/>
          <w:vertAlign w:val="superscript"/>
        </w:rPr>
        <w:t>[11</w:t>
      </w:r>
      <w:r w:rsidR="00D47D7C" w:rsidRPr="00C00E6E">
        <w:rPr>
          <w:rFonts w:ascii="Book Antiqua" w:eastAsia="Book Antiqua" w:hAnsi="Book Antiqua" w:cs="Book Antiqua"/>
          <w:color w:val="000000"/>
          <w:vertAlign w:val="superscript"/>
        </w:rPr>
        <w:t>,</w:t>
      </w:r>
      <w:r w:rsidRPr="00C00E6E">
        <w:rPr>
          <w:rFonts w:ascii="Book Antiqua" w:eastAsia="Book Antiqua" w:hAnsi="Book Antiqua" w:cs="Book Antiqua"/>
          <w:color w:val="000000"/>
          <w:vertAlign w:val="superscript"/>
        </w:rPr>
        <w:t>12]</w:t>
      </w:r>
      <w:r w:rsidRPr="00FD6E68">
        <w:rPr>
          <w:rFonts w:ascii="Book Antiqua" w:eastAsia="Book Antiqua" w:hAnsi="Book Antiqua" w:cs="Book Antiqua"/>
          <w:color w:val="000000"/>
        </w:rPr>
        <w:t xml:space="preserve">. Study results showed a nonsignificant decrease </w:t>
      </w:r>
      <w:r w:rsidR="00A2692B">
        <w:rPr>
          <w:rFonts w:ascii="Book Antiqua" w:eastAsia="Book Antiqua" w:hAnsi="Book Antiqua" w:cs="Book Antiqua"/>
          <w:color w:val="000000"/>
        </w:rPr>
        <w:t xml:space="preserve">in </w:t>
      </w:r>
      <w:r w:rsidRPr="00FD6E68">
        <w:rPr>
          <w:rFonts w:ascii="Book Antiqua" w:eastAsia="Book Antiqua" w:hAnsi="Book Antiqua" w:cs="Book Antiqua"/>
          <w:color w:val="000000"/>
        </w:rPr>
        <w:t>all causes of</w:t>
      </w:r>
      <w:r w:rsidR="00DD2B5A" w:rsidRPr="00FD6E68">
        <w:rPr>
          <w:rFonts w:ascii="Book Antiqua" w:eastAsia="Book Antiqua" w:hAnsi="Book Antiqua" w:cs="Book Antiqua"/>
          <w:color w:val="000000"/>
        </w:rPr>
        <w:t xml:space="preserve"> hospitalization </w:t>
      </w:r>
      <w:r w:rsidR="00A2692B">
        <w:rPr>
          <w:rFonts w:ascii="Book Antiqua" w:eastAsia="Book Antiqua" w:hAnsi="Book Antiqua" w:cs="Book Antiqua"/>
          <w:color w:val="000000"/>
        </w:rPr>
        <w:t>(</w:t>
      </w:r>
      <w:r w:rsidR="00DD2B5A" w:rsidRPr="00FD6E68">
        <w:rPr>
          <w:rFonts w:ascii="Book Antiqua" w:eastAsia="Book Antiqua" w:hAnsi="Book Antiqua" w:cs="Book Antiqua"/>
          <w:color w:val="000000"/>
        </w:rPr>
        <w:t xml:space="preserve">OR = 0.93 </w:t>
      </w:r>
      <w:r w:rsidR="00A2692B">
        <w:rPr>
          <w:rFonts w:ascii="Book Antiqua" w:eastAsia="Book Antiqua" w:hAnsi="Book Antiqua" w:cs="Book Antiqua"/>
          <w:color w:val="000000"/>
        </w:rPr>
        <w:t>[</w:t>
      </w:r>
      <w:r w:rsidR="00DD2B5A" w:rsidRPr="00FD6E68">
        <w:rPr>
          <w:rFonts w:ascii="Book Antiqua" w:eastAsia="Book Antiqua" w:hAnsi="Book Antiqua" w:cs="Book Antiqua"/>
          <w:color w:val="000000"/>
        </w:rPr>
        <w:t>95%</w:t>
      </w:r>
      <w:r w:rsidR="00A2692B">
        <w:rPr>
          <w:rFonts w:ascii="Book Antiqua" w:eastAsia="Book Antiqua" w:hAnsi="Book Antiqua" w:cs="Book Antiqua"/>
          <w:color w:val="000000"/>
        </w:rPr>
        <w:t xml:space="preserve"> confidence interval (</w:t>
      </w:r>
      <w:r w:rsidRPr="00DD376C">
        <w:rPr>
          <w:rFonts w:ascii="Book Antiqua" w:eastAsia="Book Antiqua" w:hAnsi="Book Antiqua" w:cs="Book Antiqua"/>
          <w:color w:val="000000"/>
        </w:rPr>
        <w:t>CI</w:t>
      </w:r>
      <w:r w:rsidR="00A2692B">
        <w:rPr>
          <w:rFonts w:ascii="Book Antiqua" w:eastAsia="Book Antiqua" w:hAnsi="Book Antiqua" w:cs="Book Antiqua"/>
          <w:color w:val="000000"/>
        </w:rPr>
        <w:t>)</w:t>
      </w:r>
      <w:r w:rsidRPr="00DD376C">
        <w:rPr>
          <w:rFonts w:ascii="Book Antiqua" w:eastAsia="Book Antiqua" w:hAnsi="Book Antiqua" w:cs="Book Antiqua"/>
          <w:color w:val="000000"/>
        </w:rPr>
        <w:t>, 0.23, 3.72</w:t>
      </w:r>
      <w:r w:rsidR="00A2692B">
        <w:rPr>
          <w:rFonts w:ascii="Book Antiqua" w:eastAsia="Book Antiqua" w:hAnsi="Book Antiqua" w:cs="Book Antiqua"/>
          <w:color w:val="000000"/>
        </w:rPr>
        <w:t>];</w:t>
      </w:r>
      <w:r w:rsidRPr="00DD376C">
        <w:rPr>
          <w:rFonts w:ascii="Book Antiqua" w:eastAsia="Book Antiqua" w:hAnsi="Book Antiqua" w:cs="Book Antiqua"/>
          <w:color w:val="000000"/>
        </w:rPr>
        <w:t xml:space="preserve"> </w:t>
      </w:r>
      <w:r w:rsidRPr="00DD376C">
        <w:rPr>
          <w:rFonts w:ascii="Book Antiqua" w:eastAsia="Book Antiqua" w:hAnsi="Book Antiqua" w:cs="Book Antiqua"/>
          <w:i/>
          <w:iCs/>
          <w:color w:val="000000"/>
          <w:shd w:val="clear" w:color="auto" w:fill="FFFFFF"/>
        </w:rPr>
        <w:t>P</w:t>
      </w:r>
      <w:r w:rsidRPr="00DD376C">
        <w:rPr>
          <w:rFonts w:ascii="Book Antiqua" w:eastAsia="Book Antiqua" w:hAnsi="Book Antiqua" w:cs="Book Antiqua"/>
          <w:color w:val="000000"/>
          <w:shd w:val="clear" w:color="auto" w:fill="FFFFFF"/>
        </w:rPr>
        <w:t xml:space="preserve"> = 0.92</w:t>
      </w:r>
      <w:r w:rsidR="00A2692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There was a high level of heterogeneity among the included studies</w:t>
      </w:r>
      <w:r w:rsidR="00D47D7C"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w:t>
      </w:r>
      <w:r w:rsidRPr="00DD376C">
        <w:rPr>
          <w:rFonts w:ascii="Book Antiqua" w:eastAsia="Book Antiqua" w:hAnsi="Book Antiqua" w:cs="Book Antiqua"/>
          <w:i/>
          <w:color w:val="000000"/>
          <w:shd w:val="clear" w:color="auto" w:fill="FFFFFF"/>
        </w:rPr>
        <w:t>I</w:t>
      </w:r>
      <w:r w:rsidRPr="00DD376C">
        <w:rPr>
          <w:rFonts w:ascii="Book Antiqua" w:eastAsia="Book Antiqua" w:hAnsi="Book Antiqua" w:cs="Book Antiqua"/>
          <w:color w:val="000000"/>
          <w:shd w:val="clear" w:color="auto" w:fill="FFFFFF"/>
        </w:rPr>
        <w:t>² = 76%) (Figure 2).</w:t>
      </w:r>
      <w:r w:rsidR="00D47D7C"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The asymmetry in the funnel plot indicates the existence of publication or selective reporting bias (Figure 3).</w:t>
      </w:r>
    </w:p>
    <w:p w14:paraId="68D8EE1E" w14:textId="717E9834" w:rsidR="00A77B3E" w:rsidRPr="00DD376C" w:rsidRDefault="00BA03D4" w:rsidP="001B7234">
      <w:pPr>
        <w:spacing w:line="360" w:lineRule="auto"/>
        <w:ind w:firstLine="270"/>
        <w:jc w:val="both"/>
        <w:rPr>
          <w:rFonts w:ascii="Book Antiqua" w:hAnsi="Book Antiqua"/>
        </w:rPr>
      </w:pPr>
      <w:r w:rsidRPr="00DD376C">
        <w:rPr>
          <w:rFonts w:ascii="Book Antiqua" w:eastAsia="Book Antiqua" w:hAnsi="Book Antiqua" w:cs="Book Antiqua"/>
          <w:color w:val="000000"/>
        </w:rPr>
        <w:t xml:space="preserve">Elevated serum neutrophil-gelatinase-associated lipocalin (NGAL) is inversely correlated with baseline EPO levels, independent of renal function. Low-dose EPO treatment caused a moderate decrease in serum NGAL levels, therefore reflecting potential improvement in renal tubular damage. </w:t>
      </w:r>
    </w:p>
    <w:p w14:paraId="6533EE35" w14:textId="77777777" w:rsidR="00A77B3E" w:rsidRPr="00DD376C" w:rsidRDefault="00A77B3E" w:rsidP="00DD376C">
      <w:pPr>
        <w:spacing w:line="360" w:lineRule="auto"/>
        <w:jc w:val="both"/>
        <w:rPr>
          <w:rFonts w:ascii="Book Antiqua" w:hAnsi="Book Antiqua"/>
        </w:rPr>
      </w:pPr>
    </w:p>
    <w:p w14:paraId="14464405"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DISCUSSION</w:t>
      </w:r>
    </w:p>
    <w:p w14:paraId="66AC2258" w14:textId="324EFECE" w:rsidR="00A77B3E" w:rsidRPr="00DD376C" w:rsidRDefault="00BA03D4" w:rsidP="00DD376C">
      <w:pPr>
        <w:spacing w:line="360" w:lineRule="auto"/>
        <w:jc w:val="both"/>
        <w:rPr>
          <w:rFonts w:ascii="Book Antiqua" w:hAnsi="Book Antiqua"/>
          <w:b/>
          <w:i/>
        </w:rPr>
      </w:pPr>
      <w:r w:rsidRPr="00DD376C">
        <w:rPr>
          <w:rFonts w:ascii="Book Antiqua" w:eastAsia="Book Antiqua" w:hAnsi="Book Antiqua" w:cs="Book Antiqua"/>
          <w:b/>
          <w:i/>
          <w:color w:val="000000"/>
        </w:rPr>
        <w:t xml:space="preserve">Effects of EPO on </w:t>
      </w:r>
      <w:r w:rsidR="00A367E2" w:rsidRPr="00DD376C">
        <w:rPr>
          <w:rFonts w:ascii="Book Antiqua" w:eastAsia="Book Antiqua" w:hAnsi="Book Antiqua" w:cs="Book Antiqua"/>
          <w:b/>
          <w:i/>
          <w:color w:val="000000"/>
        </w:rPr>
        <w:t>Hb</w:t>
      </w:r>
      <w:r w:rsidRPr="00DD376C">
        <w:rPr>
          <w:rFonts w:ascii="Book Antiqua" w:eastAsia="Book Antiqua" w:hAnsi="Book Antiqua" w:cs="Book Antiqua"/>
          <w:b/>
          <w:i/>
          <w:color w:val="000000"/>
        </w:rPr>
        <w:t xml:space="preserve"> levels and predictors of EPO use</w:t>
      </w:r>
    </w:p>
    <w:p w14:paraId="74AE8273" w14:textId="176B68E1" w:rsidR="00A77B3E" w:rsidRPr="00DD376C" w:rsidRDefault="00BA03D4" w:rsidP="00DD376C">
      <w:pPr>
        <w:spacing w:line="360" w:lineRule="auto"/>
        <w:jc w:val="both"/>
        <w:rPr>
          <w:rFonts w:ascii="Book Antiqua" w:hAnsi="Book Antiqua"/>
        </w:rPr>
      </w:pPr>
      <w:r w:rsidRPr="00DD376C">
        <w:rPr>
          <w:rStyle w:val="MsoPageNumber0"/>
          <w:rFonts w:ascii="Book Antiqua" w:eastAsia="Book Antiqua" w:hAnsi="Book Antiqua" w:cs="Book Antiqua"/>
          <w:color w:val="000000"/>
        </w:rPr>
        <w:t xml:space="preserve">As expected, the majority of studies concluded that EPO therapy increased Hb levels in patients with CRS. Furthermore, it would be expected that lower Hb levels would be associated with a higher rate of EPO prescription. This was confirmed in a study by Jackevicius </w:t>
      </w:r>
      <w:r w:rsidRPr="00DD376C">
        <w:rPr>
          <w:rStyle w:val="MsoPageNumber0"/>
          <w:rFonts w:ascii="Book Antiqua" w:eastAsia="Book Antiqua" w:hAnsi="Book Antiqua" w:cs="Book Antiqua"/>
          <w:i/>
          <w:iCs/>
          <w:color w:val="000000"/>
        </w:rPr>
        <w:t>et al</w:t>
      </w:r>
      <w:r w:rsidR="00CC0114" w:rsidRPr="00DD376C">
        <w:rPr>
          <w:rFonts w:ascii="Book Antiqua" w:eastAsia="Book Antiqua" w:hAnsi="Book Antiqua" w:cs="Book Antiqua"/>
          <w:color w:val="000000"/>
          <w:vertAlign w:val="superscript"/>
        </w:rPr>
        <w:t>[12]</w:t>
      </w:r>
      <w:r w:rsidRPr="00DD376C">
        <w:rPr>
          <w:rStyle w:val="MsoPageNumber0"/>
          <w:rFonts w:ascii="Book Antiqua" w:eastAsia="Book Antiqua" w:hAnsi="Book Antiqua" w:cs="Book Antiqua"/>
          <w:color w:val="000000"/>
        </w:rPr>
        <w:t xml:space="preserve"> that found EPO therapy to be inversely related to Hb levels, such that patients with lower Hb levels are more likely to be prescribed EPO.</w:t>
      </w:r>
      <w:r w:rsidR="001F5AEB" w:rsidRPr="00DD376C">
        <w:rPr>
          <w:rStyle w:val="MsoPageNumber0"/>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 xml:space="preserve">On average, Hb levels are found to increase approximately </w:t>
      </w:r>
      <w:r w:rsidR="00A2692B">
        <w:rPr>
          <w:rStyle w:val="MsoPageNumber0"/>
          <w:rFonts w:ascii="Book Antiqua" w:eastAsia="Book Antiqua" w:hAnsi="Book Antiqua" w:cs="Book Antiqua"/>
          <w:color w:val="000000"/>
        </w:rPr>
        <w:t>6 wk</w:t>
      </w:r>
      <w:r w:rsidRPr="00DD376C">
        <w:rPr>
          <w:rStyle w:val="MsoPageNumber0"/>
          <w:rFonts w:ascii="Book Antiqua" w:eastAsia="Book Antiqua" w:hAnsi="Book Antiqua" w:cs="Book Antiqua"/>
          <w:color w:val="000000"/>
        </w:rPr>
        <w:t xml:space="preserve"> after EPO treatment, at which point most patients experience symptomatic improvement</w:t>
      </w:r>
      <w:r w:rsidRPr="00DD376C">
        <w:rPr>
          <w:rFonts w:ascii="Book Antiqua" w:eastAsia="Book Antiqua" w:hAnsi="Book Antiqua" w:cs="Book Antiqua"/>
          <w:color w:val="000000"/>
          <w:vertAlign w:val="superscript"/>
        </w:rPr>
        <w:t>[20]</w:t>
      </w:r>
      <w:r w:rsidRPr="00DD376C">
        <w:rPr>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The need for prolonged treatment was confirmed by</w:t>
      </w:r>
      <w:r w:rsidRPr="00DD376C">
        <w:rPr>
          <w:rFonts w:ascii="Book Antiqua" w:eastAsia="Book Antiqua" w:hAnsi="Book Antiqua" w:cs="Book Antiqua"/>
          <w:color w:val="000000"/>
        </w:rPr>
        <w:t xml:space="preserve"> Jie </w:t>
      </w:r>
      <w:r w:rsidRPr="00DD376C">
        <w:rPr>
          <w:rFonts w:ascii="Book Antiqua" w:eastAsia="Book Antiqua" w:hAnsi="Book Antiqua" w:cs="Book Antiqua"/>
          <w:i/>
          <w:iCs/>
          <w:color w:val="000000"/>
        </w:rPr>
        <w:t>et al</w:t>
      </w:r>
      <w:r w:rsidR="00AD0608" w:rsidRPr="00DD376C">
        <w:rPr>
          <w:rFonts w:ascii="Book Antiqua" w:eastAsia="Book Antiqua" w:hAnsi="Book Antiqua" w:cs="Book Antiqua"/>
          <w:color w:val="000000"/>
          <w:vertAlign w:val="superscript"/>
        </w:rPr>
        <w:t>[16]</w:t>
      </w:r>
      <w:r w:rsidRPr="00DD376C">
        <w:rPr>
          <w:rFonts w:ascii="Book Antiqua" w:eastAsia="Book Antiqua" w:hAnsi="Book Antiqua" w:cs="Book Antiqua"/>
          <w:color w:val="000000"/>
        </w:rPr>
        <w:t xml:space="preserve">, </w:t>
      </w:r>
      <w:r w:rsidRPr="00DD376C">
        <w:rPr>
          <w:rStyle w:val="MsoPageNumber0"/>
          <w:rFonts w:ascii="Book Antiqua" w:eastAsia="Book Antiqua" w:hAnsi="Book Antiqua" w:cs="Book Antiqua"/>
          <w:color w:val="000000"/>
        </w:rPr>
        <w:t>who found that short-term EPO use (3 wk) did not result in any change in Hb levels in patients with CRS, whereas long-term EPO therapy (52 wk) resulted in a significant increase in both Hb and reticulocyte count. Further, the strongest predictors of EPO use include iron supplementation, markers of declining renal function, and patients taking hydralazine, nitrates, angiotensin II receptor blockers (ARBs), and/or aspirin concurrently</w:t>
      </w:r>
      <w:r w:rsidRPr="00DD376C">
        <w:rPr>
          <w:rFonts w:ascii="Book Antiqua" w:eastAsia="Book Antiqua" w:hAnsi="Book Antiqua" w:cs="Book Antiqua"/>
          <w:color w:val="000000"/>
          <w:vertAlign w:val="superscript"/>
        </w:rPr>
        <w:t>[12]</w:t>
      </w:r>
      <w:r w:rsidRPr="00DD376C">
        <w:rPr>
          <w:rFonts w:ascii="Book Antiqua" w:eastAsia="Book Antiqua" w:hAnsi="Book Antiqua" w:cs="Book Antiqua"/>
          <w:color w:val="000000"/>
        </w:rPr>
        <w:t xml:space="preserve">. </w:t>
      </w:r>
      <w:r w:rsidR="00A2692B">
        <w:rPr>
          <w:rFonts w:ascii="Book Antiqua" w:eastAsia="Book Antiqua" w:hAnsi="Book Antiqua" w:cs="Book Antiqua"/>
          <w:color w:val="000000"/>
        </w:rPr>
        <w:t>H</w:t>
      </w:r>
      <w:r w:rsidRPr="00DD376C">
        <w:rPr>
          <w:rFonts w:ascii="Book Antiqua" w:eastAsia="Book Antiqua" w:hAnsi="Book Antiqua" w:cs="Book Antiqua"/>
          <w:color w:val="000000"/>
        </w:rPr>
        <w:t>ydralazine and nitrates</w:t>
      </w:r>
      <w:r w:rsidR="00A2692B">
        <w:rPr>
          <w:rFonts w:ascii="Book Antiqua" w:eastAsia="Book Antiqua" w:hAnsi="Book Antiqua" w:cs="Book Antiqua"/>
          <w:color w:val="000000"/>
        </w:rPr>
        <w:t xml:space="preserve"> </w:t>
      </w:r>
      <w:r w:rsidRPr="00DD376C">
        <w:rPr>
          <w:rFonts w:ascii="Book Antiqua" w:eastAsia="Book Antiqua" w:hAnsi="Book Antiqua" w:cs="Book Antiqua"/>
          <w:color w:val="000000"/>
        </w:rPr>
        <w:t>are typically prescribed to patients with heart failure once patients</w:t>
      </w:r>
      <w:r w:rsidR="00A2692B">
        <w:rPr>
          <w:rFonts w:ascii="Book Antiqua" w:eastAsia="Book Antiqua" w:hAnsi="Book Antiqua" w:cs="Book Antiqua"/>
          <w:color w:val="000000"/>
        </w:rPr>
        <w:t>’</w:t>
      </w:r>
      <w:r w:rsidRPr="00DD376C">
        <w:rPr>
          <w:rFonts w:ascii="Book Antiqua" w:eastAsia="Book Antiqua" w:hAnsi="Book Antiqua" w:cs="Book Antiqua"/>
          <w:color w:val="000000"/>
        </w:rPr>
        <w:t xml:space="preserve"> renal function no longer permits RAAS inhibitor usage, at which point they are also far more likely to be prescribed EPO for advanced chronic kidney disease</w:t>
      </w:r>
      <w:r w:rsidRPr="00DD376C">
        <w:rPr>
          <w:rFonts w:ascii="Book Antiqua" w:eastAsia="Book Antiqua" w:hAnsi="Book Antiqua" w:cs="Book Antiqua"/>
          <w:color w:val="000000"/>
          <w:vertAlign w:val="superscript"/>
        </w:rPr>
        <w:t>[12]</w:t>
      </w:r>
      <w:r w:rsidRPr="00DD376C">
        <w:rPr>
          <w:rFonts w:ascii="Book Antiqua" w:eastAsia="Book Antiqua" w:hAnsi="Book Antiqua" w:cs="Book Antiqua"/>
          <w:color w:val="000000"/>
        </w:rPr>
        <w:t xml:space="preserve">. The temporal relationship is also important because hydralazine is a </w:t>
      </w:r>
      <w:r w:rsidRPr="00DD376C">
        <w:rPr>
          <w:rFonts w:ascii="Book Antiqua" w:eastAsia="Book Antiqua" w:hAnsi="Book Antiqua" w:cs="Book Antiqua"/>
          <w:color w:val="000000"/>
        </w:rPr>
        <w:lastRenderedPageBreak/>
        <w:t>drug used to treat hypertension, and hypertension is a known side effect of EPO. No clear conclusions regarding aspirin or ARBs were drawn.</w:t>
      </w:r>
    </w:p>
    <w:p w14:paraId="65CF78FA" w14:textId="1C431DDF" w:rsidR="00A77B3E" w:rsidRPr="00DD376C" w:rsidRDefault="00BA03D4" w:rsidP="001B7234">
      <w:pPr>
        <w:spacing w:line="360" w:lineRule="auto"/>
        <w:ind w:firstLineChars="112" w:firstLine="269"/>
        <w:jc w:val="both"/>
        <w:rPr>
          <w:rFonts w:ascii="Book Antiqua" w:hAnsi="Book Antiqua"/>
        </w:rPr>
      </w:pPr>
      <w:r w:rsidRPr="00DD376C">
        <w:rPr>
          <w:rStyle w:val="MsoPageNumber0"/>
          <w:rFonts w:ascii="Book Antiqua" w:eastAsia="Book Antiqua" w:hAnsi="Book Antiqua" w:cs="Book Antiqua"/>
          <w:color w:val="000000"/>
        </w:rPr>
        <w:t xml:space="preserve">Likewise, in another study by Jie </w:t>
      </w:r>
      <w:r w:rsidRPr="00DD376C">
        <w:rPr>
          <w:rStyle w:val="MsoPageNumber0"/>
          <w:rFonts w:ascii="Book Antiqua" w:eastAsia="Book Antiqua" w:hAnsi="Book Antiqua" w:cs="Book Antiqua"/>
          <w:i/>
          <w:iCs/>
          <w:color w:val="000000"/>
        </w:rPr>
        <w:t>et al</w:t>
      </w:r>
      <w:r w:rsidR="00497981" w:rsidRPr="00DD376C">
        <w:rPr>
          <w:rFonts w:ascii="Book Antiqua" w:eastAsia="Book Antiqua" w:hAnsi="Book Antiqua" w:cs="Book Antiqua"/>
          <w:color w:val="000000"/>
          <w:vertAlign w:val="superscript"/>
        </w:rPr>
        <w:t>[18]</w:t>
      </w:r>
      <w:r w:rsidRPr="00DD376C">
        <w:rPr>
          <w:rStyle w:val="MsoPageNumber0"/>
          <w:rFonts w:ascii="Book Antiqua" w:eastAsia="Book Antiqua" w:hAnsi="Book Antiqua" w:cs="Book Antiqua"/>
          <w:color w:val="000000"/>
        </w:rPr>
        <w:t>, EPO not only provided a significant rise in Hb levels compared to the non-EPO therapy</w:t>
      </w:r>
      <w:r w:rsidR="00A2692B">
        <w:rPr>
          <w:rStyle w:val="MsoPageNumber0"/>
          <w:rFonts w:ascii="Book Antiqua" w:eastAsia="Book Antiqua" w:hAnsi="Book Antiqua" w:cs="Book Antiqua"/>
          <w:color w:val="000000"/>
        </w:rPr>
        <w:t xml:space="preserve"> but</w:t>
      </w:r>
      <w:r w:rsidRPr="00DD376C">
        <w:rPr>
          <w:rStyle w:val="MsoPageNumber0"/>
          <w:rFonts w:ascii="Book Antiqua" w:eastAsia="Book Antiqua" w:hAnsi="Book Antiqua" w:cs="Book Antiqua"/>
          <w:color w:val="000000"/>
        </w:rPr>
        <w:t xml:space="preserve"> more interestingly, </w:t>
      </w:r>
      <w:r w:rsidRPr="00DD376C">
        <w:rPr>
          <w:rFonts w:ascii="Book Antiqua" w:eastAsia="Book Antiqua" w:hAnsi="Book Antiqua" w:cs="Book Antiqua"/>
          <w:color w:val="000000"/>
          <w:shd w:val="clear" w:color="auto" w:fill="FFFFFF"/>
        </w:rPr>
        <w:t xml:space="preserve">altered the monocyte transcriptomes that played a role in inflammation and oxidative stress. The increase in oxidative stress, in turn, increased the risk of </w:t>
      </w:r>
      <w:r w:rsidR="00A2692B">
        <w:rPr>
          <w:rFonts w:ascii="Book Antiqua" w:eastAsia="Book Antiqua" w:hAnsi="Book Antiqua" w:cs="Book Antiqua"/>
          <w:color w:val="000000"/>
          <w:shd w:val="clear" w:color="auto" w:fill="FFFFFF"/>
        </w:rPr>
        <w:t>cardiovascular (</w:t>
      </w:r>
      <w:r w:rsidRPr="00DD376C">
        <w:rPr>
          <w:rFonts w:ascii="Book Antiqua" w:eastAsia="Book Antiqua" w:hAnsi="Book Antiqua" w:cs="Book Antiqua"/>
          <w:color w:val="000000"/>
          <w:shd w:val="clear" w:color="auto" w:fill="FFFFFF"/>
        </w:rPr>
        <w:t>CV</w:t>
      </w:r>
      <w:r w:rsidR="00A2692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 xml:space="preserve"> events</w:t>
      </w:r>
      <w:r w:rsidRPr="00DD376C">
        <w:rPr>
          <w:rFonts w:ascii="Book Antiqua" w:eastAsia="Book Antiqua" w:hAnsi="Book Antiqua" w:cs="Book Antiqua"/>
          <w:color w:val="000000"/>
          <w:vertAlign w:val="superscript"/>
        </w:rPr>
        <w:t>[18]</w:t>
      </w:r>
      <w:r w:rsidRPr="00DD376C">
        <w:rPr>
          <w:rFonts w:ascii="Book Antiqua" w:eastAsia="Book Antiqua" w:hAnsi="Book Antiqua" w:cs="Book Antiqua"/>
          <w:color w:val="000000"/>
          <w:shd w:val="clear" w:color="auto" w:fill="FFFFFF"/>
        </w:rPr>
        <w:t>. In this study, EPO</w:t>
      </w:r>
      <w:r w:rsidR="00A2692B">
        <w:rPr>
          <w:rFonts w:ascii="Book Antiqua" w:eastAsia="Book Antiqua" w:hAnsi="Book Antiqua" w:cs="Book Antiqua"/>
          <w:color w:val="000000"/>
          <w:shd w:val="clear" w:color="auto" w:fill="FFFFFF"/>
        </w:rPr>
        <w:t>’</w:t>
      </w:r>
      <w:r w:rsidRPr="00DD376C">
        <w:rPr>
          <w:rFonts w:ascii="Book Antiqua" w:eastAsia="Book Antiqua" w:hAnsi="Book Antiqua" w:cs="Book Antiqua"/>
          <w:color w:val="000000"/>
          <w:shd w:val="clear" w:color="auto" w:fill="FFFFFF"/>
        </w:rPr>
        <w:t>s role in oxidative stress was found to be associated with improving Hb level and alterations in gene expression directly involved in the inflammatory response. The effects were, however, very variable and inconsistent between individuals. The authors were unable to demonstrate a beneficial non-hematopoietic effect of EPO, although no harmful effects were found</w:t>
      </w:r>
      <w:r w:rsidRPr="00DD376C">
        <w:rPr>
          <w:rFonts w:ascii="Book Antiqua" w:eastAsia="Book Antiqua" w:hAnsi="Book Antiqua" w:cs="Book Antiqua"/>
          <w:color w:val="000000"/>
          <w:vertAlign w:val="superscript"/>
        </w:rPr>
        <w:t>[18]</w:t>
      </w:r>
      <w:r w:rsidRPr="00DD376C">
        <w:rPr>
          <w:rFonts w:ascii="Book Antiqua" w:eastAsia="Book Antiqua" w:hAnsi="Book Antiqua" w:cs="Book Antiqua"/>
          <w:color w:val="000000"/>
          <w:shd w:val="clear" w:color="auto" w:fill="FFFFFF"/>
        </w:rPr>
        <w:t>.</w:t>
      </w:r>
    </w:p>
    <w:p w14:paraId="6360EAC1" w14:textId="3515C512"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shd w:val="clear" w:color="auto" w:fill="FFFFFF"/>
        </w:rPr>
        <w:t xml:space="preserve">Several studies have shown that Hb levels improve after sufficient treatment with EPO. Exogenous EPO stimulates erythropoiesis, which increases red blood cell production and </w:t>
      </w:r>
      <w:r w:rsidR="00A2692B">
        <w:rPr>
          <w:rFonts w:ascii="Book Antiqua" w:eastAsia="Book Antiqua" w:hAnsi="Book Antiqua" w:cs="Book Antiqua"/>
          <w:color w:val="000000"/>
          <w:shd w:val="clear" w:color="auto" w:fill="FFFFFF"/>
        </w:rPr>
        <w:t>Hb</w:t>
      </w:r>
      <w:r w:rsidR="00A2692B"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levels. By reducing the degree of anemia among patients with CRS, oxidative stress and inflammatory response can be reduced. As a result, anemia symptoms such as fatigue, malaise, weakness, and dizziness are also improved, thus enhancing patients' overall quality of life. Similarly, since the data presented clearly points towards increasing </w:t>
      </w:r>
      <w:r w:rsidR="00A2692B">
        <w:rPr>
          <w:rFonts w:ascii="Book Antiqua" w:eastAsia="Book Antiqua" w:hAnsi="Book Antiqua" w:cs="Book Antiqua"/>
          <w:color w:val="000000"/>
          <w:shd w:val="clear" w:color="auto" w:fill="FFFFFF"/>
        </w:rPr>
        <w:t>Hb</w:t>
      </w:r>
      <w:r w:rsidR="00A2692B"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levels, it is reasonable to expect that those suffering from symptomatic anemia would experience clinical improvement, likely prompting them to be compliant with EPO therapy. In our review, the degree of Hb improvement varied significantly between the studies that were analyzed, and it was highly dependent on the dose of EPO given and the frequency of EPO administration.</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There is still insufficient data to predict an individual's response to therapy.</w:t>
      </w:r>
    </w:p>
    <w:p w14:paraId="5BB8222D" w14:textId="77777777" w:rsidR="00BE6256" w:rsidRPr="00DD376C" w:rsidRDefault="00BE6256" w:rsidP="00DD376C">
      <w:pPr>
        <w:spacing w:line="360" w:lineRule="auto"/>
        <w:jc w:val="both"/>
        <w:rPr>
          <w:rFonts w:ascii="Book Antiqua" w:eastAsia="Book Antiqua" w:hAnsi="Book Antiqua" w:cs="Book Antiqua"/>
          <w:color w:val="000000"/>
          <w:u w:val="single" w:color="000000"/>
        </w:rPr>
      </w:pPr>
    </w:p>
    <w:p w14:paraId="181AE973" w14:textId="1F3624F3" w:rsidR="00A77B3E" w:rsidRPr="00DD376C" w:rsidRDefault="00BA03D4" w:rsidP="00DD376C">
      <w:pPr>
        <w:spacing w:line="360" w:lineRule="auto"/>
        <w:jc w:val="both"/>
        <w:rPr>
          <w:rFonts w:ascii="Book Antiqua" w:hAnsi="Book Antiqua"/>
          <w:b/>
          <w:i/>
        </w:rPr>
      </w:pPr>
      <w:r w:rsidRPr="00DD376C">
        <w:rPr>
          <w:rFonts w:ascii="Book Antiqua" w:eastAsia="Book Antiqua" w:hAnsi="Book Antiqua" w:cs="Book Antiqua"/>
          <w:b/>
          <w:i/>
          <w:color w:val="000000"/>
        </w:rPr>
        <w:t xml:space="preserve">EPO's effect on significant </w:t>
      </w:r>
      <w:r w:rsidR="00A2692B">
        <w:rPr>
          <w:rFonts w:ascii="Book Antiqua" w:eastAsia="Book Antiqua" w:hAnsi="Book Antiqua" w:cs="Book Antiqua"/>
          <w:b/>
          <w:i/>
          <w:color w:val="000000"/>
        </w:rPr>
        <w:t>CV</w:t>
      </w:r>
      <w:r w:rsidR="00A2692B" w:rsidRPr="00DD376C">
        <w:rPr>
          <w:rFonts w:ascii="Book Antiqua" w:eastAsia="Book Antiqua" w:hAnsi="Book Antiqua" w:cs="Book Antiqua"/>
          <w:b/>
          <w:i/>
          <w:color w:val="000000"/>
        </w:rPr>
        <w:t xml:space="preserve"> </w:t>
      </w:r>
      <w:r w:rsidRPr="00DD376C">
        <w:rPr>
          <w:rFonts w:ascii="Book Antiqua" w:eastAsia="Book Antiqua" w:hAnsi="Book Antiqua" w:cs="Book Antiqua"/>
          <w:b/>
          <w:i/>
          <w:color w:val="000000"/>
        </w:rPr>
        <w:t>risk and mortality</w:t>
      </w:r>
    </w:p>
    <w:p w14:paraId="5B7A9381" w14:textId="05DB9D24"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The effect of EPO on </w:t>
      </w:r>
      <w:r w:rsidR="00A2692B">
        <w:rPr>
          <w:rFonts w:ascii="Book Antiqua" w:eastAsia="Book Antiqua" w:hAnsi="Book Antiqua" w:cs="Book Antiqua"/>
          <w:color w:val="000000"/>
        </w:rPr>
        <w:t>CV</w:t>
      </w:r>
      <w:r w:rsidR="00A2692B"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mortality is at this time difficult to establish, considering the differences in outcomes reported by currently available studies</w:t>
      </w:r>
      <w:r w:rsidR="007C37F0" w:rsidRPr="00DD376C">
        <w:rPr>
          <w:rFonts w:ascii="Book Antiqua" w:eastAsia="Book Antiqua" w:hAnsi="Book Antiqua" w:cs="Book Antiqua"/>
          <w:color w:val="000000"/>
          <w:vertAlign w:val="superscript"/>
        </w:rPr>
        <w:t>[11,13</w:t>
      </w:r>
      <w:r w:rsidRPr="00DD376C">
        <w:rPr>
          <w:rFonts w:ascii="Book Antiqua" w:eastAsia="Book Antiqua" w:hAnsi="Book Antiqua" w:cs="Book Antiqua"/>
          <w:color w:val="000000"/>
          <w:vertAlign w:val="superscript"/>
        </w:rPr>
        <w:t>-15]</w:t>
      </w:r>
      <w:r w:rsidRPr="00DD376C">
        <w:rPr>
          <w:rFonts w:ascii="Book Antiqua" w:eastAsia="Book Antiqua" w:hAnsi="Book Antiqua" w:cs="Book Antiqua"/>
          <w:color w:val="000000"/>
        </w:rPr>
        <w:t xml:space="preserve">. The results of a randomized study by McMurray </w:t>
      </w:r>
      <w:r w:rsidRPr="00DD376C">
        <w:rPr>
          <w:rFonts w:ascii="Book Antiqua" w:eastAsia="Book Antiqua" w:hAnsi="Book Antiqua" w:cs="Book Antiqua"/>
          <w:i/>
          <w:iCs/>
          <w:color w:val="000000"/>
          <w:shd w:val="clear" w:color="auto" w:fill="FFFFFF"/>
        </w:rPr>
        <w:t>et al</w:t>
      </w:r>
      <w:r w:rsidR="002E3FB3" w:rsidRPr="00DD376C">
        <w:rPr>
          <w:rFonts w:ascii="Book Antiqua" w:eastAsia="Book Antiqua" w:hAnsi="Book Antiqua" w:cs="Book Antiqua"/>
          <w:color w:val="000000"/>
          <w:vertAlign w:val="superscript"/>
        </w:rPr>
        <w:t>[14]</w:t>
      </w:r>
      <w:r w:rsidRPr="00DD376C">
        <w:rPr>
          <w:rFonts w:ascii="Book Antiqua" w:eastAsia="Book Antiqua" w:hAnsi="Book Antiqua" w:cs="Book Antiqua"/>
          <w:color w:val="000000"/>
          <w:shd w:val="clear" w:color="auto" w:fill="FFFFFF"/>
        </w:rPr>
        <w:t xml:space="preserve"> revealed that patients with both </w:t>
      </w:r>
      <w:r w:rsidR="004533AC" w:rsidRPr="00DD376C">
        <w:rPr>
          <w:rFonts w:ascii="Book Antiqua" w:eastAsia="Book Antiqua" w:hAnsi="Book Antiqua" w:cs="Book Antiqua"/>
          <w:color w:val="000000"/>
          <w:shd w:val="clear" w:color="auto" w:fill="FFFFFF"/>
        </w:rPr>
        <w:t xml:space="preserve">chronic kidney disease </w:t>
      </w:r>
      <w:r w:rsidRPr="00DD376C">
        <w:rPr>
          <w:rFonts w:ascii="Book Antiqua" w:eastAsia="Book Antiqua" w:hAnsi="Book Antiqua" w:cs="Book Antiqua"/>
          <w:color w:val="000000"/>
          <w:shd w:val="clear" w:color="auto" w:fill="FFFFFF"/>
        </w:rPr>
        <w:t xml:space="preserve">and anemia are at an increased risk of major </w:t>
      </w:r>
      <w:r w:rsidR="007E03AE" w:rsidRPr="00DD376C">
        <w:rPr>
          <w:rFonts w:ascii="Book Antiqua" w:eastAsia="Book Antiqua" w:hAnsi="Book Antiqua" w:cs="Book Antiqua"/>
          <w:color w:val="000000"/>
          <w:shd w:val="clear" w:color="auto" w:fill="FFFFFF"/>
        </w:rPr>
        <w:t>CV</w:t>
      </w:r>
      <w:r w:rsidRPr="00DD376C">
        <w:rPr>
          <w:rFonts w:ascii="Book Antiqua" w:eastAsia="Book Antiqua" w:hAnsi="Book Antiqua" w:cs="Book Antiqua"/>
          <w:color w:val="000000"/>
          <w:shd w:val="clear" w:color="auto" w:fill="FFFFFF"/>
        </w:rPr>
        <w:t xml:space="preserve"> events by 11.2%.</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In addition, a history of CHF was the strongest predictor of CV events in the future (hazard increased </w:t>
      </w:r>
      <w:r w:rsidRPr="00DD376C">
        <w:rPr>
          <w:rFonts w:ascii="Book Antiqua" w:eastAsia="Book Antiqua" w:hAnsi="Book Antiqua" w:cs="Book Antiqua"/>
          <w:color w:val="000000"/>
          <w:shd w:val="clear" w:color="auto" w:fill="FFFFFF"/>
        </w:rPr>
        <w:lastRenderedPageBreak/>
        <w:t>by 74%), followed by age (hazard increased by 27%)</w:t>
      </w:r>
      <w:r w:rsidRPr="00DD376C">
        <w:rPr>
          <w:rFonts w:ascii="Book Antiqua" w:eastAsia="Book Antiqua" w:hAnsi="Book Antiqua" w:cs="Book Antiqua"/>
          <w:color w:val="000000"/>
          <w:vertAlign w:val="superscript"/>
        </w:rPr>
        <w:t>[14]</w:t>
      </w:r>
      <w:r w:rsidRPr="00DD376C">
        <w:rPr>
          <w:rFonts w:ascii="Book Antiqua" w:eastAsia="Book Antiqua" w:hAnsi="Book Antiqua" w:cs="Book Antiqua"/>
          <w:color w:val="000000"/>
          <w:shd w:val="clear" w:color="auto" w:fill="FFFFFF"/>
        </w:rPr>
        <w:t>.</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Moreover, a prospective cohort study involving EPO therapy ranging from 2000 to 6000 international units (I.U.) for 1-3 times per week found that EPO treatment concurrently with iron supplementation</w:t>
      </w:r>
      <w:r w:rsidR="007954E6"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improved the functional ability of the myocardium, left ventricular (LV) function, and overall quality of life among patients with chronic forms of the cardiorenal syndrome</w:t>
      </w:r>
      <w:r w:rsidRPr="00DD376C">
        <w:rPr>
          <w:rFonts w:ascii="Book Antiqua" w:eastAsia="Book Antiqua" w:hAnsi="Book Antiqua" w:cs="Book Antiqua"/>
          <w:color w:val="000000"/>
          <w:vertAlign w:val="superscript"/>
        </w:rPr>
        <w:t>[15]</w:t>
      </w:r>
      <w:r w:rsidRPr="00DD376C">
        <w:rPr>
          <w:rFonts w:ascii="Book Antiqua" w:eastAsia="Book Antiqua" w:hAnsi="Book Antiqua" w:cs="Book Antiqua"/>
          <w:color w:val="000000"/>
          <w:shd w:val="clear" w:color="auto" w:fill="FFFFFF"/>
        </w:rPr>
        <w:t xml:space="preserve">. Palazzuoli </w:t>
      </w:r>
      <w:r w:rsidRPr="00DD376C">
        <w:rPr>
          <w:rFonts w:ascii="Book Antiqua" w:eastAsia="Book Antiqua" w:hAnsi="Book Antiqua" w:cs="Book Antiqua"/>
          <w:i/>
          <w:iCs/>
          <w:color w:val="000000"/>
          <w:shd w:val="clear" w:color="auto" w:fill="FFFFFF"/>
        </w:rPr>
        <w:t>et al</w:t>
      </w:r>
      <w:r w:rsidR="00200C8B" w:rsidRPr="00DD376C">
        <w:rPr>
          <w:rFonts w:ascii="Book Antiqua" w:eastAsia="Book Antiqua" w:hAnsi="Book Antiqua" w:cs="Book Antiqua"/>
          <w:color w:val="000000"/>
          <w:vertAlign w:val="superscript"/>
        </w:rPr>
        <w:t>[11]</w:t>
      </w:r>
      <w:r w:rsidRPr="00DD376C">
        <w:rPr>
          <w:rFonts w:ascii="Book Antiqua" w:eastAsia="Book Antiqua" w:hAnsi="Book Antiqua" w:cs="Book Antiqua"/>
          <w:color w:val="000000"/>
          <w:shd w:val="clear" w:color="auto" w:fill="FFFFFF"/>
        </w:rPr>
        <w:t xml:space="preserve"> also </w:t>
      </w:r>
      <w:r w:rsidRPr="00DD376C">
        <w:rPr>
          <w:rFonts w:ascii="Book Antiqua" w:eastAsia="Book Antiqua" w:hAnsi="Book Antiqua" w:cs="Book Antiqua"/>
          <w:color w:val="000000"/>
        </w:rPr>
        <w:t>compared the efficacy of combination therapy with EPO and iron to iron alone in patients with cardiorenal syndrome with anemia. They found that concurrent EPO and iron supplementation improved LV systolic function, LV remodeling, N</w:t>
      </w:r>
      <w:r w:rsidR="00EE152F">
        <w:rPr>
          <w:rFonts w:ascii="Book Antiqua" w:eastAsia="Book Antiqua" w:hAnsi="Book Antiqua" w:cs="Book Antiqua"/>
          <w:color w:val="000000"/>
        </w:rPr>
        <w:t xml:space="preserve">ew </w:t>
      </w:r>
      <w:r w:rsidRPr="00DD376C">
        <w:rPr>
          <w:rFonts w:ascii="Book Antiqua" w:eastAsia="Book Antiqua" w:hAnsi="Book Antiqua" w:cs="Book Antiqua"/>
          <w:color w:val="000000"/>
        </w:rPr>
        <w:t>Y</w:t>
      </w:r>
      <w:r w:rsidR="00EE152F">
        <w:rPr>
          <w:rFonts w:ascii="Book Antiqua" w:eastAsia="Book Antiqua" w:hAnsi="Book Antiqua" w:cs="Book Antiqua"/>
          <w:color w:val="000000"/>
        </w:rPr>
        <w:t xml:space="preserve">ork </w:t>
      </w:r>
      <w:r w:rsidRPr="00DD376C">
        <w:rPr>
          <w:rFonts w:ascii="Book Antiqua" w:eastAsia="Book Antiqua" w:hAnsi="Book Antiqua" w:cs="Book Antiqua"/>
          <w:color w:val="000000"/>
        </w:rPr>
        <w:t>H</w:t>
      </w:r>
      <w:r w:rsidR="00EE152F">
        <w:rPr>
          <w:rFonts w:ascii="Book Antiqua" w:eastAsia="Book Antiqua" w:hAnsi="Book Antiqua" w:cs="Book Antiqua"/>
          <w:color w:val="000000"/>
        </w:rPr>
        <w:t xml:space="preserve">eart </w:t>
      </w:r>
      <w:r w:rsidRPr="00DD376C">
        <w:rPr>
          <w:rFonts w:ascii="Book Antiqua" w:eastAsia="Book Antiqua" w:hAnsi="Book Antiqua" w:cs="Book Antiqua"/>
          <w:color w:val="000000"/>
        </w:rPr>
        <w:t>A</w:t>
      </w:r>
      <w:r w:rsidR="00EE152F">
        <w:rPr>
          <w:rFonts w:ascii="Book Antiqua" w:eastAsia="Book Antiqua" w:hAnsi="Book Antiqua" w:cs="Book Antiqua"/>
          <w:color w:val="000000"/>
        </w:rPr>
        <w:t>ssociation (NYHA)</w:t>
      </w:r>
      <w:r w:rsidRPr="00DD376C">
        <w:rPr>
          <w:rFonts w:ascii="Book Antiqua" w:eastAsia="Book Antiqua" w:hAnsi="Book Antiqua" w:cs="Book Antiqua"/>
          <w:color w:val="000000"/>
        </w:rPr>
        <w:t xml:space="preserve"> class, B-type natriuretic peptide (BNP) levels, and quality of life compared to a control group that took only oral iron</w:t>
      </w:r>
      <w:r w:rsidRPr="00DD376C">
        <w:rPr>
          <w:rFonts w:ascii="Book Antiqua" w:eastAsia="Book Antiqua" w:hAnsi="Book Antiqua" w:cs="Book Antiqua"/>
          <w:color w:val="000000"/>
          <w:vertAlign w:val="superscript"/>
        </w:rPr>
        <w:t>[11]</w:t>
      </w:r>
      <w:r w:rsidRPr="00DD376C">
        <w:rPr>
          <w:rFonts w:ascii="Book Antiqua" w:eastAsia="Book Antiqua" w:hAnsi="Book Antiqua" w:cs="Book Antiqua"/>
          <w:color w:val="000000"/>
          <w:shd w:val="clear" w:color="auto" w:fill="FFFFFF"/>
        </w:rPr>
        <w:t>.</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Eisenga </w:t>
      </w:r>
      <w:r w:rsidRPr="00DD376C">
        <w:rPr>
          <w:rFonts w:ascii="Book Antiqua" w:eastAsia="Book Antiqua" w:hAnsi="Book Antiqua" w:cs="Book Antiqua"/>
          <w:i/>
          <w:iCs/>
          <w:color w:val="000000"/>
          <w:shd w:val="clear" w:color="auto" w:fill="FFFFFF"/>
        </w:rPr>
        <w:t>et al</w:t>
      </w:r>
      <w:r w:rsidR="00E2490A" w:rsidRPr="00DD376C">
        <w:rPr>
          <w:rFonts w:ascii="Book Antiqua" w:eastAsia="Book Antiqua" w:hAnsi="Book Antiqua" w:cs="Book Antiqua"/>
          <w:color w:val="000000"/>
          <w:vertAlign w:val="superscript"/>
        </w:rPr>
        <w:t>[13]</w:t>
      </w:r>
      <w:r w:rsidRPr="00DD376C">
        <w:rPr>
          <w:rFonts w:ascii="Book Antiqua" w:eastAsia="Book Antiqua" w:hAnsi="Book Antiqua" w:cs="Book Antiqua"/>
          <w:color w:val="000000"/>
          <w:shd w:val="clear" w:color="auto" w:fill="FFFFFF"/>
        </w:rPr>
        <w:t xml:space="preserve"> found that EPO caused a significant increase in C-terminal FGF23 (cFGF23) and a smaller increase in intact FGF23 (iFGF23).</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A higher level of cFGF23 has been associated with increased risk of CV events and mortality; however, the underlying mechanism remains unknown</w:t>
      </w:r>
      <w:r w:rsidRPr="00DD376C">
        <w:rPr>
          <w:rFonts w:ascii="Book Antiqua" w:eastAsia="Book Antiqua" w:hAnsi="Book Antiqua" w:cs="Book Antiqua"/>
          <w:color w:val="000000"/>
          <w:vertAlign w:val="superscript"/>
        </w:rPr>
        <w:t>[13]</w:t>
      </w:r>
      <w:r w:rsidRPr="00DD376C">
        <w:rPr>
          <w:rFonts w:ascii="Book Antiqua" w:eastAsia="Book Antiqua" w:hAnsi="Book Antiqua" w:cs="Book Antiqua"/>
          <w:color w:val="000000"/>
          <w:shd w:val="clear" w:color="auto" w:fill="FFFFFF"/>
        </w:rPr>
        <w:t>.</w:t>
      </w:r>
    </w:p>
    <w:p w14:paraId="08799495" w14:textId="494FAFB6"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shd w:val="clear" w:color="auto" w:fill="FFFFFF"/>
        </w:rPr>
        <w:t xml:space="preserve">As demonstrated in this review, the exact effects of EPO supplementation, with or without iron supplementation, are difficult to determine. Some studies have even suggested worse </w:t>
      </w:r>
      <w:r w:rsidR="00A2692B">
        <w:rPr>
          <w:rFonts w:ascii="Book Antiqua" w:eastAsia="Book Antiqua" w:hAnsi="Book Antiqua" w:cs="Book Antiqua"/>
          <w:color w:val="000000"/>
          <w:shd w:val="clear" w:color="auto" w:fill="FFFFFF"/>
        </w:rPr>
        <w:t>CV</w:t>
      </w:r>
      <w:r w:rsidR="00A2692B"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outcomes, wh</w:t>
      </w:r>
      <w:r w:rsidR="00EE152F">
        <w:rPr>
          <w:rFonts w:ascii="Book Antiqua" w:eastAsia="Book Antiqua" w:hAnsi="Book Antiqua" w:cs="Book Antiqua"/>
          <w:color w:val="000000"/>
          <w:shd w:val="clear" w:color="auto" w:fill="FFFFFF"/>
        </w:rPr>
        <w:t>ereas</w:t>
      </w:r>
      <w:r w:rsidRPr="00DD376C">
        <w:rPr>
          <w:rFonts w:ascii="Book Antiqua" w:eastAsia="Book Antiqua" w:hAnsi="Book Antiqua" w:cs="Book Antiqua"/>
          <w:color w:val="000000"/>
          <w:shd w:val="clear" w:color="auto" w:fill="FFFFFF"/>
        </w:rPr>
        <w:t xml:space="preserve"> others did not show statistically significant differences in </w:t>
      </w:r>
      <w:r w:rsidR="00A2692B">
        <w:rPr>
          <w:rFonts w:ascii="Book Antiqua" w:eastAsia="Book Antiqua" w:hAnsi="Book Antiqua" w:cs="Book Antiqua"/>
          <w:color w:val="000000"/>
          <w:shd w:val="clear" w:color="auto" w:fill="FFFFFF"/>
        </w:rPr>
        <w:t>CV</w:t>
      </w:r>
      <w:r w:rsidR="00A2692B"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mortality. The effects on myocardial function and the reported quality of life appear more promising.</w:t>
      </w:r>
    </w:p>
    <w:p w14:paraId="2A244ADD" w14:textId="77777777" w:rsidR="00037525" w:rsidRPr="00DD376C" w:rsidRDefault="00037525" w:rsidP="00DD376C">
      <w:pPr>
        <w:spacing w:line="360" w:lineRule="auto"/>
        <w:jc w:val="both"/>
        <w:rPr>
          <w:rFonts w:ascii="Book Antiqua" w:eastAsia="Book Antiqua" w:hAnsi="Book Antiqua" w:cs="Book Antiqua"/>
          <w:color w:val="000000"/>
          <w:u w:val="single" w:color="000000"/>
        </w:rPr>
      </w:pPr>
    </w:p>
    <w:p w14:paraId="3B45CE01" w14:textId="77777777" w:rsidR="00A77B3E" w:rsidRPr="00DD376C" w:rsidRDefault="00BA03D4" w:rsidP="00DD376C">
      <w:pPr>
        <w:spacing w:line="360" w:lineRule="auto"/>
        <w:jc w:val="both"/>
        <w:rPr>
          <w:rFonts w:ascii="Book Antiqua" w:hAnsi="Book Antiqua"/>
          <w:b/>
          <w:i/>
        </w:rPr>
      </w:pPr>
      <w:r w:rsidRPr="00DD376C">
        <w:rPr>
          <w:rFonts w:ascii="Book Antiqua" w:eastAsia="Book Antiqua" w:hAnsi="Book Antiqua" w:cs="Book Antiqua"/>
          <w:b/>
          <w:i/>
          <w:color w:val="000000"/>
        </w:rPr>
        <w:t>EPO's effect on hospitalization rates</w:t>
      </w:r>
    </w:p>
    <w:p w14:paraId="7FFCC6D7" w14:textId="6452C7D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shd w:val="clear" w:color="auto" w:fill="FFFFFF"/>
        </w:rPr>
        <w:t>Our review included studies on the effects of EPO therapy on hospitalization rates in patients with CRS. For example, a study by</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Jackevicius </w:t>
      </w:r>
      <w:r w:rsidRPr="00DD376C">
        <w:rPr>
          <w:rFonts w:ascii="Book Antiqua" w:eastAsia="Book Antiqua" w:hAnsi="Book Antiqua" w:cs="Book Antiqua"/>
          <w:i/>
          <w:iCs/>
          <w:color w:val="000000"/>
          <w:shd w:val="clear" w:color="auto" w:fill="FFFFFF"/>
        </w:rPr>
        <w:t>et al</w:t>
      </w:r>
      <w:r w:rsidR="00DC19B0" w:rsidRPr="00DD376C">
        <w:rPr>
          <w:rFonts w:ascii="Book Antiqua" w:eastAsia="Book Antiqua" w:hAnsi="Book Antiqua" w:cs="Book Antiqua"/>
          <w:color w:val="000000"/>
          <w:vertAlign w:val="superscript"/>
        </w:rPr>
        <w:t>[17]</w:t>
      </w:r>
      <w:r w:rsidRPr="00DD376C">
        <w:rPr>
          <w:rFonts w:ascii="Book Antiqua" w:eastAsia="Book Antiqua" w:hAnsi="Book Antiqua" w:cs="Book Antiqua"/>
          <w:color w:val="000000"/>
          <w:shd w:val="clear" w:color="auto" w:fill="FFFFFF"/>
        </w:rPr>
        <w:t xml:space="preserve"> found that EPO use was associated with an increased risk of all-cause hospitalization, major CV events, acute coronary syndrome, and mortality. The risk of hospitalization may be due in part to patients receiving EPO having a poor renal function and/or myocardial dysfunction, which places them at an increased risk of hospitalization even before receiving EPO. However, a study by Emans </w:t>
      </w:r>
      <w:r w:rsidRPr="00DD376C">
        <w:rPr>
          <w:rFonts w:ascii="Book Antiqua" w:eastAsia="Book Antiqua" w:hAnsi="Book Antiqua" w:cs="Book Antiqua"/>
          <w:i/>
          <w:iCs/>
          <w:color w:val="000000"/>
          <w:shd w:val="clear" w:color="auto" w:fill="FFFFFF"/>
        </w:rPr>
        <w:t>et al</w:t>
      </w:r>
      <w:r w:rsidR="00D106D7" w:rsidRPr="00DD376C">
        <w:rPr>
          <w:rFonts w:ascii="Book Antiqua" w:eastAsia="Book Antiqua" w:hAnsi="Book Antiqua" w:cs="Book Antiqua"/>
          <w:color w:val="000000"/>
          <w:vertAlign w:val="superscript"/>
        </w:rPr>
        <w:t>[19]</w:t>
      </w:r>
      <w:r w:rsidRPr="00DD376C">
        <w:rPr>
          <w:rFonts w:ascii="Book Antiqua" w:eastAsia="Book Antiqua" w:hAnsi="Book Antiqua" w:cs="Book Antiqua"/>
          <w:color w:val="000000"/>
          <w:shd w:val="clear" w:color="auto" w:fill="FFFFFF"/>
        </w:rPr>
        <w:t xml:space="preserve"> </w:t>
      </w:r>
      <w:r w:rsidR="00EE152F">
        <w:rPr>
          <w:rFonts w:ascii="Book Antiqua" w:eastAsia="Book Antiqua" w:hAnsi="Book Antiqua" w:cs="Book Antiqua"/>
          <w:color w:val="000000"/>
          <w:shd w:val="clear" w:color="auto" w:fill="FFFFFF"/>
        </w:rPr>
        <w:t>showed</w:t>
      </w:r>
      <w:r w:rsidR="00EE152F"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that baseline EPO levels inversely correlated with serum neutrophil</w:t>
      </w:r>
      <w:r w:rsidR="00EE152F">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 xml:space="preserve">gelatinase-associated lipocalin (NGAL) levels, regardless of renal function, and that low-dose EPO treatment caused a moderate decrease in serum NGAL </w:t>
      </w:r>
      <w:r w:rsidRPr="00DD376C">
        <w:rPr>
          <w:rFonts w:ascii="Book Antiqua" w:eastAsia="Book Antiqua" w:hAnsi="Book Antiqua" w:cs="Book Antiqua"/>
          <w:color w:val="000000"/>
          <w:shd w:val="clear" w:color="auto" w:fill="FFFFFF"/>
        </w:rPr>
        <w:lastRenderedPageBreak/>
        <w:t>levels, reflecting a potential improvement in renal tubular damage.</w:t>
      </w:r>
      <w:r w:rsidR="007C37F0" w:rsidRPr="00DD376C">
        <w:rPr>
          <w:rFonts w:ascii="Book Antiqua" w:eastAsia="Book Antiqua" w:hAnsi="Book Antiqua" w:cs="Book Antiqua"/>
          <w:color w:val="000000"/>
          <w:shd w:val="clear" w:color="auto" w:fill="FFFFFF"/>
        </w:rPr>
        <w:t xml:space="preserve"> </w:t>
      </w:r>
      <w:r w:rsidRPr="00DD376C">
        <w:rPr>
          <w:rFonts w:ascii="Book Antiqua" w:eastAsia="Book Antiqua" w:hAnsi="Book Antiqua" w:cs="Book Antiqua"/>
          <w:color w:val="000000"/>
          <w:shd w:val="clear" w:color="auto" w:fill="FFFFFF"/>
        </w:rPr>
        <w:t>NGAL is a protein from the lipocalin family that inhibits bacterial uptake of iron and is a biomarker reflective of tubular damage as it can detect early-stage acute kidney injury</w:t>
      </w:r>
      <w:r w:rsidRPr="00DD376C">
        <w:rPr>
          <w:rFonts w:ascii="Book Antiqua" w:eastAsia="Book Antiqua" w:hAnsi="Book Antiqua" w:cs="Book Antiqua"/>
          <w:color w:val="000000"/>
          <w:vertAlign w:val="superscript"/>
        </w:rPr>
        <w:t>[19]</w:t>
      </w:r>
      <w:r w:rsidRPr="00DD376C">
        <w:rPr>
          <w:rFonts w:ascii="Book Antiqua" w:eastAsia="Book Antiqua" w:hAnsi="Book Antiqua" w:cs="Book Antiqua"/>
          <w:color w:val="000000"/>
          <w:shd w:val="clear" w:color="auto" w:fill="FFFFFF"/>
        </w:rPr>
        <w:t>.</w:t>
      </w:r>
    </w:p>
    <w:p w14:paraId="1F651514" w14:textId="77777777"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rPr>
        <w:t>The effects of EPO treatment on the hospitalization rates of patients with CRS remain variable and should therefore be further investigated. Interestingly, EPO reduces NGAL levels, thereby minimizing renal tubular destruction and increasing iron availability. Therefore, this is likely to minimize hospitalization rates as well. The effect of EPO on renal tubular function should be further explored, as this is a potentially significant benefit of EPO therapy in patients with CRS and other renal conditions. For the time being, physicians should determine whether the potential benefits of EPO use in patients with CRS outweigh the risks.</w:t>
      </w:r>
    </w:p>
    <w:p w14:paraId="03E65432" w14:textId="56FE0B6C" w:rsidR="00A77B3E" w:rsidRPr="00DD376C" w:rsidRDefault="00BA03D4" w:rsidP="001B7234">
      <w:pPr>
        <w:spacing w:line="360" w:lineRule="auto"/>
        <w:ind w:firstLineChars="112" w:firstLine="269"/>
        <w:jc w:val="both"/>
        <w:rPr>
          <w:rFonts w:ascii="Book Antiqua" w:hAnsi="Book Antiqua"/>
        </w:rPr>
      </w:pPr>
      <w:r w:rsidRPr="00DD376C">
        <w:rPr>
          <w:rFonts w:ascii="Book Antiqua" w:eastAsia="Book Antiqua" w:hAnsi="Book Antiqua" w:cs="Book Antiqua"/>
          <w:color w:val="000000"/>
        </w:rPr>
        <w:t xml:space="preserve">In summary, this systematic review studied the overall significance of EPO when managing patients with CRS. The literature demonstrates that not only does EPO increase patients baseline </w:t>
      </w:r>
      <w:r w:rsidR="00A2692B">
        <w:rPr>
          <w:rFonts w:ascii="Book Antiqua" w:eastAsia="Book Antiqua" w:hAnsi="Book Antiqua" w:cs="Book Antiqua"/>
          <w:color w:val="000000"/>
        </w:rPr>
        <w:t>Hb</w:t>
      </w:r>
      <w:r w:rsidR="00A2692B"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levels but it also lowers the risk of major CV events from occurring in patients with CRS. EPO improves the heart failure aspect of CRS by both improving cardiac remodeling and overall myocardial function, and by doing so</w:t>
      </w:r>
      <w:r w:rsidR="00EE152F">
        <w:rPr>
          <w:rFonts w:ascii="Book Antiqua" w:eastAsia="Book Antiqua" w:hAnsi="Book Antiqua" w:cs="Book Antiqua"/>
          <w:color w:val="000000"/>
        </w:rPr>
        <w:t>,</w:t>
      </w:r>
      <w:r w:rsidRPr="00DD376C">
        <w:rPr>
          <w:rFonts w:ascii="Book Antiqua" w:eastAsia="Book Antiqua" w:hAnsi="Book Antiqua" w:cs="Book Antiqua"/>
          <w:color w:val="000000"/>
        </w:rPr>
        <w:t xml:space="preserve"> EPO is able to minimize the </w:t>
      </w:r>
      <w:r w:rsidR="00A2692B">
        <w:rPr>
          <w:rFonts w:ascii="Book Antiqua" w:eastAsia="Book Antiqua" w:hAnsi="Book Antiqua" w:cs="Book Antiqua"/>
          <w:color w:val="000000"/>
        </w:rPr>
        <w:t>CV</w:t>
      </w:r>
      <w:r w:rsidR="00A2692B"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mortality as well. Moreover, the reviewed literature does not demonstrate a clear effect of EPO on hospitalization rates and hence this effect should be further analyzed in future studies. Lowering hospitalization rates would potentially decrease healthcare expenses and, more importantly, improve the quality of life of patients with this condition. In conclusion, the literature included in this review clearly demonstrates how EPO has several significant benefits when used to treat patients</w:t>
      </w:r>
      <w:r w:rsidR="007C37F0"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with</w:t>
      </w:r>
      <w:r w:rsidR="007C37F0"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CRS.</w:t>
      </w:r>
    </w:p>
    <w:p w14:paraId="3EAAD8D1" w14:textId="77777777" w:rsidR="000C1A8D" w:rsidRPr="00DD376C" w:rsidRDefault="000C1A8D" w:rsidP="00DD376C">
      <w:pPr>
        <w:spacing w:line="360" w:lineRule="auto"/>
        <w:jc w:val="both"/>
        <w:rPr>
          <w:rFonts w:ascii="Book Antiqua" w:eastAsia="Book Antiqua" w:hAnsi="Book Antiqua" w:cs="Book Antiqua"/>
          <w:color w:val="000000"/>
          <w:u w:val="single" w:color="000000"/>
        </w:rPr>
      </w:pPr>
    </w:p>
    <w:p w14:paraId="3638B0EC" w14:textId="77777777" w:rsidR="00A77B3E" w:rsidRPr="00DD376C" w:rsidRDefault="00BA03D4" w:rsidP="00DD376C">
      <w:pPr>
        <w:spacing w:line="360" w:lineRule="auto"/>
        <w:jc w:val="both"/>
        <w:rPr>
          <w:rFonts w:ascii="Book Antiqua" w:hAnsi="Book Antiqua"/>
          <w:b/>
          <w:i/>
        </w:rPr>
      </w:pPr>
      <w:r w:rsidRPr="00DD376C">
        <w:rPr>
          <w:rFonts w:ascii="Book Antiqua" w:eastAsia="Book Antiqua" w:hAnsi="Book Antiqua" w:cs="Book Antiqua"/>
          <w:b/>
          <w:i/>
          <w:color w:val="000000"/>
        </w:rPr>
        <w:t>Strengths</w:t>
      </w:r>
    </w:p>
    <w:p w14:paraId="37E80E66" w14:textId="57DD4C2A"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The strongest aspect of this systematic review is that it primarily focused on randomized controlled clinical trials and cohort studies, which provide a more accurate description of the temporal sequence </w:t>
      </w:r>
      <w:r w:rsidR="00EE152F">
        <w:rPr>
          <w:rFonts w:ascii="Book Antiqua" w:eastAsia="Book Antiqua" w:hAnsi="Book Antiqua" w:cs="Book Antiqua"/>
          <w:color w:val="000000"/>
        </w:rPr>
        <w:t>among</w:t>
      </w:r>
      <w:r w:rsidR="00EE152F" w:rsidRPr="00DD376C">
        <w:rPr>
          <w:rFonts w:ascii="Book Antiqua" w:eastAsia="Book Antiqua" w:hAnsi="Book Antiqua" w:cs="Book Antiqua"/>
          <w:color w:val="000000"/>
        </w:rPr>
        <w:t xml:space="preserve"> </w:t>
      </w:r>
      <w:r w:rsidRPr="00DD376C">
        <w:rPr>
          <w:rFonts w:ascii="Book Antiqua" w:eastAsia="Book Antiqua" w:hAnsi="Book Antiqua" w:cs="Book Antiqua"/>
          <w:color w:val="000000"/>
        </w:rPr>
        <w:t>exposure, EPO treatment, and CRS effects.</w:t>
      </w:r>
    </w:p>
    <w:p w14:paraId="106BE683" w14:textId="77777777" w:rsidR="008F36FF" w:rsidRPr="00DD376C" w:rsidRDefault="008F36FF" w:rsidP="00DD376C">
      <w:pPr>
        <w:spacing w:line="360" w:lineRule="auto"/>
        <w:jc w:val="both"/>
        <w:rPr>
          <w:rFonts w:ascii="Book Antiqua" w:eastAsia="Book Antiqua" w:hAnsi="Book Antiqua" w:cs="Book Antiqua"/>
          <w:color w:val="000000"/>
          <w:u w:val="single" w:color="000000"/>
        </w:rPr>
      </w:pPr>
    </w:p>
    <w:p w14:paraId="5C7D2F87" w14:textId="77777777" w:rsidR="00A77B3E" w:rsidRPr="00DD376C" w:rsidRDefault="00BA03D4" w:rsidP="00DD376C">
      <w:pPr>
        <w:spacing w:line="360" w:lineRule="auto"/>
        <w:jc w:val="both"/>
        <w:rPr>
          <w:rFonts w:ascii="Book Antiqua" w:hAnsi="Book Antiqua"/>
          <w:b/>
          <w:i/>
        </w:rPr>
      </w:pPr>
      <w:r w:rsidRPr="00DD376C">
        <w:rPr>
          <w:rFonts w:ascii="Book Antiqua" w:eastAsia="Book Antiqua" w:hAnsi="Book Antiqua" w:cs="Book Antiqua"/>
          <w:b/>
          <w:i/>
          <w:color w:val="000000"/>
        </w:rPr>
        <w:t>Limitations</w:t>
      </w:r>
    </w:p>
    <w:p w14:paraId="49952B07" w14:textId="17B3D1B2"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shd w:val="clear" w:color="auto" w:fill="FFFFFF"/>
        </w:rPr>
        <w:lastRenderedPageBreak/>
        <w:t>This systematic review ha</w:t>
      </w:r>
      <w:r w:rsidR="00D165A2">
        <w:rPr>
          <w:rFonts w:ascii="Book Antiqua" w:eastAsia="Book Antiqua" w:hAnsi="Book Antiqua" w:cs="Book Antiqua"/>
          <w:color w:val="000000"/>
          <w:shd w:val="clear" w:color="auto" w:fill="FFFFFF"/>
        </w:rPr>
        <w:t>d</w:t>
      </w:r>
      <w:r w:rsidRPr="00DD376C">
        <w:rPr>
          <w:rFonts w:ascii="Book Antiqua" w:eastAsia="Book Antiqua" w:hAnsi="Book Antiqua" w:cs="Book Antiqua"/>
          <w:color w:val="000000"/>
          <w:shd w:val="clear" w:color="auto" w:fill="FFFFFF"/>
        </w:rPr>
        <w:t xml:space="preserve"> some limitations that should be highlighted. A limited amount of total data available regarding this topic increase</w:t>
      </w:r>
      <w:r w:rsidR="00D165A2">
        <w:rPr>
          <w:rFonts w:ascii="Book Antiqua" w:eastAsia="Book Antiqua" w:hAnsi="Book Antiqua" w:cs="Book Antiqua"/>
          <w:color w:val="000000"/>
          <w:shd w:val="clear" w:color="auto" w:fill="FFFFFF"/>
        </w:rPr>
        <w:t>d</w:t>
      </w:r>
      <w:r w:rsidRPr="00DD376C">
        <w:rPr>
          <w:rFonts w:ascii="Book Antiqua" w:eastAsia="Book Antiqua" w:hAnsi="Book Antiqua" w:cs="Book Antiqua"/>
          <w:color w:val="000000"/>
          <w:shd w:val="clear" w:color="auto" w:fill="FFFFFF"/>
        </w:rPr>
        <w:t xml:space="preserve"> the risk of publication bias. In addition, some articles discussing this topic ha</w:t>
      </w:r>
      <w:r w:rsidR="00D165A2">
        <w:rPr>
          <w:rFonts w:ascii="Book Antiqua" w:eastAsia="Book Antiqua" w:hAnsi="Book Antiqua" w:cs="Book Antiqua"/>
          <w:color w:val="000000"/>
          <w:shd w:val="clear" w:color="auto" w:fill="FFFFFF"/>
        </w:rPr>
        <w:t>d</w:t>
      </w:r>
      <w:r w:rsidRPr="00DD376C">
        <w:rPr>
          <w:rFonts w:ascii="Book Antiqua" w:eastAsia="Book Antiqua" w:hAnsi="Book Antiqua" w:cs="Book Antiqua"/>
          <w:color w:val="000000"/>
          <w:shd w:val="clear" w:color="auto" w:fill="FFFFFF"/>
        </w:rPr>
        <w:t xml:space="preserve"> small sample sizes, raising the possibility of cognitive bias. Moreover, the articles were selected from three separate databases with a constriction of only selecting articles written in English.</w:t>
      </w:r>
    </w:p>
    <w:p w14:paraId="2634FACC" w14:textId="77777777" w:rsidR="00E12D28" w:rsidRPr="00DD376C" w:rsidRDefault="00E12D28" w:rsidP="00DD376C">
      <w:pPr>
        <w:spacing w:line="360" w:lineRule="auto"/>
        <w:jc w:val="both"/>
        <w:rPr>
          <w:rFonts w:ascii="Book Antiqua" w:eastAsia="Book Antiqua" w:hAnsi="Book Antiqua" w:cs="Book Antiqua"/>
          <w:b/>
          <w:bCs/>
          <w:color w:val="000000"/>
          <w:u w:val="single" w:color="000000"/>
        </w:rPr>
      </w:pPr>
    </w:p>
    <w:p w14:paraId="7AA09557" w14:textId="572ECB9B" w:rsidR="00A77B3E" w:rsidRPr="004E68F9" w:rsidRDefault="008246BA" w:rsidP="00DD376C">
      <w:pPr>
        <w:spacing w:line="360" w:lineRule="auto"/>
        <w:jc w:val="both"/>
        <w:rPr>
          <w:rFonts w:ascii="Book Antiqua" w:hAnsi="Book Antiqua"/>
          <w:i/>
          <w:iCs/>
        </w:rPr>
      </w:pPr>
      <w:r w:rsidRPr="008246BA">
        <w:rPr>
          <w:rFonts w:ascii="Book Antiqua" w:eastAsia="Book Antiqua" w:hAnsi="Book Antiqua" w:cs="Book Antiqua"/>
          <w:b/>
          <w:bCs/>
          <w:i/>
          <w:iCs/>
          <w:color w:val="000000"/>
          <w:u w:color="000000"/>
        </w:rPr>
        <w:t xml:space="preserve">Future </w:t>
      </w:r>
      <w:r w:rsidRPr="004E68F9">
        <w:rPr>
          <w:rFonts w:ascii="Book Antiqua" w:eastAsia="Book Antiqua" w:hAnsi="Book Antiqua" w:cs="Book Antiqua"/>
          <w:b/>
          <w:bCs/>
          <w:i/>
          <w:iCs/>
          <w:color w:val="000000"/>
          <w:u w:color="000000"/>
        </w:rPr>
        <w:t>directions</w:t>
      </w:r>
    </w:p>
    <w:p w14:paraId="7D8E16B9"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The literature regarding patients with CRS and the use of EPO therapy should be expanded with more randomized controlled clinical trials and prospective cohort studies. Moreover, since the protocols used for EPO administration varied significantly between studies, further research should be conducted regarding EPO's most optimal dosage and treatment duration. The effect on mortality does not appear to reach statistical significance at this time, which may change with a larger sample size. It is also important for further research to be performed examining the effects of EPO treatment on hospitalization rates, as this association remains unknown at this time due to insufficient data.</w:t>
      </w:r>
    </w:p>
    <w:p w14:paraId="4F0ABB9B" w14:textId="77777777" w:rsidR="00A77B3E" w:rsidRPr="00DD376C" w:rsidRDefault="00A77B3E" w:rsidP="00DD376C">
      <w:pPr>
        <w:spacing w:line="360" w:lineRule="auto"/>
        <w:jc w:val="both"/>
        <w:rPr>
          <w:rFonts w:ascii="Book Antiqua" w:hAnsi="Book Antiqua"/>
        </w:rPr>
      </w:pPr>
    </w:p>
    <w:p w14:paraId="69CC01A6"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CONCLUSION</w:t>
      </w:r>
    </w:p>
    <w:p w14:paraId="52681D10" w14:textId="68805202"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shd w:val="clear" w:color="auto" w:fill="FFFFFF"/>
        </w:rPr>
        <w:t>We conducted a systematic review to investigate the role of EPO in CRS management. The benefits of EPO therapy in patients with ESRD and CHF are well-established. Thus, it is highly likely that EPO would also be beneficial for patients with CRS. The literature review indicates that EPO improves baseline Hb levels and decreases the risk of major CV events in patients with CRS. The ability of EPO to improve cardiac remodeling, myocardial function, NYHA class, and BNP levels is significant since this will improve the heart failure aspect of CRS and, more importantly, lower the likelihood of death for patients who have this condition. Additionally, the effect of EPO treatment on hospitalization remains unclear and should be further explored as it would benefit patients and potentially reduce healthcare costs. Our review ha</w:t>
      </w:r>
      <w:r w:rsidR="00D165A2">
        <w:rPr>
          <w:rFonts w:ascii="Book Antiqua" w:eastAsia="Book Antiqua" w:hAnsi="Book Antiqua" w:cs="Book Antiqua"/>
          <w:color w:val="000000"/>
          <w:shd w:val="clear" w:color="auto" w:fill="FFFFFF"/>
        </w:rPr>
        <w:t>d</w:t>
      </w:r>
      <w:r w:rsidRPr="00DD376C">
        <w:rPr>
          <w:rFonts w:ascii="Book Antiqua" w:eastAsia="Book Antiqua" w:hAnsi="Book Antiqua" w:cs="Book Antiqua"/>
          <w:color w:val="000000"/>
          <w:shd w:val="clear" w:color="auto" w:fill="FFFFFF"/>
        </w:rPr>
        <w:t xml:space="preserve"> a few limitations, including the possibility of publication bias, cognitive bias, and the possibility of missing some studies due to the criteria used for selecting articles. Additionally, future </w:t>
      </w:r>
      <w:r w:rsidRPr="00DD376C">
        <w:rPr>
          <w:rFonts w:ascii="Book Antiqua" w:eastAsia="Book Antiqua" w:hAnsi="Book Antiqua" w:cs="Book Antiqua"/>
          <w:color w:val="000000"/>
          <w:shd w:val="clear" w:color="auto" w:fill="FFFFFF"/>
        </w:rPr>
        <w:lastRenderedPageBreak/>
        <w:t>randomized controlled clinical trials would benefit the medical community in assessing the use of EPO in treating patients with CRS and specifically examine different EPO dosages and their effects on CV risk, mortality risk, and hospitalization rates. Since CRS is a prevalent condition, the discovery of an effective adjunctive treatment option will significantly affect the clinical outcome of patients with this condition.</w:t>
      </w:r>
    </w:p>
    <w:p w14:paraId="7F2FCDE5" w14:textId="77777777" w:rsidR="00A77B3E" w:rsidRPr="00DD376C" w:rsidRDefault="00A77B3E" w:rsidP="00DD376C">
      <w:pPr>
        <w:spacing w:line="360" w:lineRule="auto"/>
        <w:jc w:val="both"/>
        <w:rPr>
          <w:rFonts w:ascii="Book Antiqua" w:hAnsi="Book Antiqua"/>
        </w:rPr>
      </w:pPr>
    </w:p>
    <w:p w14:paraId="67FAB749"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aps/>
          <w:color w:val="000000"/>
          <w:u w:val="single"/>
        </w:rPr>
        <w:t>ARTICLE HIGHLIGHTS</w:t>
      </w:r>
    </w:p>
    <w:p w14:paraId="18565758"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background</w:t>
      </w:r>
    </w:p>
    <w:p w14:paraId="43618D0E"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Cardiorenal syndrome (CRS) describes a pathophysiological disorder of the heart and kidneys, whereby dysfunction of one system may contribute to dysfunction of another. Many patients with heart failure also experience kidney dysfunction and vice versa, as these two organs are closely related in their functions. Poor renal plasma flow in CHF causes the kidneys to retain water and sodium, which allows for improved perfusion of all essential organs, leading to kidney dysfunction.</w:t>
      </w:r>
    </w:p>
    <w:p w14:paraId="106D33DF" w14:textId="77777777" w:rsidR="00A77B3E" w:rsidRPr="00DD376C" w:rsidRDefault="00A77B3E" w:rsidP="00DD376C">
      <w:pPr>
        <w:spacing w:line="360" w:lineRule="auto"/>
        <w:jc w:val="both"/>
        <w:rPr>
          <w:rFonts w:ascii="Book Antiqua" w:hAnsi="Book Antiqua"/>
        </w:rPr>
      </w:pPr>
    </w:p>
    <w:p w14:paraId="486BA710"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motivation</w:t>
      </w:r>
    </w:p>
    <w:p w14:paraId="64F4DB5D" w14:textId="5D419508"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Anemia exacerbates CHF's progression and increases the risk of morbidity and mortality, and increasing </w:t>
      </w:r>
      <w:r w:rsidR="00661BA8" w:rsidRPr="00DD376C">
        <w:rPr>
          <w:rFonts w:ascii="Book Antiqua" w:eastAsia="Book Antiqua" w:hAnsi="Book Antiqua" w:cs="Book Antiqua"/>
          <w:shd w:val="clear" w:color="auto" w:fill="FFFFFF"/>
        </w:rPr>
        <w:t>hemoglobin (Hb)</w:t>
      </w:r>
      <w:r w:rsidRPr="00DD376C">
        <w:rPr>
          <w:rFonts w:ascii="Book Antiqua" w:eastAsia="Book Antiqua" w:hAnsi="Book Antiqua" w:cs="Book Antiqua"/>
          <w:color w:val="000000"/>
        </w:rPr>
        <w:t xml:space="preserve"> levels can limit </w:t>
      </w:r>
      <w:r w:rsidR="00D165A2">
        <w:rPr>
          <w:rFonts w:ascii="Book Antiqua" w:eastAsia="Book Antiqua" w:hAnsi="Book Antiqua" w:cs="Book Antiqua"/>
          <w:color w:val="000000"/>
        </w:rPr>
        <w:t xml:space="preserve">the detrimental effects of </w:t>
      </w:r>
      <w:r w:rsidRPr="00DD376C">
        <w:rPr>
          <w:rFonts w:ascii="Book Antiqua" w:eastAsia="Book Antiqua" w:hAnsi="Book Antiqua" w:cs="Book Antiqua"/>
          <w:color w:val="000000"/>
        </w:rPr>
        <w:t>oxidative stress</w:t>
      </w:r>
      <w:r w:rsidR="00D165A2">
        <w:rPr>
          <w:rFonts w:ascii="Book Antiqua" w:eastAsia="Book Antiqua" w:hAnsi="Book Antiqua" w:cs="Book Antiqua"/>
          <w:color w:val="000000"/>
        </w:rPr>
        <w:t xml:space="preserve"> </w:t>
      </w:r>
      <w:r w:rsidRPr="00DD376C">
        <w:rPr>
          <w:rFonts w:ascii="Book Antiqua" w:eastAsia="Book Antiqua" w:hAnsi="Book Antiqua" w:cs="Book Antiqua"/>
          <w:color w:val="000000"/>
        </w:rPr>
        <w:t xml:space="preserve">on the kidney and cardiac function. Erythropoietin (EPO) treatment is an efficient approach to increase Hb levels in patients with CHF whose anemia is caused by reduced EPO production. Investigating </w:t>
      </w:r>
      <w:r w:rsidR="00D165A2">
        <w:rPr>
          <w:rFonts w:ascii="Book Antiqua" w:eastAsia="Book Antiqua" w:hAnsi="Book Antiqua" w:cs="Book Antiqua"/>
          <w:color w:val="000000"/>
        </w:rPr>
        <w:t xml:space="preserve">the role of </w:t>
      </w:r>
      <w:r w:rsidRPr="00DD376C">
        <w:rPr>
          <w:rFonts w:ascii="Book Antiqua" w:eastAsia="Book Antiqua" w:hAnsi="Book Antiqua" w:cs="Book Antiqua"/>
          <w:color w:val="000000"/>
        </w:rPr>
        <w:t>EPO</w:t>
      </w:r>
      <w:r w:rsidR="00D165A2">
        <w:rPr>
          <w:rFonts w:ascii="Book Antiqua" w:eastAsia="Book Antiqua" w:hAnsi="Book Antiqua" w:cs="Book Antiqua"/>
          <w:color w:val="000000"/>
        </w:rPr>
        <w:t xml:space="preserve"> </w:t>
      </w:r>
      <w:r w:rsidRPr="00DD376C">
        <w:rPr>
          <w:rFonts w:ascii="Book Antiqua" w:eastAsia="Book Antiqua" w:hAnsi="Book Antiqua" w:cs="Book Antiqua"/>
          <w:color w:val="000000"/>
        </w:rPr>
        <w:t>in treating patients with CRS is of great significance as it could significantly decrease the mortality and hospitalization of CRS patients and lead to lower healthcare costs.</w:t>
      </w:r>
    </w:p>
    <w:p w14:paraId="209074B9" w14:textId="77777777" w:rsidR="00A77B3E" w:rsidRPr="00DD376C" w:rsidRDefault="00A77B3E" w:rsidP="00DD376C">
      <w:pPr>
        <w:spacing w:line="360" w:lineRule="auto"/>
        <w:jc w:val="both"/>
        <w:rPr>
          <w:rFonts w:ascii="Book Antiqua" w:hAnsi="Book Antiqua"/>
        </w:rPr>
      </w:pPr>
    </w:p>
    <w:p w14:paraId="60DAB34C"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objectives</w:t>
      </w:r>
    </w:p>
    <w:p w14:paraId="411D5F7F" w14:textId="693F855C"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This systematic review evaluate</w:t>
      </w:r>
      <w:r w:rsidR="00D165A2">
        <w:rPr>
          <w:rFonts w:ascii="Book Antiqua" w:eastAsia="Book Antiqua" w:hAnsi="Book Antiqua" w:cs="Book Antiqua"/>
          <w:color w:val="000000"/>
        </w:rPr>
        <w:t>d</w:t>
      </w:r>
      <w:r w:rsidRPr="00DD376C">
        <w:rPr>
          <w:rFonts w:ascii="Book Antiqua" w:eastAsia="Book Antiqua" w:hAnsi="Book Antiqua" w:cs="Book Antiqua"/>
          <w:color w:val="000000"/>
        </w:rPr>
        <w:t xml:space="preserve"> the use of erythropoietin (EPO) in patients with CRS and its effects on Hb, major cardiovascular</w:t>
      </w:r>
      <w:r w:rsidR="00A2692B">
        <w:rPr>
          <w:rFonts w:ascii="Book Antiqua" w:eastAsia="Book Antiqua" w:hAnsi="Book Antiqua" w:cs="Book Antiqua"/>
          <w:color w:val="000000"/>
        </w:rPr>
        <w:t xml:space="preserve"> (CV)</w:t>
      </w:r>
      <w:r w:rsidRPr="00DD376C">
        <w:rPr>
          <w:rFonts w:ascii="Book Antiqua" w:eastAsia="Book Antiqua" w:hAnsi="Book Antiqua" w:cs="Book Antiqua"/>
          <w:color w:val="000000"/>
        </w:rPr>
        <w:t xml:space="preserve"> events, and hospitalization rates. The study aimed to deepen our understanding of </w:t>
      </w:r>
      <w:r w:rsidR="00D165A2">
        <w:rPr>
          <w:rFonts w:ascii="Book Antiqua" w:eastAsia="Book Antiqua" w:hAnsi="Book Antiqua" w:cs="Book Antiqua"/>
          <w:color w:val="000000"/>
        </w:rPr>
        <w:t xml:space="preserve">the role of </w:t>
      </w:r>
      <w:r w:rsidRPr="00DD376C">
        <w:rPr>
          <w:rFonts w:ascii="Book Antiqua" w:eastAsia="Book Antiqua" w:hAnsi="Book Antiqua" w:cs="Book Antiqua"/>
          <w:color w:val="000000"/>
        </w:rPr>
        <w:t xml:space="preserve">EPO in managing CRS and whether it can be a promising treatment option for many patients. The primary objective </w:t>
      </w:r>
      <w:r w:rsidRPr="00DD376C">
        <w:rPr>
          <w:rFonts w:ascii="Book Antiqua" w:eastAsia="Book Antiqua" w:hAnsi="Book Antiqua" w:cs="Book Antiqua"/>
          <w:color w:val="000000"/>
        </w:rPr>
        <w:lastRenderedPageBreak/>
        <w:t>was to assess the efficacy of EPO therapy in improving cardiac and renal function in CRS patients.</w:t>
      </w:r>
    </w:p>
    <w:p w14:paraId="1EE572C4" w14:textId="77777777" w:rsidR="00A77B3E" w:rsidRPr="00DD376C" w:rsidRDefault="00A77B3E" w:rsidP="00DD376C">
      <w:pPr>
        <w:spacing w:line="360" w:lineRule="auto"/>
        <w:jc w:val="both"/>
        <w:rPr>
          <w:rFonts w:ascii="Book Antiqua" w:hAnsi="Book Antiqua"/>
        </w:rPr>
      </w:pPr>
    </w:p>
    <w:p w14:paraId="637084B2"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methods</w:t>
      </w:r>
    </w:p>
    <w:p w14:paraId="6E9F830B" w14:textId="44EC00EC"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The article was written according to the Preferred Reporting Items for Systematic Reviews and Meta-Analyses guidelines. The literature search was conducted on PubMed, Medline, and Embase databases using a search strategy consisting of medical subject headings terms and regular keywords. Two reviewers independently examined titles and abstracts, followed by a second screening of full-length articles. Quality assessment was performed using the 2013 National Heart, Lung, and Blood Institute (NHLBI) quality assessment tools for controlled intervention studies and observational cohort or cross-sectional studies. A meta-analysis was performed using Review Manager 5.4.1 software, and meta-analysis studies with forest plots were included for the outcomes. </w:t>
      </w:r>
      <w:r w:rsidRPr="00BD5F33">
        <w:rPr>
          <w:rFonts w:ascii="Book Antiqua" w:eastAsia="Book Antiqua" w:hAnsi="Book Antiqua" w:cs="Book Antiqua"/>
          <w:i/>
          <w:color w:val="000000"/>
        </w:rPr>
        <w:t>In vitro</w:t>
      </w:r>
      <w:r w:rsidRPr="00DD376C">
        <w:rPr>
          <w:rFonts w:ascii="Book Antiqua" w:eastAsia="Book Antiqua" w:hAnsi="Book Antiqua" w:cs="Book Antiqua"/>
          <w:color w:val="000000"/>
        </w:rPr>
        <w:t xml:space="preserve"> studies, animal studies, abstracts, case reports, case series, systematic reviews, and meta-analyses were excluded. Furthermore, articles in languages other than English were excluded.</w:t>
      </w:r>
    </w:p>
    <w:p w14:paraId="787329CA" w14:textId="77777777" w:rsidR="00A77B3E" w:rsidRPr="00DD376C" w:rsidRDefault="00A77B3E" w:rsidP="00DD376C">
      <w:pPr>
        <w:spacing w:line="360" w:lineRule="auto"/>
        <w:jc w:val="both"/>
        <w:rPr>
          <w:rFonts w:ascii="Book Antiqua" w:hAnsi="Book Antiqua"/>
        </w:rPr>
      </w:pPr>
    </w:p>
    <w:p w14:paraId="751720B1"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results</w:t>
      </w:r>
    </w:p>
    <w:p w14:paraId="134E1F50" w14:textId="2CEC4A28"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 xml:space="preserve">This study selected 148 relevant articles and narrowed them down to nine studies that were evaluated using the NHLBI quality assessment tools. The majority of the studies concluded that EPO therapy increased Hb levels in patients with CRS and reduced anemia symptoms such as fatigue, malaise, weakness, and dizziness. However, the degree of Hb improvement varied significantly between the studies and was highly dependent on the dose and frequency of EPO administration. The effect of EPO on </w:t>
      </w:r>
      <w:r w:rsidR="00A2692B">
        <w:rPr>
          <w:rFonts w:ascii="Book Antiqua" w:eastAsia="Book Antiqua" w:hAnsi="Book Antiqua" w:cs="Book Antiqua"/>
          <w:color w:val="000000"/>
        </w:rPr>
        <w:t>CV</w:t>
      </w:r>
      <w:r w:rsidRPr="00DD376C">
        <w:rPr>
          <w:rFonts w:ascii="Book Antiqua" w:eastAsia="Book Antiqua" w:hAnsi="Book Antiqua" w:cs="Book Antiqua"/>
          <w:color w:val="000000"/>
        </w:rPr>
        <w:t xml:space="preserve"> mortality is difficult to establish as different studies have reported varying outcomes. EPO use was associated with an increased risk of hospitalization, major CV events, acute coronary syndrome, and mortality in some studies. However, other studies found potential benefits of EPO on myocardial function and quality of life. The study's strength lies in its focus on randomized controlled clinical trials and cohort studies, while its limitations include publication bias and small sample sizes.</w:t>
      </w:r>
    </w:p>
    <w:p w14:paraId="15782F87"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lastRenderedPageBreak/>
        <w:t>Research conclusions</w:t>
      </w:r>
    </w:p>
    <w:p w14:paraId="3EC41A8C"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The literature review provides evidence supporting the use of EPO therapy as a potential treatment option for patients with CRS. The benefits of EPO treatment in improving Hb levels, reducing major CV events, and improving cardiac remodeling, myocardial function, NYHA class, and BNP levels are significant, indicating a positive impact on the heart failure aspect of CRS and lowering the likelihood of death for patients. However, further studies are needed to investigate the effect of EPO treatment on hospitalization rates and potential side effects. Overall, the findings of this review suggest that EPO therapy may be a promising adjunctive treatment option for CRS, and more research is needed to confirm its effectiveness and optimize its use in clinical practice.</w:t>
      </w:r>
    </w:p>
    <w:p w14:paraId="043B31CC" w14:textId="77777777" w:rsidR="00A77B3E" w:rsidRPr="00DD376C" w:rsidRDefault="00A77B3E" w:rsidP="00DD376C">
      <w:pPr>
        <w:spacing w:line="360" w:lineRule="auto"/>
        <w:jc w:val="both"/>
        <w:rPr>
          <w:rFonts w:ascii="Book Antiqua" w:hAnsi="Book Antiqua"/>
        </w:rPr>
      </w:pPr>
    </w:p>
    <w:p w14:paraId="6DF216C7"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i/>
          <w:color w:val="000000"/>
        </w:rPr>
        <w:t>Research perspectives</w:t>
      </w:r>
    </w:p>
    <w:p w14:paraId="7B60CEEB" w14:textId="264BDBD6"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color w:val="000000"/>
        </w:rPr>
        <w:t>In terms of future research perspectives, it is crucial to investigate the potential long-term effects of EPO therapy in patients with CRS. Since CRS is a chronic condition, examining the long-term effects of EPO treatment will provide valuable insights into its efficacy and safety. Additionally, future studies should explore the potential of combining EPO therapy with other treatments for CRS, such as</w:t>
      </w:r>
      <w:r w:rsidR="00D165A2">
        <w:rPr>
          <w:rFonts w:ascii="Book Antiqua" w:eastAsia="Book Antiqua" w:hAnsi="Book Antiqua" w:cs="Book Antiqua"/>
          <w:color w:val="000000"/>
        </w:rPr>
        <w:t xml:space="preserve"> a</w:t>
      </w:r>
      <w:r w:rsidR="00D165A2" w:rsidRPr="00D165A2">
        <w:rPr>
          <w:rFonts w:ascii="Book Antiqua" w:eastAsia="Book Antiqua" w:hAnsi="Book Antiqua" w:cs="Book Antiqua"/>
          <w:color w:val="000000"/>
        </w:rPr>
        <w:t>ngiotensin-converting</w:t>
      </w:r>
      <w:r w:rsidR="00D165A2">
        <w:rPr>
          <w:rFonts w:ascii="Book Antiqua" w:eastAsia="Book Antiqua" w:hAnsi="Book Antiqua" w:cs="Book Antiqua"/>
          <w:color w:val="000000"/>
        </w:rPr>
        <w:t xml:space="preserve"> </w:t>
      </w:r>
      <w:r w:rsidR="00D165A2" w:rsidRPr="00D165A2">
        <w:rPr>
          <w:rFonts w:ascii="Book Antiqua" w:eastAsia="Book Antiqua" w:hAnsi="Book Antiqua" w:cs="Book Antiqua"/>
          <w:color w:val="000000"/>
        </w:rPr>
        <w:t>enzyme</w:t>
      </w:r>
      <w:r w:rsidRPr="00DD376C">
        <w:rPr>
          <w:rFonts w:ascii="Book Antiqua" w:eastAsia="Book Antiqua" w:hAnsi="Book Antiqua" w:cs="Book Antiqua"/>
          <w:color w:val="000000"/>
        </w:rPr>
        <w:t xml:space="preserve"> inhibitors and beta</w:t>
      </w:r>
      <w:r w:rsidR="00D165A2">
        <w:rPr>
          <w:rFonts w:ascii="Book Antiqua" w:eastAsia="Book Antiqua" w:hAnsi="Book Antiqua" w:cs="Book Antiqua"/>
          <w:color w:val="000000"/>
        </w:rPr>
        <w:t xml:space="preserve"> </w:t>
      </w:r>
      <w:r w:rsidRPr="00DD376C">
        <w:rPr>
          <w:rFonts w:ascii="Book Antiqua" w:eastAsia="Book Antiqua" w:hAnsi="Book Antiqua" w:cs="Book Antiqua"/>
          <w:color w:val="000000"/>
        </w:rPr>
        <w:t>blockers, to determine if combination therapy could improve clinical outcomes. Finally, future research should also aim to identify biomarkers that can predict a patient's response to EPO therapy, which would allow for more personalized treatment approaches.</w:t>
      </w:r>
    </w:p>
    <w:p w14:paraId="4BEF0CAD" w14:textId="77777777" w:rsidR="00A77B3E" w:rsidRPr="00DD376C" w:rsidRDefault="00A77B3E" w:rsidP="00DD376C">
      <w:pPr>
        <w:spacing w:line="360" w:lineRule="auto"/>
        <w:jc w:val="both"/>
        <w:rPr>
          <w:rFonts w:ascii="Book Antiqua" w:hAnsi="Book Antiqua"/>
        </w:rPr>
      </w:pPr>
    </w:p>
    <w:p w14:paraId="2CC613B4"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REFERENCES</w:t>
      </w:r>
    </w:p>
    <w:p w14:paraId="19998AC8"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 </w:t>
      </w:r>
      <w:r w:rsidRPr="00DD376C">
        <w:rPr>
          <w:rFonts w:ascii="Book Antiqua" w:hAnsi="Book Antiqua"/>
          <w:b/>
          <w:bCs/>
        </w:rPr>
        <w:t>Ronco C</w:t>
      </w:r>
      <w:r w:rsidRPr="00DD376C">
        <w:rPr>
          <w:rFonts w:ascii="Book Antiqua" w:hAnsi="Book Antiqua"/>
        </w:rPr>
        <w:t xml:space="preserve">, Bellasi A, Di Lullo L. Cardiorenal Syndrome: An Overview. </w:t>
      </w:r>
      <w:r w:rsidRPr="00DD376C">
        <w:rPr>
          <w:rFonts w:ascii="Book Antiqua" w:hAnsi="Book Antiqua"/>
          <w:i/>
          <w:iCs/>
        </w:rPr>
        <w:t>Adv Chronic Kidney Dis</w:t>
      </w:r>
      <w:r w:rsidRPr="00DD376C">
        <w:rPr>
          <w:rFonts w:ascii="Book Antiqua" w:hAnsi="Book Antiqua"/>
        </w:rPr>
        <w:t xml:space="preserve"> 2018; </w:t>
      </w:r>
      <w:r w:rsidRPr="00DD376C">
        <w:rPr>
          <w:rFonts w:ascii="Book Antiqua" w:hAnsi="Book Antiqua"/>
          <w:b/>
          <w:bCs/>
        </w:rPr>
        <w:t>25</w:t>
      </w:r>
      <w:r w:rsidRPr="00DD376C">
        <w:rPr>
          <w:rFonts w:ascii="Book Antiqua" w:hAnsi="Book Antiqua"/>
        </w:rPr>
        <w:t>: 382-390 [PMID: 30309455 DOI: 10.1053/j.ackd.2018.08.004]</w:t>
      </w:r>
    </w:p>
    <w:p w14:paraId="326DC7FD"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2 </w:t>
      </w:r>
      <w:r w:rsidRPr="00DD376C">
        <w:rPr>
          <w:rFonts w:ascii="Book Antiqua" w:hAnsi="Book Antiqua"/>
          <w:b/>
          <w:bCs/>
        </w:rPr>
        <w:t>Costanzo MR</w:t>
      </w:r>
      <w:r w:rsidRPr="00DD376C">
        <w:rPr>
          <w:rFonts w:ascii="Book Antiqua" w:hAnsi="Book Antiqua"/>
        </w:rPr>
        <w:t xml:space="preserve">. The Cardiorenal Syndrome in Heart Failure. </w:t>
      </w:r>
      <w:r w:rsidRPr="00DD376C">
        <w:rPr>
          <w:rFonts w:ascii="Book Antiqua" w:hAnsi="Book Antiqua"/>
          <w:i/>
          <w:iCs/>
        </w:rPr>
        <w:t>Heart Fail Clin</w:t>
      </w:r>
      <w:r w:rsidRPr="00DD376C">
        <w:rPr>
          <w:rFonts w:ascii="Book Antiqua" w:hAnsi="Book Antiqua"/>
        </w:rPr>
        <w:t xml:space="preserve"> 2020; </w:t>
      </w:r>
      <w:r w:rsidRPr="00DD376C">
        <w:rPr>
          <w:rFonts w:ascii="Book Antiqua" w:hAnsi="Book Antiqua"/>
          <w:b/>
          <w:bCs/>
        </w:rPr>
        <w:t>16</w:t>
      </w:r>
      <w:r w:rsidRPr="00DD376C">
        <w:rPr>
          <w:rFonts w:ascii="Book Antiqua" w:hAnsi="Book Antiqua"/>
        </w:rPr>
        <w:t>: 81-97 [PMID: 31735318 DOI: 10.1016/j.hfc.2019.08.010]</w:t>
      </w:r>
    </w:p>
    <w:p w14:paraId="389E0AA1"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3 </w:t>
      </w:r>
      <w:r w:rsidRPr="00DD376C">
        <w:rPr>
          <w:rFonts w:ascii="Book Antiqua" w:hAnsi="Book Antiqua"/>
          <w:b/>
          <w:bCs/>
        </w:rPr>
        <w:t>Kumar U</w:t>
      </w:r>
      <w:r w:rsidRPr="00DD376C">
        <w:rPr>
          <w:rFonts w:ascii="Book Antiqua" w:hAnsi="Book Antiqua"/>
        </w:rPr>
        <w:t xml:space="preserve">, Wettersten N, Garimella PS. Cardiorenal Syndrome: Pathophysiology. </w:t>
      </w:r>
      <w:r w:rsidRPr="00DD376C">
        <w:rPr>
          <w:rFonts w:ascii="Book Antiqua" w:hAnsi="Book Antiqua"/>
          <w:i/>
          <w:iCs/>
        </w:rPr>
        <w:t>Cardiol Clin</w:t>
      </w:r>
      <w:r w:rsidRPr="00DD376C">
        <w:rPr>
          <w:rFonts w:ascii="Book Antiqua" w:hAnsi="Book Antiqua"/>
        </w:rPr>
        <w:t xml:space="preserve"> 2019; </w:t>
      </w:r>
      <w:r w:rsidRPr="00DD376C">
        <w:rPr>
          <w:rFonts w:ascii="Book Antiqua" w:hAnsi="Book Antiqua"/>
          <w:b/>
          <w:bCs/>
        </w:rPr>
        <w:t>37</w:t>
      </w:r>
      <w:r w:rsidRPr="00DD376C">
        <w:rPr>
          <w:rFonts w:ascii="Book Antiqua" w:hAnsi="Book Antiqua"/>
        </w:rPr>
        <w:t>: 251-265 [PMID: 31279419 DOI: 10.1016/j.ccl.2019.04.001]</w:t>
      </w:r>
    </w:p>
    <w:p w14:paraId="220A9489" w14:textId="77777777" w:rsidR="009003D9" w:rsidRPr="00DD376C" w:rsidRDefault="009003D9" w:rsidP="00DD376C">
      <w:pPr>
        <w:spacing w:line="360" w:lineRule="auto"/>
        <w:jc w:val="both"/>
        <w:rPr>
          <w:rFonts w:ascii="Book Antiqua" w:hAnsi="Book Antiqua"/>
        </w:rPr>
      </w:pPr>
      <w:r w:rsidRPr="00DD376C">
        <w:rPr>
          <w:rFonts w:ascii="Book Antiqua" w:hAnsi="Book Antiqua"/>
        </w:rPr>
        <w:lastRenderedPageBreak/>
        <w:t xml:space="preserve">4 </w:t>
      </w:r>
      <w:r w:rsidRPr="00DD376C">
        <w:rPr>
          <w:rFonts w:ascii="Book Antiqua" w:hAnsi="Book Antiqua"/>
          <w:b/>
          <w:bCs/>
        </w:rPr>
        <w:t>Uduman J</w:t>
      </w:r>
      <w:r w:rsidRPr="00DD376C">
        <w:rPr>
          <w:rFonts w:ascii="Book Antiqua" w:hAnsi="Book Antiqua"/>
        </w:rPr>
        <w:t xml:space="preserve">. Epidemiology of Cardiorenal Syndrome. </w:t>
      </w:r>
      <w:r w:rsidRPr="00DD376C">
        <w:rPr>
          <w:rFonts w:ascii="Book Antiqua" w:hAnsi="Book Antiqua"/>
          <w:i/>
          <w:iCs/>
        </w:rPr>
        <w:t>Adv Chronic Kidney Dis</w:t>
      </w:r>
      <w:r w:rsidRPr="00DD376C">
        <w:rPr>
          <w:rFonts w:ascii="Book Antiqua" w:hAnsi="Book Antiqua"/>
        </w:rPr>
        <w:t xml:space="preserve"> 2018; </w:t>
      </w:r>
      <w:r w:rsidRPr="00DD376C">
        <w:rPr>
          <w:rFonts w:ascii="Book Antiqua" w:hAnsi="Book Antiqua"/>
          <w:b/>
          <w:bCs/>
        </w:rPr>
        <w:t>25</w:t>
      </w:r>
      <w:r w:rsidRPr="00DD376C">
        <w:rPr>
          <w:rFonts w:ascii="Book Antiqua" w:hAnsi="Book Antiqua"/>
        </w:rPr>
        <w:t>: 391-399 [PMID: 30309456 DOI: 10.1053/j.ackd.2018.08.009]</w:t>
      </w:r>
    </w:p>
    <w:p w14:paraId="0AF121A4"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5 </w:t>
      </w:r>
      <w:r w:rsidRPr="00DD376C">
        <w:rPr>
          <w:rFonts w:ascii="Book Antiqua" w:hAnsi="Book Antiqua"/>
          <w:b/>
          <w:bCs/>
        </w:rPr>
        <w:t>Silverberg DS</w:t>
      </w:r>
      <w:r w:rsidRPr="00DD376C">
        <w:rPr>
          <w:rFonts w:ascii="Book Antiqua" w:hAnsi="Book Antiqua"/>
        </w:rPr>
        <w:t xml:space="preserve">, Wexler D, Iaina A, Steinbruch S, Wollman Y, Schwartz D. Anemia, chronic renal disease and congestive heart failure--the cardio renal anemia syndrome: the need for cooperation between cardiologists and nephrologists. </w:t>
      </w:r>
      <w:r w:rsidRPr="00DD376C">
        <w:rPr>
          <w:rFonts w:ascii="Book Antiqua" w:hAnsi="Book Antiqua"/>
          <w:i/>
          <w:iCs/>
        </w:rPr>
        <w:t>Int Urol Nephrol</w:t>
      </w:r>
      <w:r w:rsidRPr="00DD376C">
        <w:rPr>
          <w:rFonts w:ascii="Book Antiqua" w:hAnsi="Book Antiqua"/>
        </w:rPr>
        <w:t xml:space="preserve"> 2006; </w:t>
      </w:r>
      <w:r w:rsidRPr="00DD376C">
        <w:rPr>
          <w:rFonts w:ascii="Book Antiqua" w:hAnsi="Book Antiqua"/>
          <w:b/>
          <w:bCs/>
        </w:rPr>
        <w:t>38</w:t>
      </w:r>
      <w:r w:rsidRPr="00DD376C">
        <w:rPr>
          <w:rFonts w:ascii="Book Antiqua" w:hAnsi="Book Antiqua"/>
        </w:rPr>
        <w:t>: 295-310 [PMID: 16868702 DOI: 10.1007/s11255-006-0064-8]</w:t>
      </w:r>
    </w:p>
    <w:p w14:paraId="5FA44A32"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6 </w:t>
      </w:r>
      <w:r w:rsidRPr="00DD376C">
        <w:rPr>
          <w:rFonts w:ascii="Book Antiqua" w:hAnsi="Book Antiqua"/>
          <w:b/>
          <w:bCs/>
        </w:rPr>
        <w:t>Pagourelias ED</w:t>
      </w:r>
      <w:r w:rsidRPr="00DD376C">
        <w:rPr>
          <w:rFonts w:ascii="Book Antiqua" w:hAnsi="Book Antiqua"/>
        </w:rPr>
        <w:t xml:space="preserve">, Koumaras C, Kakafika AI, Tziomalos K, Zorou PG, Athyros VG, Karagiannis A. Cardiorenal anemia syndrome: do erythropoietin and iron therapy have a place in the treatment of heart failure? </w:t>
      </w:r>
      <w:r w:rsidRPr="00DD376C">
        <w:rPr>
          <w:rFonts w:ascii="Book Antiqua" w:hAnsi="Book Antiqua"/>
          <w:i/>
          <w:iCs/>
        </w:rPr>
        <w:t>Angiology</w:t>
      </w:r>
      <w:r w:rsidRPr="00DD376C">
        <w:rPr>
          <w:rFonts w:ascii="Book Antiqua" w:hAnsi="Book Antiqua"/>
        </w:rPr>
        <w:t xml:space="preserve"> 2009; </w:t>
      </w:r>
      <w:r w:rsidRPr="00DD376C">
        <w:rPr>
          <w:rFonts w:ascii="Book Antiqua" w:hAnsi="Book Antiqua"/>
          <w:b/>
          <w:bCs/>
        </w:rPr>
        <w:t>60</w:t>
      </w:r>
      <w:r w:rsidRPr="00DD376C">
        <w:rPr>
          <w:rFonts w:ascii="Book Antiqua" w:hAnsi="Book Antiqua"/>
        </w:rPr>
        <w:t>: 74-81 [PMID: 18413330 DOI: 10.1177/0003319708316169]</w:t>
      </w:r>
    </w:p>
    <w:p w14:paraId="3CBF5427"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7 </w:t>
      </w:r>
      <w:r w:rsidRPr="00DD376C">
        <w:rPr>
          <w:rFonts w:ascii="Book Antiqua" w:hAnsi="Book Antiqua"/>
          <w:b/>
          <w:bCs/>
        </w:rPr>
        <w:t>Nangaku M</w:t>
      </w:r>
      <w:r w:rsidRPr="00DD376C">
        <w:rPr>
          <w:rFonts w:ascii="Book Antiqua" w:hAnsi="Book Antiqua"/>
        </w:rPr>
        <w:t xml:space="preserve">, Fliser D. Erythropoiesis-stimulating agents: past and future. </w:t>
      </w:r>
      <w:r w:rsidRPr="00DD376C">
        <w:rPr>
          <w:rFonts w:ascii="Book Antiqua" w:hAnsi="Book Antiqua"/>
          <w:i/>
          <w:iCs/>
        </w:rPr>
        <w:t>Kidney Int Suppl</w:t>
      </w:r>
      <w:r w:rsidRPr="00DD376C">
        <w:rPr>
          <w:rFonts w:ascii="Book Antiqua" w:hAnsi="Book Antiqua"/>
        </w:rPr>
        <w:t xml:space="preserve"> 2007: S1-S3 [PMID: 17943137 DOI: 10.1038/sj.ki.5002480]</w:t>
      </w:r>
    </w:p>
    <w:p w14:paraId="130C3CE7"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8 </w:t>
      </w:r>
      <w:r w:rsidRPr="00DD376C">
        <w:rPr>
          <w:rFonts w:ascii="Book Antiqua" w:hAnsi="Book Antiqua"/>
          <w:b/>
          <w:bCs/>
        </w:rPr>
        <w:t>van der Putten K</w:t>
      </w:r>
      <w:r w:rsidRPr="00DD376C">
        <w:rPr>
          <w:rFonts w:ascii="Book Antiqua" w:hAnsi="Book Antiqua"/>
        </w:rPr>
        <w:t xml:space="preserve">, Jie KE, Emans ME, Verhaar MC, Joles JA, Cramer MJ, Velthuis BK, Meiss L, Kraaijenhagen RJ, Doevendans PA, Braam B, Gaillard CA. Erythropoietin treatment in patients with combined heart and renal failure: objectives and design of the EPOCARES study. </w:t>
      </w:r>
      <w:r w:rsidRPr="00DD376C">
        <w:rPr>
          <w:rFonts w:ascii="Book Antiqua" w:hAnsi="Book Antiqua"/>
          <w:i/>
          <w:iCs/>
        </w:rPr>
        <w:t>J Nephrol</w:t>
      </w:r>
      <w:r w:rsidRPr="00DD376C">
        <w:rPr>
          <w:rFonts w:ascii="Book Antiqua" w:hAnsi="Book Antiqua"/>
        </w:rPr>
        <w:t xml:space="preserve"> 2010; </w:t>
      </w:r>
      <w:r w:rsidRPr="00DD376C">
        <w:rPr>
          <w:rFonts w:ascii="Book Antiqua" w:hAnsi="Book Antiqua"/>
          <w:b/>
          <w:bCs/>
        </w:rPr>
        <w:t>23</w:t>
      </w:r>
      <w:r w:rsidRPr="00DD376C">
        <w:rPr>
          <w:rFonts w:ascii="Book Antiqua" w:hAnsi="Book Antiqua"/>
        </w:rPr>
        <w:t>: 363-368 [PMID: 20383871]</w:t>
      </w:r>
    </w:p>
    <w:p w14:paraId="57893080"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9 </w:t>
      </w:r>
      <w:r w:rsidRPr="00DD376C">
        <w:rPr>
          <w:rFonts w:ascii="Book Antiqua" w:hAnsi="Book Antiqua"/>
          <w:b/>
          <w:bCs/>
        </w:rPr>
        <w:t>Page MJ</w:t>
      </w:r>
      <w:r w:rsidRPr="00DD376C">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DD376C">
        <w:rPr>
          <w:rFonts w:ascii="Book Antiqua" w:hAnsi="Book Antiqua"/>
          <w:i/>
          <w:iCs/>
        </w:rPr>
        <w:t>BMJ</w:t>
      </w:r>
      <w:r w:rsidRPr="00DD376C">
        <w:rPr>
          <w:rFonts w:ascii="Book Antiqua" w:hAnsi="Book Antiqua"/>
        </w:rPr>
        <w:t xml:space="preserve"> 2021; </w:t>
      </w:r>
      <w:r w:rsidRPr="00DD376C">
        <w:rPr>
          <w:rFonts w:ascii="Book Antiqua" w:hAnsi="Book Antiqua"/>
          <w:b/>
          <w:bCs/>
        </w:rPr>
        <w:t>372</w:t>
      </w:r>
      <w:r w:rsidRPr="00DD376C">
        <w:rPr>
          <w:rFonts w:ascii="Book Antiqua" w:hAnsi="Book Antiqua"/>
        </w:rPr>
        <w:t>: n71 [PMID: 33782057 DOI: 10.1136/bmj.n71]</w:t>
      </w:r>
    </w:p>
    <w:p w14:paraId="45167C63" w14:textId="61194F7D" w:rsidR="009003D9" w:rsidRPr="00DD376C" w:rsidRDefault="009003D9" w:rsidP="00DD376C">
      <w:pPr>
        <w:spacing w:line="360" w:lineRule="auto"/>
        <w:jc w:val="both"/>
        <w:rPr>
          <w:rFonts w:ascii="Book Antiqua" w:hAnsi="Book Antiqua"/>
        </w:rPr>
      </w:pPr>
      <w:r w:rsidRPr="00DD376C">
        <w:rPr>
          <w:rFonts w:ascii="Book Antiqua" w:hAnsi="Book Antiqua"/>
        </w:rPr>
        <w:t xml:space="preserve">10 </w:t>
      </w:r>
      <w:r w:rsidRPr="00DD376C">
        <w:rPr>
          <w:rFonts w:ascii="Book Antiqua" w:hAnsi="Book Antiqua"/>
          <w:b/>
          <w:bCs/>
        </w:rPr>
        <w:t xml:space="preserve">Study Quality Assessment Tools. </w:t>
      </w:r>
      <w:r w:rsidRPr="00DD376C">
        <w:rPr>
          <w:rFonts w:ascii="Book Antiqua" w:hAnsi="Book Antiqua"/>
          <w:bCs/>
        </w:rPr>
        <w:t xml:space="preserve">(2021). Accessed: </w:t>
      </w:r>
      <w:r w:rsidR="00E17555" w:rsidRPr="00DD376C">
        <w:rPr>
          <w:rFonts w:ascii="Book Antiqua" w:hAnsi="Book Antiqua"/>
          <w:bCs/>
        </w:rPr>
        <w:t xml:space="preserve">March </w:t>
      </w:r>
      <w:r w:rsidRPr="00DD376C">
        <w:rPr>
          <w:rFonts w:ascii="Book Antiqua" w:hAnsi="Book Antiqua"/>
          <w:bCs/>
        </w:rPr>
        <w:t>20</w:t>
      </w:r>
      <w:r w:rsidR="00E17555" w:rsidRPr="00DD376C">
        <w:rPr>
          <w:rFonts w:ascii="Book Antiqua" w:hAnsi="Book Antiqua"/>
          <w:bCs/>
        </w:rPr>
        <w:t xml:space="preserve">, </w:t>
      </w:r>
      <w:r w:rsidRPr="00DD376C">
        <w:rPr>
          <w:rFonts w:ascii="Book Antiqua" w:hAnsi="Book Antiqua"/>
          <w:bCs/>
        </w:rPr>
        <w:t>2022,</w:t>
      </w:r>
      <w:r w:rsidRPr="00DD376C">
        <w:rPr>
          <w:rFonts w:ascii="Book Antiqua" w:hAnsi="Book Antiqua"/>
        </w:rPr>
        <w:t xml:space="preserve"> 2022</w:t>
      </w:r>
      <w:r w:rsidR="00EC2098" w:rsidRPr="00DD376C">
        <w:rPr>
          <w:rFonts w:ascii="Book Antiqua" w:hAnsi="Book Antiqua"/>
        </w:rPr>
        <w:t>.</w:t>
      </w:r>
      <w:r w:rsidRPr="00DD376C">
        <w:rPr>
          <w:rFonts w:ascii="Book Antiqua" w:hAnsi="Book Antiqua"/>
        </w:rPr>
        <w:t xml:space="preserve"> </w:t>
      </w:r>
      <w:r w:rsidR="00EC2098" w:rsidRPr="00DD376C">
        <w:rPr>
          <w:rFonts w:ascii="Book Antiqua" w:hAnsi="Book Antiqua"/>
        </w:rPr>
        <w:t xml:space="preserve">Available from: </w:t>
      </w:r>
      <w:r w:rsidRPr="00DD376C">
        <w:rPr>
          <w:rFonts w:ascii="Book Antiqua" w:hAnsi="Book Antiqua"/>
        </w:rPr>
        <w:t>https://www.nhlbi.nih.gov/health-topics/</w:t>
      </w:r>
      <w:r w:rsidR="00C241E9" w:rsidRPr="00DD376C">
        <w:rPr>
          <w:rFonts w:ascii="Book Antiqua" w:hAnsi="Book Antiqua"/>
        </w:rPr>
        <w:t>study-quality-assessment-tools</w:t>
      </w:r>
    </w:p>
    <w:p w14:paraId="0AAEAC4C"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11 </w:t>
      </w:r>
      <w:r w:rsidRPr="00DD376C">
        <w:rPr>
          <w:rFonts w:ascii="Book Antiqua" w:hAnsi="Book Antiqua"/>
          <w:b/>
          <w:bCs/>
        </w:rPr>
        <w:t>Palazzuoli A</w:t>
      </w:r>
      <w:r w:rsidRPr="00DD376C">
        <w:rPr>
          <w:rFonts w:ascii="Book Antiqua" w:hAnsi="Book Antiqua"/>
        </w:rPr>
        <w:t xml:space="preserve">, Silverberg DS, Iovine F, Calabrò A, Campagna MS, Gallotta M, Nuti R. Effects of beta-erythropoietin treatment on left ventricular remodeling, systolic function, and B-type natriuretic peptide levels in patients with the cardiorenal anemia syndrome. </w:t>
      </w:r>
      <w:r w:rsidRPr="00DD376C">
        <w:rPr>
          <w:rFonts w:ascii="Book Antiqua" w:hAnsi="Book Antiqua"/>
          <w:i/>
          <w:iCs/>
        </w:rPr>
        <w:t>Am Heart J</w:t>
      </w:r>
      <w:r w:rsidRPr="00DD376C">
        <w:rPr>
          <w:rFonts w:ascii="Book Antiqua" w:hAnsi="Book Antiqua"/>
        </w:rPr>
        <w:t xml:space="preserve"> 2007; </w:t>
      </w:r>
      <w:r w:rsidRPr="00DD376C">
        <w:rPr>
          <w:rFonts w:ascii="Book Antiqua" w:hAnsi="Book Antiqua"/>
          <w:b/>
          <w:bCs/>
        </w:rPr>
        <w:t>154</w:t>
      </w:r>
      <w:r w:rsidRPr="00DD376C">
        <w:rPr>
          <w:rFonts w:ascii="Book Antiqua" w:hAnsi="Book Antiqua"/>
        </w:rPr>
        <w:t>: 645.e9-645.15 [PMID: 17892986 DOI: 10.1016/j.ahj.2007.07.022]</w:t>
      </w:r>
    </w:p>
    <w:p w14:paraId="6A149A47" w14:textId="77777777" w:rsidR="009003D9" w:rsidRPr="00DD376C" w:rsidRDefault="009003D9" w:rsidP="00DD376C">
      <w:pPr>
        <w:spacing w:line="360" w:lineRule="auto"/>
        <w:jc w:val="both"/>
        <w:rPr>
          <w:rFonts w:ascii="Book Antiqua" w:hAnsi="Book Antiqua"/>
        </w:rPr>
      </w:pPr>
      <w:r w:rsidRPr="00DD376C">
        <w:rPr>
          <w:rFonts w:ascii="Book Antiqua" w:hAnsi="Book Antiqua"/>
        </w:rPr>
        <w:lastRenderedPageBreak/>
        <w:t xml:space="preserve">12 </w:t>
      </w:r>
      <w:r w:rsidRPr="00DD376C">
        <w:rPr>
          <w:rFonts w:ascii="Book Antiqua" w:hAnsi="Book Antiqua"/>
          <w:b/>
          <w:bCs/>
        </w:rPr>
        <w:t>Jackevicius CA</w:t>
      </w:r>
      <w:r w:rsidRPr="00DD376C">
        <w:rPr>
          <w:rFonts w:ascii="Book Antiqua" w:hAnsi="Book Antiqua"/>
        </w:rPr>
        <w:t xml:space="preserve">, Co MJ, Warner AL. Predictors of erythropoietin use in patients with cardiorenal anaemia syndrome. </w:t>
      </w:r>
      <w:r w:rsidRPr="00DD376C">
        <w:rPr>
          <w:rFonts w:ascii="Book Antiqua" w:hAnsi="Book Antiqua"/>
          <w:i/>
          <w:iCs/>
        </w:rPr>
        <w:t>Int J Pharm Pract</w:t>
      </w:r>
      <w:r w:rsidRPr="00DD376C">
        <w:rPr>
          <w:rFonts w:ascii="Book Antiqua" w:hAnsi="Book Antiqua"/>
        </w:rPr>
        <w:t xml:space="preserve"> 2015; </w:t>
      </w:r>
      <w:r w:rsidRPr="00DD376C">
        <w:rPr>
          <w:rFonts w:ascii="Book Antiqua" w:hAnsi="Book Antiqua"/>
          <w:b/>
          <w:bCs/>
        </w:rPr>
        <w:t>23</w:t>
      </w:r>
      <w:r w:rsidRPr="00DD376C">
        <w:rPr>
          <w:rFonts w:ascii="Book Antiqua" w:hAnsi="Book Antiqua"/>
        </w:rPr>
        <w:t>: 199-204 [PMID: 24990704 DOI: 10.1111/ijpp.12133]</w:t>
      </w:r>
    </w:p>
    <w:p w14:paraId="336F7840"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13 </w:t>
      </w:r>
      <w:r w:rsidRPr="00DD376C">
        <w:rPr>
          <w:rFonts w:ascii="Book Antiqua" w:hAnsi="Book Antiqua"/>
          <w:b/>
          <w:bCs/>
        </w:rPr>
        <w:t>Eisenga MF</w:t>
      </w:r>
      <w:r w:rsidRPr="00DD376C">
        <w:rPr>
          <w:rFonts w:ascii="Book Antiqua" w:hAnsi="Book Antiqua"/>
        </w:rPr>
        <w:t xml:space="preserve">, Emans ME, van der Putten K, Cramer MJ, Diepenbroek A, Velthuis BK, Doevendans PA, Verhaar MC, Joles JA, Bakker SJL, Nolte IM, Braam B, Gaillard CAJM. Epoetin Beta and C-Terminal Fibroblast Growth Factor 23 in Patients With Chronic Heart Failure and Chronic Kidney Disease. </w:t>
      </w:r>
      <w:r w:rsidRPr="00DD376C">
        <w:rPr>
          <w:rFonts w:ascii="Book Antiqua" w:hAnsi="Book Antiqua"/>
          <w:i/>
          <w:iCs/>
        </w:rPr>
        <w:t>J Am Heart Assoc</w:t>
      </w:r>
      <w:r w:rsidRPr="00DD376C">
        <w:rPr>
          <w:rFonts w:ascii="Book Antiqua" w:hAnsi="Book Antiqua"/>
        </w:rPr>
        <w:t xml:space="preserve"> 2019; </w:t>
      </w:r>
      <w:r w:rsidRPr="00DD376C">
        <w:rPr>
          <w:rFonts w:ascii="Book Antiqua" w:hAnsi="Book Antiqua"/>
          <w:b/>
          <w:bCs/>
        </w:rPr>
        <w:t>8</w:t>
      </w:r>
      <w:r w:rsidRPr="00DD376C">
        <w:rPr>
          <w:rFonts w:ascii="Book Antiqua" w:hAnsi="Book Antiqua"/>
        </w:rPr>
        <w:t>: e011130 [PMID: 31423921 DOI: 10.1161/JAHA.118.011130]</w:t>
      </w:r>
    </w:p>
    <w:p w14:paraId="5664FCA6"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14 </w:t>
      </w:r>
      <w:r w:rsidRPr="00DD376C">
        <w:rPr>
          <w:rFonts w:ascii="Book Antiqua" w:hAnsi="Book Antiqua"/>
          <w:b/>
          <w:bCs/>
        </w:rPr>
        <w:t>McMurray JJ</w:t>
      </w:r>
      <w:r w:rsidRPr="00DD376C">
        <w:rPr>
          <w:rFonts w:ascii="Book Antiqua" w:hAnsi="Book Antiqua"/>
        </w:rPr>
        <w:t xml:space="preserve">, Uno H, Jarolim P, Desai AS, de Zeeuw D, Eckardt KU, Ivanovich P, Levey AS, Lewis EF, McGill JB, Parfrey P, Parving HH, Toto RM, Solomon SD, Pfeffer MA. Predictors of fatal and nonfatal cardiovascular events in patients with type 2 diabetes mellitus, chronic kidney disease, and anemia: an analysis of the Trial to Reduce cardiovascular Events with Aranesp (darbepoetin-alfa) Therapy (TREAT). </w:t>
      </w:r>
      <w:r w:rsidRPr="00DD376C">
        <w:rPr>
          <w:rFonts w:ascii="Book Antiqua" w:hAnsi="Book Antiqua"/>
          <w:i/>
          <w:iCs/>
        </w:rPr>
        <w:t>Am Heart J</w:t>
      </w:r>
      <w:r w:rsidRPr="00DD376C">
        <w:rPr>
          <w:rFonts w:ascii="Book Antiqua" w:hAnsi="Book Antiqua"/>
        </w:rPr>
        <w:t xml:space="preserve"> 2011; </w:t>
      </w:r>
      <w:r w:rsidRPr="00DD376C">
        <w:rPr>
          <w:rFonts w:ascii="Book Antiqua" w:hAnsi="Book Antiqua"/>
          <w:b/>
          <w:bCs/>
        </w:rPr>
        <w:t>162</w:t>
      </w:r>
      <w:r w:rsidRPr="00DD376C">
        <w:rPr>
          <w:rFonts w:ascii="Book Antiqua" w:hAnsi="Book Antiqua"/>
        </w:rPr>
        <w:t>: 748-755.e3 [PMID: 21982669 DOI: 10.1016/j.ahj.2011.07.016]</w:t>
      </w:r>
    </w:p>
    <w:p w14:paraId="7B3D5E7E"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15 </w:t>
      </w:r>
      <w:r w:rsidRPr="00DD376C">
        <w:rPr>
          <w:rFonts w:ascii="Book Antiqua" w:hAnsi="Book Antiqua"/>
          <w:b/>
          <w:bCs/>
        </w:rPr>
        <w:t>Fazlibegović E</w:t>
      </w:r>
      <w:r w:rsidRPr="00DD376C">
        <w:rPr>
          <w:rFonts w:ascii="Book Antiqua" w:hAnsi="Book Antiqua"/>
        </w:rPr>
        <w:t xml:space="preserve">, Hadziomerović M, Corić S, Babić E, Fazlibegović F. Erythropoietin in cardiorenal anemia syndrome. </w:t>
      </w:r>
      <w:r w:rsidRPr="00DD376C">
        <w:rPr>
          <w:rFonts w:ascii="Book Antiqua" w:hAnsi="Book Antiqua"/>
          <w:i/>
          <w:iCs/>
        </w:rPr>
        <w:t>Bosn J Basic Med Sci</w:t>
      </w:r>
      <w:r w:rsidRPr="00DD376C">
        <w:rPr>
          <w:rFonts w:ascii="Book Antiqua" w:hAnsi="Book Antiqua"/>
        </w:rPr>
        <w:t xml:space="preserve"> 2006; </w:t>
      </w:r>
      <w:r w:rsidRPr="00DD376C">
        <w:rPr>
          <w:rFonts w:ascii="Book Antiqua" w:hAnsi="Book Antiqua"/>
          <w:b/>
          <w:bCs/>
        </w:rPr>
        <w:t>6</w:t>
      </w:r>
      <w:r w:rsidRPr="00DD376C">
        <w:rPr>
          <w:rFonts w:ascii="Book Antiqua" w:hAnsi="Book Antiqua"/>
        </w:rPr>
        <w:t>: 36-41 [PMID: 17177647 DOI: 10.17305/bjbms.2006.3117]</w:t>
      </w:r>
    </w:p>
    <w:p w14:paraId="7C5F0114"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16 </w:t>
      </w:r>
      <w:r w:rsidRPr="00DD376C">
        <w:rPr>
          <w:rFonts w:ascii="Book Antiqua" w:hAnsi="Book Antiqua"/>
          <w:b/>
          <w:bCs/>
        </w:rPr>
        <w:t>Jie KE</w:t>
      </w:r>
      <w:r w:rsidRPr="00DD376C">
        <w:rPr>
          <w:rFonts w:ascii="Book Antiqua" w:hAnsi="Book Antiqua"/>
        </w:rPr>
        <w:t xml:space="preserve">, van der Putten K, Bergevoet MW, Doevendans PA, Gaillard CA, Braam B, Verhaar MC. Short- and long-term effects of erythropoietin treatment on endothelial progenitor cell levels in patients with cardiorenal syndrome. </w:t>
      </w:r>
      <w:r w:rsidRPr="00DD376C">
        <w:rPr>
          <w:rFonts w:ascii="Book Antiqua" w:hAnsi="Book Antiqua"/>
          <w:i/>
          <w:iCs/>
        </w:rPr>
        <w:t>Heart</w:t>
      </w:r>
      <w:r w:rsidRPr="00DD376C">
        <w:rPr>
          <w:rFonts w:ascii="Book Antiqua" w:hAnsi="Book Antiqua"/>
        </w:rPr>
        <w:t xml:space="preserve"> 2011; </w:t>
      </w:r>
      <w:r w:rsidRPr="00DD376C">
        <w:rPr>
          <w:rFonts w:ascii="Book Antiqua" w:hAnsi="Book Antiqua"/>
          <w:b/>
          <w:bCs/>
        </w:rPr>
        <w:t>97</w:t>
      </w:r>
      <w:r w:rsidRPr="00DD376C">
        <w:rPr>
          <w:rFonts w:ascii="Book Antiqua" w:hAnsi="Book Antiqua"/>
        </w:rPr>
        <w:t>: 60-65 [PMID: 21071558 DOI: 10.1136/hrt.2010.194654]</w:t>
      </w:r>
    </w:p>
    <w:p w14:paraId="63B95F77"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17 </w:t>
      </w:r>
      <w:r w:rsidRPr="00DD376C">
        <w:rPr>
          <w:rFonts w:ascii="Book Antiqua" w:hAnsi="Book Antiqua"/>
          <w:b/>
          <w:bCs/>
        </w:rPr>
        <w:t>Jackevicius CA</w:t>
      </w:r>
      <w:r w:rsidRPr="00DD376C">
        <w:rPr>
          <w:rFonts w:ascii="Book Antiqua" w:hAnsi="Book Antiqua"/>
        </w:rPr>
        <w:t xml:space="preserve">, Fan CS, Warner A. Clinical outcomes of erythropoietin use in heart failure patients with anemia of chronic kidney disease. </w:t>
      </w:r>
      <w:r w:rsidRPr="00DD376C">
        <w:rPr>
          <w:rFonts w:ascii="Book Antiqua" w:hAnsi="Book Antiqua"/>
          <w:i/>
          <w:iCs/>
        </w:rPr>
        <w:t>J Card Fail</w:t>
      </w:r>
      <w:r w:rsidRPr="00DD376C">
        <w:rPr>
          <w:rFonts w:ascii="Book Antiqua" w:hAnsi="Book Antiqua"/>
        </w:rPr>
        <w:t xml:space="preserve"> 2014; </w:t>
      </w:r>
      <w:r w:rsidRPr="00DD376C">
        <w:rPr>
          <w:rFonts w:ascii="Book Antiqua" w:hAnsi="Book Antiqua"/>
          <w:b/>
          <w:bCs/>
        </w:rPr>
        <w:t>20</w:t>
      </w:r>
      <w:r w:rsidRPr="00DD376C">
        <w:rPr>
          <w:rFonts w:ascii="Book Antiqua" w:hAnsi="Book Antiqua"/>
        </w:rPr>
        <w:t>: 327-333 [PMID: 24530942 DOI: 10.1016/j.cardfail.2014.02.001]</w:t>
      </w:r>
    </w:p>
    <w:p w14:paraId="5990342B" w14:textId="77777777" w:rsidR="009003D9" w:rsidRPr="00DD376C" w:rsidRDefault="009003D9" w:rsidP="00DD376C">
      <w:pPr>
        <w:spacing w:line="360" w:lineRule="auto"/>
        <w:jc w:val="both"/>
        <w:rPr>
          <w:rFonts w:ascii="Book Antiqua" w:hAnsi="Book Antiqua"/>
        </w:rPr>
      </w:pPr>
      <w:r w:rsidRPr="00DD376C">
        <w:rPr>
          <w:rFonts w:ascii="Book Antiqua" w:hAnsi="Book Antiqua"/>
        </w:rPr>
        <w:t xml:space="preserve">18 </w:t>
      </w:r>
      <w:r w:rsidRPr="00DD376C">
        <w:rPr>
          <w:rFonts w:ascii="Book Antiqua" w:hAnsi="Book Antiqua"/>
          <w:b/>
          <w:bCs/>
        </w:rPr>
        <w:t>Jie KE</w:t>
      </w:r>
      <w:r w:rsidRPr="00DD376C">
        <w:rPr>
          <w:rFonts w:ascii="Book Antiqua" w:hAnsi="Book Antiqua"/>
        </w:rPr>
        <w:t xml:space="preserve">, van der Putten K, Wesseling S, Joles JA, Bergevoet MW, Pepers-de Kort F, Doevendans PA, Yasui Y, Liu Q, Verhaar MC, Gaillard CA, Braam B. Short-term erythropoietin treatment does not substantially modulate monocyte transcriptomes of patients with combined heart and renal failure. </w:t>
      </w:r>
      <w:r w:rsidRPr="00DD376C">
        <w:rPr>
          <w:rFonts w:ascii="Book Antiqua" w:hAnsi="Book Antiqua"/>
          <w:i/>
          <w:iCs/>
        </w:rPr>
        <w:t>PLoS One</w:t>
      </w:r>
      <w:r w:rsidRPr="00DD376C">
        <w:rPr>
          <w:rFonts w:ascii="Book Antiqua" w:hAnsi="Book Antiqua"/>
        </w:rPr>
        <w:t xml:space="preserve"> 2012; </w:t>
      </w:r>
      <w:r w:rsidRPr="00DD376C">
        <w:rPr>
          <w:rFonts w:ascii="Book Antiqua" w:hAnsi="Book Antiqua"/>
          <w:b/>
          <w:bCs/>
        </w:rPr>
        <w:t>7</w:t>
      </w:r>
      <w:r w:rsidRPr="00DD376C">
        <w:rPr>
          <w:rFonts w:ascii="Book Antiqua" w:hAnsi="Book Antiqua"/>
        </w:rPr>
        <w:t>: e41339 [PMID: 22957013 DOI: 10.1371/journal.pone.0041339]</w:t>
      </w:r>
    </w:p>
    <w:p w14:paraId="0C2E2A98" w14:textId="77777777" w:rsidR="009003D9" w:rsidRPr="00DD376C" w:rsidRDefault="009003D9" w:rsidP="00DD376C">
      <w:pPr>
        <w:spacing w:line="360" w:lineRule="auto"/>
        <w:jc w:val="both"/>
        <w:rPr>
          <w:rFonts w:ascii="Book Antiqua" w:hAnsi="Book Antiqua"/>
        </w:rPr>
      </w:pPr>
      <w:r w:rsidRPr="00DD376C">
        <w:rPr>
          <w:rFonts w:ascii="Book Antiqua" w:hAnsi="Book Antiqua"/>
        </w:rPr>
        <w:lastRenderedPageBreak/>
        <w:t xml:space="preserve">19 </w:t>
      </w:r>
      <w:r w:rsidRPr="00DD376C">
        <w:rPr>
          <w:rFonts w:ascii="Book Antiqua" w:hAnsi="Book Antiqua"/>
          <w:b/>
          <w:bCs/>
        </w:rPr>
        <w:t>Emans ME</w:t>
      </w:r>
      <w:r w:rsidRPr="00DD376C">
        <w:rPr>
          <w:rFonts w:ascii="Book Antiqua" w:hAnsi="Book Antiqua"/>
        </w:rPr>
        <w:t xml:space="preserve">, Braam B, Diepenbroek A, van der Putten K, Cramer MJ, Wielders JP, Swinkels DW, Doevendans PA, Gaillard CA. Neutrophil gelatinase-associated lipocalin (NGAL) in chronic cardiorenal failure is correlated with endogenous erythropoietin levels and decreases in response to low-dose erythropoietin treatment. </w:t>
      </w:r>
      <w:r w:rsidRPr="00DD376C">
        <w:rPr>
          <w:rFonts w:ascii="Book Antiqua" w:hAnsi="Book Antiqua"/>
          <w:i/>
          <w:iCs/>
        </w:rPr>
        <w:t>Kidney Blood Press Res</w:t>
      </w:r>
      <w:r w:rsidRPr="00DD376C">
        <w:rPr>
          <w:rFonts w:ascii="Book Antiqua" w:hAnsi="Book Antiqua"/>
        </w:rPr>
        <w:t xml:space="preserve"> 2012; </w:t>
      </w:r>
      <w:r w:rsidRPr="00DD376C">
        <w:rPr>
          <w:rFonts w:ascii="Book Antiqua" w:hAnsi="Book Antiqua"/>
          <w:b/>
          <w:bCs/>
        </w:rPr>
        <w:t>36</w:t>
      </w:r>
      <w:r w:rsidRPr="00DD376C">
        <w:rPr>
          <w:rFonts w:ascii="Book Antiqua" w:hAnsi="Book Antiqua"/>
        </w:rPr>
        <w:t>: 344-354 [PMID: 23235391 DOI: 10.1159/000343392]</w:t>
      </w:r>
    </w:p>
    <w:p w14:paraId="0907DC23" w14:textId="6AE5410D" w:rsidR="00A77B3E" w:rsidRPr="00FD6E68" w:rsidRDefault="00FC555B" w:rsidP="00DD376C">
      <w:pPr>
        <w:spacing w:line="360" w:lineRule="auto"/>
        <w:jc w:val="both"/>
        <w:rPr>
          <w:rFonts w:ascii="Book Antiqua" w:hAnsi="Book Antiqua"/>
        </w:rPr>
        <w:sectPr w:rsidR="00A77B3E" w:rsidRPr="00FD6E68">
          <w:footerReference w:type="default" r:id="rId6"/>
          <w:pgSz w:w="12240" w:h="15840"/>
          <w:pgMar w:top="1440" w:right="1440" w:bottom="1440" w:left="1440" w:header="720" w:footer="720" w:gutter="0"/>
          <w:cols w:space="720"/>
          <w:docGrid w:linePitch="360"/>
        </w:sectPr>
      </w:pPr>
      <w:r w:rsidRPr="00DD376C">
        <w:rPr>
          <w:rFonts w:ascii="Book Antiqua" w:hAnsi="Book Antiqua"/>
        </w:rPr>
        <w:t xml:space="preserve">20 </w:t>
      </w:r>
      <w:r w:rsidR="008A20B3" w:rsidRPr="00DD376C">
        <w:rPr>
          <w:rFonts w:ascii="Book Antiqua" w:hAnsi="Book Antiqua"/>
          <w:b/>
          <w:noProof/>
        </w:rPr>
        <w:t>Auerbach M,</w:t>
      </w:r>
      <w:r w:rsidR="008A20B3" w:rsidRPr="00DD376C">
        <w:rPr>
          <w:rFonts w:ascii="Book Antiqua" w:hAnsi="Book Antiqua"/>
          <w:noProof/>
        </w:rPr>
        <w:t xml:space="preserve"> Ballard H, Trout JR, McIlwain M, Ackerman A, Bahrain H, Balan S, Barker L, Rana J. Intravenous iron optimizes the response to recombinant human erythropoietin in cancer patients with chemotherapy-related anemia: a multicenter, open-label, randomized trial. </w:t>
      </w:r>
      <w:r w:rsidR="008A20B3" w:rsidRPr="00DD376C">
        <w:rPr>
          <w:rFonts w:ascii="Book Antiqua" w:hAnsi="Book Antiqua"/>
          <w:i/>
          <w:noProof/>
        </w:rPr>
        <w:t>J Clin Oncol</w:t>
      </w:r>
      <w:r w:rsidR="008A20B3" w:rsidRPr="00DD376C">
        <w:rPr>
          <w:rFonts w:ascii="Book Antiqua" w:hAnsi="Book Antiqua"/>
          <w:noProof/>
        </w:rPr>
        <w:t xml:space="preserve"> 2004; </w:t>
      </w:r>
      <w:r w:rsidR="008A20B3" w:rsidRPr="00DD376C">
        <w:rPr>
          <w:rFonts w:ascii="Book Antiqua" w:hAnsi="Book Antiqua"/>
          <w:b/>
          <w:noProof/>
        </w:rPr>
        <w:t>22:</w:t>
      </w:r>
      <w:r w:rsidR="008A20B3" w:rsidRPr="00DD376C">
        <w:rPr>
          <w:rFonts w:ascii="Book Antiqua" w:hAnsi="Book Antiqua"/>
          <w:noProof/>
        </w:rPr>
        <w:t xml:space="preserve"> 1301-1307 [PMID: 15051778 DOI: 10.1200/JCO.2004.08.119]</w:t>
      </w:r>
    </w:p>
    <w:p w14:paraId="0D94EDA1" w14:textId="77777777" w:rsidR="00A77B3E" w:rsidRPr="00FD6E68" w:rsidRDefault="00BA03D4" w:rsidP="00DD376C">
      <w:pPr>
        <w:spacing w:line="360" w:lineRule="auto"/>
        <w:jc w:val="both"/>
        <w:rPr>
          <w:rFonts w:ascii="Book Antiqua" w:hAnsi="Book Antiqua"/>
        </w:rPr>
      </w:pPr>
      <w:r w:rsidRPr="00FD6E68">
        <w:rPr>
          <w:rFonts w:ascii="Book Antiqua" w:eastAsia="Book Antiqua" w:hAnsi="Book Antiqua" w:cs="Book Antiqua"/>
          <w:b/>
          <w:color w:val="000000"/>
        </w:rPr>
        <w:lastRenderedPageBreak/>
        <w:t>Footnotes</w:t>
      </w:r>
    </w:p>
    <w:p w14:paraId="256CF4D5" w14:textId="00C775C4" w:rsidR="00A77B3E" w:rsidRPr="00DD376C" w:rsidRDefault="00BA03D4" w:rsidP="00DD376C">
      <w:pPr>
        <w:spacing w:line="360" w:lineRule="auto"/>
        <w:jc w:val="both"/>
        <w:rPr>
          <w:rFonts w:ascii="Book Antiqua" w:hAnsi="Book Antiqua"/>
        </w:rPr>
      </w:pPr>
      <w:r w:rsidRPr="00FD6E68">
        <w:rPr>
          <w:rFonts w:ascii="Book Antiqua" w:eastAsia="Book Antiqua" w:hAnsi="Book Antiqua" w:cs="Book Antiqua"/>
          <w:b/>
          <w:bCs/>
        </w:rPr>
        <w:t xml:space="preserve">Conflict-of-interest statement: </w:t>
      </w:r>
      <w:r w:rsidR="00C506E1">
        <w:rPr>
          <w:rFonts w:ascii="Book Antiqua" w:eastAsia="Book Antiqua" w:hAnsi="Book Antiqua" w:cs="Book Antiqua"/>
          <w:bCs/>
        </w:rPr>
        <w:t>The</w:t>
      </w:r>
      <w:r w:rsidR="000D0C52" w:rsidRPr="00DD376C">
        <w:rPr>
          <w:rFonts w:ascii="Book Antiqua" w:eastAsia="Book Antiqua" w:hAnsi="Book Antiqua" w:cs="Book Antiqua"/>
        </w:rPr>
        <w:t xml:space="preserve"> </w:t>
      </w:r>
      <w:r w:rsidR="0060491E" w:rsidRPr="00DD376C">
        <w:rPr>
          <w:rFonts w:ascii="Book Antiqua" w:eastAsia="Book Antiqua" w:hAnsi="Book Antiqua" w:cs="Book Antiqua"/>
        </w:rPr>
        <w:t>authors have no conflict</w:t>
      </w:r>
      <w:r w:rsidR="00C506E1">
        <w:rPr>
          <w:rFonts w:ascii="Book Antiqua" w:eastAsia="Book Antiqua" w:hAnsi="Book Antiqua" w:cs="Book Antiqua"/>
        </w:rPr>
        <w:t>s</w:t>
      </w:r>
      <w:r w:rsidR="0060491E" w:rsidRPr="00DD376C">
        <w:rPr>
          <w:rFonts w:ascii="Book Antiqua" w:eastAsia="Book Antiqua" w:hAnsi="Book Antiqua" w:cs="Book Antiqua"/>
        </w:rPr>
        <w:t xml:space="preserve"> of interest</w:t>
      </w:r>
      <w:r w:rsidR="00C506E1">
        <w:rPr>
          <w:rFonts w:ascii="Book Antiqua" w:eastAsia="Book Antiqua" w:hAnsi="Book Antiqua" w:cs="Book Antiqua"/>
        </w:rPr>
        <w:t xml:space="preserve"> to declare</w:t>
      </w:r>
      <w:r w:rsidR="0060491E" w:rsidRPr="00DD376C">
        <w:rPr>
          <w:rFonts w:ascii="Book Antiqua" w:eastAsia="Book Antiqua" w:hAnsi="Book Antiqua" w:cs="Book Antiqua"/>
        </w:rPr>
        <w:t>.</w:t>
      </w:r>
    </w:p>
    <w:p w14:paraId="5FF963D2" w14:textId="77777777" w:rsidR="00A77B3E" w:rsidRPr="00DD376C" w:rsidRDefault="00A77B3E" w:rsidP="00DD376C">
      <w:pPr>
        <w:spacing w:line="360" w:lineRule="auto"/>
        <w:jc w:val="both"/>
        <w:rPr>
          <w:rFonts w:ascii="Book Antiqua" w:hAnsi="Book Antiqua"/>
        </w:rPr>
      </w:pPr>
    </w:p>
    <w:p w14:paraId="7D776453"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PRISMA 2009 Checklist statement: </w:t>
      </w:r>
      <w:r w:rsidRPr="00DD376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850B9B6" w14:textId="77777777" w:rsidR="00A77B3E" w:rsidRPr="00DD376C" w:rsidRDefault="00A77B3E" w:rsidP="00DD376C">
      <w:pPr>
        <w:spacing w:line="360" w:lineRule="auto"/>
        <w:jc w:val="both"/>
        <w:rPr>
          <w:rFonts w:ascii="Book Antiqua" w:hAnsi="Book Antiqua"/>
        </w:rPr>
      </w:pPr>
    </w:p>
    <w:p w14:paraId="7BF17B2B"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bCs/>
        </w:rPr>
        <w:t xml:space="preserve">Open-Access: </w:t>
      </w:r>
      <w:r w:rsidRPr="00DD376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F0AB7" w14:textId="77777777" w:rsidR="00A77B3E" w:rsidRPr="00DD376C" w:rsidRDefault="00A77B3E" w:rsidP="00DD376C">
      <w:pPr>
        <w:spacing w:line="360" w:lineRule="auto"/>
        <w:jc w:val="both"/>
        <w:rPr>
          <w:rFonts w:ascii="Book Antiqua" w:hAnsi="Book Antiqua"/>
        </w:rPr>
      </w:pPr>
    </w:p>
    <w:p w14:paraId="2E1B167A"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Provenance and peer review: </w:t>
      </w:r>
      <w:r w:rsidRPr="00DD376C">
        <w:rPr>
          <w:rFonts w:ascii="Book Antiqua" w:eastAsia="Book Antiqua" w:hAnsi="Book Antiqua" w:cs="Book Antiqua"/>
        </w:rPr>
        <w:t>Invited article; Externally peer reviewed.</w:t>
      </w:r>
    </w:p>
    <w:p w14:paraId="603A13DF"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Peer-review model: </w:t>
      </w:r>
      <w:r w:rsidRPr="00DD376C">
        <w:rPr>
          <w:rFonts w:ascii="Book Antiqua" w:eastAsia="Book Antiqua" w:hAnsi="Book Antiqua" w:cs="Book Antiqua"/>
        </w:rPr>
        <w:t>Single blind</w:t>
      </w:r>
    </w:p>
    <w:p w14:paraId="2F192BC7" w14:textId="77777777" w:rsidR="00A77B3E" w:rsidRPr="00DD376C" w:rsidRDefault="00A77B3E" w:rsidP="00DD376C">
      <w:pPr>
        <w:spacing w:line="360" w:lineRule="auto"/>
        <w:jc w:val="both"/>
        <w:rPr>
          <w:rFonts w:ascii="Book Antiqua" w:hAnsi="Book Antiqua"/>
        </w:rPr>
      </w:pPr>
    </w:p>
    <w:p w14:paraId="73B13BFE"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Peer-review started: </w:t>
      </w:r>
      <w:r w:rsidRPr="00DD376C">
        <w:rPr>
          <w:rFonts w:ascii="Book Antiqua" w:eastAsia="Book Antiqua" w:hAnsi="Book Antiqua" w:cs="Book Antiqua"/>
        </w:rPr>
        <w:t>December 19, 2022</w:t>
      </w:r>
    </w:p>
    <w:p w14:paraId="71578325"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First decision: </w:t>
      </w:r>
      <w:r w:rsidRPr="00DD376C">
        <w:rPr>
          <w:rFonts w:ascii="Book Antiqua" w:eastAsia="Book Antiqua" w:hAnsi="Book Antiqua" w:cs="Book Antiqua"/>
        </w:rPr>
        <w:t>February 8, 2023</w:t>
      </w:r>
    </w:p>
    <w:p w14:paraId="454F16A8"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Article in press: </w:t>
      </w:r>
    </w:p>
    <w:p w14:paraId="0624FA62" w14:textId="77777777" w:rsidR="00A77B3E" w:rsidRPr="00DD376C" w:rsidRDefault="00A77B3E" w:rsidP="00DD376C">
      <w:pPr>
        <w:spacing w:line="360" w:lineRule="auto"/>
        <w:jc w:val="both"/>
        <w:rPr>
          <w:rFonts w:ascii="Book Antiqua" w:hAnsi="Book Antiqua"/>
        </w:rPr>
      </w:pPr>
    </w:p>
    <w:p w14:paraId="53A642CA" w14:textId="4E1C8F9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Specialty type: </w:t>
      </w:r>
      <w:r w:rsidRPr="00DD376C">
        <w:rPr>
          <w:rFonts w:ascii="Book Antiqua" w:eastAsia="Book Antiqua" w:hAnsi="Book Antiqua" w:cs="Book Antiqua"/>
        </w:rPr>
        <w:t>Cardiac an</w:t>
      </w:r>
      <w:r w:rsidR="00CF0EDE" w:rsidRPr="00DD376C">
        <w:rPr>
          <w:rFonts w:ascii="Book Antiqua" w:eastAsia="Book Antiqua" w:hAnsi="Book Antiqua" w:cs="Book Antiqua"/>
        </w:rPr>
        <w:t>d cardiovascular systems</w:t>
      </w:r>
    </w:p>
    <w:p w14:paraId="2C5D1A46"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 xml:space="preserve">Country/Territory of origin: </w:t>
      </w:r>
      <w:r w:rsidRPr="00DD376C">
        <w:rPr>
          <w:rFonts w:ascii="Book Antiqua" w:eastAsia="Book Antiqua" w:hAnsi="Book Antiqua" w:cs="Book Antiqua"/>
        </w:rPr>
        <w:t>United States</w:t>
      </w:r>
    </w:p>
    <w:p w14:paraId="0AC5AF92"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t>Peer-review report’s scientific quality classification</w:t>
      </w:r>
    </w:p>
    <w:p w14:paraId="5CED3A18" w14:textId="3A396FDC"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 xml:space="preserve">Grade A (Excellent): </w:t>
      </w:r>
      <w:r w:rsidR="00C34994" w:rsidRPr="00DD376C">
        <w:rPr>
          <w:rFonts w:ascii="Book Antiqua" w:eastAsia="Book Antiqua" w:hAnsi="Book Antiqua" w:cs="Book Antiqua"/>
        </w:rPr>
        <w:t>A</w:t>
      </w:r>
    </w:p>
    <w:p w14:paraId="13DAA48E"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Grade B (Very good): 0</w:t>
      </w:r>
    </w:p>
    <w:p w14:paraId="45E79C66"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Grade C (Good): C, C</w:t>
      </w:r>
    </w:p>
    <w:p w14:paraId="6167D376"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Grade D (Fair): 0</w:t>
      </w:r>
    </w:p>
    <w:p w14:paraId="672850F9"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rPr>
        <w:t>Grade E (Poor): 0</w:t>
      </w:r>
    </w:p>
    <w:p w14:paraId="10B74B02" w14:textId="77777777" w:rsidR="00A77B3E" w:rsidRPr="00DD376C" w:rsidRDefault="00A77B3E" w:rsidP="00DD376C">
      <w:pPr>
        <w:spacing w:line="360" w:lineRule="auto"/>
        <w:jc w:val="both"/>
        <w:rPr>
          <w:rFonts w:ascii="Book Antiqua" w:hAnsi="Book Antiqua"/>
        </w:rPr>
      </w:pPr>
    </w:p>
    <w:p w14:paraId="62C54A71" w14:textId="3D1BFCA6" w:rsidR="00A77B3E" w:rsidRPr="00DD376C" w:rsidRDefault="00BA03D4" w:rsidP="00DD376C">
      <w:pPr>
        <w:spacing w:line="360" w:lineRule="auto"/>
        <w:jc w:val="both"/>
        <w:rPr>
          <w:rFonts w:ascii="Book Antiqua" w:hAnsi="Book Antiqua"/>
        </w:rPr>
        <w:sectPr w:rsidR="00A77B3E" w:rsidRPr="00DD376C">
          <w:pgSz w:w="12240" w:h="15840"/>
          <w:pgMar w:top="1440" w:right="1440" w:bottom="1440" w:left="1440" w:header="720" w:footer="720" w:gutter="0"/>
          <w:cols w:space="720"/>
          <w:docGrid w:linePitch="360"/>
        </w:sectPr>
      </w:pPr>
      <w:r w:rsidRPr="00DD376C">
        <w:rPr>
          <w:rFonts w:ascii="Book Antiqua" w:eastAsia="Book Antiqua" w:hAnsi="Book Antiqua" w:cs="Book Antiqua"/>
          <w:b/>
          <w:color w:val="000000"/>
        </w:rPr>
        <w:lastRenderedPageBreak/>
        <w:t xml:space="preserve">P-Reviewer: </w:t>
      </w:r>
      <w:r w:rsidRPr="00DD376C">
        <w:rPr>
          <w:rFonts w:ascii="Book Antiqua" w:eastAsia="Book Antiqua" w:hAnsi="Book Antiqua" w:cs="Book Antiqua"/>
        </w:rPr>
        <w:t>Wu YJ, China; Zhao XC, China</w:t>
      </w:r>
      <w:r w:rsidRPr="00DD376C">
        <w:rPr>
          <w:rFonts w:ascii="Book Antiqua" w:eastAsia="Book Antiqua" w:hAnsi="Book Antiqua" w:cs="Book Antiqua"/>
          <w:b/>
          <w:color w:val="000000"/>
        </w:rPr>
        <w:t xml:space="preserve"> S-Editor: </w:t>
      </w:r>
      <w:r w:rsidR="009B25D7" w:rsidRPr="00DD376C">
        <w:rPr>
          <w:rFonts w:ascii="Book Antiqua" w:eastAsia="Book Antiqua" w:hAnsi="Book Antiqua" w:cs="Book Antiqua"/>
          <w:color w:val="000000"/>
        </w:rPr>
        <w:t>Liu JH</w:t>
      </w:r>
      <w:r w:rsidRPr="00DD376C">
        <w:rPr>
          <w:rFonts w:ascii="Book Antiqua" w:eastAsia="Book Antiqua" w:hAnsi="Book Antiqua" w:cs="Book Antiqua"/>
          <w:b/>
          <w:color w:val="000000"/>
        </w:rPr>
        <w:t xml:space="preserve"> L-Editor: </w:t>
      </w:r>
      <w:r w:rsidR="0061653A">
        <w:rPr>
          <w:rFonts w:ascii="Book Antiqua" w:eastAsia="Book Antiqua" w:hAnsi="Book Antiqua" w:cs="Book Antiqua"/>
          <w:color w:val="000000"/>
        </w:rPr>
        <w:t>Filipodia</w:t>
      </w:r>
      <w:r w:rsidRPr="00DD376C">
        <w:rPr>
          <w:rFonts w:ascii="Book Antiqua" w:eastAsia="Book Antiqua" w:hAnsi="Book Antiqua" w:cs="Book Antiqua"/>
          <w:b/>
          <w:color w:val="000000"/>
        </w:rPr>
        <w:t xml:space="preserve"> P-Editor:</w:t>
      </w:r>
      <w:r w:rsidR="009B25D7" w:rsidRPr="00DD376C">
        <w:rPr>
          <w:rFonts w:ascii="Book Antiqua" w:eastAsia="Book Antiqua" w:hAnsi="Book Antiqua" w:cs="Book Antiqua"/>
          <w:color w:val="000000"/>
        </w:rPr>
        <w:t xml:space="preserve"> Liu JH</w:t>
      </w:r>
      <w:r w:rsidRPr="00DD376C">
        <w:rPr>
          <w:rFonts w:ascii="Book Antiqua" w:eastAsia="Book Antiqua" w:hAnsi="Book Antiqua" w:cs="Book Antiqua"/>
          <w:b/>
          <w:color w:val="000000"/>
        </w:rPr>
        <w:t xml:space="preserve"> </w:t>
      </w:r>
    </w:p>
    <w:p w14:paraId="45C5AC2A" w14:textId="77777777" w:rsidR="00A77B3E" w:rsidRPr="00DD376C" w:rsidRDefault="00BA03D4" w:rsidP="00DD376C">
      <w:pPr>
        <w:spacing w:line="360" w:lineRule="auto"/>
        <w:jc w:val="both"/>
        <w:rPr>
          <w:rFonts w:ascii="Book Antiqua" w:hAnsi="Book Antiqua"/>
        </w:rPr>
      </w:pPr>
      <w:r w:rsidRPr="00DD376C">
        <w:rPr>
          <w:rFonts w:ascii="Book Antiqua" w:eastAsia="Book Antiqua" w:hAnsi="Book Antiqua" w:cs="Book Antiqua"/>
          <w:b/>
          <w:color w:val="000000"/>
        </w:rPr>
        <w:lastRenderedPageBreak/>
        <w:t>F</w:t>
      </w:r>
      <w:r w:rsidRPr="00FD6E68">
        <w:rPr>
          <w:rFonts w:ascii="Book Antiqua" w:eastAsia="Book Antiqua" w:hAnsi="Book Antiqua" w:cs="Book Antiqua"/>
          <w:b/>
          <w:color w:val="000000"/>
        </w:rPr>
        <w:t xml:space="preserve">igure </w:t>
      </w:r>
      <w:r w:rsidRPr="00DD376C">
        <w:rPr>
          <w:rFonts w:ascii="Book Antiqua" w:eastAsia="Book Antiqua" w:hAnsi="Book Antiqua" w:cs="Book Antiqua"/>
          <w:b/>
          <w:color w:val="000000"/>
        </w:rPr>
        <w:t>Legends</w:t>
      </w:r>
    </w:p>
    <w:p w14:paraId="43836480" w14:textId="18AB56CE" w:rsidR="0038263E" w:rsidRPr="00DD376C" w:rsidRDefault="00831F47" w:rsidP="00DD376C">
      <w:pPr>
        <w:spacing w:line="360" w:lineRule="auto"/>
        <w:jc w:val="both"/>
        <w:rPr>
          <w:rFonts w:ascii="Book Antiqua" w:eastAsia="Book Antiqua" w:hAnsi="Book Antiqua" w:cs="Book Antiqua"/>
          <w:b/>
        </w:rPr>
      </w:pPr>
      <w:r>
        <w:rPr>
          <w:noProof/>
          <w:lang w:eastAsia="zh-CN"/>
        </w:rPr>
        <w:drawing>
          <wp:inline distT="0" distB="0" distL="0" distR="0" wp14:anchorId="002DE0F3" wp14:editId="0913EAD6">
            <wp:extent cx="4340663" cy="4221480"/>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8733" cy="4229328"/>
                    </a:xfrm>
                    <a:prstGeom prst="rect">
                      <a:avLst/>
                    </a:prstGeom>
                  </pic:spPr>
                </pic:pic>
              </a:graphicData>
            </a:graphic>
          </wp:inline>
        </w:drawing>
      </w:r>
    </w:p>
    <w:p w14:paraId="4B6A9C4D" w14:textId="7EFDA0A3" w:rsidR="00A77B3E" w:rsidRDefault="00072D20" w:rsidP="00DD376C">
      <w:pPr>
        <w:spacing w:line="360" w:lineRule="auto"/>
        <w:jc w:val="both"/>
        <w:rPr>
          <w:rStyle w:val="MsoPageNumber0"/>
          <w:rFonts w:ascii="Book Antiqua" w:eastAsia="Book Antiqua" w:hAnsi="Book Antiqua" w:cs="Book Antiqua"/>
          <w:b/>
        </w:rPr>
      </w:pPr>
      <w:r w:rsidRPr="00DD376C">
        <w:rPr>
          <w:rFonts w:ascii="Book Antiqua" w:eastAsia="Book Antiqua" w:hAnsi="Book Antiqua" w:cs="Book Antiqua"/>
          <w:b/>
        </w:rPr>
        <w:t>Figure 1</w:t>
      </w:r>
      <w:r w:rsidR="00BA03D4" w:rsidRPr="00DD376C">
        <w:rPr>
          <w:rFonts w:ascii="Book Antiqua" w:eastAsia="Book Antiqua" w:hAnsi="Book Antiqua" w:cs="Book Antiqua"/>
          <w:b/>
        </w:rPr>
        <w:t xml:space="preserve"> </w:t>
      </w:r>
      <w:r w:rsidR="00C506E1" w:rsidRPr="001B7234">
        <w:rPr>
          <w:rStyle w:val="MsoPageNumber0"/>
          <w:rFonts w:ascii="Book Antiqua" w:eastAsia="Book Antiqua" w:hAnsi="Book Antiqua" w:cs="Book Antiqua"/>
          <w:b/>
          <w:bCs/>
          <w:color w:val="000000"/>
        </w:rPr>
        <w:t>Preferred Reporting Items for Systematic Reviews and Meta-Analyses</w:t>
      </w:r>
      <w:r w:rsidR="00BA03D4" w:rsidRPr="00DD376C">
        <w:rPr>
          <w:rStyle w:val="MsoPageNumber0"/>
          <w:rFonts w:ascii="Book Antiqua" w:eastAsia="Book Antiqua" w:hAnsi="Book Antiqua" w:cs="Book Antiqua"/>
          <w:b/>
        </w:rPr>
        <w:t xml:space="preserve"> flow diagram for new systematic reviews, which included searches of databases and registers only.</w:t>
      </w:r>
    </w:p>
    <w:p w14:paraId="4B3B1E7D" w14:textId="77777777" w:rsidR="007C7F28" w:rsidRPr="00DD376C" w:rsidRDefault="007C7F28" w:rsidP="00DD376C">
      <w:pPr>
        <w:spacing w:line="360" w:lineRule="auto"/>
        <w:jc w:val="both"/>
        <w:rPr>
          <w:rFonts w:ascii="Book Antiqua" w:hAnsi="Book Antiqua"/>
          <w:b/>
        </w:rPr>
      </w:pPr>
    </w:p>
    <w:p w14:paraId="22B35FDD" w14:textId="76BAAA55" w:rsidR="0038263E" w:rsidRPr="00DD376C" w:rsidRDefault="00B45B6E" w:rsidP="00DD376C">
      <w:pPr>
        <w:spacing w:line="360" w:lineRule="auto"/>
        <w:jc w:val="both"/>
        <w:rPr>
          <w:rFonts w:ascii="Book Antiqua" w:eastAsia="Book Antiqua" w:hAnsi="Book Antiqua" w:cs="Book Antiqua"/>
          <w:b/>
          <w:color w:val="000000"/>
        </w:rPr>
      </w:pPr>
      <w:r w:rsidRPr="00B45B6E">
        <w:rPr>
          <w:rFonts w:ascii="Book Antiqua" w:eastAsia="Book Antiqua" w:hAnsi="Book Antiqua" w:cs="Book Antiqua"/>
          <w:b/>
          <w:noProof/>
          <w:color w:val="000000"/>
          <w:lang w:eastAsia="zh-CN"/>
        </w:rPr>
        <w:drawing>
          <wp:inline distT="0" distB="0" distL="0" distR="0" wp14:anchorId="72256B26" wp14:editId="5AA573C8">
            <wp:extent cx="5943600" cy="1196975"/>
            <wp:effectExtent l="0" t="0" r="0" b="3175"/>
            <wp:docPr id="1026" name="Picture 2" descr="A picture containing table&#10;&#10;Description automatically generated">
              <a:extLst xmlns:a="http://schemas.openxmlformats.org/drawingml/2006/main">
                <a:ext uri="{FF2B5EF4-FFF2-40B4-BE49-F238E27FC236}">
                  <a16:creationId xmlns:a16="http://schemas.microsoft.com/office/drawing/2014/main" id="{2A6A31D0-38AA-D8C9-583F-878DA5FC9E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able&#10;&#10;Description automatically generated">
                      <a:extLst>
                        <a:ext uri="{FF2B5EF4-FFF2-40B4-BE49-F238E27FC236}">
                          <a16:creationId xmlns:a16="http://schemas.microsoft.com/office/drawing/2014/main" id="{2A6A31D0-38AA-D8C9-583F-878DA5FC9E9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96975"/>
                    </a:xfrm>
                    <a:prstGeom prst="rect">
                      <a:avLst/>
                    </a:prstGeom>
                    <a:noFill/>
                  </pic:spPr>
                </pic:pic>
              </a:graphicData>
            </a:graphic>
          </wp:inline>
        </w:drawing>
      </w:r>
    </w:p>
    <w:p w14:paraId="53FB1608" w14:textId="2FD889A5" w:rsidR="00A77B3E" w:rsidRDefault="00072D20" w:rsidP="00DD376C">
      <w:pPr>
        <w:spacing w:line="360" w:lineRule="auto"/>
        <w:jc w:val="both"/>
        <w:rPr>
          <w:rFonts w:ascii="Book Antiqua" w:eastAsia="Book Antiqua" w:hAnsi="Book Antiqua" w:cs="Book Antiqua"/>
          <w:b/>
          <w:color w:val="000000"/>
          <w:shd w:val="clear" w:color="auto" w:fill="FFFFFF"/>
        </w:rPr>
      </w:pPr>
      <w:r w:rsidRPr="00DD376C">
        <w:rPr>
          <w:rFonts w:ascii="Book Antiqua" w:eastAsia="Book Antiqua" w:hAnsi="Book Antiqua" w:cs="Book Antiqua"/>
          <w:b/>
          <w:color w:val="000000"/>
        </w:rPr>
        <w:t>Figure 2</w:t>
      </w:r>
      <w:r w:rsidR="00BA03D4" w:rsidRPr="00DD376C">
        <w:rPr>
          <w:rFonts w:ascii="Book Antiqua" w:eastAsia="Book Antiqua" w:hAnsi="Book Antiqua" w:cs="Book Antiqua"/>
          <w:b/>
          <w:color w:val="000000"/>
        </w:rPr>
        <w:t xml:space="preserve"> </w:t>
      </w:r>
      <w:r w:rsidR="00BA03D4" w:rsidRPr="00DD376C">
        <w:rPr>
          <w:rFonts w:ascii="Book Antiqua" w:eastAsia="Book Antiqua" w:hAnsi="Book Antiqua" w:cs="Book Antiqua"/>
          <w:b/>
          <w:color w:val="000000"/>
          <w:shd w:val="clear" w:color="auto" w:fill="FFFFFF"/>
        </w:rPr>
        <w:t xml:space="preserve">Forest plot of all causes of hospitalization of </w:t>
      </w:r>
      <w:r w:rsidR="00CE0BC5" w:rsidRPr="00DD376C">
        <w:rPr>
          <w:rFonts w:ascii="Book Antiqua" w:eastAsia="Book Antiqua" w:hAnsi="Book Antiqua" w:cs="Book Antiqua"/>
          <w:b/>
          <w:color w:val="000000"/>
          <w:shd w:val="clear" w:color="auto" w:fill="FFFFFF"/>
        </w:rPr>
        <w:t xml:space="preserve">erythropoietin </w:t>
      </w:r>
      <w:r w:rsidR="004A2AB5" w:rsidRPr="00DD376C">
        <w:rPr>
          <w:rFonts w:ascii="Book Antiqua" w:eastAsia="Book Antiqua" w:hAnsi="Book Antiqua" w:cs="Book Antiqua"/>
          <w:b/>
          <w:i/>
          <w:color w:val="000000"/>
        </w:rPr>
        <w:t>vs</w:t>
      </w:r>
      <w:r w:rsidR="00BA03D4" w:rsidRPr="00DD376C">
        <w:rPr>
          <w:rFonts w:ascii="Book Antiqua" w:eastAsia="Book Antiqua" w:hAnsi="Book Antiqua" w:cs="Book Antiqua"/>
          <w:b/>
          <w:color w:val="000000"/>
          <w:shd w:val="clear" w:color="auto" w:fill="FFFFFF"/>
        </w:rPr>
        <w:t xml:space="preserve"> </w:t>
      </w:r>
      <w:r w:rsidR="00C506E1">
        <w:rPr>
          <w:rFonts w:ascii="Book Antiqua" w:eastAsia="Book Antiqua" w:hAnsi="Book Antiqua" w:cs="Book Antiqua"/>
          <w:b/>
          <w:color w:val="000000"/>
          <w:shd w:val="clear" w:color="auto" w:fill="FFFFFF"/>
        </w:rPr>
        <w:t>n</w:t>
      </w:r>
      <w:r w:rsidR="00BA03D4" w:rsidRPr="00DD376C">
        <w:rPr>
          <w:rFonts w:ascii="Book Antiqua" w:eastAsia="Book Antiqua" w:hAnsi="Book Antiqua" w:cs="Book Antiqua"/>
          <w:b/>
          <w:color w:val="000000"/>
          <w:shd w:val="clear" w:color="auto" w:fill="FFFFFF"/>
        </w:rPr>
        <w:t>on-</w:t>
      </w:r>
      <w:r w:rsidR="00C506E1" w:rsidRPr="00C506E1">
        <w:rPr>
          <w:rFonts w:ascii="Book Antiqua" w:eastAsia="Book Antiqua" w:hAnsi="Book Antiqua" w:cs="Book Antiqua"/>
          <w:b/>
          <w:color w:val="000000"/>
          <w:shd w:val="clear" w:color="auto" w:fill="FFFFFF"/>
        </w:rPr>
        <w:t xml:space="preserve"> </w:t>
      </w:r>
      <w:r w:rsidR="00C506E1" w:rsidRPr="00DD376C">
        <w:rPr>
          <w:rFonts w:ascii="Book Antiqua" w:eastAsia="Book Antiqua" w:hAnsi="Book Antiqua" w:cs="Book Antiqua"/>
          <w:b/>
          <w:color w:val="000000"/>
          <w:shd w:val="clear" w:color="auto" w:fill="FFFFFF"/>
        </w:rPr>
        <w:t>erythropoietin</w:t>
      </w:r>
      <w:r w:rsidR="00BA03D4" w:rsidRPr="00DD376C">
        <w:rPr>
          <w:rFonts w:ascii="Book Antiqua" w:eastAsia="Book Antiqua" w:hAnsi="Book Antiqua" w:cs="Book Antiqua"/>
          <w:b/>
          <w:color w:val="000000"/>
          <w:shd w:val="clear" w:color="auto" w:fill="FFFFFF"/>
        </w:rPr>
        <w:t>.</w:t>
      </w:r>
    </w:p>
    <w:p w14:paraId="228DA6EC" w14:textId="77777777" w:rsidR="007C7F28" w:rsidRPr="00DD376C" w:rsidRDefault="007C7F28" w:rsidP="00DD376C">
      <w:pPr>
        <w:spacing w:line="360" w:lineRule="auto"/>
        <w:jc w:val="both"/>
        <w:rPr>
          <w:rFonts w:ascii="Book Antiqua" w:hAnsi="Book Antiqua"/>
          <w:b/>
        </w:rPr>
      </w:pPr>
    </w:p>
    <w:p w14:paraId="56716133" w14:textId="426494BC" w:rsidR="0038263E" w:rsidRPr="00DD376C" w:rsidRDefault="00D11D06" w:rsidP="00DD376C">
      <w:pPr>
        <w:spacing w:line="360" w:lineRule="auto"/>
        <w:jc w:val="both"/>
        <w:rPr>
          <w:rFonts w:ascii="Book Antiqua" w:eastAsia="Book Antiqua" w:hAnsi="Book Antiqua" w:cs="Book Antiqua"/>
          <w:b/>
          <w:color w:val="000000"/>
        </w:rPr>
      </w:pPr>
      <w:r w:rsidRPr="00D11D06">
        <w:rPr>
          <w:rFonts w:ascii="Book Antiqua" w:eastAsia="Book Antiqua" w:hAnsi="Book Antiqua" w:cs="Book Antiqua"/>
          <w:b/>
          <w:noProof/>
          <w:color w:val="000000"/>
          <w:lang w:eastAsia="zh-CN"/>
        </w:rPr>
        <w:lastRenderedPageBreak/>
        <w:drawing>
          <wp:inline distT="0" distB="0" distL="0" distR="0" wp14:anchorId="27AACCFC" wp14:editId="5E86AD79">
            <wp:extent cx="5715000" cy="3810000"/>
            <wp:effectExtent l="0" t="0" r="0" b="0"/>
            <wp:docPr id="1025" name="officeArt object" descr="Chart, line chart, scatter chart&#10;&#10;Description automatically generated">
              <a:extLst xmlns:a="http://schemas.openxmlformats.org/drawingml/2006/main">
                <a:ext uri="{FF2B5EF4-FFF2-40B4-BE49-F238E27FC236}">
                  <a16:creationId xmlns:a16="http://schemas.microsoft.com/office/drawing/2014/main" id="{F0220AF6-66F8-4F73-A43B-23324B6D7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fficeArt object" descr="Chart, line chart, scatter chart&#10;&#10;Description automatically generated">
                      <a:extLst>
                        <a:ext uri="{FF2B5EF4-FFF2-40B4-BE49-F238E27FC236}">
                          <a16:creationId xmlns:a16="http://schemas.microsoft.com/office/drawing/2014/main" id="{F0220AF6-66F8-4F73-A43B-23324B6D74D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356D63" w14:textId="25F517D2" w:rsidR="00EA0B60" w:rsidRPr="00DD376C" w:rsidRDefault="00072D20" w:rsidP="00DD376C">
      <w:pPr>
        <w:spacing w:line="360" w:lineRule="auto"/>
        <w:jc w:val="both"/>
        <w:rPr>
          <w:rStyle w:val="MsoPageNumber0"/>
          <w:rFonts w:ascii="Book Antiqua" w:eastAsia="Book Antiqua" w:hAnsi="Book Antiqua" w:cs="Book Antiqua"/>
          <w:b/>
          <w:color w:val="000000"/>
        </w:rPr>
      </w:pPr>
      <w:r w:rsidRPr="00DD376C">
        <w:rPr>
          <w:rFonts w:ascii="Book Antiqua" w:eastAsia="Book Antiqua" w:hAnsi="Book Antiqua" w:cs="Book Antiqua"/>
          <w:b/>
          <w:color w:val="000000"/>
        </w:rPr>
        <w:t>Figure 3</w:t>
      </w:r>
      <w:r w:rsidR="00BA03D4" w:rsidRPr="00DD376C">
        <w:rPr>
          <w:rFonts w:ascii="Book Antiqua" w:eastAsia="Book Antiqua" w:hAnsi="Book Antiqua" w:cs="Book Antiqua"/>
          <w:b/>
          <w:color w:val="000000"/>
        </w:rPr>
        <w:t xml:space="preserve"> Funnel plot of </w:t>
      </w:r>
      <w:r w:rsidR="00BA03D4" w:rsidRPr="00DD376C">
        <w:rPr>
          <w:rFonts w:ascii="Book Antiqua" w:eastAsia="Book Antiqua" w:hAnsi="Book Antiqua" w:cs="Book Antiqua"/>
          <w:b/>
          <w:color w:val="000000"/>
          <w:shd w:val="clear" w:color="auto" w:fill="FFFFFF"/>
        </w:rPr>
        <w:t>all causes of hospitalization</w:t>
      </w:r>
      <w:r w:rsidR="004A2AB5" w:rsidRPr="00DD376C">
        <w:rPr>
          <w:rFonts w:ascii="Book Antiqua" w:eastAsia="Book Antiqua" w:hAnsi="Book Antiqua" w:cs="Book Antiqua"/>
          <w:b/>
          <w:color w:val="000000"/>
        </w:rPr>
        <w:t xml:space="preserve"> of </w:t>
      </w:r>
      <w:r w:rsidR="00CE0BC5" w:rsidRPr="00DD376C">
        <w:rPr>
          <w:rFonts w:ascii="Book Antiqua" w:eastAsia="Book Antiqua" w:hAnsi="Book Antiqua" w:cs="Book Antiqua"/>
          <w:b/>
          <w:color w:val="000000"/>
        </w:rPr>
        <w:t xml:space="preserve">erythropoietin </w:t>
      </w:r>
      <w:r w:rsidR="004A2AB5" w:rsidRPr="00DD376C">
        <w:rPr>
          <w:rFonts w:ascii="Book Antiqua" w:eastAsia="Book Antiqua" w:hAnsi="Book Antiqua" w:cs="Book Antiqua"/>
          <w:b/>
          <w:i/>
          <w:color w:val="000000"/>
        </w:rPr>
        <w:t>vs</w:t>
      </w:r>
      <w:r w:rsidR="00BA03D4" w:rsidRPr="00DD376C">
        <w:rPr>
          <w:rFonts w:ascii="Book Antiqua" w:eastAsia="Book Antiqua" w:hAnsi="Book Antiqua" w:cs="Book Antiqua"/>
          <w:b/>
          <w:color w:val="000000"/>
        </w:rPr>
        <w:t xml:space="preserve"> </w:t>
      </w:r>
      <w:r w:rsidR="00C506E1">
        <w:rPr>
          <w:rFonts w:ascii="Book Antiqua" w:eastAsia="Book Antiqua" w:hAnsi="Book Antiqua" w:cs="Book Antiqua"/>
          <w:b/>
          <w:color w:val="000000"/>
        </w:rPr>
        <w:t>n</w:t>
      </w:r>
      <w:r w:rsidR="00BA03D4" w:rsidRPr="00DD376C">
        <w:rPr>
          <w:rFonts w:ascii="Book Antiqua" w:eastAsia="Book Antiqua" w:hAnsi="Book Antiqua" w:cs="Book Antiqua"/>
          <w:b/>
          <w:color w:val="000000"/>
        </w:rPr>
        <w:t>on-</w:t>
      </w:r>
      <w:r w:rsidR="00C506E1" w:rsidRPr="00C506E1">
        <w:rPr>
          <w:rFonts w:ascii="Book Antiqua" w:eastAsia="Book Antiqua" w:hAnsi="Book Antiqua" w:cs="Book Antiqua"/>
          <w:b/>
          <w:color w:val="000000"/>
          <w:shd w:val="clear" w:color="auto" w:fill="FFFFFF"/>
        </w:rPr>
        <w:t xml:space="preserve"> </w:t>
      </w:r>
      <w:r w:rsidR="00C506E1" w:rsidRPr="00DD376C">
        <w:rPr>
          <w:rFonts w:ascii="Book Antiqua" w:eastAsia="Book Antiqua" w:hAnsi="Book Antiqua" w:cs="Book Antiqua"/>
          <w:b/>
          <w:color w:val="000000"/>
          <w:shd w:val="clear" w:color="auto" w:fill="FFFFFF"/>
        </w:rPr>
        <w:t>erythropoietin</w:t>
      </w:r>
      <w:r w:rsidR="00C506E1">
        <w:rPr>
          <w:rFonts w:ascii="Book Antiqua" w:eastAsia="Book Antiqua" w:hAnsi="Book Antiqua" w:cs="Book Antiqua"/>
          <w:b/>
          <w:color w:val="000000"/>
          <w:shd w:val="clear" w:color="auto" w:fill="FFFFFF"/>
        </w:rPr>
        <w:t>.</w:t>
      </w:r>
      <w:r w:rsidR="000E29E3" w:rsidRPr="00DD376C">
        <w:rPr>
          <w:rStyle w:val="MsoPageNumber0"/>
          <w:rFonts w:ascii="Book Antiqua" w:eastAsia="Book Antiqua" w:hAnsi="Book Antiqua" w:cs="Book Antiqua"/>
          <w:b/>
          <w:color w:val="000000"/>
        </w:rPr>
        <w:t xml:space="preserve"> </w:t>
      </w:r>
    </w:p>
    <w:p w14:paraId="18A49063" w14:textId="77777777" w:rsidR="000E29E3" w:rsidRPr="00DD376C" w:rsidRDefault="000E29E3" w:rsidP="00DD376C">
      <w:pPr>
        <w:spacing w:line="360" w:lineRule="auto"/>
        <w:jc w:val="both"/>
        <w:rPr>
          <w:rFonts w:ascii="Book Antiqua" w:hAnsi="Book Antiqua"/>
          <w:b/>
        </w:rPr>
        <w:sectPr w:rsidR="000E29E3" w:rsidRPr="00DD376C">
          <w:pgSz w:w="12240" w:h="15840"/>
          <w:pgMar w:top="1440" w:right="1440" w:bottom="1440" w:left="1440" w:header="720" w:footer="720" w:gutter="0"/>
          <w:cols w:space="720"/>
          <w:docGrid w:linePitch="360"/>
        </w:sectPr>
      </w:pPr>
    </w:p>
    <w:p w14:paraId="7C43E008" w14:textId="77777777" w:rsidR="000E29E3" w:rsidRPr="00DD376C" w:rsidRDefault="000E29E3" w:rsidP="00DD376C">
      <w:pPr>
        <w:spacing w:line="360" w:lineRule="auto"/>
        <w:jc w:val="both"/>
        <w:rPr>
          <w:rStyle w:val="MsoPageNumber0"/>
          <w:rFonts w:ascii="Book Antiqua" w:eastAsia="Book Antiqua" w:hAnsi="Book Antiqua" w:cs="Book Antiqua"/>
          <w:b/>
          <w:color w:val="000000"/>
        </w:rPr>
      </w:pPr>
      <w:r w:rsidRPr="00DD376C">
        <w:rPr>
          <w:rFonts w:ascii="Book Antiqua" w:eastAsia="Book Antiqua" w:hAnsi="Book Antiqua" w:cs="Book Antiqua"/>
          <w:b/>
          <w:color w:val="000000"/>
        </w:rPr>
        <w:lastRenderedPageBreak/>
        <w:t>Table 1</w:t>
      </w:r>
      <w:r w:rsidRPr="00DD376C">
        <w:rPr>
          <w:rStyle w:val="MsoPageNumber0"/>
          <w:rFonts w:ascii="Book Antiqua" w:eastAsia="Book Antiqua" w:hAnsi="Book Antiqua" w:cs="Book Antiqua"/>
          <w:b/>
          <w:color w:val="000000"/>
        </w:rPr>
        <w:t xml:space="preserve"> Summary of included studies</w:t>
      </w:r>
    </w:p>
    <w:tbl>
      <w:tblPr>
        <w:tblW w:w="12790" w:type="dxa"/>
        <w:tblInd w:w="110" w:type="dxa"/>
        <w:tblBorders>
          <w:top w:val="single" w:sz="4" w:space="0" w:color="auto"/>
          <w:bottom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1450"/>
        <w:gridCol w:w="992"/>
        <w:gridCol w:w="709"/>
        <w:gridCol w:w="1134"/>
        <w:gridCol w:w="1275"/>
        <w:gridCol w:w="1134"/>
        <w:gridCol w:w="1134"/>
        <w:gridCol w:w="1418"/>
        <w:gridCol w:w="850"/>
        <w:gridCol w:w="1134"/>
        <w:gridCol w:w="1560"/>
      </w:tblGrid>
      <w:tr w:rsidR="00413C75" w:rsidRPr="00DD376C" w14:paraId="5864FC42" w14:textId="77777777" w:rsidTr="00566782">
        <w:trPr>
          <w:trHeight w:val="936"/>
        </w:trPr>
        <w:tc>
          <w:tcPr>
            <w:tcW w:w="1450" w:type="dxa"/>
            <w:tcBorders>
              <w:top w:val="single" w:sz="4" w:space="0" w:color="auto"/>
              <w:bottom w:val="nil"/>
            </w:tcBorders>
            <w:shd w:val="clear" w:color="auto" w:fill="auto"/>
            <w:tcMar>
              <w:top w:w="80" w:type="dxa"/>
              <w:left w:w="80" w:type="dxa"/>
              <w:bottom w:w="80" w:type="dxa"/>
              <w:right w:w="80" w:type="dxa"/>
            </w:tcMar>
            <w:hideMark/>
          </w:tcPr>
          <w:p w14:paraId="1F57D044"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Ref.</w:t>
            </w:r>
          </w:p>
        </w:tc>
        <w:tc>
          <w:tcPr>
            <w:tcW w:w="992" w:type="dxa"/>
            <w:tcBorders>
              <w:top w:val="single" w:sz="4" w:space="0" w:color="auto"/>
              <w:bottom w:val="nil"/>
            </w:tcBorders>
            <w:shd w:val="clear" w:color="auto" w:fill="auto"/>
            <w:tcMar>
              <w:top w:w="80" w:type="dxa"/>
              <w:left w:w="80" w:type="dxa"/>
              <w:bottom w:w="80" w:type="dxa"/>
              <w:right w:w="80" w:type="dxa"/>
            </w:tcMar>
            <w:hideMark/>
          </w:tcPr>
          <w:p w14:paraId="06DD720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Study design</w:t>
            </w:r>
          </w:p>
        </w:tc>
        <w:tc>
          <w:tcPr>
            <w:tcW w:w="709" w:type="dxa"/>
            <w:tcBorders>
              <w:top w:val="single" w:sz="4" w:space="0" w:color="auto"/>
              <w:bottom w:val="nil"/>
            </w:tcBorders>
            <w:shd w:val="clear" w:color="auto" w:fill="auto"/>
            <w:tcMar>
              <w:top w:w="80" w:type="dxa"/>
              <w:left w:w="80" w:type="dxa"/>
              <w:bottom w:w="80" w:type="dxa"/>
              <w:right w:w="80" w:type="dxa"/>
            </w:tcMar>
            <w:hideMark/>
          </w:tcPr>
          <w:p w14:paraId="786B7E2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No. of Patients</w:t>
            </w:r>
          </w:p>
        </w:tc>
        <w:tc>
          <w:tcPr>
            <w:tcW w:w="1134" w:type="dxa"/>
            <w:tcBorders>
              <w:top w:val="single" w:sz="4" w:space="0" w:color="auto"/>
              <w:bottom w:val="nil"/>
            </w:tcBorders>
            <w:shd w:val="clear" w:color="auto" w:fill="auto"/>
            <w:tcMar>
              <w:top w:w="80" w:type="dxa"/>
              <w:left w:w="80" w:type="dxa"/>
              <w:bottom w:w="80" w:type="dxa"/>
              <w:right w:w="80" w:type="dxa"/>
            </w:tcMar>
            <w:hideMark/>
          </w:tcPr>
          <w:p w14:paraId="4ED2BC2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EPO dosage and treatment duration</w:t>
            </w:r>
          </w:p>
        </w:tc>
        <w:tc>
          <w:tcPr>
            <w:tcW w:w="3543" w:type="dxa"/>
            <w:gridSpan w:val="3"/>
            <w:tcBorders>
              <w:top w:val="single" w:sz="4" w:space="0" w:color="auto"/>
              <w:bottom w:val="single" w:sz="4" w:space="0" w:color="auto"/>
            </w:tcBorders>
            <w:shd w:val="clear" w:color="auto" w:fill="auto"/>
            <w:tcMar>
              <w:top w:w="80" w:type="dxa"/>
              <w:left w:w="80" w:type="dxa"/>
              <w:bottom w:w="80" w:type="dxa"/>
              <w:right w:w="80" w:type="dxa"/>
            </w:tcMar>
            <w:hideMark/>
          </w:tcPr>
          <w:p w14:paraId="05895A9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Average Hb level (g/dL)</w:t>
            </w:r>
          </w:p>
        </w:tc>
        <w:tc>
          <w:tcPr>
            <w:tcW w:w="3402" w:type="dxa"/>
            <w:gridSpan w:val="3"/>
            <w:tcBorders>
              <w:top w:val="single" w:sz="4" w:space="0" w:color="auto"/>
              <w:bottom w:val="single" w:sz="4" w:space="0" w:color="auto"/>
            </w:tcBorders>
            <w:shd w:val="clear" w:color="auto" w:fill="auto"/>
            <w:tcMar>
              <w:top w:w="80" w:type="dxa"/>
              <w:left w:w="80" w:type="dxa"/>
              <w:bottom w:w="80" w:type="dxa"/>
              <w:right w:w="80" w:type="dxa"/>
            </w:tcMar>
            <w:hideMark/>
          </w:tcPr>
          <w:p w14:paraId="0166448E"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EPO's effect on</w:t>
            </w:r>
          </w:p>
        </w:tc>
        <w:tc>
          <w:tcPr>
            <w:tcW w:w="1560" w:type="dxa"/>
            <w:tcBorders>
              <w:top w:val="single" w:sz="4" w:space="0" w:color="auto"/>
              <w:bottom w:val="nil"/>
            </w:tcBorders>
            <w:shd w:val="clear" w:color="auto" w:fill="auto"/>
            <w:tcMar>
              <w:top w:w="80" w:type="dxa"/>
              <w:left w:w="80" w:type="dxa"/>
              <w:bottom w:w="80" w:type="dxa"/>
              <w:right w:w="80" w:type="dxa"/>
            </w:tcMar>
            <w:hideMark/>
          </w:tcPr>
          <w:p w14:paraId="4B60B74E"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Other findings</w:t>
            </w:r>
          </w:p>
        </w:tc>
      </w:tr>
      <w:tr w:rsidR="00257C86" w:rsidRPr="00DD376C" w14:paraId="4D326DC2" w14:textId="77777777" w:rsidTr="00566782">
        <w:trPr>
          <w:trHeight w:val="486"/>
        </w:trPr>
        <w:tc>
          <w:tcPr>
            <w:tcW w:w="1450" w:type="dxa"/>
            <w:tcBorders>
              <w:top w:val="nil"/>
              <w:bottom w:val="single" w:sz="4" w:space="0" w:color="auto"/>
            </w:tcBorders>
            <w:shd w:val="clear" w:color="auto" w:fill="auto"/>
            <w:tcMar>
              <w:top w:w="80" w:type="dxa"/>
              <w:left w:w="80" w:type="dxa"/>
              <w:bottom w:w="80" w:type="dxa"/>
              <w:right w:w="80" w:type="dxa"/>
            </w:tcMar>
            <w:hideMark/>
          </w:tcPr>
          <w:p w14:paraId="352E5BE0" w14:textId="77777777" w:rsidR="00AD241A" w:rsidRPr="00FD6E68" w:rsidRDefault="00AD241A" w:rsidP="00FD6E68">
            <w:pPr>
              <w:spacing w:line="360" w:lineRule="auto"/>
              <w:jc w:val="both"/>
              <w:rPr>
                <w:rFonts w:ascii="Book Antiqua" w:eastAsia="Times New Roman" w:hAnsi="Book Antiqua"/>
                <w:color w:val="000000"/>
              </w:rPr>
            </w:pPr>
          </w:p>
        </w:tc>
        <w:tc>
          <w:tcPr>
            <w:tcW w:w="992" w:type="dxa"/>
            <w:tcBorders>
              <w:top w:val="nil"/>
              <w:bottom w:val="single" w:sz="4" w:space="0" w:color="auto"/>
            </w:tcBorders>
            <w:shd w:val="clear" w:color="auto" w:fill="auto"/>
            <w:tcMar>
              <w:top w:w="80" w:type="dxa"/>
              <w:left w:w="80" w:type="dxa"/>
              <w:bottom w:w="80" w:type="dxa"/>
              <w:right w:w="80" w:type="dxa"/>
            </w:tcMar>
            <w:hideMark/>
          </w:tcPr>
          <w:p w14:paraId="4E87696E" w14:textId="77777777" w:rsidR="00AD241A" w:rsidRPr="00DD376C" w:rsidRDefault="00AD241A" w:rsidP="00DD376C">
            <w:pPr>
              <w:spacing w:line="360" w:lineRule="auto"/>
              <w:jc w:val="both"/>
              <w:rPr>
                <w:rFonts w:ascii="Book Antiqua" w:eastAsia="Times New Roman" w:hAnsi="Book Antiqua"/>
                <w:color w:val="000000"/>
              </w:rPr>
            </w:pPr>
          </w:p>
        </w:tc>
        <w:tc>
          <w:tcPr>
            <w:tcW w:w="709" w:type="dxa"/>
            <w:tcBorders>
              <w:top w:val="nil"/>
              <w:bottom w:val="single" w:sz="4" w:space="0" w:color="auto"/>
            </w:tcBorders>
            <w:shd w:val="clear" w:color="auto" w:fill="auto"/>
            <w:tcMar>
              <w:top w:w="80" w:type="dxa"/>
              <w:left w:w="80" w:type="dxa"/>
              <w:bottom w:w="80" w:type="dxa"/>
              <w:right w:w="80" w:type="dxa"/>
            </w:tcMar>
            <w:hideMark/>
          </w:tcPr>
          <w:p w14:paraId="3BE47E9F" w14:textId="77777777" w:rsidR="00AD241A" w:rsidRPr="00DD376C" w:rsidRDefault="00AD241A" w:rsidP="00DD376C">
            <w:pPr>
              <w:spacing w:line="360" w:lineRule="auto"/>
              <w:jc w:val="both"/>
              <w:rPr>
                <w:rFonts w:ascii="Book Antiqua" w:eastAsia="Times New Roman" w:hAnsi="Book Antiqua"/>
                <w:color w:val="000000"/>
              </w:rPr>
            </w:pPr>
          </w:p>
        </w:tc>
        <w:tc>
          <w:tcPr>
            <w:tcW w:w="1134" w:type="dxa"/>
            <w:tcBorders>
              <w:top w:val="nil"/>
              <w:bottom w:val="single" w:sz="4" w:space="0" w:color="auto"/>
            </w:tcBorders>
            <w:shd w:val="clear" w:color="auto" w:fill="auto"/>
            <w:tcMar>
              <w:top w:w="80" w:type="dxa"/>
              <w:left w:w="80" w:type="dxa"/>
              <w:bottom w:w="80" w:type="dxa"/>
              <w:right w:w="80" w:type="dxa"/>
            </w:tcMar>
            <w:hideMark/>
          </w:tcPr>
          <w:p w14:paraId="47DA758C" w14:textId="77777777" w:rsidR="00AD241A" w:rsidRPr="00DD376C" w:rsidRDefault="00AD241A" w:rsidP="00DD376C">
            <w:pPr>
              <w:spacing w:line="360" w:lineRule="auto"/>
              <w:jc w:val="both"/>
              <w:rPr>
                <w:rFonts w:ascii="Book Antiqua" w:eastAsia="Times New Roman" w:hAnsi="Book Antiqua"/>
                <w:color w:val="000000"/>
              </w:rPr>
            </w:pPr>
          </w:p>
        </w:tc>
        <w:tc>
          <w:tcPr>
            <w:tcW w:w="1275" w:type="dxa"/>
            <w:tcBorders>
              <w:top w:val="single" w:sz="4" w:space="0" w:color="auto"/>
              <w:bottom w:val="single" w:sz="4" w:space="0" w:color="auto"/>
            </w:tcBorders>
            <w:shd w:val="clear" w:color="auto" w:fill="auto"/>
            <w:tcMar>
              <w:top w:w="80" w:type="dxa"/>
              <w:left w:w="80" w:type="dxa"/>
              <w:bottom w:w="80" w:type="dxa"/>
              <w:right w:w="80" w:type="dxa"/>
            </w:tcMar>
            <w:hideMark/>
          </w:tcPr>
          <w:p w14:paraId="22DC694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Before EPO therapy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hideMark/>
          </w:tcPr>
          <w:p w14:paraId="7CBEC3F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After EPO therapy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hideMark/>
          </w:tcPr>
          <w:p w14:paraId="3D6FF2E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Without EPO treatment</w:t>
            </w:r>
          </w:p>
        </w:tc>
        <w:tc>
          <w:tcPr>
            <w:tcW w:w="1418" w:type="dxa"/>
            <w:tcBorders>
              <w:top w:val="single" w:sz="4" w:space="0" w:color="auto"/>
              <w:bottom w:val="single" w:sz="4" w:space="0" w:color="auto"/>
            </w:tcBorders>
            <w:shd w:val="clear" w:color="auto" w:fill="auto"/>
            <w:tcMar>
              <w:top w:w="80" w:type="dxa"/>
              <w:left w:w="80" w:type="dxa"/>
              <w:bottom w:w="80" w:type="dxa"/>
              <w:right w:w="80" w:type="dxa"/>
            </w:tcMar>
            <w:hideMark/>
          </w:tcPr>
          <w:p w14:paraId="0AC5852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Hb level</w:t>
            </w:r>
          </w:p>
        </w:tc>
        <w:tc>
          <w:tcPr>
            <w:tcW w:w="850" w:type="dxa"/>
            <w:tcBorders>
              <w:top w:val="single" w:sz="4" w:space="0" w:color="auto"/>
              <w:bottom w:val="single" w:sz="4" w:space="0" w:color="auto"/>
            </w:tcBorders>
            <w:shd w:val="clear" w:color="auto" w:fill="auto"/>
            <w:tcMar>
              <w:top w:w="80" w:type="dxa"/>
              <w:left w:w="80" w:type="dxa"/>
              <w:bottom w:w="80" w:type="dxa"/>
              <w:right w:w="80" w:type="dxa"/>
            </w:tcMar>
            <w:hideMark/>
          </w:tcPr>
          <w:p w14:paraId="56929DE2" w14:textId="076F4564"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 xml:space="preserve">Major </w:t>
            </w:r>
            <w:r w:rsidR="002462A7" w:rsidRPr="00DD376C">
              <w:rPr>
                <w:rFonts w:ascii="Book Antiqua" w:eastAsia="Times New Roman" w:hAnsi="Book Antiqua"/>
                <w:b/>
                <w:bCs/>
                <w:color w:val="000000"/>
              </w:rPr>
              <w:t>CV</w:t>
            </w:r>
            <w:r w:rsidRPr="00DD376C">
              <w:rPr>
                <w:rFonts w:ascii="Book Antiqua" w:eastAsia="Times New Roman" w:hAnsi="Book Antiqua"/>
                <w:b/>
                <w:bCs/>
                <w:color w:val="000000"/>
              </w:rPr>
              <w:t xml:space="preserve"> event</w:t>
            </w:r>
          </w:p>
        </w:tc>
        <w:tc>
          <w:tcPr>
            <w:tcW w:w="1134" w:type="dxa"/>
            <w:tcBorders>
              <w:top w:val="single" w:sz="4" w:space="0" w:color="auto"/>
              <w:bottom w:val="single" w:sz="4" w:space="0" w:color="auto"/>
            </w:tcBorders>
            <w:shd w:val="clear" w:color="auto" w:fill="auto"/>
            <w:tcMar>
              <w:top w:w="80" w:type="dxa"/>
              <w:left w:w="80" w:type="dxa"/>
              <w:bottom w:w="80" w:type="dxa"/>
              <w:right w:w="80" w:type="dxa"/>
            </w:tcMar>
            <w:hideMark/>
          </w:tcPr>
          <w:p w14:paraId="51BFCA1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b/>
                <w:bCs/>
                <w:color w:val="000000"/>
              </w:rPr>
              <w:t>Hospitalization rate</w:t>
            </w:r>
          </w:p>
        </w:tc>
        <w:tc>
          <w:tcPr>
            <w:tcW w:w="1560" w:type="dxa"/>
            <w:tcBorders>
              <w:top w:val="nil"/>
              <w:bottom w:val="single" w:sz="4" w:space="0" w:color="auto"/>
            </w:tcBorders>
            <w:shd w:val="clear" w:color="auto" w:fill="auto"/>
            <w:tcMar>
              <w:top w:w="80" w:type="dxa"/>
              <w:left w:w="80" w:type="dxa"/>
              <w:bottom w:w="80" w:type="dxa"/>
              <w:right w:w="80" w:type="dxa"/>
            </w:tcMar>
            <w:hideMark/>
          </w:tcPr>
          <w:p w14:paraId="45B85F72" w14:textId="77777777" w:rsidR="00AD241A" w:rsidRPr="00DD376C" w:rsidRDefault="00AD241A" w:rsidP="00DD376C">
            <w:pPr>
              <w:spacing w:line="360" w:lineRule="auto"/>
              <w:jc w:val="both"/>
              <w:rPr>
                <w:rFonts w:ascii="Book Antiqua" w:eastAsia="Times New Roman" w:hAnsi="Book Antiqua"/>
                <w:color w:val="000000"/>
              </w:rPr>
            </w:pPr>
          </w:p>
        </w:tc>
      </w:tr>
      <w:tr w:rsidR="00257C86" w:rsidRPr="00DD376C" w14:paraId="3AEFDBEA" w14:textId="77777777" w:rsidTr="00566782">
        <w:trPr>
          <w:trHeight w:val="2904"/>
        </w:trPr>
        <w:tc>
          <w:tcPr>
            <w:tcW w:w="1450" w:type="dxa"/>
            <w:tcBorders>
              <w:top w:val="single" w:sz="4" w:space="0" w:color="auto"/>
            </w:tcBorders>
            <w:shd w:val="clear" w:color="auto" w:fill="auto"/>
            <w:tcMar>
              <w:top w:w="80" w:type="dxa"/>
              <w:left w:w="80" w:type="dxa"/>
              <w:bottom w:w="80" w:type="dxa"/>
              <w:right w:w="80" w:type="dxa"/>
            </w:tcMar>
            <w:hideMark/>
          </w:tcPr>
          <w:p w14:paraId="22A9810C" w14:textId="37749E7C" w:rsidR="00AD241A" w:rsidRPr="00DD376C" w:rsidRDefault="00AD241A"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t xml:space="preserve">Jackevicius </w:t>
            </w:r>
            <w:r w:rsidR="00DC615D" w:rsidRPr="00DD376C">
              <w:rPr>
                <w:rFonts w:ascii="Book Antiqua" w:eastAsia="Times New Roman" w:hAnsi="Book Antiqua"/>
                <w:i/>
                <w:color w:val="000000"/>
                <w:shd w:val="clear" w:color="auto" w:fill="FFFFFF"/>
              </w:rPr>
              <w:t>et al</w:t>
            </w:r>
            <w:r w:rsidR="00DC615D" w:rsidRPr="00DD376C">
              <w:rPr>
                <w:rFonts w:ascii="Book Antiqua" w:eastAsia="Times New Roman" w:hAnsi="Book Antiqua"/>
                <w:color w:val="000000"/>
                <w:shd w:val="clear" w:color="auto" w:fill="FFFFFF"/>
                <w:vertAlign w:val="superscript"/>
              </w:rPr>
              <w:t>[12]</w:t>
            </w:r>
            <w:r w:rsidRPr="00DD376C">
              <w:rPr>
                <w:rFonts w:ascii="Book Antiqua" w:eastAsia="Times New Roman" w:hAnsi="Book Antiqua"/>
                <w:color w:val="000000"/>
                <w:shd w:val="clear" w:color="auto" w:fill="FFFFFF"/>
              </w:rPr>
              <w:t xml:space="preserve">, </w:t>
            </w:r>
            <w:r w:rsidRPr="00DD376C">
              <w:rPr>
                <w:rFonts w:ascii="Book Antiqua" w:eastAsia="Times New Roman" w:hAnsi="Book Antiqua"/>
                <w:color w:val="000000"/>
              </w:rPr>
              <w:t>2015</w:t>
            </w:r>
            <w:r w:rsidRPr="00DD376C">
              <w:rPr>
                <w:rFonts w:ascii="Book Antiqua" w:eastAsia="Times New Roman" w:hAnsi="Book Antiqua"/>
                <w:color w:val="000000"/>
                <w:shd w:val="clear" w:color="auto" w:fill="FFFFFF"/>
              </w:rPr>
              <w:t xml:space="preserve"> </w:t>
            </w:r>
          </w:p>
        </w:tc>
        <w:tc>
          <w:tcPr>
            <w:tcW w:w="992" w:type="dxa"/>
            <w:tcBorders>
              <w:top w:val="single" w:sz="4" w:space="0" w:color="auto"/>
            </w:tcBorders>
            <w:shd w:val="clear" w:color="auto" w:fill="auto"/>
            <w:tcMar>
              <w:top w:w="80" w:type="dxa"/>
              <w:left w:w="80" w:type="dxa"/>
              <w:bottom w:w="80" w:type="dxa"/>
              <w:right w:w="80" w:type="dxa"/>
            </w:tcMar>
            <w:hideMark/>
          </w:tcPr>
          <w:p w14:paraId="5BC86D78"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Retrospective cohort</w:t>
            </w:r>
          </w:p>
        </w:tc>
        <w:tc>
          <w:tcPr>
            <w:tcW w:w="709" w:type="dxa"/>
            <w:tcBorders>
              <w:top w:val="single" w:sz="4" w:space="0" w:color="auto"/>
            </w:tcBorders>
            <w:shd w:val="clear" w:color="auto" w:fill="auto"/>
            <w:tcMar>
              <w:top w:w="80" w:type="dxa"/>
              <w:left w:w="80" w:type="dxa"/>
              <w:bottom w:w="80" w:type="dxa"/>
              <w:right w:w="80" w:type="dxa"/>
            </w:tcMar>
            <w:hideMark/>
          </w:tcPr>
          <w:p w14:paraId="331C72B4"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2058</w:t>
            </w:r>
          </w:p>
        </w:tc>
        <w:tc>
          <w:tcPr>
            <w:tcW w:w="1134" w:type="dxa"/>
            <w:tcBorders>
              <w:top w:val="single" w:sz="4" w:space="0" w:color="auto"/>
            </w:tcBorders>
            <w:shd w:val="clear" w:color="auto" w:fill="auto"/>
            <w:tcMar>
              <w:top w:w="80" w:type="dxa"/>
              <w:left w:w="80" w:type="dxa"/>
              <w:bottom w:w="80" w:type="dxa"/>
              <w:right w:w="80" w:type="dxa"/>
            </w:tcMar>
            <w:hideMark/>
          </w:tcPr>
          <w:p w14:paraId="6569429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275" w:type="dxa"/>
            <w:tcBorders>
              <w:top w:val="single" w:sz="4" w:space="0" w:color="auto"/>
            </w:tcBorders>
            <w:shd w:val="clear" w:color="auto" w:fill="auto"/>
            <w:tcMar>
              <w:top w:w="80" w:type="dxa"/>
              <w:left w:w="80" w:type="dxa"/>
              <w:bottom w:w="80" w:type="dxa"/>
              <w:right w:w="80" w:type="dxa"/>
            </w:tcMar>
            <w:hideMark/>
          </w:tcPr>
          <w:p w14:paraId="122DC8C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134" w:type="dxa"/>
            <w:tcBorders>
              <w:top w:val="single" w:sz="4" w:space="0" w:color="auto"/>
            </w:tcBorders>
            <w:shd w:val="clear" w:color="auto" w:fill="auto"/>
            <w:tcMar>
              <w:top w:w="0" w:type="dxa"/>
              <w:left w:w="108" w:type="dxa"/>
              <w:bottom w:w="0" w:type="dxa"/>
              <w:right w:w="108" w:type="dxa"/>
            </w:tcMar>
            <w:hideMark/>
          </w:tcPr>
          <w:p w14:paraId="017CF754"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10.5</w:t>
            </w:r>
          </w:p>
        </w:tc>
        <w:tc>
          <w:tcPr>
            <w:tcW w:w="1134" w:type="dxa"/>
            <w:tcBorders>
              <w:top w:val="single" w:sz="4" w:space="0" w:color="auto"/>
            </w:tcBorders>
            <w:shd w:val="clear" w:color="auto" w:fill="auto"/>
            <w:tcMar>
              <w:top w:w="0" w:type="dxa"/>
              <w:left w:w="108" w:type="dxa"/>
              <w:bottom w:w="0" w:type="dxa"/>
              <w:right w:w="108" w:type="dxa"/>
            </w:tcMar>
            <w:hideMark/>
          </w:tcPr>
          <w:p w14:paraId="3229145A"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11.1</w:t>
            </w:r>
          </w:p>
        </w:tc>
        <w:tc>
          <w:tcPr>
            <w:tcW w:w="1418" w:type="dxa"/>
            <w:tcBorders>
              <w:top w:val="single" w:sz="4" w:space="0" w:color="auto"/>
            </w:tcBorders>
            <w:shd w:val="clear" w:color="auto" w:fill="auto"/>
            <w:tcMar>
              <w:top w:w="80" w:type="dxa"/>
              <w:left w:w="80" w:type="dxa"/>
              <w:bottom w:w="80" w:type="dxa"/>
              <w:right w:w="80" w:type="dxa"/>
            </w:tcMar>
            <w:hideMark/>
          </w:tcPr>
          <w:p w14:paraId="6CFE9B6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 xml:space="preserve">Inverse relationship between EPO therapy and Hb levels </w:t>
            </w:r>
          </w:p>
        </w:tc>
        <w:tc>
          <w:tcPr>
            <w:tcW w:w="850" w:type="dxa"/>
            <w:tcBorders>
              <w:top w:val="single" w:sz="4" w:space="0" w:color="auto"/>
            </w:tcBorders>
            <w:shd w:val="clear" w:color="auto" w:fill="auto"/>
            <w:tcMar>
              <w:top w:w="80" w:type="dxa"/>
              <w:left w:w="80" w:type="dxa"/>
              <w:bottom w:w="80" w:type="dxa"/>
              <w:right w:w="80" w:type="dxa"/>
            </w:tcMar>
            <w:hideMark/>
          </w:tcPr>
          <w:p w14:paraId="7E9DD563"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134" w:type="dxa"/>
            <w:tcBorders>
              <w:top w:val="single" w:sz="4" w:space="0" w:color="auto"/>
            </w:tcBorders>
            <w:shd w:val="clear" w:color="auto" w:fill="auto"/>
            <w:tcMar>
              <w:top w:w="80" w:type="dxa"/>
              <w:left w:w="80" w:type="dxa"/>
              <w:bottom w:w="80" w:type="dxa"/>
              <w:right w:w="80" w:type="dxa"/>
            </w:tcMar>
            <w:hideMark/>
          </w:tcPr>
          <w:p w14:paraId="08103A5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560" w:type="dxa"/>
            <w:tcBorders>
              <w:top w:val="single" w:sz="4" w:space="0" w:color="auto"/>
            </w:tcBorders>
            <w:shd w:val="clear" w:color="auto" w:fill="auto"/>
            <w:tcMar>
              <w:top w:w="80" w:type="dxa"/>
              <w:left w:w="80" w:type="dxa"/>
              <w:bottom w:w="80" w:type="dxa"/>
              <w:right w:w="80" w:type="dxa"/>
            </w:tcMar>
            <w:hideMark/>
          </w:tcPr>
          <w:p w14:paraId="7199F8EF" w14:textId="75154FED"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 xml:space="preserve">The strongest predictors of EPO use include iron supplementation, markers of declining renal </w:t>
            </w:r>
            <w:r w:rsidRPr="00DD376C">
              <w:rPr>
                <w:rFonts w:ascii="Book Antiqua" w:eastAsia="Times New Roman" w:hAnsi="Book Antiqua"/>
                <w:color w:val="000000"/>
              </w:rPr>
              <w:lastRenderedPageBreak/>
              <w:t>function, and patients concurrently taking hydralazine, nitrates, ARBs, and/or aspirin</w:t>
            </w:r>
          </w:p>
        </w:tc>
      </w:tr>
      <w:tr w:rsidR="00257C86" w:rsidRPr="00DD376C" w14:paraId="207FFAB7" w14:textId="77777777" w:rsidTr="00566782">
        <w:trPr>
          <w:trHeight w:val="2264"/>
        </w:trPr>
        <w:tc>
          <w:tcPr>
            <w:tcW w:w="1450" w:type="dxa"/>
            <w:shd w:val="clear" w:color="auto" w:fill="auto"/>
            <w:tcMar>
              <w:top w:w="80" w:type="dxa"/>
              <w:left w:w="80" w:type="dxa"/>
              <w:bottom w:w="80" w:type="dxa"/>
              <w:right w:w="80" w:type="dxa"/>
            </w:tcMar>
            <w:hideMark/>
          </w:tcPr>
          <w:p w14:paraId="1ED479D9" w14:textId="54FA648D" w:rsidR="00AD241A" w:rsidRPr="00DD376C" w:rsidRDefault="00AD241A" w:rsidP="00FD6E68">
            <w:pPr>
              <w:spacing w:line="360" w:lineRule="auto"/>
              <w:jc w:val="both"/>
              <w:rPr>
                <w:rFonts w:ascii="Book Antiqua" w:eastAsia="Times New Roman" w:hAnsi="Book Antiqua"/>
                <w:color w:val="000000"/>
                <w:lang w:val="fr-FR"/>
              </w:rPr>
            </w:pPr>
            <w:r w:rsidRPr="00FD6E68">
              <w:rPr>
                <w:rFonts w:ascii="Book Antiqua" w:eastAsia="Times New Roman" w:hAnsi="Book Antiqua"/>
                <w:color w:val="000000"/>
                <w:shd w:val="clear" w:color="auto" w:fill="FFFFFF"/>
                <w:lang w:val="fr-FR"/>
              </w:rPr>
              <w:lastRenderedPageBreak/>
              <w:t>Eisenga</w:t>
            </w:r>
            <w:r w:rsidR="00F86BDA" w:rsidRPr="00DD376C">
              <w:rPr>
                <w:rFonts w:ascii="Book Antiqua" w:eastAsia="Times New Roman" w:hAnsi="Book Antiqua"/>
                <w:color w:val="000000"/>
                <w:shd w:val="clear" w:color="auto" w:fill="FFFFFF"/>
                <w:lang w:val="fr-FR"/>
              </w:rPr>
              <w:t xml:space="preserve"> </w:t>
            </w:r>
            <w:r w:rsidRPr="00DD376C">
              <w:rPr>
                <w:rFonts w:ascii="Book Antiqua" w:eastAsia="Times New Roman" w:hAnsi="Book Antiqua"/>
                <w:i/>
                <w:color w:val="000000"/>
                <w:shd w:val="clear" w:color="auto" w:fill="FFFFFF"/>
                <w:lang w:val="fr-FR"/>
              </w:rPr>
              <w:t xml:space="preserve">et </w:t>
            </w:r>
            <w:r w:rsidR="00F86BDA" w:rsidRPr="00DD376C">
              <w:rPr>
                <w:rFonts w:ascii="Book Antiqua" w:eastAsia="Times New Roman" w:hAnsi="Book Antiqua"/>
                <w:i/>
                <w:color w:val="000000"/>
                <w:shd w:val="clear" w:color="auto" w:fill="FFFFFF"/>
                <w:lang w:val="fr-FR"/>
              </w:rPr>
              <w:t>al</w:t>
            </w:r>
            <w:r w:rsidR="008C3159" w:rsidRPr="00DD376C">
              <w:rPr>
                <w:rFonts w:ascii="Book Antiqua" w:eastAsia="Times New Roman" w:hAnsi="Book Antiqua"/>
                <w:color w:val="000000"/>
                <w:shd w:val="clear" w:color="auto" w:fill="FFFFFF"/>
                <w:vertAlign w:val="superscript"/>
                <w:lang w:val="fr-FR"/>
              </w:rPr>
              <w:t>[13]</w:t>
            </w:r>
            <w:r w:rsidRPr="00DD376C">
              <w:rPr>
                <w:rFonts w:ascii="Book Antiqua" w:eastAsia="Times New Roman" w:hAnsi="Book Antiqua"/>
                <w:color w:val="000000"/>
                <w:shd w:val="clear" w:color="auto" w:fill="FFFFFF"/>
                <w:lang w:val="fr-FR"/>
              </w:rPr>
              <w:t xml:space="preserve">, </w:t>
            </w:r>
            <w:r w:rsidRPr="00DD376C">
              <w:rPr>
                <w:rFonts w:ascii="Book Antiqua" w:eastAsia="Times New Roman" w:hAnsi="Book Antiqua"/>
                <w:color w:val="000000"/>
                <w:lang w:val="fr-FR"/>
              </w:rPr>
              <w:t>2019</w:t>
            </w:r>
            <w:r w:rsidRPr="00DD376C">
              <w:rPr>
                <w:rFonts w:ascii="Book Antiqua" w:eastAsia="Times New Roman" w:hAnsi="Book Antiqua"/>
                <w:color w:val="000000"/>
                <w:shd w:val="clear" w:color="auto" w:fill="FFFFFF"/>
                <w:lang w:val="fr-FR"/>
              </w:rPr>
              <w:t xml:space="preserve"> </w:t>
            </w:r>
          </w:p>
        </w:tc>
        <w:tc>
          <w:tcPr>
            <w:tcW w:w="992" w:type="dxa"/>
            <w:shd w:val="clear" w:color="auto" w:fill="auto"/>
            <w:tcMar>
              <w:top w:w="80" w:type="dxa"/>
              <w:left w:w="80" w:type="dxa"/>
              <w:bottom w:w="80" w:type="dxa"/>
              <w:right w:w="80" w:type="dxa"/>
            </w:tcMar>
            <w:hideMark/>
          </w:tcPr>
          <w:p w14:paraId="58534B8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Open-label, prospective, randomized trial</w:t>
            </w:r>
          </w:p>
        </w:tc>
        <w:tc>
          <w:tcPr>
            <w:tcW w:w="709" w:type="dxa"/>
            <w:shd w:val="clear" w:color="auto" w:fill="auto"/>
            <w:tcMar>
              <w:top w:w="80" w:type="dxa"/>
              <w:left w:w="80" w:type="dxa"/>
              <w:bottom w:w="80" w:type="dxa"/>
              <w:right w:w="80" w:type="dxa"/>
            </w:tcMar>
            <w:hideMark/>
          </w:tcPr>
          <w:p w14:paraId="0E846D4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56</w:t>
            </w:r>
          </w:p>
        </w:tc>
        <w:tc>
          <w:tcPr>
            <w:tcW w:w="1134" w:type="dxa"/>
            <w:shd w:val="clear" w:color="auto" w:fill="auto"/>
            <w:tcMar>
              <w:top w:w="80" w:type="dxa"/>
              <w:left w:w="80" w:type="dxa"/>
              <w:bottom w:w="80" w:type="dxa"/>
              <w:right w:w="80" w:type="dxa"/>
            </w:tcMar>
            <w:hideMark/>
          </w:tcPr>
          <w:p w14:paraId="096024D8"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N/A</w:t>
            </w:r>
          </w:p>
        </w:tc>
        <w:tc>
          <w:tcPr>
            <w:tcW w:w="1275" w:type="dxa"/>
            <w:shd w:val="clear" w:color="auto" w:fill="auto"/>
            <w:tcMar>
              <w:top w:w="80" w:type="dxa"/>
              <w:left w:w="80" w:type="dxa"/>
              <w:bottom w:w="80" w:type="dxa"/>
              <w:right w:w="80" w:type="dxa"/>
            </w:tcMar>
            <w:hideMark/>
          </w:tcPr>
          <w:p w14:paraId="487217D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11.7:</w:t>
            </w:r>
          </w:p>
        </w:tc>
        <w:tc>
          <w:tcPr>
            <w:tcW w:w="1134" w:type="dxa"/>
            <w:shd w:val="clear" w:color="auto" w:fill="auto"/>
            <w:tcMar>
              <w:top w:w="0" w:type="dxa"/>
              <w:left w:w="108" w:type="dxa"/>
              <w:bottom w:w="0" w:type="dxa"/>
              <w:right w:w="108" w:type="dxa"/>
            </w:tcMar>
            <w:hideMark/>
          </w:tcPr>
          <w:p w14:paraId="5C0A1EE6"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13.2</w:t>
            </w:r>
          </w:p>
        </w:tc>
        <w:tc>
          <w:tcPr>
            <w:tcW w:w="1134" w:type="dxa"/>
            <w:shd w:val="clear" w:color="auto" w:fill="auto"/>
            <w:tcMar>
              <w:top w:w="0" w:type="dxa"/>
              <w:left w:w="108" w:type="dxa"/>
              <w:bottom w:w="0" w:type="dxa"/>
              <w:right w:w="108" w:type="dxa"/>
            </w:tcMar>
            <w:hideMark/>
          </w:tcPr>
          <w:p w14:paraId="0B503E7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11.8</w:t>
            </w:r>
          </w:p>
        </w:tc>
        <w:tc>
          <w:tcPr>
            <w:tcW w:w="1418" w:type="dxa"/>
            <w:shd w:val="clear" w:color="auto" w:fill="auto"/>
            <w:tcMar>
              <w:top w:w="80" w:type="dxa"/>
              <w:left w:w="80" w:type="dxa"/>
              <w:bottom w:w="80" w:type="dxa"/>
              <w:right w:w="80" w:type="dxa"/>
            </w:tcMar>
            <w:hideMark/>
          </w:tcPr>
          <w:p w14:paraId="2078233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3BEB7DE6"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 xml:space="preserve">Increased cFGFR23 and iFGFR23, increased risk of CV </w:t>
            </w:r>
            <w:r w:rsidRPr="00DD376C">
              <w:rPr>
                <w:rFonts w:ascii="Book Antiqua" w:eastAsia="Times New Roman" w:hAnsi="Book Antiqua"/>
                <w:color w:val="000000"/>
                <w:shd w:val="clear" w:color="auto" w:fill="FFFFFF"/>
              </w:rPr>
              <w:lastRenderedPageBreak/>
              <w:t>events and mortality</w:t>
            </w:r>
          </w:p>
        </w:tc>
        <w:tc>
          <w:tcPr>
            <w:tcW w:w="1134" w:type="dxa"/>
            <w:shd w:val="clear" w:color="auto" w:fill="auto"/>
            <w:tcMar>
              <w:top w:w="80" w:type="dxa"/>
              <w:left w:w="80" w:type="dxa"/>
              <w:bottom w:w="80" w:type="dxa"/>
              <w:right w:w="80" w:type="dxa"/>
            </w:tcMar>
            <w:hideMark/>
          </w:tcPr>
          <w:p w14:paraId="5449ABA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294A3FD8"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N/A</w:t>
            </w:r>
          </w:p>
        </w:tc>
      </w:tr>
      <w:tr w:rsidR="00257C86" w:rsidRPr="00DD376C" w14:paraId="02CC5A33" w14:textId="77777777" w:rsidTr="00566782">
        <w:trPr>
          <w:trHeight w:val="2904"/>
        </w:trPr>
        <w:tc>
          <w:tcPr>
            <w:tcW w:w="1450" w:type="dxa"/>
            <w:shd w:val="clear" w:color="auto" w:fill="auto"/>
            <w:tcMar>
              <w:top w:w="80" w:type="dxa"/>
              <w:left w:w="80" w:type="dxa"/>
              <w:bottom w:w="80" w:type="dxa"/>
              <w:right w:w="80" w:type="dxa"/>
            </w:tcMar>
            <w:hideMark/>
          </w:tcPr>
          <w:p w14:paraId="68C20FA0" w14:textId="418A83E4" w:rsidR="00AD241A" w:rsidRPr="00DD376C" w:rsidRDefault="00AD241A" w:rsidP="00FD6E68">
            <w:pPr>
              <w:spacing w:line="360" w:lineRule="auto"/>
              <w:jc w:val="both"/>
              <w:rPr>
                <w:rFonts w:ascii="Book Antiqua" w:eastAsia="Times New Roman" w:hAnsi="Book Antiqua"/>
                <w:color w:val="000000"/>
                <w:lang w:val="fr-FR"/>
              </w:rPr>
            </w:pPr>
            <w:r w:rsidRPr="00FD6E68">
              <w:rPr>
                <w:rFonts w:ascii="Book Antiqua" w:eastAsia="Times New Roman" w:hAnsi="Book Antiqua"/>
                <w:color w:val="000000"/>
                <w:shd w:val="clear" w:color="auto" w:fill="FFFFFF"/>
                <w:lang w:val="fr-FR"/>
              </w:rPr>
              <w:t xml:space="preserve">McMurray </w:t>
            </w:r>
            <w:r w:rsidRPr="00DD376C">
              <w:rPr>
                <w:rFonts w:ascii="Book Antiqua" w:eastAsia="Times New Roman" w:hAnsi="Book Antiqua"/>
                <w:i/>
                <w:color w:val="000000"/>
                <w:shd w:val="clear" w:color="auto" w:fill="FFFFFF"/>
                <w:lang w:val="fr-FR"/>
              </w:rPr>
              <w:t xml:space="preserve">et </w:t>
            </w:r>
            <w:r w:rsidR="00D45AE4" w:rsidRPr="00DD376C">
              <w:rPr>
                <w:rFonts w:ascii="Book Antiqua" w:eastAsia="Times New Roman" w:hAnsi="Book Antiqua"/>
                <w:i/>
                <w:color w:val="000000"/>
                <w:shd w:val="clear" w:color="auto" w:fill="FFFFFF"/>
                <w:lang w:val="fr-FR"/>
              </w:rPr>
              <w:t>al</w:t>
            </w:r>
            <w:r w:rsidR="00D45AE4" w:rsidRPr="00DD376C">
              <w:rPr>
                <w:rFonts w:ascii="Book Antiqua" w:eastAsia="Times New Roman" w:hAnsi="Book Antiqua"/>
                <w:color w:val="000000"/>
                <w:shd w:val="clear" w:color="auto" w:fill="FFFFFF"/>
                <w:vertAlign w:val="superscript"/>
                <w:lang w:val="fr-FR"/>
              </w:rPr>
              <w:t>[14]</w:t>
            </w:r>
            <w:r w:rsidRPr="00DD376C">
              <w:rPr>
                <w:rFonts w:ascii="Book Antiqua" w:eastAsia="Times New Roman" w:hAnsi="Book Antiqua"/>
                <w:color w:val="000000"/>
                <w:shd w:val="clear" w:color="auto" w:fill="FFFFFF"/>
                <w:lang w:val="fr-FR"/>
              </w:rPr>
              <w:t xml:space="preserve">, </w:t>
            </w:r>
            <w:r w:rsidRPr="00DD376C">
              <w:rPr>
                <w:rFonts w:ascii="Book Antiqua" w:eastAsia="Times New Roman" w:hAnsi="Book Antiqua"/>
                <w:color w:val="000000"/>
                <w:lang w:val="fr-FR"/>
              </w:rPr>
              <w:t>2011</w:t>
            </w:r>
            <w:r w:rsidRPr="00DD376C">
              <w:rPr>
                <w:rFonts w:ascii="Book Antiqua" w:eastAsia="Times New Roman" w:hAnsi="Book Antiqua"/>
                <w:color w:val="000000"/>
                <w:shd w:val="clear" w:color="auto" w:fill="FFFFFF"/>
                <w:lang w:val="fr-FR"/>
              </w:rPr>
              <w:t xml:space="preserve"> </w:t>
            </w:r>
          </w:p>
        </w:tc>
        <w:tc>
          <w:tcPr>
            <w:tcW w:w="992" w:type="dxa"/>
            <w:shd w:val="clear" w:color="auto" w:fill="auto"/>
            <w:tcMar>
              <w:top w:w="80" w:type="dxa"/>
              <w:left w:w="80" w:type="dxa"/>
              <w:bottom w:w="80" w:type="dxa"/>
              <w:right w:w="80" w:type="dxa"/>
            </w:tcMar>
            <w:hideMark/>
          </w:tcPr>
          <w:p w14:paraId="77DE6276"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Randomized trial</w:t>
            </w:r>
          </w:p>
        </w:tc>
        <w:tc>
          <w:tcPr>
            <w:tcW w:w="709" w:type="dxa"/>
            <w:shd w:val="clear" w:color="auto" w:fill="auto"/>
            <w:tcMar>
              <w:top w:w="80" w:type="dxa"/>
              <w:left w:w="80" w:type="dxa"/>
              <w:bottom w:w="80" w:type="dxa"/>
              <w:right w:w="80" w:type="dxa"/>
            </w:tcMar>
            <w:hideMark/>
          </w:tcPr>
          <w:p w14:paraId="297433F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3847</w:t>
            </w:r>
          </w:p>
        </w:tc>
        <w:tc>
          <w:tcPr>
            <w:tcW w:w="1134" w:type="dxa"/>
            <w:shd w:val="clear" w:color="auto" w:fill="auto"/>
            <w:tcMar>
              <w:top w:w="80" w:type="dxa"/>
              <w:left w:w="80" w:type="dxa"/>
              <w:bottom w:w="80" w:type="dxa"/>
              <w:right w:w="80" w:type="dxa"/>
            </w:tcMar>
            <w:hideMark/>
          </w:tcPr>
          <w:p w14:paraId="69F96DC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275" w:type="dxa"/>
            <w:shd w:val="clear" w:color="auto" w:fill="auto"/>
            <w:tcMar>
              <w:top w:w="80" w:type="dxa"/>
              <w:left w:w="80" w:type="dxa"/>
              <w:bottom w:w="80" w:type="dxa"/>
              <w:right w:w="80" w:type="dxa"/>
            </w:tcMar>
            <w:hideMark/>
          </w:tcPr>
          <w:p w14:paraId="20F470B6"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134" w:type="dxa"/>
            <w:shd w:val="clear" w:color="auto" w:fill="auto"/>
            <w:tcMar>
              <w:top w:w="0" w:type="dxa"/>
              <w:left w:w="108" w:type="dxa"/>
              <w:bottom w:w="0" w:type="dxa"/>
              <w:right w:w="108" w:type="dxa"/>
            </w:tcMar>
            <w:hideMark/>
          </w:tcPr>
          <w:p w14:paraId="5C94C9A9" w14:textId="77777777" w:rsidR="00AD241A" w:rsidRPr="00DD376C" w:rsidRDefault="00AD241A" w:rsidP="00DD376C">
            <w:pPr>
              <w:spacing w:line="360" w:lineRule="auto"/>
              <w:jc w:val="both"/>
              <w:rPr>
                <w:rFonts w:ascii="Book Antiqua" w:eastAsia="Times New Roman" w:hAnsi="Book Antiqua"/>
              </w:rPr>
            </w:pPr>
            <w:r w:rsidRPr="00DD376C">
              <w:rPr>
                <w:rFonts w:ascii="Book Antiqua" w:eastAsia="Times New Roman" w:hAnsi="Book Antiqua"/>
              </w:rPr>
              <w:t>N/A</w:t>
            </w:r>
          </w:p>
        </w:tc>
        <w:tc>
          <w:tcPr>
            <w:tcW w:w="1134" w:type="dxa"/>
            <w:shd w:val="clear" w:color="auto" w:fill="auto"/>
            <w:tcMar>
              <w:top w:w="0" w:type="dxa"/>
              <w:left w:w="108" w:type="dxa"/>
              <w:bottom w:w="0" w:type="dxa"/>
              <w:right w:w="108" w:type="dxa"/>
            </w:tcMar>
            <w:hideMark/>
          </w:tcPr>
          <w:p w14:paraId="5309468A" w14:textId="77777777" w:rsidR="00AD241A" w:rsidRPr="00DD376C" w:rsidRDefault="00AD241A" w:rsidP="00DD376C">
            <w:pPr>
              <w:spacing w:line="360" w:lineRule="auto"/>
              <w:jc w:val="both"/>
              <w:rPr>
                <w:rFonts w:ascii="Book Antiqua" w:eastAsia="Times New Roman" w:hAnsi="Book Antiqua"/>
              </w:rPr>
            </w:pPr>
            <w:r w:rsidRPr="00DD376C">
              <w:rPr>
                <w:rFonts w:ascii="Book Antiqua" w:eastAsia="Times New Roman" w:hAnsi="Book Antiqua"/>
              </w:rPr>
              <w:t>N/A</w:t>
            </w:r>
          </w:p>
        </w:tc>
        <w:tc>
          <w:tcPr>
            <w:tcW w:w="1418" w:type="dxa"/>
            <w:shd w:val="clear" w:color="auto" w:fill="auto"/>
            <w:tcMar>
              <w:top w:w="80" w:type="dxa"/>
              <w:left w:w="80" w:type="dxa"/>
              <w:bottom w:w="80" w:type="dxa"/>
              <w:right w:w="80" w:type="dxa"/>
            </w:tcMar>
            <w:hideMark/>
          </w:tcPr>
          <w:p w14:paraId="25E3F66C" w14:textId="77777777" w:rsidR="00AD241A" w:rsidRPr="00DD376C" w:rsidRDefault="00AD241A" w:rsidP="00DD376C">
            <w:pPr>
              <w:spacing w:line="360" w:lineRule="auto"/>
              <w:jc w:val="both"/>
              <w:rPr>
                <w:rFonts w:ascii="Book Antiqua" w:eastAsia="Times New Roman" w:hAnsi="Book Antiqua"/>
              </w:rPr>
            </w:pPr>
            <w:r w:rsidRPr="00DD376C">
              <w:rPr>
                <w:rFonts w:ascii="Book Antiqua" w:eastAsia="Times New Roman" w:hAnsi="Book Antiqua"/>
              </w:rPr>
              <w:t>N/A</w:t>
            </w:r>
          </w:p>
        </w:tc>
        <w:tc>
          <w:tcPr>
            <w:tcW w:w="850" w:type="dxa"/>
            <w:shd w:val="clear" w:color="auto" w:fill="auto"/>
            <w:tcMar>
              <w:top w:w="80" w:type="dxa"/>
              <w:left w:w="80" w:type="dxa"/>
              <w:bottom w:w="80" w:type="dxa"/>
              <w:right w:w="80" w:type="dxa"/>
            </w:tcMar>
            <w:hideMark/>
          </w:tcPr>
          <w:p w14:paraId="3571625B" w14:textId="6C5B730F"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 xml:space="preserve">Patients with CKD and anemia have an 11.2% higher risk for a major CV event. </w:t>
            </w:r>
            <w:r w:rsidRPr="00DD376C">
              <w:rPr>
                <w:rFonts w:ascii="Book Antiqua" w:eastAsia="Times New Roman" w:hAnsi="Book Antiqua"/>
                <w:color w:val="000000"/>
              </w:rPr>
              <w:lastRenderedPageBreak/>
              <w:t>History of CHF was the highest-ranked predictor of future CV events, followed by age (hazard increa</w:t>
            </w:r>
            <w:r w:rsidRPr="00DD376C">
              <w:rPr>
                <w:rFonts w:ascii="Book Antiqua" w:eastAsia="Times New Roman" w:hAnsi="Book Antiqua"/>
                <w:color w:val="000000"/>
              </w:rPr>
              <w:lastRenderedPageBreak/>
              <w:t>se by 74% and 27%, respectively)</w:t>
            </w:r>
          </w:p>
        </w:tc>
        <w:tc>
          <w:tcPr>
            <w:tcW w:w="1134" w:type="dxa"/>
            <w:shd w:val="clear" w:color="auto" w:fill="auto"/>
            <w:tcMar>
              <w:top w:w="80" w:type="dxa"/>
              <w:left w:w="80" w:type="dxa"/>
              <w:bottom w:w="80" w:type="dxa"/>
              <w:right w:w="80" w:type="dxa"/>
            </w:tcMar>
            <w:hideMark/>
          </w:tcPr>
          <w:p w14:paraId="59D6FDB8"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lastRenderedPageBreak/>
              <w:t>N/A</w:t>
            </w:r>
          </w:p>
        </w:tc>
        <w:tc>
          <w:tcPr>
            <w:tcW w:w="1560" w:type="dxa"/>
            <w:shd w:val="clear" w:color="auto" w:fill="auto"/>
            <w:tcMar>
              <w:top w:w="80" w:type="dxa"/>
              <w:left w:w="80" w:type="dxa"/>
              <w:bottom w:w="80" w:type="dxa"/>
              <w:right w:w="80" w:type="dxa"/>
            </w:tcMar>
            <w:hideMark/>
          </w:tcPr>
          <w:p w14:paraId="27D072A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 xml:space="preserve">N/A </w:t>
            </w:r>
          </w:p>
        </w:tc>
      </w:tr>
      <w:tr w:rsidR="00257C86" w:rsidRPr="00DD376C" w14:paraId="41AE6375" w14:textId="77777777" w:rsidTr="00566782">
        <w:trPr>
          <w:trHeight w:val="1944"/>
        </w:trPr>
        <w:tc>
          <w:tcPr>
            <w:tcW w:w="1450" w:type="dxa"/>
            <w:shd w:val="clear" w:color="auto" w:fill="auto"/>
            <w:tcMar>
              <w:top w:w="80" w:type="dxa"/>
              <w:left w:w="80" w:type="dxa"/>
              <w:bottom w:w="80" w:type="dxa"/>
              <w:right w:w="80" w:type="dxa"/>
            </w:tcMar>
            <w:hideMark/>
          </w:tcPr>
          <w:p w14:paraId="74AD19F6" w14:textId="64CEC445" w:rsidR="00AD241A" w:rsidRPr="00DD376C" w:rsidRDefault="00A02232"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lastRenderedPageBreak/>
              <w:t>Fazlibegović</w:t>
            </w:r>
            <w:r w:rsidRPr="00DD376C">
              <w:rPr>
                <w:rFonts w:ascii="Book Antiqua" w:eastAsia="Times New Roman" w:hAnsi="Book Antiqua"/>
                <w:color w:val="000000"/>
                <w:shd w:val="clear" w:color="auto" w:fill="FFFFFF"/>
              </w:rPr>
              <w:t xml:space="preserve"> </w:t>
            </w:r>
            <w:r w:rsidRPr="00DD376C">
              <w:rPr>
                <w:rFonts w:ascii="Book Antiqua" w:eastAsia="Times New Roman" w:hAnsi="Book Antiqua"/>
                <w:i/>
                <w:color w:val="000000"/>
                <w:shd w:val="clear" w:color="auto" w:fill="FFFFFF"/>
              </w:rPr>
              <w:t>et al</w:t>
            </w:r>
            <w:r w:rsidR="001D251A" w:rsidRPr="00DD376C">
              <w:rPr>
                <w:rFonts w:ascii="Book Antiqua" w:eastAsia="Times New Roman" w:hAnsi="Book Antiqua"/>
                <w:color w:val="000000"/>
                <w:shd w:val="clear" w:color="auto" w:fill="FFFFFF"/>
                <w:vertAlign w:val="superscript"/>
              </w:rPr>
              <w:t>[15]</w:t>
            </w:r>
            <w:r w:rsidR="00AD241A" w:rsidRPr="00DD376C">
              <w:rPr>
                <w:rFonts w:ascii="Book Antiqua" w:eastAsia="Times New Roman" w:hAnsi="Book Antiqua"/>
                <w:color w:val="000000"/>
                <w:shd w:val="clear" w:color="auto" w:fill="FFFFFF"/>
              </w:rPr>
              <w:t xml:space="preserve">, </w:t>
            </w:r>
            <w:r w:rsidR="00AD241A" w:rsidRPr="00DD376C">
              <w:rPr>
                <w:rFonts w:ascii="Book Antiqua" w:eastAsia="Times New Roman" w:hAnsi="Book Antiqua"/>
                <w:color w:val="000000"/>
              </w:rPr>
              <w:t>2006</w:t>
            </w:r>
            <w:r w:rsidR="00AD241A" w:rsidRPr="00DD376C">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2FC9DE7E"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Prospective cohort</w:t>
            </w:r>
          </w:p>
        </w:tc>
        <w:tc>
          <w:tcPr>
            <w:tcW w:w="709" w:type="dxa"/>
            <w:shd w:val="clear" w:color="auto" w:fill="auto"/>
            <w:tcMar>
              <w:top w:w="80" w:type="dxa"/>
              <w:left w:w="80" w:type="dxa"/>
              <w:bottom w:w="80" w:type="dxa"/>
              <w:right w:w="80" w:type="dxa"/>
            </w:tcMar>
            <w:hideMark/>
          </w:tcPr>
          <w:p w14:paraId="6E69565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90</w:t>
            </w:r>
          </w:p>
        </w:tc>
        <w:tc>
          <w:tcPr>
            <w:tcW w:w="1134" w:type="dxa"/>
            <w:shd w:val="clear" w:color="auto" w:fill="auto"/>
            <w:tcMar>
              <w:top w:w="80" w:type="dxa"/>
              <w:left w:w="80" w:type="dxa"/>
              <w:bottom w:w="80" w:type="dxa"/>
              <w:right w:w="80" w:type="dxa"/>
            </w:tcMar>
            <w:hideMark/>
          </w:tcPr>
          <w:p w14:paraId="5A23691B"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2000 to 6000 international units (I.U.) for 1-3 times per week, depending on the Hb level</w:t>
            </w:r>
          </w:p>
        </w:tc>
        <w:tc>
          <w:tcPr>
            <w:tcW w:w="1275" w:type="dxa"/>
            <w:shd w:val="clear" w:color="auto" w:fill="auto"/>
            <w:tcMar>
              <w:top w:w="80" w:type="dxa"/>
              <w:left w:w="80" w:type="dxa"/>
              <w:bottom w:w="80" w:type="dxa"/>
              <w:right w:w="80" w:type="dxa"/>
            </w:tcMar>
            <w:hideMark/>
          </w:tcPr>
          <w:p w14:paraId="1B840E8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8.7</w:t>
            </w:r>
          </w:p>
        </w:tc>
        <w:tc>
          <w:tcPr>
            <w:tcW w:w="1134" w:type="dxa"/>
            <w:shd w:val="clear" w:color="auto" w:fill="auto"/>
            <w:tcMar>
              <w:top w:w="0" w:type="dxa"/>
              <w:left w:w="108" w:type="dxa"/>
              <w:bottom w:w="0" w:type="dxa"/>
              <w:right w:w="108" w:type="dxa"/>
            </w:tcMar>
            <w:hideMark/>
          </w:tcPr>
          <w:p w14:paraId="342ECD4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10.1</w:t>
            </w:r>
          </w:p>
        </w:tc>
        <w:tc>
          <w:tcPr>
            <w:tcW w:w="1134" w:type="dxa"/>
            <w:shd w:val="clear" w:color="auto" w:fill="auto"/>
            <w:tcMar>
              <w:top w:w="0" w:type="dxa"/>
              <w:left w:w="108" w:type="dxa"/>
              <w:bottom w:w="0" w:type="dxa"/>
              <w:right w:w="108" w:type="dxa"/>
            </w:tcMar>
            <w:hideMark/>
          </w:tcPr>
          <w:p w14:paraId="0284F987"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N/A</w:t>
            </w:r>
          </w:p>
        </w:tc>
        <w:tc>
          <w:tcPr>
            <w:tcW w:w="1418" w:type="dxa"/>
            <w:shd w:val="clear" w:color="auto" w:fill="auto"/>
            <w:tcMar>
              <w:top w:w="80" w:type="dxa"/>
              <w:left w:w="80" w:type="dxa"/>
              <w:bottom w:w="80" w:type="dxa"/>
              <w:right w:w="80" w:type="dxa"/>
            </w:tcMar>
            <w:hideMark/>
          </w:tcPr>
          <w:p w14:paraId="42656B63"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47D58969" w14:textId="158F7D6E"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Improved functional ability of the myocardium, LV function, and qualit</w:t>
            </w:r>
            <w:r w:rsidRPr="00DD376C">
              <w:rPr>
                <w:rFonts w:ascii="Book Antiqua" w:eastAsia="Times New Roman" w:hAnsi="Book Antiqua"/>
                <w:color w:val="000000"/>
                <w:shd w:val="clear" w:color="auto" w:fill="FFFFFF"/>
              </w:rPr>
              <w:lastRenderedPageBreak/>
              <w:t>y of life</w:t>
            </w:r>
          </w:p>
        </w:tc>
        <w:tc>
          <w:tcPr>
            <w:tcW w:w="1134" w:type="dxa"/>
            <w:shd w:val="clear" w:color="auto" w:fill="auto"/>
            <w:tcMar>
              <w:top w:w="80" w:type="dxa"/>
              <w:left w:w="80" w:type="dxa"/>
              <w:bottom w:w="80" w:type="dxa"/>
              <w:right w:w="80" w:type="dxa"/>
            </w:tcMar>
            <w:hideMark/>
          </w:tcPr>
          <w:p w14:paraId="660566D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84672C8" w14:textId="3CCBAA92"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The average NYHA class before treatment with EPO was class II, with a range of I-IV; after treatment, the average class was I, with a range of I-II</w:t>
            </w:r>
          </w:p>
        </w:tc>
      </w:tr>
      <w:tr w:rsidR="00257C86" w:rsidRPr="00DD376C" w14:paraId="1F6E924E" w14:textId="77777777" w:rsidTr="00566782">
        <w:trPr>
          <w:trHeight w:val="2584"/>
        </w:trPr>
        <w:tc>
          <w:tcPr>
            <w:tcW w:w="1450" w:type="dxa"/>
            <w:shd w:val="clear" w:color="auto" w:fill="auto"/>
            <w:tcMar>
              <w:top w:w="80" w:type="dxa"/>
              <w:left w:w="80" w:type="dxa"/>
              <w:bottom w:w="80" w:type="dxa"/>
              <w:right w:w="80" w:type="dxa"/>
            </w:tcMar>
            <w:hideMark/>
          </w:tcPr>
          <w:p w14:paraId="5A2A62A2" w14:textId="5310AD8C" w:rsidR="00AD241A" w:rsidRPr="00DD376C" w:rsidRDefault="00AD241A" w:rsidP="00FD6E68">
            <w:pPr>
              <w:spacing w:line="360" w:lineRule="auto"/>
              <w:jc w:val="both"/>
              <w:rPr>
                <w:rFonts w:ascii="Book Antiqua" w:eastAsia="Times New Roman" w:hAnsi="Book Antiqua"/>
                <w:color w:val="000000"/>
                <w:lang w:val="es-ES"/>
              </w:rPr>
            </w:pPr>
            <w:r w:rsidRPr="00FD6E68">
              <w:rPr>
                <w:rFonts w:ascii="Book Antiqua" w:eastAsia="Times New Roman" w:hAnsi="Book Antiqua"/>
                <w:color w:val="000000"/>
                <w:shd w:val="clear" w:color="auto" w:fill="FFFFFF"/>
                <w:lang w:val="es-ES"/>
              </w:rPr>
              <w:t xml:space="preserve">Palazzuoli </w:t>
            </w:r>
            <w:r w:rsidR="00734D52" w:rsidRPr="00DD376C">
              <w:rPr>
                <w:rFonts w:ascii="Book Antiqua" w:eastAsia="Times New Roman" w:hAnsi="Book Antiqua"/>
                <w:i/>
                <w:color w:val="000000"/>
                <w:shd w:val="clear" w:color="auto" w:fill="FFFFFF"/>
                <w:lang w:val="es-ES"/>
              </w:rPr>
              <w:t>et al</w:t>
            </w:r>
            <w:r w:rsidR="008D79D2" w:rsidRPr="00DD376C">
              <w:rPr>
                <w:rFonts w:ascii="Book Antiqua" w:eastAsia="Times New Roman" w:hAnsi="Book Antiqua"/>
                <w:color w:val="000000"/>
                <w:shd w:val="clear" w:color="auto" w:fill="FFFFFF"/>
                <w:vertAlign w:val="superscript"/>
                <w:lang w:val="es-ES"/>
              </w:rPr>
              <w:t>[11]</w:t>
            </w:r>
            <w:r w:rsidRPr="00DD376C">
              <w:rPr>
                <w:rFonts w:ascii="Book Antiqua" w:eastAsia="Times New Roman" w:hAnsi="Book Antiqua"/>
                <w:color w:val="000000"/>
                <w:shd w:val="clear" w:color="auto" w:fill="FFFFFF"/>
                <w:lang w:val="es-ES"/>
              </w:rPr>
              <w:t xml:space="preserve">, </w:t>
            </w:r>
            <w:r w:rsidRPr="00DD376C">
              <w:rPr>
                <w:rFonts w:ascii="Book Antiqua" w:eastAsia="Times New Roman" w:hAnsi="Book Antiqua"/>
                <w:color w:val="000000"/>
                <w:lang w:val="es-ES"/>
              </w:rPr>
              <w:t>2007</w:t>
            </w:r>
            <w:r w:rsidRPr="00DD376C">
              <w:rPr>
                <w:rFonts w:ascii="Book Antiqua" w:eastAsia="Times New Roman" w:hAnsi="Book Antiqua"/>
                <w:color w:val="000000"/>
                <w:shd w:val="clear" w:color="auto" w:fill="FFFFFF"/>
                <w:lang w:val="es-ES"/>
              </w:rPr>
              <w:t xml:space="preserve"> </w:t>
            </w:r>
          </w:p>
        </w:tc>
        <w:tc>
          <w:tcPr>
            <w:tcW w:w="992" w:type="dxa"/>
            <w:shd w:val="clear" w:color="auto" w:fill="auto"/>
            <w:tcMar>
              <w:top w:w="80" w:type="dxa"/>
              <w:left w:w="80" w:type="dxa"/>
              <w:bottom w:w="80" w:type="dxa"/>
              <w:right w:w="80" w:type="dxa"/>
            </w:tcMar>
            <w:hideMark/>
          </w:tcPr>
          <w:p w14:paraId="2716C69B"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A randomized, double-blind controlled study</w:t>
            </w:r>
          </w:p>
        </w:tc>
        <w:tc>
          <w:tcPr>
            <w:tcW w:w="709" w:type="dxa"/>
            <w:shd w:val="clear" w:color="auto" w:fill="auto"/>
            <w:tcMar>
              <w:top w:w="80" w:type="dxa"/>
              <w:left w:w="80" w:type="dxa"/>
              <w:bottom w:w="80" w:type="dxa"/>
              <w:right w:w="80" w:type="dxa"/>
            </w:tcMar>
            <w:hideMark/>
          </w:tcPr>
          <w:p w14:paraId="2FCDF56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51</w:t>
            </w:r>
          </w:p>
        </w:tc>
        <w:tc>
          <w:tcPr>
            <w:tcW w:w="1134" w:type="dxa"/>
            <w:shd w:val="clear" w:color="auto" w:fill="auto"/>
            <w:tcMar>
              <w:top w:w="80" w:type="dxa"/>
              <w:left w:w="80" w:type="dxa"/>
              <w:bottom w:w="80" w:type="dxa"/>
              <w:right w:w="80" w:type="dxa"/>
            </w:tcMar>
            <w:hideMark/>
          </w:tcPr>
          <w:p w14:paraId="0B4C9377"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6000 I.U. twice weekly</w:t>
            </w:r>
          </w:p>
        </w:tc>
        <w:tc>
          <w:tcPr>
            <w:tcW w:w="1275" w:type="dxa"/>
            <w:shd w:val="clear" w:color="auto" w:fill="auto"/>
            <w:tcMar>
              <w:top w:w="80" w:type="dxa"/>
              <w:left w:w="80" w:type="dxa"/>
              <w:bottom w:w="80" w:type="dxa"/>
              <w:right w:w="80" w:type="dxa"/>
            </w:tcMar>
            <w:hideMark/>
          </w:tcPr>
          <w:p w14:paraId="13C1F94D"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10.4</w:t>
            </w:r>
          </w:p>
        </w:tc>
        <w:tc>
          <w:tcPr>
            <w:tcW w:w="1134" w:type="dxa"/>
            <w:shd w:val="clear" w:color="auto" w:fill="auto"/>
            <w:tcMar>
              <w:top w:w="0" w:type="dxa"/>
              <w:left w:w="108" w:type="dxa"/>
              <w:bottom w:w="0" w:type="dxa"/>
              <w:right w:w="108" w:type="dxa"/>
            </w:tcMar>
            <w:hideMark/>
          </w:tcPr>
          <w:p w14:paraId="1385B3E0"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11.2</w:t>
            </w:r>
          </w:p>
        </w:tc>
        <w:tc>
          <w:tcPr>
            <w:tcW w:w="1134" w:type="dxa"/>
            <w:shd w:val="clear" w:color="auto" w:fill="auto"/>
            <w:tcMar>
              <w:top w:w="0" w:type="dxa"/>
              <w:left w:w="108" w:type="dxa"/>
              <w:bottom w:w="0" w:type="dxa"/>
              <w:right w:w="108" w:type="dxa"/>
            </w:tcMar>
            <w:hideMark/>
          </w:tcPr>
          <w:p w14:paraId="0B5254F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10.6</w:t>
            </w:r>
          </w:p>
        </w:tc>
        <w:tc>
          <w:tcPr>
            <w:tcW w:w="1418" w:type="dxa"/>
            <w:shd w:val="clear" w:color="auto" w:fill="auto"/>
            <w:tcMar>
              <w:top w:w="80" w:type="dxa"/>
              <w:left w:w="80" w:type="dxa"/>
              <w:bottom w:w="80" w:type="dxa"/>
              <w:right w:w="80" w:type="dxa"/>
            </w:tcMar>
            <w:hideMark/>
          </w:tcPr>
          <w:p w14:paraId="70936C16"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62A683B2" w14:textId="4DA83713"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Improved LV systolic function, LV remodelin</w:t>
            </w:r>
            <w:r w:rsidR="00224BCF" w:rsidRPr="00DD376C" w:rsidDel="00224BCF">
              <w:rPr>
                <w:rFonts w:ascii="Book Antiqua" w:eastAsia="Times New Roman" w:hAnsi="Book Antiqua"/>
                <w:color w:val="000000"/>
                <w:shd w:val="clear" w:color="auto" w:fill="FFFFFF"/>
              </w:rPr>
              <w:t>g</w:t>
            </w:r>
            <w:r w:rsidRPr="00DD376C">
              <w:rPr>
                <w:rFonts w:ascii="Book Antiqua" w:eastAsia="Times New Roman" w:hAnsi="Book Antiqua"/>
                <w:color w:val="000000"/>
                <w:shd w:val="clear" w:color="auto" w:fill="FFFFFF"/>
              </w:rPr>
              <w:t xml:space="preserve">, NYHA class, BNP levels, </w:t>
            </w:r>
            <w:r w:rsidRPr="00DD376C">
              <w:rPr>
                <w:rFonts w:ascii="Book Antiqua" w:eastAsia="Times New Roman" w:hAnsi="Book Antiqua"/>
                <w:color w:val="000000"/>
                <w:shd w:val="clear" w:color="auto" w:fill="FFFFFF"/>
              </w:rPr>
              <w:lastRenderedPageBreak/>
              <w:t>and quality of life compared to control group</w:t>
            </w:r>
          </w:p>
        </w:tc>
        <w:tc>
          <w:tcPr>
            <w:tcW w:w="1134" w:type="dxa"/>
            <w:shd w:val="clear" w:color="auto" w:fill="auto"/>
            <w:tcMar>
              <w:top w:w="80" w:type="dxa"/>
              <w:left w:w="80" w:type="dxa"/>
              <w:bottom w:w="80" w:type="dxa"/>
              <w:right w:w="80" w:type="dxa"/>
            </w:tcMar>
            <w:hideMark/>
          </w:tcPr>
          <w:p w14:paraId="29173FA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BF2748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r>
      <w:tr w:rsidR="00257C86" w:rsidRPr="00DD376C" w14:paraId="0B8C81DE" w14:textId="77777777" w:rsidTr="00566782">
        <w:trPr>
          <w:trHeight w:val="1944"/>
        </w:trPr>
        <w:tc>
          <w:tcPr>
            <w:tcW w:w="1450" w:type="dxa"/>
            <w:shd w:val="clear" w:color="auto" w:fill="auto"/>
            <w:tcMar>
              <w:top w:w="80" w:type="dxa"/>
              <w:left w:w="80" w:type="dxa"/>
              <w:bottom w:w="80" w:type="dxa"/>
              <w:right w:w="80" w:type="dxa"/>
            </w:tcMar>
            <w:hideMark/>
          </w:tcPr>
          <w:p w14:paraId="6FEF73A7" w14:textId="141D23B8" w:rsidR="00AD241A" w:rsidRPr="00DD376C" w:rsidRDefault="00AD241A"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t xml:space="preserve">Jie </w:t>
            </w:r>
            <w:r w:rsidR="00F93134" w:rsidRPr="00DD376C">
              <w:rPr>
                <w:rFonts w:ascii="Book Antiqua" w:eastAsia="Times New Roman" w:hAnsi="Book Antiqua"/>
                <w:i/>
                <w:color w:val="000000"/>
                <w:shd w:val="clear" w:color="auto" w:fill="FFFFFF"/>
              </w:rPr>
              <w:t>et al</w:t>
            </w:r>
            <w:r w:rsidR="00BE5F62" w:rsidRPr="00DD376C">
              <w:rPr>
                <w:rFonts w:ascii="Book Antiqua" w:eastAsia="Times New Roman" w:hAnsi="Book Antiqua"/>
                <w:color w:val="000000"/>
                <w:shd w:val="clear" w:color="auto" w:fill="FFFFFF"/>
                <w:vertAlign w:val="superscript"/>
              </w:rPr>
              <w:t>[16]</w:t>
            </w:r>
            <w:r w:rsidRPr="00DD376C">
              <w:rPr>
                <w:rFonts w:ascii="Book Antiqua" w:eastAsia="Times New Roman" w:hAnsi="Book Antiqua"/>
                <w:color w:val="000000"/>
                <w:shd w:val="clear" w:color="auto" w:fill="FFFFFF"/>
              </w:rPr>
              <w:t xml:space="preserve">, </w:t>
            </w:r>
            <w:r w:rsidRPr="00DD376C">
              <w:rPr>
                <w:rFonts w:ascii="Book Antiqua" w:eastAsia="Times New Roman" w:hAnsi="Book Antiqua"/>
                <w:color w:val="000000"/>
              </w:rPr>
              <w:t>2011</w:t>
            </w:r>
            <w:r w:rsidRPr="00DD376C">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5034CC2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Open-label randomized trial</w:t>
            </w:r>
          </w:p>
        </w:tc>
        <w:tc>
          <w:tcPr>
            <w:tcW w:w="709" w:type="dxa"/>
            <w:shd w:val="clear" w:color="auto" w:fill="auto"/>
            <w:tcMar>
              <w:top w:w="80" w:type="dxa"/>
              <w:left w:w="80" w:type="dxa"/>
              <w:bottom w:w="80" w:type="dxa"/>
              <w:right w:w="80" w:type="dxa"/>
            </w:tcMar>
            <w:hideMark/>
          </w:tcPr>
          <w:p w14:paraId="148898A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65</w:t>
            </w:r>
          </w:p>
        </w:tc>
        <w:tc>
          <w:tcPr>
            <w:tcW w:w="1134" w:type="dxa"/>
            <w:shd w:val="clear" w:color="auto" w:fill="auto"/>
            <w:tcMar>
              <w:top w:w="80" w:type="dxa"/>
              <w:left w:w="80" w:type="dxa"/>
              <w:bottom w:w="80" w:type="dxa"/>
              <w:right w:w="80" w:type="dxa"/>
            </w:tcMar>
            <w:hideMark/>
          </w:tcPr>
          <w:p w14:paraId="5755507A"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N/A</w:t>
            </w:r>
          </w:p>
        </w:tc>
        <w:tc>
          <w:tcPr>
            <w:tcW w:w="1275" w:type="dxa"/>
            <w:shd w:val="clear" w:color="auto" w:fill="auto"/>
            <w:tcMar>
              <w:top w:w="80" w:type="dxa"/>
              <w:left w:w="80" w:type="dxa"/>
              <w:bottom w:w="80" w:type="dxa"/>
              <w:right w:w="80" w:type="dxa"/>
            </w:tcMar>
            <w:hideMark/>
          </w:tcPr>
          <w:p w14:paraId="7EFD444A"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7.5</w:t>
            </w:r>
          </w:p>
        </w:tc>
        <w:tc>
          <w:tcPr>
            <w:tcW w:w="1134" w:type="dxa"/>
            <w:shd w:val="clear" w:color="auto" w:fill="auto"/>
            <w:tcMar>
              <w:top w:w="0" w:type="dxa"/>
              <w:left w:w="108" w:type="dxa"/>
              <w:bottom w:w="0" w:type="dxa"/>
              <w:right w:w="108" w:type="dxa"/>
            </w:tcMar>
            <w:hideMark/>
          </w:tcPr>
          <w:p w14:paraId="5531C14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8.4</w:t>
            </w:r>
          </w:p>
        </w:tc>
        <w:tc>
          <w:tcPr>
            <w:tcW w:w="1134" w:type="dxa"/>
            <w:shd w:val="clear" w:color="auto" w:fill="auto"/>
            <w:tcMar>
              <w:top w:w="0" w:type="dxa"/>
              <w:left w:w="108" w:type="dxa"/>
              <w:bottom w:w="0" w:type="dxa"/>
              <w:right w:w="108" w:type="dxa"/>
            </w:tcMar>
            <w:hideMark/>
          </w:tcPr>
          <w:p w14:paraId="70D04D9A"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6.9</w:t>
            </w:r>
          </w:p>
        </w:tc>
        <w:tc>
          <w:tcPr>
            <w:tcW w:w="1418" w:type="dxa"/>
            <w:shd w:val="clear" w:color="auto" w:fill="auto"/>
            <w:tcMar>
              <w:top w:w="80" w:type="dxa"/>
              <w:left w:w="80" w:type="dxa"/>
              <w:bottom w:w="80" w:type="dxa"/>
              <w:right w:w="80" w:type="dxa"/>
            </w:tcMar>
            <w:hideMark/>
          </w:tcPr>
          <w:p w14:paraId="023E0F7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 with long term use</w:t>
            </w:r>
          </w:p>
        </w:tc>
        <w:tc>
          <w:tcPr>
            <w:tcW w:w="850" w:type="dxa"/>
            <w:shd w:val="clear" w:color="auto" w:fill="auto"/>
            <w:tcMar>
              <w:top w:w="80" w:type="dxa"/>
              <w:left w:w="80" w:type="dxa"/>
              <w:bottom w:w="80" w:type="dxa"/>
              <w:right w:w="80" w:type="dxa"/>
            </w:tcMar>
            <w:hideMark/>
          </w:tcPr>
          <w:p w14:paraId="21E4589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134" w:type="dxa"/>
            <w:shd w:val="clear" w:color="auto" w:fill="auto"/>
            <w:tcMar>
              <w:top w:w="80" w:type="dxa"/>
              <w:left w:w="80" w:type="dxa"/>
              <w:bottom w:w="80" w:type="dxa"/>
              <w:right w:w="80" w:type="dxa"/>
            </w:tcMar>
            <w:hideMark/>
          </w:tcPr>
          <w:p w14:paraId="50288010"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560" w:type="dxa"/>
            <w:shd w:val="clear" w:color="auto" w:fill="auto"/>
            <w:tcMar>
              <w:top w:w="80" w:type="dxa"/>
              <w:left w:w="80" w:type="dxa"/>
              <w:bottom w:w="80" w:type="dxa"/>
              <w:right w:w="80" w:type="dxa"/>
            </w:tcMar>
            <w:hideMark/>
          </w:tcPr>
          <w:p w14:paraId="3CC5CE6A" w14:textId="466952D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Reduced CD34+ KRD-EPC levels, which was associated with decreased vascular regenerative potential</w:t>
            </w:r>
          </w:p>
        </w:tc>
      </w:tr>
      <w:tr w:rsidR="00257C86" w:rsidRPr="00DD376C" w14:paraId="0382E086" w14:textId="77777777" w:rsidTr="00566782">
        <w:trPr>
          <w:trHeight w:val="1784"/>
        </w:trPr>
        <w:tc>
          <w:tcPr>
            <w:tcW w:w="1450" w:type="dxa"/>
            <w:shd w:val="clear" w:color="auto" w:fill="auto"/>
            <w:tcMar>
              <w:top w:w="80" w:type="dxa"/>
              <w:left w:w="80" w:type="dxa"/>
              <w:bottom w:w="80" w:type="dxa"/>
              <w:right w:w="80" w:type="dxa"/>
            </w:tcMar>
            <w:hideMark/>
          </w:tcPr>
          <w:p w14:paraId="285ECE75" w14:textId="4955B708" w:rsidR="00AD241A" w:rsidRPr="00DD376C" w:rsidRDefault="00AD241A"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lastRenderedPageBreak/>
              <w:t xml:space="preserve">Jackevicius </w:t>
            </w:r>
            <w:r w:rsidR="009C45DD" w:rsidRPr="00DD376C">
              <w:rPr>
                <w:rFonts w:ascii="Book Antiqua" w:eastAsia="Times New Roman" w:hAnsi="Book Antiqua"/>
                <w:i/>
                <w:color w:val="000000"/>
                <w:shd w:val="clear" w:color="auto" w:fill="FFFFFF"/>
              </w:rPr>
              <w:t>et al</w:t>
            </w:r>
            <w:r w:rsidR="009C45DD" w:rsidRPr="00DD376C">
              <w:rPr>
                <w:rFonts w:ascii="Book Antiqua" w:eastAsia="Times New Roman" w:hAnsi="Book Antiqua"/>
                <w:color w:val="000000"/>
                <w:shd w:val="clear" w:color="auto" w:fill="FFFFFF"/>
                <w:vertAlign w:val="superscript"/>
              </w:rPr>
              <w:t>[17]</w:t>
            </w:r>
            <w:r w:rsidRPr="00DD376C">
              <w:rPr>
                <w:rFonts w:ascii="Book Antiqua" w:eastAsia="Times New Roman" w:hAnsi="Book Antiqua"/>
                <w:color w:val="000000"/>
                <w:shd w:val="clear" w:color="auto" w:fill="FFFFFF"/>
              </w:rPr>
              <w:t xml:space="preserve">, </w:t>
            </w:r>
            <w:r w:rsidRPr="00DD376C">
              <w:rPr>
                <w:rFonts w:ascii="Book Antiqua" w:eastAsia="Times New Roman" w:hAnsi="Book Antiqua"/>
                <w:color w:val="000000"/>
              </w:rPr>
              <w:t>2014</w:t>
            </w:r>
            <w:r w:rsidRPr="00DD376C">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582329CE"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Retrospective cohort study</w:t>
            </w:r>
          </w:p>
        </w:tc>
        <w:tc>
          <w:tcPr>
            <w:tcW w:w="709" w:type="dxa"/>
            <w:shd w:val="clear" w:color="auto" w:fill="auto"/>
            <w:tcMar>
              <w:top w:w="80" w:type="dxa"/>
              <w:left w:w="80" w:type="dxa"/>
              <w:bottom w:w="80" w:type="dxa"/>
              <w:right w:w="80" w:type="dxa"/>
            </w:tcMar>
            <w:hideMark/>
          </w:tcPr>
          <w:p w14:paraId="5807B2BB"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2058</w:t>
            </w:r>
          </w:p>
        </w:tc>
        <w:tc>
          <w:tcPr>
            <w:tcW w:w="1134" w:type="dxa"/>
            <w:shd w:val="clear" w:color="auto" w:fill="auto"/>
            <w:tcMar>
              <w:top w:w="80" w:type="dxa"/>
              <w:left w:w="80" w:type="dxa"/>
              <w:bottom w:w="80" w:type="dxa"/>
              <w:right w:w="80" w:type="dxa"/>
            </w:tcMar>
            <w:hideMark/>
          </w:tcPr>
          <w:p w14:paraId="3A60832E" w14:textId="77777777" w:rsidR="00AD241A" w:rsidRPr="00DD376C" w:rsidRDefault="00AD241A" w:rsidP="00DD376C">
            <w:pPr>
              <w:spacing w:line="360" w:lineRule="auto"/>
              <w:jc w:val="both"/>
              <w:rPr>
                <w:rFonts w:ascii="Book Antiqua" w:eastAsia="Times New Roman" w:hAnsi="Book Antiqua"/>
              </w:rPr>
            </w:pPr>
          </w:p>
        </w:tc>
        <w:tc>
          <w:tcPr>
            <w:tcW w:w="1275" w:type="dxa"/>
            <w:shd w:val="clear" w:color="auto" w:fill="auto"/>
            <w:tcMar>
              <w:top w:w="80" w:type="dxa"/>
              <w:left w:w="80" w:type="dxa"/>
              <w:bottom w:w="80" w:type="dxa"/>
              <w:right w:w="80" w:type="dxa"/>
            </w:tcMar>
            <w:hideMark/>
          </w:tcPr>
          <w:p w14:paraId="23954DF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10.5:</w:t>
            </w:r>
          </w:p>
        </w:tc>
        <w:tc>
          <w:tcPr>
            <w:tcW w:w="1134" w:type="dxa"/>
            <w:shd w:val="clear" w:color="auto" w:fill="auto"/>
            <w:tcMar>
              <w:top w:w="0" w:type="dxa"/>
              <w:left w:w="108" w:type="dxa"/>
              <w:bottom w:w="0" w:type="dxa"/>
              <w:right w:w="108" w:type="dxa"/>
            </w:tcMar>
            <w:hideMark/>
          </w:tcPr>
          <w:p w14:paraId="31DD80F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12.22</w:t>
            </w:r>
          </w:p>
          <w:p w14:paraId="19A90AA0"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 xml:space="preserve"> </w:t>
            </w:r>
          </w:p>
        </w:tc>
        <w:tc>
          <w:tcPr>
            <w:tcW w:w="1134" w:type="dxa"/>
            <w:shd w:val="clear" w:color="auto" w:fill="auto"/>
            <w:tcMar>
              <w:top w:w="0" w:type="dxa"/>
              <w:left w:w="108" w:type="dxa"/>
              <w:bottom w:w="0" w:type="dxa"/>
              <w:right w:w="108" w:type="dxa"/>
            </w:tcMar>
            <w:hideMark/>
          </w:tcPr>
          <w:p w14:paraId="05096AE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11.1</w:t>
            </w:r>
          </w:p>
        </w:tc>
        <w:tc>
          <w:tcPr>
            <w:tcW w:w="1418" w:type="dxa"/>
            <w:shd w:val="clear" w:color="auto" w:fill="auto"/>
            <w:tcMar>
              <w:top w:w="80" w:type="dxa"/>
              <w:left w:w="80" w:type="dxa"/>
              <w:bottom w:w="80" w:type="dxa"/>
              <w:right w:w="80" w:type="dxa"/>
            </w:tcMar>
            <w:hideMark/>
          </w:tcPr>
          <w:p w14:paraId="5555E98B"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5BED4EFD" w14:textId="7CF31CAC"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risk of major CV and acute coronary syndrome events</w:t>
            </w:r>
          </w:p>
        </w:tc>
        <w:tc>
          <w:tcPr>
            <w:tcW w:w="1134" w:type="dxa"/>
            <w:shd w:val="clear" w:color="auto" w:fill="auto"/>
            <w:tcMar>
              <w:top w:w="80" w:type="dxa"/>
              <w:left w:w="80" w:type="dxa"/>
              <w:bottom w:w="80" w:type="dxa"/>
              <w:right w:w="80" w:type="dxa"/>
            </w:tcMar>
            <w:hideMark/>
          </w:tcPr>
          <w:p w14:paraId="39FC236A" w14:textId="159FE26E"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risk of an all-cause hospitalization rate</w:t>
            </w:r>
          </w:p>
        </w:tc>
        <w:tc>
          <w:tcPr>
            <w:tcW w:w="1560" w:type="dxa"/>
            <w:shd w:val="clear" w:color="auto" w:fill="auto"/>
            <w:tcMar>
              <w:top w:w="80" w:type="dxa"/>
              <w:left w:w="80" w:type="dxa"/>
              <w:bottom w:w="80" w:type="dxa"/>
              <w:right w:w="80" w:type="dxa"/>
            </w:tcMar>
            <w:hideMark/>
          </w:tcPr>
          <w:p w14:paraId="18E77BBE" w14:textId="542FBCC2"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EPO use increases the risk of mortality</w:t>
            </w:r>
          </w:p>
        </w:tc>
      </w:tr>
      <w:tr w:rsidR="00257C86" w:rsidRPr="00DD376C" w14:paraId="0CDA9C28" w14:textId="77777777" w:rsidTr="00566782">
        <w:trPr>
          <w:trHeight w:val="3224"/>
        </w:trPr>
        <w:tc>
          <w:tcPr>
            <w:tcW w:w="1450" w:type="dxa"/>
            <w:shd w:val="clear" w:color="auto" w:fill="auto"/>
            <w:tcMar>
              <w:top w:w="80" w:type="dxa"/>
              <w:left w:w="80" w:type="dxa"/>
              <w:bottom w:w="80" w:type="dxa"/>
              <w:right w:w="80" w:type="dxa"/>
            </w:tcMar>
            <w:hideMark/>
          </w:tcPr>
          <w:p w14:paraId="4EEC2682" w14:textId="72D2DF89" w:rsidR="00AD241A" w:rsidRPr="00DD376C" w:rsidRDefault="00AD241A"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t xml:space="preserve">Jie </w:t>
            </w:r>
            <w:r w:rsidR="003F51A6" w:rsidRPr="00DD376C">
              <w:rPr>
                <w:rFonts w:ascii="Book Antiqua" w:eastAsia="Times New Roman" w:hAnsi="Book Antiqua"/>
                <w:i/>
                <w:color w:val="000000"/>
                <w:shd w:val="clear" w:color="auto" w:fill="FFFFFF"/>
              </w:rPr>
              <w:t>et al</w:t>
            </w:r>
            <w:r w:rsidR="003F51A6" w:rsidRPr="00DD376C">
              <w:rPr>
                <w:rFonts w:ascii="Book Antiqua" w:eastAsia="Times New Roman" w:hAnsi="Book Antiqua"/>
                <w:color w:val="000000"/>
                <w:shd w:val="clear" w:color="auto" w:fill="FFFFFF"/>
                <w:vertAlign w:val="superscript"/>
              </w:rPr>
              <w:t>[18]</w:t>
            </w:r>
            <w:r w:rsidR="003F51A6" w:rsidRPr="00DD376C">
              <w:rPr>
                <w:rFonts w:ascii="Book Antiqua" w:eastAsia="Times New Roman" w:hAnsi="Book Antiqua"/>
                <w:color w:val="000000"/>
                <w:shd w:val="clear" w:color="auto" w:fill="FFFFFF"/>
              </w:rPr>
              <w:t>,</w:t>
            </w:r>
            <w:r w:rsidRPr="00DD376C">
              <w:rPr>
                <w:rFonts w:ascii="Book Antiqua" w:eastAsia="Times New Roman" w:hAnsi="Book Antiqua"/>
                <w:color w:val="000000"/>
                <w:shd w:val="clear" w:color="auto" w:fill="FFFFFF"/>
              </w:rPr>
              <w:t xml:space="preserve"> </w:t>
            </w:r>
            <w:r w:rsidRPr="00DD376C">
              <w:rPr>
                <w:rFonts w:ascii="Book Antiqua" w:eastAsia="Times New Roman" w:hAnsi="Book Antiqua"/>
                <w:color w:val="000000"/>
              </w:rPr>
              <w:t xml:space="preserve">2012 </w:t>
            </w:r>
          </w:p>
        </w:tc>
        <w:tc>
          <w:tcPr>
            <w:tcW w:w="992" w:type="dxa"/>
            <w:shd w:val="clear" w:color="auto" w:fill="auto"/>
            <w:tcMar>
              <w:top w:w="80" w:type="dxa"/>
              <w:left w:w="80" w:type="dxa"/>
              <w:bottom w:w="80" w:type="dxa"/>
              <w:right w:w="80" w:type="dxa"/>
            </w:tcMar>
            <w:hideMark/>
          </w:tcPr>
          <w:p w14:paraId="548E1B0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Randomized trial</w:t>
            </w:r>
          </w:p>
        </w:tc>
        <w:tc>
          <w:tcPr>
            <w:tcW w:w="709" w:type="dxa"/>
            <w:shd w:val="clear" w:color="auto" w:fill="auto"/>
            <w:tcMar>
              <w:top w:w="80" w:type="dxa"/>
              <w:left w:w="80" w:type="dxa"/>
              <w:bottom w:w="80" w:type="dxa"/>
              <w:right w:w="80" w:type="dxa"/>
            </w:tcMar>
            <w:hideMark/>
          </w:tcPr>
          <w:p w14:paraId="6AB082AF"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30</w:t>
            </w:r>
          </w:p>
        </w:tc>
        <w:tc>
          <w:tcPr>
            <w:tcW w:w="1134" w:type="dxa"/>
            <w:shd w:val="clear" w:color="auto" w:fill="auto"/>
            <w:tcMar>
              <w:top w:w="80" w:type="dxa"/>
              <w:left w:w="80" w:type="dxa"/>
              <w:bottom w:w="80" w:type="dxa"/>
              <w:right w:w="80" w:type="dxa"/>
            </w:tcMar>
            <w:hideMark/>
          </w:tcPr>
          <w:p w14:paraId="10925FE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50 I.U./kg once weekly</w:t>
            </w:r>
          </w:p>
        </w:tc>
        <w:tc>
          <w:tcPr>
            <w:tcW w:w="1275" w:type="dxa"/>
            <w:shd w:val="clear" w:color="auto" w:fill="auto"/>
            <w:tcMar>
              <w:top w:w="80" w:type="dxa"/>
              <w:left w:w="80" w:type="dxa"/>
              <w:bottom w:w="80" w:type="dxa"/>
              <w:right w:w="80" w:type="dxa"/>
            </w:tcMar>
            <w:hideMark/>
          </w:tcPr>
          <w:p w14:paraId="5A76AD3C"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11.8</w:t>
            </w:r>
          </w:p>
        </w:tc>
        <w:tc>
          <w:tcPr>
            <w:tcW w:w="1134" w:type="dxa"/>
            <w:shd w:val="clear" w:color="auto" w:fill="auto"/>
            <w:tcMar>
              <w:top w:w="0" w:type="dxa"/>
              <w:left w:w="108" w:type="dxa"/>
              <w:bottom w:w="0" w:type="dxa"/>
              <w:right w:w="108" w:type="dxa"/>
            </w:tcMar>
            <w:hideMark/>
          </w:tcPr>
          <w:p w14:paraId="15E0C21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12.3</w:t>
            </w:r>
          </w:p>
        </w:tc>
        <w:tc>
          <w:tcPr>
            <w:tcW w:w="1134" w:type="dxa"/>
            <w:shd w:val="clear" w:color="auto" w:fill="auto"/>
            <w:tcMar>
              <w:top w:w="0" w:type="dxa"/>
              <w:left w:w="108" w:type="dxa"/>
              <w:bottom w:w="0" w:type="dxa"/>
              <w:right w:w="108" w:type="dxa"/>
            </w:tcMar>
            <w:hideMark/>
          </w:tcPr>
          <w:p w14:paraId="6A82F0C0"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N/A</w:t>
            </w:r>
          </w:p>
        </w:tc>
        <w:tc>
          <w:tcPr>
            <w:tcW w:w="1418" w:type="dxa"/>
            <w:shd w:val="clear" w:color="auto" w:fill="auto"/>
            <w:tcMar>
              <w:top w:w="80" w:type="dxa"/>
              <w:left w:w="80" w:type="dxa"/>
              <w:bottom w:w="80" w:type="dxa"/>
              <w:right w:w="80" w:type="dxa"/>
            </w:tcMar>
            <w:hideMark/>
          </w:tcPr>
          <w:p w14:paraId="3C5AF461"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085E0608" w14:textId="2A215EC0"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Modest alteration in monocyte transcripto</w:t>
            </w:r>
            <w:r w:rsidRPr="00DD376C">
              <w:rPr>
                <w:rFonts w:ascii="Book Antiqua" w:eastAsia="Times New Roman" w:hAnsi="Book Antiqua"/>
                <w:color w:val="000000"/>
                <w:shd w:val="clear" w:color="auto" w:fill="FFFFFF"/>
              </w:rPr>
              <w:lastRenderedPageBreak/>
              <w:t>mes, indicating imprints of inflammation and oxidative stress. The increase in oxidative stress, in turn, increa</w:t>
            </w:r>
            <w:r w:rsidRPr="00DD376C">
              <w:rPr>
                <w:rFonts w:ascii="Book Antiqua" w:eastAsia="Times New Roman" w:hAnsi="Book Antiqua"/>
                <w:color w:val="000000"/>
                <w:shd w:val="clear" w:color="auto" w:fill="FFFFFF"/>
              </w:rPr>
              <w:lastRenderedPageBreak/>
              <w:t>sed the risk of CV events</w:t>
            </w:r>
          </w:p>
        </w:tc>
        <w:tc>
          <w:tcPr>
            <w:tcW w:w="1134" w:type="dxa"/>
            <w:shd w:val="clear" w:color="auto" w:fill="auto"/>
            <w:tcMar>
              <w:top w:w="80" w:type="dxa"/>
              <w:left w:w="80" w:type="dxa"/>
              <w:bottom w:w="80" w:type="dxa"/>
              <w:right w:w="80" w:type="dxa"/>
            </w:tcMar>
            <w:hideMark/>
          </w:tcPr>
          <w:p w14:paraId="1A1A1DC0"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lastRenderedPageBreak/>
              <w:t>N/A</w:t>
            </w:r>
          </w:p>
        </w:tc>
        <w:tc>
          <w:tcPr>
            <w:tcW w:w="1560" w:type="dxa"/>
            <w:shd w:val="clear" w:color="auto" w:fill="auto"/>
            <w:tcMar>
              <w:top w:w="80" w:type="dxa"/>
              <w:left w:w="80" w:type="dxa"/>
              <w:bottom w:w="80" w:type="dxa"/>
              <w:right w:w="80" w:type="dxa"/>
            </w:tcMar>
            <w:hideMark/>
          </w:tcPr>
          <w:p w14:paraId="76F4151B" w14:textId="31BE57D3"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 xml:space="preserve">Variable response in gene expression. Unable to conclude whether EPO </w:t>
            </w:r>
            <w:r w:rsidRPr="00DD376C">
              <w:rPr>
                <w:rFonts w:ascii="Book Antiqua" w:eastAsia="Times New Roman" w:hAnsi="Book Antiqua"/>
                <w:color w:val="000000"/>
                <w:shd w:val="clear" w:color="auto" w:fill="FFFFFF"/>
              </w:rPr>
              <w:lastRenderedPageBreak/>
              <w:t>improved hematopoietic effects in CRS patients with such gene mutations</w:t>
            </w:r>
          </w:p>
        </w:tc>
      </w:tr>
      <w:tr w:rsidR="00257C86" w:rsidRPr="00DD376C" w14:paraId="10E29245" w14:textId="77777777" w:rsidTr="00566782">
        <w:trPr>
          <w:trHeight w:val="4184"/>
        </w:trPr>
        <w:tc>
          <w:tcPr>
            <w:tcW w:w="1450" w:type="dxa"/>
            <w:shd w:val="clear" w:color="auto" w:fill="auto"/>
            <w:tcMar>
              <w:top w:w="80" w:type="dxa"/>
              <w:left w:w="80" w:type="dxa"/>
              <w:bottom w:w="80" w:type="dxa"/>
              <w:right w:w="80" w:type="dxa"/>
            </w:tcMar>
            <w:hideMark/>
          </w:tcPr>
          <w:p w14:paraId="39A55B03" w14:textId="785B93A8" w:rsidR="00AD241A" w:rsidRPr="00DD376C" w:rsidRDefault="00AD241A" w:rsidP="00FD6E68">
            <w:pPr>
              <w:spacing w:line="360" w:lineRule="auto"/>
              <w:jc w:val="both"/>
              <w:rPr>
                <w:rFonts w:ascii="Book Antiqua" w:eastAsia="Times New Roman" w:hAnsi="Book Antiqua"/>
                <w:color w:val="000000"/>
              </w:rPr>
            </w:pPr>
            <w:r w:rsidRPr="00FD6E68">
              <w:rPr>
                <w:rFonts w:ascii="Book Antiqua" w:eastAsia="Times New Roman" w:hAnsi="Book Antiqua"/>
                <w:color w:val="000000"/>
                <w:shd w:val="clear" w:color="auto" w:fill="FFFFFF"/>
              </w:rPr>
              <w:lastRenderedPageBreak/>
              <w:t xml:space="preserve">Emans </w:t>
            </w:r>
            <w:r w:rsidR="00886DED" w:rsidRPr="00DD376C">
              <w:rPr>
                <w:rFonts w:ascii="Book Antiqua" w:eastAsia="Times New Roman" w:hAnsi="Book Antiqua"/>
                <w:i/>
                <w:color w:val="000000"/>
                <w:shd w:val="clear" w:color="auto" w:fill="FFFFFF"/>
              </w:rPr>
              <w:t>et al</w:t>
            </w:r>
            <w:r w:rsidR="00886DED" w:rsidRPr="00DD376C">
              <w:rPr>
                <w:rFonts w:ascii="Book Antiqua" w:eastAsia="Times New Roman" w:hAnsi="Book Antiqua"/>
                <w:color w:val="000000"/>
                <w:shd w:val="clear" w:color="auto" w:fill="FFFFFF"/>
                <w:vertAlign w:val="superscript"/>
              </w:rPr>
              <w:t>[19]</w:t>
            </w:r>
            <w:r w:rsidR="00886DED" w:rsidRPr="00DD376C">
              <w:rPr>
                <w:rFonts w:ascii="Book Antiqua" w:eastAsia="Times New Roman" w:hAnsi="Book Antiqua"/>
                <w:color w:val="000000"/>
                <w:shd w:val="clear" w:color="auto" w:fill="FFFFFF"/>
              </w:rPr>
              <w:t xml:space="preserve">, </w:t>
            </w:r>
            <w:r w:rsidRPr="00DD376C">
              <w:rPr>
                <w:rFonts w:ascii="Book Antiqua" w:eastAsia="Times New Roman" w:hAnsi="Book Antiqua"/>
                <w:color w:val="000000"/>
              </w:rPr>
              <w:t>2013</w:t>
            </w:r>
            <w:r w:rsidRPr="00DD376C">
              <w:rPr>
                <w:rFonts w:ascii="Book Antiqua" w:eastAsia="Times New Roman" w:hAnsi="Book Antiqua"/>
                <w:color w:val="000000"/>
                <w:shd w:val="clear" w:color="auto" w:fill="FFFFFF"/>
              </w:rPr>
              <w:t xml:space="preserve"> </w:t>
            </w:r>
          </w:p>
        </w:tc>
        <w:tc>
          <w:tcPr>
            <w:tcW w:w="992" w:type="dxa"/>
            <w:shd w:val="clear" w:color="auto" w:fill="auto"/>
            <w:tcMar>
              <w:top w:w="80" w:type="dxa"/>
              <w:left w:w="80" w:type="dxa"/>
              <w:bottom w:w="80" w:type="dxa"/>
              <w:right w:w="80" w:type="dxa"/>
            </w:tcMar>
            <w:hideMark/>
          </w:tcPr>
          <w:p w14:paraId="17A14993"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Open-label prospective randomized trial</w:t>
            </w:r>
          </w:p>
        </w:tc>
        <w:tc>
          <w:tcPr>
            <w:tcW w:w="709" w:type="dxa"/>
            <w:shd w:val="clear" w:color="auto" w:fill="auto"/>
            <w:tcMar>
              <w:top w:w="80" w:type="dxa"/>
              <w:left w:w="80" w:type="dxa"/>
              <w:bottom w:w="80" w:type="dxa"/>
              <w:right w:w="80" w:type="dxa"/>
            </w:tcMar>
            <w:hideMark/>
          </w:tcPr>
          <w:p w14:paraId="21904AD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62</w:t>
            </w:r>
          </w:p>
        </w:tc>
        <w:tc>
          <w:tcPr>
            <w:tcW w:w="1134" w:type="dxa"/>
            <w:shd w:val="clear" w:color="auto" w:fill="auto"/>
            <w:tcMar>
              <w:top w:w="80" w:type="dxa"/>
              <w:left w:w="80" w:type="dxa"/>
              <w:bottom w:w="80" w:type="dxa"/>
              <w:right w:w="80" w:type="dxa"/>
            </w:tcMar>
            <w:hideMark/>
          </w:tcPr>
          <w:p w14:paraId="37931988"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50 I.U./kg once weekly</w:t>
            </w:r>
          </w:p>
        </w:tc>
        <w:tc>
          <w:tcPr>
            <w:tcW w:w="1275" w:type="dxa"/>
            <w:shd w:val="clear" w:color="auto" w:fill="auto"/>
            <w:tcMar>
              <w:top w:w="80" w:type="dxa"/>
              <w:left w:w="80" w:type="dxa"/>
              <w:bottom w:w="80" w:type="dxa"/>
              <w:right w:w="80" w:type="dxa"/>
            </w:tcMar>
            <w:hideMark/>
          </w:tcPr>
          <w:p w14:paraId="21473593"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11.7</w:t>
            </w:r>
          </w:p>
          <w:p w14:paraId="43DF0099"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w:t>
            </w:r>
          </w:p>
        </w:tc>
        <w:tc>
          <w:tcPr>
            <w:tcW w:w="1134" w:type="dxa"/>
            <w:shd w:val="clear" w:color="auto" w:fill="auto"/>
            <w:tcMar>
              <w:top w:w="0" w:type="dxa"/>
              <w:left w:w="108" w:type="dxa"/>
              <w:bottom w:w="0" w:type="dxa"/>
              <w:right w:w="108" w:type="dxa"/>
            </w:tcMar>
            <w:hideMark/>
          </w:tcPr>
          <w:p w14:paraId="35107CA6" w14:textId="5A76330E"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13.7</w:t>
            </w:r>
          </w:p>
        </w:tc>
        <w:tc>
          <w:tcPr>
            <w:tcW w:w="1134" w:type="dxa"/>
            <w:shd w:val="clear" w:color="auto" w:fill="auto"/>
            <w:tcMar>
              <w:top w:w="0" w:type="dxa"/>
              <w:left w:w="108" w:type="dxa"/>
              <w:bottom w:w="0" w:type="dxa"/>
              <w:right w:w="108" w:type="dxa"/>
            </w:tcMar>
            <w:hideMark/>
          </w:tcPr>
          <w:p w14:paraId="548AABC5"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11.8</w:t>
            </w:r>
          </w:p>
        </w:tc>
        <w:tc>
          <w:tcPr>
            <w:tcW w:w="1418" w:type="dxa"/>
            <w:shd w:val="clear" w:color="auto" w:fill="auto"/>
            <w:tcMar>
              <w:top w:w="80" w:type="dxa"/>
              <w:left w:w="80" w:type="dxa"/>
              <w:bottom w:w="80" w:type="dxa"/>
              <w:right w:w="80" w:type="dxa"/>
            </w:tcMar>
            <w:hideMark/>
          </w:tcPr>
          <w:p w14:paraId="66EC78A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shd w:val="clear" w:color="auto" w:fill="FFFFFF"/>
              </w:rPr>
              <w:t>Increased Hb levels</w:t>
            </w:r>
          </w:p>
        </w:tc>
        <w:tc>
          <w:tcPr>
            <w:tcW w:w="850" w:type="dxa"/>
            <w:shd w:val="clear" w:color="auto" w:fill="auto"/>
            <w:tcMar>
              <w:top w:w="80" w:type="dxa"/>
              <w:left w:w="80" w:type="dxa"/>
              <w:bottom w:w="80" w:type="dxa"/>
              <w:right w:w="80" w:type="dxa"/>
            </w:tcMar>
            <w:hideMark/>
          </w:tcPr>
          <w:p w14:paraId="18DCD76A"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134" w:type="dxa"/>
            <w:shd w:val="clear" w:color="auto" w:fill="auto"/>
            <w:tcMar>
              <w:top w:w="80" w:type="dxa"/>
              <w:left w:w="80" w:type="dxa"/>
              <w:bottom w:w="80" w:type="dxa"/>
              <w:right w:w="80" w:type="dxa"/>
            </w:tcMar>
            <w:hideMark/>
          </w:tcPr>
          <w:p w14:paraId="6B40BAF2" w14:textId="77777777"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N/A</w:t>
            </w:r>
          </w:p>
        </w:tc>
        <w:tc>
          <w:tcPr>
            <w:tcW w:w="1560" w:type="dxa"/>
            <w:shd w:val="clear" w:color="auto" w:fill="auto"/>
            <w:tcMar>
              <w:top w:w="80" w:type="dxa"/>
              <w:left w:w="80" w:type="dxa"/>
              <w:bottom w:w="80" w:type="dxa"/>
              <w:right w:w="80" w:type="dxa"/>
            </w:tcMar>
            <w:hideMark/>
          </w:tcPr>
          <w:p w14:paraId="2D50D405" w14:textId="53E7AACF" w:rsidR="00AD241A" w:rsidRPr="00DD376C" w:rsidRDefault="00AD241A" w:rsidP="00DD376C">
            <w:pPr>
              <w:spacing w:line="360" w:lineRule="auto"/>
              <w:jc w:val="both"/>
              <w:rPr>
                <w:rFonts w:ascii="Book Antiqua" w:eastAsia="Times New Roman" w:hAnsi="Book Antiqua"/>
                <w:color w:val="000000"/>
              </w:rPr>
            </w:pPr>
            <w:r w:rsidRPr="00DD376C">
              <w:rPr>
                <w:rFonts w:ascii="Book Antiqua" w:eastAsia="Times New Roman" w:hAnsi="Book Antiqua"/>
                <w:color w:val="000000"/>
              </w:rPr>
              <w:t xml:space="preserve">Elevated serum </w:t>
            </w:r>
            <w:r w:rsidR="00430014" w:rsidRPr="00DD376C">
              <w:rPr>
                <w:rFonts w:ascii="Book Antiqua" w:eastAsia="Times New Roman" w:hAnsi="Book Antiqua"/>
                <w:color w:val="000000"/>
              </w:rPr>
              <w:t>NGAL</w:t>
            </w:r>
            <w:r w:rsidRPr="00DD376C">
              <w:rPr>
                <w:rFonts w:ascii="Book Antiqua" w:eastAsia="Times New Roman" w:hAnsi="Book Antiqua"/>
                <w:color w:val="000000"/>
              </w:rPr>
              <w:t xml:space="preserve"> is inversely correlated with baseline EPO levels, independent of renal function. Low-dose EPO treatment </w:t>
            </w:r>
            <w:r w:rsidRPr="00DD376C">
              <w:rPr>
                <w:rFonts w:ascii="Book Antiqua" w:eastAsia="Times New Roman" w:hAnsi="Book Antiqua"/>
                <w:color w:val="000000"/>
              </w:rPr>
              <w:lastRenderedPageBreak/>
              <w:t>caused a moderate decrease in serum NGAL levels, therefore reflecting potential improvement in renal tubular damage</w:t>
            </w:r>
          </w:p>
        </w:tc>
      </w:tr>
    </w:tbl>
    <w:p w14:paraId="39B258EA" w14:textId="3EDBC4F2" w:rsidR="00EA0B60" w:rsidRPr="00FD6E68" w:rsidRDefault="00C506E1" w:rsidP="00FD6E68">
      <w:pPr>
        <w:spacing w:line="360" w:lineRule="auto"/>
        <w:jc w:val="both"/>
        <w:rPr>
          <w:rFonts w:ascii="Book Antiqua" w:hAnsi="Book Antiqua" w:cs="Book Antiqua"/>
          <w:color w:val="000000"/>
          <w:lang w:eastAsia="zh-CN"/>
        </w:rPr>
      </w:pPr>
      <w:r>
        <w:rPr>
          <w:rStyle w:val="MsoPageNumber0"/>
          <w:rFonts w:ascii="Book Antiqua" w:eastAsia="Book Antiqua" w:hAnsi="Book Antiqua" w:cs="Book Antiqua"/>
          <w:color w:val="000000"/>
        </w:rPr>
        <w:lastRenderedPageBreak/>
        <w:t>ARB:</w:t>
      </w:r>
      <w:r w:rsidR="00224BCF" w:rsidRPr="00224BCF">
        <w:rPr>
          <w:rFonts w:ascii="Book Antiqua" w:eastAsia="Times New Roman" w:hAnsi="Book Antiqua"/>
          <w:color w:val="000000"/>
        </w:rPr>
        <w:t xml:space="preserve"> </w:t>
      </w:r>
      <w:r w:rsidR="00224BCF">
        <w:rPr>
          <w:rFonts w:ascii="Book Antiqua" w:eastAsia="Times New Roman" w:hAnsi="Book Antiqua"/>
          <w:color w:val="000000"/>
        </w:rPr>
        <w:t>A</w:t>
      </w:r>
      <w:r w:rsidR="00224BCF" w:rsidRPr="00DD376C">
        <w:rPr>
          <w:rFonts w:ascii="Book Antiqua" w:eastAsia="Times New Roman" w:hAnsi="Book Antiqua"/>
          <w:color w:val="000000"/>
        </w:rPr>
        <w:t>ngiotensin II receptor blocker</w:t>
      </w:r>
      <w:r w:rsidR="00224BCF">
        <w:rPr>
          <w:rFonts w:ascii="Book Antiqua" w:eastAsia="Times New Roman" w:hAnsi="Book Antiqua"/>
          <w:color w:val="000000"/>
        </w:rPr>
        <w:t>;</w:t>
      </w:r>
      <w:r>
        <w:rPr>
          <w:rStyle w:val="MsoPageNumber0"/>
          <w:rFonts w:ascii="Book Antiqua" w:eastAsia="Book Antiqua" w:hAnsi="Book Antiqua" w:cs="Book Antiqua"/>
          <w:color w:val="000000"/>
        </w:rPr>
        <w:t xml:space="preserve"> </w:t>
      </w:r>
      <w:r w:rsidR="001D2D81" w:rsidRPr="00FD6E68">
        <w:rPr>
          <w:rStyle w:val="MsoPageNumber0"/>
          <w:rFonts w:ascii="Book Antiqua" w:eastAsia="Book Antiqua" w:hAnsi="Book Antiqua" w:cs="Book Antiqua"/>
          <w:color w:val="000000"/>
        </w:rPr>
        <w:t>BNP: B-type natriuretic peptide;</w:t>
      </w:r>
      <w:r w:rsidR="001D2D81" w:rsidRPr="00DD376C">
        <w:rPr>
          <w:rStyle w:val="MsoPageNumber0"/>
          <w:rFonts w:ascii="Book Antiqua" w:hAnsi="Book Antiqua" w:cs="Book Antiqua"/>
          <w:color w:val="000000"/>
          <w:lang w:eastAsia="zh-CN"/>
        </w:rPr>
        <w:t xml:space="preserve"> </w:t>
      </w:r>
      <w:r w:rsidR="00224BCF">
        <w:rPr>
          <w:rStyle w:val="MsoPageNumber0"/>
          <w:rFonts w:ascii="Book Antiqua" w:hAnsi="Book Antiqua" w:cs="Book Antiqua"/>
          <w:color w:val="000000"/>
          <w:lang w:eastAsia="zh-CN"/>
        </w:rPr>
        <w:t xml:space="preserve">cFGF: C-terminal fibroblast growth factor; </w:t>
      </w:r>
      <w:r w:rsidRPr="00DD376C">
        <w:rPr>
          <w:rStyle w:val="MsoPageNumber0"/>
          <w:rFonts w:ascii="Book Antiqua" w:eastAsia="Book Antiqua" w:hAnsi="Book Antiqua" w:cs="Book Antiqua"/>
          <w:color w:val="000000"/>
        </w:rPr>
        <w:t>CKD: Chronic kidney disease;</w:t>
      </w:r>
      <w:r w:rsidRPr="00DD376C">
        <w:rPr>
          <w:rStyle w:val="MsoPageNumber0"/>
          <w:rFonts w:ascii="Book Antiqua" w:hAnsi="Book Antiqua" w:cs="Book Antiqua"/>
          <w:color w:val="000000"/>
          <w:lang w:eastAsia="zh-CN"/>
        </w:rPr>
        <w:t xml:space="preserve"> </w:t>
      </w:r>
      <w:r w:rsidRPr="00FD6E68">
        <w:rPr>
          <w:rStyle w:val="MsoPageNumber0"/>
          <w:rFonts w:ascii="Book Antiqua" w:eastAsia="Book Antiqua" w:hAnsi="Book Antiqua" w:cs="Book Antiqua"/>
          <w:color w:val="000000"/>
        </w:rPr>
        <w:t xml:space="preserve">CHF: </w:t>
      </w:r>
      <w:r w:rsidRPr="00DD376C">
        <w:rPr>
          <w:rStyle w:val="MsoPageNumber0"/>
          <w:rFonts w:ascii="Book Antiqua" w:eastAsia="Book Antiqua" w:hAnsi="Book Antiqua" w:cs="Book Antiqua"/>
          <w:color w:val="000000"/>
        </w:rPr>
        <w:t>Congestive heart failure;</w:t>
      </w:r>
      <w:r>
        <w:rPr>
          <w:rStyle w:val="MsoPageNumber0"/>
          <w:rFonts w:ascii="Book Antiqua" w:eastAsia="Book Antiqua" w:hAnsi="Book Antiqua" w:cs="Book Antiqua"/>
          <w:color w:val="000000"/>
        </w:rPr>
        <w:t xml:space="preserve"> CRS: </w:t>
      </w:r>
      <w:r w:rsidR="00224BCF" w:rsidRPr="00DD376C">
        <w:rPr>
          <w:rFonts w:ascii="Book Antiqua" w:eastAsia="Book Antiqua" w:hAnsi="Book Antiqua" w:cs="Book Antiqua"/>
          <w:color w:val="000000"/>
          <w:shd w:val="clear" w:color="auto" w:fill="FFFFFF"/>
        </w:rPr>
        <w:t>Cardiorenal syndrome</w:t>
      </w:r>
      <w:r w:rsidR="00224BCF">
        <w:rPr>
          <w:rStyle w:val="MsoPageNumber0"/>
          <w:rFonts w:ascii="Book Antiqua" w:eastAsia="Book Antiqua" w:hAnsi="Book Antiqua" w:cs="Book Antiqua"/>
          <w:color w:val="000000"/>
        </w:rPr>
        <w:t xml:space="preserve">; </w:t>
      </w:r>
      <w:r w:rsidR="00A7433B" w:rsidRPr="00FD6E68">
        <w:rPr>
          <w:rStyle w:val="MsoPageNumber0"/>
          <w:rFonts w:ascii="Book Antiqua" w:eastAsia="Book Antiqua" w:hAnsi="Book Antiqua" w:cs="Book Antiqua"/>
          <w:color w:val="000000"/>
        </w:rPr>
        <w:t xml:space="preserve">CV: </w:t>
      </w:r>
      <w:r w:rsidR="00FE0CA3" w:rsidRPr="00DD376C">
        <w:rPr>
          <w:rStyle w:val="MsoPageNumber0"/>
          <w:rFonts w:ascii="Book Antiqua" w:eastAsia="Book Antiqua" w:hAnsi="Book Antiqua" w:cs="Book Antiqua"/>
          <w:color w:val="000000"/>
        </w:rPr>
        <w:t>Cardiovascular</w:t>
      </w:r>
      <w:r w:rsidR="00A7433B" w:rsidRPr="00DD376C">
        <w:rPr>
          <w:rStyle w:val="MsoPageNumber0"/>
          <w:rFonts w:ascii="Book Antiqua" w:eastAsia="Book Antiqua" w:hAnsi="Book Antiqua" w:cs="Book Antiqua"/>
          <w:color w:val="000000"/>
        </w:rPr>
        <w:t xml:space="preserve">; EPO: </w:t>
      </w:r>
      <w:r w:rsidR="00FE0CA3" w:rsidRPr="00DD376C">
        <w:rPr>
          <w:rStyle w:val="MsoPageNumber0"/>
          <w:rFonts w:ascii="Book Antiqua" w:eastAsia="Book Antiqua" w:hAnsi="Book Antiqua" w:cs="Book Antiqua"/>
          <w:color w:val="000000"/>
        </w:rPr>
        <w:t>Erythropoietin</w:t>
      </w:r>
      <w:r w:rsidR="00A7433B" w:rsidRPr="00DD376C">
        <w:rPr>
          <w:rStyle w:val="MsoPageNumber0"/>
          <w:rFonts w:ascii="Book Antiqua" w:eastAsia="Book Antiqua" w:hAnsi="Book Antiqua" w:cs="Book Antiqua"/>
          <w:color w:val="000000"/>
        </w:rPr>
        <w:t>;</w:t>
      </w:r>
      <w:r w:rsidR="00A7433B" w:rsidRPr="00DD376C">
        <w:rPr>
          <w:rStyle w:val="MsoPageNumber0"/>
          <w:rFonts w:ascii="Book Antiqua" w:hAnsi="Book Antiqua" w:cs="Book Antiqua"/>
          <w:color w:val="000000"/>
          <w:lang w:eastAsia="zh-CN"/>
        </w:rPr>
        <w:t xml:space="preserve"> </w:t>
      </w:r>
      <w:r w:rsidR="00224BCF">
        <w:rPr>
          <w:rStyle w:val="MsoPageNumber0"/>
          <w:rFonts w:ascii="Book Antiqua" w:hAnsi="Book Antiqua" w:cs="Book Antiqua"/>
          <w:color w:val="000000"/>
          <w:lang w:eastAsia="zh-CN"/>
        </w:rPr>
        <w:t xml:space="preserve">EPC: Endothelial progenitor cell: </w:t>
      </w:r>
      <w:r w:rsidR="00A7433B" w:rsidRPr="00FD6E68">
        <w:rPr>
          <w:rStyle w:val="MsoPageNumber0"/>
          <w:rFonts w:ascii="Book Antiqua" w:eastAsia="Book Antiqua" w:hAnsi="Book Antiqua" w:cs="Book Antiqua"/>
          <w:color w:val="000000"/>
        </w:rPr>
        <w:t xml:space="preserve">Hb: </w:t>
      </w:r>
      <w:r w:rsidR="00FE0CA3" w:rsidRPr="00DD376C">
        <w:rPr>
          <w:rStyle w:val="MsoPageNumber0"/>
          <w:rFonts w:ascii="Book Antiqua" w:eastAsia="Book Antiqua" w:hAnsi="Book Antiqua" w:cs="Book Antiqua"/>
          <w:color w:val="000000"/>
        </w:rPr>
        <w:t>Hemoglobin</w:t>
      </w:r>
      <w:r w:rsidR="00A7433B" w:rsidRPr="00DD376C">
        <w:rPr>
          <w:rStyle w:val="MsoPageNumber0"/>
          <w:rFonts w:ascii="Book Antiqua" w:eastAsia="Book Antiqua" w:hAnsi="Book Antiqua" w:cs="Book Antiqua"/>
          <w:color w:val="000000"/>
        </w:rPr>
        <w:t>;</w:t>
      </w:r>
      <w:r w:rsidR="008C7831" w:rsidRPr="00DD376C">
        <w:rPr>
          <w:rStyle w:val="MsoPageNumber0"/>
          <w:rFonts w:ascii="Book Antiqua" w:eastAsia="Book Antiqua" w:hAnsi="Book Antiqua" w:cs="Book Antiqua"/>
          <w:color w:val="000000"/>
        </w:rPr>
        <w:t xml:space="preserve"> </w:t>
      </w:r>
      <w:r w:rsidR="00224BCF">
        <w:rPr>
          <w:rStyle w:val="MsoPageNumber0"/>
          <w:rFonts w:ascii="Book Antiqua" w:eastAsia="Book Antiqua" w:hAnsi="Book Antiqua" w:cs="Book Antiqua"/>
          <w:color w:val="000000"/>
        </w:rPr>
        <w:t xml:space="preserve">iFGFR: Intracellular fibroblast growth factor receptor; </w:t>
      </w:r>
      <w:r w:rsidRPr="00FD6E68">
        <w:rPr>
          <w:rStyle w:val="MsoPageNumber0"/>
          <w:rFonts w:ascii="Book Antiqua" w:eastAsia="Book Antiqua" w:hAnsi="Book Antiqua" w:cs="Book Antiqua"/>
          <w:color w:val="000000"/>
        </w:rPr>
        <w:t xml:space="preserve">LV: </w:t>
      </w:r>
      <w:r w:rsidRPr="00DD376C">
        <w:rPr>
          <w:rStyle w:val="MsoPageNumber0"/>
          <w:rFonts w:ascii="Book Antiqua" w:eastAsia="Book Antiqua" w:hAnsi="Book Antiqua" w:cs="Book Antiqua"/>
          <w:color w:val="000000"/>
        </w:rPr>
        <w:t>Left ventricular;</w:t>
      </w:r>
      <w:r w:rsidRPr="00DD376C">
        <w:rPr>
          <w:rStyle w:val="MsoPageNumber0"/>
          <w:rFonts w:ascii="Book Antiqua" w:hAnsi="Book Antiqua" w:cs="Book Antiqua"/>
          <w:color w:val="000000"/>
          <w:lang w:eastAsia="zh-CN"/>
        </w:rPr>
        <w:t xml:space="preserve"> </w:t>
      </w:r>
      <w:r w:rsidR="00FE0CA3" w:rsidRPr="00FD6E68">
        <w:rPr>
          <w:rStyle w:val="MsoPageNumber0"/>
          <w:rFonts w:ascii="Book Antiqua" w:hAnsi="Book Antiqua" w:cs="Book Antiqua"/>
          <w:color w:val="000000"/>
          <w:lang w:eastAsia="zh-CN"/>
        </w:rPr>
        <w:t xml:space="preserve">N/A: </w:t>
      </w:r>
      <w:r w:rsidR="00A7433B" w:rsidRPr="00DD376C">
        <w:rPr>
          <w:rStyle w:val="MsoPageNumber0"/>
          <w:rFonts w:ascii="Book Antiqua" w:eastAsia="Book Antiqua" w:hAnsi="Book Antiqua" w:cs="Book Antiqua"/>
          <w:color w:val="000000"/>
        </w:rPr>
        <w:t>Not applicable</w:t>
      </w:r>
      <w:r w:rsidR="00A7433B" w:rsidRPr="00FD6E68">
        <w:rPr>
          <w:rStyle w:val="MsoPageNumber0"/>
          <w:rFonts w:ascii="Book Antiqua" w:eastAsia="Book Antiqua" w:hAnsi="Book Antiqua" w:cs="Book Antiqua"/>
          <w:color w:val="000000"/>
        </w:rPr>
        <w:t>;</w:t>
      </w:r>
      <w:r w:rsidR="001D2D81" w:rsidRPr="00DD376C">
        <w:rPr>
          <w:rStyle w:val="MsoPageNumber0"/>
          <w:rFonts w:ascii="Book Antiqua" w:hAnsi="Book Antiqua" w:cs="Book Antiqua"/>
          <w:color w:val="000000"/>
          <w:lang w:eastAsia="zh-CN"/>
        </w:rPr>
        <w:t xml:space="preserve"> </w:t>
      </w:r>
      <w:r w:rsidR="00801BD5" w:rsidRPr="00FD6E68">
        <w:rPr>
          <w:rStyle w:val="MsoPageNumber0"/>
          <w:rFonts w:ascii="Book Antiqua" w:eastAsia="Book Antiqua" w:hAnsi="Book Antiqua" w:cs="Book Antiqua"/>
          <w:color w:val="000000"/>
        </w:rPr>
        <w:t xml:space="preserve">NGAL: </w:t>
      </w:r>
      <w:r w:rsidR="00FE0CA3" w:rsidRPr="00DD376C">
        <w:rPr>
          <w:rStyle w:val="MsoPageNumber0"/>
          <w:rFonts w:ascii="Book Antiqua" w:eastAsia="Book Antiqua" w:hAnsi="Book Antiqua" w:cs="Book Antiqua"/>
          <w:color w:val="000000"/>
        </w:rPr>
        <w:t>Neutrophil</w:t>
      </w:r>
      <w:r w:rsidR="00801BD5" w:rsidRPr="00DD376C">
        <w:rPr>
          <w:rStyle w:val="MsoPageNumber0"/>
          <w:rFonts w:ascii="Book Antiqua" w:eastAsia="Book Antiqua" w:hAnsi="Book Antiqua" w:cs="Book Antiqua"/>
          <w:color w:val="000000"/>
        </w:rPr>
        <w:t>-gelatinase-associated lipocalin</w:t>
      </w:r>
      <w:r>
        <w:rPr>
          <w:rStyle w:val="MsoPageNumber0"/>
          <w:rFonts w:ascii="Book Antiqua" w:eastAsia="Book Antiqua" w:hAnsi="Book Antiqua" w:cs="Book Antiqua"/>
          <w:color w:val="000000"/>
        </w:rPr>
        <w:t>; NYHA</w:t>
      </w:r>
      <w:r w:rsidR="00224BCF">
        <w:rPr>
          <w:rStyle w:val="MsoPageNumber0"/>
          <w:rFonts w:ascii="Book Antiqua" w:eastAsia="Book Antiqua" w:hAnsi="Book Antiqua" w:cs="Book Antiqua"/>
          <w:color w:val="000000"/>
        </w:rPr>
        <w:t>: New York Heart Association</w:t>
      </w:r>
      <w:r w:rsidR="001D2D81" w:rsidRPr="00DD376C">
        <w:rPr>
          <w:rStyle w:val="MsoPageNumber0"/>
          <w:rFonts w:ascii="Book Antiqua" w:hAnsi="Book Antiqua" w:cs="Book Antiqua"/>
          <w:color w:val="000000"/>
          <w:lang w:eastAsia="zh-CN"/>
        </w:rPr>
        <w:t>.</w:t>
      </w:r>
    </w:p>
    <w:sectPr w:rsidR="00EA0B60" w:rsidRPr="00FD6E68" w:rsidSect="000E29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6580" w14:textId="77777777" w:rsidR="00994D07" w:rsidRDefault="00994D07" w:rsidP="00C102FB">
      <w:r>
        <w:separator/>
      </w:r>
    </w:p>
  </w:endnote>
  <w:endnote w:type="continuationSeparator" w:id="0">
    <w:p w14:paraId="07B4B31C" w14:textId="77777777" w:rsidR="00994D07" w:rsidRDefault="00994D07" w:rsidP="00C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158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A2899D3" w14:textId="24DFBC8B" w:rsidR="00833124" w:rsidRPr="00CF0D5B" w:rsidRDefault="00833124">
            <w:pPr>
              <w:pStyle w:val="Footer"/>
              <w:jc w:val="right"/>
              <w:rPr>
                <w:rFonts w:ascii="Book Antiqua" w:hAnsi="Book Antiqua"/>
                <w:sz w:val="24"/>
                <w:szCs w:val="24"/>
              </w:rPr>
            </w:pPr>
            <w:r w:rsidRPr="00833124">
              <w:rPr>
                <w:rFonts w:ascii="Book Antiqua" w:hAnsi="Book Antiqua"/>
                <w:sz w:val="24"/>
                <w:szCs w:val="24"/>
                <w:lang w:val="zh-CN" w:eastAsia="zh-CN"/>
              </w:rPr>
              <w:t xml:space="preserve"> </w:t>
            </w:r>
            <w:r w:rsidRPr="001B7234">
              <w:rPr>
                <w:rFonts w:ascii="Book Antiqua" w:hAnsi="Book Antiqua"/>
                <w:sz w:val="24"/>
                <w:szCs w:val="24"/>
              </w:rPr>
              <w:fldChar w:fldCharType="begin"/>
            </w:r>
            <w:r w:rsidRPr="001B7234">
              <w:rPr>
                <w:rFonts w:ascii="Book Antiqua" w:hAnsi="Book Antiqua"/>
                <w:sz w:val="24"/>
                <w:szCs w:val="24"/>
              </w:rPr>
              <w:instrText>PAGE</w:instrText>
            </w:r>
            <w:r w:rsidRPr="001B7234">
              <w:rPr>
                <w:rFonts w:ascii="Book Antiqua" w:hAnsi="Book Antiqua"/>
                <w:sz w:val="24"/>
                <w:szCs w:val="24"/>
              </w:rPr>
              <w:fldChar w:fldCharType="separate"/>
            </w:r>
            <w:r w:rsidR="002D50CF" w:rsidRPr="001B7234">
              <w:rPr>
                <w:rFonts w:ascii="Book Antiqua" w:hAnsi="Book Antiqua"/>
                <w:noProof/>
                <w:sz w:val="24"/>
                <w:szCs w:val="24"/>
              </w:rPr>
              <w:t>2</w:t>
            </w:r>
            <w:r w:rsidRPr="001B7234">
              <w:rPr>
                <w:rFonts w:ascii="Book Antiqua" w:hAnsi="Book Antiqua"/>
                <w:sz w:val="24"/>
                <w:szCs w:val="24"/>
              </w:rPr>
              <w:fldChar w:fldCharType="end"/>
            </w:r>
            <w:r w:rsidRPr="00CF0D5B">
              <w:rPr>
                <w:rFonts w:ascii="Book Antiqua" w:hAnsi="Book Antiqua"/>
                <w:sz w:val="24"/>
                <w:szCs w:val="24"/>
                <w:lang w:val="zh-CN" w:eastAsia="zh-CN"/>
              </w:rPr>
              <w:t xml:space="preserve"> / </w:t>
            </w:r>
            <w:r w:rsidRPr="001B7234">
              <w:rPr>
                <w:rFonts w:ascii="Book Antiqua" w:hAnsi="Book Antiqua"/>
                <w:sz w:val="24"/>
                <w:szCs w:val="24"/>
              </w:rPr>
              <w:fldChar w:fldCharType="begin"/>
            </w:r>
            <w:r w:rsidRPr="001B7234">
              <w:rPr>
                <w:rFonts w:ascii="Book Antiqua" w:hAnsi="Book Antiqua"/>
                <w:sz w:val="24"/>
                <w:szCs w:val="24"/>
              </w:rPr>
              <w:instrText>NUMPAGES</w:instrText>
            </w:r>
            <w:r w:rsidRPr="001B7234">
              <w:rPr>
                <w:rFonts w:ascii="Book Antiqua" w:hAnsi="Book Antiqua"/>
                <w:sz w:val="24"/>
                <w:szCs w:val="24"/>
              </w:rPr>
              <w:fldChar w:fldCharType="separate"/>
            </w:r>
            <w:r w:rsidR="002D50CF" w:rsidRPr="001B7234">
              <w:rPr>
                <w:rFonts w:ascii="Book Antiqua" w:hAnsi="Book Antiqua"/>
                <w:noProof/>
                <w:sz w:val="24"/>
                <w:szCs w:val="24"/>
              </w:rPr>
              <w:t>34</w:t>
            </w:r>
            <w:r w:rsidRPr="001B7234">
              <w:rPr>
                <w:rFonts w:ascii="Book Antiqua" w:hAnsi="Book Antiqua"/>
                <w:sz w:val="24"/>
                <w:szCs w:val="24"/>
              </w:rPr>
              <w:fldChar w:fldCharType="end"/>
            </w:r>
          </w:p>
        </w:sdtContent>
      </w:sdt>
    </w:sdtContent>
  </w:sdt>
  <w:p w14:paraId="7C951ADF" w14:textId="77777777" w:rsidR="00833124" w:rsidRDefault="0083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7D94" w14:textId="77777777" w:rsidR="00994D07" w:rsidRDefault="00994D07" w:rsidP="00C102FB">
      <w:r>
        <w:separator/>
      </w:r>
    </w:p>
  </w:footnote>
  <w:footnote w:type="continuationSeparator" w:id="0">
    <w:p w14:paraId="58FBE9AC" w14:textId="77777777" w:rsidR="00994D07" w:rsidRDefault="00994D07" w:rsidP="00C1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2Mje3sDQwNzaxtLRQ0lEKTi0uzszPAykwqgUAGcnUviwAAAA="/>
  </w:docVars>
  <w:rsids>
    <w:rsidRoot w:val="00A77B3E"/>
    <w:rsid w:val="000039A3"/>
    <w:rsid w:val="000276A3"/>
    <w:rsid w:val="00036062"/>
    <w:rsid w:val="00037525"/>
    <w:rsid w:val="00065511"/>
    <w:rsid w:val="00072CDC"/>
    <w:rsid w:val="00072D20"/>
    <w:rsid w:val="00091A44"/>
    <w:rsid w:val="000C02E7"/>
    <w:rsid w:val="000C1A8D"/>
    <w:rsid w:val="000C3EC0"/>
    <w:rsid w:val="000D0C52"/>
    <w:rsid w:val="000E29E3"/>
    <w:rsid w:val="000F120F"/>
    <w:rsid w:val="000F4F06"/>
    <w:rsid w:val="00113355"/>
    <w:rsid w:val="00120D34"/>
    <w:rsid w:val="00173E95"/>
    <w:rsid w:val="00182D1A"/>
    <w:rsid w:val="001B7234"/>
    <w:rsid w:val="001D251A"/>
    <w:rsid w:val="001D2D81"/>
    <w:rsid w:val="001E7AC8"/>
    <w:rsid w:val="001F5AEB"/>
    <w:rsid w:val="00200514"/>
    <w:rsid w:val="00200C8B"/>
    <w:rsid w:val="002106AD"/>
    <w:rsid w:val="00222D45"/>
    <w:rsid w:val="00224BCF"/>
    <w:rsid w:val="002462A7"/>
    <w:rsid w:val="00250352"/>
    <w:rsid w:val="00257C86"/>
    <w:rsid w:val="002719A2"/>
    <w:rsid w:val="002D50CF"/>
    <w:rsid w:val="002E3FB3"/>
    <w:rsid w:val="002F05BA"/>
    <w:rsid w:val="002F09D4"/>
    <w:rsid w:val="00306E67"/>
    <w:rsid w:val="00330D56"/>
    <w:rsid w:val="0035345B"/>
    <w:rsid w:val="00366CB7"/>
    <w:rsid w:val="0038263E"/>
    <w:rsid w:val="00397F5F"/>
    <w:rsid w:val="003D3C19"/>
    <w:rsid w:val="003F51A6"/>
    <w:rsid w:val="00413C75"/>
    <w:rsid w:val="00430014"/>
    <w:rsid w:val="00445521"/>
    <w:rsid w:val="004533AC"/>
    <w:rsid w:val="004539DC"/>
    <w:rsid w:val="00470238"/>
    <w:rsid w:val="00476BD0"/>
    <w:rsid w:val="00477038"/>
    <w:rsid w:val="00497981"/>
    <w:rsid w:val="004A2608"/>
    <w:rsid w:val="004A2AB5"/>
    <w:rsid w:val="004B2DA0"/>
    <w:rsid w:val="004D4D31"/>
    <w:rsid w:val="004D7D94"/>
    <w:rsid w:val="004E04E6"/>
    <w:rsid w:val="004E68F9"/>
    <w:rsid w:val="004E7CAA"/>
    <w:rsid w:val="00504CD0"/>
    <w:rsid w:val="00513585"/>
    <w:rsid w:val="00522248"/>
    <w:rsid w:val="005403F2"/>
    <w:rsid w:val="00566782"/>
    <w:rsid w:val="00580957"/>
    <w:rsid w:val="0058161D"/>
    <w:rsid w:val="005D19AC"/>
    <w:rsid w:val="0060491E"/>
    <w:rsid w:val="00606BDC"/>
    <w:rsid w:val="0061653A"/>
    <w:rsid w:val="00634374"/>
    <w:rsid w:val="00653F18"/>
    <w:rsid w:val="00661BA8"/>
    <w:rsid w:val="00680916"/>
    <w:rsid w:val="00694F9D"/>
    <w:rsid w:val="006A47BE"/>
    <w:rsid w:val="006E2F9D"/>
    <w:rsid w:val="006E4569"/>
    <w:rsid w:val="00716AD8"/>
    <w:rsid w:val="00727B74"/>
    <w:rsid w:val="00734D52"/>
    <w:rsid w:val="00735972"/>
    <w:rsid w:val="00791907"/>
    <w:rsid w:val="007954E6"/>
    <w:rsid w:val="007A5B05"/>
    <w:rsid w:val="007A74D9"/>
    <w:rsid w:val="007C37F0"/>
    <w:rsid w:val="007C7F28"/>
    <w:rsid w:val="007E03AE"/>
    <w:rsid w:val="007E5291"/>
    <w:rsid w:val="007E5BAB"/>
    <w:rsid w:val="00801BD5"/>
    <w:rsid w:val="008039BC"/>
    <w:rsid w:val="00816468"/>
    <w:rsid w:val="008246BA"/>
    <w:rsid w:val="00824C5D"/>
    <w:rsid w:val="00830384"/>
    <w:rsid w:val="00831F47"/>
    <w:rsid w:val="00833124"/>
    <w:rsid w:val="00867D70"/>
    <w:rsid w:val="00886DED"/>
    <w:rsid w:val="008A20B3"/>
    <w:rsid w:val="008C3159"/>
    <w:rsid w:val="008C392F"/>
    <w:rsid w:val="008C7831"/>
    <w:rsid w:val="008D79D2"/>
    <w:rsid w:val="008F36FF"/>
    <w:rsid w:val="009003D9"/>
    <w:rsid w:val="00921650"/>
    <w:rsid w:val="00922F90"/>
    <w:rsid w:val="009817ED"/>
    <w:rsid w:val="00994D07"/>
    <w:rsid w:val="009A14D9"/>
    <w:rsid w:val="009A2C58"/>
    <w:rsid w:val="009A526C"/>
    <w:rsid w:val="009B25D7"/>
    <w:rsid w:val="009B69DD"/>
    <w:rsid w:val="009C45DD"/>
    <w:rsid w:val="009C6FE9"/>
    <w:rsid w:val="009F6809"/>
    <w:rsid w:val="00A02232"/>
    <w:rsid w:val="00A03200"/>
    <w:rsid w:val="00A15294"/>
    <w:rsid w:val="00A2692B"/>
    <w:rsid w:val="00A34E93"/>
    <w:rsid w:val="00A367E2"/>
    <w:rsid w:val="00A431D7"/>
    <w:rsid w:val="00A7433B"/>
    <w:rsid w:val="00A77B3E"/>
    <w:rsid w:val="00AB3491"/>
    <w:rsid w:val="00AD0608"/>
    <w:rsid w:val="00AD241A"/>
    <w:rsid w:val="00AE6030"/>
    <w:rsid w:val="00B046C6"/>
    <w:rsid w:val="00B20673"/>
    <w:rsid w:val="00B45B6E"/>
    <w:rsid w:val="00B76947"/>
    <w:rsid w:val="00BA03D4"/>
    <w:rsid w:val="00BC74DD"/>
    <w:rsid w:val="00BD5F33"/>
    <w:rsid w:val="00BE5F62"/>
    <w:rsid w:val="00BE6256"/>
    <w:rsid w:val="00C00E6E"/>
    <w:rsid w:val="00C052C8"/>
    <w:rsid w:val="00C102FB"/>
    <w:rsid w:val="00C15297"/>
    <w:rsid w:val="00C21F36"/>
    <w:rsid w:val="00C241E9"/>
    <w:rsid w:val="00C33D2F"/>
    <w:rsid w:val="00C34994"/>
    <w:rsid w:val="00C506E1"/>
    <w:rsid w:val="00C84D94"/>
    <w:rsid w:val="00C945C4"/>
    <w:rsid w:val="00CA2A55"/>
    <w:rsid w:val="00CC0114"/>
    <w:rsid w:val="00CD4E27"/>
    <w:rsid w:val="00CE0BC5"/>
    <w:rsid w:val="00CF0D5B"/>
    <w:rsid w:val="00CF0EDE"/>
    <w:rsid w:val="00D043FF"/>
    <w:rsid w:val="00D106D7"/>
    <w:rsid w:val="00D11D06"/>
    <w:rsid w:val="00D12596"/>
    <w:rsid w:val="00D14785"/>
    <w:rsid w:val="00D165A2"/>
    <w:rsid w:val="00D45AE4"/>
    <w:rsid w:val="00D47D7C"/>
    <w:rsid w:val="00D67ECE"/>
    <w:rsid w:val="00D9169C"/>
    <w:rsid w:val="00DA41C9"/>
    <w:rsid w:val="00DC19B0"/>
    <w:rsid w:val="00DC615D"/>
    <w:rsid w:val="00DD2B5A"/>
    <w:rsid w:val="00DD376C"/>
    <w:rsid w:val="00DE2C57"/>
    <w:rsid w:val="00DF4FDB"/>
    <w:rsid w:val="00E12D28"/>
    <w:rsid w:val="00E17555"/>
    <w:rsid w:val="00E2490A"/>
    <w:rsid w:val="00E37C1B"/>
    <w:rsid w:val="00E44544"/>
    <w:rsid w:val="00E5562C"/>
    <w:rsid w:val="00E56C96"/>
    <w:rsid w:val="00E87B80"/>
    <w:rsid w:val="00E92B83"/>
    <w:rsid w:val="00E9607C"/>
    <w:rsid w:val="00EA0B60"/>
    <w:rsid w:val="00EA10DE"/>
    <w:rsid w:val="00EA5BB1"/>
    <w:rsid w:val="00EB1FFE"/>
    <w:rsid w:val="00EB62CD"/>
    <w:rsid w:val="00EC2098"/>
    <w:rsid w:val="00EC7BB3"/>
    <w:rsid w:val="00EE152F"/>
    <w:rsid w:val="00EE4308"/>
    <w:rsid w:val="00EF1B90"/>
    <w:rsid w:val="00F13358"/>
    <w:rsid w:val="00F36CEE"/>
    <w:rsid w:val="00F64BD3"/>
    <w:rsid w:val="00F745D4"/>
    <w:rsid w:val="00F86BDA"/>
    <w:rsid w:val="00F93134"/>
    <w:rsid w:val="00FC0EED"/>
    <w:rsid w:val="00FC555B"/>
    <w:rsid w:val="00FD6E68"/>
    <w:rsid w:val="00FE0CA3"/>
    <w:rsid w:val="00FE3F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PageNumber0">
    <w:name w:val="MsoPageNumber"/>
    <w:basedOn w:val="DefaultParagraphFont"/>
  </w:style>
  <w:style w:type="paragraph" w:styleId="Header">
    <w:name w:val="header"/>
    <w:basedOn w:val="Normal"/>
    <w:link w:val="HeaderChar"/>
    <w:unhideWhenUsed/>
    <w:rsid w:val="00C102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02FB"/>
    <w:rPr>
      <w:sz w:val="18"/>
      <w:szCs w:val="18"/>
    </w:rPr>
  </w:style>
  <w:style w:type="paragraph" w:styleId="Footer">
    <w:name w:val="footer"/>
    <w:basedOn w:val="Normal"/>
    <w:link w:val="FooterChar"/>
    <w:uiPriority w:val="99"/>
    <w:unhideWhenUsed/>
    <w:rsid w:val="00C102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02FB"/>
    <w:rPr>
      <w:sz w:val="18"/>
      <w:szCs w:val="18"/>
    </w:rPr>
  </w:style>
  <w:style w:type="character" w:styleId="CommentReference">
    <w:name w:val="annotation reference"/>
    <w:basedOn w:val="DefaultParagraphFont"/>
    <w:semiHidden/>
    <w:unhideWhenUsed/>
    <w:rsid w:val="00653F18"/>
    <w:rPr>
      <w:sz w:val="21"/>
      <w:szCs w:val="21"/>
    </w:rPr>
  </w:style>
  <w:style w:type="paragraph" w:styleId="CommentText">
    <w:name w:val="annotation text"/>
    <w:basedOn w:val="Normal"/>
    <w:link w:val="CommentTextChar"/>
    <w:unhideWhenUsed/>
    <w:rsid w:val="00653F18"/>
  </w:style>
  <w:style w:type="character" w:customStyle="1" w:styleId="CommentTextChar">
    <w:name w:val="Comment Text Char"/>
    <w:basedOn w:val="DefaultParagraphFont"/>
    <w:link w:val="CommentText"/>
    <w:rsid w:val="00653F18"/>
    <w:rPr>
      <w:sz w:val="24"/>
      <w:szCs w:val="24"/>
    </w:rPr>
  </w:style>
  <w:style w:type="paragraph" w:styleId="CommentSubject">
    <w:name w:val="annotation subject"/>
    <w:basedOn w:val="CommentText"/>
    <w:next w:val="CommentText"/>
    <w:link w:val="CommentSubjectChar"/>
    <w:semiHidden/>
    <w:unhideWhenUsed/>
    <w:rsid w:val="00653F18"/>
    <w:rPr>
      <w:b/>
      <w:bCs/>
    </w:rPr>
  </w:style>
  <w:style w:type="character" w:customStyle="1" w:styleId="CommentSubjectChar">
    <w:name w:val="Comment Subject Char"/>
    <w:basedOn w:val="CommentTextChar"/>
    <w:link w:val="CommentSubject"/>
    <w:semiHidden/>
    <w:rsid w:val="00653F18"/>
    <w:rPr>
      <w:b/>
      <w:bCs/>
      <w:sz w:val="24"/>
      <w:szCs w:val="24"/>
    </w:rPr>
  </w:style>
  <w:style w:type="paragraph" w:styleId="BalloonText">
    <w:name w:val="Balloon Text"/>
    <w:basedOn w:val="Normal"/>
    <w:link w:val="BalloonTextChar"/>
    <w:semiHidden/>
    <w:unhideWhenUsed/>
    <w:rsid w:val="00653F18"/>
    <w:rPr>
      <w:sz w:val="18"/>
      <w:szCs w:val="18"/>
    </w:rPr>
  </w:style>
  <w:style w:type="character" w:customStyle="1" w:styleId="BalloonTextChar">
    <w:name w:val="Balloon Text Char"/>
    <w:basedOn w:val="DefaultParagraphFont"/>
    <w:link w:val="BalloonText"/>
    <w:semiHidden/>
    <w:rsid w:val="00653F18"/>
    <w:rPr>
      <w:sz w:val="18"/>
      <w:szCs w:val="18"/>
    </w:rPr>
  </w:style>
  <w:style w:type="paragraph" w:styleId="Revision">
    <w:name w:val="Revision"/>
    <w:hidden/>
    <w:uiPriority w:val="99"/>
    <w:semiHidden/>
    <w:rsid w:val="00FC5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9986">
      <w:bodyDiv w:val="1"/>
      <w:marLeft w:val="0"/>
      <w:marRight w:val="0"/>
      <w:marTop w:val="0"/>
      <w:marBottom w:val="0"/>
      <w:divBdr>
        <w:top w:val="none" w:sz="0" w:space="0" w:color="auto"/>
        <w:left w:val="none" w:sz="0" w:space="0" w:color="auto"/>
        <w:bottom w:val="none" w:sz="0" w:space="0" w:color="auto"/>
        <w:right w:val="none" w:sz="0" w:space="0" w:color="auto"/>
      </w:divBdr>
    </w:div>
    <w:div w:id="193941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2023-04-13T22:20:00Z</dcterms:created>
  <dcterms:modified xsi:type="dcterms:W3CDTF">2023-04-13T22:20:00Z</dcterms:modified>
</cp:coreProperties>
</file>