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7FED" w14:textId="1772CB6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</w:rPr>
        <w:t>Name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b/>
        </w:rPr>
        <w:t>of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b/>
        </w:rPr>
        <w:t>Journal: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i/>
        </w:rPr>
        <w:t>World</w:t>
      </w:r>
      <w:r w:rsidR="003746FE" w:rsidRPr="00252038">
        <w:rPr>
          <w:rFonts w:ascii="Book Antiqua" w:eastAsia="Book Antiqua" w:hAnsi="Book Antiqua" w:cs="Book Antiqua"/>
          <w:i/>
        </w:rPr>
        <w:t xml:space="preserve"> </w:t>
      </w:r>
      <w:r w:rsidRPr="00252038">
        <w:rPr>
          <w:rFonts w:ascii="Book Antiqua" w:eastAsia="Book Antiqua" w:hAnsi="Book Antiqua" w:cs="Book Antiqua"/>
          <w:i/>
        </w:rPr>
        <w:t>Journal</w:t>
      </w:r>
      <w:r w:rsidR="003746FE" w:rsidRPr="00252038">
        <w:rPr>
          <w:rFonts w:ascii="Book Antiqua" w:eastAsia="Book Antiqua" w:hAnsi="Book Antiqua" w:cs="Book Antiqua"/>
          <w:i/>
        </w:rPr>
        <w:t xml:space="preserve"> </w:t>
      </w:r>
      <w:r w:rsidRPr="00252038">
        <w:rPr>
          <w:rFonts w:ascii="Book Antiqua" w:eastAsia="Book Antiqua" w:hAnsi="Book Antiqua" w:cs="Book Antiqua"/>
          <w:i/>
        </w:rPr>
        <w:t>of</w:t>
      </w:r>
      <w:r w:rsidR="003746FE" w:rsidRPr="00252038">
        <w:rPr>
          <w:rFonts w:ascii="Book Antiqua" w:eastAsia="Book Antiqua" w:hAnsi="Book Antiqua" w:cs="Book Antiqua"/>
          <w:i/>
        </w:rPr>
        <w:t xml:space="preserve"> </w:t>
      </w:r>
      <w:r w:rsidRPr="00252038">
        <w:rPr>
          <w:rFonts w:ascii="Book Antiqua" w:eastAsia="Book Antiqua" w:hAnsi="Book Antiqua" w:cs="Book Antiqua"/>
          <w:i/>
        </w:rPr>
        <w:t>Gastroenterology</w:t>
      </w:r>
    </w:p>
    <w:p w14:paraId="11A18908" w14:textId="18AC5D8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</w:rPr>
        <w:t>Manuscript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b/>
        </w:rPr>
        <w:t>NO: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</w:rPr>
        <w:t>81916</w:t>
      </w:r>
    </w:p>
    <w:p w14:paraId="7D12BAE4" w14:textId="33A72B0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</w:rPr>
        <w:t>Manuscript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  <w:b/>
        </w:rPr>
        <w:t>Type:</w:t>
      </w:r>
      <w:r w:rsidR="003746FE" w:rsidRPr="00252038">
        <w:rPr>
          <w:rFonts w:ascii="Book Antiqua" w:eastAsia="Book Antiqua" w:hAnsi="Book Antiqua" w:cs="Book Antiqua"/>
          <w:b/>
        </w:rPr>
        <w:t xml:space="preserve"> </w:t>
      </w:r>
      <w:r w:rsidRPr="00252038">
        <w:rPr>
          <w:rFonts w:ascii="Book Antiqua" w:eastAsia="Book Antiqua" w:hAnsi="Book Antiqua" w:cs="Book Antiqua"/>
        </w:rPr>
        <w:t>ORIGINAL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ARTICLE</w:t>
      </w:r>
    </w:p>
    <w:p w14:paraId="5298A581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5121643" w14:textId="43B0564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</w:rPr>
        <w:t>Clinical</w:t>
      </w:r>
      <w:r w:rsidR="003746FE" w:rsidRPr="00252038">
        <w:rPr>
          <w:rFonts w:ascii="Book Antiqua" w:eastAsia="Book Antiqua" w:hAnsi="Book Antiqua" w:cs="Book Antiqua"/>
          <w:b/>
          <w:i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</w:rPr>
        <w:t>Trials</w:t>
      </w:r>
      <w:r w:rsidR="003746FE" w:rsidRPr="00252038">
        <w:rPr>
          <w:rFonts w:ascii="Book Antiqua" w:eastAsia="Book Antiqua" w:hAnsi="Book Antiqua" w:cs="Book Antiqua"/>
          <w:b/>
          <w:i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</w:rPr>
        <w:t>Study</w:t>
      </w:r>
    </w:p>
    <w:p w14:paraId="61ECDE5B" w14:textId="288F9EE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screening: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noninferiority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571B36F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A190091" w14:textId="09E5781D" w:rsidR="00A77B3E" w:rsidRPr="00252038" w:rsidRDefault="003746FE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 xml:space="preserve">Wang ZX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252038">
        <w:rPr>
          <w:rFonts w:ascii="Book Antiqua" w:eastAsia="Book Antiqua" w:hAnsi="Book Antiqua" w:cs="Book Antiqua"/>
          <w:color w:val="000000"/>
        </w:rPr>
        <w:t>. LCI and LCE screening esophageal cancer</w:t>
      </w:r>
    </w:p>
    <w:p w14:paraId="3C379C28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C6E906F" w14:textId="2975F2C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Zi-Xin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Long-Song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Jin-Ping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Zhang,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Nan-Jun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Sheng-Zhen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Liu,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Sha-Sha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Shuai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Zhang,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Ya-Wei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Fei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Qun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Xu,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Bo-Zong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Yao,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Liu,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En-Qiang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Linghu,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Ning-Li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Chai</w:t>
      </w:r>
    </w:p>
    <w:p w14:paraId="78A7CD5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87E36DC" w14:textId="2601CDE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t>Zi-Xin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Long-Song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Su,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Jin-Ping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Bo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Nan-Jun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Sheng-Zhen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Sha-Sha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Shuai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Ya-Wei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Fei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Qun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Bo-Zong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Yi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Yao,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Fang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En-Qiang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Linghu,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Ning-Li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Chai,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Department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Gastroenterology,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Beijing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100853,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</w:t>
      </w:r>
    </w:p>
    <w:p w14:paraId="7D0B7A3F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C5DCB68" w14:textId="6DD2E6E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ZX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equally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work;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Linghu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EQ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conception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design;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ZX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manuscript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drafting;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JP,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NJ,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Zhang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SZ,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Zhang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YW,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Q,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Xu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Shao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BZ,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Yao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data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acquisition;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Linghu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EQ,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contributed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revision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article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important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intellectual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content;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authors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issued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approval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version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submitted.</w:t>
      </w:r>
    </w:p>
    <w:p w14:paraId="75512CD2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6315E8A" w14:textId="67DE59B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National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Natural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Science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81270564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82100697.</w:t>
      </w:r>
    </w:p>
    <w:p w14:paraId="6F049D7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1F1A9795" w14:textId="650F31A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Ning-Li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Chai,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Department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Gastroenterology,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Fuxing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Road,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Haidian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District,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Beijing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100853,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csxlily@163.com</w:t>
      </w:r>
    </w:p>
    <w:p w14:paraId="5A35FA95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3DAFC98" w14:textId="08AA73A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Received: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</w:rPr>
        <w:t>November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30,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</w:t>
      </w:r>
    </w:p>
    <w:p w14:paraId="63194495" w14:textId="62D5458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Revised: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</w:rPr>
        <w:t>December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29,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</w:t>
      </w:r>
    </w:p>
    <w:p w14:paraId="5B690183" w14:textId="137C821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Accepted: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="00534A12" w:rsidRPr="00FF08E6">
        <w:rPr>
          <w:rFonts w:ascii="Book Antiqua" w:eastAsia="Book Antiqua" w:hAnsi="Book Antiqua" w:cs="Book Antiqua"/>
        </w:rPr>
        <w:t>March 9, 2023</w:t>
      </w:r>
    </w:p>
    <w:p w14:paraId="666BE251" w14:textId="7849455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Published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online:</w:t>
      </w:r>
      <w:r w:rsidR="007644F2">
        <w:rPr>
          <w:rFonts w:ascii="Book Antiqua" w:eastAsia="Book Antiqua" w:hAnsi="Book Antiqua" w:cs="Book Antiqua"/>
          <w:b/>
          <w:bCs/>
        </w:rPr>
        <w:t xml:space="preserve"> </w:t>
      </w:r>
      <w:r w:rsidR="007644F2">
        <w:rPr>
          <w:rFonts w:ascii="Book Antiqua" w:hAnsi="Book Antiqua"/>
          <w:color w:val="000000"/>
          <w:shd w:val="clear" w:color="auto" w:fill="FFFFFF"/>
        </w:rPr>
        <w:t>March 28</w:t>
      </w:r>
      <w:r w:rsidR="007644F2">
        <w:rPr>
          <w:rFonts w:ascii="Book Antiqua" w:eastAsia="Microsoft YaHei UI" w:hAnsi="Book Antiqua" w:hint="eastAsia"/>
          <w:color w:val="000000"/>
        </w:rPr>
        <w:t>,</w:t>
      </w:r>
      <w:r w:rsidR="007644F2">
        <w:rPr>
          <w:rFonts w:ascii="Book Antiqua" w:eastAsia="Microsoft YaHei UI" w:hAnsi="Book Antiqua"/>
          <w:color w:val="000000"/>
        </w:rPr>
        <w:t xml:space="preserve"> 2023</w:t>
      </w:r>
    </w:p>
    <w:p w14:paraId="53D6349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  <w:sectPr w:rsidR="00A77B3E" w:rsidRPr="0025203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B4ACF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561C083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BACKGROUND</w:t>
      </w:r>
    </w:p>
    <w:p w14:paraId="22234F36" w14:textId="295D521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high-risk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Nevertheless,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suitable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effects.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distinguish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color.</w:t>
      </w:r>
    </w:p>
    <w:p w14:paraId="3FA29A7E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C0D9F60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AIM</w:t>
      </w:r>
    </w:p>
    <w:p w14:paraId="11A80A48" w14:textId="46749EE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performance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</w:p>
    <w:p w14:paraId="769F2EE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3D7C124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METHODS</w:t>
      </w:r>
    </w:p>
    <w:p w14:paraId="17195EEB" w14:textId="377EFB1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enrolled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underwent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D44541" w:rsidRPr="00252038">
        <w:rPr>
          <w:rFonts w:ascii="Book Antiqua" w:eastAsia="Book Antiqua" w:hAnsi="Book Antiqua" w:cs="Book Antiqua"/>
          <w:color w:val="000000"/>
        </w:rPr>
        <w:t xml:space="preserve"> (WLI)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successively.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Clinicopathological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features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assessed.</w:t>
      </w:r>
    </w:p>
    <w:p w14:paraId="435B12DF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17EFC304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RESULTS</w:t>
      </w:r>
    </w:p>
    <w:p w14:paraId="6419274C" w14:textId="4539BFE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analyzed.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them,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36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39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(41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(83.7%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90.7%,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0.520),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(92.4%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87.0%,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=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0.007).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LCI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procedure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time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examination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significantly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shorter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that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of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[42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(34,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50)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160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(130,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189)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0.001].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44541" w:rsidRPr="00252038">
        <w:rPr>
          <w:rFonts w:ascii="Book Antiqua" w:eastAsia="Book Antiqua" w:hAnsi="Book Antiqua" w:cs="Book Antiqua"/>
          <w:color w:val="000000"/>
        </w:rPr>
        <w:t>WLI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cancer.</w:t>
      </w:r>
    </w:p>
    <w:p w14:paraId="34058D5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40B15D2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4850F85F" w14:textId="7809F1A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offers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promising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populations.</w:t>
      </w:r>
    </w:p>
    <w:p w14:paraId="6555419B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12C2C322" w14:textId="0BDF28E6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Key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Words: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</w:p>
    <w:p w14:paraId="49AA7CAD" w14:textId="77777777" w:rsidR="009D44DE" w:rsidRDefault="009D44DE" w:rsidP="009D44DE">
      <w:bookmarkStart w:id="0" w:name="_Hlk130397339"/>
    </w:p>
    <w:p w14:paraId="2C7DC5A7" w14:textId="77777777" w:rsidR="009D44DE" w:rsidRDefault="009D44DE" w:rsidP="009D44DE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54C4B17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D6EA938" w14:textId="7DA48D4D" w:rsidR="00540DF4" w:rsidRDefault="00BB1C7F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E0AC6">
        <w:rPr>
          <w:rFonts w:ascii="Book Antiqua" w:eastAsia="Book Antiqua" w:hAnsi="Book Antiqua" w:cs="Book Antiqua"/>
          <w:b/>
          <w:bCs/>
        </w:rPr>
        <w:t>Citation</w:t>
      </w:r>
      <w:r>
        <w:rPr>
          <w:rFonts w:ascii="Book Antiqua" w:eastAsia="Book Antiqua" w:hAnsi="Book Antiqua" w:cs="Book Antiqua"/>
        </w:rPr>
        <w:t xml:space="preserve">: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ZX,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JP,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Zhang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NJ,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SZ,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Zhang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YW,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Xu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BZ,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Yao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Linghu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EQ,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Chai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NL.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vs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Lugol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cancer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precancerous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lesion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screening: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noninferiority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World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J</w:t>
      </w:r>
      <w:r w:rsidR="003746FE" w:rsidRPr="00252038">
        <w:rPr>
          <w:rFonts w:ascii="Book Antiqua" w:eastAsia="Book Antiqua" w:hAnsi="Book Antiqua" w:cs="Book Antiqua"/>
          <w:i/>
          <w:iCs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</w:rPr>
        <w:t>Gastroenterol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2023;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="000F7E10" w:rsidRPr="000F7E10">
        <w:rPr>
          <w:rFonts w:ascii="Book Antiqua" w:eastAsia="Book Antiqua" w:hAnsi="Book Antiqua" w:cs="Book Antiqua"/>
        </w:rPr>
        <w:t xml:space="preserve">29(12): </w:t>
      </w:r>
      <w:r w:rsidR="00273C28" w:rsidRPr="00273C28">
        <w:rPr>
          <w:rFonts w:ascii="Book Antiqua" w:eastAsia="Book Antiqua" w:hAnsi="Book Antiqua" w:cs="Book Antiqua"/>
        </w:rPr>
        <w:t>1899-1910</w:t>
      </w:r>
    </w:p>
    <w:p w14:paraId="332B75CE" w14:textId="306AF952" w:rsidR="00540DF4" w:rsidRDefault="000F7E10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40DF4">
        <w:rPr>
          <w:rFonts w:ascii="Book Antiqua" w:eastAsia="Book Antiqua" w:hAnsi="Book Antiqua" w:cs="Book Antiqua"/>
          <w:b/>
          <w:bCs/>
        </w:rPr>
        <w:t>URL</w:t>
      </w:r>
      <w:r w:rsidRPr="000F7E10">
        <w:rPr>
          <w:rFonts w:ascii="Book Antiqua" w:eastAsia="Book Antiqua" w:hAnsi="Book Antiqua" w:cs="Book Antiqua"/>
        </w:rPr>
        <w:t>: https://www.wjgnet.com/1007-9327/full/v29/i12/</w:t>
      </w:r>
      <w:r w:rsidR="00273C28" w:rsidRPr="00273C28">
        <w:rPr>
          <w:rFonts w:ascii="Book Antiqua" w:eastAsia="Book Antiqua" w:hAnsi="Book Antiqua" w:cs="Book Antiqua"/>
        </w:rPr>
        <w:t>1899</w:t>
      </w:r>
      <w:r w:rsidRPr="000F7E10">
        <w:rPr>
          <w:rFonts w:ascii="Book Antiqua" w:eastAsia="Book Antiqua" w:hAnsi="Book Antiqua" w:cs="Book Antiqua"/>
        </w:rPr>
        <w:t>.htm</w:t>
      </w:r>
    </w:p>
    <w:p w14:paraId="18D7F779" w14:textId="6EE15FC9" w:rsidR="00A77B3E" w:rsidRPr="00252038" w:rsidRDefault="000F7E10" w:rsidP="00273C28">
      <w:pPr>
        <w:spacing w:line="360" w:lineRule="auto"/>
        <w:jc w:val="both"/>
        <w:rPr>
          <w:rFonts w:ascii="Book Antiqua" w:hAnsi="Book Antiqua"/>
        </w:rPr>
      </w:pPr>
      <w:r w:rsidRPr="00540DF4">
        <w:rPr>
          <w:rFonts w:ascii="Book Antiqua" w:eastAsia="Book Antiqua" w:hAnsi="Book Antiqua" w:cs="Book Antiqua"/>
          <w:b/>
          <w:bCs/>
        </w:rPr>
        <w:t>DOI</w:t>
      </w:r>
      <w:r w:rsidRPr="000F7E10">
        <w:rPr>
          <w:rFonts w:ascii="Book Antiqua" w:eastAsia="Book Antiqua" w:hAnsi="Book Antiqua" w:cs="Book Antiqua"/>
        </w:rPr>
        <w:t>: https://dx.doi.org/10.3748/wjg.v29.i12.</w:t>
      </w:r>
      <w:r w:rsidR="00273C28" w:rsidRPr="00273C28">
        <w:rPr>
          <w:rFonts w:ascii="Book Antiqua" w:eastAsia="Book Antiqua" w:hAnsi="Book Antiqua" w:cs="Book Antiqua"/>
        </w:rPr>
        <w:t>1899</w:t>
      </w:r>
    </w:p>
    <w:p w14:paraId="303D9202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5172148" w14:textId="3C308BB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Core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Tip: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high-risk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Nevertheless,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induce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spasms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associated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aspiration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allergy.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suitable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distinguish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Based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promising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strategy.</w:t>
      </w:r>
    </w:p>
    <w:p w14:paraId="236496BB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4F75A06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0458D12" w14:textId="0C18910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lastRenderedPageBreak/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seventh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common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sixth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leading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cancer-related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deaths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worldwide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progressed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advanced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quality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life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overall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5-year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survival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20%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[2,3]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carcinoma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common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worldwide,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85%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cases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[4,5]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Curative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dissection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possible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high-grade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tumors,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offering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trauma,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faster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recovery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fewer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complications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[6]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early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treatment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success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improvement.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Early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identification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intervention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delay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progression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disease,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improve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improve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quality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life.</w:t>
      </w:r>
    </w:p>
    <w:p w14:paraId="0741ACCE" w14:textId="2C41F3AF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(WLI)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early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easily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missed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small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[7]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Historically,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rate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[8-12]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low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conditions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inflammation,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demonstrated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[13-15]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Furthermore,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occasionally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induces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spasms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associated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aspiration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allergy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[16,17]</w:t>
      </w:r>
      <w:r w:rsidRPr="00252038">
        <w:rPr>
          <w:rFonts w:ascii="Book Antiqua" w:eastAsia="Book Antiqua" w:hAnsi="Book Antiqua" w:cs="Book Antiqua"/>
          <w:color w:val="000000"/>
        </w:rPr>
        <w:t>.</w:t>
      </w:r>
    </w:p>
    <w:p w14:paraId="75588545" w14:textId="3756EA18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advent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efﬁcacy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neoplasms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[13,18]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LASEREO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system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(Fujiﬁlm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Corporation,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Tokyo,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Japan),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new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technology,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recently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developed.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illuminated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short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wavelength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narrow-band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appropriate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proportion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simultaneously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realize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simultaneous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expansion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contraction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facilitates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enhancement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makes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easier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operators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[18-21]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work,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improved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ability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large-scale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randomized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comparative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[20]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superiority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over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tract.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usefulness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assessments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invasive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depth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[20-24]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Although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[25]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diagnosability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date.</w:t>
      </w:r>
      <w:r w:rsidR="00D44541" w:rsidRPr="00252038">
        <w:rPr>
          <w:rFonts w:ascii="Book Antiqua" w:hAnsi="Book Antiqua"/>
          <w:lang w:eastAsia="zh-CN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conducted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noninferiority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compare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efficacy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</w:t>
      </w:r>
      <w:r w:rsidR="00D44541" w:rsidRPr="00252038">
        <w:rPr>
          <w:rFonts w:ascii="Book Antiqua" w:eastAsia="Book Antiqua" w:hAnsi="Book Antiqua" w:cs="Book Antiqua"/>
          <w:color w:val="000000"/>
        </w:rPr>
        <w:t>-</w:t>
      </w:r>
      <w:r w:rsidRPr="00252038">
        <w:rPr>
          <w:rFonts w:ascii="Book Antiqua" w:eastAsia="Book Antiqua" w:hAnsi="Book Antiqua" w:cs="Book Antiqua"/>
          <w:color w:val="000000"/>
        </w:rPr>
        <w:t>magnifying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diagnosing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population.</w:t>
      </w:r>
    </w:p>
    <w:p w14:paraId="5FFDA738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104F2A0" w14:textId="24B52AC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746FE"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746FE"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5DCB173" w14:textId="5F11769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0E907401" w14:textId="170BF9A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single-center,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registered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(No.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ChiCTR2100045636)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conducted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after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conventional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considered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gold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ethics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committee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(Beijing,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forms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patients.</w:t>
      </w:r>
    </w:p>
    <w:p w14:paraId="56BEFB11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7B2978F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196D47BB" w14:textId="1C5F7B6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revealed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starting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years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cost-effective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[26,27]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recommended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years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beginning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consensus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[28]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criteria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employed: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&gt;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40-year-old;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Provision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written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participate.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exclusion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criteria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follows: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Contraindication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anesthesia;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allergy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hyperthyroidism</w:t>
      </w:r>
      <w:r w:rsidRPr="00252038">
        <w:rPr>
          <w:rFonts w:ascii="Book Antiqua" w:eastAsia="Book Antiqua" w:hAnsi="Book Antiqua" w:cs="Book Antiqua"/>
          <w:color w:val="000000"/>
        </w:rPr>
        <w:t>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chemotherapy,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radiotherapy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chemoradiotherapy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influence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surface,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important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lesions).</w:t>
      </w:r>
    </w:p>
    <w:p w14:paraId="1065914D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383EB93" w14:textId="2493B6C3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strategies</w:t>
      </w:r>
    </w:p>
    <w:p w14:paraId="16F12D83" w14:textId="3F129EE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EG-590WR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scope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(Fujiﬁlm)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gastroscopy.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speciﬁc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described.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Second,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recorded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(another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researcher)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but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immediately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avoid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bleeding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influence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Third,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</w:t>
      </w:r>
      <w:r w:rsidR="00D44541" w:rsidRPr="00252038">
        <w:rPr>
          <w:rFonts w:ascii="Book Antiqua" w:eastAsia="Book Antiqua" w:hAnsi="Book Antiqua" w:cs="Book Antiqua"/>
          <w:color w:val="000000"/>
        </w:rPr>
        <w:t>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dye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spread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over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entire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spray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catheter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except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sphincter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aspiration),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Finally,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vitamin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solution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Lugol-stained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[29]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based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recorded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location.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biopsied,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indicated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flow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chart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described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1.</w:t>
      </w:r>
    </w:p>
    <w:p w14:paraId="3D6BBC87" w14:textId="25F00823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operators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experienced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completed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least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endoscopies.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or/and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location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macroscopic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(Paris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classification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[30]</w:t>
      </w:r>
      <w:r w:rsidRPr="00252038">
        <w:rPr>
          <w:rFonts w:ascii="Book Antiqua" w:eastAsia="Book Antiqua" w:hAnsi="Book Antiqua" w:cs="Book Antiqua"/>
          <w:color w:val="000000"/>
        </w:rPr>
        <w:t>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recorded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described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after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examination.</w:t>
      </w:r>
    </w:p>
    <w:p w14:paraId="692C5AE3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5A79A1E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</w:p>
    <w:p w14:paraId="69D06110" w14:textId="502869F6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criteria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proposed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Vienna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Classification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follows: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Low-grade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(LGIN);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h</w:t>
      </w:r>
      <w:r w:rsidRPr="00252038">
        <w:rPr>
          <w:rFonts w:ascii="Book Antiqua" w:eastAsia="Book Antiqua" w:hAnsi="Book Antiqua" w:cs="Book Antiqua"/>
          <w:color w:val="000000"/>
        </w:rPr>
        <w:t>igh-grade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(HGIN),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negative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chronic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esophagitis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[31]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outcome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and/or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according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suspicious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follows: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reddish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change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rough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surface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2A);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well-demarcated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red-orange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2B)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[21,22]</w:t>
      </w:r>
      <w:r w:rsidRPr="00252038">
        <w:rPr>
          <w:rFonts w:ascii="Book Antiqua" w:eastAsia="Book Antiqua" w:hAnsi="Book Antiqua" w:cs="Book Antiqua"/>
          <w:color w:val="000000"/>
        </w:rPr>
        <w:t>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well-demarcated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unstained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≥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diameter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pink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after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Lugol-voiding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likely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increasing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2C)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[32,33]</w:t>
      </w:r>
      <w:r w:rsidRPr="00252038">
        <w:rPr>
          <w:rFonts w:ascii="Book Antiqua" w:eastAsia="Book Antiqua" w:hAnsi="Book Antiqua" w:cs="Book Antiqua"/>
          <w:color w:val="000000"/>
        </w:rPr>
        <w:t>.</w:t>
      </w:r>
    </w:p>
    <w:p w14:paraId="7A289FCA" w14:textId="1D6FEE60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biopsy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determine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their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nature.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Conversely,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non-neoplastic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false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modality.</w:t>
      </w:r>
    </w:p>
    <w:p w14:paraId="038707B1" w14:textId="4532605F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Major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outcomes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secondary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outcome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possible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determine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length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operation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clock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equipment.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epiglottis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dentate</w:t>
      </w:r>
      <w:r w:rsidR="003746FE" w:rsidRPr="00252038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Style w:val="15"/>
          <w:rFonts w:ascii="Book Antiqua" w:eastAsia="Book Antiqua" w:hAnsi="Book Antiqua" w:cs="Book Antiqua"/>
          <w:color w:val="000000"/>
        </w:rPr>
        <w:t>line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ﬁles.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spraying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dye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complete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discoloration.</w:t>
      </w:r>
    </w:p>
    <w:p w14:paraId="6E3EB5C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6D0F1D4" w14:textId="1C38B3A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</w:p>
    <w:p w14:paraId="48DA3E23" w14:textId="407CE056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required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noninferiority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15.0.5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software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(NCSS,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LLC,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Kaysville,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States).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regarded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assumed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90.0%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[13,14]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80.0%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adequate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required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535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Z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pooled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power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β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0.10).</w:t>
      </w:r>
    </w:p>
    <w:p w14:paraId="778EA2BF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6067804" w14:textId="35CA23F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1370A65" w14:textId="17F182A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Adobe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Photoshop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CC2017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(Adobe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Systems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Inc.,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Jose,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States).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selected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separately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Second,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Commission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International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l’Eclairage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-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L*a*b*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interest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[34]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three-dimensional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parameters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(black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range: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(green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range: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128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127)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(blue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yellow;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range: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128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127)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define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Photoshop,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scores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(Lab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unit).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Third,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Pr="00252038">
        <w:rPr>
          <w:rFonts w:ascii="Book Antiqua" w:eastAsia="Book Antiqua" w:hAnsi="Book Antiqua" w:cs="Book Antiqua"/>
          <w:color w:val="000000"/>
        </w:rPr>
        <w:t>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represented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connecting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points:</w:t>
      </w:r>
      <w:r w:rsidR="00DE4284" w:rsidRPr="00252038">
        <w:rPr>
          <w:rFonts w:ascii="Book Antiqua" w:eastAsia="Book Antiqua" w:hAnsi="Book Antiqua" w:cs="Book Antiqua"/>
          <w:color w:val="000000"/>
        </w:rPr>
        <w:t xml:space="preserve"> </w:t>
      </w:r>
      <m:oMath>
        <m:r>
          <w:rPr>
            <w:rFonts w:ascii="Cambria Math" w:eastAsia="Book Antiqua" w:hAnsi="Cambria Math" w:cs="Book Antiqua"/>
            <w:color w:val="000000"/>
          </w:rPr>
          <m:t xml:space="preserve">ΔE </m:t>
        </m:r>
        <m:r>
          <m:rPr>
            <m:sty m:val="p"/>
          </m:rPr>
          <w:rPr>
            <w:rFonts w:ascii="Cambria Math" w:eastAsia="Book Antiqua" w:hAnsi="Cambria Math" w:cs="Book Antiqua"/>
            <w:color w:val="000000"/>
          </w:rPr>
          <m:t xml:space="preserve">= </m:t>
        </m:r>
        <m:rad>
          <m:radPr>
            <m:degHide m:val="1"/>
            <m:ctrlPr>
              <w:rPr>
                <w:rFonts w:ascii="Cambria Math" w:eastAsia="Book Antiqua" w:hAnsi="Cambria Math" w:cs="Book Antiqua"/>
                <w:i/>
                <w:color w:val="00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Book Antiqua" w:hAnsi="Cambria Math" w:cs="Book Antiqua"/>
                <w:color w:val="000000"/>
              </w:rPr>
              <m:t>{(</m:t>
            </m:r>
            <m:r>
              <w:rPr>
                <w:rFonts w:ascii="Cambria Math" w:eastAsia="Book Antiqua" w:hAnsi="Cambria Math" w:cs="Book Antiqua"/>
                <w:color w:val="000000"/>
              </w:rPr>
              <m:t>ΔL</m:t>
            </m:r>
            <m:r>
              <m:rPr>
                <m:sty m:val="p"/>
              </m:rPr>
              <w:rPr>
                <w:rFonts w:ascii="Cambria Math" w:eastAsia="Book Antiqua" w:hAnsi="Cambria Math" w:cs="Book Antiqua"/>
                <w:color w:val="000000"/>
              </w:rPr>
              <m:t>*)2 + (</m:t>
            </m:r>
            <m:r>
              <w:rPr>
                <w:rFonts w:ascii="Cambria Math" w:eastAsia="Book Antiqua" w:hAnsi="Cambria Math" w:cs="Book Antiqua"/>
                <w:color w:val="000000"/>
              </w:rPr>
              <m:t>Δa</m:t>
            </m:r>
            <m:r>
              <m:rPr>
                <m:sty m:val="p"/>
              </m:rPr>
              <w:rPr>
                <w:rFonts w:ascii="Cambria Math" w:eastAsia="Book Antiqua" w:hAnsi="Cambria Math" w:cs="Book Antiqua"/>
                <w:color w:val="000000"/>
              </w:rPr>
              <m:t>*)2 + (</m:t>
            </m:r>
            <m:r>
              <w:rPr>
                <w:rFonts w:ascii="Cambria Math" w:eastAsia="Book Antiqua" w:hAnsi="Cambria Math" w:cs="Book Antiqua"/>
                <w:color w:val="000000"/>
              </w:rPr>
              <m:t>Δb</m:t>
            </m:r>
            <m:r>
              <m:rPr>
                <m:sty m:val="p"/>
              </m:rPr>
              <w:rPr>
                <w:rFonts w:ascii="Cambria Math" w:eastAsia="Book Antiqua" w:hAnsi="Cambria Math" w:cs="Book Antiqua"/>
                <w:color w:val="000000"/>
              </w:rPr>
              <m:t>*)2}</m:t>
            </m:r>
          </m:e>
        </m:rad>
      </m:oMath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reduce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influence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depending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conditions,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chose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angle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addition,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them.</w:t>
      </w:r>
    </w:p>
    <w:p w14:paraId="27968F79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60AD312" w14:textId="28CF6CF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85049A1" w14:textId="1B4FE13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26.0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software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(IBM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Corp.,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Armonk,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States).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characteristics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yields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percentages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medians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(interquartile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range),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variables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expressed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9E50D9">
        <w:rPr>
          <w:rFonts w:ascii="Book Antiqua" w:eastAsia="Book Antiqua" w:hAnsi="Book Antiqua" w:cs="Book Antiqua"/>
          <w:color w:val="000000"/>
        </w:rPr>
        <w:t>SD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Continuous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variables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s</w:t>
      </w:r>
      <w:r w:rsidRPr="00252038">
        <w:rPr>
          <w:rFonts w:ascii="Book Antiqua" w:eastAsia="Book Antiqua" w:hAnsi="Book Antiqua" w:cs="Book Antiqua"/>
          <w:color w:val="000000"/>
        </w:rPr>
        <w:t>tudent’s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252038">
        <w:rPr>
          <w:rFonts w:ascii="Book Antiqua" w:eastAsia="Book Antiqua" w:hAnsi="Book Antiqua" w:cs="Book Antiqua"/>
          <w:color w:val="000000"/>
        </w:rPr>
        <w:t>-test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Mann</w:t>
      </w:r>
      <w:r w:rsidR="00DE4284" w:rsidRPr="00252038">
        <w:rPr>
          <w:rFonts w:ascii="Book Antiqua" w:eastAsia="Book Antiqua" w:hAnsi="Book Antiqua" w:cs="Book Antiqua"/>
          <w:color w:val="000000"/>
        </w:rPr>
        <w:t>-</w:t>
      </w:r>
      <w:r w:rsidRPr="00252038">
        <w:rPr>
          <w:rFonts w:ascii="Book Antiqua" w:eastAsia="Book Antiqua" w:hAnsi="Book Antiqua" w:cs="Book Antiqua"/>
          <w:color w:val="000000"/>
        </w:rPr>
        <w:t>Whitney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U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categorical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variables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Pearson’s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252038">
        <w:rPr>
          <w:rFonts w:ascii="Book Antiqua" w:eastAsia="Book Antiqua" w:hAnsi="Book Antiqua" w:cs="Book Antiqua"/>
          <w:i/>
          <w:iCs/>
          <w:color w:val="000000"/>
          <w:szCs w:val="20"/>
          <w:vertAlign w:val="superscript"/>
        </w:rPr>
        <w:t>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Fisher’s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test.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two-tailed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considered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methods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reviewed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staff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Department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Epidemiology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PLA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(Beijing,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China).</w:t>
      </w:r>
    </w:p>
    <w:p w14:paraId="3B259B8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CCB5AA3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060F097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71FA8E5E" w14:textId="2C5F5EC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March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2021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2022,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enrolled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(Figure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them,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141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115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(7.8%)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suspicious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suspicious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examination.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Regarding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(75.6%)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identified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(8.9%)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(15.6%)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</w:p>
    <w:p w14:paraId="3434B139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47FA1F6" w14:textId="2E4CEF7D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</w:p>
    <w:p w14:paraId="0F75346F" w14:textId="58702BE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underwent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38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36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suspected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41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histologically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39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2,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negative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ESCC/HGIN/LGIN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83.7%,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92.4%,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48.6%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98.5%,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respectively.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negative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90.7%,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87.0%,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37.5%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99.1%,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respectively.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positive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negative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predictive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(92.4%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87.0%,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0.0023).</w:t>
      </w:r>
    </w:p>
    <w:p w14:paraId="1E69468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7C3E929" w14:textId="2B94286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LCE</w:t>
      </w:r>
    </w:p>
    <w:p w14:paraId="41D4993E" w14:textId="565A601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characteristics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comparison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location,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morphologic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shorter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[42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(34,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50)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160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(130,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189)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0.001].</w:t>
      </w:r>
    </w:p>
    <w:p w14:paraId="1407C714" w14:textId="2CD8497A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divided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subgroups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according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modalities: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(detected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E4284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clinicopathological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features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Supplementary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1.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location,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morphologic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different: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(55.8%)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+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&gt;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20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mm;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(75%)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≤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mm;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(100%)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≤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0.016).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size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statistically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0.364).</w:t>
      </w:r>
    </w:p>
    <w:p w14:paraId="096CFECB" w14:textId="77777777" w:rsidR="00A77B3E" w:rsidRPr="00252038" w:rsidRDefault="00A77B3E" w:rsidP="0025203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357771E3" w14:textId="189D683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258D786" w14:textId="2E92A8D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45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7F3BF6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clear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visibility.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conducted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7F3BF6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Supplementary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(21.20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9.79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15.92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7.50,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0.023).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three-dimensional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parameters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L*a*b*,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Δa</w:t>
      </w:r>
      <w:r w:rsidRPr="00252038">
        <w:rPr>
          <w:rFonts w:ascii="Book Antiqua" w:eastAsia="Book Antiqua" w:hAnsi="Book Antiqua" w:cs="Book Antiqua"/>
          <w:color w:val="000000"/>
        </w:rPr>
        <w:t>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(12.43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10.00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4.97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±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6.96,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respectively,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0.001),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ΔL</w:t>
      </w:r>
      <w:r w:rsidRPr="00252038">
        <w:rPr>
          <w:rFonts w:ascii="Book Antiqua" w:eastAsia="Book Antiqua" w:hAnsi="Book Antiqua" w:cs="Book Antiqua"/>
          <w:color w:val="000000"/>
        </w:rPr>
        <w:t>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Δb</w:t>
      </w:r>
      <w:r w:rsidRPr="00252038">
        <w:rPr>
          <w:rFonts w:ascii="Book Antiqua" w:eastAsia="Book Antiqua" w:hAnsi="Book Antiqua" w:cs="Book Antiqua"/>
          <w:color w:val="000000"/>
        </w:rPr>
        <w:t>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analyzed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Supplementary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3.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ΔE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ΔL*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Δa*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Δb*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three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types.</w:t>
      </w:r>
    </w:p>
    <w:p w14:paraId="65510326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FF2AFFA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C560E98" w14:textId="75AF85EE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demonstrated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and/or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or/and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acceptable.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obvious.</w:t>
      </w:r>
    </w:p>
    <w:p w14:paraId="1C7AB1F7" w14:textId="3D03203A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utility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[7,10-12]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[8,9]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Nevertheless,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suitable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effects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[16,17]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narrow-band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excellent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[13-15]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Narrow-band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combined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magnifying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requirements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hospitals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operators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relatively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[20]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tract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1.67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Yi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[25]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modalities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exhibited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multiple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primary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their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ability.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knowledge,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effectiveness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</w:p>
    <w:p w14:paraId="2A0A14EB" w14:textId="405DD740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present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(92.4%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87.0%,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0.0023),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both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exhibited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(LGIN/HGIN/ESCC)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(83.7%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90.7%,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=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0.520).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(7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8436D" w:rsidRPr="00252038">
        <w:rPr>
          <w:rFonts w:ascii="Book Antiqua" w:eastAsia="Book Antiqua" w:hAnsi="Book Antiqua" w:cs="Book Antiqua"/>
          <w:color w:val="000000"/>
        </w:rPr>
        <w:t>l</w:t>
      </w:r>
      <w:r w:rsidRPr="00252038">
        <w:rPr>
          <w:rFonts w:ascii="Book Antiqua" w:eastAsia="Book Antiqua" w:hAnsi="Book Antiqua" w:cs="Book Antiqua"/>
          <w:color w:val="000000"/>
        </w:rPr>
        <w:t>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consistent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published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data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narrow-band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and/or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approximately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100%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[13,14]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group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approximately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length,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unstained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observed.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Based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findings,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thought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erosive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acid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reflux.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indicate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capability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acceptable.</w:t>
      </w:r>
    </w:p>
    <w:p w14:paraId="5FD13A16" w14:textId="4D93BFFE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convenient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endoscopists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Fujiﬁlm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system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because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easily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switched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Thus,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time-consuming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iodine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research,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median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shorter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(42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160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P</w:t>
      </w:r>
      <w:r w:rsidR="003746FE" w:rsidRPr="0025203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&lt;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0.001).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addition,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solution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irritate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effects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(chemical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esophagitis,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laryngitis,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bronchopneumonia,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pain,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esophagospasm,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gastritis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hypersensitivity)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[16,17]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practice,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20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from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incisor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solution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aspiration.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difficult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cervical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reduces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synchronous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metachronous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mild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irritation.</w:t>
      </w:r>
    </w:p>
    <w:p w14:paraId="78AE391A" w14:textId="31C74D7A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After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analysis,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demonstrated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visible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consistent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previous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studies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[18,19,21,22]</w:t>
      </w:r>
      <w:r w:rsidRPr="00252038">
        <w:rPr>
          <w:rFonts w:ascii="Book Antiqua" w:eastAsia="Book Antiqua" w:hAnsi="Book Antiqua" w:cs="Book Antiqua"/>
          <w:color w:val="000000"/>
        </w:rPr>
        <w:t>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Kobayashi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[21]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investigated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relationship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information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found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muscularis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mucosa/submucosa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invading</w:t>
      </w:r>
      <w:r w:rsidRPr="00252038">
        <w:rPr>
          <w:rFonts w:ascii="MS Mincho" w:eastAsia="MS Mincho" w:hAnsi="MS Mincho" w:cs="MS Mincho" w:hint="eastAsia"/>
          <w:color w:val="000000"/>
        </w:rPr>
        <w:t> </w:t>
      </w:r>
      <w:r w:rsidRPr="00252038">
        <w:rPr>
          <w:rFonts w:ascii="Book Antiqua" w:eastAsia="Book Antiqua" w:hAnsi="Book Antiqua" w:cs="Book Antiqua"/>
          <w:color w:val="000000"/>
        </w:rPr>
        <w:t>≤</w:t>
      </w:r>
      <w:r w:rsidRPr="00252038">
        <w:rPr>
          <w:rFonts w:ascii="MS Mincho" w:eastAsia="MS Mincho" w:hAnsi="MS Mincho" w:cs="MS Mincho" w:hint="eastAsia"/>
          <w:color w:val="000000"/>
        </w:rPr>
        <w:t> </w:t>
      </w:r>
      <w:r w:rsidRPr="00252038">
        <w:rPr>
          <w:rFonts w:ascii="Book Antiqua" w:eastAsia="Book Antiqua" w:hAnsi="Book Antiqua" w:cs="Book Antiqua"/>
          <w:color w:val="000000"/>
        </w:rPr>
        <w:t>200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μm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below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inferior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margin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muscularis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deeper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epithelium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lamina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propria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among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LGIN,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HGIN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Notably,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Tsunoda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52038">
        <w:rPr>
          <w:rFonts w:ascii="Book Antiqua" w:eastAsia="Book Antiqua" w:hAnsi="Book Antiqua" w:cs="Book Antiqua"/>
          <w:color w:val="000000"/>
          <w:szCs w:val="20"/>
          <w:vertAlign w:val="superscript"/>
        </w:rPr>
        <w:t>[35]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laser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provide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accurate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squamous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intraepithelial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neoplasia.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Therefore,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blue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laser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combined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staining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before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treatment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deserves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study.</w:t>
      </w:r>
    </w:p>
    <w:p w14:paraId="4ED195DA" w14:textId="640D09B8" w:rsidR="00A77B3E" w:rsidRPr="00252038" w:rsidRDefault="00000000" w:rsidP="00252038">
      <w:pPr>
        <w:spacing w:line="360" w:lineRule="auto"/>
        <w:ind w:firstLine="240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some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limitations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First,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number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especially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low.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Second,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sequentially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during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but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impossible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reverse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order.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Thus,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random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crossover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trial.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Third,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obtained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included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two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arbitrary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surrounding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which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have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sampling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errors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affected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measurement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results.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WLI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modes,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choose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angle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calculate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values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reduce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influence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based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various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conditions.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future,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conduct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collect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usefulness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validity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also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warranted.</w:t>
      </w:r>
    </w:p>
    <w:p w14:paraId="596EAC54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05D5EE15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7B1B4DC1" w14:textId="1212C255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efficient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surveillance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without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discomfort.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future,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promising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population.</w:t>
      </w:r>
    </w:p>
    <w:p w14:paraId="6182D2CE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2DE260A" w14:textId="02A74E5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746FE"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F663B7A" w14:textId="0036246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049C40" w14:textId="1D0A7D1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Lugol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chromoendoscopy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(LCE)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served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standard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high-risk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cancer.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Nevertheless,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suitable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given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effects.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(LCI)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distinguish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subtle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mucosal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beneficial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provide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performance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LCI.</w:t>
      </w:r>
    </w:p>
    <w:p w14:paraId="6BEB106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3E202E2" w14:textId="14D3826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095777D" w14:textId="7162081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performance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44541" w:rsidRPr="00252038">
        <w:rPr>
          <w:rFonts w:ascii="Book Antiqua" w:eastAsia="Book Antiqua" w:hAnsi="Book Antiqua" w:cs="Book Antiqua"/>
          <w:color w:val="000000"/>
        </w:rPr>
        <w:t>esophageal squamous cell carcinoma (ESCC)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precancerous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population.</w:t>
      </w:r>
    </w:p>
    <w:p w14:paraId="0115B2A8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8738C02" w14:textId="60CC424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3CEF7D0" w14:textId="088CC24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novel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image-enhanced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endoscopic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technique,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been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be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superior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</w:t>
      </w:r>
      <w:r w:rsidR="00D44541" w:rsidRPr="00252038">
        <w:rPr>
          <w:rFonts w:ascii="Book Antiqua" w:eastAsia="Book Antiqua" w:hAnsi="Book Antiqua" w:cs="Book Antiqua"/>
          <w:color w:val="000000"/>
        </w:rPr>
        <w:t xml:space="preserve"> (WLI)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upper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gastrointestinal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tract.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aimed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confirm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diagnostic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>performance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CFDFE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ESCC.</w:t>
      </w:r>
    </w:p>
    <w:p w14:paraId="7605B1F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53883A0D" w14:textId="7113B178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C27D3EC" w14:textId="20F755F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single-center,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registered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clinical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noninferiority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prospectively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enrolled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543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underwent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="00D44541" w:rsidRPr="00252038">
        <w:rPr>
          <w:rFonts w:ascii="Book Antiqua" w:eastAsia="Book Antiqua" w:hAnsi="Book Antiqua" w:cs="Book Antiqua"/>
          <w:color w:val="000000"/>
        </w:rPr>
        <w:t>WLI</w:t>
      </w:r>
      <w:r w:rsidRPr="00252038">
        <w:rPr>
          <w:rFonts w:ascii="Book Antiqua" w:eastAsia="Book Antiqua" w:hAnsi="Book Antiqua" w:cs="Book Antiqua"/>
          <w:color w:val="000000"/>
        </w:rPr>
        <w:t>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lastRenderedPageBreak/>
        <w:t>successively.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compared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L*a*b*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</w:p>
    <w:p w14:paraId="0EF9DE5A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2D3DF77" w14:textId="0B04B6E8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530979F" w14:textId="7842EF2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total,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43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patients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analyzed.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sensitivity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whereas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greater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procedure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time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examination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significantly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shorter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However,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similar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different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pathological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types.</w:t>
      </w:r>
    </w:p>
    <w:p w14:paraId="24357BDD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2DDA39B" w14:textId="6EF6FAA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BDA2E5F" w14:textId="48D7988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showed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efficient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specific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surveillance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without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causing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discomfort.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future,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promising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strategy,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could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replace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screening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general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population.</w:t>
      </w:r>
    </w:p>
    <w:p w14:paraId="7C31F422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36FC5D9" w14:textId="10A9A69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746FE" w:rsidRPr="0025203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205D54D" w14:textId="327B60D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enroll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future,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conduct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multicenter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study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collect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more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usefulness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LCI.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Further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evaluation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validity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LCI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diagnosing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depth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invasion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ESCC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also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warranted.</w:t>
      </w:r>
    </w:p>
    <w:p w14:paraId="04D498AF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AF21D68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55F0295" w14:textId="0BCE5D3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color w:val="000000"/>
        </w:rPr>
        <w:t>We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thank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our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peer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reviewers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insightful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thorough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suggestions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manuscript.</w:t>
      </w:r>
    </w:p>
    <w:p w14:paraId="08F30C3D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F29282B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REFERENCES</w:t>
      </w:r>
    </w:p>
    <w:p w14:paraId="18F6F9AD" w14:textId="18A50C37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lastRenderedPageBreak/>
        <w:t>1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Erratum: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Global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statistics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2018: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GLOBOCAN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estimates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incidence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mortality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worldwide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185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countries.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CA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Cancer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J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Clin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2020;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70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313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32767693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10.3322/caac.21609]</w:t>
      </w:r>
    </w:p>
    <w:p w14:paraId="55D525A8" w14:textId="74F563D5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Ciocirlan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Lapalus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MG,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Hervieu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Souquet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Napoléon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Scoazec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Lefort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Saurin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Ponchon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mucosal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resection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squamous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premalignant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malignant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lesions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esophagus.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2007;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39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24-29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17252456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10.1055/s-2006-945182]</w:t>
      </w:r>
    </w:p>
    <w:p w14:paraId="6D1286A1" w14:textId="54E0E17D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Merkow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RP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Bilimoria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Keswani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Chung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Sherman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Knab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Posner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Bentrem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DJ.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Treatment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trends,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risk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lymph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node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metastasis,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outcomes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localized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J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Natl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Cancer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Inst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2014;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106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25031273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10.1093/jnci/dju133]</w:t>
      </w:r>
    </w:p>
    <w:p w14:paraId="7AC3BE34" w14:textId="0797B538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Morgan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E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Soerjomataram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Rumgay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Coleman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HG,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Thrift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AP,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Vignat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Laversanne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Ferlay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Arnold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Global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Landscape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Squamous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Cell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Carcinoma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Adenocarcinoma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Incidence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Mortality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Projections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2040: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New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Estimates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From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GLOBOCAN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2020.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Gastroenterology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2022;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163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649-658.e2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35671803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10.1053/j.gastro.2022.05.054]</w:t>
      </w:r>
    </w:p>
    <w:p w14:paraId="4264CA80" w14:textId="5A9915A7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Arnold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Abnet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Neale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Vignat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Giovannucci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McGlynn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Bray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Global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Burden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Major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Types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Gastrointestinal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Gastroenterology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2020;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159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335-349.e15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32247694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10.1053/j.gastro.2020.02.068]</w:t>
      </w:r>
    </w:p>
    <w:p w14:paraId="2FB962D9" w14:textId="620C2457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Obermannová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R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Alsina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Cervantes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Leong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Lordick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Nilsson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Grieken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NCT,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Vogel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Smyth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EC;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ESMO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Guidelines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Committee.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Electronic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address: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clinicalguidelines@esmo.org.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ESMO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Clinical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Practice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Guideline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diagnosis,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treatment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follow-up.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Ann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Oncol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2022;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33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992-1004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35914638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10.1016/j.annonc.2022.07.003]</w:t>
      </w:r>
    </w:p>
    <w:p w14:paraId="7611EA35" w14:textId="4742271A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Hashimoto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CL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Iriya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Baba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Navarro-Rodriguez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Zerbini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Eisig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Barbuti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Chinzon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Moraes-Filho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JP.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Lugol's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dye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spray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chromoendoscopy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establishes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diagnosis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patients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with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primary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head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neck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Am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J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Gastroenterol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2005;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100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275-282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15667482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10.1111/j.1572-0241.2005.30189.x]</w:t>
      </w:r>
    </w:p>
    <w:p w14:paraId="2852E91E" w14:textId="439A5023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8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Bisschops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R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Areia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Coron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Dobru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Kaskas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Kuvaev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Pech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Ragunath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Weusten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Familiari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Domagk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Valori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Kaminski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Spada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Bretthauer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lastRenderedPageBreak/>
        <w:t>Bennett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Senore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Dinis-Ribeiro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Rutter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MD.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Performance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measures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upper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gastrointestinal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European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Society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Gastrointestinal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(ESGE)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Quality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Improvement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Initiative.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2016;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48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843-864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27548885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10.1055/s-0042-113128]</w:t>
      </w:r>
    </w:p>
    <w:p w14:paraId="0FC5F31A" w14:textId="63D4365A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9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Hirota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WK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Zuckerman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Adler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DG,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Davila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Egan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Leighton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Qureshi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Rajan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Fanelli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Wheeler-Harbaugh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Baron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Faigel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Standards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Practice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Committee,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American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Society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Gastrointestinal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ASGE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guideline: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role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surveillance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premalignant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conditions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upper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tract.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Gastrointest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2006;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63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570-580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16564854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10.1016/j.gie.2006.02.004]</w:t>
      </w:r>
    </w:p>
    <w:p w14:paraId="380BDFB2" w14:textId="7537DD41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Shiozaki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H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Tahara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Kobayashi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Tamura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Imamoto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Oku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Miyata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Nishiyama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screening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with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Lugol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dye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method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patients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with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head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neck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1990;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66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2068-2071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1699649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10.1002/1097-0142(19901115)66:10&lt;2068::aid-cncr2820661005&gt;3.0.co;2-w]</w:t>
      </w:r>
    </w:p>
    <w:p w14:paraId="3A9192CB" w14:textId="1239C475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11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Muto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Hironaka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Nakane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Boku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Ohtsu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Yoshida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Association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multiple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Lugol-voiding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lesions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with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synchronous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metachronous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squamous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cell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carcinoma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patients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with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head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neck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Gastrointest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2002;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56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517-521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12297767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10.1067/mge.2002.128104]</w:t>
      </w:r>
    </w:p>
    <w:p w14:paraId="7DB95B7F" w14:textId="6FD06567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Shimizu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Y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Tukagoshi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Fujita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Hosokawa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Asaka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screening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iodine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staining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patients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with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other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current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prior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primary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Gastrointest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2001;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53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1-5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11154480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10.1067/mge.2001.111387]</w:t>
      </w:r>
    </w:p>
    <w:p w14:paraId="4AF80A9A" w14:textId="15FE20E1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Morita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FH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Bernardo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Ide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Rocha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Aquino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Minata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Yamazaki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Marques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SB,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Sakai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Moura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EG.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Narrow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versus </w:t>
      </w:r>
      <w:r w:rsidRPr="006B0154">
        <w:rPr>
          <w:rFonts w:ascii="Book Antiqua" w:eastAsia="Book Antiqua" w:hAnsi="Book Antiqua" w:cs="Book Antiqua"/>
        </w:rPr>
        <w:t>lugol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chromoendoscopy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diagnose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squamous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cell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carcinoma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esophagus: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systematic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review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meta-analysis.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BMC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2017;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17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54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28086818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10.1186/s12885-016-3011-9]</w:t>
      </w:r>
    </w:p>
    <w:p w14:paraId="28BB8C57" w14:textId="4245051E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Gruner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Denis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Masliah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Amil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Metivier-Cesbron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Luet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Kaasis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Coron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Rhun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Lecleire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Antonietti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Legoux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Lefrou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Renkes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Tarreirias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Balian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Rey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Prost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Cellier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Rahmi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Samaha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Fratte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Guerrier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Landel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lastRenderedPageBreak/>
        <w:t>Touzet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Ponchon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Pioche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Narrow-band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versus </w:t>
      </w:r>
      <w:r w:rsidRPr="006B0154">
        <w:rPr>
          <w:rFonts w:ascii="Book Antiqua" w:eastAsia="Book Antiqua" w:hAnsi="Book Antiqua" w:cs="Book Antiqua"/>
        </w:rPr>
        <w:t>Lugol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chromoendoscopy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squamous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cell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screening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normal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practice: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randomized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controlled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trial.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2021;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53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674-682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32698233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10.1055/a-1224-6822]</w:t>
      </w:r>
    </w:p>
    <w:p w14:paraId="3E03A9A4" w14:textId="50B655DE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Nagami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Y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Tominaga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Machida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Nakatani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Kameda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Sugimori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Okazaki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Tanigawa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Yamagami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Kubo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Shiba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Watanabe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Watanabe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Iguchi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Fujiwara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Ohira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Hirakawa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Arakawa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Usefulness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non-magnifying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narrow-band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screening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squamous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cell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carcinoma: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prospective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comparative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study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using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propensity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score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matching.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Am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J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Gastroenterol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2014;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109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845-854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24751580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10.1038/ajg.2014.94]</w:t>
      </w:r>
    </w:p>
    <w:p w14:paraId="2D8FCFB9" w14:textId="1F50EC8E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Sreedharan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A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Rembacken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Rotimi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Acute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toxic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mucosal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damage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induced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Lugol's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iodine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spray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during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chromoendoscopy.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Gut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2005;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54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886-887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15888800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10.1136/gut.2004.061739]</w:t>
      </w:r>
    </w:p>
    <w:p w14:paraId="0120A934" w14:textId="64E6B74E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Park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JM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Seok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Young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Nyol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Paik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Kyung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Woo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Kim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Choi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MG,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Chung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Acute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injury: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complication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Lugol's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solution.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Scand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J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Gastroenterol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2007;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42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135-137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17190773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10.1080/00365520600825141]</w:t>
      </w:r>
    </w:p>
    <w:p w14:paraId="5D07DDD2" w14:textId="7211EE33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18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Kanzaki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H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Takenaka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Kawahara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Kawai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Obayashi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Baba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Sakae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Gotoda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Kono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Miura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Iwamuro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Kawano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Tanaka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Okada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Linked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(LCI),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novel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image-enhanced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technology,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emphasizes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Int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Open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2017;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5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E1005-E1013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29159276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10.1055/s-0043-117881]</w:t>
      </w:r>
    </w:p>
    <w:p w14:paraId="11D5A865" w14:textId="384EAD07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19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Khurelbaatar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T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Miura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Osawa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Nomoto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Tokoro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Tsunoda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Sekiguchi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Kobayashi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Funayama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Nagayama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Takezawa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Mieno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Ueno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Fukuda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Iwashita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Takahashi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Kawarai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Yamamoto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Usefulness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linked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detection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obscure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Multivariate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analysis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508</w:t>
      </w:r>
      <w:r w:rsidR="003746FE" w:rsidRPr="006B0154">
        <w:rPr>
          <w:rFonts w:ascii="Book Antiqua" w:eastAsia="Book Antiqua" w:hAnsi="Book Antiqua" w:cs="Book Antiqua"/>
        </w:rPr>
        <w:t xml:space="preserve"> l</w:t>
      </w:r>
      <w:r w:rsidRPr="006B0154">
        <w:rPr>
          <w:rFonts w:ascii="Book Antiqua" w:eastAsia="Book Antiqua" w:hAnsi="Book Antiqua" w:cs="Book Antiqua"/>
        </w:rPr>
        <w:t>esions.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Dig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2022;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34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1012-1020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34942042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10.1111/den.14221]</w:t>
      </w:r>
    </w:p>
    <w:p w14:paraId="4CA9E73C" w14:textId="0E94B639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Ono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S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Kawada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Kitamura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Koike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Hori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Kanzaki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Murao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Yagi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Sasaki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Hashiguchi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Oka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Katada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Shimoda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Mizukami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Suehiro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Takeuchi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Katsuki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Tsuda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Naito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Kawano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Haruma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Ishikawa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Mori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LCI-</w:t>
      </w:r>
      <w:r w:rsidRPr="006B0154">
        <w:rPr>
          <w:rFonts w:ascii="Book Antiqua" w:eastAsia="Book Antiqua" w:hAnsi="Book Antiqua" w:cs="Book Antiqua"/>
        </w:rPr>
        <w:lastRenderedPageBreak/>
        <w:t>FIND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Trial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Group.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Linked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Focused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Neoplasm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Detection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Upper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Gastrointestinal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Tract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Randomized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Trial.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Ann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Intern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Med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2021;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174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18-24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33076693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10.7326/</w:t>
      </w:r>
      <w:r w:rsidR="003746FE" w:rsidRPr="006B0154">
        <w:rPr>
          <w:rFonts w:ascii="Book Antiqua" w:eastAsia="Book Antiqua" w:hAnsi="Book Antiqua" w:cs="Book Antiqua"/>
        </w:rPr>
        <w:t>M</w:t>
      </w:r>
      <w:r w:rsidRPr="006B0154">
        <w:rPr>
          <w:rFonts w:ascii="Book Antiqua" w:eastAsia="Book Antiqua" w:hAnsi="Book Antiqua" w:cs="Book Antiqua"/>
        </w:rPr>
        <w:t>19-2561]</w:t>
      </w:r>
    </w:p>
    <w:p w14:paraId="2D18B9A5" w14:textId="0A9D4230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21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Kobayashi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K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Miyahara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Funasaka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Furukawa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Sawada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Maeda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Yamamura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Ishikawa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Ohno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Nakamura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Kawashima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Nakaguro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Okumura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Hirooka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Fujishiro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information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from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linked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associated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with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invasion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depth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vascular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diameter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superficial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squamous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cell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carcinoma.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Dig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2020;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32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65-73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31220372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10.1111/den.13469]</w:t>
      </w:r>
    </w:p>
    <w:p w14:paraId="2896C868" w14:textId="1F03F845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Nakamura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K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Urabe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Oka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Nagasaki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Yorita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Hata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Masuda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Kurihara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Kotachi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Boda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Tanaka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Chayama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Usefulness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linked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detection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superficial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squamous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cell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carcinomas.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Esophagus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2021;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18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118-124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32447591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10.1007/s10388-020-00749-2]</w:t>
      </w:r>
    </w:p>
    <w:p w14:paraId="3B9312FA" w14:textId="0DADFDC2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de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Groof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AJ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Fockens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Struyvenberg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Pouw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Weusten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BLAM,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Schoon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Mostafavi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Bisschops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Curvers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Bergman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JJ.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Blue-light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linked-color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improve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visualization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Barrett's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neoplasia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nonexpert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endoscopists.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Gastrointest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2020;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91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1050-1057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31904377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10.1016/j.gie.2019.12.037]</w:t>
      </w:r>
    </w:p>
    <w:p w14:paraId="144BC874" w14:textId="1ED7BD3B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Diao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W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Huang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X,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Shen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Zeng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Diagnostic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ability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blue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laser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combined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with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magnifying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Dig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Liver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Dis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2018;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50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1035-1040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29685806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10.1016/j.dld.2018.03.027]</w:t>
      </w:r>
    </w:p>
    <w:p w14:paraId="3A55D67E" w14:textId="5876E136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Yi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N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Huang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Zhang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Jiang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L.</w:t>
      </w:r>
      <w:r w:rsidR="003746FE" w:rsidRPr="006B0154">
        <w:rPr>
          <w:rFonts w:ascii="Book Antiqua" w:eastAsia="Book Antiqua" w:hAnsi="Book Antiqua" w:cs="Book Antiqua"/>
        </w:rPr>
        <w:t xml:space="preserve"> [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comparative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study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linked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iodine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staining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diagnosis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multiple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primary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carcinoma</w:t>
      </w:r>
      <w:r w:rsidR="003746FE" w:rsidRPr="006B0154">
        <w:rPr>
          <w:rFonts w:ascii="Book Antiqua" w:eastAsia="Book Antiqua" w:hAnsi="Book Antiqua" w:cs="Book Antiqua"/>
        </w:rPr>
        <w:t>]</w:t>
      </w:r>
      <w:r w:rsidRPr="006B0154">
        <w:rPr>
          <w:rFonts w:ascii="Book Antiqua" w:eastAsia="Book Antiqua" w:hAnsi="Book Antiqua" w:cs="Book Antiqua"/>
        </w:rPr>
        <w:t>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Chin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J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Clin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Gastroenterol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2019;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31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139-144</w:t>
      </w:r>
    </w:p>
    <w:p w14:paraId="0A127D23" w14:textId="542092B4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Wei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WQ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Feng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Hou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XQ,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Guo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GQ,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ZW,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Abnet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Qiao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YL.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Long-Term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Follow-Up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Community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Assignment,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One-Time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Screening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Study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China.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J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Clin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Oncol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2015;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33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1951-1957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25940715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10.1200/</w:t>
      </w:r>
      <w:r w:rsidR="003746FE" w:rsidRPr="006B0154">
        <w:rPr>
          <w:rFonts w:ascii="Book Antiqua" w:eastAsia="Book Antiqua" w:hAnsi="Book Antiqua" w:cs="Book Antiqua"/>
        </w:rPr>
        <w:t>JCO</w:t>
      </w:r>
      <w:r w:rsidRPr="006B0154">
        <w:rPr>
          <w:rFonts w:ascii="Book Antiqua" w:eastAsia="Book Antiqua" w:hAnsi="Book Antiqua" w:cs="Book Antiqua"/>
        </w:rPr>
        <w:t>.2014.58.0423]</w:t>
      </w:r>
    </w:p>
    <w:p w14:paraId="025767A2" w14:textId="27B12DBD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Zhang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N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X,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X,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Zhao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Q,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Wei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Long-term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effectiveness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one-time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screening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lastRenderedPageBreak/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community-based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study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rural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China.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2020;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126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4511-4520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33460056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10.1002/cncr.33119]</w:t>
      </w:r>
    </w:p>
    <w:p w14:paraId="6E2F6301" w14:textId="1A71BE7A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28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National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Quality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Control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Center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of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Digestive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Endoscopy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NCRCfDDS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National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Gastrointestinal-Cancer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Prevention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&amp;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Treatment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Center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Alliance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(GECA),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Digestive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Professional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Committee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Chinese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Endoscopist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Association,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Chinese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Society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Digestive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Chinese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Society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Health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Management,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Professional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Committee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China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Anti-Cancer.</w:t>
      </w:r>
      <w:r w:rsidR="003746FE" w:rsidRPr="006B0154">
        <w:rPr>
          <w:rFonts w:ascii="Book Antiqua" w:eastAsia="Book Antiqua" w:hAnsi="Book Antiqua" w:cs="Book Antiqua"/>
        </w:rPr>
        <w:t xml:space="preserve"> [</w:t>
      </w:r>
      <w:r w:rsidRPr="006B0154">
        <w:rPr>
          <w:rFonts w:ascii="Book Antiqua" w:eastAsia="Book Antiqua" w:hAnsi="Book Antiqua" w:cs="Book Antiqua"/>
        </w:rPr>
        <w:t>China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experts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consensus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protocal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pre-cancerous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lesion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screening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(2019,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Xinxiang)</w:t>
      </w:r>
      <w:r w:rsidR="003746FE" w:rsidRPr="006B0154">
        <w:rPr>
          <w:rFonts w:ascii="Book Antiqua" w:eastAsia="Book Antiqua" w:hAnsi="Book Antiqua" w:cs="Book Antiqua"/>
        </w:rPr>
        <w:t>]</w:t>
      </w:r>
      <w:r w:rsidRPr="006B0154">
        <w:rPr>
          <w:rFonts w:ascii="Book Antiqua" w:eastAsia="Book Antiqua" w:hAnsi="Book Antiqua" w:cs="Book Antiqua"/>
        </w:rPr>
        <w:t>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Chin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J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Dig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2019;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36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793-801</w:t>
      </w:r>
    </w:p>
    <w:p w14:paraId="2AF5FD33" w14:textId="1AB25EAB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29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Jin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D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Zhan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Q,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Huang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Zhang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Xu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Huang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Q,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Zhang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safety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efficacy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2%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vitamin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solution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spray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relief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mucosal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irritation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caused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Lugol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chromoendoscopy: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multicenter,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randomized,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double-blind,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parallel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trial.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Gastrointest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2020;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92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554-564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31783028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10.1016/j.gie.2019.11.028]</w:t>
      </w:r>
    </w:p>
    <w:p w14:paraId="39FF6438" w14:textId="4DE61504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30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Paris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classification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superficial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neoplastic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lesions: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esophagus,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stomach,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colon: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November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December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2002.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Gastrointest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2003;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58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S3-43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14652541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10.1016/s0016-5107(03)02159-x]</w:t>
      </w:r>
    </w:p>
    <w:p w14:paraId="15B49841" w14:textId="45A47BB4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31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Schlemper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RJ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Riddell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Kato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Borchard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Cooper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Dawsey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Dixon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Fenoglio-Preiser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Fléjou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JF,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Geboes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Hattori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Hirota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Itabashi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Iwafuchi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Iwashita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Kim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YI,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Kirchner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Klimpfinger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Koike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Lauwers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Lewin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KJ,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Oberhuber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Offner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Price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AB,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Rubio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Shimizu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Shimoda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Sipponen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Solcia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Stolte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Watanabe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Yamabe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Vienna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classification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gastrointestinal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epithelial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neoplasia.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Gut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2000;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47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251-255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10896917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10.1136/gut.47.2.251]</w:t>
      </w:r>
    </w:p>
    <w:p w14:paraId="4C41BC45" w14:textId="4CE542F0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32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Yokoyama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A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Ohmori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Makuuchi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Maruyama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Okuyama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Takahashi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Yokoyama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Yoshino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Hayashida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Ishii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Successful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screening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early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alcoholics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using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endoscopy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mucosa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iodine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staining.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Cancer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1995;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76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928-934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8625217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10.1002/1097-0142(19950915)76:6&lt;928::aid-cncr2820760604&gt;3.0.co;2-5]</w:t>
      </w:r>
    </w:p>
    <w:p w14:paraId="10E087EC" w14:textId="52C1623B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lastRenderedPageBreak/>
        <w:t>33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Liu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Zhou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Guo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Xu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Duan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Shen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Q,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Liu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Pan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Cai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Weiss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NS,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Z,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Size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Lugol-unstained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lesions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predictor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risk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progression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in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premalignant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lesions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of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esophagus.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Gastrointest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2021;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93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1065-1073.e3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32950597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10.1016/j.gie.2020.09.020]</w:t>
      </w:r>
    </w:p>
    <w:p w14:paraId="10CB2EF2" w14:textId="2608DA1F" w:rsidR="00A77B3E" w:rsidRPr="006B0154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34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Kuehni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RG</w:t>
      </w:r>
      <w:r w:rsidRPr="006B0154">
        <w:rPr>
          <w:rFonts w:ascii="Book Antiqua" w:eastAsia="Book Antiqua" w:hAnsi="Book Antiqua" w:cs="Book Antiqua"/>
        </w:rPr>
        <w:t>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Color-tolerance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data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the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tentative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CIE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1976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formula.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J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Opt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Soc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Am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1976;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66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497-500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932844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10.1364/josa.66.000497]</w:t>
      </w:r>
    </w:p>
    <w:p w14:paraId="5DD4B4F5" w14:textId="1F370F2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6B0154">
        <w:rPr>
          <w:rFonts w:ascii="Book Antiqua" w:eastAsia="Book Antiqua" w:hAnsi="Book Antiqua" w:cs="Book Antiqua"/>
        </w:rPr>
        <w:t>35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Tsunoda</w:t>
      </w:r>
      <w:r w:rsidR="003746FE" w:rsidRPr="006B0154">
        <w:rPr>
          <w:rFonts w:ascii="Book Antiqua" w:eastAsia="Book Antiqua" w:hAnsi="Book Antiqua" w:cs="Book Antiqua"/>
          <w:b/>
          <w:bCs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M</w:t>
      </w:r>
      <w:r w:rsidRPr="006B0154">
        <w:rPr>
          <w:rFonts w:ascii="Book Antiqua" w:eastAsia="Book Antiqua" w:hAnsi="Book Antiqua" w:cs="Book Antiqua"/>
        </w:rPr>
        <w:t>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Miura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Osawa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Khurelbaatar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T,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Sakaguchi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M,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Fukuda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Lefor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AK,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Yamamoto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H.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New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Diagnostic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Approach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for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Esophageal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Squamous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Cell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Neoplasms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Using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Linked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Color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and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Blue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Laser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Imaging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Combined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with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Iodine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Staining.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Clin</w:t>
      </w:r>
      <w:r w:rsidR="003746FE" w:rsidRPr="006B0154">
        <w:rPr>
          <w:rFonts w:ascii="Book Antiqua" w:eastAsia="Book Antiqua" w:hAnsi="Book Antiqua" w:cs="Book Antiqua"/>
          <w:i/>
          <w:iCs/>
        </w:rPr>
        <w:t xml:space="preserve"> </w:t>
      </w:r>
      <w:r w:rsidRPr="006B0154">
        <w:rPr>
          <w:rFonts w:ascii="Book Antiqua" w:eastAsia="Book Antiqua" w:hAnsi="Book Antiqua" w:cs="Book Antiqua"/>
          <w:i/>
          <w:iCs/>
        </w:rPr>
        <w:t>Endosc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2019;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  <w:b/>
          <w:bCs/>
        </w:rPr>
        <w:t>52</w:t>
      </w:r>
      <w:r w:rsidRPr="006B0154">
        <w:rPr>
          <w:rFonts w:ascii="Book Antiqua" w:eastAsia="Book Antiqua" w:hAnsi="Book Antiqua" w:cs="Book Antiqua"/>
        </w:rPr>
        <w:t>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497-501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[PMID: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31499608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DOI:</w:t>
      </w:r>
      <w:r w:rsidR="003746FE" w:rsidRPr="006B0154">
        <w:rPr>
          <w:rFonts w:ascii="Book Antiqua" w:eastAsia="Book Antiqua" w:hAnsi="Book Antiqua" w:cs="Book Antiqua"/>
        </w:rPr>
        <w:t xml:space="preserve"> </w:t>
      </w:r>
      <w:r w:rsidRPr="006B0154">
        <w:rPr>
          <w:rFonts w:ascii="Book Antiqua" w:eastAsia="Book Antiqua" w:hAnsi="Book Antiqua" w:cs="Book Antiqua"/>
        </w:rPr>
        <w:t>10.5946/ce.2018.195]</w:t>
      </w:r>
    </w:p>
    <w:p w14:paraId="442EF9F0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  <w:sectPr w:rsidR="00A77B3E" w:rsidRPr="002520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374B58" w14:textId="77777777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9526309" w14:textId="216430F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Institutional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review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board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reviewed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approved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ethics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committee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of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Chinese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PLA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general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hospital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(Approval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No.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of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Ethics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Committee: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S2021-145-01).</w:t>
      </w:r>
    </w:p>
    <w:p w14:paraId="28AE119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38E65022" w14:textId="359449B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Clinical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trial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registration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This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study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was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registered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in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Chinese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clinical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trial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database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(chictr.org)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with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the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number</w:t>
      </w:r>
      <w:r w:rsidR="003746FE" w:rsidRPr="00252038">
        <w:rPr>
          <w:rFonts w:ascii="Book Antiqua" w:eastAsia="Book Antiqua" w:hAnsi="Book Antiqua" w:cs="Book Antiqua"/>
          <w:color w:val="231F20"/>
        </w:rPr>
        <w:t xml:space="preserve"> </w:t>
      </w:r>
      <w:r w:rsidRPr="00252038">
        <w:rPr>
          <w:rFonts w:ascii="Book Antiqua" w:eastAsia="Book Antiqua" w:hAnsi="Book Antiqua" w:cs="Book Antiqua"/>
          <w:color w:val="231F20"/>
        </w:rPr>
        <w:t>ChiCTR2100045636.</w:t>
      </w:r>
    </w:p>
    <w:p w14:paraId="769D069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01137BD9" w14:textId="24E5C3BF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Informed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consent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</w:rPr>
        <w:t>All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participants,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their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legal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guardian,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provided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informed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written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consent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prior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study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enrollment.</w:t>
      </w:r>
    </w:p>
    <w:p w14:paraId="6382D9F8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DF0EA65" w14:textId="5E74567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All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authors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report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relevant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conflicts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interest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for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this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article.</w:t>
      </w:r>
    </w:p>
    <w:p w14:paraId="0E5CE7D5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1D368044" w14:textId="2DE6C386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Data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sharing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</w:rPr>
        <w:t>No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additional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data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available.</w:t>
      </w:r>
    </w:p>
    <w:p w14:paraId="4EE378C9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079D86D2" w14:textId="4DB54223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  <w:szCs w:val="21"/>
        </w:rPr>
        <w:t>CONSORT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2010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3746FE" w:rsidRPr="00252038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authors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have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read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CONSORT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statement,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manuscript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prepared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revised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according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CONSORT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2010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statement.</w:t>
      </w:r>
    </w:p>
    <w:p w14:paraId="4149EAEC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4BC64842" w14:textId="6C05F3F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bCs/>
        </w:rPr>
        <w:t>Open-Access: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</w:rPr>
        <w:t>This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article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open-access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article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that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was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selected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in-house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editor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fully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peer-reviewed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external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reviewers.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distributed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accordance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with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Creative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Commons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Attribution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NonCommercial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(CC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BY-NC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4.0)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license,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which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permits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others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distribute,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remix,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adapt,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build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upon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work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non-commercially,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license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their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derivative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works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on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different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terms,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provided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original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work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properly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cited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the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use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non-commercial.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See: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https://creativecommons.org/Licenses/by-nc/4.0/</w:t>
      </w:r>
    </w:p>
    <w:p w14:paraId="10CEF4BB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6E8F5ADC" w14:textId="3FF7D6A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Provenance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peer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review: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Unsolicited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article;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Externally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peer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reviewed.</w:t>
      </w:r>
    </w:p>
    <w:p w14:paraId="0C9D9B38" w14:textId="4102587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Peer-review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model: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Single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blind</w:t>
      </w:r>
    </w:p>
    <w:p w14:paraId="15585909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95C6FC1" w14:textId="4BE8DAD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started: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November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30,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</w:t>
      </w:r>
    </w:p>
    <w:p w14:paraId="6A3835DF" w14:textId="53F9897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First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decision: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December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2022</w:t>
      </w:r>
    </w:p>
    <w:p w14:paraId="0977A879" w14:textId="481B927B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Article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in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press: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08E6" w:rsidRPr="00FF08E6">
        <w:rPr>
          <w:rFonts w:ascii="Book Antiqua" w:eastAsia="Book Antiqua" w:hAnsi="Book Antiqua" w:cs="Book Antiqua"/>
        </w:rPr>
        <w:t>March 9, 2023</w:t>
      </w:r>
    </w:p>
    <w:p w14:paraId="4E86D21E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2537B087" w14:textId="183AC354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Specialty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type: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Gastroenterology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and</w:t>
      </w:r>
      <w:r w:rsidR="003746FE" w:rsidRPr="00252038">
        <w:rPr>
          <w:rFonts w:ascii="Book Antiqua" w:eastAsia="Book Antiqua" w:hAnsi="Book Antiqua" w:cs="Book Antiqua"/>
        </w:rPr>
        <w:t xml:space="preserve"> h</w:t>
      </w:r>
      <w:r w:rsidRPr="00252038">
        <w:rPr>
          <w:rFonts w:ascii="Book Antiqua" w:eastAsia="Book Antiqua" w:hAnsi="Book Antiqua" w:cs="Book Antiqua"/>
        </w:rPr>
        <w:t>epatology</w:t>
      </w:r>
    </w:p>
    <w:p w14:paraId="647BE689" w14:textId="3175474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Country/Territory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of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origin: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China</w:t>
      </w:r>
    </w:p>
    <w:p w14:paraId="0047F828" w14:textId="61C1EF39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Peer-review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report’s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scientific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quality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07B699" w14:textId="57093D01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(Excellent):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</w:t>
      </w:r>
    </w:p>
    <w:p w14:paraId="16F501E6" w14:textId="47BD8BCC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(Very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good):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</w:t>
      </w:r>
    </w:p>
    <w:p w14:paraId="50568F26" w14:textId="51EF0F5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(Good):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</w:t>
      </w:r>
    </w:p>
    <w:p w14:paraId="23BE804B" w14:textId="64AA8970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(Fair):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</w:t>
      </w:r>
    </w:p>
    <w:p w14:paraId="5E4C8EC4" w14:textId="47B5EDB2" w:rsidR="00A77B3E" w:rsidRPr="00252038" w:rsidRDefault="00000000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Book Antiqua" w:hAnsi="Book Antiqua" w:cs="Book Antiqua"/>
        </w:rPr>
        <w:t>Grade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(Poor):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0</w:t>
      </w:r>
    </w:p>
    <w:p w14:paraId="3A0DE705" w14:textId="77777777" w:rsidR="00A77B3E" w:rsidRPr="00252038" w:rsidRDefault="00A77B3E" w:rsidP="00252038">
      <w:pPr>
        <w:spacing w:line="360" w:lineRule="auto"/>
        <w:jc w:val="both"/>
        <w:rPr>
          <w:rFonts w:ascii="Book Antiqua" w:hAnsi="Book Antiqua"/>
        </w:rPr>
      </w:pPr>
    </w:p>
    <w:p w14:paraId="75212962" w14:textId="58E5FD15" w:rsidR="003746F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t>P-Reviewer: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Abe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Y,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Japan;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Tyakht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AV,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United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Kingdom;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Woromogo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SH,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Congo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S-Editor: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46FE" w:rsidRPr="00252038">
        <w:rPr>
          <w:rFonts w:ascii="Book Antiqua" w:eastAsia="Book Antiqua" w:hAnsi="Book Antiqua" w:cs="Book Antiqua"/>
          <w:bCs/>
          <w:color w:val="000000"/>
        </w:rPr>
        <w:t>Wang JJ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L-Editor:</w:t>
      </w:r>
      <w:r w:rsidR="003746FE" w:rsidRPr="00252038">
        <w:rPr>
          <w:rFonts w:ascii="Book Antiqua" w:eastAsia="Book Antiqua" w:hAnsi="Book Antiqua" w:cs="Book Antiqua"/>
          <w:bCs/>
          <w:color w:val="000000"/>
        </w:rPr>
        <w:t xml:space="preserve"> A </w:t>
      </w:r>
      <w:r w:rsidRPr="00252038">
        <w:rPr>
          <w:rFonts w:ascii="Book Antiqua" w:eastAsia="Book Antiqua" w:hAnsi="Book Antiqua" w:cs="Book Antiqua"/>
          <w:b/>
          <w:color w:val="000000"/>
        </w:rPr>
        <w:t>P-Editor:</w:t>
      </w:r>
      <w:r w:rsidR="002D5A15" w:rsidRPr="00252038">
        <w:rPr>
          <w:rFonts w:ascii="Book Antiqua" w:eastAsia="Book Antiqua" w:hAnsi="Book Antiqua" w:cs="Book Antiqua"/>
          <w:bCs/>
          <w:color w:val="000000"/>
        </w:rPr>
        <w:t xml:space="preserve"> Wang JJ</w:t>
      </w:r>
    </w:p>
    <w:p w14:paraId="42648149" w14:textId="5C564851" w:rsidR="00A77B3E" w:rsidRPr="00252038" w:rsidRDefault="003746FE" w:rsidP="00252038">
      <w:pPr>
        <w:spacing w:line="360" w:lineRule="auto"/>
        <w:jc w:val="both"/>
        <w:rPr>
          <w:rFonts w:ascii="Book Antiqua" w:hAnsi="Book Antiqua"/>
        </w:rPr>
        <w:sectPr w:rsidR="00A77B3E" w:rsidRPr="002520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4C09886" w14:textId="550F55F1" w:rsidR="00A77B3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5203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746FE" w:rsidRPr="0025203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color w:val="000000"/>
        </w:rPr>
        <w:t>Legends</w:t>
      </w:r>
    </w:p>
    <w:p w14:paraId="4860DFBC" w14:textId="69AF2FE3" w:rsidR="00590780" w:rsidRPr="00252038" w:rsidRDefault="00084EA2" w:rsidP="00252038">
      <w:pPr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hAnsi="Book Antiqua"/>
        </w:rPr>
        <w:t xml:space="preserve"> </w:t>
      </w:r>
      <w:r w:rsidR="00C8678D">
        <w:rPr>
          <w:rFonts w:ascii="Book Antiqua" w:hAnsi="Book Antiqua"/>
          <w:noProof/>
        </w:rPr>
        <w:drawing>
          <wp:inline distT="0" distB="0" distL="0" distR="0" wp14:anchorId="6AE09C7F" wp14:editId="346FCB35">
            <wp:extent cx="5120650" cy="369875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50" cy="369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81FB4" w14:textId="4AE5B739" w:rsidR="00A77B3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52038">
        <w:rPr>
          <w:rFonts w:ascii="Book Antiqua" w:eastAsia="Book Antiqua" w:hAnsi="Book Antiqua" w:cs="Book Antiqua"/>
          <w:b/>
          <w:bCs/>
        </w:rPr>
        <w:t>Figure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1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Flow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chart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of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study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design.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</w:rPr>
        <w:t>ESCC: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Esophageal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squamous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cell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carcinoma;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Gastrointestinal;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LCE: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Lugol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LCI: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Linked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color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WLI: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White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light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imaging.</w:t>
      </w:r>
    </w:p>
    <w:p w14:paraId="69B2DE0C" w14:textId="6A0999D3" w:rsidR="00671F95" w:rsidRPr="00252038" w:rsidRDefault="00671F95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D5F356E" w14:textId="53A5143D" w:rsidR="00671F95" w:rsidRPr="00252038" w:rsidRDefault="00C8678D" w:rsidP="0025203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7F06387B" wp14:editId="2CB1C790">
            <wp:extent cx="4402032" cy="3555588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032" cy="355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F9C2" w14:textId="674ADAF8" w:rsidR="00A77B3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52038">
        <w:rPr>
          <w:rFonts w:ascii="Book Antiqua" w:eastAsia="Book Antiqua" w:hAnsi="Book Antiqua" w:cs="Book Antiqua"/>
          <w:b/>
          <w:bCs/>
        </w:rPr>
        <w:t>Figure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2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A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single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esophageal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squamous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cell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carcinoma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lesion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visualized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under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the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three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detection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methods.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Under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white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light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Under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imaging;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</w:rPr>
        <w:t>C: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Under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Lugol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chromoendoscopy.</w:t>
      </w:r>
    </w:p>
    <w:p w14:paraId="3DBF4AA7" w14:textId="45C5A015" w:rsidR="00671F95" w:rsidRPr="00252038" w:rsidRDefault="00671F95" w:rsidP="0025203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99B277C" w14:textId="41A668AB" w:rsidR="00671F95" w:rsidRPr="00252038" w:rsidRDefault="00C8678D" w:rsidP="0025203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80A2DCE" wp14:editId="298C0ED4">
            <wp:extent cx="4639065" cy="1822708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065" cy="182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E5840" w14:textId="1A7F870E" w:rsidR="00A77B3E" w:rsidRPr="00252038" w:rsidRDefault="00000000" w:rsidP="0025203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52038">
        <w:rPr>
          <w:rFonts w:ascii="Book Antiqua" w:eastAsia="Book Antiqua" w:hAnsi="Book Antiqua" w:cs="Book Antiqua"/>
          <w:b/>
          <w:bCs/>
        </w:rPr>
        <w:t>Figure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3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Method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to</w:t>
      </w:r>
      <w:r w:rsidR="003746FE" w:rsidRPr="00252038">
        <w:rPr>
          <w:rFonts w:ascii="Book Antiqua" w:eastAsia="Book Antiqua" w:hAnsi="Book Antiqua" w:cs="Book Antiqua"/>
          <w:b/>
          <w:bCs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</w:rPr>
        <w:t>measure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difference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non-neoplastic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lesions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detected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light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b/>
          <w:bCs/>
          <w:color w:val="000000"/>
        </w:rPr>
        <w:t>imaging.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A: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(1)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non-neoplastic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(2)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detected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white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light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imaging;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B: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(3)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and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non-neoplastic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lesion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(4)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detected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</w:rPr>
        <w:t>by</w:t>
      </w:r>
      <w:r w:rsidR="003746FE" w:rsidRPr="00252038">
        <w:rPr>
          <w:rFonts w:ascii="Book Antiqua" w:eastAsia="Book Antiqua" w:hAnsi="Book Antiqua" w:cs="Book Antiqua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linked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color</w:t>
      </w:r>
      <w:r w:rsidR="003746FE" w:rsidRPr="00252038">
        <w:rPr>
          <w:rFonts w:ascii="Book Antiqua" w:eastAsia="Book Antiqua" w:hAnsi="Book Antiqua" w:cs="Book Antiqua"/>
          <w:color w:val="000000"/>
        </w:rPr>
        <w:t xml:space="preserve"> </w:t>
      </w:r>
      <w:r w:rsidRPr="00252038">
        <w:rPr>
          <w:rFonts w:ascii="Book Antiqua" w:eastAsia="Book Antiqua" w:hAnsi="Book Antiqua" w:cs="Book Antiqua"/>
          <w:color w:val="000000"/>
        </w:rPr>
        <w:t>imaging.</w:t>
      </w:r>
    </w:p>
    <w:p w14:paraId="349E2897" w14:textId="77777777" w:rsidR="00616EF6" w:rsidRPr="00252038" w:rsidRDefault="00616EF6" w:rsidP="00252038">
      <w:pPr>
        <w:spacing w:line="360" w:lineRule="auto"/>
        <w:jc w:val="both"/>
        <w:rPr>
          <w:rFonts w:ascii="Book Antiqua" w:hAnsi="Book Antiqua"/>
        </w:rPr>
        <w:sectPr w:rsidR="00616EF6" w:rsidRPr="002520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E47221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宋体" w:hAnsi="Book Antiqua"/>
          <w:b/>
          <w:bCs/>
        </w:rPr>
      </w:pPr>
      <w:r w:rsidRPr="00252038">
        <w:rPr>
          <w:rFonts w:ascii="Book Antiqua" w:eastAsia="MS PGothic" w:hAnsi="Book Antiqua"/>
          <w:b/>
          <w:bCs/>
          <w:color w:val="000000"/>
        </w:rPr>
        <w:lastRenderedPageBreak/>
        <w:t>Table 1 Clinicopathological features of the patients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6805"/>
        <w:gridCol w:w="1984"/>
        <w:gridCol w:w="2126"/>
      </w:tblGrid>
      <w:tr w:rsidR="00590780" w:rsidRPr="00252038" w14:paraId="7A7D2C1D" w14:textId="77777777" w:rsidTr="00984839">
        <w:trPr>
          <w:trHeight w:val="379"/>
        </w:trPr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14:paraId="3FFB607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Item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B06E1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7CB01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% (</w:t>
            </w: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n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/</w:t>
            </w: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n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 total)</w:t>
            </w:r>
          </w:p>
        </w:tc>
      </w:tr>
      <w:tr w:rsidR="00590780" w:rsidRPr="00252038" w14:paraId="44921723" w14:textId="77777777" w:rsidTr="00984839">
        <w:trPr>
          <w:trHeight w:val="379"/>
        </w:trPr>
        <w:tc>
          <w:tcPr>
            <w:tcW w:w="6805" w:type="dxa"/>
            <w:tcBorders>
              <w:top w:val="single" w:sz="4" w:space="0" w:color="auto"/>
            </w:tcBorders>
          </w:tcPr>
          <w:p w14:paraId="2F123DD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Patients with suspected lesions</w:t>
            </w:r>
            <w:r w:rsidRPr="00252038">
              <w:rPr>
                <w:rFonts w:ascii="Book Antiqua" w:eastAsia="MS PGothic" w:hAnsi="Book Antiqua"/>
                <w:color w:val="000000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9DA0FF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DA3EB9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21.2 (115/543)</w:t>
            </w:r>
          </w:p>
        </w:tc>
      </w:tr>
      <w:tr w:rsidR="00590780" w:rsidRPr="00252038" w14:paraId="47BBD1DF" w14:textId="77777777" w:rsidTr="00984839">
        <w:trPr>
          <w:trHeight w:val="379"/>
        </w:trPr>
        <w:tc>
          <w:tcPr>
            <w:tcW w:w="6805" w:type="dxa"/>
          </w:tcPr>
          <w:p w14:paraId="338E695D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Inflammation</w:t>
            </w:r>
          </w:p>
        </w:tc>
        <w:tc>
          <w:tcPr>
            <w:tcW w:w="1984" w:type="dxa"/>
          </w:tcPr>
          <w:p w14:paraId="796CF1D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72</w:t>
            </w:r>
          </w:p>
        </w:tc>
        <w:tc>
          <w:tcPr>
            <w:tcW w:w="2126" w:type="dxa"/>
          </w:tcPr>
          <w:p w14:paraId="6386DC3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13.2</w:t>
            </w:r>
          </w:p>
        </w:tc>
      </w:tr>
      <w:tr w:rsidR="00590780" w:rsidRPr="00252038" w14:paraId="359573E2" w14:textId="77777777" w:rsidTr="00984839">
        <w:trPr>
          <w:trHeight w:val="379"/>
        </w:trPr>
        <w:tc>
          <w:tcPr>
            <w:tcW w:w="6805" w:type="dxa"/>
          </w:tcPr>
          <w:p w14:paraId="0B6F3D51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1984" w:type="dxa"/>
          </w:tcPr>
          <w:p w14:paraId="4590161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25</w:t>
            </w:r>
          </w:p>
        </w:tc>
        <w:tc>
          <w:tcPr>
            <w:tcW w:w="2126" w:type="dxa"/>
          </w:tcPr>
          <w:p w14:paraId="43ABEC4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4.6</w:t>
            </w:r>
          </w:p>
        </w:tc>
      </w:tr>
      <w:tr w:rsidR="00590780" w:rsidRPr="00252038" w14:paraId="4DCFE386" w14:textId="77777777" w:rsidTr="00984839">
        <w:trPr>
          <w:trHeight w:val="379"/>
        </w:trPr>
        <w:tc>
          <w:tcPr>
            <w:tcW w:w="6805" w:type="dxa"/>
          </w:tcPr>
          <w:p w14:paraId="418B6F22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1984" w:type="dxa"/>
          </w:tcPr>
          <w:p w14:paraId="1D33308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</w:t>
            </w:r>
          </w:p>
        </w:tc>
        <w:tc>
          <w:tcPr>
            <w:tcW w:w="2126" w:type="dxa"/>
          </w:tcPr>
          <w:p w14:paraId="4FD8DE2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0.5</w:t>
            </w:r>
          </w:p>
        </w:tc>
      </w:tr>
      <w:tr w:rsidR="00590780" w:rsidRPr="00252038" w14:paraId="7A226F66" w14:textId="77777777" w:rsidTr="00984839">
        <w:trPr>
          <w:trHeight w:val="187"/>
        </w:trPr>
        <w:tc>
          <w:tcPr>
            <w:tcW w:w="6805" w:type="dxa"/>
          </w:tcPr>
          <w:p w14:paraId="3B586598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984" w:type="dxa"/>
          </w:tcPr>
          <w:p w14:paraId="493E50D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15</w:t>
            </w:r>
          </w:p>
        </w:tc>
        <w:tc>
          <w:tcPr>
            <w:tcW w:w="2126" w:type="dxa"/>
          </w:tcPr>
          <w:p w14:paraId="76B0DD3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2.7</w:t>
            </w:r>
          </w:p>
        </w:tc>
      </w:tr>
      <w:tr w:rsidR="00590780" w:rsidRPr="00252038" w14:paraId="4BA6F355" w14:textId="77777777" w:rsidTr="00984839">
        <w:trPr>
          <w:trHeight w:val="379"/>
        </w:trPr>
        <w:tc>
          <w:tcPr>
            <w:tcW w:w="6805" w:type="dxa"/>
          </w:tcPr>
          <w:p w14:paraId="16188AB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Suspected lesions, including non-neoplastic</w:t>
            </w:r>
          </w:p>
        </w:tc>
        <w:tc>
          <w:tcPr>
            <w:tcW w:w="1984" w:type="dxa"/>
          </w:tcPr>
          <w:p w14:paraId="468EBFF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141</w:t>
            </w:r>
          </w:p>
        </w:tc>
        <w:tc>
          <w:tcPr>
            <w:tcW w:w="2126" w:type="dxa"/>
          </w:tcPr>
          <w:p w14:paraId="6D680C2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-</w:t>
            </w:r>
          </w:p>
        </w:tc>
      </w:tr>
      <w:tr w:rsidR="00590780" w:rsidRPr="00252038" w14:paraId="573A5D2B" w14:textId="77777777" w:rsidTr="00984839">
        <w:trPr>
          <w:trHeight w:val="379"/>
        </w:trPr>
        <w:tc>
          <w:tcPr>
            <w:tcW w:w="6805" w:type="dxa"/>
          </w:tcPr>
          <w:p w14:paraId="5ED1E28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</w:t>
            </w:r>
            <w:r w:rsidRPr="00252038">
              <w:rPr>
                <w:rFonts w:ascii="Book Antiqua" w:eastAsia="MS PGothic" w:hAnsi="Book Antiqua"/>
                <w:color w:val="000000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34EBA53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45</w:t>
            </w:r>
          </w:p>
        </w:tc>
        <w:tc>
          <w:tcPr>
            <w:tcW w:w="2126" w:type="dxa"/>
          </w:tcPr>
          <w:p w14:paraId="4F2EF35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31.9 (45/141)</w:t>
            </w:r>
          </w:p>
        </w:tc>
      </w:tr>
      <w:tr w:rsidR="00590780" w:rsidRPr="00252038" w14:paraId="7C842051" w14:textId="77777777" w:rsidTr="00984839">
        <w:trPr>
          <w:trHeight w:val="379"/>
        </w:trPr>
        <w:tc>
          <w:tcPr>
            <w:tcW w:w="6805" w:type="dxa"/>
          </w:tcPr>
          <w:p w14:paraId="75153188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1984" w:type="dxa"/>
          </w:tcPr>
          <w:p w14:paraId="491A125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25</w:t>
            </w:r>
          </w:p>
        </w:tc>
        <w:tc>
          <w:tcPr>
            <w:tcW w:w="2126" w:type="dxa"/>
          </w:tcPr>
          <w:p w14:paraId="083F394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17.7 (25/141)</w:t>
            </w:r>
          </w:p>
        </w:tc>
      </w:tr>
      <w:tr w:rsidR="00590780" w:rsidRPr="00252038" w14:paraId="59D32AD3" w14:textId="77777777" w:rsidTr="00984839">
        <w:trPr>
          <w:trHeight w:val="379"/>
        </w:trPr>
        <w:tc>
          <w:tcPr>
            <w:tcW w:w="6805" w:type="dxa"/>
          </w:tcPr>
          <w:p w14:paraId="73D8BBFC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1984" w:type="dxa"/>
          </w:tcPr>
          <w:p w14:paraId="5CB0966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</w:t>
            </w:r>
          </w:p>
        </w:tc>
        <w:tc>
          <w:tcPr>
            <w:tcW w:w="2126" w:type="dxa"/>
          </w:tcPr>
          <w:p w14:paraId="7D87B26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2.1 (3/141)</w:t>
            </w:r>
          </w:p>
        </w:tc>
      </w:tr>
      <w:tr w:rsidR="00590780" w:rsidRPr="00252038" w14:paraId="33D30585" w14:textId="77777777" w:rsidTr="00984839">
        <w:trPr>
          <w:trHeight w:val="231"/>
        </w:trPr>
        <w:tc>
          <w:tcPr>
            <w:tcW w:w="6805" w:type="dxa"/>
          </w:tcPr>
          <w:p w14:paraId="151EB699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984" w:type="dxa"/>
          </w:tcPr>
          <w:p w14:paraId="564FCC2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17</w:t>
            </w:r>
          </w:p>
        </w:tc>
        <w:tc>
          <w:tcPr>
            <w:tcW w:w="2126" w:type="dxa"/>
          </w:tcPr>
          <w:p w14:paraId="4E587D7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12.1 (17/141)</w:t>
            </w:r>
          </w:p>
        </w:tc>
      </w:tr>
      <w:tr w:rsidR="00590780" w:rsidRPr="00252038" w14:paraId="3ED33BBE" w14:textId="77777777" w:rsidTr="00984839">
        <w:trPr>
          <w:trHeight w:val="379"/>
        </w:trPr>
        <w:tc>
          <w:tcPr>
            <w:tcW w:w="6805" w:type="dxa"/>
          </w:tcPr>
          <w:p w14:paraId="4187826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 detected with LCI</w:t>
            </w:r>
          </w:p>
        </w:tc>
        <w:tc>
          <w:tcPr>
            <w:tcW w:w="1984" w:type="dxa"/>
          </w:tcPr>
          <w:p w14:paraId="06A18C8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2126" w:type="dxa"/>
          </w:tcPr>
          <w:p w14:paraId="7E98968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6BB5BD10" w14:textId="77777777" w:rsidTr="00984839">
        <w:trPr>
          <w:trHeight w:val="379"/>
        </w:trPr>
        <w:tc>
          <w:tcPr>
            <w:tcW w:w="6805" w:type="dxa"/>
          </w:tcPr>
          <w:p w14:paraId="48A7B02E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1984" w:type="dxa"/>
          </w:tcPr>
          <w:p w14:paraId="641EAB7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18</w:t>
            </w:r>
          </w:p>
        </w:tc>
        <w:tc>
          <w:tcPr>
            <w:tcW w:w="2126" w:type="dxa"/>
          </w:tcPr>
          <w:p w14:paraId="07A54E3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72.0 (18/25)</w:t>
            </w:r>
          </w:p>
        </w:tc>
      </w:tr>
      <w:tr w:rsidR="00590780" w:rsidRPr="00252038" w14:paraId="23D947BA" w14:textId="77777777" w:rsidTr="00984839">
        <w:trPr>
          <w:trHeight w:val="379"/>
        </w:trPr>
        <w:tc>
          <w:tcPr>
            <w:tcW w:w="6805" w:type="dxa"/>
          </w:tcPr>
          <w:p w14:paraId="3622F40B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1984" w:type="dxa"/>
          </w:tcPr>
          <w:p w14:paraId="75F90CC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</w:t>
            </w:r>
          </w:p>
        </w:tc>
        <w:tc>
          <w:tcPr>
            <w:tcW w:w="2126" w:type="dxa"/>
          </w:tcPr>
          <w:p w14:paraId="6E6B423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100 (3/3)</w:t>
            </w:r>
          </w:p>
        </w:tc>
      </w:tr>
      <w:tr w:rsidR="00590780" w:rsidRPr="00252038" w14:paraId="400A3783" w14:textId="77777777" w:rsidTr="00984839">
        <w:trPr>
          <w:trHeight w:val="313"/>
        </w:trPr>
        <w:tc>
          <w:tcPr>
            <w:tcW w:w="6805" w:type="dxa"/>
          </w:tcPr>
          <w:p w14:paraId="61A16024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984" w:type="dxa"/>
          </w:tcPr>
          <w:p w14:paraId="06F2406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17</w:t>
            </w:r>
          </w:p>
        </w:tc>
        <w:tc>
          <w:tcPr>
            <w:tcW w:w="2126" w:type="dxa"/>
          </w:tcPr>
          <w:p w14:paraId="169DD53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100 (17/17)</w:t>
            </w:r>
          </w:p>
        </w:tc>
      </w:tr>
      <w:tr w:rsidR="00590780" w:rsidRPr="00252038" w14:paraId="4FE9823D" w14:textId="77777777" w:rsidTr="00984839">
        <w:trPr>
          <w:trHeight w:val="379"/>
        </w:trPr>
        <w:tc>
          <w:tcPr>
            <w:tcW w:w="6805" w:type="dxa"/>
          </w:tcPr>
          <w:p w14:paraId="630078D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 detected with LCE</w:t>
            </w:r>
          </w:p>
        </w:tc>
        <w:tc>
          <w:tcPr>
            <w:tcW w:w="1984" w:type="dxa"/>
          </w:tcPr>
          <w:p w14:paraId="2428277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</w:p>
        </w:tc>
        <w:tc>
          <w:tcPr>
            <w:tcW w:w="2126" w:type="dxa"/>
          </w:tcPr>
          <w:p w14:paraId="337FFBB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47B73F8" w14:textId="77777777" w:rsidTr="00984839">
        <w:trPr>
          <w:trHeight w:val="379"/>
        </w:trPr>
        <w:tc>
          <w:tcPr>
            <w:tcW w:w="6805" w:type="dxa"/>
          </w:tcPr>
          <w:p w14:paraId="4C362C4F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1984" w:type="dxa"/>
          </w:tcPr>
          <w:p w14:paraId="554EBDD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252038">
              <w:rPr>
                <w:rFonts w:ascii="Book Antiqua" w:eastAsia="MS PGothic" w:hAnsi="Book Antiqua"/>
              </w:rPr>
              <w:t>21</w:t>
            </w:r>
          </w:p>
        </w:tc>
        <w:tc>
          <w:tcPr>
            <w:tcW w:w="2126" w:type="dxa"/>
          </w:tcPr>
          <w:p w14:paraId="48D5FDE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84.0 (21/25)</w:t>
            </w:r>
          </w:p>
        </w:tc>
      </w:tr>
      <w:tr w:rsidR="00590780" w:rsidRPr="00252038" w14:paraId="181D6568" w14:textId="77777777" w:rsidTr="00984839">
        <w:trPr>
          <w:trHeight w:val="379"/>
        </w:trPr>
        <w:tc>
          <w:tcPr>
            <w:tcW w:w="6805" w:type="dxa"/>
          </w:tcPr>
          <w:p w14:paraId="1F1CC923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1984" w:type="dxa"/>
          </w:tcPr>
          <w:p w14:paraId="2E5D079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252038">
              <w:rPr>
                <w:rFonts w:ascii="Book Antiqua" w:eastAsia="MS PGothic" w:hAnsi="Book Antiqua"/>
              </w:rPr>
              <w:t>3</w:t>
            </w:r>
          </w:p>
        </w:tc>
        <w:tc>
          <w:tcPr>
            <w:tcW w:w="2126" w:type="dxa"/>
          </w:tcPr>
          <w:p w14:paraId="41F9682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100 (3/3)</w:t>
            </w:r>
          </w:p>
        </w:tc>
      </w:tr>
      <w:tr w:rsidR="00590780" w:rsidRPr="00252038" w14:paraId="7EF45DDA" w14:textId="77777777" w:rsidTr="00984839">
        <w:trPr>
          <w:trHeight w:val="251"/>
        </w:trPr>
        <w:tc>
          <w:tcPr>
            <w:tcW w:w="6805" w:type="dxa"/>
          </w:tcPr>
          <w:p w14:paraId="3AC7F3F7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984" w:type="dxa"/>
          </w:tcPr>
          <w:p w14:paraId="23E7128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  <w:r w:rsidRPr="00252038">
              <w:rPr>
                <w:rFonts w:ascii="Book Antiqua" w:eastAsia="MS PGothic" w:hAnsi="Book Antiqua"/>
              </w:rPr>
              <w:t>17</w:t>
            </w:r>
          </w:p>
        </w:tc>
        <w:tc>
          <w:tcPr>
            <w:tcW w:w="2126" w:type="dxa"/>
          </w:tcPr>
          <w:p w14:paraId="72BE05E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100 (17/17)</w:t>
            </w:r>
          </w:p>
        </w:tc>
      </w:tr>
      <w:tr w:rsidR="00590780" w:rsidRPr="00252038" w14:paraId="62B69F0A" w14:textId="77777777" w:rsidTr="00984839">
        <w:trPr>
          <w:trHeight w:val="360"/>
        </w:trPr>
        <w:tc>
          <w:tcPr>
            <w:tcW w:w="6805" w:type="dxa"/>
          </w:tcPr>
          <w:p w14:paraId="7FC1819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 detected by different d</w:t>
            </w:r>
            <w:r w:rsidRPr="00252038">
              <w:rPr>
                <w:rFonts w:ascii="Book Antiqua" w:hAnsi="Book Antiqua"/>
                <w:color w:val="231F20"/>
              </w:rPr>
              <w:t>iagn</w:t>
            </w:r>
            <w:r w:rsidRPr="00252038">
              <w:rPr>
                <w:rFonts w:ascii="Book Antiqua" w:hAnsi="Book Antiqua"/>
              </w:rPr>
              <w:t>osis modality</w:t>
            </w:r>
          </w:p>
        </w:tc>
        <w:tc>
          <w:tcPr>
            <w:tcW w:w="1984" w:type="dxa"/>
          </w:tcPr>
          <w:p w14:paraId="3D95280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</w:rPr>
            </w:pPr>
          </w:p>
        </w:tc>
        <w:tc>
          <w:tcPr>
            <w:tcW w:w="2126" w:type="dxa"/>
          </w:tcPr>
          <w:p w14:paraId="1E2DEBA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6EFC194C" w14:textId="77777777" w:rsidTr="00984839">
        <w:trPr>
          <w:trHeight w:val="360"/>
        </w:trPr>
        <w:tc>
          <w:tcPr>
            <w:tcW w:w="6805" w:type="dxa"/>
          </w:tcPr>
          <w:p w14:paraId="13002B03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Only LCI</w:t>
            </w:r>
          </w:p>
        </w:tc>
        <w:tc>
          <w:tcPr>
            <w:tcW w:w="1984" w:type="dxa"/>
          </w:tcPr>
          <w:p w14:paraId="087EC68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</w:t>
            </w:r>
          </w:p>
        </w:tc>
        <w:tc>
          <w:tcPr>
            <w:tcW w:w="2126" w:type="dxa"/>
          </w:tcPr>
          <w:p w14:paraId="02937BA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8.9 (4/45)</w:t>
            </w:r>
          </w:p>
        </w:tc>
      </w:tr>
      <w:tr w:rsidR="00590780" w:rsidRPr="00252038" w14:paraId="2F8DE200" w14:textId="77777777" w:rsidTr="00984839">
        <w:trPr>
          <w:trHeight w:val="379"/>
        </w:trPr>
        <w:tc>
          <w:tcPr>
            <w:tcW w:w="6805" w:type="dxa"/>
          </w:tcPr>
          <w:p w14:paraId="58637212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Only LCE</w:t>
            </w:r>
          </w:p>
        </w:tc>
        <w:tc>
          <w:tcPr>
            <w:tcW w:w="1984" w:type="dxa"/>
          </w:tcPr>
          <w:p w14:paraId="7A1BF7E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</w:t>
            </w:r>
          </w:p>
        </w:tc>
        <w:tc>
          <w:tcPr>
            <w:tcW w:w="2126" w:type="dxa"/>
          </w:tcPr>
          <w:p w14:paraId="1E01365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15.6 (7/45)</w:t>
            </w:r>
          </w:p>
        </w:tc>
      </w:tr>
      <w:tr w:rsidR="00590780" w:rsidRPr="00252038" w14:paraId="4805796A" w14:textId="77777777" w:rsidTr="00984839">
        <w:trPr>
          <w:trHeight w:val="275"/>
        </w:trPr>
        <w:tc>
          <w:tcPr>
            <w:tcW w:w="6805" w:type="dxa"/>
          </w:tcPr>
          <w:p w14:paraId="7123D74A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Both LCI and LCE</w:t>
            </w:r>
          </w:p>
        </w:tc>
        <w:tc>
          <w:tcPr>
            <w:tcW w:w="1984" w:type="dxa"/>
          </w:tcPr>
          <w:p w14:paraId="0707220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34</w:t>
            </w:r>
          </w:p>
        </w:tc>
        <w:tc>
          <w:tcPr>
            <w:tcW w:w="2126" w:type="dxa"/>
          </w:tcPr>
          <w:p w14:paraId="37B2236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75.6 (34/45)</w:t>
            </w:r>
          </w:p>
        </w:tc>
      </w:tr>
      <w:tr w:rsidR="00590780" w:rsidRPr="00252038" w14:paraId="26B46E40" w14:textId="77777777" w:rsidTr="00984839">
        <w:trPr>
          <w:trHeight w:val="379"/>
        </w:trPr>
        <w:tc>
          <w:tcPr>
            <w:tcW w:w="6805" w:type="dxa"/>
            <w:tcBorders>
              <w:bottom w:val="single" w:sz="4" w:space="0" w:color="auto"/>
            </w:tcBorders>
          </w:tcPr>
          <w:p w14:paraId="150FC48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Neoplastic lesions per patient, mean (SD)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F353E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0.08 (0.29)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E664C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</w:tbl>
    <w:p w14:paraId="72F645D1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  <w:r w:rsidRPr="00252038">
        <w:rPr>
          <w:rFonts w:ascii="Book Antiqua" w:eastAsia="MS PGothic" w:hAnsi="Book Antiqua"/>
          <w:color w:val="000000"/>
          <w:vertAlign w:val="superscript"/>
        </w:rPr>
        <w:t>1</w:t>
      </w:r>
      <w:r w:rsidRPr="00252038">
        <w:rPr>
          <w:rFonts w:ascii="Book Antiqua" w:eastAsia="MS PGothic" w:hAnsi="Book Antiqua"/>
          <w:color w:val="000000"/>
        </w:rPr>
        <w:t>Suspected lesions included neoplastic lesions and false positives (lesions detected but not confirmed to be neoplastic after histological examination).</w:t>
      </w:r>
    </w:p>
    <w:p w14:paraId="6CE16872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hAnsi="Book Antiqua"/>
        </w:rPr>
      </w:pPr>
      <w:r w:rsidRPr="00252038">
        <w:rPr>
          <w:rFonts w:ascii="Book Antiqua" w:eastAsia="MS PGothic" w:hAnsi="Book Antiqua"/>
          <w:color w:val="000000"/>
          <w:vertAlign w:val="superscript"/>
        </w:rPr>
        <w:t>2</w:t>
      </w:r>
      <w:r w:rsidRPr="00252038">
        <w:rPr>
          <w:rFonts w:ascii="Book Antiqua" w:eastAsia="MS PGothic" w:hAnsi="Book Antiqua"/>
          <w:color w:val="000000"/>
        </w:rPr>
        <w:t>Neoplastic lesions confirmed by histological examinatio</w:t>
      </w:r>
      <w:r w:rsidRPr="00252038">
        <w:rPr>
          <w:rFonts w:ascii="Book Antiqua" w:hAnsi="Book Antiqua"/>
        </w:rPr>
        <w:t>n.</w:t>
      </w:r>
    </w:p>
    <w:p w14:paraId="1E70D1A1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  <w:r w:rsidRPr="00252038">
        <w:rPr>
          <w:rFonts w:ascii="Book Antiqua" w:hAnsi="Book Antiqua"/>
          <w:color w:val="000000"/>
        </w:rPr>
        <w:lastRenderedPageBreak/>
        <w:t xml:space="preserve">ESCC: </w:t>
      </w:r>
      <w:r w:rsidRPr="00252038">
        <w:rPr>
          <w:rFonts w:ascii="Book Antiqua" w:eastAsia="AvenirNextLTPro-Regular" w:hAnsi="Book Antiqua"/>
          <w:color w:val="231F20"/>
        </w:rPr>
        <w:t>Esophageal squamous cell carcinoma;</w:t>
      </w:r>
      <w:r w:rsidRPr="00252038">
        <w:rPr>
          <w:rFonts w:ascii="Book Antiqua" w:eastAsia="MS PGothic" w:hAnsi="Book Antiqua"/>
          <w:color w:val="000000"/>
        </w:rPr>
        <w:t xml:space="preserve"> </w:t>
      </w:r>
      <w:r w:rsidRPr="00252038">
        <w:rPr>
          <w:rFonts w:ascii="Book Antiqua" w:hAnsi="Book Antiqua"/>
          <w:color w:val="000000"/>
        </w:rPr>
        <w:t xml:space="preserve">HGIN: </w:t>
      </w:r>
      <w:r w:rsidRPr="00252038">
        <w:rPr>
          <w:rFonts w:ascii="Book Antiqua" w:eastAsia="AvenirNextLTPro-Regular" w:hAnsi="Book Antiqua"/>
          <w:color w:val="000000"/>
        </w:rPr>
        <w:t xml:space="preserve">High-grade intraepithelial neoplasia; </w:t>
      </w:r>
      <w:r w:rsidRPr="00252038">
        <w:rPr>
          <w:rFonts w:ascii="Book Antiqua" w:hAnsi="Book Antiqua"/>
          <w:color w:val="000000"/>
        </w:rPr>
        <w:t>LCE</w:t>
      </w:r>
      <w:r w:rsidRPr="00252038">
        <w:rPr>
          <w:rFonts w:ascii="Book Antiqua" w:eastAsia="MS PGothic" w:hAnsi="Book Antiqua"/>
          <w:color w:val="000000"/>
        </w:rPr>
        <w:t>: Lugol chromoendoscopy; LCI</w:t>
      </w:r>
      <w:r w:rsidRPr="00252038">
        <w:rPr>
          <w:rFonts w:ascii="Book Antiqua" w:hAnsi="Book Antiqua"/>
          <w:color w:val="000000"/>
        </w:rPr>
        <w:t>:</w:t>
      </w:r>
      <w:r w:rsidRPr="00252038">
        <w:rPr>
          <w:rFonts w:ascii="Book Antiqua" w:eastAsia="MS PGothic" w:hAnsi="Book Antiqua"/>
          <w:color w:val="000000"/>
        </w:rPr>
        <w:t xml:space="preserve"> Linked color imaging; </w:t>
      </w:r>
      <w:r w:rsidRPr="00252038">
        <w:rPr>
          <w:rFonts w:ascii="Book Antiqua" w:hAnsi="Book Antiqua"/>
          <w:color w:val="000000"/>
        </w:rPr>
        <w:t xml:space="preserve">LGIN; </w:t>
      </w:r>
      <w:r w:rsidRPr="00252038">
        <w:rPr>
          <w:rFonts w:ascii="Book Antiqua" w:eastAsia="AvenirNextLTPro-Regular" w:hAnsi="Book Antiqua"/>
          <w:color w:val="000000"/>
        </w:rPr>
        <w:t>Low-grade intraepithelial neoplasia</w:t>
      </w:r>
      <w:r w:rsidRPr="00252038">
        <w:rPr>
          <w:rFonts w:ascii="Book Antiqua" w:hAnsi="Book Antiqua"/>
          <w:color w:val="000000"/>
        </w:rPr>
        <w:t xml:space="preserve">; </w:t>
      </w:r>
      <w:r w:rsidRPr="00252038">
        <w:rPr>
          <w:rFonts w:ascii="Book Antiqua" w:eastAsia="MS PGothic" w:hAnsi="Book Antiqua"/>
          <w:color w:val="000000"/>
        </w:rPr>
        <w:t>SD: Standard deviation.</w:t>
      </w:r>
    </w:p>
    <w:p w14:paraId="6926DCD6" w14:textId="28A0FBC2" w:rsidR="00590780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</w:p>
    <w:p w14:paraId="42E6F75A" w14:textId="51DCCF80" w:rsidR="00252038" w:rsidRDefault="00252038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</w:p>
    <w:p w14:paraId="1F11332D" w14:textId="77777777" w:rsidR="00252038" w:rsidRPr="00252038" w:rsidRDefault="00252038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</w:p>
    <w:p w14:paraId="12F2E54C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 w:rsidRPr="00252038">
        <w:rPr>
          <w:rFonts w:ascii="Book Antiqua" w:eastAsia="MS PGothic" w:hAnsi="Book Antiqua"/>
          <w:b/>
          <w:bCs/>
          <w:color w:val="000000"/>
        </w:rPr>
        <w:t>Table 2 Esophageal neoplastic lesions (non-inflammation) detected using linked color imaging and Lugol chromoendoscopy</w:t>
      </w:r>
    </w:p>
    <w:tbl>
      <w:tblPr>
        <w:tblW w:w="9100" w:type="dxa"/>
        <w:tblLayout w:type="fixed"/>
        <w:tblLook w:val="04A0" w:firstRow="1" w:lastRow="0" w:firstColumn="1" w:lastColumn="0" w:noHBand="0" w:noVBand="1"/>
      </w:tblPr>
      <w:tblGrid>
        <w:gridCol w:w="2498"/>
        <w:gridCol w:w="2417"/>
        <w:gridCol w:w="2744"/>
        <w:gridCol w:w="1441"/>
      </w:tblGrid>
      <w:tr w:rsidR="00590780" w:rsidRPr="00252038" w14:paraId="5BDEC9F9" w14:textId="77777777" w:rsidTr="00984839">
        <w:trPr>
          <w:trHeight w:val="393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14:paraId="0B53492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252038">
              <w:rPr>
                <w:rFonts w:ascii="Book Antiqua" w:eastAsia="宋体" w:hAnsi="Book Antiqua"/>
                <w:b/>
                <w:bCs/>
              </w:rPr>
              <w:t>Parameter</w:t>
            </w:r>
          </w:p>
        </w:tc>
        <w:tc>
          <w:tcPr>
            <w:tcW w:w="2417" w:type="dxa"/>
            <w:tcBorders>
              <w:top w:val="single" w:sz="4" w:space="0" w:color="auto"/>
              <w:bottom w:val="single" w:sz="4" w:space="0" w:color="auto"/>
            </w:tcBorders>
          </w:tcPr>
          <w:p w14:paraId="152983D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LCI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74B42E9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LCE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3F6D36D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P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590780" w:rsidRPr="00252038" w14:paraId="3ED94BE3" w14:textId="77777777" w:rsidTr="00984839">
        <w:trPr>
          <w:trHeight w:val="519"/>
        </w:trPr>
        <w:tc>
          <w:tcPr>
            <w:tcW w:w="2498" w:type="dxa"/>
            <w:tcBorders>
              <w:top w:val="single" w:sz="4" w:space="0" w:color="auto"/>
            </w:tcBorders>
          </w:tcPr>
          <w:p w14:paraId="0CF741C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Sensitivity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04A4485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83.7 (36/43)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2D77F68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90.7 (39/43)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6E39EA2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0.520</w:t>
            </w:r>
          </w:p>
        </w:tc>
      </w:tr>
      <w:tr w:rsidR="00590780" w:rsidRPr="00252038" w14:paraId="5A7D84F3" w14:textId="77777777" w:rsidTr="00984839">
        <w:trPr>
          <w:trHeight w:val="509"/>
        </w:trPr>
        <w:tc>
          <w:tcPr>
            <w:tcW w:w="2498" w:type="dxa"/>
          </w:tcPr>
          <w:p w14:paraId="31411C6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Specificity</w:t>
            </w:r>
          </w:p>
        </w:tc>
        <w:tc>
          <w:tcPr>
            <w:tcW w:w="2417" w:type="dxa"/>
          </w:tcPr>
          <w:p w14:paraId="29EB8C9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92.4 (462/500)</w:t>
            </w:r>
          </w:p>
        </w:tc>
        <w:tc>
          <w:tcPr>
            <w:tcW w:w="2744" w:type="dxa"/>
          </w:tcPr>
          <w:p w14:paraId="4C7C2E6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87.0 (435/500)</w:t>
            </w:r>
          </w:p>
        </w:tc>
        <w:tc>
          <w:tcPr>
            <w:tcW w:w="1441" w:type="dxa"/>
          </w:tcPr>
          <w:p w14:paraId="530DFBB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0.007</w:t>
            </w:r>
            <w:r w:rsidRPr="00252038">
              <w:rPr>
                <w:rFonts w:ascii="Book Antiqua" w:eastAsia="MS PGothic" w:hAnsi="Book Antiqua"/>
                <w:color w:val="000000"/>
                <w:vertAlign w:val="superscript"/>
              </w:rPr>
              <w:t>1</w:t>
            </w:r>
          </w:p>
        </w:tc>
      </w:tr>
      <w:tr w:rsidR="00590780" w:rsidRPr="00252038" w14:paraId="50DC5E0E" w14:textId="77777777" w:rsidTr="00984839">
        <w:trPr>
          <w:trHeight w:val="506"/>
        </w:trPr>
        <w:tc>
          <w:tcPr>
            <w:tcW w:w="2498" w:type="dxa"/>
          </w:tcPr>
          <w:p w14:paraId="1C623B5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PPV</w:t>
            </w:r>
          </w:p>
        </w:tc>
        <w:tc>
          <w:tcPr>
            <w:tcW w:w="2417" w:type="dxa"/>
          </w:tcPr>
          <w:p w14:paraId="7F8B430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48.6 (36/74)</w:t>
            </w:r>
          </w:p>
        </w:tc>
        <w:tc>
          <w:tcPr>
            <w:tcW w:w="2744" w:type="dxa"/>
          </w:tcPr>
          <w:p w14:paraId="1C968BB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37.5 (39/104)</w:t>
            </w:r>
          </w:p>
        </w:tc>
        <w:tc>
          <w:tcPr>
            <w:tcW w:w="1441" w:type="dxa"/>
          </w:tcPr>
          <w:p w14:paraId="567B3CE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0.166</w:t>
            </w:r>
          </w:p>
        </w:tc>
      </w:tr>
      <w:tr w:rsidR="00590780" w:rsidRPr="00252038" w14:paraId="0F1DC3B7" w14:textId="77777777" w:rsidTr="00984839">
        <w:trPr>
          <w:trHeight w:val="507"/>
        </w:trPr>
        <w:tc>
          <w:tcPr>
            <w:tcW w:w="2498" w:type="dxa"/>
            <w:tcBorders>
              <w:bottom w:val="single" w:sz="4" w:space="0" w:color="auto"/>
            </w:tcBorders>
          </w:tcPr>
          <w:p w14:paraId="31112DC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NPV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7B1529D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98.5 (462/469)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75F2158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99.1 (435/439)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6331F8A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0.549</w:t>
            </w:r>
          </w:p>
        </w:tc>
      </w:tr>
    </w:tbl>
    <w:p w14:paraId="03EA062C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  <w:r w:rsidRPr="00252038">
        <w:rPr>
          <w:rFonts w:ascii="Book Antiqua" w:eastAsia="MS PGothic" w:hAnsi="Book Antiqua"/>
          <w:color w:val="000000"/>
          <w:vertAlign w:val="superscript"/>
        </w:rPr>
        <w:t>1</w:t>
      </w:r>
      <w:r w:rsidRPr="00252038">
        <w:rPr>
          <w:rFonts w:ascii="Book Antiqua" w:eastAsia="MS PGothic" w:hAnsi="Book Antiqua"/>
          <w:i/>
          <w:iCs/>
          <w:color w:val="000000"/>
        </w:rPr>
        <w:t>P</w:t>
      </w:r>
      <w:r w:rsidRPr="00252038">
        <w:rPr>
          <w:rFonts w:ascii="Book Antiqua" w:eastAsia="MS PGothic" w:hAnsi="Book Antiqua"/>
          <w:color w:val="000000"/>
        </w:rPr>
        <w:t xml:space="preserve"> &lt; 0.01.</w:t>
      </w:r>
    </w:p>
    <w:p w14:paraId="43FB6C6C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color w:val="000000"/>
        </w:rPr>
      </w:pPr>
      <w:r w:rsidRPr="00252038">
        <w:rPr>
          <w:rFonts w:ascii="Book Antiqua" w:eastAsia="MS PGothic" w:hAnsi="Book Antiqua"/>
          <w:color w:val="000000"/>
        </w:rPr>
        <w:t>Data are presented as % (</w:t>
      </w:r>
      <w:r w:rsidRPr="00252038">
        <w:rPr>
          <w:rFonts w:ascii="Book Antiqua" w:eastAsia="MS PGothic" w:hAnsi="Book Antiqua"/>
          <w:i/>
          <w:iCs/>
          <w:color w:val="000000"/>
        </w:rPr>
        <w:t>n</w:t>
      </w:r>
      <w:r w:rsidRPr="00252038">
        <w:rPr>
          <w:rFonts w:ascii="Book Antiqua" w:eastAsia="MS PGothic" w:hAnsi="Book Antiqua"/>
          <w:color w:val="000000"/>
        </w:rPr>
        <w:t>/</w:t>
      </w:r>
      <w:r w:rsidRPr="00252038">
        <w:rPr>
          <w:rFonts w:ascii="Book Antiqua" w:eastAsia="MS PGothic" w:hAnsi="Book Antiqua"/>
          <w:i/>
          <w:iCs/>
          <w:color w:val="000000"/>
        </w:rPr>
        <w:t>n</w:t>
      </w:r>
      <w:r w:rsidRPr="00252038">
        <w:rPr>
          <w:rFonts w:ascii="Book Antiqua" w:eastAsia="MS PGothic" w:hAnsi="Book Antiqua"/>
          <w:color w:val="000000"/>
        </w:rPr>
        <w:t xml:space="preserve"> total). </w:t>
      </w:r>
      <w:r w:rsidRPr="00252038">
        <w:rPr>
          <w:rFonts w:ascii="Book Antiqua" w:hAnsi="Book Antiqua"/>
          <w:color w:val="000000"/>
        </w:rPr>
        <w:t>LCE:</w:t>
      </w:r>
      <w:r w:rsidRPr="00252038">
        <w:rPr>
          <w:rFonts w:ascii="Book Antiqua" w:eastAsia="MS PGothic" w:hAnsi="Book Antiqua"/>
          <w:color w:val="000000"/>
        </w:rPr>
        <w:t xml:space="preserve"> Lugol chromoendoscopy; LCI: Linked color imaging; </w:t>
      </w:r>
      <w:r w:rsidRPr="00252038">
        <w:rPr>
          <w:rFonts w:ascii="Book Antiqua" w:hAnsi="Book Antiqua"/>
          <w:color w:val="000000"/>
        </w:rPr>
        <w:t>NPV: Negative predictive value; PPV: Positive predictive value.</w:t>
      </w:r>
    </w:p>
    <w:p w14:paraId="1F7B4C0B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宋体" w:hAnsi="Book Antiqua"/>
        </w:rPr>
        <w:sectPr w:rsidR="00590780" w:rsidRPr="00252038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425"/>
          <w:docGrid w:type="lines" w:linePitch="312"/>
        </w:sectPr>
      </w:pPr>
    </w:p>
    <w:p w14:paraId="58210F8C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eastAsia="MS PGothic" w:hAnsi="Book Antiqua"/>
          <w:b/>
          <w:bCs/>
          <w:color w:val="000000"/>
        </w:rPr>
      </w:pPr>
      <w:r w:rsidRPr="00252038">
        <w:rPr>
          <w:rFonts w:ascii="Book Antiqua" w:eastAsia="MS PGothic" w:hAnsi="Book Antiqua"/>
          <w:b/>
          <w:bCs/>
          <w:color w:val="000000"/>
        </w:rPr>
        <w:lastRenderedPageBreak/>
        <w:t xml:space="preserve">Table 3 Clinicopathological features of neoplastic </w:t>
      </w:r>
      <w:r w:rsidRPr="00252038">
        <w:rPr>
          <w:rFonts w:ascii="Book Antiqua" w:hAnsi="Book Antiqua"/>
          <w:b/>
          <w:bCs/>
          <w:color w:val="000000"/>
        </w:rPr>
        <w:t>l</w:t>
      </w:r>
      <w:r w:rsidRPr="00252038">
        <w:rPr>
          <w:rFonts w:ascii="Book Antiqua" w:eastAsia="MS PGothic" w:hAnsi="Book Antiqua"/>
          <w:b/>
          <w:bCs/>
          <w:color w:val="000000"/>
        </w:rPr>
        <w:t xml:space="preserve">esions (non-inflammation) detected by linked color imaging and Lugol chromoendoscopy, </w:t>
      </w:r>
      <w:r w:rsidRPr="00252038">
        <w:rPr>
          <w:rFonts w:ascii="Book Antiqua" w:eastAsia="MS PGothic" w:hAnsi="Book Antiqua"/>
          <w:b/>
          <w:bCs/>
          <w:i/>
          <w:iCs/>
          <w:color w:val="000000"/>
        </w:rPr>
        <w:t>n</w:t>
      </w:r>
      <w:r w:rsidRPr="00252038">
        <w:rPr>
          <w:rFonts w:ascii="Book Antiqua" w:eastAsia="MS PGothic" w:hAnsi="Book Antiqua"/>
          <w:b/>
          <w:bCs/>
          <w:color w:val="000000"/>
        </w:rPr>
        <w:t xml:space="preserve"> (%)</w:t>
      </w:r>
    </w:p>
    <w:tbl>
      <w:tblPr>
        <w:tblW w:w="10838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835"/>
        <w:gridCol w:w="3422"/>
        <w:gridCol w:w="3100"/>
        <w:gridCol w:w="1222"/>
      </w:tblGrid>
      <w:tr w:rsidR="00590780" w:rsidRPr="00252038" w14:paraId="24650578" w14:textId="77777777" w:rsidTr="00984839">
        <w:trPr>
          <w:trHeight w:val="869"/>
          <w:jc w:val="center"/>
        </w:trPr>
        <w:tc>
          <w:tcPr>
            <w:tcW w:w="30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5E47A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Item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14:paraId="46EE8FD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Detected by LCI, </w:t>
            </w: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>n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 = 36 patients/38 lesions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14:paraId="4910958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 xml:space="preserve">Detected by </w:t>
            </w:r>
            <w:r w:rsidRPr="00252038">
              <w:rPr>
                <w:rFonts w:ascii="Book Antiqua" w:hAnsi="Book Antiqua"/>
                <w:b/>
                <w:bCs/>
                <w:color w:val="000000"/>
              </w:rPr>
              <w:t xml:space="preserve">LCE, </w:t>
            </w: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 xml:space="preserve">n 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= 39 patients/41 lesions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1C4529E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b/>
                <w:bCs/>
                <w:color w:val="000000"/>
              </w:rPr>
            </w:pPr>
            <w:r w:rsidRPr="00252038">
              <w:rPr>
                <w:rFonts w:ascii="Book Antiqua" w:eastAsia="MS PGothic" w:hAnsi="Book Antiqua"/>
                <w:b/>
                <w:bCs/>
                <w:i/>
                <w:iCs/>
                <w:color w:val="000000"/>
              </w:rPr>
              <w:t xml:space="preserve">P </w:t>
            </w:r>
            <w:r w:rsidRPr="00252038">
              <w:rPr>
                <w:rFonts w:ascii="Book Antiqua" w:eastAsia="MS PGothic" w:hAnsi="Book Antiqua"/>
                <w:b/>
                <w:bCs/>
                <w:color w:val="000000"/>
              </w:rPr>
              <w:t>value</w:t>
            </w:r>
          </w:p>
        </w:tc>
      </w:tr>
      <w:tr w:rsidR="00590780" w:rsidRPr="00252038" w14:paraId="53CED29A" w14:textId="77777777" w:rsidTr="00984839">
        <w:trPr>
          <w:trHeight w:val="90"/>
          <w:jc w:val="center"/>
        </w:trPr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14:paraId="528F86D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Lesion location</w:t>
            </w:r>
          </w:p>
        </w:tc>
        <w:tc>
          <w:tcPr>
            <w:tcW w:w="3422" w:type="dxa"/>
            <w:tcBorders>
              <w:top w:val="single" w:sz="4" w:space="0" w:color="auto"/>
            </w:tcBorders>
          </w:tcPr>
          <w:p w14:paraId="6733B89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</w:tcPr>
          <w:p w14:paraId="463C9F2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1EB2FE3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0.969</w:t>
            </w:r>
          </w:p>
        </w:tc>
      </w:tr>
      <w:tr w:rsidR="00590780" w:rsidRPr="00252038" w14:paraId="5DCC2FFE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40724340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Upper</w:t>
            </w:r>
          </w:p>
        </w:tc>
        <w:tc>
          <w:tcPr>
            <w:tcW w:w="3422" w:type="dxa"/>
          </w:tcPr>
          <w:p w14:paraId="7A8AB7E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(7.9)</w:t>
            </w:r>
          </w:p>
        </w:tc>
        <w:tc>
          <w:tcPr>
            <w:tcW w:w="3100" w:type="dxa"/>
          </w:tcPr>
          <w:p w14:paraId="36BE07F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(7.3)</w:t>
            </w:r>
          </w:p>
        </w:tc>
        <w:tc>
          <w:tcPr>
            <w:tcW w:w="1222" w:type="dxa"/>
          </w:tcPr>
          <w:p w14:paraId="334449B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8ECB5DE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7D5A068D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Middle</w:t>
            </w:r>
          </w:p>
        </w:tc>
        <w:tc>
          <w:tcPr>
            <w:tcW w:w="3422" w:type="dxa"/>
          </w:tcPr>
          <w:p w14:paraId="01BA42E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11 (28.9)</w:t>
            </w:r>
          </w:p>
        </w:tc>
        <w:tc>
          <w:tcPr>
            <w:tcW w:w="3100" w:type="dxa"/>
          </w:tcPr>
          <w:p w14:paraId="61A5CFD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11 (26.8)</w:t>
            </w:r>
          </w:p>
        </w:tc>
        <w:tc>
          <w:tcPr>
            <w:tcW w:w="1222" w:type="dxa"/>
          </w:tcPr>
          <w:p w14:paraId="31244EB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752AE3E2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0C09FB5D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Lower</w:t>
            </w:r>
          </w:p>
        </w:tc>
        <w:tc>
          <w:tcPr>
            <w:tcW w:w="3422" w:type="dxa"/>
          </w:tcPr>
          <w:p w14:paraId="75FCDFF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24 (63.2)</w:t>
            </w:r>
          </w:p>
        </w:tc>
        <w:tc>
          <w:tcPr>
            <w:tcW w:w="3100" w:type="dxa"/>
          </w:tcPr>
          <w:p w14:paraId="01292E5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27 (65.9)</w:t>
            </w:r>
          </w:p>
        </w:tc>
        <w:tc>
          <w:tcPr>
            <w:tcW w:w="1222" w:type="dxa"/>
          </w:tcPr>
          <w:p w14:paraId="23E3CC8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4DA4E8E7" w14:textId="77777777" w:rsidTr="00984839">
        <w:trPr>
          <w:trHeight w:val="383"/>
          <w:jc w:val="center"/>
        </w:trPr>
        <w:tc>
          <w:tcPr>
            <w:tcW w:w="3094" w:type="dxa"/>
            <w:gridSpan w:val="2"/>
          </w:tcPr>
          <w:p w14:paraId="0975565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Morphologic type</w:t>
            </w:r>
          </w:p>
        </w:tc>
        <w:tc>
          <w:tcPr>
            <w:tcW w:w="3422" w:type="dxa"/>
          </w:tcPr>
          <w:p w14:paraId="757D315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3100" w:type="dxa"/>
          </w:tcPr>
          <w:p w14:paraId="5EDC027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222" w:type="dxa"/>
          </w:tcPr>
          <w:p w14:paraId="3956AFD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0.902</w:t>
            </w:r>
          </w:p>
        </w:tc>
      </w:tr>
      <w:tr w:rsidR="00590780" w:rsidRPr="00252038" w14:paraId="38B56D56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4A87D449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宋体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I</w:t>
            </w:r>
          </w:p>
        </w:tc>
        <w:tc>
          <w:tcPr>
            <w:tcW w:w="3422" w:type="dxa"/>
          </w:tcPr>
          <w:p w14:paraId="57E7E3B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(2.6)</w:t>
            </w:r>
          </w:p>
        </w:tc>
        <w:tc>
          <w:tcPr>
            <w:tcW w:w="3100" w:type="dxa"/>
          </w:tcPr>
          <w:p w14:paraId="7617AC3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(2.4)</w:t>
            </w:r>
          </w:p>
        </w:tc>
        <w:tc>
          <w:tcPr>
            <w:tcW w:w="1222" w:type="dxa"/>
          </w:tcPr>
          <w:p w14:paraId="053761F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F25867A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23304FB7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IIa</w:t>
            </w:r>
          </w:p>
        </w:tc>
        <w:tc>
          <w:tcPr>
            <w:tcW w:w="3422" w:type="dxa"/>
          </w:tcPr>
          <w:p w14:paraId="0F6EE04C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 (23.7)</w:t>
            </w:r>
          </w:p>
        </w:tc>
        <w:tc>
          <w:tcPr>
            <w:tcW w:w="3100" w:type="dxa"/>
          </w:tcPr>
          <w:p w14:paraId="2B9F7BA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8 (19.5)</w:t>
            </w:r>
          </w:p>
        </w:tc>
        <w:tc>
          <w:tcPr>
            <w:tcW w:w="1222" w:type="dxa"/>
          </w:tcPr>
          <w:p w14:paraId="2057B0C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1783D065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3DA4DB66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IIb</w:t>
            </w:r>
          </w:p>
        </w:tc>
        <w:tc>
          <w:tcPr>
            <w:tcW w:w="3422" w:type="dxa"/>
          </w:tcPr>
          <w:p w14:paraId="7881B32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18 (47.4)</w:t>
            </w:r>
          </w:p>
        </w:tc>
        <w:tc>
          <w:tcPr>
            <w:tcW w:w="3100" w:type="dxa"/>
          </w:tcPr>
          <w:p w14:paraId="22C34DA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24 (58.5)</w:t>
            </w:r>
          </w:p>
        </w:tc>
        <w:tc>
          <w:tcPr>
            <w:tcW w:w="1222" w:type="dxa"/>
          </w:tcPr>
          <w:p w14:paraId="398752E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291E04F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36DE64D2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IIc</w:t>
            </w:r>
          </w:p>
        </w:tc>
        <w:tc>
          <w:tcPr>
            <w:tcW w:w="3422" w:type="dxa"/>
          </w:tcPr>
          <w:p w14:paraId="0CCE93A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9 (23.7)</w:t>
            </w:r>
          </w:p>
        </w:tc>
        <w:tc>
          <w:tcPr>
            <w:tcW w:w="3100" w:type="dxa"/>
          </w:tcPr>
          <w:p w14:paraId="6C02119A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7 (17.1)</w:t>
            </w:r>
          </w:p>
        </w:tc>
        <w:tc>
          <w:tcPr>
            <w:tcW w:w="1222" w:type="dxa"/>
          </w:tcPr>
          <w:p w14:paraId="266A2EC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27D0E4EE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41572A3D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III</w:t>
            </w:r>
          </w:p>
        </w:tc>
        <w:tc>
          <w:tcPr>
            <w:tcW w:w="3422" w:type="dxa"/>
          </w:tcPr>
          <w:p w14:paraId="47FC437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(2.6)</w:t>
            </w:r>
          </w:p>
        </w:tc>
        <w:tc>
          <w:tcPr>
            <w:tcW w:w="3100" w:type="dxa"/>
          </w:tcPr>
          <w:p w14:paraId="33B44BB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(2.4)</w:t>
            </w:r>
          </w:p>
        </w:tc>
        <w:tc>
          <w:tcPr>
            <w:tcW w:w="1222" w:type="dxa"/>
          </w:tcPr>
          <w:p w14:paraId="26C9D3D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2A604F20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13EB41A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Size in mm</w:t>
            </w:r>
          </w:p>
        </w:tc>
        <w:tc>
          <w:tcPr>
            <w:tcW w:w="3422" w:type="dxa"/>
          </w:tcPr>
          <w:p w14:paraId="43433AB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3100" w:type="dxa"/>
          </w:tcPr>
          <w:p w14:paraId="052FCF5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222" w:type="dxa"/>
          </w:tcPr>
          <w:p w14:paraId="16327FD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0.814</w:t>
            </w:r>
          </w:p>
        </w:tc>
      </w:tr>
      <w:tr w:rsidR="00590780" w:rsidRPr="00252038" w14:paraId="0139F2B4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4BC8528B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宋体" w:hAnsi="Book Antiqua" w:cs="Cambria Math"/>
                <w:color w:val="000000"/>
              </w:rPr>
              <w:t xml:space="preserve">≤ </w:t>
            </w:r>
            <w:r w:rsidRPr="00252038">
              <w:rPr>
                <w:rFonts w:ascii="Book Antiqua" w:eastAsia="MS PGothic" w:hAnsi="Book Antiqua"/>
                <w:color w:val="000000"/>
              </w:rPr>
              <w:t>10</w:t>
            </w:r>
          </w:p>
        </w:tc>
        <w:tc>
          <w:tcPr>
            <w:tcW w:w="3422" w:type="dxa"/>
          </w:tcPr>
          <w:p w14:paraId="5F13891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14 (36.8)</w:t>
            </w:r>
          </w:p>
        </w:tc>
        <w:tc>
          <w:tcPr>
            <w:tcW w:w="3100" w:type="dxa"/>
          </w:tcPr>
          <w:p w14:paraId="0B802FF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18 (43.9)</w:t>
            </w:r>
          </w:p>
        </w:tc>
        <w:tc>
          <w:tcPr>
            <w:tcW w:w="1222" w:type="dxa"/>
          </w:tcPr>
          <w:p w14:paraId="4FBC2DE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57399371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27209991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10-20</w:t>
            </w:r>
          </w:p>
        </w:tc>
        <w:tc>
          <w:tcPr>
            <w:tcW w:w="3422" w:type="dxa"/>
          </w:tcPr>
          <w:p w14:paraId="28B00FAB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(7.9)</w:t>
            </w:r>
          </w:p>
        </w:tc>
        <w:tc>
          <w:tcPr>
            <w:tcW w:w="3100" w:type="dxa"/>
          </w:tcPr>
          <w:p w14:paraId="0555D6B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(7.3)</w:t>
            </w:r>
          </w:p>
        </w:tc>
        <w:tc>
          <w:tcPr>
            <w:tcW w:w="1222" w:type="dxa"/>
          </w:tcPr>
          <w:p w14:paraId="491C2162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02C52B93" w14:textId="77777777" w:rsidTr="00984839">
        <w:trPr>
          <w:trHeight w:val="467"/>
          <w:jc w:val="center"/>
        </w:trPr>
        <w:tc>
          <w:tcPr>
            <w:tcW w:w="3094" w:type="dxa"/>
            <w:gridSpan w:val="2"/>
          </w:tcPr>
          <w:p w14:paraId="56DA2852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 xml:space="preserve">&gt; </w:t>
            </w:r>
            <w:r w:rsidRPr="00252038">
              <w:rPr>
                <w:rFonts w:ascii="Book Antiqua" w:eastAsia="MS PGothic" w:hAnsi="Book Antiqua"/>
                <w:color w:val="000000"/>
              </w:rPr>
              <w:t>20</w:t>
            </w:r>
          </w:p>
        </w:tc>
        <w:tc>
          <w:tcPr>
            <w:tcW w:w="3422" w:type="dxa"/>
          </w:tcPr>
          <w:p w14:paraId="0A49BC9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21 (55.3)</w:t>
            </w:r>
          </w:p>
        </w:tc>
        <w:tc>
          <w:tcPr>
            <w:tcW w:w="3100" w:type="dxa"/>
          </w:tcPr>
          <w:p w14:paraId="49D3B3E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20 (48.8)</w:t>
            </w:r>
          </w:p>
        </w:tc>
        <w:tc>
          <w:tcPr>
            <w:tcW w:w="1222" w:type="dxa"/>
          </w:tcPr>
          <w:p w14:paraId="59AAA693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79A22729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61255588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P</w:t>
            </w:r>
            <w:r w:rsidRPr="00252038">
              <w:rPr>
                <w:rFonts w:ascii="Book Antiqua" w:eastAsia="MS PGothic" w:hAnsi="Book Antiqua"/>
                <w:color w:val="000000"/>
              </w:rPr>
              <w:t>atholog</w:t>
            </w:r>
            <w:r w:rsidRPr="00252038">
              <w:rPr>
                <w:rFonts w:ascii="Book Antiqua" w:hAnsi="Book Antiqua"/>
                <w:color w:val="000000"/>
              </w:rPr>
              <w:t>y</w:t>
            </w:r>
          </w:p>
        </w:tc>
        <w:tc>
          <w:tcPr>
            <w:tcW w:w="3422" w:type="dxa"/>
          </w:tcPr>
          <w:p w14:paraId="704F25E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3100" w:type="dxa"/>
          </w:tcPr>
          <w:p w14:paraId="276E54E1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222" w:type="dxa"/>
          </w:tcPr>
          <w:p w14:paraId="4EBB11A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0.998</w:t>
            </w:r>
          </w:p>
        </w:tc>
      </w:tr>
      <w:tr w:rsidR="00590780" w:rsidRPr="00252038" w14:paraId="0699ABE0" w14:textId="77777777" w:rsidTr="00984839">
        <w:trPr>
          <w:trHeight w:val="436"/>
          <w:jc w:val="center"/>
        </w:trPr>
        <w:tc>
          <w:tcPr>
            <w:tcW w:w="3094" w:type="dxa"/>
            <w:gridSpan w:val="2"/>
          </w:tcPr>
          <w:p w14:paraId="5CC53FC3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LGIN</w:t>
            </w:r>
          </w:p>
        </w:tc>
        <w:tc>
          <w:tcPr>
            <w:tcW w:w="3422" w:type="dxa"/>
          </w:tcPr>
          <w:p w14:paraId="162BFD0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18 (47.4)</w:t>
            </w:r>
          </w:p>
        </w:tc>
        <w:tc>
          <w:tcPr>
            <w:tcW w:w="3100" w:type="dxa"/>
          </w:tcPr>
          <w:p w14:paraId="3096993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21 (51.2)</w:t>
            </w:r>
          </w:p>
        </w:tc>
        <w:tc>
          <w:tcPr>
            <w:tcW w:w="1222" w:type="dxa"/>
          </w:tcPr>
          <w:p w14:paraId="1C8071C7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46090F31" w14:textId="77777777" w:rsidTr="00984839">
        <w:trPr>
          <w:trHeight w:val="280"/>
          <w:jc w:val="center"/>
        </w:trPr>
        <w:tc>
          <w:tcPr>
            <w:tcW w:w="3094" w:type="dxa"/>
            <w:gridSpan w:val="2"/>
          </w:tcPr>
          <w:p w14:paraId="506355EA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HGIN</w:t>
            </w:r>
          </w:p>
        </w:tc>
        <w:tc>
          <w:tcPr>
            <w:tcW w:w="3422" w:type="dxa"/>
          </w:tcPr>
          <w:p w14:paraId="0DE3CBED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(7.9)</w:t>
            </w:r>
          </w:p>
        </w:tc>
        <w:tc>
          <w:tcPr>
            <w:tcW w:w="3100" w:type="dxa"/>
          </w:tcPr>
          <w:p w14:paraId="7712F55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(7.3)</w:t>
            </w:r>
          </w:p>
        </w:tc>
        <w:tc>
          <w:tcPr>
            <w:tcW w:w="1222" w:type="dxa"/>
          </w:tcPr>
          <w:p w14:paraId="2D5C392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477CE24A" w14:textId="77777777" w:rsidTr="00984839">
        <w:trPr>
          <w:trHeight w:val="436"/>
          <w:jc w:val="center"/>
        </w:trPr>
        <w:tc>
          <w:tcPr>
            <w:tcW w:w="1259" w:type="dxa"/>
            <w:vMerge w:val="restart"/>
          </w:tcPr>
          <w:p w14:paraId="6498A0F7" w14:textId="77777777" w:rsidR="00590780" w:rsidRPr="00252038" w:rsidRDefault="00590780" w:rsidP="00252038">
            <w:pPr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ESCC</w:t>
            </w:r>
          </w:p>
        </w:tc>
        <w:tc>
          <w:tcPr>
            <w:tcW w:w="1835" w:type="dxa"/>
          </w:tcPr>
          <w:p w14:paraId="4E641F9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EP/LPM</w:t>
            </w:r>
          </w:p>
        </w:tc>
        <w:tc>
          <w:tcPr>
            <w:tcW w:w="3422" w:type="dxa"/>
          </w:tcPr>
          <w:p w14:paraId="721CA0F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(7.9)</w:t>
            </w:r>
          </w:p>
        </w:tc>
        <w:tc>
          <w:tcPr>
            <w:tcW w:w="3100" w:type="dxa"/>
          </w:tcPr>
          <w:p w14:paraId="4F5938D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3 (7.3)</w:t>
            </w:r>
          </w:p>
        </w:tc>
        <w:tc>
          <w:tcPr>
            <w:tcW w:w="1222" w:type="dxa"/>
          </w:tcPr>
          <w:p w14:paraId="2CE77B9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1870B145" w14:textId="77777777" w:rsidTr="00984839">
        <w:trPr>
          <w:trHeight w:val="436"/>
          <w:jc w:val="center"/>
        </w:trPr>
        <w:tc>
          <w:tcPr>
            <w:tcW w:w="1259" w:type="dxa"/>
            <w:vMerge/>
          </w:tcPr>
          <w:p w14:paraId="1D01FE9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835" w:type="dxa"/>
          </w:tcPr>
          <w:p w14:paraId="709081D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MM/SM1</w:t>
            </w:r>
          </w:p>
        </w:tc>
        <w:tc>
          <w:tcPr>
            <w:tcW w:w="3422" w:type="dxa"/>
          </w:tcPr>
          <w:p w14:paraId="72D18AD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(2.6)</w:t>
            </w:r>
          </w:p>
        </w:tc>
        <w:tc>
          <w:tcPr>
            <w:tcW w:w="3100" w:type="dxa"/>
          </w:tcPr>
          <w:p w14:paraId="6BC83870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 (2.4)</w:t>
            </w:r>
          </w:p>
        </w:tc>
        <w:tc>
          <w:tcPr>
            <w:tcW w:w="1222" w:type="dxa"/>
          </w:tcPr>
          <w:p w14:paraId="7B2A14E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443A2B79" w14:textId="77777777" w:rsidTr="00984839">
        <w:trPr>
          <w:trHeight w:val="436"/>
          <w:jc w:val="center"/>
        </w:trPr>
        <w:tc>
          <w:tcPr>
            <w:tcW w:w="1259" w:type="dxa"/>
            <w:vMerge/>
          </w:tcPr>
          <w:p w14:paraId="364D655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  <w:tc>
          <w:tcPr>
            <w:tcW w:w="1835" w:type="dxa"/>
          </w:tcPr>
          <w:p w14:paraId="5235295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>≥</w:t>
            </w:r>
            <w:r w:rsidRPr="00252038">
              <w:rPr>
                <w:rFonts w:ascii="Book Antiqua" w:eastAsia="MS PGothic" w:hAnsi="Book Antiqua"/>
                <w:color w:val="000000"/>
              </w:rPr>
              <w:t xml:space="preserve"> SM2</w:t>
            </w:r>
          </w:p>
        </w:tc>
        <w:tc>
          <w:tcPr>
            <w:tcW w:w="3422" w:type="dxa"/>
          </w:tcPr>
          <w:p w14:paraId="5C8103E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13 (34.2)</w:t>
            </w:r>
          </w:p>
        </w:tc>
        <w:tc>
          <w:tcPr>
            <w:tcW w:w="3100" w:type="dxa"/>
          </w:tcPr>
          <w:p w14:paraId="5C7F2E9F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13 (31.7)</w:t>
            </w:r>
          </w:p>
        </w:tc>
        <w:tc>
          <w:tcPr>
            <w:tcW w:w="1222" w:type="dxa"/>
          </w:tcPr>
          <w:p w14:paraId="162C8014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</w:p>
        </w:tc>
      </w:tr>
      <w:tr w:rsidR="00590780" w:rsidRPr="00252038" w14:paraId="10E51CFB" w14:textId="77777777" w:rsidTr="00984839">
        <w:trPr>
          <w:trHeight w:val="892"/>
          <w:jc w:val="center"/>
        </w:trPr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14:paraId="06A2A13E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Procedure time (s), median (IQR)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14:paraId="28108AA9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42 (34, 50)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1DA445A5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eastAsia="MS PGothic" w:hAnsi="Book Antiqua"/>
                <w:color w:val="000000"/>
              </w:rPr>
              <w:t>160 (130, 189)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42109306" w14:textId="77777777" w:rsidR="00590780" w:rsidRPr="00252038" w:rsidRDefault="00590780" w:rsidP="00252038">
            <w:pPr>
              <w:snapToGrid w:val="0"/>
              <w:spacing w:line="360" w:lineRule="auto"/>
              <w:jc w:val="both"/>
              <w:rPr>
                <w:rFonts w:ascii="Book Antiqua" w:eastAsia="MS PGothic" w:hAnsi="Book Antiqua"/>
                <w:color w:val="000000"/>
              </w:rPr>
            </w:pPr>
            <w:r w:rsidRPr="00252038">
              <w:rPr>
                <w:rFonts w:ascii="Book Antiqua" w:hAnsi="Book Antiqua"/>
                <w:color w:val="000000"/>
              </w:rPr>
              <w:t xml:space="preserve">&lt; </w:t>
            </w:r>
            <w:r w:rsidRPr="00252038">
              <w:rPr>
                <w:rFonts w:ascii="Book Antiqua" w:eastAsia="MS PGothic" w:hAnsi="Book Antiqua"/>
                <w:color w:val="000000"/>
              </w:rPr>
              <w:t>0.001</w:t>
            </w:r>
            <w:r w:rsidRPr="00252038">
              <w:rPr>
                <w:rFonts w:ascii="Book Antiqua" w:eastAsia="MS PGothic" w:hAnsi="Book Antiqua"/>
                <w:color w:val="000000"/>
                <w:vertAlign w:val="superscript"/>
              </w:rPr>
              <w:t>1</w:t>
            </w:r>
          </w:p>
        </w:tc>
      </w:tr>
    </w:tbl>
    <w:p w14:paraId="40958DD1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52038">
        <w:rPr>
          <w:rFonts w:ascii="Book Antiqua" w:eastAsia="MS PGothic" w:hAnsi="Book Antiqua"/>
          <w:color w:val="000000"/>
          <w:vertAlign w:val="superscript"/>
        </w:rPr>
        <w:t>1</w:t>
      </w:r>
      <w:r w:rsidRPr="00252038">
        <w:rPr>
          <w:rFonts w:ascii="Book Antiqua" w:eastAsia="MS PGothic" w:hAnsi="Book Antiqua"/>
          <w:i/>
          <w:iCs/>
          <w:color w:val="000000"/>
        </w:rPr>
        <w:t xml:space="preserve">P </w:t>
      </w:r>
      <w:r w:rsidRPr="00252038">
        <w:rPr>
          <w:rFonts w:ascii="Book Antiqua" w:eastAsia="MS PGothic" w:hAnsi="Book Antiqua"/>
          <w:color w:val="000000"/>
        </w:rPr>
        <w:t>value &lt; 0.01</w:t>
      </w:r>
      <w:r w:rsidRPr="00252038">
        <w:rPr>
          <w:rFonts w:ascii="Book Antiqua" w:hAnsi="Book Antiqua"/>
          <w:color w:val="000000"/>
        </w:rPr>
        <w:t>.</w:t>
      </w:r>
    </w:p>
    <w:p w14:paraId="446E7373" w14:textId="77777777" w:rsidR="00590780" w:rsidRPr="00252038" w:rsidRDefault="00590780" w:rsidP="00252038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252038">
        <w:rPr>
          <w:rFonts w:ascii="Book Antiqua" w:hAnsi="Book Antiqua"/>
          <w:color w:val="000000"/>
        </w:rPr>
        <w:t xml:space="preserve">EP: Epithelial; ESCC: Esophageal squamous cell carcinoma; HGIN: High-grade intraepithelial neoplasia; IQR: Interquartile range; LCE: Lugol chromoendoscopy; LCI: </w:t>
      </w:r>
      <w:r w:rsidRPr="00252038">
        <w:rPr>
          <w:rFonts w:ascii="Book Antiqua" w:hAnsi="Book Antiqua"/>
          <w:color w:val="000000"/>
        </w:rPr>
        <w:lastRenderedPageBreak/>
        <w:t>Linked color imaging; LGIN: Low-grade intraepithelial neoplasia; LPM: Lamina propria mucosa; MM: Muscularis mucosa; SM1: Submucosa invading ≤</w:t>
      </w:r>
      <w:r w:rsidRPr="00252038">
        <w:rPr>
          <w:rFonts w:ascii="Book Antiqua" w:hAnsi="Book Antiqua" w:cs="MS Mincho"/>
          <w:color w:val="000000"/>
        </w:rPr>
        <w:t xml:space="preserve"> </w:t>
      </w:r>
      <w:r w:rsidRPr="00252038">
        <w:rPr>
          <w:rFonts w:ascii="Book Antiqua" w:hAnsi="Book Antiqua"/>
          <w:color w:val="000000"/>
        </w:rPr>
        <w:t>200 μm below the inferior margin of the muscularis mucosa; SM2: Submucosa invading &gt;</w:t>
      </w:r>
      <w:r w:rsidRPr="00252038">
        <w:rPr>
          <w:rFonts w:ascii="Book Antiqua" w:eastAsia="MS Mincho" w:hAnsi="Book Antiqua" w:cs="MS Mincho"/>
          <w:color w:val="000000"/>
        </w:rPr>
        <w:t xml:space="preserve"> </w:t>
      </w:r>
      <w:r w:rsidRPr="00252038">
        <w:rPr>
          <w:rFonts w:ascii="Book Antiqua" w:hAnsi="Book Antiqua"/>
          <w:color w:val="000000"/>
        </w:rPr>
        <w:t xml:space="preserve">200 </w:t>
      </w:r>
      <w:r w:rsidRPr="00252038">
        <w:rPr>
          <w:rFonts w:ascii="Book Antiqua" w:hAnsi="Book Antiqua" w:cs="Book Antiqua"/>
          <w:color w:val="000000"/>
        </w:rPr>
        <w:t>μ</w:t>
      </w:r>
      <w:r w:rsidRPr="00252038">
        <w:rPr>
          <w:rFonts w:ascii="Book Antiqua" w:hAnsi="Book Antiqua"/>
          <w:color w:val="000000"/>
        </w:rPr>
        <w:t>m below the inferior margin of the muscularis mucosa.</w:t>
      </w:r>
    </w:p>
    <w:p w14:paraId="2D9E5CDB" w14:textId="77777777" w:rsidR="008F6936" w:rsidRDefault="008F6936">
      <w:pPr>
        <w:spacing w:line="360" w:lineRule="auto"/>
        <w:jc w:val="both"/>
        <w:sectPr w:rsidR="008F69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5CFA2D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30397353"/>
    </w:p>
    <w:p w14:paraId="1CF6682B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06E89A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163184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765910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7AC6550" wp14:editId="1BB77DC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398ED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4E74F7" w14:textId="77777777" w:rsidR="008F6936" w:rsidRDefault="008F6936" w:rsidP="008F6936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5EA22C4" w14:textId="77777777" w:rsidR="008F6936" w:rsidRDefault="008F6936" w:rsidP="008F693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244766C" w14:textId="77777777" w:rsidR="008F6936" w:rsidRDefault="008F6936" w:rsidP="008F693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377FD012" w14:textId="77777777" w:rsidR="008F6936" w:rsidRDefault="008F6936" w:rsidP="008F693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D5E1D47" w14:textId="77777777" w:rsidR="008F6936" w:rsidRDefault="008F6936" w:rsidP="008F6936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E96055B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C5868B9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B653EE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BE9951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0C99AF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9616C0C" wp14:editId="597AF50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09F92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A68B71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403B01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245DBE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2D2DB2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3EE02E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2B085E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ECFF2C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063318" w14:textId="77777777" w:rsidR="008F6936" w:rsidRDefault="008F6936" w:rsidP="008F6936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E30027" w14:textId="77777777" w:rsidR="008F6936" w:rsidRDefault="008F6936" w:rsidP="008F6936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7A89A93D" w14:textId="77777777" w:rsidR="008F6936" w:rsidRDefault="008F6936" w:rsidP="008F6936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</w:p>
    <w:bookmarkEnd w:id="1"/>
    <w:p w14:paraId="0E2E7788" w14:textId="77777777" w:rsidR="008F6936" w:rsidRDefault="008F6936" w:rsidP="008F6936">
      <w:pPr>
        <w:rPr>
          <w:rFonts w:ascii="Book Antiqua" w:hAnsi="Book Antiqua" w:cs="Book Antiqua"/>
          <w:b/>
          <w:bCs/>
          <w:color w:val="000000"/>
        </w:rPr>
      </w:pPr>
    </w:p>
    <w:p w14:paraId="296CD252" w14:textId="77777777" w:rsidR="00616EF6" w:rsidRDefault="00616EF6">
      <w:pPr>
        <w:spacing w:line="360" w:lineRule="auto"/>
        <w:jc w:val="both"/>
      </w:pPr>
    </w:p>
    <w:sectPr w:rsidR="0061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41C0" w14:textId="77777777" w:rsidR="00F4751C" w:rsidRDefault="00F4751C" w:rsidP="003746FE">
      <w:r>
        <w:separator/>
      </w:r>
    </w:p>
  </w:endnote>
  <w:endnote w:type="continuationSeparator" w:id="0">
    <w:p w14:paraId="07BE5E9B" w14:textId="77777777" w:rsidR="00F4751C" w:rsidRDefault="00F4751C" w:rsidP="0037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NextLTPro-Regular">
    <w:altName w:val="Segoe Print"/>
    <w:charset w:val="00"/>
    <w:family w:val="auto"/>
    <w:pitch w:val="default"/>
  </w:font>
  <w:font w:name="TimesNewRomanPSMT">
    <w:altName w:val="Times New Roman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DBC8" w14:textId="77777777" w:rsidR="003746FE" w:rsidRPr="003746FE" w:rsidRDefault="003746FE" w:rsidP="003746FE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3746F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746F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3746F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3746F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746F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3746F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3746F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2515951" w14:textId="77777777" w:rsidR="003746FE" w:rsidRDefault="003746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280219019"/>
    </w:sdtPr>
    <w:sdtContent>
      <w:p w14:paraId="5C4FEB87" w14:textId="77777777" w:rsidR="00590780" w:rsidRDefault="00590780">
        <w:pPr>
          <w:pStyle w:val="a5"/>
          <w:framePr w:wrap="auto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</w:rPr>
          <w:t>19</w:t>
        </w:r>
        <w:r>
          <w:rPr>
            <w:rStyle w:val="a9"/>
          </w:rPr>
          <w:fldChar w:fldCharType="end"/>
        </w:r>
      </w:p>
    </w:sdtContent>
  </w:sdt>
  <w:p w14:paraId="010B7157" w14:textId="77777777" w:rsidR="00590780" w:rsidRDefault="00590780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011615"/>
    </w:sdtPr>
    <w:sdtEndPr>
      <w:rPr>
        <w:rFonts w:ascii="Book Antiqua" w:hAnsi="Book Antiqua"/>
        <w:sz w:val="24"/>
      </w:rPr>
    </w:sdtEndPr>
    <w:sdtContent>
      <w:sdt>
        <w:sdtPr>
          <w:rPr>
            <w:rFonts w:ascii="Book Antiqua" w:hAnsi="Book Antiqua"/>
            <w:sz w:val="24"/>
          </w:rPr>
          <w:id w:val="-1769616900"/>
        </w:sdtPr>
        <w:sdtContent>
          <w:p w14:paraId="56A45309" w14:textId="77777777" w:rsidR="00590780" w:rsidRDefault="00590780">
            <w:pPr>
              <w:pStyle w:val="a5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fldChar w:fldCharType="begin"/>
            </w:r>
            <w:r>
              <w:rPr>
                <w:rFonts w:ascii="Book Antiqua" w:hAnsi="Book Antiqua"/>
                <w:sz w:val="24"/>
              </w:rPr>
              <w:instrText xml:space="preserve"> PAGE </w:instrText>
            </w:r>
            <w:r>
              <w:rPr>
                <w:rFonts w:ascii="Book Antiqua" w:hAnsi="Book Antiqua"/>
                <w:sz w:val="24"/>
              </w:rPr>
              <w:fldChar w:fldCharType="separate"/>
            </w:r>
            <w:r>
              <w:rPr>
                <w:rFonts w:ascii="Book Antiqua" w:hAnsi="Book Antiqua"/>
                <w:sz w:val="24"/>
              </w:rPr>
              <w:t>2</w:t>
            </w:r>
            <w:r>
              <w:rPr>
                <w:rFonts w:ascii="Book Antiqua" w:hAnsi="Book Antiqua"/>
                <w:sz w:val="24"/>
              </w:rPr>
              <w:fldChar w:fldCharType="end"/>
            </w:r>
            <w:r>
              <w:rPr>
                <w:rFonts w:ascii="Book Antiqua" w:hAnsi="Book Antiqua"/>
                <w:sz w:val="24"/>
              </w:rPr>
              <w:t xml:space="preserve"> / </w:t>
            </w:r>
            <w:r>
              <w:rPr>
                <w:rFonts w:ascii="Book Antiqua" w:hAnsi="Book Antiqua"/>
                <w:sz w:val="24"/>
              </w:rPr>
              <w:fldChar w:fldCharType="begin"/>
            </w:r>
            <w:r>
              <w:rPr>
                <w:rFonts w:ascii="Book Antiqua" w:hAnsi="Book Antiqua"/>
                <w:sz w:val="24"/>
              </w:rPr>
              <w:instrText xml:space="preserve"> NUMPAGES  </w:instrText>
            </w:r>
            <w:r>
              <w:rPr>
                <w:rFonts w:ascii="Book Antiqua" w:hAnsi="Book Antiqua"/>
                <w:sz w:val="24"/>
              </w:rPr>
              <w:fldChar w:fldCharType="separate"/>
            </w:r>
            <w:r>
              <w:rPr>
                <w:rFonts w:ascii="Book Antiqua" w:hAnsi="Book Antiqua"/>
                <w:sz w:val="24"/>
              </w:rPr>
              <w:t>2</w:t>
            </w:r>
            <w:r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BA00" w14:textId="77777777" w:rsidR="00F4751C" w:rsidRDefault="00F4751C" w:rsidP="003746FE">
      <w:r>
        <w:separator/>
      </w:r>
    </w:p>
  </w:footnote>
  <w:footnote w:type="continuationSeparator" w:id="0">
    <w:p w14:paraId="528799EC" w14:textId="77777777" w:rsidR="00F4751C" w:rsidRDefault="00F4751C" w:rsidP="0037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4EA2"/>
    <w:rsid w:val="000A26FE"/>
    <w:rsid w:val="000F7E10"/>
    <w:rsid w:val="002154E7"/>
    <w:rsid w:val="00252038"/>
    <w:rsid w:val="00273C28"/>
    <w:rsid w:val="002D5A15"/>
    <w:rsid w:val="002E14D6"/>
    <w:rsid w:val="003376EF"/>
    <w:rsid w:val="003746FE"/>
    <w:rsid w:val="00534A12"/>
    <w:rsid w:val="00540DF4"/>
    <w:rsid w:val="00590780"/>
    <w:rsid w:val="00616EF6"/>
    <w:rsid w:val="00671F95"/>
    <w:rsid w:val="006B0154"/>
    <w:rsid w:val="00753745"/>
    <w:rsid w:val="007644F2"/>
    <w:rsid w:val="007F3BF6"/>
    <w:rsid w:val="008A239F"/>
    <w:rsid w:val="008F6936"/>
    <w:rsid w:val="00966AEC"/>
    <w:rsid w:val="009D44DE"/>
    <w:rsid w:val="009E50D9"/>
    <w:rsid w:val="00A36DF3"/>
    <w:rsid w:val="00A50975"/>
    <w:rsid w:val="00A77B3E"/>
    <w:rsid w:val="00B2577D"/>
    <w:rsid w:val="00BB1C7F"/>
    <w:rsid w:val="00C8678D"/>
    <w:rsid w:val="00CA2A55"/>
    <w:rsid w:val="00D02231"/>
    <w:rsid w:val="00D44541"/>
    <w:rsid w:val="00D8436D"/>
    <w:rsid w:val="00DB090F"/>
    <w:rsid w:val="00DE4284"/>
    <w:rsid w:val="00E26A4A"/>
    <w:rsid w:val="00EE3248"/>
    <w:rsid w:val="00EF759B"/>
    <w:rsid w:val="00F4751C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EB5B3"/>
  <w15:docId w15:val="{14887F8E-C65A-4011-B05A-B26E9338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unhideWhenUsed/>
    <w:rsid w:val="00374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746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746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6FE"/>
    <w:rPr>
      <w:sz w:val="18"/>
      <w:szCs w:val="18"/>
    </w:rPr>
  </w:style>
  <w:style w:type="character" w:styleId="a7">
    <w:name w:val="Placeholder Text"/>
    <w:basedOn w:val="a0"/>
    <w:uiPriority w:val="99"/>
    <w:semiHidden/>
    <w:rsid w:val="00DE4284"/>
    <w:rPr>
      <w:color w:val="808080"/>
    </w:rPr>
  </w:style>
  <w:style w:type="paragraph" w:styleId="a8">
    <w:name w:val="Revision"/>
    <w:hidden/>
    <w:uiPriority w:val="99"/>
    <w:semiHidden/>
    <w:rsid w:val="00D8436D"/>
    <w:rPr>
      <w:sz w:val="24"/>
      <w:szCs w:val="24"/>
    </w:rPr>
  </w:style>
  <w:style w:type="character" w:styleId="a9">
    <w:name w:val="page number"/>
    <w:basedOn w:val="a0"/>
    <w:qFormat/>
    <w:rsid w:val="00590780"/>
  </w:style>
  <w:style w:type="character" w:styleId="aa">
    <w:name w:val="Hyperlink"/>
    <w:basedOn w:val="a0"/>
    <w:unhideWhenUsed/>
    <w:rsid w:val="00540DF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67E8-3BC7-4A49-8300-9FAEEDFC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6693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Chen YX</cp:lastModifiedBy>
  <cp:revision>14</cp:revision>
  <dcterms:created xsi:type="dcterms:W3CDTF">2023-03-13T17:17:00Z</dcterms:created>
  <dcterms:modified xsi:type="dcterms:W3CDTF">2023-03-27T08:58:00Z</dcterms:modified>
</cp:coreProperties>
</file>