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0BD933" w14:textId="77777777" w:rsidR="00A31DCB" w:rsidRDefault="0000000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2C9842E2" w14:textId="77777777" w:rsidR="00A31DCB" w:rsidRDefault="0000000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81922</w:t>
      </w:r>
    </w:p>
    <w:p w14:paraId="684AAB45" w14:textId="77777777" w:rsidR="00A31DCB" w:rsidRDefault="0000000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MINIREVIEWS</w:t>
      </w:r>
    </w:p>
    <w:p w14:paraId="139967BC" w14:textId="77777777" w:rsidR="00A31DCB" w:rsidRDefault="00A31DCB">
      <w:pPr>
        <w:spacing w:line="360" w:lineRule="auto"/>
        <w:jc w:val="both"/>
      </w:pPr>
    </w:p>
    <w:p w14:paraId="7F2D5FD3" w14:textId="77777777" w:rsidR="00A31DCB" w:rsidRDefault="00000000">
      <w:pPr>
        <w:spacing w:line="360" w:lineRule="auto"/>
        <w:jc w:val="both"/>
      </w:pPr>
      <w:r>
        <w:rPr>
          <w:rFonts w:ascii="Book Antiqua" w:eastAsia="Book Antiqua" w:hAnsi="Book Antiqua" w:cs="Book Antiqua"/>
          <w:b/>
          <w:color w:val="000000"/>
        </w:rPr>
        <w:t>Systemic treatment for metastatic colorectal cancer</w:t>
      </w:r>
    </w:p>
    <w:p w14:paraId="0AC21B44" w14:textId="77777777" w:rsidR="00A31DCB" w:rsidRDefault="00A31DCB">
      <w:pPr>
        <w:spacing w:line="360" w:lineRule="auto"/>
        <w:jc w:val="both"/>
      </w:pPr>
    </w:p>
    <w:p w14:paraId="539CABAF" w14:textId="77777777" w:rsidR="00A31DCB" w:rsidRDefault="00000000">
      <w:pPr>
        <w:spacing w:line="360" w:lineRule="auto"/>
        <w:jc w:val="both"/>
      </w:pPr>
      <w:proofErr w:type="spellStart"/>
      <w:r>
        <w:rPr>
          <w:rFonts w:ascii="Book Antiqua" w:eastAsia="Book Antiqua" w:hAnsi="Book Antiqua" w:cs="Book Antiqua"/>
          <w:color w:val="000000"/>
        </w:rPr>
        <w:t>Leowattana</w:t>
      </w:r>
      <w:proofErr w:type="spellEnd"/>
      <w:r>
        <w:rPr>
          <w:rFonts w:ascii="Book Antiqua" w:eastAsia="Book Antiqua" w:hAnsi="Book Antiqua" w:cs="Book Antiqua"/>
          <w:color w:val="000000"/>
        </w:rPr>
        <w:t xml:space="preserve"> W </w:t>
      </w:r>
      <w:r>
        <w:rPr>
          <w:rFonts w:ascii="Book Antiqua" w:eastAsia="Book Antiqua" w:hAnsi="Book Antiqua" w:cs="Book Antiqua"/>
          <w:i/>
          <w:iCs/>
          <w:color w:val="000000"/>
        </w:rPr>
        <w:t>et al</w:t>
      </w:r>
      <w:r>
        <w:rPr>
          <w:rFonts w:ascii="Book Antiqua" w:eastAsia="Book Antiqua" w:hAnsi="Book Antiqua" w:cs="Book Antiqua"/>
          <w:color w:val="000000"/>
        </w:rPr>
        <w:t>. Systemic treatment for mCRC</w:t>
      </w:r>
    </w:p>
    <w:p w14:paraId="3C734A51" w14:textId="77777777" w:rsidR="00A31DCB" w:rsidRDefault="00A31DCB">
      <w:pPr>
        <w:spacing w:line="360" w:lineRule="auto"/>
        <w:jc w:val="both"/>
      </w:pPr>
    </w:p>
    <w:p w14:paraId="2DF6D4ED" w14:textId="77777777" w:rsidR="00A31DCB" w:rsidRDefault="00000000">
      <w:pPr>
        <w:spacing w:line="360" w:lineRule="auto"/>
        <w:jc w:val="both"/>
      </w:pPr>
      <w:r>
        <w:rPr>
          <w:rFonts w:ascii="Book Antiqua" w:eastAsia="Book Antiqua" w:hAnsi="Book Antiqua" w:cs="Book Antiqua"/>
          <w:color w:val="000000"/>
        </w:rPr>
        <w:t xml:space="preserve">Wattana </w:t>
      </w:r>
      <w:proofErr w:type="spellStart"/>
      <w:r>
        <w:rPr>
          <w:rFonts w:ascii="Book Antiqua" w:eastAsia="Book Antiqua" w:hAnsi="Book Antiqua" w:cs="Book Antiqua"/>
          <w:color w:val="000000"/>
        </w:rPr>
        <w:t>Leowattana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Pathomthep</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Leowattana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Tawithep</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Leowattana</w:t>
      </w:r>
      <w:proofErr w:type="spellEnd"/>
    </w:p>
    <w:p w14:paraId="71535738" w14:textId="77777777" w:rsidR="00A31DCB" w:rsidRDefault="00A31DCB">
      <w:pPr>
        <w:spacing w:line="360" w:lineRule="auto"/>
        <w:jc w:val="both"/>
      </w:pPr>
    </w:p>
    <w:p w14:paraId="2545F85B" w14:textId="77777777" w:rsidR="00A31DCB" w:rsidRDefault="00000000">
      <w:pPr>
        <w:spacing w:line="360" w:lineRule="auto"/>
        <w:jc w:val="both"/>
      </w:pPr>
      <w:r>
        <w:rPr>
          <w:rFonts w:ascii="Book Antiqua" w:eastAsia="Book Antiqua" w:hAnsi="Book Antiqua" w:cs="Book Antiqua"/>
          <w:b/>
          <w:bCs/>
          <w:color w:val="000000"/>
        </w:rPr>
        <w:t xml:space="preserve">Wattana </w:t>
      </w:r>
      <w:proofErr w:type="spellStart"/>
      <w:r>
        <w:rPr>
          <w:rFonts w:ascii="Book Antiqua" w:eastAsia="Book Antiqua" w:hAnsi="Book Antiqua" w:cs="Book Antiqua"/>
          <w:b/>
          <w:bCs/>
          <w:color w:val="000000"/>
        </w:rPr>
        <w:t>Leowattana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Pathomthep</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Leowattana</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Clinical Tropical Medicine, Faculty of Tropical Medicine, Mahidol University, Bangkok 10400, Thailand</w:t>
      </w:r>
    </w:p>
    <w:p w14:paraId="08557C06" w14:textId="77777777" w:rsidR="00A31DCB" w:rsidRDefault="00A31DCB">
      <w:pPr>
        <w:spacing w:line="360" w:lineRule="auto"/>
        <w:jc w:val="both"/>
      </w:pPr>
    </w:p>
    <w:p w14:paraId="5283B829" w14:textId="77777777" w:rsidR="00A31DCB" w:rsidRDefault="00000000">
      <w:pPr>
        <w:spacing w:line="360" w:lineRule="auto"/>
        <w:jc w:val="both"/>
      </w:pPr>
      <w:proofErr w:type="spellStart"/>
      <w:r>
        <w:rPr>
          <w:rFonts w:ascii="Book Antiqua" w:eastAsia="Book Antiqua" w:hAnsi="Book Antiqua" w:cs="Book Antiqua"/>
          <w:b/>
          <w:bCs/>
          <w:color w:val="000000"/>
        </w:rPr>
        <w:t>Tawithep</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Leowattana</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Medicine, Faculty of Medicine, </w:t>
      </w:r>
      <w:proofErr w:type="spellStart"/>
      <w:r>
        <w:rPr>
          <w:rFonts w:ascii="Book Antiqua" w:eastAsia="Book Antiqua" w:hAnsi="Book Antiqua" w:cs="Book Antiqua"/>
          <w:color w:val="000000"/>
        </w:rPr>
        <w:t>Srinakharinwirot</w:t>
      </w:r>
      <w:proofErr w:type="spellEnd"/>
      <w:r>
        <w:rPr>
          <w:rFonts w:ascii="Book Antiqua" w:eastAsia="Book Antiqua" w:hAnsi="Book Antiqua" w:cs="Book Antiqua"/>
          <w:color w:val="000000"/>
        </w:rPr>
        <w:t xml:space="preserve"> University, Bangkok 10110, Thailand</w:t>
      </w:r>
    </w:p>
    <w:p w14:paraId="223CEFC3" w14:textId="77777777" w:rsidR="00A31DCB" w:rsidRDefault="00A31DCB">
      <w:pPr>
        <w:spacing w:line="360" w:lineRule="auto"/>
        <w:jc w:val="both"/>
      </w:pPr>
    </w:p>
    <w:p w14:paraId="16C6D0C7" w14:textId="77777777" w:rsidR="00A31DCB" w:rsidRDefault="00000000">
      <w:pPr>
        <w:spacing w:line="360" w:lineRule="auto"/>
        <w:jc w:val="both"/>
      </w:pPr>
      <w:r>
        <w:rPr>
          <w:rFonts w:ascii="Book Antiqua" w:eastAsia="Book Antiqua" w:hAnsi="Book Antiqua" w:cs="Book Antiqua"/>
          <w:b/>
          <w:bCs/>
          <w:color w:val="000000"/>
        </w:rPr>
        <w:t xml:space="preserve">Author contributions: </w:t>
      </w:r>
      <w:proofErr w:type="spellStart"/>
      <w:r>
        <w:rPr>
          <w:rFonts w:ascii="Book Antiqua" w:eastAsia="Book Antiqua" w:hAnsi="Book Antiqua" w:cs="Book Antiqua"/>
          <w:color w:val="000000"/>
        </w:rPr>
        <w:t>Leowattana</w:t>
      </w:r>
      <w:proofErr w:type="spellEnd"/>
      <w:r>
        <w:rPr>
          <w:rFonts w:ascii="Book Antiqua" w:eastAsia="Book Antiqua" w:hAnsi="Book Antiqua" w:cs="Book Antiqua"/>
          <w:color w:val="000000"/>
        </w:rPr>
        <w:t xml:space="preserve"> W wrote the paper; </w:t>
      </w:r>
      <w:proofErr w:type="spellStart"/>
      <w:r>
        <w:rPr>
          <w:rFonts w:ascii="Book Antiqua" w:eastAsia="Book Antiqua" w:hAnsi="Book Antiqua" w:cs="Book Antiqua"/>
          <w:color w:val="000000"/>
        </w:rPr>
        <w:t>Leowattana</w:t>
      </w:r>
      <w:proofErr w:type="spellEnd"/>
      <w:r>
        <w:rPr>
          <w:rFonts w:ascii="Book Antiqua" w:eastAsia="Book Antiqua" w:hAnsi="Book Antiqua" w:cs="Book Antiqua"/>
          <w:color w:val="000000"/>
        </w:rPr>
        <w:t xml:space="preserve"> T and </w:t>
      </w:r>
      <w:proofErr w:type="spellStart"/>
      <w:r>
        <w:rPr>
          <w:rFonts w:ascii="Book Antiqua" w:eastAsia="Book Antiqua" w:hAnsi="Book Antiqua" w:cs="Book Antiqua"/>
          <w:color w:val="000000"/>
        </w:rPr>
        <w:t>Leowattana</w:t>
      </w:r>
      <w:proofErr w:type="spellEnd"/>
      <w:r>
        <w:rPr>
          <w:rFonts w:ascii="Book Antiqua" w:eastAsia="Book Antiqua" w:hAnsi="Book Antiqua" w:cs="Book Antiqua"/>
          <w:color w:val="000000"/>
        </w:rPr>
        <w:t xml:space="preserve"> P collected the data.</w:t>
      </w:r>
    </w:p>
    <w:p w14:paraId="644419F6" w14:textId="77777777" w:rsidR="00A31DCB" w:rsidRDefault="00A31DCB">
      <w:pPr>
        <w:spacing w:line="360" w:lineRule="auto"/>
        <w:jc w:val="both"/>
      </w:pPr>
    </w:p>
    <w:p w14:paraId="23A4F100" w14:textId="77777777" w:rsidR="00A31DCB" w:rsidRDefault="00000000">
      <w:pPr>
        <w:spacing w:line="360" w:lineRule="auto"/>
        <w:jc w:val="both"/>
      </w:pPr>
      <w:r>
        <w:rPr>
          <w:rFonts w:ascii="Book Antiqua" w:eastAsia="Book Antiqua" w:hAnsi="Book Antiqua" w:cs="Book Antiqua"/>
          <w:b/>
          <w:bCs/>
          <w:color w:val="000000"/>
        </w:rPr>
        <w:t xml:space="preserve">Corresponding author: Wattana </w:t>
      </w:r>
      <w:proofErr w:type="spellStart"/>
      <w:r>
        <w:rPr>
          <w:rFonts w:ascii="Book Antiqua" w:eastAsia="Book Antiqua" w:hAnsi="Book Antiqua" w:cs="Book Antiqua"/>
          <w:b/>
          <w:bCs/>
          <w:color w:val="000000"/>
        </w:rPr>
        <w:t>Leowattana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BMed</w:t>
      </w:r>
      <w:proofErr w:type="spellEnd"/>
      <w:r>
        <w:rPr>
          <w:rFonts w:ascii="Book Antiqua" w:eastAsia="Book Antiqua" w:hAnsi="Book Antiqua" w:cs="Book Antiqua"/>
          <w:b/>
          <w:bCs/>
          <w:color w:val="000000"/>
        </w:rPr>
        <w:t xml:space="preserve">, MD, MSc, PhD, Full Professor, </w:t>
      </w:r>
      <w:r>
        <w:rPr>
          <w:rFonts w:ascii="Book Antiqua" w:eastAsia="Book Antiqua" w:hAnsi="Book Antiqua" w:cs="Book Antiqua"/>
          <w:color w:val="000000"/>
        </w:rPr>
        <w:t xml:space="preserve">Clinical Tropical Medicine, Faculty of Tropical Medicine, Mahidol University, 420/6 </w:t>
      </w:r>
      <w:proofErr w:type="spellStart"/>
      <w:r>
        <w:rPr>
          <w:rFonts w:ascii="Book Antiqua" w:eastAsia="Book Antiqua" w:hAnsi="Book Antiqua" w:cs="Book Antiqua"/>
          <w:color w:val="000000"/>
        </w:rPr>
        <w:t>Rajavithi</w:t>
      </w:r>
      <w:proofErr w:type="spellEnd"/>
      <w:r>
        <w:rPr>
          <w:rFonts w:ascii="Book Antiqua" w:eastAsia="Book Antiqua" w:hAnsi="Book Antiqua" w:cs="Book Antiqua"/>
          <w:color w:val="000000"/>
        </w:rPr>
        <w:t xml:space="preserve"> Road, Bangkok 10400, Thailand. wattana.leo@mahidol.ac.th</w:t>
      </w:r>
    </w:p>
    <w:p w14:paraId="09BE3F6E" w14:textId="77777777" w:rsidR="00A31DCB" w:rsidRDefault="00A31DCB">
      <w:pPr>
        <w:spacing w:line="360" w:lineRule="auto"/>
        <w:jc w:val="both"/>
      </w:pPr>
    </w:p>
    <w:p w14:paraId="62941BCD" w14:textId="77777777" w:rsidR="00A31DCB" w:rsidRDefault="0000000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29, 2022</w:t>
      </w:r>
    </w:p>
    <w:p w14:paraId="66FB7431" w14:textId="77777777" w:rsidR="00A31DCB" w:rsidRDefault="00000000">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February 16, 2023</w:t>
      </w:r>
    </w:p>
    <w:p w14:paraId="57A56B25" w14:textId="77777777" w:rsidR="00A31DCB" w:rsidRDefault="00000000">
      <w:pPr>
        <w:spacing w:line="360" w:lineRule="auto"/>
        <w:jc w:val="both"/>
        <w:rPr>
          <w:rFonts w:ascii="Book Antiqua" w:eastAsia="Book Antiqua" w:hAnsi="Book Antiqua" w:cs="Book Antiqua"/>
          <w:b/>
          <w:bCs/>
          <w:color w:val="000000"/>
          <w:lang w:eastAsia="zh-CN"/>
        </w:rPr>
      </w:pPr>
      <w:r>
        <w:rPr>
          <w:rFonts w:ascii="Book Antiqua" w:eastAsia="Book Antiqua" w:hAnsi="Book Antiqua" w:cs="Book Antiqua"/>
          <w:b/>
          <w:bCs/>
          <w:color w:val="000000"/>
        </w:rPr>
        <w:t xml:space="preserve">Accepted: </w:t>
      </w:r>
      <w:r>
        <w:rPr>
          <w:rFonts w:ascii="Book Antiqua" w:eastAsia="Book Antiqua" w:hAnsi="Book Antiqua" w:cs="Book Antiqua"/>
          <w:color w:val="000000"/>
          <w:lang w:eastAsia="zh-CN"/>
        </w:rPr>
        <w:t>February 27, 2023</w:t>
      </w:r>
    </w:p>
    <w:p w14:paraId="000C4123" w14:textId="77777777" w:rsidR="00A31DCB" w:rsidRDefault="00000000">
      <w:pPr>
        <w:spacing w:line="360" w:lineRule="auto"/>
        <w:jc w:val="both"/>
      </w:pPr>
      <w:r>
        <w:rPr>
          <w:rFonts w:ascii="Book Antiqua" w:eastAsia="Book Antiqua" w:hAnsi="Book Antiqua" w:cs="Book Antiqua"/>
          <w:b/>
          <w:bCs/>
          <w:color w:val="000000"/>
        </w:rPr>
        <w:t xml:space="preserve">Published online: </w:t>
      </w:r>
      <w:r>
        <w:rPr>
          <w:rFonts w:ascii="Book Antiqua" w:hAnsi="Book Antiqua"/>
          <w:color w:val="000000"/>
          <w:shd w:val="clear" w:color="auto" w:fill="FFFFFF"/>
        </w:rPr>
        <w:t>M</w:t>
      </w:r>
      <w:r>
        <w:rPr>
          <w:rFonts w:ascii="Book Antiqua" w:eastAsia="Book Antiqua" w:hAnsi="Book Antiqua" w:cs="Book Antiqua"/>
          <w:color w:val="000000"/>
        </w:rPr>
        <w:t>arch 14</w:t>
      </w:r>
      <w:r>
        <w:rPr>
          <w:rFonts w:ascii="Book Antiqua" w:eastAsia="Book Antiqua" w:hAnsi="Book Antiqua" w:cs="Book Antiqua" w:hint="eastAsia"/>
          <w:color w:val="000000"/>
        </w:rPr>
        <w:t>,</w:t>
      </w:r>
      <w:r>
        <w:rPr>
          <w:rFonts w:ascii="Book Antiqua" w:eastAsia="Book Antiqua" w:hAnsi="Book Antiqua" w:cs="Book Antiqua"/>
          <w:color w:val="000000"/>
        </w:rPr>
        <w:t xml:space="preserve"> 2023</w:t>
      </w:r>
    </w:p>
    <w:p w14:paraId="712B9542" w14:textId="77777777" w:rsidR="00A31DCB" w:rsidRDefault="00A31DCB">
      <w:pPr>
        <w:spacing w:line="360" w:lineRule="auto"/>
        <w:jc w:val="both"/>
        <w:sectPr w:rsidR="00A31DCB">
          <w:footerReference w:type="default" r:id="rId6"/>
          <w:pgSz w:w="12240" w:h="15840"/>
          <w:pgMar w:top="1440" w:right="1440" w:bottom="1440" w:left="1440" w:header="720" w:footer="720" w:gutter="0"/>
          <w:cols w:space="720"/>
          <w:docGrid w:linePitch="360"/>
        </w:sectPr>
      </w:pPr>
    </w:p>
    <w:p w14:paraId="3009F200" w14:textId="77777777" w:rsidR="00A31DCB" w:rsidRDefault="00000000">
      <w:pPr>
        <w:spacing w:line="360" w:lineRule="auto"/>
        <w:jc w:val="both"/>
      </w:pPr>
      <w:r>
        <w:rPr>
          <w:rFonts w:ascii="Book Antiqua" w:eastAsia="Book Antiqua" w:hAnsi="Book Antiqua" w:cs="Book Antiqua"/>
          <w:b/>
          <w:color w:val="000000"/>
        </w:rPr>
        <w:lastRenderedPageBreak/>
        <w:t>Abstract</w:t>
      </w:r>
    </w:p>
    <w:p w14:paraId="0895B635" w14:textId="77777777" w:rsidR="00A31DCB" w:rsidRDefault="00000000">
      <w:pPr>
        <w:spacing w:line="360" w:lineRule="auto"/>
        <w:jc w:val="both"/>
      </w:pPr>
      <w:r>
        <w:rPr>
          <w:rFonts w:ascii="Book Antiqua" w:eastAsia="Book Antiqua" w:hAnsi="Book Antiqua" w:cs="Book Antiqua"/>
          <w:color w:val="000000"/>
        </w:rPr>
        <w:t xml:space="preserve">Significant progress has been achieved in the treatment of metastatic colorectal cancer (mCRC) patients during the last 20 years. There are currently numerous treatments available for the first-line treatment of mCRC. Sophisticated molecular technologies have been developed to reveal novel prognostic and predictive biomarkers for CRC. The development of next-generation sequencing and whole-exome sequencing, which are strong new tools for the discovery of predictive molecular biomarkers to facilitate the delivery of customized treatment, has resulted in tremendous breakthroughs in DNA sequencing technology in recent years. The appropriate adjuvant treatments for mCRC patients are determined by the tumor stage, presence of high-risk pathologic characteristics, microsatellite instability status, patient age, and performance status. Chemotherapy, targeted therapy, and immunotherapy are the main systemic treatments for patients with mCRC. </w:t>
      </w:r>
      <w:proofErr w:type="gramStart"/>
      <w:r>
        <w:rPr>
          <w:rFonts w:ascii="Book Antiqua" w:eastAsia="Book Antiqua" w:hAnsi="Book Antiqua" w:cs="Book Antiqua"/>
          <w:color w:val="000000"/>
        </w:rPr>
        <w:t>Despite the fact that</w:t>
      </w:r>
      <w:proofErr w:type="gramEnd"/>
      <w:r>
        <w:rPr>
          <w:rFonts w:ascii="Book Antiqua" w:eastAsia="Book Antiqua" w:hAnsi="Book Antiqua" w:cs="Book Antiqua"/>
          <w:color w:val="000000"/>
        </w:rPr>
        <w:t xml:space="preserve"> these novel treatment choices have increased overall survival for mCRC, survival remains optimal for individuals with non-metastatic disease. The molecular technologies currently being used to support our ability to practice personalized medicine; the practical aspects of applying molecular biomarkers to regular clinical practice; and the evolution of chemotherapy, targeted therapy, and immunotherapy strategies for the treatment of mCRC in the front-line setting are all reviewed here.</w:t>
      </w:r>
    </w:p>
    <w:p w14:paraId="727BB850" w14:textId="77777777" w:rsidR="00A31DCB" w:rsidRDefault="00A31DCB">
      <w:pPr>
        <w:spacing w:line="360" w:lineRule="auto"/>
        <w:jc w:val="both"/>
      </w:pPr>
    </w:p>
    <w:p w14:paraId="0F5AC396" w14:textId="77777777" w:rsidR="00A31DCB" w:rsidRDefault="00000000">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Systemic treatment; Metastatic colorectal cancer; Personalized medicine; Biomarkers; Chemotherapy; Targeted therapy; Immunotherapy</w:t>
      </w:r>
    </w:p>
    <w:p w14:paraId="280E01F9" w14:textId="77777777" w:rsidR="00A31DCB" w:rsidRDefault="00A31DCB">
      <w:pPr>
        <w:spacing w:line="360" w:lineRule="auto"/>
        <w:jc w:val="both"/>
      </w:pPr>
    </w:p>
    <w:p w14:paraId="3C6E74F0" w14:textId="77777777" w:rsidR="00A31DCB" w:rsidRDefault="00000000">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2023.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bookmarkEnd w:id="0"/>
      <w:r>
        <w:rPr>
          <w:rFonts w:ascii="Book Antiqua" w:eastAsia="Book Antiqua" w:hAnsi="Book Antiqua" w:cs="Book Antiqua"/>
          <w:color w:val="000000"/>
        </w:rPr>
        <w:t xml:space="preserve"> </w:t>
      </w:r>
    </w:p>
    <w:bookmarkEnd w:id="1"/>
    <w:p w14:paraId="7488FFF7" w14:textId="77777777" w:rsidR="00A31DCB" w:rsidRDefault="00A31DCB">
      <w:pPr>
        <w:spacing w:line="360" w:lineRule="auto"/>
        <w:jc w:val="both"/>
        <w:rPr>
          <w:lang w:eastAsia="zh-CN"/>
        </w:rPr>
      </w:pPr>
    </w:p>
    <w:p w14:paraId="46D08C55" w14:textId="3223C4DB" w:rsidR="00A31DCB" w:rsidRDefault="00000000">
      <w:pPr>
        <w:spacing w:line="360" w:lineRule="auto"/>
        <w:jc w:val="both"/>
        <w:rPr>
          <w:rFonts w:ascii="Book Antiqua" w:eastAsia="Book Antiqua" w:hAnsi="Book Antiqua" w:cs="Book Antiqua"/>
          <w:color w:val="000000"/>
        </w:rPr>
      </w:pPr>
      <w:bookmarkStart w:id="4" w:name="_Hlk88512899"/>
      <w:bookmarkStart w:id="5" w:name="_Hlk88512352"/>
      <w:bookmarkEnd w:id="2"/>
      <w:r>
        <w:rPr>
          <w:rFonts w:ascii="Book Antiqua" w:hAnsi="Book Antiqua" w:cs="Book Antiqua" w:hint="eastAsia"/>
          <w:b/>
          <w:color w:val="000000"/>
          <w:lang w:eastAsia="zh-CN"/>
        </w:rPr>
        <w:t>Citation:</w:t>
      </w:r>
      <w:bookmarkEnd w:id="3"/>
      <w:bookmarkEnd w:id="4"/>
      <w:r>
        <w:rPr>
          <w:rFonts w:ascii="Book Antiqua" w:hAnsi="Book Antiqua" w:cs="Book Antiqua" w:hint="eastAsia"/>
          <w:color w:val="000000"/>
          <w:lang w:eastAsia="zh-CN"/>
        </w:rPr>
        <w:t xml:space="preserve"> </w:t>
      </w:r>
      <w:bookmarkEnd w:id="5"/>
      <w:proofErr w:type="spellStart"/>
      <w:r>
        <w:rPr>
          <w:rFonts w:ascii="Book Antiqua" w:eastAsia="Book Antiqua" w:hAnsi="Book Antiqua" w:cs="Book Antiqua"/>
          <w:color w:val="000000"/>
        </w:rPr>
        <w:t>Leowattana</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Leowattana</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Leowattana</w:t>
      </w:r>
      <w:proofErr w:type="spellEnd"/>
      <w:r>
        <w:rPr>
          <w:rFonts w:ascii="Book Antiqua" w:eastAsia="Book Antiqua" w:hAnsi="Book Antiqua" w:cs="Book Antiqua"/>
          <w:color w:val="000000"/>
        </w:rPr>
        <w:t xml:space="preserve"> T. Systemic treatment for metastatic colorectal cancer.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2023; 29(10): 1</w:t>
      </w:r>
      <w:r w:rsidR="00F60163">
        <w:rPr>
          <w:rFonts w:ascii="Book Antiqua" w:eastAsia="Book Antiqua" w:hAnsi="Book Antiqua" w:cs="Book Antiqua"/>
          <w:color w:val="000000"/>
        </w:rPr>
        <w:t>569-1588</w:t>
      </w:r>
    </w:p>
    <w:p w14:paraId="49A47E68" w14:textId="08D941A2" w:rsidR="00A31DCB"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URL: </w:t>
      </w:r>
      <w:hyperlink r:id="rId7" w:history="1">
        <w:r w:rsidR="00F60163" w:rsidRPr="00F9689C">
          <w:rPr>
            <w:rStyle w:val="ad"/>
            <w:rFonts w:ascii="Book Antiqua" w:eastAsia="Book Antiqua" w:hAnsi="Book Antiqua" w:cs="Book Antiqua"/>
          </w:rPr>
          <w:t>https://www.wjgnet.com/1007-9327/full/v29/i10/1569.htm</w:t>
        </w:r>
      </w:hyperlink>
    </w:p>
    <w:p w14:paraId="46923A57" w14:textId="0A595198" w:rsidR="00A31DCB" w:rsidRDefault="00000000">
      <w:pPr>
        <w:spacing w:line="360" w:lineRule="auto"/>
        <w:jc w:val="both"/>
        <w:rPr>
          <w:rFonts w:ascii="Book Antiqua" w:hAnsi="Book Antiqua"/>
        </w:rPr>
      </w:pPr>
      <w:r>
        <w:rPr>
          <w:rFonts w:ascii="Book Antiqua" w:eastAsia="Book Antiqua" w:hAnsi="Book Antiqua" w:cs="Book Antiqua"/>
          <w:b/>
          <w:bCs/>
          <w:color w:val="000000"/>
        </w:rPr>
        <w:t xml:space="preserve">DOI: </w:t>
      </w:r>
      <w:r>
        <w:rPr>
          <w:rFonts w:ascii="Book Antiqua" w:eastAsia="Book Antiqua" w:hAnsi="Book Antiqua" w:cs="Book Antiqua"/>
          <w:color w:val="000000"/>
        </w:rPr>
        <w:t>https://dx.doi.org/10.3748/wjg.v29.i10.1</w:t>
      </w:r>
      <w:r w:rsidR="00F60163">
        <w:rPr>
          <w:rFonts w:ascii="Book Antiqua" w:eastAsia="Book Antiqua" w:hAnsi="Book Antiqua" w:cs="Book Antiqua"/>
          <w:color w:val="000000"/>
        </w:rPr>
        <w:t>569</w:t>
      </w:r>
    </w:p>
    <w:p w14:paraId="72D4FE49" w14:textId="77777777" w:rsidR="00A31DCB" w:rsidRDefault="00A31DCB">
      <w:pPr>
        <w:spacing w:line="360" w:lineRule="auto"/>
        <w:jc w:val="both"/>
      </w:pPr>
    </w:p>
    <w:p w14:paraId="702C18D3" w14:textId="77777777" w:rsidR="00A31DCB" w:rsidRDefault="00A31DCB">
      <w:pPr>
        <w:spacing w:line="360" w:lineRule="auto"/>
        <w:jc w:val="both"/>
      </w:pPr>
    </w:p>
    <w:p w14:paraId="66C13C7A" w14:textId="77777777" w:rsidR="00A31DCB" w:rsidRDefault="00000000">
      <w:pPr>
        <w:spacing w:line="360" w:lineRule="auto"/>
        <w:jc w:val="both"/>
        <w:rPr>
          <w:rFonts w:ascii="Book Antiqua" w:eastAsia="Book Antiqua" w:hAnsi="Book Antiqua" w:cs="Book Antiqua"/>
          <w:b/>
          <w:caps/>
          <w:color w:val="000000"/>
          <w:u w:val="single"/>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Advances in the molecular profiling of metastatic colorectal cancer allow treatment to be tailored to the biologic characteristics of the tumor for certain patient subgroups. Although cures are still rare, more people can expect to live longer. Genomic profiling enables therapy selection, allowing more individuals to benefit while exposing fewer to the harm of ineffective medicines. An important component in determining treatment results is the choice of an effective first-line therapy, which should consider both clinical considerations and molecular indicators. The systemic treatments used in the first-line regimen determine the second-line regimen. Third-line therapy, which includes epithelial growth factor receptor inhibitors for patients with rat sarcoma virus wild-type, should consider molecular profiling. Patients with high microsatellite instability illnesses may be candidates for immunotherapy with pembrolizumab or nivolumab plus ipilimumab.</w:t>
      </w:r>
      <w:r>
        <w:rPr>
          <w:rFonts w:ascii="Book Antiqua" w:eastAsia="Book Antiqua" w:hAnsi="Book Antiqua" w:cs="Book Antiqua"/>
          <w:b/>
          <w:caps/>
          <w:color w:val="000000"/>
          <w:u w:val="single"/>
        </w:rPr>
        <w:t xml:space="preserve"> </w:t>
      </w:r>
    </w:p>
    <w:p w14:paraId="1E3A0ED5" w14:textId="77777777" w:rsidR="00A31DCB" w:rsidRDefault="00A31DCB">
      <w:pPr>
        <w:spacing w:line="360" w:lineRule="auto"/>
        <w:jc w:val="both"/>
        <w:rPr>
          <w:rFonts w:ascii="Book Antiqua" w:eastAsia="Book Antiqua" w:hAnsi="Book Antiqua" w:cs="Book Antiqua"/>
          <w:b/>
          <w:caps/>
          <w:color w:val="000000"/>
          <w:u w:val="single"/>
        </w:rPr>
      </w:pPr>
    </w:p>
    <w:p w14:paraId="3457B42E" w14:textId="77777777" w:rsidR="00A31DCB" w:rsidRDefault="00000000">
      <w:pPr>
        <w:spacing w:line="360" w:lineRule="auto"/>
        <w:jc w:val="both"/>
      </w:pPr>
      <w:r>
        <w:rPr>
          <w:rFonts w:ascii="Book Antiqua" w:eastAsia="Book Antiqua" w:hAnsi="Book Antiqua" w:cs="Book Antiqua"/>
          <w:b/>
          <w:caps/>
          <w:color w:val="000000"/>
          <w:u w:val="single"/>
        </w:rPr>
        <w:t>INTRODUCTION</w:t>
      </w:r>
    </w:p>
    <w:p w14:paraId="23A82865" w14:textId="77777777" w:rsidR="00A31DCB" w:rsidRDefault="00000000">
      <w:pPr>
        <w:spacing w:line="360" w:lineRule="auto"/>
        <w:jc w:val="both"/>
      </w:pPr>
      <w:r>
        <w:rPr>
          <w:rFonts w:ascii="Book Antiqua" w:eastAsia="Book Antiqua" w:hAnsi="Book Antiqua" w:cs="Book Antiqua"/>
          <w:color w:val="000000"/>
        </w:rPr>
        <w:t>The third most commonly occurring cancer in humans is colorectal cancer (CRC). More than 2 million individuals are diagnosed with this cancer each year worldwide. This year, about one million individuals will die from CRC. The liver is the most common target of CRC hematogenous metastasis, as well as the site most responsible for death from this common malignancy. When patients are diagnosed in the late stage of disease, their prognosis remains poor</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The majority of</w:t>
      </w:r>
      <w:proofErr w:type="gramEnd"/>
      <w:r>
        <w:rPr>
          <w:rFonts w:ascii="Book Antiqua" w:eastAsia="Book Antiqua" w:hAnsi="Book Antiqua" w:cs="Book Antiqua"/>
          <w:color w:val="000000"/>
        </w:rPr>
        <w:t xml:space="preserve"> individuals who have a CRC diagnosis are over 50, whereas only 12% of all new CRC diagnoses are found in those under 50. Overall, the lifetime risk of developing CRC is about 1 in 23 (4.3%) for men and 1 in 25 (4.0%) for women. According to statistics from the Surveillance, Epidemiology, and End Results Program, at the time of diagnosis, 38% of patients have localized disease, 35% have regional disease, 21% have distant disease, and 6% have no stage</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CRC diagnoses have decreased overall since 2000 </w:t>
      </w:r>
      <w:proofErr w:type="gramStart"/>
      <w:r>
        <w:rPr>
          <w:rFonts w:ascii="Book Antiqua" w:eastAsia="Book Antiqua" w:hAnsi="Book Antiqua" w:cs="Book Antiqua"/>
          <w:color w:val="000000"/>
        </w:rPr>
        <w:t>as a result of</w:t>
      </w:r>
      <w:proofErr w:type="gramEnd"/>
      <w:r>
        <w:rPr>
          <w:rFonts w:ascii="Book Antiqua" w:eastAsia="Book Antiqua" w:hAnsi="Book Antiqua" w:cs="Book Antiqua"/>
          <w:color w:val="000000"/>
        </w:rPr>
        <w:t xml:space="preserve"> increased screening efforts, although it has increased in young people under 50 since the 1990s. Preventive measures, such as routine </w:t>
      </w:r>
      <w:r>
        <w:rPr>
          <w:rFonts w:ascii="Book Antiqua" w:eastAsia="Book Antiqua" w:hAnsi="Book Antiqua" w:cs="Book Antiqua"/>
          <w:color w:val="000000"/>
        </w:rPr>
        <w:lastRenderedPageBreak/>
        <w:t xml:space="preserve">colonoscopies, remain the most effective way to combat CRC. With a rising interest in non-invasive biomarkers, many additional approaches have been developed. However, nearly 50% of patients are still diagnosed at an advanced stage. Metastatic CRC (mCRC) has a poor prognosis with a 5-year survival rate of 14%, and this number has remained constant over the past 5 years. Until the late twentieth century, mCRC was thought </w:t>
      </w:r>
      <w:proofErr w:type="gramStart"/>
      <w:r>
        <w:rPr>
          <w:rFonts w:ascii="Book Antiqua" w:eastAsia="Book Antiqua" w:hAnsi="Book Antiqua" w:cs="Book Antiqua"/>
          <w:color w:val="000000"/>
        </w:rPr>
        <w:t>to</w:t>
      </w:r>
      <w:proofErr w:type="gramEnd"/>
      <w:r>
        <w:rPr>
          <w:rFonts w:ascii="Book Antiqua" w:eastAsia="Book Antiqua" w:hAnsi="Book Antiqua" w:cs="Book Antiqua"/>
          <w:color w:val="000000"/>
        </w:rPr>
        <w:t xml:space="preserve"> always be fatal. The discovery that metastatic cancer is mostly localized to the liver in postmortem investigations and radiologic examinations utilizing computer-assisted tomography scanners led early pioneers to resect liver metastasis. To establish liver resections for metastatic carcinoma as an acceptable treatment, pioneers conducted and published data</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Only one standard regimen to manage CRC has been shown to be inefficient, resulting in high rates of treatment failure and disease resistance. Recently, the clinical outcomes of patients with mCRC have improved dramatically </w:t>
      </w:r>
      <w:proofErr w:type="gramStart"/>
      <w:r>
        <w:rPr>
          <w:rFonts w:ascii="Book Antiqua" w:eastAsia="Book Antiqua" w:hAnsi="Book Antiqua" w:cs="Book Antiqua"/>
          <w:color w:val="000000"/>
        </w:rPr>
        <w:t>as a result of</w:t>
      </w:r>
      <w:proofErr w:type="gramEnd"/>
      <w:r>
        <w:rPr>
          <w:rFonts w:ascii="Book Antiqua" w:eastAsia="Book Antiqua" w:hAnsi="Book Antiqua" w:cs="Book Antiqua"/>
          <w:color w:val="000000"/>
        </w:rPr>
        <w:t xml:space="preserve"> the discovery of prognostic and predictive molecular biomarkers and the subsequent individualization of treatment options. High genetic heterogeneity, including but not limited to chromosomal instability (CIN), microsatellite instability (MSI), and the CpG island methylator phenotype (CIMP), has been identified by molecular profiling of CRC. Different CRC subtypes have varying prognoses and therapeutic outcomes. Promising improvements for the use of systemic therapy and precision medicine in mCRC have resulted from recent advancements in our understanding of the molecular signaling networks that control intestinal regeneration and homeostasis</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w:t>
      </w:r>
    </w:p>
    <w:p w14:paraId="052282D0" w14:textId="77777777" w:rsidR="00A31DCB" w:rsidRDefault="00000000">
      <w:pPr>
        <w:spacing w:line="360" w:lineRule="auto"/>
        <w:ind w:firstLineChars="112" w:firstLine="269"/>
        <w:jc w:val="both"/>
      </w:pPr>
      <w:r>
        <w:rPr>
          <w:rFonts w:ascii="Book Antiqua" w:eastAsia="Book Antiqua" w:hAnsi="Book Antiqua" w:cs="Book Antiqua"/>
          <w:color w:val="000000"/>
        </w:rPr>
        <w:t xml:space="preserve">The discovery of the key molecular drivers in CRC pathogenesis, coupled with the ability to screen tissue for measurable mutations crucial to disease progression, led to the development of an innovative treatment model for patients with advanced CRC. Despite substantial breakthroughs in tumor biology understanding, these have not entirely translated into proven novel therapies for all patients, since the chemotherapeutic strategy is still built around combination cytotoxic regimens targeted at proliferative epithelium. Although there have been some achievements with targeted therapy, such as the synergistic effect of protein kinase B-Raf (BRAF) inhibitors and epithelial growth factor receptor (EGFR) inhibitors in </w:t>
      </w:r>
      <w:r>
        <w:rPr>
          <w:rFonts w:ascii="Book Antiqua" w:eastAsia="Book Antiqua" w:hAnsi="Book Antiqua" w:cs="Book Antiqua"/>
          <w:i/>
          <w:iCs/>
          <w:color w:val="000000"/>
        </w:rPr>
        <w:t>BRAF</w:t>
      </w:r>
      <w:r>
        <w:rPr>
          <w:rFonts w:ascii="Book Antiqua" w:eastAsia="Book Antiqua" w:hAnsi="Book Antiqua" w:cs="Book Antiqua"/>
          <w:color w:val="000000"/>
        </w:rPr>
        <w:t xml:space="preserve">-mutant CRC, certain medications have not </w:t>
      </w:r>
      <w:r>
        <w:rPr>
          <w:rFonts w:ascii="Book Antiqua" w:eastAsia="Book Antiqua" w:hAnsi="Book Antiqua" w:cs="Book Antiqua"/>
          <w:color w:val="000000"/>
        </w:rPr>
        <w:lastRenderedPageBreak/>
        <w:t>been able to offer clinically meaningful improvements for other pathways. As evidenced by the effect of immune checkpoint inhibition in microsatellite unstable CRC, therapeutic exploitation of intercompartmental signaling in the malignant epithelium may represent an important new drug paradigm in CRC. This is because we are becoming more aware of the signaling crosstalk that controls intestinal cell fate in health and disease, as well as the function of the tumor microenvironment (TME)</w:t>
      </w:r>
      <w:r>
        <w:rPr>
          <w:rFonts w:ascii="Book Antiqua" w:eastAsia="Book Antiqua" w:hAnsi="Book Antiqua" w:cs="Book Antiqua"/>
          <w:color w:val="000000"/>
          <w:szCs w:val="30"/>
          <w:vertAlign w:val="superscript"/>
        </w:rPr>
        <w:t>[6,7]</w:t>
      </w:r>
      <w:r>
        <w:rPr>
          <w:rFonts w:ascii="Book Antiqua" w:eastAsia="Book Antiqua" w:hAnsi="Book Antiqua" w:cs="Book Antiqua"/>
          <w:color w:val="000000"/>
        </w:rPr>
        <w:t xml:space="preserve">. </w:t>
      </w:r>
    </w:p>
    <w:p w14:paraId="18010A0E" w14:textId="77777777" w:rsidR="00A31DCB" w:rsidRDefault="00000000">
      <w:pPr>
        <w:spacing w:line="360" w:lineRule="auto"/>
        <w:ind w:firstLineChars="112" w:firstLine="269"/>
        <w:jc w:val="both"/>
      </w:pPr>
      <w:r>
        <w:rPr>
          <w:rFonts w:ascii="Book Antiqua" w:eastAsia="Book Antiqua" w:hAnsi="Book Antiqua" w:cs="Book Antiqua"/>
          <w:color w:val="000000"/>
        </w:rPr>
        <w:t>We have split these important signaling pathways into those that control the destiny of cancer cells or intestinal epithelium directly and those that function indirectly by leveraging the TME in this review. Additionally, we explore how signaling affects each cancer cell’s destiny and comment on some possible treatment prospects that result from effective pathway modulation for each.</w:t>
      </w:r>
    </w:p>
    <w:p w14:paraId="7AEB802B" w14:textId="77777777" w:rsidR="00A31DCB" w:rsidRDefault="00A31DCB">
      <w:pPr>
        <w:spacing w:line="360" w:lineRule="auto"/>
        <w:jc w:val="both"/>
      </w:pPr>
    </w:p>
    <w:p w14:paraId="37A0DD98" w14:textId="77777777" w:rsidR="00A31DCB" w:rsidRDefault="00000000">
      <w:pPr>
        <w:spacing w:line="360" w:lineRule="auto"/>
        <w:jc w:val="both"/>
      </w:pPr>
      <w:r>
        <w:rPr>
          <w:rFonts w:ascii="Book Antiqua" w:eastAsia="Book Antiqua" w:hAnsi="Book Antiqua" w:cs="Book Antiqua"/>
          <w:b/>
          <w:bCs/>
          <w:caps/>
          <w:color w:val="000000"/>
          <w:u w:val="single"/>
        </w:rPr>
        <w:t>risk factors for cRC</w:t>
      </w:r>
    </w:p>
    <w:p w14:paraId="3161E051" w14:textId="77777777" w:rsidR="00A31DCB" w:rsidRDefault="00000000">
      <w:pPr>
        <w:spacing w:line="360" w:lineRule="auto"/>
        <w:jc w:val="both"/>
      </w:pPr>
      <w:r>
        <w:rPr>
          <w:rFonts w:ascii="Book Antiqua" w:eastAsia="Book Antiqua" w:hAnsi="Book Antiqua" w:cs="Book Antiqua"/>
          <w:b/>
          <w:bCs/>
          <w:i/>
          <w:iCs/>
          <w:color w:val="000000"/>
        </w:rPr>
        <w:t>Behaviors, diets, and lifestyle</w:t>
      </w:r>
    </w:p>
    <w:p w14:paraId="12E763F0" w14:textId="77777777" w:rsidR="00A31DCB" w:rsidRDefault="00000000">
      <w:pPr>
        <w:spacing w:line="360" w:lineRule="auto"/>
        <w:jc w:val="both"/>
      </w:pPr>
      <w:r>
        <w:rPr>
          <w:rFonts w:ascii="Book Antiqua" w:eastAsia="Book Antiqua" w:hAnsi="Book Antiqua" w:cs="Book Antiqua"/>
          <w:color w:val="000000"/>
        </w:rPr>
        <w:t xml:space="preserve">Only a small proportion of CRCs are associated with germline mutations or discovered in the presence of a strong family history; </w:t>
      </w:r>
      <w:proofErr w:type="gramStart"/>
      <w:r>
        <w:rPr>
          <w:rFonts w:ascii="Book Antiqua" w:eastAsia="Book Antiqua" w:hAnsi="Book Antiqua" w:cs="Book Antiqua"/>
          <w:color w:val="000000"/>
        </w:rPr>
        <w:t>the majority of</w:t>
      </w:r>
      <w:proofErr w:type="gramEnd"/>
      <w:r>
        <w:rPr>
          <w:rFonts w:ascii="Book Antiqua" w:eastAsia="Book Antiqua" w:hAnsi="Book Antiqua" w:cs="Book Antiqua"/>
          <w:color w:val="000000"/>
        </w:rPr>
        <w:t xml:space="preserve"> CRCs are random</w:t>
      </w:r>
      <w:r>
        <w:rPr>
          <w:rFonts w:ascii="Book Antiqua" w:eastAsia="Book Antiqua" w:hAnsi="Book Antiqua" w:cs="Book Antiqua"/>
          <w:color w:val="000000"/>
          <w:szCs w:val="30"/>
          <w:vertAlign w:val="superscript"/>
        </w:rPr>
        <w:t>[8,9]</w:t>
      </w:r>
      <w:r>
        <w:rPr>
          <w:rFonts w:ascii="Book Antiqua" w:eastAsia="Book Antiqua" w:hAnsi="Book Antiqua" w:cs="Book Antiqua"/>
          <w:color w:val="000000"/>
        </w:rPr>
        <w:t xml:space="preserve">. The significance of environmental exposure has been further demonstrated by the variation in CRC risks throughout the world and the discovery that younger generations are at a higher risk of CRC in westernized nations. Numerous studies have been conducted </w:t>
      </w:r>
      <w:proofErr w:type="gramStart"/>
      <w:r>
        <w:rPr>
          <w:rFonts w:ascii="Book Antiqua" w:eastAsia="Book Antiqua" w:hAnsi="Book Antiqua" w:cs="Book Antiqua"/>
          <w:color w:val="000000"/>
        </w:rPr>
        <w:t>in an effort to</w:t>
      </w:r>
      <w:proofErr w:type="gramEnd"/>
      <w:r>
        <w:rPr>
          <w:rFonts w:ascii="Book Antiqua" w:eastAsia="Book Antiqua" w:hAnsi="Book Antiqua" w:cs="Book Antiqua"/>
          <w:color w:val="000000"/>
        </w:rPr>
        <w:t xml:space="preserve"> identify and quantify the environmental and dietary risk factors for CRC. Global studies have shown a 45-fold variation in the age-standardized incidence of CRC worldwide</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Gambia and other non-industrialized nations have the lowest rates of CRC, whereas westernized nations have the highest rates. The prevalence of CRC has been seen to rise over time when a nation industrializes and starts to follow a westernized lifestyle and diets low in fiber</w:t>
      </w:r>
      <w:r>
        <w:rPr>
          <w:rFonts w:ascii="Book Antiqua" w:eastAsia="Book Antiqua" w:hAnsi="Book Antiqua" w:cs="Book Antiqua"/>
          <w:color w:val="000000"/>
          <w:szCs w:val="30"/>
          <w:vertAlign w:val="superscript"/>
        </w:rPr>
        <w:t>[11,12]</w:t>
      </w:r>
      <w:r>
        <w:rPr>
          <w:rFonts w:ascii="Book Antiqua" w:eastAsia="Book Antiqua" w:hAnsi="Book Antiqua" w:cs="Book Antiqua"/>
          <w:color w:val="000000"/>
        </w:rPr>
        <w:t xml:space="preserve">. A westernized diet, or one that is low in fiber, fruits, and vegetables and heavy in processed meats, sugary drinks, and refined grains, is linked to greater risks of CRC. It has been challenging to pinpoint everything that increases the risk of CRC in a westernized diet. This diet’s many components are probably a factor in the greater prevalence of CRC. Studies have repeatedly shown that diets rich in processed </w:t>
      </w:r>
      <w:r>
        <w:rPr>
          <w:rFonts w:ascii="Book Antiqua" w:eastAsia="Book Antiqua" w:hAnsi="Book Antiqua" w:cs="Book Antiqua"/>
          <w:color w:val="000000"/>
        </w:rPr>
        <w:lastRenderedPageBreak/>
        <w:t>foods and red meat are linked to higher risks of CRC. For every 100 g of red and processed meat consumed, CRC incidence increases by 12%, according to a recent meta-analysis of 111 studies involving 400 individuals</w:t>
      </w:r>
      <w:r>
        <w:rPr>
          <w:rFonts w:ascii="Book Antiqua" w:eastAsia="Book Antiqua" w:hAnsi="Book Antiqua" w:cs="Book Antiqua"/>
          <w:color w:val="000000"/>
          <w:szCs w:val="30"/>
          <w:vertAlign w:val="superscript"/>
        </w:rPr>
        <w:t xml:space="preserve">[13] </w:t>
      </w:r>
      <w:r>
        <w:rPr>
          <w:rFonts w:ascii="Book Antiqua" w:eastAsia="Book Antiqua" w:hAnsi="Book Antiqua" w:cs="Book Antiqua"/>
          <w:color w:val="000000"/>
        </w:rPr>
        <w:t>(Table 1). Smoking increases the likelihood of both serrated polyps and colorectal adenomas</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According to large observational studies, more pack-years result in higher CRC rates</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Recent research suggests that smoking is marginally related to MSI-high (MSI-H) tumors, increases the rates of rectal and proximal CRC, and is correlated with </w:t>
      </w:r>
      <w:r>
        <w:rPr>
          <w:rFonts w:ascii="Book Antiqua" w:eastAsia="Book Antiqua" w:hAnsi="Book Antiqua" w:cs="Book Antiqua"/>
          <w:i/>
          <w:iCs/>
          <w:color w:val="000000"/>
        </w:rPr>
        <w:t>BRAF</w:t>
      </w:r>
      <w:r>
        <w:rPr>
          <w:rFonts w:ascii="Book Antiqua" w:eastAsia="Book Antiqua" w:hAnsi="Book Antiqua" w:cs="Book Antiqua"/>
          <w:color w:val="000000"/>
        </w:rPr>
        <w:t xml:space="preserve">-mutant malignancies. </w:t>
      </w:r>
      <w:proofErr w:type="gramStart"/>
      <w:r>
        <w:rPr>
          <w:rFonts w:ascii="Book Antiqua" w:eastAsia="Book Antiqua" w:hAnsi="Book Antiqua" w:cs="Book Antiqua"/>
          <w:color w:val="000000"/>
        </w:rPr>
        <w:t>Similar to</w:t>
      </w:r>
      <w:proofErr w:type="gramEnd"/>
      <w:r>
        <w:rPr>
          <w:rFonts w:ascii="Book Antiqua" w:eastAsia="Book Antiqua" w:hAnsi="Book Antiqua" w:cs="Book Antiqua"/>
          <w:color w:val="000000"/>
        </w:rPr>
        <w:t xml:space="preserve"> smoking, drinking alcohol is a recognized risk factor for CRC, and recent pooled studies have demonstrated that even occasional drinking increases the risk of CRC</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w:t>
      </w:r>
    </w:p>
    <w:p w14:paraId="51F19FDD" w14:textId="77777777" w:rsidR="00A31DCB" w:rsidRDefault="00000000">
      <w:pPr>
        <w:spacing w:line="360" w:lineRule="auto"/>
        <w:ind w:firstLine="270"/>
        <w:jc w:val="both"/>
      </w:pPr>
      <w:r>
        <w:rPr>
          <w:rFonts w:ascii="Book Antiqua" w:eastAsia="Book Antiqua" w:hAnsi="Book Antiqua" w:cs="Book Antiqua"/>
          <w:color w:val="000000"/>
        </w:rPr>
        <w:t xml:space="preserve">Numerous studies have shown that an increased risk of CRC is related to obesity and decreased physical activity. CRC has repeatedly proven to be correlated with excess body fat, which is most typically quantified using body mass index and waist circumference. Sedentary activity, such as extended sitting or TV viewing, is linked to a higher risk of CRC. In populations over 50, </w:t>
      </w:r>
      <w:proofErr w:type="gramStart"/>
      <w:r>
        <w:rPr>
          <w:rFonts w:ascii="Book Antiqua" w:eastAsia="Book Antiqua" w:hAnsi="Book Antiqua" w:cs="Book Antiqua"/>
          <w:color w:val="000000"/>
        </w:rPr>
        <w:t>the majority of</w:t>
      </w:r>
      <w:proofErr w:type="gramEnd"/>
      <w:r>
        <w:rPr>
          <w:rFonts w:ascii="Book Antiqua" w:eastAsia="Book Antiqua" w:hAnsi="Book Antiqua" w:cs="Book Antiqua"/>
          <w:color w:val="000000"/>
        </w:rPr>
        <w:t xml:space="preserve"> research verifying obesity and a lack of physical exercise as risk factors for CRC has been demonstrated. Attempts to quantify the impact of obesity and physical activity on rates of early-onset CRC have rekindled attention </w:t>
      </w:r>
      <w:proofErr w:type="gramStart"/>
      <w:r>
        <w:rPr>
          <w:rFonts w:ascii="Book Antiqua" w:eastAsia="Book Antiqua" w:hAnsi="Book Antiqua" w:cs="Book Antiqua"/>
          <w:color w:val="000000"/>
        </w:rPr>
        <w:t>in light of</w:t>
      </w:r>
      <w:proofErr w:type="gramEnd"/>
      <w:r>
        <w:rPr>
          <w:rFonts w:ascii="Book Antiqua" w:eastAsia="Book Antiqua" w:hAnsi="Book Antiqua" w:cs="Book Antiqua"/>
          <w:color w:val="000000"/>
        </w:rPr>
        <w:t xml:space="preserve"> the rising burden of young-onset CRC in developed nations</w:t>
      </w:r>
      <w:r>
        <w:rPr>
          <w:rFonts w:ascii="Book Antiqua" w:eastAsia="Book Antiqua" w:hAnsi="Book Antiqua" w:cs="Book Antiqua"/>
          <w:color w:val="000000"/>
          <w:szCs w:val="30"/>
          <w:vertAlign w:val="superscript"/>
        </w:rPr>
        <w:t>[17,18]</w:t>
      </w:r>
      <w:r>
        <w:rPr>
          <w:rFonts w:ascii="Book Antiqua" w:eastAsia="Book Antiqua" w:hAnsi="Book Antiqua" w:cs="Book Antiqua"/>
          <w:color w:val="000000"/>
        </w:rPr>
        <w:t xml:space="preserve">. These and other investigations support the advice from the American Cancer Society and other cancer organizations that maintaining a healthy weight and engaging in more physical exercise are crucial for lowering the risk of CRC. </w:t>
      </w:r>
    </w:p>
    <w:p w14:paraId="3D8ECB89" w14:textId="77777777" w:rsidR="00A31DCB" w:rsidRDefault="00A31DCB">
      <w:pPr>
        <w:spacing w:line="360" w:lineRule="auto"/>
        <w:jc w:val="both"/>
        <w:rPr>
          <w:rFonts w:ascii="Book Antiqua" w:eastAsia="Book Antiqua" w:hAnsi="Book Antiqua" w:cs="Book Antiqua"/>
          <w:b/>
          <w:bCs/>
          <w:i/>
          <w:iCs/>
          <w:caps/>
          <w:color w:val="000000"/>
        </w:rPr>
      </w:pPr>
    </w:p>
    <w:p w14:paraId="2A230FFA" w14:textId="77777777" w:rsidR="00A31DCB" w:rsidRDefault="00000000">
      <w:pPr>
        <w:spacing w:line="360" w:lineRule="auto"/>
        <w:jc w:val="both"/>
      </w:pPr>
      <w:r>
        <w:rPr>
          <w:rFonts w:ascii="Book Antiqua" w:eastAsia="Book Antiqua" w:hAnsi="Book Antiqua" w:cs="Book Antiqua"/>
          <w:b/>
          <w:bCs/>
          <w:i/>
          <w:iCs/>
          <w:color w:val="000000"/>
        </w:rPr>
        <w:t>Genetic</w:t>
      </w:r>
      <w:r>
        <w:rPr>
          <w:rFonts w:ascii="Book Antiqua" w:eastAsia="Book Antiqua" w:hAnsi="Book Antiqua" w:cs="Book Antiqua"/>
          <w:b/>
          <w:bCs/>
          <w:i/>
          <w:iCs/>
          <w:caps/>
          <w:color w:val="000000"/>
        </w:rPr>
        <w:t xml:space="preserve"> </w:t>
      </w:r>
      <w:r>
        <w:rPr>
          <w:rFonts w:ascii="Book Antiqua" w:eastAsia="Book Antiqua" w:hAnsi="Book Antiqua" w:cs="Book Antiqua"/>
          <w:b/>
          <w:bCs/>
          <w:i/>
          <w:iCs/>
          <w:color w:val="000000"/>
        </w:rPr>
        <w:t>factors</w:t>
      </w:r>
    </w:p>
    <w:p w14:paraId="1E28AF0E" w14:textId="77777777" w:rsidR="00A31DCB" w:rsidRDefault="00000000">
      <w:pPr>
        <w:spacing w:line="360" w:lineRule="auto"/>
        <w:jc w:val="both"/>
      </w:pPr>
      <w:r>
        <w:rPr>
          <w:rFonts w:ascii="Book Antiqua" w:eastAsia="Book Antiqua" w:hAnsi="Book Antiqua" w:cs="Book Antiqua"/>
          <w:color w:val="000000"/>
        </w:rPr>
        <w:t xml:space="preserve">A family history of cancer without a specific condition is thought to be the cause of 25% of CRCs, while hereditary cancer syndromes are thought to be the cause of 5% of CRCs. The hereditary component of CRC is predicted to be 35%-40%. Hereditary non-polyposis CRC (Lynch syndrome), familial adenomatous polyposis (FAP), and MUTYH-associated polyposis (MAP) are the most prevalent hereditary cancer syndromes. About 2%-4% of all CRCs are caused by Lynch syndrome, the most prevalent hereditary CRC condition. Patients with Lynch syndrome are susceptible to endometrial, ovarian, stomach, small </w:t>
      </w:r>
      <w:r>
        <w:rPr>
          <w:rFonts w:ascii="Book Antiqua" w:eastAsia="Book Antiqua" w:hAnsi="Book Antiqua" w:cs="Book Antiqua"/>
          <w:color w:val="000000"/>
        </w:rPr>
        <w:lastRenderedPageBreak/>
        <w:t xml:space="preserve">intestine, hepatobiliary tract, pancreatic, ureter, and renal pelvis malignancies. Lynch syndrome is caused by mutations in the DNA mismatch repair genes </w:t>
      </w:r>
      <w:r>
        <w:rPr>
          <w:rFonts w:ascii="Book Antiqua" w:eastAsia="Book Antiqua" w:hAnsi="Book Antiqua" w:cs="Book Antiqua"/>
          <w:i/>
          <w:iCs/>
          <w:color w:val="000000"/>
        </w:rPr>
        <w:t>hMLH1</w:t>
      </w:r>
      <w:r>
        <w:rPr>
          <w:rFonts w:ascii="Book Antiqua" w:eastAsia="Book Antiqua" w:hAnsi="Book Antiqua" w:cs="Book Antiqua"/>
          <w:color w:val="000000"/>
        </w:rPr>
        <w:t xml:space="preserve">, </w:t>
      </w:r>
      <w:r>
        <w:rPr>
          <w:rFonts w:ascii="Book Antiqua" w:eastAsia="Book Antiqua" w:hAnsi="Book Antiqua" w:cs="Book Antiqua"/>
          <w:i/>
          <w:iCs/>
          <w:color w:val="000000"/>
        </w:rPr>
        <w:t>hMSH2</w:t>
      </w:r>
      <w:r>
        <w:rPr>
          <w:rFonts w:ascii="Book Antiqua" w:eastAsia="Book Antiqua" w:hAnsi="Book Antiqua" w:cs="Book Antiqua"/>
          <w:color w:val="000000"/>
        </w:rPr>
        <w:t xml:space="preserve">, </w:t>
      </w:r>
      <w:r>
        <w:rPr>
          <w:rFonts w:ascii="Book Antiqua" w:eastAsia="Book Antiqua" w:hAnsi="Book Antiqua" w:cs="Book Antiqua"/>
          <w:i/>
          <w:iCs/>
          <w:color w:val="000000"/>
        </w:rPr>
        <w:t>hMSH6</w:t>
      </w:r>
      <w:r>
        <w:rPr>
          <w:rFonts w:ascii="Book Antiqua" w:eastAsia="Book Antiqua" w:hAnsi="Book Antiqua" w:cs="Book Antiqua"/>
          <w:color w:val="000000"/>
        </w:rPr>
        <w:t xml:space="preserve">, and </w:t>
      </w:r>
      <w:r>
        <w:rPr>
          <w:rFonts w:ascii="Book Antiqua" w:eastAsia="Book Antiqua" w:hAnsi="Book Antiqua" w:cs="Book Antiqua"/>
          <w:i/>
          <w:iCs/>
          <w:color w:val="000000"/>
        </w:rPr>
        <w:t>hPMS2</w:t>
      </w:r>
      <w:r>
        <w:rPr>
          <w:rFonts w:ascii="Book Antiqua" w:eastAsia="Book Antiqua" w:hAnsi="Book Antiqua" w:cs="Book Antiqua"/>
          <w:color w:val="000000"/>
          <w:szCs w:val="30"/>
          <w:vertAlign w:val="superscript"/>
        </w:rPr>
        <w:t>[19,20]</w:t>
      </w:r>
      <w:r>
        <w:rPr>
          <w:rFonts w:ascii="Book Antiqua" w:eastAsia="Book Antiqua" w:hAnsi="Book Antiqua" w:cs="Book Antiqua"/>
          <w:color w:val="000000"/>
        </w:rPr>
        <w:t>. The lifetime risk of CRC for these people is between 5% and 85%. FAP makes up roughly 1% of CRC cases and is the second most prevalent hereditary CRC syndrome. A germ line mutation in the adenomatous polyposis coli (</w:t>
      </w:r>
      <w:r>
        <w:rPr>
          <w:rFonts w:ascii="Book Antiqua" w:eastAsia="Book Antiqua" w:hAnsi="Book Antiqua" w:cs="Book Antiqua"/>
          <w:i/>
          <w:iCs/>
          <w:color w:val="000000"/>
        </w:rPr>
        <w:t>APC</w:t>
      </w:r>
      <w:r>
        <w:rPr>
          <w:rFonts w:ascii="Book Antiqua" w:eastAsia="Book Antiqua" w:hAnsi="Book Antiqua" w:cs="Book Antiqua"/>
          <w:color w:val="000000"/>
        </w:rPr>
        <w:t>) gene that causes a shortened APC protein is the secondary cause of FAP. With a 90% inheritance, it is inherited in an autosomal dominant manner. For these people, thousands of polyps form in the gastrointestinal system, the majority of which are in the colon. By the third or fourth decade, CRC will manifest in all FAP-affected individuals without preventative colectomy</w:t>
      </w:r>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The lifetime risk of CRC for these MAP individuals is expected to be 43%-100%. Serrated polyposis syndrome, </w:t>
      </w:r>
      <w:proofErr w:type="spellStart"/>
      <w:r>
        <w:rPr>
          <w:rFonts w:ascii="Book Antiqua" w:eastAsia="Book Antiqua" w:hAnsi="Book Antiqua" w:cs="Book Antiqua"/>
          <w:color w:val="000000"/>
        </w:rPr>
        <w:t>Peutz-Jeghers</w:t>
      </w:r>
      <w:proofErr w:type="spellEnd"/>
      <w:r>
        <w:rPr>
          <w:rFonts w:ascii="Book Antiqua" w:eastAsia="Book Antiqua" w:hAnsi="Book Antiqua" w:cs="Book Antiqua"/>
          <w:color w:val="000000"/>
        </w:rPr>
        <w:t xml:space="preserve"> syndrome, and juvenile polyposis syndrome are further polyposis syndromes associated with a higher risk of CRC. These are all uncommon disorders that together only contribute to 1% of CRC incidence. Race, age, and sex are other unmodifiable risk factors for CRC in addition to family history. Male patients are generally at a higher risk of developing CRC than female patients; ideas explaining this include the fact that women typically have less visceral fat and benefit from estrogen's general preventive properties against CRC. Men are also less likely to pursue screening, and they may be more exposed to environmental risks, including drinking, smoking, and unhealthy diets</w:t>
      </w:r>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w:t>
      </w:r>
    </w:p>
    <w:p w14:paraId="19D07FA2" w14:textId="77777777" w:rsidR="00A31DCB" w:rsidRDefault="00A31DCB">
      <w:pPr>
        <w:spacing w:line="360" w:lineRule="auto"/>
        <w:jc w:val="both"/>
        <w:rPr>
          <w:rFonts w:ascii="Book Antiqua" w:eastAsia="Book Antiqua" w:hAnsi="Book Antiqua" w:cs="Book Antiqua"/>
          <w:b/>
          <w:bCs/>
          <w:i/>
          <w:iCs/>
          <w:caps/>
          <w:color w:val="000000"/>
        </w:rPr>
      </w:pPr>
    </w:p>
    <w:p w14:paraId="6EBD31A1" w14:textId="77777777" w:rsidR="00A31DCB" w:rsidRDefault="00000000">
      <w:pPr>
        <w:spacing w:line="360" w:lineRule="auto"/>
        <w:jc w:val="both"/>
      </w:pPr>
      <w:r>
        <w:rPr>
          <w:rFonts w:ascii="Book Antiqua" w:eastAsia="Book Antiqua" w:hAnsi="Book Antiqua" w:cs="Book Antiqua"/>
          <w:b/>
          <w:bCs/>
          <w:i/>
          <w:iCs/>
          <w:color w:val="000000"/>
        </w:rPr>
        <w:t>Polyps</w:t>
      </w:r>
    </w:p>
    <w:p w14:paraId="6B25EE23" w14:textId="77777777" w:rsidR="00A31DCB" w:rsidRDefault="00000000">
      <w:pPr>
        <w:spacing w:line="360" w:lineRule="auto"/>
        <w:jc w:val="both"/>
      </w:pPr>
      <w:r>
        <w:rPr>
          <w:rFonts w:ascii="Book Antiqua" w:eastAsia="Book Antiqua" w:hAnsi="Book Antiqua" w:cs="Book Antiqua"/>
          <w:color w:val="000000"/>
        </w:rPr>
        <w:t xml:space="preserve">Most CRCs develop from a harmless precursor polyp. Therefore, people who have a considerable personal or family history of high-risk polyps are at a higher risk of developing CRC. There are many different forms of polyps, some of which are non-neoplastic, including hyperplastic polyps, mucosal polyps, inflammatory polyps, and </w:t>
      </w:r>
      <w:proofErr w:type="spellStart"/>
      <w:r>
        <w:rPr>
          <w:rFonts w:ascii="Book Antiqua" w:eastAsia="Book Antiqua" w:hAnsi="Book Antiqua" w:cs="Book Antiqua"/>
          <w:color w:val="000000"/>
        </w:rPr>
        <w:t>harmartomatous</w:t>
      </w:r>
      <w:proofErr w:type="spellEnd"/>
      <w:r>
        <w:rPr>
          <w:rFonts w:ascii="Book Antiqua" w:eastAsia="Book Antiqua" w:hAnsi="Book Antiqua" w:cs="Book Antiqua"/>
          <w:color w:val="000000"/>
        </w:rPr>
        <w:t xml:space="preserve"> polyps. The remaining polyps, including adenomatous and serrated polyps, have cancerous potential. Adenomatous polyps are where </w:t>
      </w:r>
      <w:proofErr w:type="gramStart"/>
      <w:r>
        <w:rPr>
          <w:rFonts w:ascii="Book Antiqua" w:eastAsia="Book Antiqua" w:hAnsi="Book Antiqua" w:cs="Book Antiqua"/>
          <w:color w:val="000000"/>
        </w:rPr>
        <w:t>the vast majority of</w:t>
      </w:r>
      <w:proofErr w:type="gramEnd"/>
      <w:r>
        <w:rPr>
          <w:rFonts w:ascii="Book Antiqua" w:eastAsia="Book Antiqua" w:hAnsi="Book Antiqua" w:cs="Book Antiqua"/>
          <w:color w:val="000000"/>
        </w:rPr>
        <w:t xml:space="preserve"> sporadic CRCs originate. By the time they are 50, roughly one-third of individuals are predicted to develop polyps. However, the majority of these will not progress to CRC. </w:t>
      </w:r>
      <w:r>
        <w:rPr>
          <w:rFonts w:ascii="Book Antiqua" w:eastAsia="Book Antiqua" w:hAnsi="Book Antiqua" w:cs="Book Antiqua"/>
          <w:color w:val="000000"/>
        </w:rPr>
        <w:lastRenderedPageBreak/>
        <w:t>Villous histology, high-grade dysplasia, and polyps larger than 1 cm all enhance the likelihood that they may develop into CRC. Serrated polyps are believed to be antecedents for up to 10%-15% of sporadic CRCs, albeit less frequent</w:t>
      </w:r>
      <w:r>
        <w:rPr>
          <w:rFonts w:ascii="Book Antiqua" w:eastAsia="Book Antiqua" w:hAnsi="Book Antiqua" w:cs="Book Antiqua"/>
          <w:color w:val="000000"/>
          <w:szCs w:val="30"/>
          <w:vertAlign w:val="superscript"/>
        </w:rPr>
        <w:t>[23,24]</w:t>
      </w:r>
      <w:r>
        <w:rPr>
          <w:rFonts w:ascii="Book Antiqua" w:eastAsia="Book Antiqua" w:hAnsi="Book Antiqua" w:cs="Book Antiqua"/>
          <w:color w:val="000000"/>
        </w:rPr>
        <w:t xml:space="preserve">. </w:t>
      </w:r>
    </w:p>
    <w:p w14:paraId="292DB046" w14:textId="77777777" w:rsidR="00A31DCB" w:rsidRDefault="00A31DCB">
      <w:pPr>
        <w:spacing w:line="360" w:lineRule="auto"/>
        <w:jc w:val="both"/>
      </w:pPr>
    </w:p>
    <w:p w14:paraId="58D03523" w14:textId="77777777" w:rsidR="00A31DCB" w:rsidRDefault="00000000">
      <w:pPr>
        <w:spacing w:line="360" w:lineRule="auto"/>
        <w:jc w:val="both"/>
      </w:pPr>
      <w:r>
        <w:rPr>
          <w:rFonts w:ascii="Book Antiqua" w:eastAsia="Book Antiqua" w:hAnsi="Book Antiqua" w:cs="Book Antiqua"/>
          <w:b/>
          <w:bCs/>
          <w:caps/>
          <w:color w:val="000000"/>
          <w:u w:val="single"/>
        </w:rPr>
        <w:t>COLORECTAL CARCINOGENESIS</w:t>
      </w:r>
    </w:p>
    <w:p w14:paraId="46935309" w14:textId="77777777" w:rsidR="00A31DCB"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Three molecular pathways have been hypothesized for colorectal </w:t>
      </w:r>
      <w:proofErr w:type="spellStart"/>
      <w:r>
        <w:rPr>
          <w:rFonts w:ascii="Book Antiqua" w:eastAsia="Book Antiqua" w:hAnsi="Book Antiqua" w:cs="Book Antiqua"/>
          <w:color w:val="000000"/>
        </w:rPr>
        <w:t>carcinogensis</w:t>
      </w:r>
      <w:proofErr w:type="spellEnd"/>
      <w:r>
        <w:rPr>
          <w:rFonts w:ascii="Book Antiqua" w:eastAsia="Book Antiqua" w:hAnsi="Book Antiqua" w:cs="Book Antiqua"/>
          <w:color w:val="000000"/>
        </w:rPr>
        <w:t xml:space="preserve">, two of which center on the growth of polyps into cancerous tumors. The traditional pathway depicts the long-term evolution of normal cells to adenomas and finally to carcinomas (the adenocarcinoma sequence). This causes 85%-90% of all sporadic CRCs and is mostly related to the growth of tumors that are CIN. It is frequently accompanied by an early </w:t>
      </w:r>
      <w:r>
        <w:rPr>
          <w:rFonts w:ascii="Book Antiqua" w:eastAsia="Book Antiqua" w:hAnsi="Book Antiqua" w:cs="Book Antiqua"/>
          <w:i/>
          <w:iCs/>
          <w:color w:val="000000"/>
        </w:rPr>
        <w:t>APC</w:t>
      </w:r>
      <w:r>
        <w:rPr>
          <w:rFonts w:ascii="Book Antiqua" w:eastAsia="Book Antiqua" w:hAnsi="Book Antiqua" w:cs="Book Antiqua"/>
          <w:color w:val="000000"/>
        </w:rPr>
        <w:t xml:space="preserve"> gene mutation, activation of the growth-promoting oncogenes Kristin rat sarcoma virus (</w:t>
      </w:r>
      <w:r>
        <w:rPr>
          <w:rFonts w:ascii="Book Antiqua" w:eastAsia="Book Antiqua" w:hAnsi="Book Antiqua" w:cs="Book Antiqua"/>
          <w:i/>
          <w:iCs/>
          <w:color w:val="000000"/>
        </w:rPr>
        <w:t>KRAS</w:t>
      </w:r>
      <w:r>
        <w:rPr>
          <w:rFonts w:ascii="Book Antiqua" w:eastAsia="Book Antiqua" w:hAnsi="Book Antiqua" w:cs="Book Antiqua"/>
          <w:color w:val="000000"/>
        </w:rPr>
        <w:t xml:space="preserve">) or </w:t>
      </w:r>
      <w:r>
        <w:rPr>
          <w:rFonts w:ascii="Book Antiqua" w:eastAsia="Book Antiqua" w:hAnsi="Book Antiqua" w:cs="Book Antiqua"/>
          <w:i/>
          <w:iCs/>
          <w:color w:val="000000"/>
        </w:rPr>
        <w:t>BRAF</w:t>
      </w:r>
      <w:r>
        <w:rPr>
          <w:rFonts w:ascii="Book Antiqua" w:eastAsia="Book Antiqua" w:hAnsi="Book Antiqua" w:cs="Book Antiqua"/>
          <w:color w:val="000000"/>
        </w:rPr>
        <w:t>, and additional mutations that cause cancer to proceed. About 10%-15% of sporadic CRCs are caused by the CIMP/serrated pathway</w:t>
      </w:r>
      <w:r>
        <w:rPr>
          <w:rFonts w:ascii="Book Antiqua" w:eastAsia="Book Antiqua" w:hAnsi="Book Antiqua" w:cs="Book Antiqua"/>
          <w:color w:val="000000"/>
          <w:szCs w:val="30"/>
          <w:vertAlign w:val="superscript"/>
        </w:rPr>
        <w:t>[25,26]</w:t>
      </w:r>
      <w:r>
        <w:rPr>
          <w:rFonts w:ascii="Book Antiqua" w:eastAsia="Book Antiqua" w:hAnsi="Book Antiqua" w:cs="Book Antiqua"/>
          <w:color w:val="000000"/>
        </w:rPr>
        <w:t>. Due to these changes in the methylation of gene promoter regions and general hypomethylation, many genes are silenced. Early BRAFV600E mutations are frequently seen in these tumors, which activate the mitogen-activated protein kinase (MAPK) pathway and cause the growth of hyperplastic polyps</w:t>
      </w:r>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xml:space="preserve">. The MSI-H pathway is the third route. More than 95% of the malignancies related to Lynch syndrome are caused by this important pathway. Outside of Lynch syndrome, MSI is a rare condition that is caused by a lack of DNA mismatch repair genes, which eventually results in altered DNA sequences (Figure 1). </w:t>
      </w:r>
    </w:p>
    <w:p w14:paraId="1CE55983" w14:textId="77777777" w:rsidR="00A31DCB" w:rsidRDefault="00A31DCB">
      <w:pPr>
        <w:spacing w:line="360" w:lineRule="auto"/>
        <w:jc w:val="both"/>
        <w:rPr>
          <w:rFonts w:ascii="Book Antiqua" w:eastAsia="Book Antiqua" w:hAnsi="Book Antiqua" w:cs="Book Antiqua"/>
          <w:color w:val="000000"/>
        </w:rPr>
      </w:pPr>
    </w:p>
    <w:p w14:paraId="25A7B6E1" w14:textId="77777777" w:rsidR="00A31DCB" w:rsidRDefault="00000000">
      <w:pPr>
        <w:spacing w:line="360" w:lineRule="auto"/>
        <w:jc w:val="both"/>
      </w:pPr>
      <w:r>
        <w:rPr>
          <w:rFonts w:ascii="Book Antiqua" w:eastAsia="Book Antiqua" w:hAnsi="Book Antiqua" w:cs="Book Antiqua"/>
          <w:b/>
          <w:bCs/>
          <w:i/>
          <w:iCs/>
          <w:caps/>
          <w:color w:val="000000"/>
        </w:rPr>
        <w:t>KRAS</w:t>
      </w:r>
    </w:p>
    <w:p w14:paraId="2E1FA9BC" w14:textId="77777777" w:rsidR="00A31DCB" w:rsidRDefault="00000000">
      <w:pPr>
        <w:spacing w:line="360" w:lineRule="auto"/>
        <w:jc w:val="both"/>
      </w:pPr>
      <w:r>
        <w:rPr>
          <w:rFonts w:ascii="Book Antiqua" w:eastAsia="Book Antiqua" w:hAnsi="Book Antiqua" w:cs="Book Antiqua"/>
          <w:color w:val="000000"/>
        </w:rPr>
        <w:t xml:space="preserve">A proto-oncogene called </w:t>
      </w:r>
      <w:r>
        <w:rPr>
          <w:rFonts w:ascii="Book Antiqua" w:eastAsia="Book Antiqua" w:hAnsi="Book Antiqua" w:cs="Book Antiqua"/>
          <w:i/>
          <w:iCs/>
          <w:color w:val="000000"/>
        </w:rPr>
        <w:t>KRAS</w:t>
      </w:r>
      <w:r>
        <w:rPr>
          <w:rFonts w:ascii="Book Antiqua" w:eastAsia="Book Antiqua" w:hAnsi="Book Antiqua" w:cs="Book Antiqua"/>
          <w:color w:val="000000"/>
        </w:rPr>
        <w:t xml:space="preserve">, which produces a GTPase protein, is essential for intracellular signal transduction downstream of membrane-bound receptors like EGFR. Uncontrolled cell growth, proliferation, survival, migration, and invasion ensue from a mutation in </w:t>
      </w:r>
      <w:r>
        <w:rPr>
          <w:rFonts w:ascii="Book Antiqua" w:eastAsia="Book Antiqua" w:hAnsi="Book Antiqua" w:cs="Book Antiqua"/>
          <w:i/>
          <w:iCs/>
          <w:color w:val="000000"/>
        </w:rPr>
        <w:t>KRAS</w:t>
      </w:r>
      <w:r>
        <w:rPr>
          <w:rFonts w:ascii="Book Antiqua" w:eastAsia="Book Antiqua" w:hAnsi="Book Antiqua" w:cs="Book Antiqua"/>
          <w:color w:val="000000"/>
        </w:rPr>
        <w:t xml:space="preserve"> because it causes constitutive activation of the MAPK pathway, regardless of independent activation of the upstream EGFR receptor. Activating </w:t>
      </w:r>
      <w:r>
        <w:rPr>
          <w:rFonts w:ascii="Book Antiqua" w:eastAsia="Book Antiqua" w:hAnsi="Book Antiqua" w:cs="Book Antiqua"/>
          <w:i/>
          <w:iCs/>
          <w:color w:val="000000"/>
        </w:rPr>
        <w:t>KRAS</w:t>
      </w:r>
      <w:r>
        <w:rPr>
          <w:rFonts w:ascii="Book Antiqua" w:eastAsia="Book Antiqua" w:hAnsi="Book Antiqua" w:cs="Book Antiqua"/>
          <w:color w:val="000000"/>
        </w:rPr>
        <w:t xml:space="preserve"> mutations have been reported in a variety of cancers and have been found between 30% </w:t>
      </w:r>
      <w:r>
        <w:rPr>
          <w:rFonts w:ascii="Book Antiqua" w:eastAsia="Book Antiqua" w:hAnsi="Book Antiqua" w:cs="Book Antiqua"/>
          <w:color w:val="000000"/>
        </w:rPr>
        <w:lastRenderedPageBreak/>
        <w:t>and 50% of CRC patients</w:t>
      </w:r>
      <w:r>
        <w:rPr>
          <w:rFonts w:ascii="Book Antiqua" w:eastAsia="Book Antiqua" w:hAnsi="Book Antiqua" w:cs="Book Antiqua"/>
          <w:color w:val="000000"/>
          <w:szCs w:val="30"/>
          <w:vertAlign w:val="superscript"/>
        </w:rPr>
        <w:t>[28,29]</w:t>
      </w:r>
      <w:r>
        <w:rPr>
          <w:rFonts w:ascii="Book Antiqua" w:eastAsia="Book Antiqua" w:hAnsi="Book Antiqua" w:cs="Book Antiqua"/>
          <w:color w:val="000000"/>
        </w:rPr>
        <w:t xml:space="preserve">. </w:t>
      </w:r>
      <w:r>
        <w:rPr>
          <w:rFonts w:ascii="Book Antiqua" w:eastAsia="Book Antiqua" w:hAnsi="Book Antiqua" w:cs="Book Antiqua"/>
          <w:i/>
          <w:iCs/>
          <w:color w:val="000000"/>
        </w:rPr>
        <w:t>KRAS</w:t>
      </w:r>
      <w:r>
        <w:rPr>
          <w:rFonts w:ascii="Book Antiqua" w:eastAsia="Book Antiqua" w:hAnsi="Book Antiqua" w:cs="Book Antiqua"/>
          <w:color w:val="000000"/>
        </w:rPr>
        <w:t xml:space="preserve"> is a crucial biomarker for prognosis and prediction in the management of mCRC. </w:t>
      </w:r>
      <w:r>
        <w:rPr>
          <w:rFonts w:ascii="Book Antiqua" w:eastAsia="Book Antiqua" w:hAnsi="Book Antiqua" w:cs="Book Antiqua"/>
          <w:i/>
          <w:iCs/>
          <w:color w:val="000000"/>
        </w:rPr>
        <w:t>KRAS</w:t>
      </w:r>
      <w:r>
        <w:rPr>
          <w:rFonts w:ascii="Book Antiqua" w:eastAsia="Book Antiqua" w:hAnsi="Book Antiqua" w:cs="Book Antiqua"/>
          <w:color w:val="000000"/>
        </w:rPr>
        <w:t xml:space="preserve">-mutated tumors in mCRC have a poorer prognosis and are more likely to exhibit aggressive biology, spread metastatically, recur, and result in mortality. </w:t>
      </w:r>
      <w:r>
        <w:rPr>
          <w:rFonts w:ascii="Book Antiqua" w:eastAsia="Book Antiqua" w:hAnsi="Book Antiqua" w:cs="Book Antiqua"/>
          <w:i/>
          <w:iCs/>
          <w:color w:val="000000"/>
        </w:rPr>
        <w:t>KRAS</w:t>
      </w:r>
      <w:r>
        <w:rPr>
          <w:rFonts w:ascii="Book Antiqua" w:eastAsia="Book Antiqua" w:hAnsi="Book Antiqua" w:cs="Book Antiqua"/>
          <w:color w:val="000000"/>
        </w:rPr>
        <w:t xml:space="preserve"> mutation is independently linked to poorer progression-free survival (PFS) and overall survival (OS) in individuals who underwent hepatic resection for mCRC, according to data from those patients. </w:t>
      </w:r>
      <w:r>
        <w:rPr>
          <w:rFonts w:ascii="Book Antiqua" w:eastAsia="Book Antiqua" w:hAnsi="Book Antiqua" w:cs="Book Antiqua"/>
          <w:i/>
          <w:iCs/>
          <w:color w:val="000000"/>
        </w:rPr>
        <w:t>KRAS</w:t>
      </w:r>
      <w:r>
        <w:rPr>
          <w:rFonts w:ascii="Book Antiqua" w:eastAsia="Book Antiqua" w:hAnsi="Book Antiqua" w:cs="Book Antiqua"/>
          <w:color w:val="000000"/>
        </w:rPr>
        <w:t xml:space="preserve"> codon 12 has been linked to lower recurrence-free survival in variations of </w:t>
      </w:r>
      <w:r>
        <w:rPr>
          <w:rFonts w:ascii="Book Antiqua" w:eastAsia="Book Antiqua" w:hAnsi="Book Antiqua" w:cs="Book Antiqua"/>
          <w:i/>
          <w:iCs/>
          <w:color w:val="000000"/>
        </w:rPr>
        <w:t>KRAS</w:t>
      </w:r>
      <w:r>
        <w:rPr>
          <w:rFonts w:ascii="Book Antiqua" w:eastAsia="Book Antiqua" w:hAnsi="Book Antiqua" w:cs="Book Antiqua"/>
          <w:color w:val="000000"/>
        </w:rPr>
        <w:t xml:space="preserve"> mutations throughout all stages of mCRC</w:t>
      </w:r>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xml:space="preserve">. Data suggest that curative resection may not be advantageous in the metastatic scenario in </w:t>
      </w:r>
      <w:r>
        <w:rPr>
          <w:rFonts w:ascii="Book Antiqua" w:eastAsia="Book Antiqua" w:hAnsi="Book Antiqua" w:cs="Book Antiqua"/>
          <w:i/>
          <w:iCs/>
          <w:color w:val="000000"/>
        </w:rPr>
        <w:t>KRAS</w:t>
      </w:r>
      <w:r>
        <w:rPr>
          <w:rFonts w:ascii="Book Antiqua" w:eastAsia="Book Antiqua" w:hAnsi="Book Antiqua" w:cs="Book Antiqua"/>
          <w:color w:val="000000"/>
        </w:rPr>
        <w:t xml:space="preserve"> mutant patients who also have other poor clinical prognostic characteristics, such as node-positive disease or extensive metastases, due to the prognostic consequences of </w:t>
      </w:r>
      <w:r>
        <w:rPr>
          <w:rFonts w:ascii="Book Antiqua" w:eastAsia="Book Antiqua" w:hAnsi="Book Antiqua" w:cs="Book Antiqua"/>
          <w:i/>
          <w:iCs/>
          <w:color w:val="000000"/>
        </w:rPr>
        <w:t>KRAS</w:t>
      </w:r>
      <w:r>
        <w:rPr>
          <w:rFonts w:ascii="Book Antiqua" w:eastAsia="Book Antiqua" w:hAnsi="Book Antiqua" w:cs="Book Antiqua"/>
          <w:color w:val="000000"/>
        </w:rPr>
        <w:t xml:space="preserve"> mutations</w:t>
      </w:r>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 xml:space="preserve">. Additionally, the existence of a </w:t>
      </w:r>
      <w:r>
        <w:rPr>
          <w:rFonts w:ascii="Book Antiqua" w:eastAsia="Book Antiqua" w:hAnsi="Book Antiqua" w:cs="Book Antiqua"/>
          <w:i/>
          <w:iCs/>
          <w:color w:val="000000"/>
        </w:rPr>
        <w:t>KRAS</w:t>
      </w:r>
      <w:r>
        <w:rPr>
          <w:rFonts w:ascii="Book Antiqua" w:eastAsia="Book Antiqua" w:hAnsi="Book Antiqua" w:cs="Book Antiqua"/>
          <w:color w:val="000000"/>
        </w:rPr>
        <w:t xml:space="preserve"> mutation acts as a biomarker for the therapeutic efficacy of some therapies, such as EGFR inhibitor therapy. Anti-EGFR treatment has been shown to be effective in treating KRAS wild-type (WT) cancers in several clinical studies. Due to the independent constitutive activation of KRAS downstream of EGFR, which persistently encourages cell growth and division, anti-EGFR treatment is not helpful in patients with </w:t>
      </w:r>
      <w:r>
        <w:rPr>
          <w:rFonts w:ascii="Book Antiqua" w:eastAsia="Book Antiqua" w:hAnsi="Book Antiqua" w:cs="Book Antiqua"/>
          <w:i/>
          <w:iCs/>
          <w:color w:val="000000"/>
        </w:rPr>
        <w:t>KRAS</w:t>
      </w:r>
      <w:r>
        <w:rPr>
          <w:rFonts w:ascii="Book Antiqua" w:eastAsia="Book Antiqua" w:hAnsi="Book Antiqua" w:cs="Book Antiqua"/>
          <w:color w:val="000000"/>
        </w:rPr>
        <w:t xml:space="preserve"> mutations</w:t>
      </w:r>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Although EGFR inhibition is effective in treating the majority of KRAS WT tumors, some patients continue to have resistance, necessitating more research. Mutations in other RAS family oncogenes, such as neuroblastoma RAS (NRAS) and Harvey RAS, identify tumors that are resistant to anti-EGFR treatment. Other phosphorylation pathway genes that work downstream of EGFR, such as phosphoinositide 3-kinases, phosphatase and </w:t>
      </w:r>
      <w:proofErr w:type="spellStart"/>
      <w:r>
        <w:rPr>
          <w:rFonts w:ascii="Book Antiqua" w:eastAsia="Book Antiqua" w:hAnsi="Book Antiqua" w:cs="Book Antiqua"/>
          <w:color w:val="000000"/>
        </w:rPr>
        <w:t>tensin</w:t>
      </w:r>
      <w:proofErr w:type="spellEnd"/>
      <w:r>
        <w:rPr>
          <w:rFonts w:ascii="Book Antiqua" w:eastAsia="Book Antiqua" w:hAnsi="Book Antiqua" w:cs="Book Antiqua"/>
          <w:color w:val="000000"/>
        </w:rPr>
        <w:t xml:space="preserve"> homolog, MAPK, and mitogen-activated protein kinase </w:t>
      </w:r>
      <w:proofErr w:type="spellStart"/>
      <w:r>
        <w:rPr>
          <w:rFonts w:ascii="Book Antiqua" w:eastAsia="Book Antiqua" w:hAnsi="Book Antiqua" w:cs="Book Antiqua"/>
          <w:color w:val="000000"/>
        </w:rPr>
        <w:t>kinase</w:t>
      </w:r>
      <w:proofErr w:type="spellEnd"/>
      <w:r>
        <w:rPr>
          <w:rFonts w:ascii="Book Antiqua" w:eastAsia="Book Antiqua" w:hAnsi="Book Antiqua" w:cs="Book Antiqua"/>
          <w:color w:val="000000"/>
        </w:rPr>
        <w:t xml:space="preserve"> (MEK), have not been demonstrated to be accurate predictors of the EGFR response for mCRC, and research into the causes of anti-EGFR resistance in this patient group is still underway</w:t>
      </w:r>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 xml:space="preserve">. </w:t>
      </w:r>
    </w:p>
    <w:p w14:paraId="0FBF5C87" w14:textId="77777777" w:rsidR="00A31DCB" w:rsidRDefault="00A31DCB">
      <w:pPr>
        <w:spacing w:line="360" w:lineRule="auto"/>
        <w:jc w:val="both"/>
        <w:rPr>
          <w:rFonts w:ascii="Book Antiqua" w:eastAsia="Book Antiqua" w:hAnsi="Book Antiqua" w:cs="Book Antiqua"/>
          <w:b/>
          <w:bCs/>
          <w:i/>
          <w:iCs/>
          <w:color w:val="000000"/>
        </w:rPr>
      </w:pPr>
    </w:p>
    <w:p w14:paraId="3B4D689B" w14:textId="77777777" w:rsidR="00A31DCB" w:rsidRDefault="00000000">
      <w:pPr>
        <w:spacing w:line="360" w:lineRule="auto"/>
        <w:jc w:val="both"/>
      </w:pPr>
      <w:r>
        <w:rPr>
          <w:rFonts w:ascii="Book Antiqua" w:eastAsia="Book Antiqua" w:hAnsi="Book Antiqua" w:cs="Book Antiqua"/>
          <w:b/>
          <w:bCs/>
          <w:i/>
          <w:iCs/>
          <w:color w:val="000000"/>
        </w:rPr>
        <w:t>BRAF</w:t>
      </w:r>
    </w:p>
    <w:p w14:paraId="23B2D9AD" w14:textId="77777777" w:rsidR="00A31DCB" w:rsidRDefault="00000000">
      <w:pPr>
        <w:spacing w:line="360" w:lineRule="auto"/>
        <w:jc w:val="both"/>
      </w:pPr>
      <w:r>
        <w:rPr>
          <w:rFonts w:ascii="Book Antiqua" w:eastAsia="Book Antiqua" w:hAnsi="Book Antiqua" w:cs="Book Antiqua"/>
          <w:color w:val="000000"/>
        </w:rPr>
        <w:t xml:space="preserve">BRAF, a serine/threonine-protein kinase, is an essential component of the MAPK signaling cascade downstream of KRAS. In less than 10% of CRC patients, </w:t>
      </w:r>
      <w:r>
        <w:rPr>
          <w:rFonts w:ascii="Book Antiqua" w:eastAsia="Book Antiqua" w:hAnsi="Book Antiqua" w:cs="Book Antiqua"/>
          <w:i/>
          <w:iCs/>
          <w:color w:val="000000"/>
        </w:rPr>
        <w:t>BRAF</w:t>
      </w:r>
      <w:r>
        <w:rPr>
          <w:rFonts w:ascii="Book Antiqua" w:eastAsia="Book Antiqua" w:hAnsi="Book Antiqua" w:cs="Book Antiqua"/>
          <w:color w:val="000000"/>
        </w:rPr>
        <w:t xml:space="preserve"> mutations have been found. The same MAPK pathway that KRAS uses for BRAF </w:t>
      </w:r>
      <w:r>
        <w:rPr>
          <w:rFonts w:ascii="Book Antiqua" w:eastAsia="Book Antiqua" w:hAnsi="Book Antiqua" w:cs="Book Antiqua"/>
          <w:color w:val="000000"/>
        </w:rPr>
        <w:lastRenderedPageBreak/>
        <w:t xml:space="preserve">signaling also uses it, and functional mutations in either of these genes have identical effects on phenotypic and treatment implications. As a predictive biomarker for mCRC, the </w:t>
      </w:r>
      <w:r>
        <w:rPr>
          <w:rFonts w:ascii="Book Antiqua" w:eastAsia="Book Antiqua" w:hAnsi="Book Antiqua" w:cs="Book Antiqua"/>
          <w:i/>
          <w:iCs/>
          <w:color w:val="000000"/>
        </w:rPr>
        <w:t>BRAF</w:t>
      </w:r>
      <w:r>
        <w:rPr>
          <w:rFonts w:ascii="Book Antiqua" w:eastAsia="Book Antiqua" w:hAnsi="Book Antiqua" w:cs="Book Antiqua"/>
          <w:color w:val="000000"/>
        </w:rPr>
        <w:t xml:space="preserve"> mutation is linked to worse outcomes, shorter survival, and a greater incidence of peritoneal and distant lymph node involvement. In patients with mCRC undergoing curative-purpose hepatectomy, the </w:t>
      </w:r>
      <w:r>
        <w:rPr>
          <w:rFonts w:ascii="Book Antiqua" w:eastAsia="Book Antiqua" w:hAnsi="Book Antiqua" w:cs="Book Antiqua"/>
          <w:i/>
          <w:iCs/>
          <w:color w:val="000000"/>
        </w:rPr>
        <w:t>BRAF</w:t>
      </w:r>
      <w:r>
        <w:rPr>
          <w:rFonts w:ascii="Book Antiqua" w:eastAsia="Book Antiqua" w:hAnsi="Book Antiqua" w:cs="Book Antiqua"/>
          <w:color w:val="000000"/>
        </w:rPr>
        <w:t xml:space="preserve"> mutation is associated with poorer survival compared to both </w:t>
      </w:r>
      <w:r>
        <w:rPr>
          <w:rFonts w:ascii="Book Antiqua" w:eastAsia="Book Antiqua" w:hAnsi="Book Antiqua" w:cs="Book Antiqua"/>
          <w:i/>
          <w:iCs/>
          <w:color w:val="000000"/>
        </w:rPr>
        <w:t>BRAF</w:t>
      </w:r>
      <w:r>
        <w:rPr>
          <w:rFonts w:ascii="Book Antiqua" w:eastAsia="Book Antiqua" w:hAnsi="Book Antiqua" w:cs="Book Antiqua"/>
          <w:color w:val="000000"/>
        </w:rPr>
        <w:t xml:space="preserve"> WT and </w:t>
      </w:r>
      <w:r>
        <w:rPr>
          <w:rFonts w:ascii="Book Antiqua" w:eastAsia="Book Antiqua" w:hAnsi="Book Antiqua" w:cs="Book Antiqua"/>
          <w:i/>
          <w:iCs/>
          <w:color w:val="000000"/>
        </w:rPr>
        <w:t>KRAS</w:t>
      </w:r>
      <w:r>
        <w:rPr>
          <w:rFonts w:ascii="Book Antiqua" w:eastAsia="Book Antiqua" w:hAnsi="Book Antiqua" w:cs="Book Antiqua"/>
          <w:color w:val="000000"/>
        </w:rPr>
        <w:t xml:space="preserve"> mutated tumors</w:t>
      </w:r>
      <w:r>
        <w:rPr>
          <w:rFonts w:ascii="Book Antiqua" w:eastAsia="Book Antiqua" w:hAnsi="Book Antiqua" w:cs="Book Antiqua"/>
          <w:color w:val="000000"/>
          <w:szCs w:val="30"/>
          <w:vertAlign w:val="superscript"/>
        </w:rPr>
        <w:t>[34,35]</w:t>
      </w:r>
      <w:r>
        <w:rPr>
          <w:rFonts w:ascii="Book Antiqua" w:eastAsia="Book Antiqua" w:hAnsi="Book Antiqua" w:cs="Book Antiqua"/>
          <w:color w:val="000000"/>
        </w:rPr>
        <w:t xml:space="preserve">. BRAF also functions as a prognostic marker. Vemurafenib, a direct BRAF inhibitor, was first discovered through early attempts at targeted medication treatment for melanoma. Studies have been conducted to determine if BRAF inhibition has comparable effects on CRC. BRAF inhibition and EGFR inhibitors together produced an OS improvement. In patients with </w:t>
      </w:r>
      <w:r>
        <w:rPr>
          <w:rFonts w:ascii="Book Antiqua" w:eastAsia="Book Antiqua" w:hAnsi="Book Antiqua" w:cs="Book Antiqua"/>
          <w:i/>
          <w:iCs/>
          <w:color w:val="000000"/>
        </w:rPr>
        <w:t>BRAF</w:t>
      </w:r>
      <w:r>
        <w:rPr>
          <w:rFonts w:ascii="Book Antiqua" w:eastAsia="Book Antiqua" w:hAnsi="Book Antiqua" w:cs="Book Antiqua"/>
          <w:color w:val="000000"/>
        </w:rPr>
        <w:t xml:space="preserve"> mutant mCRC, </w:t>
      </w:r>
      <w:proofErr w:type="spellStart"/>
      <w:r>
        <w:rPr>
          <w:rFonts w:ascii="Book Antiqua" w:eastAsia="Book Antiqua" w:hAnsi="Book Antiqua" w:cs="Book Antiqua"/>
          <w:color w:val="000000"/>
        </w:rPr>
        <w:t>encorafenib</w:t>
      </w:r>
      <w:proofErr w:type="spellEnd"/>
      <w:r>
        <w:rPr>
          <w:rFonts w:ascii="Book Antiqua" w:eastAsia="Book Antiqua" w:hAnsi="Book Antiqua" w:cs="Book Antiqua"/>
          <w:color w:val="000000"/>
        </w:rPr>
        <w:t xml:space="preserve"> in conjunction with EGFR inhibition is a potent form of newer generation BRAF inhibition therapy</w:t>
      </w:r>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w:t>
      </w:r>
    </w:p>
    <w:p w14:paraId="1F5593BF" w14:textId="77777777" w:rsidR="00A31DCB" w:rsidRDefault="00A31DCB">
      <w:pPr>
        <w:spacing w:line="360" w:lineRule="auto"/>
        <w:jc w:val="both"/>
        <w:rPr>
          <w:rFonts w:ascii="Book Antiqua" w:eastAsia="Book Antiqua" w:hAnsi="Book Antiqua" w:cs="Book Antiqua"/>
          <w:b/>
          <w:bCs/>
          <w:i/>
          <w:iCs/>
          <w:caps/>
          <w:color w:val="000000"/>
        </w:rPr>
      </w:pPr>
    </w:p>
    <w:p w14:paraId="3111CE52" w14:textId="77777777" w:rsidR="00A31DCB" w:rsidRDefault="00000000">
      <w:pPr>
        <w:spacing w:line="360" w:lineRule="auto"/>
        <w:jc w:val="both"/>
      </w:pPr>
      <w:r>
        <w:rPr>
          <w:rFonts w:ascii="Book Antiqua" w:eastAsia="Book Antiqua" w:hAnsi="Book Antiqua" w:cs="Book Antiqua"/>
          <w:b/>
          <w:bCs/>
          <w:i/>
          <w:iCs/>
          <w:caps/>
          <w:color w:val="000000"/>
        </w:rPr>
        <w:t>H</w:t>
      </w:r>
      <w:r>
        <w:rPr>
          <w:rFonts w:ascii="Book Antiqua" w:eastAsia="Book Antiqua" w:hAnsi="Book Antiqua" w:cs="Book Antiqua"/>
          <w:b/>
          <w:bCs/>
          <w:i/>
          <w:iCs/>
          <w:color w:val="000000"/>
        </w:rPr>
        <w:t>uman epidermal growth factor 2</w:t>
      </w:r>
    </w:p>
    <w:p w14:paraId="1324E1A7" w14:textId="77777777" w:rsidR="00A31DCB" w:rsidRDefault="00000000">
      <w:pPr>
        <w:spacing w:line="360" w:lineRule="auto"/>
        <w:jc w:val="both"/>
      </w:pPr>
      <w:r>
        <w:rPr>
          <w:rFonts w:ascii="Book Antiqua" w:eastAsia="Book Antiqua" w:hAnsi="Book Antiqua" w:cs="Book Antiqua"/>
          <w:color w:val="000000"/>
        </w:rPr>
        <w:t xml:space="preserve">A further promising target for mCRC is human epidermal growth factor 2 (HER2), which is essential for intracellular signal transduction. HER2 plays a role in the development of breast cancer, and trastuzumab and other HER2 inhibitors can be used to specifically treat the disease. Because there are so many targeted treatments available, many researchers have concentrated on HER2 mutations in the mCRC population, </w:t>
      </w:r>
      <w:proofErr w:type="gramStart"/>
      <w:r>
        <w:rPr>
          <w:rFonts w:ascii="Book Antiqua" w:eastAsia="Book Antiqua" w:hAnsi="Book Antiqua" w:cs="Book Antiqua"/>
          <w:color w:val="000000"/>
        </w:rPr>
        <w:t>despite the fact that</w:t>
      </w:r>
      <w:proofErr w:type="gramEnd"/>
      <w:r>
        <w:rPr>
          <w:rFonts w:ascii="Book Antiqua" w:eastAsia="Book Antiqua" w:hAnsi="Book Antiqua" w:cs="Book Antiqua"/>
          <w:color w:val="000000"/>
        </w:rPr>
        <w:t xml:space="preserve"> only a small percentage of patients (10%) overexpress HER2. Trastuzumab with </w:t>
      </w:r>
      <w:proofErr w:type="spellStart"/>
      <w:r>
        <w:rPr>
          <w:rFonts w:ascii="Book Antiqua" w:eastAsia="Book Antiqua" w:hAnsi="Book Antiqua" w:cs="Book Antiqua"/>
          <w:color w:val="000000"/>
        </w:rPr>
        <w:t>pertuzumab</w:t>
      </w:r>
      <w:proofErr w:type="spellEnd"/>
      <w:r>
        <w:rPr>
          <w:rFonts w:ascii="Book Antiqua" w:eastAsia="Book Antiqua" w:hAnsi="Book Antiqua" w:cs="Book Antiqua"/>
          <w:color w:val="000000"/>
        </w:rPr>
        <w:t xml:space="preserve">, trastuzumab with lapatinib, and fam-trastuzumab </w:t>
      </w:r>
      <w:proofErr w:type="spellStart"/>
      <w:r>
        <w:rPr>
          <w:rFonts w:ascii="Book Antiqua" w:eastAsia="Book Antiqua" w:hAnsi="Book Antiqua" w:cs="Book Antiqua"/>
          <w:color w:val="000000"/>
        </w:rPr>
        <w:t>deruxtecannxki</w:t>
      </w:r>
      <w:proofErr w:type="spellEnd"/>
      <w:r>
        <w:rPr>
          <w:rFonts w:ascii="Book Antiqua" w:eastAsia="Book Antiqua" w:hAnsi="Book Antiqua" w:cs="Book Antiqua"/>
          <w:color w:val="000000"/>
        </w:rPr>
        <w:t xml:space="preserve"> are currently available as HER2 inhibitors. Even though it only accounts for a small proportion of all mCRC patients, the HER2 amplified condition serves as a predictive biomarker for HER2 targeted therapy with the potential for a therapeutic response</w:t>
      </w:r>
      <w:r>
        <w:rPr>
          <w:rFonts w:ascii="Book Antiqua" w:eastAsia="Book Antiqua" w:hAnsi="Book Antiqua" w:cs="Book Antiqua"/>
          <w:color w:val="000000"/>
          <w:szCs w:val="30"/>
          <w:vertAlign w:val="superscript"/>
        </w:rPr>
        <w:t>[37-39]</w:t>
      </w:r>
      <w:r>
        <w:rPr>
          <w:rFonts w:ascii="Book Antiqua" w:eastAsia="Book Antiqua" w:hAnsi="Book Antiqua" w:cs="Book Antiqua"/>
          <w:color w:val="000000"/>
        </w:rPr>
        <w:t xml:space="preserve">. </w:t>
      </w:r>
    </w:p>
    <w:p w14:paraId="08F1908C" w14:textId="77777777" w:rsidR="00A31DCB" w:rsidRDefault="00A31DCB">
      <w:pPr>
        <w:spacing w:line="360" w:lineRule="auto"/>
        <w:jc w:val="both"/>
      </w:pPr>
    </w:p>
    <w:p w14:paraId="36430C46" w14:textId="77777777" w:rsidR="00A31DCB" w:rsidRDefault="00000000">
      <w:pPr>
        <w:spacing w:line="360" w:lineRule="auto"/>
        <w:jc w:val="both"/>
        <w:rPr>
          <w:rFonts w:ascii="Book Antiqua" w:eastAsia="Book Antiqua" w:hAnsi="Book Antiqua" w:cs="Book Antiqua"/>
          <w:b/>
          <w:bCs/>
          <w:color w:val="000000"/>
          <w:u w:val="single"/>
        </w:rPr>
      </w:pPr>
      <w:r>
        <w:rPr>
          <w:rFonts w:ascii="Book Antiqua" w:eastAsia="Book Antiqua" w:hAnsi="Book Antiqua" w:cs="Book Antiqua"/>
          <w:b/>
          <w:bCs/>
          <w:color w:val="000000"/>
          <w:u w:val="single"/>
        </w:rPr>
        <w:t>SYSTEMIC TREATMENT FOR MCRC</w:t>
      </w:r>
    </w:p>
    <w:p w14:paraId="453AA2DC" w14:textId="77777777" w:rsidR="00A31DCB" w:rsidRDefault="00000000">
      <w:pPr>
        <w:spacing w:line="360" w:lineRule="auto"/>
        <w:jc w:val="both"/>
      </w:pPr>
      <w:r>
        <w:rPr>
          <w:rFonts w:ascii="Book Antiqua" w:eastAsia="Book Antiqua" w:hAnsi="Book Antiqua" w:cs="Book Antiqua"/>
          <w:color w:val="000000"/>
        </w:rPr>
        <w:t xml:space="preserve">A surgeon may be able to completely remove a few metastatic foci of mCRC, which are often located in the liver or lung. When the main tumor and all metastases can be completely removed surgically, mCRC is said to be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However, nodal </w:t>
      </w:r>
      <w:r>
        <w:rPr>
          <w:rFonts w:ascii="Book Antiqua" w:eastAsia="Book Antiqua" w:hAnsi="Book Antiqua" w:cs="Book Antiqua"/>
          <w:color w:val="000000"/>
        </w:rPr>
        <w:lastRenderedPageBreak/>
        <w:t xml:space="preserve">infiltration and covert </w:t>
      </w:r>
      <w:proofErr w:type="spellStart"/>
      <w:r>
        <w:rPr>
          <w:rFonts w:ascii="Book Antiqua" w:eastAsia="Book Antiqua" w:hAnsi="Book Antiqua" w:cs="Book Antiqua"/>
          <w:color w:val="000000"/>
        </w:rPr>
        <w:t>micrometastatic</w:t>
      </w:r>
      <w:proofErr w:type="spellEnd"/>
      <w:r>
        <w:rPr>
          <w:rFonts w:ascii="Book Antiqua" w:eastAsia="Book Antiqua" w:hAnsi="Book Antiqua" w:cs="Book Antiqua"/>
          <w:color w:val="000000"/>
        </w:rPr>
        <w:t xml:space="preserve"> spread are frequent in these individuals. Less than 20% of individuals with mCRC who undergo resection are permanently cured. Oncologists from surgical and medical branches should work together to develop treatment strategies when mCRC may be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If the main tumor is in the rectum, radiation oncologists should be consulted. The main therapy for mCRC is systemic chemotherapy. The United States Food and Drug Administration (FDA) has authorized many medications for the treatment of mCRC. However, for </w:t>
      </w:r>
      <w:proofErr w:type="gramStart"/>
      <w:r>
        <w:rPr>
          <w:rFonts w:ascii="Book Antiqua" w:eastAsia="Book Antiqua" w:hAnsi="Book Antiqua" w:cs="Book Antiqua"/>
          <w:color w:val="000000"/>
        </w:rPr>
        <w:t>the majority of</w:t>
      </w:r>
      <w:proofErr w:type="gramEnd"/>
      <w:r>
        <w:rPr>
          <w:rFonts w:ascii="Book Antiqua" w:eastAsia="Book Antiqua" w:hAnsi="Book Antiqua" w:cs="Book Antiqua"/>
          <w:color w:val="000000"/>
        </w:rPr>
        <w:t xml:space="preserve"> patients, mCRC is still incurable. Despite the rarity of a cure for mCRC, recent major clinical trials with patients who could tolerate chemotherapy have demonstrated that patients can live for 2 to 3 years with intense treatment and numerous systemic medicines. Survival is influenced by the molecular subtype, which provides information about the prognosis by describing the natural history of a tumor and the therapies that are and are not likely to be successful. The median OS for the 50% of patients with KRAS/NRAS/BRAF WT mCRC is about 30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with survival rates of 80% at 1 year, 40% at 3 years, and 20% at 5 years after the start of first-line chemotherapy (Table 2).</w:t>
      </w:r>
    </w:p>
    <w:p w14:paraId="7586AC0F" w14:textId="77777777" w:rsidR="00A31DCB" w:rsidRDefault="00A31DCB">
      <w:pPr>
        <w:spacing w:line="360" w:lineRule="auto"/>
        <w:jc w:val="both"/>
      </w:pPr>
    </w:p>
    <w:p w14:paraId="4A83A8FE" w14:textId="77777777" w:rsidR="00A31DCB" w:rsidRDefault="00000000">
      <w:pPr>
        <w:spacing w:line="360" w:lineRule="auto"/>
        <w:jc w:val="both"/>
      </w:pPr>
      <w:r>
        <w:rPr>
          <w:rFonts w:ascii="Book Antiqua" w:eastAsia="Book Antiqua" w:hAnsi="Book Antiqua" w:cs="Book Antiqua"/>
          <w:b/>
          <w:bCs/>
          <w:caps/>
          <w:color w:val="000000"/>
          <w:u w:val="single"/>
        </w:rPr>
        <w:t>systemic tReatment for liver metastasis CRC</w:t>
      </w:r>
    </w:p>
    <w:p w14:paraId="37F707B1" w14:textId="77777777" w:rsidR="00A31DCB" w:rsidRDefault="00000000">
      <w:pPr>
        <w:spacing w:line="360" w:lineRule="auto"/>
        <w:jc w:val="both"/>
      </w:pPr>
      <w:r>
        <w:rPr>
          <w:rFonts w:ascii="Book Antiqua" w:eastAsia="Book Antiqua" w:hAnsi="Book Antiqua" w:cs="Book Antiqua"/>
          <w:color w:val="000000"/>
        </w:rPr>
        <w:t xml:space="preserve">Nearly half of individuals with initial CRC develop liver metastatic diseases from CRC or colorectal liver metastasis (CLM). The </w:t>
      </w:r>
      <w:proofErr w:type="spellStart"/>
      <w:r>
        <w:rPr>
          <w:rFonts w:ascii="Book Antiqua" w:eastAsia="Book Antiqua" w:hAnsi="Book Antiqua" w:cs="Book Antiqua"/>
          <w:color w:val="000000"/>
        </w:rPr>
        <w:t>resectability</w:t>
      </w:r>
      <w:proofErr w:type="spellEnd"/>
      <w:r>
        <w:rPr>
          <w:rFonts w:ascii="Book Antiqua" w:eastAsia="Book Antiqua" w:hAnsi="Book Antiqua" w:cs="Book Antiqua"/>
          <w:color w:val="000000"/>
        </w:rPr>
        <w:t xml:space="preserve"> of CLM determines how to manage it, and interdisciplinary approaches are frequently used. Conversion treatment (CT), a kind of systemic treatment, is used for liver metastases that are initially incurable. Both the number (4 </w:t>
      </w:r>
      <w:r>
        <w:rPr>
          <w:rFonts w:ascii="Book Antiqua" w:eastAsia="Book Antiqua" w:hAnsi="Book Antiqua" w:cs="Book Antiqua"/>
          <w:i/>
          <w:iCs/>
          <w:color w:val="000000"/>
        </w:rPr>
        <w:t>vs</w:t>
      </w:r>
      <w:r>
        <w:rPr>
          <w:rFonts w:ascii="Book Antiqua" w:eastAsia="Book Antiqua" w:hAnsi="Book Antiqua" w:cs="Book Antiqua"/>
          <w:color w:val="000000"/>
        </w:rPr>
        <w:t xml:space="preserve"> &gt; 4) and size (diameter &lt; 6 cm </w:t>
      </w:r>
      <w:r>
        <w:rPr>
          <w:rFonts w:ascii="Book Antiqua" w:eastAsia="Book Antiqua" w:hAnsi="Book Antiqua" w:cs="Book Antiqua"/>
          <w:i/>
          <w:iCs/>
          <w:color w:val="000000"/>
        </w:rPr>
        <w:t>vs</w:t>
      </w:r>
      <w:r>
        <w:rPr>
          <w:rFonts w:ascii="Book Antiqua" w:eastAsia="Book Antiqua" w:hAnsi="Book Antiqua" w:cs="Book Antiqua"/>
          <w:color w:val="000000"/>
        </w:rPr>
        <w:t xml:space="preserve"> ≥ 6 cm) of CLMs are independent variables linked to successful CT</w:t>
      </w:r>
      <w:r>
        <w:rPr>
          <w:rFonts w:ascii="Book Antiqua" w:eastAsia="Book Antiqua" w:hAnsi="Book Antiqua" w:cs="Book Antiqua"/>
          <w:color w:val="000000"/>
          <w:szCs w:val="30"/>
          <w:vertAlign w:val="superscript"/>
        </w:rPr>
        <w:t>[40,41]</w:t>
      </w:r>
      <w:r>
        <w:rPr>
          <w:rFonts w:ascii="Book Antiqua" w:eastAsia="Book Antiqua" w:hAnsi="Book Antiqua" w:cs="Book Antiqua"/>
          <w:color w:val="000000"/>
        </w:rPr>
        <w:t>.</w:t>
      </w:r>
    </w:p>
    <w:p w14:paraId="1AEEEEF7" w14:textId="77777777" w:rsidR="00A31DCB" w:rsidRDefault="00000000">
      <w:pPr>
        <w:spacing w:line="360" w:lineRule="auto"/>
        <w:jc w:val="both"/>
      </w:pPr>
      <w:r>
        <w:rPr>
          <w:rFonts w:ascii="Book Antiqua" w:eastAsia="Book Antiqua" w:hAnsi="Book Antiqua" w:cs="Book Antiqua"/>
          <w:b/>
          <w:bCs/>
          <w:i/>
          <w:iCs/>
          <w:color w:val="000000"/>
        </w:rPr>
        <w:t>Targeted treatment</w:t>
      </w:r>
    </w:p>
    <w:p w14:paraId="5B522F27" w14:textId="77777777" w:rsidR="00A31DCB"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FOLFOX (5-fluorouracil [5-FU], leucovorin, and oxaliplatin) and FOLFIRI (5-FU, leucovorin, and irinotecan) are the mainstays of systemic chemotherapy used to treat mCRC. EGFR inhibitors (</w:t>
      </w:r>
      <w:proofErr w:type="spellStart"/>
      <w:r>
        <w:rPr>
          <w:rFonts w:ascii="Book Antiqua" w:eastAsia="Book Antiqua" w:hAnsi="Book Antiqua" w:cs="Book Antiqua"/>
          <w:color w:val="000000"/>
        </w:rPr>
        <w:t>EGFRis</w:t>
      </w:r>
      <w:proofErr w:type="spellEnd"/>
      <w:r>
        <w:rPr>
          <w:rFonts w:ascii="Book Antiqua" w:eastAsia="Book Antiqua" w:hAnsi="Book Antiqua" w:cs="Book Antiqua"/>
          <w:color w:val="000000"/>
        </w:rPr>
        <w:t>) for RAS WT tumors (cetuximab [</w:t>
      </w:r>
      <w:proofErr w:type="spellStart"/>
      <w:r>
        <w:rPr>
          <w:rFonts w:ascii="Book Antiqua" w:eastAsia="Book Antiqua" w:hAnsi="Book Antiqua" w:cs="Book Antiqua"/>
          <w:color w:val="000000"/>
        </w:rPr>
        <w:t>Cet</w:t>
      </w:r>
      <w:proofErr w:type="spellEnd"/>
      <w:r>
        <w:rPr>
          <w:rFonts w:ascii="Book Antiqua" w:eastAsia="Book Antiqua" w:hAnsi="Book Antiqua" w:cs="Book Antiqua"/>
          <w:color w:val="000000"/>
        </w:rPr>
        <w:t xml:space="preserve">] and panitumumab [Pan]) and anti-vascular endothelial growth factor (VEGF) (bevacizumab </w:t>
      </w:r>
      <w:r>
        <w:rPr>
          <w:rFonts w:ascii="Book Antiqua" w:eastAsia="Book Antiqua" w:hAnsi="Book Antiqua" w:cs="Book Antiqua"/>
          <w:color w:val="000000"/>
        </w:rPr>
        <w:lastRenderedPageBreak/>
        <w:t>[Bev]) are the two main groups of medications now added to these chemotherapy regimens.</w:t>
      </w:r>
    </w:p>
    <w:p w14:paraId="7AE7D88F" w14:textId="77777777" w:rsidR="00A31DCB" w:rsidRDefault="00A31DCB">
      <w:pPr>
        <w:spacing w:line="360" w:lineRule="auto"/>
        <w:jc w:val="both"/>
      </w:pPr>
    </w:p>
    <w:p w14:paraId="2B6BEDA5" w14:textId="77777777" w:rsidR="00A31DCB" w:rsidRDefault="00000000">
      <w:pPr>
        <w:spacing w:line="360" w:lineRule="auto"/>
        <w:jc w:val="both"/>
        <w:rPr>
          <w:b/>
          <w:bCs/>
        </w:rPr>
      </w:pPr>
      <w:proofErr w:type="spellStart"/>
      <w:r>
        <w:rPr>
          <w:rFonts w:ascii="Book Antiqua" w:eastAsia="Book Antiqua" w:hAnsi="Book Antiqua" w:cs="Book Antiqua"/>
          <w:b/>
          <w:bCs/>
          <w:i/>
          <w:iCs/>
          <w:color w:val="000000"/>
        </w:rPr>
        <w:t>Resectable</w:t>
      </w:r>
      <w:proofErr w:type="spellEnd"/>
      <w:r>
        <w:rPr>
          <w:rFonts w:ascii="Book Antiqua" w:eastAsia="Book Antiqua" w:hAnsi="Book Antiqua" w:cs="Book Antiqua"/>
          <w:b/>
          <w:bCs/>
          <w:i/>
          <w:iCs/>
          <w:color w:val="000000"/>
        </w:rPr>
        <w:t xml:space="preserve"> CLM with no extrahepatic metastasis</w:t>
      </w:r>
    </w:p>
    <w:p w14:paraId="6688AAFB" w14:textId="77777777" w:rsidR="00A31DCB"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There is debate regarding the benefits of adding a targeted treatment, however, the addition of Bev or </w:t>
      </w:r>
      <w:proofErr w:type="spellStart"/>
      <w:r>
        <w:rPr>
          <w:rFonts w:ascii="Book Antiqua" w:eastAsia="Book Antiqua" w:hAnsi="Book Antiqua" w:cs="Book Antiqua"/>
          <w:color w:val="000000"/>
        </w:rPr>
        <w:t>Cet</w:t>
      </w:r>
      <w:proofErr w:type="spellEnd"/>
      <w:r>
        <w:rPr>
          <w:rFonts w:ascii="Book Antiqua" w:eastAsia="Book Antiqua" w:hAnsi="Book Antiqua" w:cs="Book Antiqua"/>
          <w:color w:val="000000"/>
        </w:rPr>
        <w:t xml:space="preserve"> to FOLFOX or FOLFIRI is tolerable in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liver metastases. However, a single-arm phase 2 study found that the addition of Bev to the capecitabine and oxaliplatin combination (CAPOX) (six cycles with no Bev on the final cycle), before surgery in high-risk CRC, had a remarkable objective response rate (ORR) of 73%</w:t>
      </w:r>
      <w:r>
        <w:rPr>
          <w:rFonts w:ascii="Book Antiqua" w:eastAsia="Book Antiqua" w:hAnsi="Book Antiqua" w:cs="Book Antiqua"/>
          <w:color w:val="000000"/>
          <w:szCs w:val="30"/>
          <w:vertAlign w:val="superscript"/>
        </w:rPr>
        <w:t>[42]</w:t>
      </w:r>
      <w:r>
        <w:rPr>
          <w:rFonts w:ascii="Book Antiqua" w:eastAsia="Book Antiqua" w:hAnsi="Book Antiqua" w:cs="Book Antiqua"/>
          <w:color w:val="000000"/>
        </w:rPr>
        <w:t xml:space="preserve">. In 2020, Bridgewater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[43]</w:t>
      </w:r>
      <w:r>
        <w:rPr>
          <w:rFonts w:ascii="Book Antiqua" w:eastAsia="Book Antiqua" w:hAnsi="Book Antiqua" w:cs="Book Antiqua"/>
          <w:color w:val="000000"/>
        </w:rPr>
        <w:t xml:space="preserve"> conducted a multicenter, </w:t>
      </w:r>
      <w:proofErr w:type="gramStart"/>
      <w:r>
        <w:rPr>
          <w:rFonts w:ascii="Book Antiqua" w:eastAsia="Book Antiqua" w:hAnsi="Book Antiqua" w:cs="Book Antiqua"/>
          <w:color w:val="000000"/>
        </w:rPr>
        <w:t>open-label</w:t>
      </w:r>
      <w:proofErr w:type="gramEnd"/>
      <w:r>
        <w:rPr>
          <w:rFonts w:ascii="Book Antiqua" w:eastAsia="Book Antiqua" w:hAnsi="Book Antiqua" w:cs="Book Antiqua"/>
          <w:color w:val="000000"/>
        </w:rPr>
        <w:t xml:space="preserve">, randomized, controlled, phase 3 trial to investigate the effects of </w:t>
      </w:r>
      <w:proofErr w:type="spellStart"/>
      <w:r>
        <w:rPr>
          <w:rFonts w:ascii="Book Antiqua" w:eastAsia="Book Antiqua" w:hAnsi="Book Antiqua" w:cs="Book Antiqua"/>
          <w:color w:val="000000"/>
        </w:rPr>
        <w:t>Cet</w:t>
      </w:r>
      <w:proofErr w:type="spellEnd"/>
      <w:r>
        <w:rPr>
          <w:rFonts w:ascii="Book Antiqua" w:eastAsia="Book Antiqua" w:hAnsi="Book Antiqua" w:cs="Book Antiqua"/>
          <w:color w:val="000000"/>
        </w:rPr>
        <w:t xml:space="preserve"> plus chemotherapy compared with those given chemotherapy alone in 257 adult patients (aged ≥ 18 years) with KRAS WT (codons 12, 13, and 61)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or </w:t>
      </w:r>
      <w:proofErr w:type="spellStart"/>
      <w:r>
        <w:rPr>
          <w:rFonts w:ascii="Book Antiqua" w:eastAsia="Book Antiqua" w:hAnsi="Book Antiqua" w:cs="Book Antiqua"/>
          <w:color w:val="000000"/>
        </w:rPr>
        <w:t>suboptimally</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At a median follow-up of 66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last patient was recruited, this analysis was conducted. In the chemotherapy alone group, the median PFS was 22.2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whereas in the chemotherapy plus </w:t>
      </w:r>
      <w:proofErr w:type="spellStart"/>
      <w:r>
        <w:rPr>
          <w:rFonts w:ascii="Book Antiqua" w:eastAsia="Book Antiqua" w:hAnsi="Book Antiqua" w:cs="Book Antiqua"/>
          <w:color w:val="000000"/>
        </w:rPr>
        <w:t>Cet</w:t>
      </w:r>
      <w:proofErr w:type="spellEnd"/>
      <w:r>
        <w:rPr>
          <w:rFonts w:ascii="Book Antiqua" w:eastAsia="Book Antiqua" w:hAnsi="Book Antiqua" w:cs="Book Antiqua"/>
          <w:color w:val="000000"/>
        </w:rPr>
        <w:t xml:space="preserve"> group, it was 15.5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 0.304). In the chemotherapy alone group, the median OS was 81</w:t>
      </w:r>
      <w:r>
        <w:rPr>
          <w:rFonts w:ascii="Book Antiqua" w:eastAsia="Book Antiqua" w:hAnsi="Book Antiqua" w:cs="Book Antiqua"/>
          <w:color w:val="000000"/>
          <w:szCs w:val="30"/>
        </w:rPr>
        <w:t>.</w:t>
      </w:r>
      <w:r>
        <w:rPr>
          <w:rFonts w:ascii="Book Antiqua" w:eastAsia="Book Antiqua" w:hAnsi="Book Antiqua" w:cs="Book Antiqua"/>
          <w:color w:val="000000"/>
        </w:rPr>
        <w:t xml:space="preserve">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but in the chemotherapy plus </w:t>
      </w:r>
      <w:proofErr w:type="spellStart"/>
      <w:r>
        <w:rPr>
          <w:rFonts w:ascii="Book Antiqua" w:eastAsia="Book Antiqua" w:hAnsi="Book Antiqua" w:cs="Book Antiqua"/>
          <w:color w:val="000000"/>
        </w:rPr>
        <w:t>Cet</w:t>
      </w:r>
      <w:proofErr w:type="spellEnd"/>
      <w:r>
        <w:rPr>
          <w:rFonts w:ascii="Book Antiqua" w:eastAsia="Book Antiqua" w:hAnsi="Book Antiqua" w:cs="Book Antiqua"/>
          <w:color w:val="000000"/>
        </w:rPr>
        <w:t xml:space="preserve"> group, it was 55.4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 0.036). The status of pathological resection or the preoperative response were secondary outcomes that did not significantly differ between groups. High-risk CRC in this study included those with synchronous liver metastases, metastatic disease discovered within a year of initial resection, primary tumors with positive lymph nodes, CLMs &gt; 1 or &gt; 5 cm, and positive carcinoembryonic antigen (CEA) levels. They concluded that </w:t>
      </w:r>
      <w:proofErr w:type="spellStart"/>
      <w:r>
        <w:rPr>
          <w:rFonts w:ascii="Book Antiqua" w:eastAsia="Book Antiqua" w:hAnsi="Book Antiqua" w:cs="Book Antiqua"/>
          <w:color w:val="000000"/>
        </w:rPr>
        <w:t>Cet</w:t>
      </w:r>
      <w:proofErr w:type="spellEnd"/>
      <w:r>
        <w:rPr>
          <w:rFonts w:ascii="Book Antiqua" w:eastAsia="Book Antiqua" w:hAnsi="Book Antiqua" w:cs="Book Antiqua"/>
          <w:color w:val="000000"/>
        </w:rPr>
        <w:t xml:space="preserve"> had no effect when used with perioperative treatment. As a result, targeted therapy is deemed ineffective in CRC patients with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CLM, whereas Bev may be beneficial in high-risk patients. FOLFOX adjuvant treatment is advised following resection.</w:t>
      </w:r>
    </w:p>
    <w:p w14:paraId="2414496F" w14:textId="77777777" w:rsidR="00A31DCB" w:rsidRDefault="00A31DCB">
      <w:pPr>
        <w:spacing w:line="360" w:lineRule="auto"/>
        <w:jc w:val="both"/>
      </w:pPr>
    </w:p>
    <w:p w14:paraId="3951F088" w14:textId="77777777" w:rsidR="00A31DCB" w:rsidRDefault="00000000">
      <w:pPr>
        <w:spacing w:line="360" w:lineRule="auto"/>
        <w:jc w:val="both"/>
        <w:rPr>
          <w:b/>
          <w:bCs/>
        </w:rPr>
      </w:pPr>
      <w:r>
        <w:rPr>
          <w:rFonts w:ascii="Book Antiqua" w:eastAsia="Book Antiqua" w:hAnsi="Book Antiqua" w:cs="Book Antiqua"/>
          <w:b/>
          <w:bCs/>
          <w:i/>
          <w:iCs/>
          <w:color w:val="000000"/>
        </w:rPr>
        <w:t>Unresectable CLM with potential for resection and no extrahepatic metastasis</w:t>
      </w:r>
    </w:p>
    <w:p w14:paraId="178556A5" w14:textId="77777777" w:rsidR="00A31DCB" w:rsidRDefault="00000000">
      <w:pPr>
        <w:spacing w:line="360" w:lineRule="auto"/>
        <w:jc w:val="both"/>
      </w:pPr>
      <w:r>
        <w:rPr>
          <w:rFonts w:ascii="Book Antiqua" w:eastAsia="Book Antiqua" w:hAnsi="Book Antiqua" w:cs="Book Antiqua"/>
          <w:color w:val="000000"/>
        </w:rPr>
        <w:t xml:space="preserve">In high-risk CRC (&gt; 4 metastases, diameter &gt; 5 cm, poor viable liver function if undertaking upfront resection, or inability to maintain liver vascular supply), </w:t>
      </w:r>
      <w:r>
        <w:rPr>
          <w:rFonts w:ascii="Book Antiqua" w:eastAsia="Book Antiqua" w:hAnsi="Book Antiqua" w:cs="Book Antiqua"/>
          <w:color w:val="000000"/>
        </w:rPr>
        <w:lastRenderedPageBreak/>
        <w:t>neoadjuvant treatment (NAT) with CAPOX plus Bev achieved a 78% ORR</w:t>
      </w:r>
      <w:r>
        <w:rPr>
          <w:rFonts w:ascii="Book Antiqua" w:eastAsia="Book Antiqua" w:hAnsi="Book Antiqua" w:cs="Book Antiqua"/>
          <w:color w:val="000000"/>
          <w:szCs w:val="30"/>
          <w:vertAlign w:val="superscript"/>
        </w:rPr>
        <w:t>[44]</w:t>
      </w:r>
      <w:r>
        <w:rPr>
          <w:rFonts w:ascii="Book Antiqua" w:eastAsia="Book Antiqua" w:hAnsi="Book Antiqua" w:cs="Book Antiqua"/>
          <w:color w:val="000000"/>
        </w:rPr>
        <w:t xml:space="preserve">. Of the 46 patients included, 40% of the individuals with unresectable disease upon diagnosis got a resection. Four patients responded so well that they were kept under surveillance without having surgery. In comparison to FOLFOX, Bev with FOLFOXIRI (combination of 5-FU/leucovorin (LV), oxaliplatin, and irinotecan) had a greater resection rate (61% </w:t>
      </w:r>
      <w:r>
        <w:rPr>
          <w:rFonts w:ascii="Book Antiqua" w:eastAsia="Book Antiqua" w:hAnsi="Book Antiqua" w:cs="Book Antiqua"/>
          <w:i/>
          <w:iCs/>
          <w:color w:val="000000"/>
        </w:rPr>
        <w:t>vs</w:t>
      </w:r>
      <w:r>
        <w:rPr>
          <w:rFonts w:ascii="Book Antiqua" w:eastAsia="Book Antiqua" w:hAnsi="Book Antiqua" w:cs="Book Antiqua"/>
          <w:color w:val="000000"/>
        </w:rPr>
        <w:t xml:space="preserve"> 49%), R0 resection rate (49% </w:t>
      </w:r>
      <w:r>
        <w:rPr>
          <w:rFonts w:ascii="Book Antiqua" w:eastAsia="Book Antiqua" w:hAnsi="Book Antiqua" w:cs="Book Antiqua"/>
          <w:i/>
          <w:iCs/>
          <w:color w:val="000000"/>
        </w:rPr>
        <w:t>vs</w:t>
      </w:r>
      <w:r>
        <w:rPr>
          <w:rFonts w:ascii="Book Antiqua" w:eastAsia="Book Antiqua" w:hAnsi="Book Antiqua" w:cs="Book Antiqua"/>
          <w:color w:val="000000"/>
        </w:rPr>
        <w:t xml:space="preserve"> 29%), ORR (81% </w:t>
      </w:r>
      <w:r>
        <w:rPr>
          <w:rFonts w:ascii="Book Antiqua" w:eastAsia="Book Antiqua" w:hAnsi="Book Antiqua" w:cs="Book Antiqua"/>
          <w:i/>
          <w:iCs/>
          <w:color w:val="000000"/>
        </w:rPr>
        <w:t>vs</w:t>
      </w:r>
      <w:r>
        <w:rPr>
          <w:rFonts w:ascii="Book Antiqua" w:eastAsia="Book Antiqua" w:hAnsi="Book Antiqua" w:cs="Book Antiqua"/>
          <w:color w:val="000000"/>
        </w:rPr>
        <w:t xml:space="preserve"> 62%), and mean PFS (18.6 m </w:t>
      </w:r>
      <w:r>
        <w:rPr>
          <w:rFonts w:ascii="Book Antiqua" w:eastAsia="Book Antiqua" w:hAnsi="Book Antiqua" w:cs="Book Antiqua"/>
          <w:i/>
          <w:iCs/>
          <w:color w:val="000000"/>
        </w:rPr>
        <w:t>vs</w:t>
      </w:r>
      <w:r>
        <w:rPr>
          <w:rFonts w:ascii="Book Antiqua" w:eastAsia="Book Antiqua" w:hAnsi="Book Antiqua" w:cs="Book Antiqua"/>
          <w:color w:val="000000"/>
        </w:rPr>
        <w:t xml:space="preserve"> 11.5 m)</w:t>
      </w:r>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After a hepatic artery infusion chemotherapy pump has been installed, adding Bev to the chemotherapy has no survival benefit. On the other hand, it worsens liver toxicity (hyperbilirubinemia &gt; 3 mg/dL) and is not advised</w:t>
      </w:r>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xml:space="preserve">. In the POCHER study, 60% (25/43) of the 43% of patients with unresectable CLM who received </w:t>
      </w:r>
      <w:proofErr w:type="spellStart"/>
      <w:r>
        <w:rPr>
          <w:rFonts w:ascii="Book Antiqua" w:eastAsia="Book Antiqua" w:hAnsi="Book Antiqua" w:cs="Book Antiqua"/>
          <w:color w:val="000000"/>
        </w:rPr>
        <w:t>chronomodulated</w:t>
      </w:r>
      <w:proofErr w:type="spellEnd"/>
      <w:r>
        <w:rPr>
          <w:rFonts w:ascii="Book Antiqua" w:eastAsia="Book Antiqua" w:hAnsi="Book Antiqua" w:cs="Book Antiqua"/>
          <w:color w:val="000000"/>
        </w:rPr>
        <w:t xml:space="preserve"> irinotecan (Iri) and 5-FU/LV on days 2-6 every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as NAT experienced full resections</w:t>
      </w:r>
      <w:r>
        <w:rPr>
          <w:rFonts w:ascii="Book Antiqua" w:eastAsia="Book Antiqua" w:hAnsi="Book Antiqua" w:cs="Book Antiqua"/>
          <w:color w:val="000000"/>
          <w:szCs w:val="30"/>
          <w:vertAlign w:val="superscript"/>
        </w:rPr>
        <w:t>[47]</w:t>
      </w:r>
      <w:r>
        <w:rPr>
          <w:rFonts w:ascii="Book Antiqua" w:eastAsia="Book Antiqua" w:hAnsi="Book Antiqua" w:cs="Book Antiqua"/>
          <w:color w:val="000000"/>
        </w:rPr>
        <w:t xml:space="preserve">. Twenty-nine participants with more than four lesions and nine patients with more than 5 cm in diameter made up the study population. The 2-year survival rate was 68% for the whole population. In people who have had surgery, it may reach 80%. As a result, research was conducted to evaluate the role of </w:t>
      </w:r>
      <w:proofErr w:type="spellStart"/>
      <w:r>
        <w:rPr>
          <w:rFonts w:ascii="Book Antiqua" w:eastAsia="Book Antiqua" w:hAnsi="Book Antiqua" w:cs="Book Antiqua"/>
          <w:color w:val="000000"/>
        </w:rPr>
        <w:t>EGFRi</w:t>
      </w:r>
      <w:proofErr w:type="spellEnd"/>
      <w:r>
        <w:rPr>
          <w:rFonts w:ascii="Book Antiqua" w:eastAsia="Book Antiqua" w:hAnsi="Book Antiqua" w:cs="Book Antiqua"/>
          <w:color w:val="000000"/>
        </w:rPr>
        <w:t xml:space="preserve"> in NAT or POT. When </w:t>
      </w:r>
      <w:proofErr w:type="spellStart"/>
      <w:r>
        <w:rPr>
          <w:rFonts w:ascii="Book Antiqua" w:eastAsia="Book Antiqua" w:hAnsi="Book Antiqua" w:cs="Book Antiqua"/>
          <w:color w:val="000000"/>
        </w:rPr>
        <w:t>Cet</w:t>
      </w:r>
      <w:proofErr w:type="spellEnd"/>
      <w:r>
        <w:rPr>
          <w:rFonts w:ascii="Book Antiqua" w:eastAsia="Book Antiqua" w:hAnsi="Book Antiqua" w:cs="Book Antiqua"/>
          <w:color w:val="000000"/>
        </w:rPr>
        <w:t xml:space="preserve"> was given to FOLFOX or FOLFIRI in patients with unresectable CLM at diagnosis who were eligible (with KRAS WT codons 12, 13, and 61), it improved long-term survival</w:t>
      </w:r>
      <w:r>
        <w:rPr>
          <w:rFonts w:ascii="Book Antiqua" w:eastAsia="Book Antiqua" w:hAnsi="Book Antiqua" w:cs="Book Antiqua"/>
          <w:color w:val="000000"/>
          <w:szCs w:val="30"/>
          <w:vertAlign w:val="superscript"/>
        </w:rPr>
        <w:t>[48]</w:t>
      </w:r>
      <w:r>
        <w:rPr>
          <w:rFonts w:ascii="Book Antiqua" w:eastAsia="Book Antiqua" w:hAnsi="Book Antiqua" w:cs="Book Antiqua"/>
          <w:color w:val="000000"/>
        </w:rPr>
        <w:t>.</w:t>
      </w:r>
    </w:p>
    <w:p w14:paraId="7159A51F" w14:textId="77777777" w:rsidR="00A31DCB" w:rsidRDefault="00A31DCB">
      <w:pPr>
        <w:spacing w:line="360" w:lineRule="auto"/>
        <w:jc w:val="both"/>
        <w:rPr>
          <w:rFonts w:ascii="Book Antiqua" w:eastAsia="Book Antiqua" w:hAnsi="Book Antiqua" w:cs="Book Antiqua"/>
          <w:i/>
          <w:iCs/>
          <w:color w:val="000000"/>
          <w:u w:val="single"/>
        </w:rPr>
      </w:pPr>
    </w:p>
    <w:p w14:paraId="17208469" w14:textId="77777777" w:rsidR="00A31DCB" w:rsidRDefault="00000000">
      <w:pPr>
        <w:spacing w:line="360" w:lineRule="auto"/>
        <w:jc w:val="both"/>
        <w:rPr>
          <w:b/>
          <w:bCs/>
          <w:i/>
          <w:iCs/>
        </w:rPr>
      </w:pPr>
      <w:r>
        <w:rPr>
          <w:rFonts w:ascii="Book Antiqua" w:eastAsia="Book Antiqua" w:hAnsi="Book Antiqua" w:cs="Book Antiqua"/>
          <w:b/>
          <w:bCs/>
          <w:i/>
          <w:iCs/>
          <w:color w:val="000000"/>
        </w:rPr>
        <w:t>Unresectable CLM</w:t>
      </w:r>
    </w:p>
    <w:p w14:paraId="55846438" w14:textId="77777777" w:rsidR="00A31DCB" w:rsidRDefault="00000000">
      <w:pPr>
        <w:spacing w:line="360" w:lineRule="auto"/>
        <w:jc w:val="both"/>
        <w:rPr>
          <w:b/>
          <w:bCs/>
        </w:rPr>
      </w:pPr>
      <w:r>
        <w:rPr>
          <w:rFonts w:ascii="Book Antiqua" w:eastAsia="Book Antiqua" w:hAnsi="Book Antiqua" w:cs="Book Antiqua"/>
          <w:b/>
          <w:bCs/>
          <w:color w:val="000000"/>
        </w:rPr>
        <w:t>First-line plus chemotherapy:</w:t>
      </w:r>
      <w:r>
        <w:rPr>
          <w:rFonts w:hint="eastAsia"/>
          <w:b/>
          <w:bCs/>
          <w:lang w:eastAsia="zh-CN"/>
        </w:rPr>
        <w:t xml:space="preserve"> </w:t>
      </w:r>
      <w:r>
        <w:rPr>
          <w:rFonts w:ascii="Book Antiqua" w:eastAsia="Book Antiqua" w:hAnsi="Book Antiqua" w:cs="Book Antiqua"/>
          <w:color w:val="000000"/>
        </w:rPr>
        <w:t xml:space="preserve">Bev is advised as first-line treatment for RAS-mutated tumors in mCRC with CLM and without surgical consideration. A meta-analysis of two randomized control trials and three observational studies revealed that </w:t>
      </w:r>
      <w:proofErr w:type="spellStart"/>
      <w:r>
        <w:rPr>
          <w:rFonts w:ascii="Book Antiqua" w:eastAsia="Book Antiqua" w:hAnsi="Book Antiqua" w:cs="Book Antiqua"/>
          <w:color w:val="000000"/>
        </w:rPr>
        <w:t>Cet</w:t>
      </w:r>
      <w:proofErr w:type="spellEnd"/>
      <w:r>
        <w:rPr>
          <w:rFonts w:ascii="Book Antiqua" w:eastAsia="Book Antiqua" w:hAnsi="Book Antiqua" w:cs="Book Antiqua"/>
          <w:color w:val="000000"/>
        </w:rPr>
        <w:t xml:space="preserve"> had a higher OS, ORR, and complete response rate than Bev in RAS-WT malignancies (with chemotherapy as the backbone). The same trial found no appreciable differences between the two medications in PFS, disease control rate, or partial response rate</w:t>
      </w:r>
      <w:r>
        <w:rPr>
          <w:rFonts w:ascii="Book Antiqua" w:eastAsia="Book Antiqua" w:hAnsi="Book Antiqua" w:cs="Book Antiqua"/>
          <w:color w:val="000000"/>
          <w:szCs w:val="30"/>
          <w:vertAlign w:val="superscript"/>
        </w:rPr>
        <w:t>[49]</w:t>
      </w:r>
      <w:r>
        <w:rPr>
          <w:rFonts w:ascii="Book Antiqua" w:eastAsia="Book Antiqua" w:hAnsi="Book Antiqua" w:cs="Book Antiqua"/>
          <w:color w:val="000000"/>
        </w:rPr>
        <w:t>. In the PEAK study, Pan outperformed Bev in terms of PFS while maintaining the same OS</w:t>
      </w:r>
      <w:r>
        <w:rPr>
          <w:rFonts w:ascii="Book Antiqua" w:eastAsia="Book Antiqua" w:hAnsi="Book Antiqua" w:cs="Book Antiqua"/>
          <w:color w:val="000000"/>
          <w:szCs w:val="30"/>
          <w:vertAlign w:val="superscript"/>
        </w:rPr>
        <w:t>[50]</w:t>
      </w:r>
      <w:r>
        <w:rPr>
          <w:rFonts w:ascii="Book Antiqua" w:eastAsia="Book Antiqua" w:hAnsi="Book Antiqua" w:cs="Book Antiqua"/>
          <w:color w:val="000000"/>
        </w:rPr>
        <w:t xml:space="preserve">. In the past 5 years, a lot of research has been done on the function of the main tumor side (right </w:t>
      </w:r>
      <w:r>
        <w:rPr>
          <w:rFonts w:ascii="Book Antiqua" w:eastAsia="Book Antiqua" w:hAnsi="Book Antiqua" w:cs="Book Antiqua"/>
          <w:i/>
          <w:iCs/>
          <w:color w:val="000000"/>
        </w:rPr>
        <w:t>vs</w:t>
      </w:r>
      <w:r>
        <w:rPr>
          <w:rFonts w:ascii="Book Antiqua" w:eastAsia="Book Antiqua" w:hAnsi="Book Antiqua" w:cs="Book Antiqua"/>
          <w:color w:val="000000"/>
        </w:rPr>
        <w:t xml:space="preserve"> left). Regardless of the CLM status, two meta-analyses have conclusively demonstrated that left-sided cancers react better to </w:t>
      </w:r>
      <w:proofErr w:type="spellStart"/>
      <w:r>
        <w:rPr>
          <w:rFonts w:ascii="Book Antiqua" w:eastAsia="Book Antiqua" w:hAnsi="Book Antiqua" w:cs="Book Antiqua"/>
          <w:color w:val="000000"/>
        </w:rPr>
        <w:t>EGFRi</w:t>
      </w:r>
      <w:proofErr w:type="spellEnd"/>
      <w:r>
        <w:rPr>
          <w:rFonts w:ascii="Book Antiqua" w:eastAsia="Book Antiqua" w:hAnsi="Book Antiqua" w:cs="Book Antiqua"/>
          <w:color w:val="000000"/>
        </w:rPr>
        <w:t xml:space="preserve"> than Bev</w:t>
      </w:r>
      <w:r>
        <w:rPr>
          <w:rFonts w:ascii="Book Antiqua" w:eastAsia="Book Antiqua" w:hAnsi="Book Antiqua" w:cs="Book Antiqua"/>
          <w:color w:val="000000"/>
          <w:szCs w:val="30"/>
          <w:vertAlign w:val="superscript"/>
        </w:rPr>
        <w:t>[51,52]</w:t>
      </w:r>
      <w:r>
        <w:rPr>
          <w:rFonts w:ascii="Book Antiqua" w:eastAsia="Book Antiqua" w:hAnsi="Book Antiqua" w:cs="Book Antiqua"/>
          <w:color w:val="000000"/>
        </w:rPr>
        <w:t xml:space="preserve">. However, there was no </w:t>
      </w:r>
      <w:r>
        <w:rPr>
          <w:rFonts w:ascii="Book Antiqua" w:eastAsia="Book Antiqua" w:hAnsi="Book Antiqua" w:cs="Book Antiqua"/>
          <w:color w:val="000000"/>
        </w:rPr>
        <w:lastRenderedPageBreak/>
        <w:t xml:space="preserve">statistically significant difference in OS or PFS between Bev and </w:t>
      </w:r>
      <w:proofErr w:type="spellStart"/>
      <w:r>
        <w:rPr>
          <w:rFonts w:ascii="Book Antiqua" w:eastAsia="Book Antiqua" w:hAnsi="Book Antiqua" w:cs="Book Antiqua"/>
          <w:color w:val="000000"/>
        </w:rPr>
        <w:t>EGFRi</w:t>
      </w:r>
      <w:proofErr w:type="spellEnd"/>
      <w:r>
        <w:rPr>
          <w:rFonts w:ascii="Book Antiqua" w:eastAsia="Book Antiqua" w:hAnsi="Book Antiqua" w:cs="Book Antiqua"/>
          <w:color w:val="000000"/>
        </w:rPr>
        <w:t xml:space="preserve"> in tumors on the right side. In the PEAK study and the FIRE-3 trial, </w:t>
      </w:r>
      <w:proofErr w:type="spellStart"/>
      <w:r>
        <w:rPr>
          <w:rFonts w:ascii="Book Antiqua" w:eastAsia="Book Antiqua" w:hAnsi="Book Antiqua" w:cs="Book Antiqua"/>
          <w:color w:val="000000"/>
        </w:rPr>
        <w:t>EGFRi</w:t>
      </w:r>
      <w:proofErr w:type="spellEnd"/>
      <w:r>
        <w:rPr>
          <w:rFonts w:ascii="Book Antiqua" w:eastAsia="Book Antiqua" w:hAnsi="Book Antiqua" w:cs="Book Antiqua"/>
          <w:color w:val="000000"/>
        </w:rPr>
        <w:t xml:space="preserve"> with chemotherapy produced deeper responses in RAS-WT tumors than Bev plus chemotherapy. Tolerability is a crucial consideration when choosing a medication. Patients with a history of thromboembolic illness, uncontrolled hypertension, proteinuria, significant bleeding risk, or gastrointestinal perforation are not advised to get anti-VEGF medication. As a result, </w:t>
      </w:r>
      <w:proofErr w:type="spellStart"/>
      <w:r>
        <w:rPr>
          <w:rFonts w:ascii="Book Antiqua" w:eastAsia="Book Antiqua" w:hAnsi="Book Antiqua" w:cs="Book Antiqua"/>
          <w:color w:val="000000"/>
        </w:rPr>
        <w:t>EGFRi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Cet</w:t>
      </w:r>
      <w:proofErr w:type="spellEnd"/>
      <w:r>
        <w:rPr>
          <w:rFonts w:ascii="Book Antiqua" w:eastAsia="Book Antiqua" w:hAnsi="Book Antiqua" w:cs="Book Antiqua"/>
          <w:color w:val="000000"/>
        </w:rPr>
        <w:t xml:space="preserve"> or Pan) is preferable over Bev plus chemotherapy in left-sided tumors in RAS-WT mCRC with CLM, although either of them can be administered in right-sided tumors</w:t>
      </w:r>
      <w:r>
        <w:rPr>
          <w:rFonts w:ascii="Book Antiqua" w:eastAsia="Book Antiqua" w:hAnsi="Book Antiqua" w:cs="Book Antiqua"/>
          <w:color w:val="000000"/>
          <w:szCs w:val="30"/>
          <w:vertAlign w:val="superscript"/>
        </w:rPr>
        <w:t>[53,54]</w:t>
      </w:r>
      <w:r>
        <w:rPr>
          <w:rFonts w:ascii="Book Antiqua" w:eastAsia="Book Antiqua" w:hAnsi="Book Antiqua" w:cs="Book Antiqua"/>
          <w:color w:val="000000"/>
        </w:rPr>
        <w:t xml:space="preserve">. There is not any conclusive proof that Pan or </w:t>
      </w:r>
      <w:proofErr w:type="spellStart"/>
      <w:r>
        <w:rPr>
          <w:rFonts w:ascii="Book Antiqua" w:eastAsia="Book Antiqua" w:hAnsi="Book Antiqua" w:cs="Book Antiqua"/>
          <w:color w:val="000000"/>
        </w:rPr>
        <w:t>Cet</w:t>
      </w:r>
      <w:proofErr w:type="spellEnd"/>
      <w:r>
        <w:rPr>
          <w:rFonts w:ascii="Book Antiqua" w:eastAsia="Book Antiqua" w:hAnsi="Book Antiqua" w:cs="Book Antiqua"/>
          <w:color w:val="000000"/>
        </w:rPr>
        <w:t xml:space="preserve"> is superior to the other. Patients who experience adverse reactions to </w:t>
      </w:r>
      <w:proofErr w:type="spellStart"/>
      <w:r>
        <w:rPr>
          <w:rFonts w:ascii="Book Antiqua" w:eastAsia="Book Antiqua" w:hAnsi="Book Antiqua" w:cs="Book Antiqua"/>
          <w:color w:val="000000"/>
        </w:rPr>
        <w:t>Cet</w:t>
      </w:r>
      <w:proofErr w:type="spellEnd"/>
      <w:r>
        <w:rPr>
          <w:rFonts w:ascii="Book Antiqua" w:eastAsia="Book Antiqua" w:hAnsi="Book Antiqua" w:cs="Book Antiqua"/>
          <w:color w:val="000000"/>
        </w:rPr>
        <w:t>, a mouse-based monoclonal antibody (</w:t>
      </w:r>
      <w:proofErr w:type="spellStart"/>
      <w:r>
        <w:rPr>
          <w:rFonts w:ascii="Book Antiqua" w:eastAsia="Book Antiqua" w:hAnsi="Book Antiqua" w:cs="Book Antiqua"/>
          <w:color w:val="000000"/>
        </w:rPr>
        <w:t>mab</w:t>
      </w:r>
      <w:proofErr w:type="spellEnd"/>
      <w:r>
        <w:rPr>
          <w:rFonts w:ascii="Book Antiqua" w:eastAsia="Book Antiqua" w:hAnsi="Book Antiqua" w:cs="Book Antiqua"/>
          <w:color w:val="000000"/>
        </w:rPr>
        <w:t xml:space="preserve">), frequently prefer Pan since it is a humanized </w:t>
      </w:r>
      <w:proofErr w:type="spellStart"/>
      <w:r>
        <w:rPr>
          <w:rFonts w:ascii="Book Antiqua" w:eastAsia="Book Antiqua" w:hAnsi="Book Antiqua" w:cs="Book Antiqua"/>
          <w:color w:val="000000"/>
        </w:rPr>
        <w:t>mab</w:t>
      </w:r>
      <w:proofErr w:type="spellEnd"/>
      <w:r>
        <w:rPr>
          <w:rFonts w:ascii="Book Antiqua" w:eastAsia="Book Antiqua" w:hAnsi="Book Antiqua" w:cs="Book Antiqua"/>
          <w:color w:val="000000"/>
        </w:rPr>
        <w:t>.</w:t>
      </w:r>
    </w:p>
    <w:p w14:paraId="53059B66" w14:textId="77777777" w:rsidR="00A31DCB" w:rsidRDefault="00A31DCB">
      <w:pPr>
        <w:spacing w:line="360" w:lineRule="auto"/>
        <w:jc w:val="both"/>
        <w:rPr>
          <w:rFonts w:ascii="Book Antiqua" w:eastAsia="Book Antiqua" w:hAnsi="Book Antiqua" w:cs="Book Antiqua"/>
          <w:color w:val="000000"/>
        </w:rPr>
      </w:pPr>
    </w:p>
    <w:p w14:paraId="192776D7" w14:textId="77777777" w:rsidR="00A31DCB" w:rsidRDefault="00000000">
      <w:pPr>
        <w:spacing w:line="360" w:lineRule="auto"/>
        <w:jc w:val="both"/>
        <w:rPr>
          <w:b/>
          <w:bCs/>
        </w:rPr>
      </w:pPr>
      <w:r>
        <w:rPr>
          <w:rFonts w:ascii="Book Antiqua" w:eastAsia="Book Antiqua" w:hAnsi="Book Antiqua" w:cs="Book Antiqua"/>
          <w:b/>
          <w:bCs/>
          <w:color w:val="000000"/>
        </w:rPr>
        <w:t>Second-line plus chemotherapy:</w:t>
      </w:r>
      <w:r>
        <w:rPr>
          <w:rFonts w:hint="eastAsia"/>
          <w:b/>
          <w:bCs/>
          <w:lang w:eastAsia="zh-CN"/>
        </w:rPr>
        <w:t xml:space="preserve"> </w:t>
      </w:r>
      <w:r>
        <w:rPr>
          <w:rFonts w:ascii="Book Antiqua" w:eastAsia="Book Antiqua" w:hAnsi="Book Antiqua" w:cs="Book Antiqua"/>
          <w:color w:val="000000"/>
        </w:rPr>
        <w:t xml:space="preserve">The continuation of Bev in the second line after first-line treatment improved PFS and OS without a worsening </w:t>
      </w:r>
      <w:proofErr w:type="gramStart"/>
      <w:r>
        <w:rPr>
          <w:rFonts w:ascii="Book Antiqua" w:eastAsia="Book Antiqua" w:hAnsi="Book Antiqua" w:cs="Book Antiqua"/>
          <w:color w:val="000000"/>
        </w:rPr>
        <w:t>in side</w:t>
      </w:r>
      <w:proofErr w:type="gramEnd"/>
      <w:r>
        <w:rPr>
          <w:rFonts w:ascii="Book Antiqua" w:eastAsia="Book Antiqua" w:hAnsi="Book Antiqua" w:cs="Book Antiqua"/>
          <w:color w:val="000000"/>
        </w:rPr>
        <w:t xml:space="preserve"> events. There is insufficient information to definitively conclude that changing eligible patients from Bev to </w:t>
      </w:r>
      <w:proofErr w:type="spellStart"/>
      <w:r>
        <w:rPr>
          <w:rFonts w:ascii="Book Antiqua" w:eastAsia="Book Antiqua" w:hAnsi="Book Antiqua" w:cs="Book Antiqua"/>
          <w:color w:val="000000"/>
        </w:rPr>
        <w:t>Cet</w:t>
      </w:r>
      <w:proofErr w:type="spellEnd"/>
      <w:r>
        <w:rPr>
          <w:rFonts w:ascii="Book Antiqua" w:eastAsia="Book Antiqua" w:hAnsi="Book Antiqua" w:cs="Book Antiqua"/>
          <w:color w:val="000000"/>
        </w:rPr>
        <w:t xml:space="preserve"> or Pan following clinical progression would be beneficial</w:t>
      </w:r>
      <w:r>
        <w:rPr>
          <w:rFonts w:ascii="Book Antiqua" w:eastAsia="Book Antiqua" w:hAnsi="Book Antiqua" w:cs="Book Antiqua"/>
          <w:color w:val="000000"/>
          <w:szCs w:val="30"/>
          <w:vertAlign w:val="superscript"/>
        </w:rPr>
        <w:t>[55,56]</w:t>
      </w:r>
      <w:r>
        <w:rPr>
          <w:rFonts w:ascii="Book Antiqua" w:eastAsia="Book Antiqua" w:hAnsi="Book Antiqua" w:cs="Book Antiqua"/>
          <w:color w:val="000000"/>
        </w:rPr>
        <w:t xml:space="preserve">. There is no advantage to switching Bev to another VEGF medication. Patients who progress on oxaliplatin-based therapy (FOLIRI-naive) benefit from </w:t>
      </w:r>
      <w:proofErr w:type="spellStart"/>
      <w:r>
        <w:rPr>
          <w:rFonts w:ascii="Book Antiqua" w:eastAsia="Book Antiqua" w:hAnsi="Book Antiqua" w:cs="Book Antiqua"/>
          <w:color w:val="000000"/>
        </w:rPr>
        <w:t>ziv</w:t>
      </w:r>
      <w:proofErr w:type="spellEnd"/>
      <w:r>
        <w:rPr>
          <w:rFonts w:ascii="Book Antiqua" w:eastAsia="Book Antiqua" w:hAnsi="Book Antiqua" w:cs="Book Antiqua"/>
          <w:color w:val="000000"/>
        </w:rPr>
        <w:t>-aflibercept or ramucirumab when used in conjunction with FOLIRI</w:t>
      </w:r>
      <w:r>
        <w:rPr>
          <w:rFonts w:ascii="Book Antiqua" w:eastAsia="Book Antiqua" w:hAnsi="Book Antiqua" w:cs="Book Antiqua"/>
          <w:color w:val="000000"/>
          <w:szCs w:val="30"/>
          <w:vertAlign w:val="superscript"/>
        </w:rPr>
        <w:t>[57]</w:t>
      </w:r>
      <w:r>
        <w:rPr>
          <w:rFonts w:ascii="Book Antiqua" w:eastAsia="Book Antiqua" w:hAnsi="Book Antiqua" w:cs="Book Antiqua"/>
          <w:color w:val="000000"/>
        </w:rPr>
        <w:t xml:space="preserve">. Bev may also be used in the third or fourth line of TAS-102 (trifluridine and </w:t>
      </w:r>
      <w:proofErr w:type="spellStart"/>
      <w:r>
        <w:rPr>
          <w:rFonts w:ascii="Book Antiqua" w:eastAsia="Book Antiqua" w:hAnsi="Book Antiqua" w:cs="Book Antiqua"/>
          <w:color w:val="000000"/>
        </w:rPr>
        <w:t>tipiracil</w:t>
      </w:r>
      <w:proofErr w:type="spellEnd"/>
      <w:r>
        <w:rPr>
          <w:rFonts w:ascii="Book Antiqua" w:eastAsia="Book Antiqua" w:hAnsi="Book Antiqua" w:cs="Book Antiqua"/>
          <w:color w:val="000000"/>
        </w:rPr>
        <w:t xml:space="preserve"> hydrochloride)</w:t>
      </w:r>
      <w:r>
        <w:rPr>
          <w:rFonts w:ascii="Book Antiqua" w:eastAsia="Book Antiqua" w:hAnsi="Book Antiqua" w:cs="Book Antiqua"/>
          <w:color w:val="000000"/>
          <w:szCs w:val="30"/>
          <w:vertAlign w:val="superscript"/>
        </w:rPr>
        <w:t>[58]</w:t>
      </w:r>
      <w:r>
        <w:rPr>
          <w:rFonts w:ascii="Book Antiqua" w:eastAsia="Book Antiqua" w:hAnsi="Book Antiqua" w:cs="Book Antiqua"/>
          <w:color w:val="000000"/>
        </w:rPr>
        <w:t xml:space="preserve">. Continuing </w:t>
      </w:r>
      <w:proofErr w:type="spellStart"/>
      <w:r>
        <w:rPr>
          <w:rFonts w:ascii="Book Antiqua" w:eastAsia="Book Antiqua" w:hAnsi="Book Antiqua" w:cs="Book Antiqua"/>
          <w:color w:val="000000"/>
        </w:rPr>
        <w:t>EGFRi</w:t>
      </w:r>
      <w:proofErr w:type="spellEnd"/>
      <w:r>
        <w:rPr>
          <w:rFonts w:ascii="Book Antiqua" w:eastAsia="Book Antiqua" w:hAnsi="Book Antiqua" w:cs="Book Antiqua"/>
          <w:color w:val="000000"/>
        </w:rPr>
        <w:t xml:space="preserve"> has no advantage for OS if </w:t>
      </w:r>
      <w:proofErr w:type="spellStart"/>
      <w:r>
        <w:rPr>
          <w:rFonts w:ascii="Book Antiqua" w:eastAsia="Book Antiqua" w:hAnsi="Book Antiqua" w:cs="Book Antiqua"/>
          <w:color w:val="000000"/>
        </w:rPr>
        <w:t>Cet</w:t>
      </w:r>
      <w:proofErr w:type="spellEnd"/>
      <w:r>
        <w:rPr>
          <w:rFonts w:ascii="Book Antiqua" w:eastAsia="Book Antiqua" w:hAnsi="Book Antiqua" w:cs="Book Antiqua"/>
          <w:color w:val="000000"/>
        </w:rPr>
        <w:t xml:space="preserve"> or Pan are used as the first-line treatments</w:t>
      </w:r>
      <w:r>
        <w:rPr>
          <w:rFonts w:ascii="Book Antiqua" w:eastAsia="Book Antiqua" w:hAnsi="Book Antiqua" w:cs="Book Antiqua"/>
          <w:color w:val="000000"/>
          <w:szCs w:val="30"/>
          <w:vertAlign w:val="superscript"/>
        </w:rPr>
        <w:t>[59]</w:t>
      </w:r>
      <w:r>
        <w:rPr>
          <w:rFonts w:ascii="Book Antiqua" w:eastAsia="Book Antiqua" w:hAnsi="Book Antiqua" w:cs="Book Antiqua"/>
          <w:color w:val="000000"/>
        </w:rPr>
        <w:t>. Circulating tumor DNA can be used to identify acquired resistance, which may manifest in a small number of patients. It is anticipated that this resistance would fade with time. As a result, switching to Bev is advised</w:t>
      </w:r>
      <w:r>
        <w:rPr>
          <w:rFonts w:ascii="Book Antiqua" w:eastAsia="Book Antiqua" w:hAnsi="Book Antiqua" w:cs="Book Antiqua"/>
          <w:color w:val="000000"/>
          <w:szCs w:val="30"/>
          <w:vertAlign w:val="superscript"/>
        </w:rPr>
        <w:t>[60,61]</w:t>
      </w:r>
      <w:r>
        <w:rPr>
          <w:rFonts w:ascii="Book Antiqua" w:eastAsia="Book Antiqua" w:hAnsi="Book Antiqua" w:cs="Book Antiqua"/>
          <w:color w:val="000000"/>
        </w:rPr>
        <w:t xml:space="preserve">. After the disease progressed, switching from </w:t>
      </w:r>
      <w:proofErr w:type="spellStart"/>
      <w:r>
        <w:rPr>
          <w:rFonts w:ascii="Book Antiqua" w:eastAsia="Book Antiqua" w:hAnsi="Book Antiqua" w:cs="Book Antiqua"/>
          <w:color w:val="000000"/>
        </w:rPr>
        <w:t>Cet</w:t>
      </w:r>
      <w:proofErr w:type="spellEnd"/>
      <w:r>
        <w:rPr>
          <w:rFonts w:ascii="Book Antiqua" w:eastAsia="Book Antiqua" w:hAnsi="Book Antiqua" w:cs="Book Antiqua"/>
          <w:color w:val="000000"/>
        </w:rPr>
        <w:t xml:space="preserve"> to Pan or vice versa is not useful. If not used in the </w:t>
      </w:r>
      <w:proofErr w:type="gramStart"/>
      <w:r>
        <w:rPr>
          <w:rFonts w:ascii="Book Antiqua" w:eastAsia="Book Antiqua" w:hAnsi="Book Antiqua" w:cs="Book Antiqua"/>
          <w:color w:val="000000"/>
        </w:rPr>
        <w:t>first-line</w:t>
      </w:r>
      <w:proofErr w:type="gramEnd"/>
      <w:r>
        <w:rPr>
          <w:rFonts w:ascii="Book Antiqua" w:eastAsia="Book Antiqua" w:hAnsi="Book Antiqua" w:cs="Book Antiqua"/>
          <w:color w:val="000000"/>
        </w:rPr>
        <w:t xml:space="preserve"> setting, </w:t>
      </w:r>
      <w:proofErr w:type="spellStart"/>
      <w:r>
        <w:rPr>
          <w:rFonts w:ascii="Book Antiqua" w:eastAsia="Book Antiqua" w:hAnsi="Book Antiqua" w:cs="Book Antiqua"/>
          <w:color w:val="000000"/>
        </w:rPr>
        <w:t>EGFRi</w:t>
      </w:r>
      <w:proofErr w:type="spellEnd"/>
      <w:r>
        <w:rPr>
          <w:rFonts w:ascii="Book Antiqua" w:eastAsia="Book Antiqua" w:hAnsi="Book Antiqua" w:cs="Book Antiqua"/>
          <w:color w:val="000000"/>
        </w:rPr>
        <w:t xml:space="preserve"> may be administered either alone (monotherapy) or with Iri, FOLFIRI, or FOLFOX but not with CAPEOX, or to patients who cannot handle chemotherapy</w:t>
      </w:r>
      <w:r>
        <w:rPr>
          <w:rFonts w:ascii="Book Antiqua" w:eastAsia="Book Antiqua" w:hAnsi="Book Antiqua" w:cs="Book Antiqua"/>
          <w:color w:val="000000"/>
          <w:szCs w:val="30"/>
          <w:vertAlign w:val="superscript"/>
        </w:rPr>
        <w:t>[62]</w:t>
      </w:r>
      <w:r>
        <w:rPr>
          <w:rFonts w:ascii="Book Antiqua" w:eastAsia="Book Antiqua" w:hAnsi="Book Antiqua" w:cs="Book Antiqua"/>
          <w:color w:val="000000"/>
        </w:rPr>
        <w:t xml:space="preserve">. In ongoing studies, they are being used with additional medications such as immune checkpoint inhibitor (ICI), BRAF, and tyrosine kinase inhibitors. </w:t>
      </w:r>
    </w:p>
    <w:p w14:paraId="1A06E755" w14:textId="77777777" w:rsidR="00A31DCB" w:rsidRDefault="00000000">
      <w:pPr>
        <w:spacing w:line="360" w:lineRule="auto"/>
        <w:ind w:firstLineChars="112" w:firstLine="269"/>
        <w:jc w:val="both"/>
      </w:pPr>
      <w:r>
        <w:rPr>
          <w:rFonts w:ascii="Book Antiqua" w:eastAsia="Book Antiqua" w:hAnsi="Book Antiqua" w:cs="Book Antiqua"/>
          <w:color w:val="000000"/>
        </w:rPr>
        <w:lastRenderedPageBreak/>
        <w:t xml:space="preserve">Patients with resistant mCRC who have </w:t>
      </w:r>
      <w:r>
        <w:rPr>
          <w:rFonts w:ascii="Book Antiqua" w:eastAsia="Book Antiqua" w:hAnsi="Book Antiqua" w:cs="Book Antiqua"/>
          <w:i/>
          <w:iCs/>
          <w:color w:val="000000"/>
        </w:rPr>
        <w:t>BRAF</w:t>
      </w:r>
      <w:r>
        <w:rPr>
          <w:rFonts w:ascii="Book Antiqua" w:eastAsia="Book Antiqua" w:hAnsi="Book Antiqua" w:cs="Book Antiqua"/>
          <w:color w:val="000000"/>
        </w:rPr>
        <w:t xml:space="preserve"> mutations, notably BRAF V600E and KRAS WT, may benefit from a combination therapy that combines BRAF inhibitors with </w:t>
      </w:r>
      <w:proofErr w:type="spellStart"/>
      <w:r>
        <w:rPr>
          <w:rFonts w:ascii="Book Antiqua" w:eastAsia="Book Antiqua" w:hAnsi="Book Antiqua" w:cs="Book Antiqua"/>
          <w:color w:val="000000"/>
        </w:rPr>
        <w:t>Cet</w:t>
      </w:r>
      <w:proofErr w:type="spellEnd"/>
      <w:r>
        <w:rPr>
          <w:rFonts w:ascii="Book Antiqua" w:eastAsia="Book Antiqua" w:hAnsi="Book Antiqua" w:cs="Book Antiqua"/>
          <w:color w:val="000000"/>
        </w:rPr>
        <w:t xml:space="preserve"> or Pan</w:t>
      </w:r>
      <w:r>
        <w:rPr>
          <w:rFonts w:ascii="Book Antiqua" w:eastAsia="Book Antiqua" w:hAnsi="Book Antiqua" w:cs="Book Antiqua"/>
          <w:color w:val="000000"/>
          <w:szCs w:val="30"/>
          <w:vertAlign w:val="superscript"/>
        </w:rPr>
        <w:t>[63]</w:t>
      </w:r>
      <w:r>
        <w:rPr>
          <w:rFonts w:ascii="Book Antiqua" w:eastAsia="Book Antiqua" w:hAnsi="Book Antiqua" w:cs="Book Antiqua"/>
          <w:color w:val="000000"/>
        </w:rPr>
        <w:t>. In the interim analysis of the BEACON trial, triple treatment with the MEK inhibitor (</w:t>
      </w:r>
      <w:proofErr w:type="spellStart"/>
      <w:r>
        <w:rPr>
          <w:rFonts w:ascii="Book Antiqua" w:eastAsia="Book Antiqua" w:hAnsi="Book Antiqua" w:cs="Book Antiqua"/>
          <w:color w:val="000000"/>
        </w:rPr>
        <w:t>binimetinib</w:t>
      </w:r>
      <w:proofErr w:type="spellEnd"/>
      <w:r>
        <w:rPr>
          <w:rFonts w:ascii="Book Antiqua" w:eastAsia="Book Antiqua" w:hAnsi="Book Antiqua" w:cs="Book Antiqua"/>
          <w:color w:val="000000"/>
        </w:rPr>
        <w:t>) demonstrated a survival benefit over the control group (</w:t>
      </w:r>
      <w:proofErr w:type="spellStart"/>
      <w:r>
        <w:rPr>
          <w:rFonts w:ascii="Book Antiqua" w:eastAsia="Book Antiqua" w:hAnsi="Book Antiqua" w:cs="Book Antiqua"/>
          <w:color w:val="000000"/>
        </w:rPr>
        <w:t>Cet</w:t>
      </w:r>
      <w:proofErr w:type="spellEnd"/>
      <w:r>
        <w:rPr>
          <w:rFonts w:ascii="Book Antiqua" w:eastAsia="Book Antiqua" w:hAnsi="Book Antiqua" w:cs="Book Antiqua"/>
          <w:color w:val="000000"/>
        </w:rPr>
        <w:t xml:space="preserve"> plus Iri or FOLFIRI) and combination therapy. A more recent investigation, however, found no benefit of triplet treatment over doublet treatment compared to the control group</w:t>
      </w:r>
      <w:r>
        <w:rPr>
          <w:rFonts w:ascii="Book Antiqua" w:eastAsia="Book Antiqua" w:hAnsi="Book Antiqua" w:cs="Book Antiqua"/>
          <w:color w:val="000000"/>
          <w:szCs w:val="30"/>
          <w:vertAlign w:val="superscript"/>
        </w:rPr>
        <w:t>[64]</w:t>
      </w:r>
      <w:r>
        <w:rPr>
          <w:rFonts w:ascii="Book Antiqua" w:eastAsia="Book Antiqua" w:hAnsi="Book Antiqua" w:cs="Book Antiqua"/>
          <w:color w:val="000000"/>
        </w:rPr>
        <w:t>. In the initial studies with Pan, other BRAF inhibitors, dabrafenib and vemurafenib, with/without MEK inhibitors (trametinib), showed favorable outcomes</w:t>
      </w:r>
      <w:r>
        <w:rPr>
          <w:rFonts w:ascii="Book Antiqua" w:eastAsia="Book Antiqua" w:hAnsi="Book Antiqua" w:cs="Book Antiqua"/>
          <w:color w:val="000000"/>
          <w:szCs w:val="30"/>
          <w:vertAlign w:val="superscript"/>
        </w:rPr>
        <w:t>[65]</w:t>
      </w:r>
      <w:r>
        <w:rPr>
          <w:rFonts w:ascii="Book Antiqua" w:eastAsia="Book Antiqua" w:hAnsi="Book Antiqua" w:cs="Book Antiqua"/>
          <w:color w:val="000000"/>
        </w:rPr>
        <w:t>. In approximately 6% of CRCs, HER2 is amplified or overexpressed</w:t>
      </w:r>
      <w:r>
        <w:rPr>
          <w:rFonts w:ascii="Book Antiqua" w:eastAsia="Book Antiqua" w:hAnsi="Book Antiqua" w:cs="Book Antiqua"/>
          <w:color w:val="000000"/>
          <w:szCs w:val="30"/>
          <w:vertAlign w:val="superscript"/>
        </w:rPr>
        <w:t>[66]</w:t>
      </w:r>
      <w:r>
        <w:rPr>
          <w:rFonts w:ascii="Book Antiqua" w:eastAsia="Book Antiqua" w:hAnsi="Book Antiqua" w:cs="Book Antiqua"/>
          <w:color w:val="000000"/>
        </w:rPr>
        <w:t xml:space="preserve">. Trastuzumab, a HER2 inhibitor, in combination with </w:t>
      </w:r>
      <w:proofErr w:type="spellStart"/>
      <w:r>
        <w:rPr>
          <w:rFonts w:ascii="Book Antiqua" w:eastAsia="Book Antiqua" w:hAnsi="Book Antiqua" w:cs="Book Antiqua"/>
          <w:color w:val="000000"/>
        </w:rPr>
        <w:t>pertuzumab</w:t>
      </w:r>
      <w:proofErr w:type="spellEnd"/>
      <w:r>
        <w:rPr>
          <w:rFonts w:ascii="Book Antiqua" w:eastAsia="Book Antiqua" w:hAnsi="Book Antiqua" w:cs="Book Antiqua"/>
          <w:color w:val="000000"/>
        </w:rPr>
        <w:t xml:space="preserve"> (an </w:t>
      </w:r>
      <w:proofErr w:type="spellStart"/>
      <w:r>
        <w:rPr>
          <w:rFonts w:ascii="Book Antiqua" w:eastAsia="Book Antiqua" w:hAnsi="Book Antiqua" w:cs="Book Antiqua"/>
          <w:color w:val="000000"/>
        </w:rPr>
        <w:t>mAb</w:t>
      </w:r>
      <w:proofErr w:type="spellEnd"/>
      <w:r>
        <w:rPr>
          <w:rFonts w:ascii="Book Antiqua" w:eastAsia="Book Antiqua" w:hAnsi="Book Antiqua" w:cs="Book Antiqua"/>
          <w:color w:val="000000"/>
        </w:rPr>
        <w:t xml:space="preserve"> that prevents dimerization of HER2 and HER3) or lapatinib (inhibitor that binds to the cytoplasmic ATP-binding site inhibitor EGFR/HER1 and HER2 receptors), is well tolerated in refractory mCRC patients with HER2 amplification and RAS/BRAF WT</w:t>
      </w:r>
      <w:r>
        <w:rPr>
          <w:rFonts w:ascii="Book Antiqua" w:eastAsia="Book Antiqua" w:hAnsi="Book Antiqua" w:cs="Book Antiqua"/>
          <w:color w:val="000000"/>
          <w:szCs w:val="30"/>
          <w:vertAlign w:val="superscript"/>
        </w:rPr>
        <w:t>[67]</w:t>
      </w:r>
      <w:r>
        <w:rPr>
          <w:rFonts w:ascii="Book Antiqua" w:eastAsia="Book Antiqua" w:hAnsi="Book Antiqua" w:cs="Book Antiqua"/>
          <w:color w:val="000000"/>
        </w:rPr>
        <w:t xml:space="preserve">. HER2-amplified, a humanized anti-HER2 Ab combined with a topoisomerase I inhibitor, known as trastuzumab </w:t>
      </w:r>
      <w:proofErr w:type="spellStart"/>
      <w:r>
        <w:rPr>
          <w:rFonts w:ascii="Book Antiqua" w:eastAsia="Book Antiqua" w:hAnsi="Book Antiqua" w:cs="Book Antiqua"/>
          <w:color w:val="000000"/>
        </w:rPr>
        <w:t>deruxtecan</w:t>
      </w:r>
      <w:proofErr w:type="spellEnd"/>
      <w:r>
        <w:rPr>
          <w:rFonts w:ascii="Book Antiqua" w:eastAsia="Book Antiqua" w:hAnsi="Book Antiqua" w:cs="Book Antiqua"/>
          <w:color w:val="000000"/>
        </w:rPr>
        <w:t xml:space="preserve"> (T-dx), demonstrated an excellent ORR (45.3%) after a median follow-up of 27.1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in refractory mCRC</w:t>
      </w:r>
      <w:r>
        <w:rPr>
          <w:rFonts w:ascii="Book Antiqua" w:eastAsia="Book Antiqua" w:hAnsi="Book Antiqua" w:cs="Book Antiqua"/>
          <w:color w:val="000000"/>
          <w:szCs w:val="30"/>
          <w:vertAlign w:val="superscript"/>
        </w:rPr>
        <w:t>[68]</w:t>
      </w:r>
      <w:r>
        <w:rPr>
          <w:rFonts w:ascii="Book Antiqua" w:eastAsia="Book Antiqua" w:hAnsi="Book Antiqua" w:cs="Book Antiqua"/>
          <w:color w:val="000000"/>
        </w:rPr>
        <w:t>. Patients who were resistant to HER2 inhibitors also showed activity when given T-dx. Neurotropic tyrosine receptor kinase (</w:t>
      </w:r>
      <w:r>
        <w:rPr>
          <w:rFonts w:ascii="Book Antiqua" w:eastAsia="Book Antiqua" w:hAnsi="Book Antiqua" w:cs="Book Antiqua"/>
          <w:i/>
          <w:iCs/>
          <w:color w:val="000000"/>
        </w:rPr>
        <w:t>NTRK</w:t>
      </w:r>
      <w:r>
        <w:rPr>
          <w:rFonts w:ascii="Book Antiqua" w:eastAsia="Book Antiqua" w:hAnsi="Book Antiqua" w:cs="Book Antiqua"/>
          <w:color w:val="000000"/>
        </w:rPr>
        <w:t>) genes code for the tyrosine kinase receptors that control cell growth, and rearrangements result in unregulated cell proliferation. It was first discovered in CRC and occurs in just 0.3% of solid tumors</w:t>
      </w:r>
      <w:r>
        <w:rPr>
          <w:rFonts w:ascii="Book Antiqua" w:eastAsia="Book Antiqua" w:hAnsi="Book Antiqua" w:cs="Book Antiqua"/>
          <w:color w:val="000000"/>
          <w:szCs w:val="30"/>
          <w:vertAlign w:val="superscript"/>
        </w:rPr>
        <w:t>[69]</w:t>
      </w:r>
      <w:r>
        <w:rPr>
          <w:rFonts w:ascii="Book Antiqua" w:eastAsia="Book Antiqua" w:hAnsi="Book Antiqua" w:cs="Book Antiqua"/>
          <w:color w:val="000000"/>
        </w:rPr>
        <w:t xml:space="preserve">. There was 7% CRC in the studies that administered NTRK inhibitors to solid tumors, such as </w:t>
      </w:r>
      <w:proofErr w:type="spellStart"/>
      <w:r>
        <w:rPr>
          <w:rFonts w:ascii="Book Antiqua" w:eastAsia="Book Antiqua" w:hAnsi="Book Antiqua" w:cs="Book Antiqua"/>
          <w:color w:val="000000"/>
        </w:rPr>
        <w:t>entrectanib</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larotectinib</w:t>
      </w:r>
      <w:proofErr w:type="spellEnd"/>
      <w:r>
        <w:rPr>
          <w:rFonts w:ascii="Book Antiqua" w:eastAsia="Book Antiqua" w:hAnsi="Book Antiqua" w:cs="Book Antiqua"/>
          <w:color w:val="000000"/>
        </w:rPr>
        <w:t xml:space="preserve">. Patients with </w:t>
      </w:r>
      <w:r>
        <w:rPr>
          <w:rFonts w:ascii="Book Antiqua" w:eastAsia="Book Antiqua" w:hAnsi="Book Antiqua" w:cs="Book Antiqua"/>
          <w:i/>
          <w:iCs/>
          <w:color w:val="000000"/>
        </w:rPr>
        <w:t>NTRK</w:t>
      </w:r>
      <w:r>
        <w:rPr>
          <w:rFonts w:ascii="Book Antiqua" w:eastAsia="Book Antiqua" w:hAnsi="Book Antiqua" w:cs="Book Antiqua"/>
          <w:color w:val="000000"/>
        </w:rPr>
        <w:t xml:space="preserve"> mutations may choose this as a treatment option</w:t>
      </w:r>
      <w:r>
        <w:rPr>
          <w:rFonts w:ascii="Book Antiqua" w:eastAsia="Book Antiqua" w:hAnsi="Book Antiqua" w:cs="Book Antiqua"/>
          <w:color w:val="000000"/>
          <w:szCs w:val="30"/>
          <w:vertAlign w:val="superscript"/>
        </w:rPr>
        <w:t>[70]</w:t>
      </w:r>
      <w:r>
        <w:rPr>
          <w:rFonts w:ascii="Book Antiqua" w:eastAsia="Book Antiqua" w:hAnsi="Book Antiqua" w:cs="Book Antiqua"/>
          <w:color w:val="000000"/>
        </w:rPr>
        <w:t xml:space="preserve">. </w:t>
      </w:r>
    </w:p>
    <w:p w14:paraId="15E55776" w14:textId="77777777" w:rsidR="00A31DCB" w:rsidRDefault="00000000">
      <w:pPr>
        <w:spacing w:line="360" w:lineRule="auto"/>
        <w:ind w:firstLineChars="112" w:firstLine="269"/>
        <w:jc w:val="both"/>
      </w:pPr>
      <w:r>
        <w:rPr>
          <w:rFonts w:ascii="Book Antiqua" w:eastAsia="Book Antiqua" w:hAnsi="Book Antiqua" w:cs="Book Antiqua"/>
          <w:color w:val="000000"/>
        </w:rPr>
        <w:t xml:space="preserve">A multinational, randomized, placebo-controlled, phase 3 trial of a </w:t>
      </w:r>
      <w:proofErr w:type="spellStart"/>
      <w:r>
        <w:rPr>
          <w:rFonts w:ascii="Book Antiqua" w:eastAsia="Book Antiqua" w:hAnsi="Book Antiqua" w:cs="Book Antiqua"/>
          <w:color w:val="000000"/>
        </w:rPr>
        <w:t>multikinase</w:t>
      </w:r>
      <w:proofErr w:type="spellEnd"/>
      <w:r>
        <w:rPr>
          <w:rFonts w:ascii="Book Antiqua" w:eastAsia="Book Antiqua" w:hAnsi="Book Antiqua" w:cs="Book Antiqua"/>
          <w:color w:val="000000"/>
        </w:rPr>
        <w:t xml:space="preserve"> tyrosine kinase inhibitor is called the CORRECT trial. The regorafenib therapy group outlived the placebo group by 1.4 years (</w:t>
      </w:r>
      <w:proofErr w:type="spellStart"/>
      <w:r>
        <w:rPr>
          <w:rFonts w:ascii="Book Antiqua" w:eastAsia="Book Antiqua" w:hAnsi="Book Antiqua" w:cs="Book Antiqua"/>
          <w:color w:val="000000"/>
        </w:rPr>
        <w:t>mOS</w:t>
      </w:r>
      <w:proofErr w:type="spellEnd"/>
      <w:r>
        <w:rPr>
          <w:rFonts w:ascii="Book Antiqua" w:eastAsia="Book Antiqua" w:hAnsi="Book Antiqua" w:cs="Book Antiqua"/>
          <w:color w:val="000000"/>
        </w:rPr>
        <w:t xml:space="preserve"> for regorafenib is 6.4 years </w:t>
      </w:r>
      <w:r>
        <w:rPr>
          <w:rFonts w:ascii="Book Antiqua" w:eastAsia="Book Antiqua" w:hAnsi="Book Antiqua" w:cs="Book Antiqua"/>
          <w:i/>
          <w:iCs/>
          <w:color w:val="000000"/>
        </w:rPr>
        <w:t>vs</w:t>
      </w:r>
      <w:r>
        <w:rPr>
          <w:rFonts w:ascii="Book Antiqua" w:eastAsia="Book Antiqua" w:hAnsi="Book Antiqua" w:cs="Book Antiqua"/>
          <w:color w:val="000000"/>
        </w:rPr>
        <w:t xml:space="preserve"> 5 years for placebo;</w:t>
      </w:r>
      <w:r>
        <w:rPr>
          <w:rFonts w:ascii="Book Antiqua" w:eastAsia="Book Antiqua" w:hAnsi="Book Antiqua" w:cs="Book Antiqua"/>
          <w:i/>
          <w:iCs/>
          <w:color w:val="000000"/>
        </w:rPr>
        <w:t xml:space="preserve"> P</w:t>
      </w:r>
      <w:r>
        <w:rPr>
          <w:rFonts w:ascii="Book Antiqua" w:eastAsia="Book Antiqua" w:hAnsi="Book Antiqua" w:cs="Book Antiqua"/>
          <w:color w:val="000000"/>
        </w:rPr>
        <w:t xml:space="preserve"> = 0.005). The use of a regulator was associated with higher medication toxicity (93% in the regorafenib </w:t>
      </w:r>
      <w:r>
        <w:rPr>
          <w:rFonts w:ascii="Book Antiqua" w:eastAsia="Book Antiqua" w:hAnsi="Book Antiqua" w:cs="Book Antiqua"/>
          <w:i/>
          <w:iCs/>
          <w:color w:val="000000"/>
        </w:rPr>
        <w:t>vs</w:t>
      </w:r>
      <w:r>
        <w:rPr>
          <w:rFonts w:ascii="Book Antiqua" w:eastAsia="Book Antiqua" w:hAnsi="Book Antiqua" w:cs="Book Antiqua"/>
          <w:color w:val="000000"/>
        </w:rPr>
        <w:t xml:space="preserve"> 61% in the placebo). Hand-foot skin reactions were the most common adverse event (AE) (83%) observed, followed by tiredness (48%) and hypertension (36%). ICIs including ipilimumab/nivolumab, pembrolizumab, and </w:t>
      </w:r>
      <w:proofErr w:type="spellStart"/>
      <w:r>
        <w:rPr>
          <w:rFonts w:ascii="Book Antiqua" w:eastAsia="Book Antiqua" w:hAnsi="Book Antiqua" w:cs="Book Antiqua"/>
          <w:color w:val="000000"/>
        </w:rPr>
        <w:t>EGFRi</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are now being explored in conjunction with it. Its usage is frequently contrasted with that of the TAS-102, which had an OS improvement of 1.8 m above placebo. Combinations of ICI and </w:t>
      </w:r>
      <w:proofErr w:type="spellStart"/>
      <w:r>
        <w:rPr>
          <w:rFonts w:ascii="Book Antiqua" w:eastAsia="Book Antiqua" w:hAnsi="Book Antiqua" w:cs="Book Antiqua"/>
          <w:color w:val="000000"/>
        </w:rPr>
        <w:t>EGFRi</w:t>
      </w:r>
      <w:proofErr w:type="spellEnd"/>
      <w:r>
        <w:rPr>
          <w:rFonts w:ascii="Book Antiqua" w:eastAsia="Book Antiqua" w:hAnsi="Book Antiqua" w:cs="Book Antiqua"/>
          <w:color w:val="000000"/>
        </w:rPr>
        <w:t xml:space="preserve"> are being investigated</w:t>
      </w:r>
      <w:r>
        <w:rPr>
          <w:rFonts w:ascii="Book Antiqua" w:eastAsia="Book Antiqua" w:hAnsi="Book Antiqua" w:cs="Book Antiqua"/>
          <w:color w:val="000000"/>
          <w:szCs w:val="30"/>
          <w:vertAlign w:val="superscript"/>
        </w:rPr>
        <w:t>[71]</w:t>
      </w:r>
      <w:r>
        <w:rPr>
          <w:rFonts w:ascii="Book Antiqua" w:eastAsia="Book Antiqua" w:hAnsi="Book Antiqua" w:cs="Book Antiqua"/>
          <w:color w:val="000000"/>
        </w:rPr>
        <w:t xml:space="preserve"> (Figure 2).</w:t>
      </w:r>
    </w:p>
    <w:p w14:paraId="1A590A75" w14:textId="77777777" w:rsidR="00A31DCB" w:rsidRDefault="00A31DCB">
      <w:pPr>
        <w:spacing w:line="360" w:lineRule="auto"/>
        <w:jc w:val="both"/>
        <w:rPr>
          <w:rFonts w:ascii="Book Antiqua" w:eastAsia="Book Antiqua" w:hAnsi="Book Antiqua" w:cs="Book Antiqua"/>
          <w:b/>
          <w:bCs/>
          <w:i/>
          <w:iCs/>
          <w:color w:val="000000"/>
          <w:u w:val="single"/>
        </w:rPr>
      </w:pPr>
    </w:p>
    <w:p w14:paraId="64F2F402" w14:textId="77777777" w:rsidR="00A31DCB" w:rsidRDefault="00000000">
      <w:pPr>
        <w:spacing w:line="360" w:lineRule="auto"/>
        <w:jc w:val="both"/>
      </w:pPr>
      <w:r>
        <w:rPr>
          <w:rFonts w:ascii="Book Antiqua" w:eastAsia="Book Antiqua" w:hAnsi="Book Antiqua" w:cs="Book Antiqua"/>
          <w:b/>
          <w:bCs/>
          <w:color w:val="000000"/>
          <w:u w:val="single"/>
        </w:rPr>
        <w:t>IMMUNOTHERAPY</w:t>
      </w:r>
    </w:p>
    <w:p w14:paraId="5787D1D5" w14:textId="77777777" w:rsidR="00A31DCB" w:rsidRDefault="00000000">
      <w:pPr>
        <w:spacing w:line="360" w:lineRule="auto"/>
        <w:jc w:val="both"/>
      </w:pPr>
      <w:r>
        <w:rPr>
          <w:rFonts w:ascii="Book Antiqua" w:eastAsia="Book Antiqua" w:hAnsi="Book Antiqua" w:cs="Book Antiqua"/>
          <w:color w:val="000000"/>
        </w:rPr>
        <w:t>The goal of immunotherapy is to use the immune system to fight cancer. For patients with mCRC that is mismatch-repair-deficient (</w:t>
      </w:r>
      <w:proofErr w:type="spellStart"/>
      <w:r>
        <w:rPr>
          <w:rFonts w:ascii="Book Antiqua" w:eastAsia="Book Antiqua" w:hAnsi="Book Antiqua" w:cs="Book Antiqua"/>
          <w:color w:val="000000"/>
        </w:rPr>
        <w:t>dMMR</w:t>
      </w:r>
      <w:proofErr w:type="spellEnd"/>
      <w:r>
        <w:rPr>
          <w:rFonts w:ascii="Book Antiqua" w:eastAsia="Book Antiqua" w:hAnsi="Book Antiqua" w:cs="Book Antiqua"/>
          <w:color w:val="000000"/>
        </w:rPr>
        <w:t>) or MSI-H (</w:t>
      </w:r>
      <w:proofErr w:type="spellStart"/>
      <w:r>
        <w:rPr>
          <w:rFonts w:ascii="Book Antiqua" w:eastAsia="Book Antiqua" w:hAnsi="Book Antiqua" w:cs="Book Antiqua"/>
          <w:color w:val="000000"/>
        </w:rPr>
        <w:t>dMMR</w:t>
      </w:r>
      <w:proofErr w:type="spellEnd"/>
      <w:r>
        <w:rPr>
          <w:rFonts w:ascii="Book Antiqua" w:eastAsia="Book Antiqua" w:hAnsi="Book Antiqua" w:cs="Book Antiqua"/>
          <w:color w:val="000000"/>
        </w:rPr>
        <w:t>/MSI-H mCRC), ICIs have emerged as a very effective treatment. ICIs modify the interaction of T cells, antigen-presenting cells, and tumor cells to help unleash suppressed immune responses. The FDA approved pembrolizumab and nivolumab (with or without Ipilimumab) for the treatment of these patients due to their effective, stable, and long-lasting responses. The fundamental difficulty is to offer the advantage of immunotherapy to the great majority of mCRC patients who are mismatch-repair-proficient (</w:t>
      </w:r>
      <w:proofErr w:type="spellStart"/>
      <w:r>
        <w:rPr>
          <w:rFonts w:ascii="Book Antiqua" w:eastAsia="Book Antiqua" w:hAnsi="Book Antiqua" w:cs="Book Antiqua"/>
          <w:color w:val="000000"/>
        </w:rPr>
        <w:t>pMMR</w:t>
      </w:r>
      <w:proofErr w:type="spellEnd"/>
      <w:r>
        <w:rPr>
          <w:rFonts w:ascii="Book Antiqua" w:eastAsia="Book Antiqua" w:hAnsi="Book Antiqua" w:cs="Book Antiqua"/>
          <w:color w:val="000000"/>
        </w:rPr>
        <w:t>), microsatellite-stable (MSS), or have low MSI (MSI-L), since mCRC is characterized by an inadequate number of mutant tumor antigens</w:t>
      </w:r>
      <w:r>
        <w:rPr>
          <w:rFonts w:ascii="Book Antiqua" w:eastAsia="Book Antiqua" w:hAnsi="Book Antiqua" w:cs="Book Antiqua"/>
          <w:color w:val="000000"/>
          <w:szCs w:val="30"/>
          <w:vertAlign w:val="superscript"/>
        </w:rPr>
        <w:t>[72]</w:t>
      </w:r>
      <w:r>
        <w:rPr>
          <w:rFonts w:ascii="Book Antiqua" w:eastAsia="Book Antiqua" w:hAnsi="Book Antiqua" w:cs="Book Antiqua"/>
          <w:color w:val="000000"/>
        </w:rPr>
        <w:t>.</w:t>
      </w:r>
    </w:p>
    <w:p w14:paraId="1089C1CE" w14:textId="77777777" w:rsidR="00A31DCB" w:rsidRDefault="00A31DCB">
      <w:pPr>
        <w:spacing w:line="360" w:lineRule="auto"/>
        <w:jc w:val="both"/>
        <w:rPr>
          <w:rFonts w:ascii="Book Antiqua" w:eastAsia="Book Antiqua" w:hAnsi="Book Antiqua" w:cs="Book Antiqua"/>
          <w:i/>
          <w:iCs/>
          <w:color w:val="000000"/>
          <w:u w:val="single"/>
        </w:rPr>
      </w:pPr>
    </w:p>
    <w:p w14:paraId="0FDCC51E" w14:textId="77777777" w:rsidR="00A31DCB" w:rsidRDefault="00000000">
      <w:pPr>
        <w:spacing w:line="360" w:lineRule="auto"/>
        <w:jc w:val="both"/>
        <w:rPr>
          <w:b/>
          <w:bCs/>
        </w:rPr>
      </w:pPr>
      <w:r>
        <w:rPr>
          <w:rFonts w:ascii="Book Antiqua" w:eastAsia="Book Antiqua" w:hAnsi="Book Antiqua" w:cs="Book Antiqua"/>
          <w:b/>
          <w:bCs/>
          <w:i/>
          <w:iCs/>
          <w:color w:val="000000"/>
        </w:rPr>
        <w:t>ICIs-based immunotherapy</w:t>
      </w:r>
    </w:p>
    <w:p w14:paraId="2382DC1A" w14:textId="77777777" w:rsidR="00A31DCB" w:rsidRDefault="00000000">
      <w:pPr>
        <w:spacing w:line="360" w:lineRule="auto"/>
        <w:jc w:val="both"/>
        <w:rPr>
          <w:b/>
          <w:bCs/>
        </w:rPr>
      </w:pPr>
      <w:r>
        <w:rPr>
          <w:rFonts w:ascii="Book Antiqua" w:eastAsia="Book Antiqua" w:hAnsi="Book Antiqua" w:cs="Book Antiqua"/>
          <w:b/>
          <w:bCs/>
          <w:color w:val="000000"/>
        </w:rPr>
        <w:t>Use of ICIs in DMMR/MSS mCRC</w:t>
      </w:r>
      <w:r>
        <w:rPr>
          <w:rFonts w:hint="eastAsia"/>
          <w:b/>
          <w:bCs/>
          <w:lang w:eastAsia="zh-CN"/>
        </w:rPr>
        <w:t>:</w:t>
      </w:r>
      <w:r>
        <w:rPr>
          <w:b/>
          <w:bCs/>
          <w:lang w:eastAsia="zh-CN"/>
        </w:rPr>
        <w:t xml:space="preserve"> </w:t>
      </w:r>
      <w:r>
        <w:rPr>
          <w:rFonts w:ascii="Book Antiqua" w:eastAsia="Book Antiqua" w:hAnsi="Book Antiqua" w:cs="Book Antiqua"/>
          <w:color w:val="000000"/>
        </w:rPr>
        <w:t xml:space="preserve">To preserve DNA integrity, MMR is essential. CRC can be classified as </w:t>
      </w:r>
      <w:proofErr w:type="spellStart"/>
      <w:r>
        <w:rPr>
          <w:rFonts w:ascii="Book Antiqua" w:eastAsia="Book Antiqua" w:hAnsi="Book Antiqua" w:cs="Book Antiqua"/>
          <w:color w:val="000000"/>
        </w:rPr>
        <w:t>dMMR</w:t>
      </w:r>
      <w:proofErr w:type="spellEnd"/>
      <w:r>
        <w:rPr>
          <w:rFonts w:ascii="Book Antiqua" w:eastAsia="Book Antiqua" w:hAnsi="Book Antiqua" w:cs="Book Antiqua"/>
          <w:color w:val="000000"/>
        </w:rPr>
        <w:t xml:space="preserve"> or </w:t>
      </w:r>
      <w:proofErr w:type="spellStart"/>
      <w:r>
        <w:rPr>
          <w:rFonts w:ascii="Book Antiqua" w:eastAsia="Book Antiqua" w:hAnsi="Book Antiqua" w:cs="Book Antiqua"/>
          <w:color w:val="000000"/>
        </w:rPr>
        <w:t>pMMR</w:t>
      </w:r>
      <w:proofErr w:type="spellEnd"/>
      <w:r>
        <w:rPr>
          <w:rFonts w:ascii="Book Antiqua" w:eastAsia="Book Antiqua" w:hAnsi="Book Antiqua" w:cs="Book Antiqua"/>
          <w:color w:val="000000"/>
        </w:rPr>
        <w:t xml:space="preserve"> CRC based on the detection of the MMR proteins MLH1, MSH2, MSH6, or PMS2 utilizing immunohistochemical staining. Moreover, insertions and deletions can cause MSI, which can be precisely identified by PCR or next-generation sequencing, resulting in a change in microsatellite length. Major histocompatibility complex (MHC) class I peptide complexes, including mutant peptides that might be identified as neoantigens and subsequently increase immune cell priming and infiltration, are present on the surface of tumor cells in </w:t>
      </w:r>
      <w:proofErr w:type="spellStart"/>
      <w:r>
        <w:rPr>
          <w:rFonts w:ascii="Book Antiqua" w:eastAsia="Book Antiqua" w:hAnsi="Book Antiqua" w:cs="Book Antiqua"/>
          <w:color w:val="000000"/>
        </w:rPr>
        <w:t>dMMR</w:t>
      </w:r>
      <w:proofErr w:type="spellEnd"/>
      <w:r>
        <w:rPr>
          <w:rFonts w:ascii="Book Antiqua" w:eastAsia="Book Antiqua" w:hAnsi="Book Antiqua" w:cs="Book Antiqua"/>
          <w:color w:val="000000"/>
        </w:rPr>
        <w:t xml:space="preserve">-MSI-H malignancies. T helper 1 CD4+ T cells, macrophages, and CD8+ tumor-infiltrating lymphocytes (TILs) enter the TME and produce interferon gamma. Programmed cell death ligand-1, cluster of differentiation 80 (CD80), and CD86 of the B7 family are examples of T cell inhibitory ligands that </w:t>
      </w:r>
      <w:proofErr w:type="spellStart"/>
      <w:r>
        <w:rPr>
          <w:rFonts w:ascii="Book Antiqua" w:eastAsia="Book Antiqua" w:hAnsi="Book Antiqua" w:cs="Book Antiqua"/>
          <w:color w:val="000000"/>
        </w:rPr>
        <w:t>dMMR</w:t>
      </w:r>
      <w:proofErr w:type="spellEnd"/>
      <w:r>
        <w:rPr>
          <w:rFonts w:ascii="Book Antiqua" w:eastAsia="Book Antiqua" w:hAnsi="Book Antiqua" w:cs="Book Antiqua"/>
          <w:color w:val="000000"/>
        </w:rPr>
        <w:t xml:space="preserve">-MSI-H tumor cells persistently upregulate to support immune </w:t>
      </w:r>
      <w:r>
        <w:rPr>
          <w:rFonts w:ascii="Book Antiqua" w:eastAsia="Book Antiqua" w:hAnsi="Book Antiqua" w:cs="Book Antiqua"/>
          <w:color w:val="000000"/>
        </w:rPr>
        <w:lastRenderedPageBreak/>
        <w:t>escape</w:t>
      </w:r>
      <w:r>
        <w:rPr>
          <w:rFonts w:ascii="Book Antiqua" w:eastAsia="Book Antiqua" w:hAnsi="Book Antiqua" w:cs="Book Antiqua"/>
          <w:color w:val="000000"/>
          <w:szCs w:val="30"/>
          <w:vertAlign w:val="superscript"/>
        </w:rPr>
        <w:t>[73-75]</w:t>
      </w:r>
      <w:r>
        <w:rPr>
          <w:rFonts w:ascii="Book Antiqua" w:eastAsia="Book Antiqua" w:hAnsi="Book Antiqua" w:cs="Book Antiqua"/>
          <w:color w:val="000000"/>
        </w:rPr>
        <w:t xml:space="preserve">. The percentage of </w:t>
      </w:r>
      <w:proofErr w:type="spellStart"/>
      <w:r>
        <w:rPr>
          <w:rFonts w:ascii="Book Antiqua" w:eastAsia="Book Antiqua" w:hAnsi="Book Antiqua" w:cs="Book Antiqua"/>
          <w:color w:val="000000"/>
        </w:rPr>
        <w:t>dMMR</w:t>
      </w:r>
      <w:proofErr w:type="spellEnd"/>
      <w:r>
        <w:rPr>
          <w:rFonts w:ascii="Book Antiqua" w:eastAsia="Book Antiqua" w:hAnsi="Book Antiqua" w:cs="Book Antiqua"/>
          <w:color w:val="000000"/>
        </w:rPr>
        <w:t xml:space="preserve">-MSI-H CRCs, which accounts for about 15% of all CRCs, is correlated with tumor stage. </w:t>
      </w:r>
      <w:proofErr w:type="spellStart"/>
      <w:r>
        <w:rPr>
          <w:rFonts w:ascii="Book Antiqua" w:eastAsia="Book Antiqua" w:hAnsi="Book Antiqua" w:cs="Book Antiqua"/>
          <w:color w:val="000000"/>
        </w:rPr>
        <w:t>dMMR</w:t>
      </w:r>
      <w:proofErr w:type="spellEnd"/>
      <w:r>
        <w:rPr>
          <w:rFonts w:ascii="Book Antiqua" w:eastAsia="Book Antiqua" w:hAnsi="Book Antiqua" w:cs="Book Antiqua"/>
          <w:color w:val="000000"/>
        </w:rPr>
        <w:t xml:space="preserve">-MSI-H cancers make up about 5%-20% of stage 2 and 11% of stage 3, but only 5% of stage 4. Additionally, </w:t>
      </w:r>
      <w:proofErr w:type="spellStart"/>
      <w:r>
        <w:rPr>
          <w:rFonts w:ascii="Book Antiqua" w:eastAsia="Book Antiqua" w:hAnsi="Book Antiqua" w:cs="Book Antiqua"/>
          <w:color w:val="000000"/>
        </w:rPr>
        <w:t>dMMR</w:t>
      </w:r>
      <w:proofErr w:type="spellEnd"/>
      <w:r>
        <w:rPr>
          <w:rFonts w:ascii="Book Antiqua" w:eastAsia="Book Antiqua" w:hAnsi="Book Antiqua" w:cs="Book Antiqua"/>
          <w:color w:val="000000"/>
        </w:rPr>
        <w:t xml:space="preserve">-MSI-H is a predictive biomarker for individuals at various phases of their condition. Patients with </w:t>
      </w:r>
      <w:proofErr w:type="spellStart"/>
      <w:r>
        <w:rPr>
          <w:rFonts w:ascii="Book Antiqua" w:eastAsia="Book Antiqua" w:hAnsi="Book Antiqua" w:cs="Book Antiqua"/>
          <w:color w:val="000000"/>
        </w:rPr>
        <w:t>dMMR</w:t>
      </w:r>
      <w:proofErr w:type="spellEnd"/>
      <w:r>
        <w:rPr>
          <w:rFonts w:ascii="Book Antiqua" w:eastAsia="Book Antiqua" w:hAnsi="Book Antiqua" w:cs="Book Antiqua"/>
          <w:color w:val="000000"/>
        </w:rPr>
        <w:t xml:space="preserve">-MSI-H tumors have a much better prognosis than those with </w:t>
      </w:r>
      <w:proofErr w:type="spellStart"/>
      <w:r>
        <w:rPr>
          <w:rFonts w:ascii="Book Antiqua" w:eastAsia="Book Antiqua" w:hAnsi="Book Antiqua" w:cs="Book Antiqua"/>
          <w:color w:val="000000"/>
        </w:rPr>
        <w:t>pMMR</w:t>
      </w:r>
      <w:proofErr w:type="spellEnd"/>
      <w:r>
        <w:rPr>
          <w:rFonts w:ascii="Book Antiqua" w:eastAsia="Book Antiqua" w:hAnsi="Book Antiqua" w:cs="Book Antiqua"/>
          <w:color w:val="000000"/>
        </w:rPr>
        <w:t xml:space="preserve">-MSI-L cancers in stages 2 and 3. Surprisingly, individuals with stage 4 </w:t>
      </w:r>
      <w:proofErr w:type="spellStart"/>
      <w:r>
        <w:rPr>
          <w:rFonts w:ascii="Book Antiqua" w:eastAsia="Book Antiqua" w:hAnsi="Book Antiqua" w:cs="Book Antiqua"/>
          <w:color w:val="000000"/>
        </w:rPr>
        <w:t>dMMR</w:t>
      </w:r>
      <w:proofErr w:type="spellEnd"/>
      <w:r>
        <w:rPr>
          <w:rFonts w:ascii="Book Antiqua" w:eastAsia="Book Antiqua" w:hAnsi="Book Antiqua" w:cs="Book Antiqua"/>
          <w:color w:val="000000"/>
        </w:rPr>
        <w:t>-MSI-H have a poor prognosis yet respond well to immune checkpoint inhibition</w:t>
      </w:r>
      <w:r>
        <w:rPr>
          <w:rFonts w:ascii="Book Antiqua" w:eastAsia="Book Antiqua" w:hAnsi="Book Antiqua" w:cs="Book Antiqua"/>
          <w:color w:val="000000"/>
          <w:szCs w:val="30"/>
          <w:vertAlign w:val="superscript"/>
        </w:rPr>
        <w:t>[76,77]</w:t>
      </w:r>
      <w:r>
        <w:rPr>
          <w:rFonts w:ascii="Book Antiqua" w:eastAsia="Book Antiqua" w:hAnsi="Book Antiqua" w:cs="Book Antiqua"/>
          <w:color w:val="000000"/>
        </w:rPr>
        <w:t xml:space="preserve">. </w:t>
      </w:r>
    </w:p>
    <w:p w14:paraId="6E42A0DE" w14:textId="77777777" w:rsidR="00A31DCB" w:rsidRDefault="00000000">
      <w:pPr>
        <w:spacing w:line="360" w:lineRule="auto"/>
        <w:ind w:firstLineChars="112" w:firstLine="269"/>
        <w:jc w:val="both"/>
      </w:pPr>
      <w:r>
        <w:rPr>
          <w:rFonts w:ascii="Book Antiqua" w:eastAsia="Book Antiqua" w:hAnsi="Book Antiqua" w:cs="Book Antiqua"/>
          <w:color w:val="000000"/>
        </w:rPr>
        <w:t xml:space="preserve">Le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 xml:space="preserve"> conducted a phase 2 trial in 41 patients with progressive mCRC with or without </w:t>
      </w:r>
      <w:proofErr w:type="spellStart"/>
      <w:r>
        <w:rPr>
          <w:rFonts w:ascii="Book Antiqua" w:eastAsia="Book Antiqua" w:hAnsi="Book Antiqua" w:cs="Book Antiqua"/>
          <w:color w:val="000000"/>
        </w:rPr>
        <w:t>dMMR</w:t>
      </w:r>
      <w:proofErr w:type="spellEnd"/>
      <w:r>
        <w:rPr>
          <w:rFonts w:ascii="Book Antiqua" w:eastAsia="Book Antiqua" w:hAnsi="Book Antiqua" w:cs="Book Antiqua"/>
          <w:color w:val="000000"/>
        </w:rPr>
        <w:t xml:space="preserve"> to investigate the clinical efficacy of pembrolizumab, an anti- Programmed cell death protein 1 (PD-1) ICI, in 2015. Pembrolizumab was given intravenously every 14 d at a dosage of 10 mg/kg body weight to patients with </w:t>
      </w:r>
      <w:proofErr w:type="spellStart"/>
      <w:r>
        <w:rPr>
          <w:rFonts w:ascii="Book Antiqua" w:eastAsia="Book Antiqua" w:hAnsi="Book Antiqua" w:cs="Book Antiqua"/>
          <w:color w:val="000000"/>
        </w:rPr>
        <w:t>dMMR</w:t>
      </w:r>
      <w:proofErr w:type="spellEnd"/>
      <w:r>
        <w:rPr>
          <w:rFonts w:ascii="Book Antiqua" w:eastAsia="Book Antiqua" w:hAnsi="Book Antiqua" w:cs="Book Antiqua"/>
          <w:color w:val="000000"/>
        </w:rPr>
        <w:t xml:space="preserve"> CRC, </w:t>
      </w:r>
      <w:proofErr w:type="spellStart"/>
      <w:r>
        <w:rPr>
          <w:rFonts w:ascii="Book Antiqua" w:eastAsia="Book Antiqua" w:hAnsi="Book Antiqua" w:cs="Book Antiqua"/>
          <w:color w:val="000000"/>
        </w:rPr>
        <w:t>pMMR</w:t>
      </w:r>
      <w:proofErr w:type="spellEnd"/>
      <w:r>
        <w:rPr>
          <w:rFonts w:ascii="Book Antiqua" w:eastAsia="Book Antiqua" w:hAnsi="Book Antiqua" w:cs="Book Antiqua"/>
          <w:color w:val="000000"/>
        </w:rPr>
        <w:t xml:space="preserve">, and patients with </w:t>
      </w:r>
      <w:proofErr w:type="spellStart"/>
      <w:r>
        <w:rPr>
          <w:rFonts w:ascii="Book Antiqua" w:eastAsia="Book Antiqua" w:hAnsi="Book Antiqua" w:cs="Book Antiqua"/>
          <w:color w:val="000000"/>
        </w:rPr>
        <w:t>dMMR</w:t>
      </w:r>
      <w:proofErr w:type="spellEnd"/>
      <w:r>
        <w:rPr>
          <w:rFonts w:ascii="Book Antiqua" w:eastAsia="Book Antiqua" w:hAnsi="Book Antiqua" w:cs="Book Antiqua"/>
          <w:color w:val="000000"/>
        </w:rPr>
        <w:t xml:space="preserve"> who were not colorectal. The immune-related ORR and PFS for </w:t>
      </w:r>
      <w:proofErr w:type="spellStart"/>
      <w:r>
        <w:rPr>
          <w:rFonts w:ascii="Book Antiqua" w:eastAsia="Book Antiqua" w:hAnsi="Book Antiqua" w:cs="Book Antiqua"/>
          <w:color w:val="000000"/>
        </w:rPr>
        <w:t>dMMR</w:t>
      </w:r>
      <w:proofErr w:type="spellEnd"/>
      <w:r>
        <w:rPr>
          <w:rFonts w:ascii="Book Antiqua" w:eastAsia="Book Antiqua" w:hAnsi="Book Antiqua" w:cs="Book Antiqua"/>
          <w:color w:val="000000"/>
        </w:rPr>
        <w:t xml:space="preserve"> CRC were 40% and 78%, respectively, and 0% and 11% for </w:t>
      </w:r>
      <w:proofErr w:type="spellStart"/>
      <w:r>
        <w:rPr>
          <w:rFonts w:ascii="Book Antiqua" w:eastAsia="Book Antiqua" w:hAnsi="Book Antiqua" w:cs="Book Antiqua"/>
          <w:color w:val="000000"/>
        </w:rPr>
        <w:t>pMMR</w:t>
      </w:r>
      <w:proofErr w:type="spellEnd"/>
      <w:r>
        <w:rPr>
          <w:rFonts w:ascii="Book Antiqua" w:eastAsia="Book Antiqua" w:hAnsi="Book Antiqua" w:cs="Book Antiqua"/>
          <w:color w:val="000000"/>
        </w:rPr>
        <w:t xml:space="preserve"> CRC. In the group with </w:t>
      </w:r>
      <w:proofErr w:type="spellStart"/>
      <w:r>
        <w:rPr>
          <w:rFonts w:ascii="Book Antiqua" w:eastAsia="Book Antiqua" w:hAnsi="Book Antiqua" w:cs="Book Antiqua"/>
          <w:color w:val="000000"/>
        </w:rPr>
        <w:t>dMMR</w:t>
      </w:r>
      <w:proofErr w:type="spellEnd"/>
      <w:r>
        <w:rPr>
          <w:rFonts w:ascii="Book Antiqua" w:eastAsia="Book Antiqua" w:hAnsi="Book Antiqua" w:cs="Book Antiqua"/>
          <w:color w:val="000000"/>
        </w:rPr>
        <w:t xml:space="preserve"> CRC, the median PFS and OS were not attained, but in the cohort with </w:t>
      </w:r>
      <w:proofErr w:type="spellStart"/>
      <w:r>
        <w:rPr>
          <w:rFonts w:ascii="Book Antiqua" w:eastAsia="Book Antiqua" w:hAnsi="Book Antiqua" w:cs="Book Antiqua"/>
          <w:color w:val="000000"/>
        </w:rPr>
        <w:t>pMMR</w:t>
      </w:r>
      <w:proofErr w:type="spellEnd"/>
      <w:r>
        <w:rPr>
          <w:rFonts w:ascii="Book Antiqua" w:eastAsia="Book Antiqua" w:hAnsi="Book Antiqua" w:cs="Book Antiqua"/>
          <w:color w:val="000000"/>
        </w:rPr>
        <w:t xml:space="preserve"> CRC, they were 2.2 and 5.0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respectively (hazard ratio [HR] for PFS and death = 0.10 and 0.22). Responses in patients with </w:t>
      </w:r>
      <w:proofErr w:type="spellStart"/>
      <w:r>
        <w:rPr>
          <w:rFonts w:ascii="Book Antiqua" w:eastAsia="Book Antiqua" w:hAnsi="Book Antiqua" w:cs="Book Antiqua"/>
          <w:color w:val="000000"/>
        </w:rPr>
        <w:t>dMMR</w:t>
      </w:r>
      <w:proofErr w:type="spellEnd"/>
      <w:r>
        <w:rPr>
          <w:rFonts w:ascii="Book Antiqua" w:eastAsia="Book Antiqua" w:hAnsi="Book Antiqua" w:cs="Book Antiqua"/>
          <w:color w:val="000000"/>
        </w:rPr>
        <w:t xml:space="preserve"> non-CRC were comparable to those in individuals with </w:t>
      </w:r>
      <w:proofErr w:type="spellStart"/>
      <w:r>
        <w:rPr>
          <w:rFonts w:ascii="Book Antiqua" w:eastAsia="Book Antiqua" w:hAnsi="Book Antiqua" w:cs="Book Antiqua"/>
          <w:color w:val="000000"/>
        </w:rPr>
        <w:t>dMMR</w:t>
      </w:r>
      <w:proofErr w:type="spellEnd"/>
      <w:r>
        <w:rPr>
          <w:rFonts w:ascii="Book Antiqua" w:eastAsia="Book Antiqua" w:hAnsi="Book Antiqua" w:cs="Book Antiqua"/>
          <w:color w:val="000000"/>
        </w:rPr>
        <w:t xml:space="preserve"> CRC. High somatic mutation loads were related to longer PFS (</w:t>
      </w:r>
      <w:r>
        <w:rPr>
          <w:rFonts w:ascii="Book Antiqua" w:eastAsia="Book Antiqua" w:hAnsi="Book Antiqua" w:cs="Book Antiqua"/>
          <w:i/>
          <w:iCs/>
          <w:color w:val="000000"/>
        </w:rPr>
        <w:t>P</w:t>
      </w:r>
      <w:r>
        <w:rPr>
          <w:rFonts w:ascii="Book Antiqua" w:eastAsia="Book Antiqua" w:hAnsi="Book Antiqua" w:cs="Book Antiqua"/>
          <w:color w:val="000000"/>
        </w:rPr>
        <w:t xml:space="preserve"> = 0.02), and whole-exome sequencing found that </w:t>
      </w:r>
      <w:proofErr w:type="spellStart"/>
      <w:r>
        <w:rPr>
          <w:rFonts w:ascii="Book Antiqua" w:eastAsia="Book Antiqua" w:hAnsi="Book Antiqua" w:cs="Book Antiqua"/>
          <w:color w:val="000000"/>
        </w:rPr>
        <w:t>dMMR</w:t>
      </w:r>
      <w:proofErr w:type="spellEnd"/>
      <w:r>
        <w:rPr>
          <w:rFonts w:ascii="Book Antiqua" w:eastAsia="Book Antiqua" w:hAnsi="Book Antiqua" w:cs="Book Antiqua"/>
          <w:color w:val="000000"/>
        </w:rPr>
        <w:t xml:space="preserve"> tumors had an average of 1782 somatic mutations per tumor, compared to 73 somatic mutations in </w:t>
      </w:r>
      <w:proofErr w:type="spellStart"/>
      <w:r>
        <w:rPr>
          <w:rFonts w:ascii="Book Antiqua" w:eastAsia="Book Antiqua" w:hAnsi="Book Antiqua" w:cs="Book Antiqua"/>
          <w:color w:val="000000"/>
        </w:rPr>
        <w:t>pMMR</w:t>
      </w:r>
      <w:proofErr w:type="spellEnd"/>
      <w:r>
        <w:rPr>
          <w:rFonts w:ascii="Book Antiqua" w:eastAsia="Book Antiqua" w:hAnsi="Book Antiqua" w:cs="Book Antiqua"/>
          <w:color w:val="000000"/>
        </w:rPr>
        <w:t xml:space="preserve"> tumors (</w:t>
      </w:r>
      <w:r>
        <w:rPr>
          <w:rFonts w:ascii="Book Antiqua" w:eastAsia="Book Antiqua" w:hAnsi="Book Antiqua" w:cs="Book Antiqua"/>
          <w:i/>
          <w:iCs/>
          <w:color w:val="000000"/>
        </w:rPr>
        <w:t>P</w:t>
      </w:r>
      <w:r>
        <w:rPr>
          <w:rFonts w:ascii="Book Antiqua" w:eastAsia="Book Antiqua" w:hAnsi="Book Antiqua" w:cs="Book Antiqua"/>
          <w:color w:val="000000"/>
        </w:rPr>
        <w:t xml:space="preserve"> = 0.007). They concluded that MMR status predicted the therapeutic benefit of immune checkpoint inhibition with pembrolizumab (Figure 3). </w:t>
      </w:r>
    </w:p>
    <w:p w14:paraId="0D22532C" w14:textId="77777777" w:rsidR="00A31DCB" w:rsidRDefault="00000000">
      <w:pPr>
        <w:spacing w:line="360" w:lineRule="auto"/>
        <w:ind w:firstLineChars="112" w:firstLine="269"/>
        <w:jc w:val="both"/>
      </w:pPr>
      <w:r>
        <w:rPr>
          <w:rFonts w:ascii="Book Antiqua" w:eastAsia="Book Antiqua" w:hAnsi="Book Antiqua" w:cs="Book Antiqua"/>
          <w:color w:val="000000"/>
        </w:rPr>
        <w:t xml:space="preserve">In 2020, the KEYNOTE-164 study analyzed pembrolizumab's effectiveness in 124 patients with </w:t>
      </w:r>
      <w:proofErr w:type="spellStart"/>
      <w:r>
        <w:rPr>
          <w:rFonts w:ascii="Book Antiqua" w:eastAsia="Book Antiqua" w:hAnsi="Book Antiqua" w:cs="Book Antiqua"/>
          <w:color w:val="000000"/>
        </w:rPr>
        <w:t>dMMR</w:t>
      </w:r>
      <w:proofErr w:type="spellEnd"/>
      <w:r>
        <w:rPr>
          <w:rFonts w:ascii="Book Antiqua" w:eastAsia="Book Antiqua" w:hAnsi="Book Antiqua" w:cs="Book Antiqua"/>
          <w:color w:val="000000"/>
        </w:rPr>
        <w:t xml:space="preserve">/MSI-H mCRC who had undergone treatment. The ORR was 32% among the 63 patients examined, and the median PFS was 4.1 mo. The overall median survival rate has not yet been reached. The percentages of OS and PFS at 1 year were 41% and 76%, respectively. A single ICI therapy for individuals with </w:t>
      </w:r>
      <w:proofErr w:type="spellStart"/>
      <w:r>
        <w:rPr>
          <w:rFonts w:ascii="Book Antiqua" w:eastAsia="Book Antiqua" w:hAnsi="Book Antiqua" w:cs="Book Antiqua"/>
          <w:color w:val="000000"/>
        </w:rPr>
        <w:t>dMMR</w:t>
      </w:r>
      <w:proofErr w:type="spellEnd"/>
      <w:r>
        <w:rPr>
          <w:rFonts w:ascii="Book Antiqua" w:eastAsia="Book Antiqua" w:hAnsi="Book Antiqua" w:cs="Book Antiqua"/>
          <w:color w:val="000000"/>
        </w:rPr>
        <w:t>/MSI-H mCRC demonstrated sustained anticancer efficacy</w:t>
      </w:r>
      <w:r>
        <w:rPr>
          <w:rFonts w:ascii="Book Antiqua" w:eastAsia="Book Antiqua" w:hAnsi="Book Antiqua" w:cs="Book Antiqua"/>
          <w:color w:val="000000"/>
          <w:szCs w:val="30"/>
          <w:vertAlign w:val="superscript"/>
        </w:rPr>
        <w:t>[79]</w:t>
      </w:r>
      <w:r>
        <w:rPr>
          <w:rFonts w:ascii="Book Antiqua" w:eastAsia="Book Antiqua" w:hAnsi="Book Antiqua" w:cs="Book Antiqua"/>
          <w:color w:val="000000"/>
        </w:rPr>
        <w:t xml:space="preserve">. In a phase 3, open-label study, 307 mCRC patients with </w:t>
      </w:r>
      <w:proofErr w:type="spellStart"/>
      <w:r>
        <w:rPr>
          <w:rFonts w:ascii="Book Antiqua" w:eastAsia="Book Antiqua" w:hAnsi="Book Antiqua" w:cs="Book Antiqua"/>
          <w:color w:val="000000"/>
        </w:rPr>
        <w:t>dMMR</w:t>
      </w:r>
      <w:proofErr w:type="spellEnd"/>
      <w:r>
        <w:rPr>
          <w:rFonts w:ascii="Book Antiqua" w:eastAsia="Book Antiqua" w:hAnsi="Book Antiqua" w:cs="Book Antiqua"/>
          <w:color w:val="000000"/>
        </w:rPr>
        <w:t xml:space="preserve">/MSI-H who had not previously received treatment were enrolled to assess the effectiveness of PD-1 blockers or chemotherapy as first-line treatments. They </w:t>
      </w:r>
      <w:r>
        <w:rPr>
          <w:rFonts w:ascii="Book Antiqua" w:eastAsia="Book Antiqua" w:hAnsi="Book Antiqua" w:cs="Book Antiqua"/>
          <w:color w:val="000000"/>
        </w:rPr>
        <w:lastRenderedPageBreak/>
        <w:t xml:space="preserve">were given a 1:1 random assignment to undergo chemotherapy (5-FU-based treatment with or without bevacizumab or cetuximab) every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or pembrolizumab at a dosage of 200 mg every 3 wk. After advancement of the condition, patients taking chemotherapy could switch to pembrolizumab therapy. Of the 307 patients enrolled, 153 received </w:t>
      </w:r>
      <w:proofErr w:type="gramStart"/>
      <w:r>
        <w:rPr>
          <w:rFonts w:ascii="Book Antiqua" w:eastAsia="Book Antiqua" w:hAnsi="Book Antiqua" w:cs="Book Antiqua"/>
          <w:color w:val="000000"/>
        </w:rPr>
        <w:t>single-agent</w:t>
      </w:r>
      <w:proofErr w:type="gramEnd"/>
      <w:r>
        <w:rPr>
          <w:rFonts w:ascii="Book Antiqua" w:eastAsia="Book Antiqua" w:hAnsi="Book Antiqua" w:cs="Book Antiqua"/>
          <w:color w:val="000000"/>
        </w:rPr>
        <w:t xml:space="preserve"> pembrolizumab and 154 received chemotherapy. The median PFS time was 16.5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in the pembrolizumab group and 8.2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in the chemotherapy group at a median follow-up of 32.4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(HR = 0.60;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Significant differences were seen between the pembrolizumab group’s 12- and 24-mo PFS values, which were 55% and 48%, respectively, </w:t>
      </w:r>
      <w:r>
        <w:rPr>
          <w:rFonts w:ascii="Book Antiqua" w:eastAsia="Book Antiqua" w:hAnsi="Book Antiqua" w:cs="Book Antiqua"/>
          <w:i/>
          <w:iCs/>
          <w:color w:val="000000"/>
        </w:rPr>
        <w:t>vs</w:t>
      </w:r>
      <w:r>
        <w:rPr>
          <w:rFonts w:ascii="Book Antiqua" w:eastAsia="Book Antiqua" w:hAnsi="Book Antiqua" w:cs="Book Antiqua"/>
          <w:color w:val="000000"/>
        </w:rPr>
        <w:t xml:space="preserve"> 37% and 19% in the chemotherapy group. These data show that, compared to chemotherapy, pembrolizumab demonstrates more stable anticancer activity and fewer treatment-related AEs</w:t>
      </w:r>
      <w:r>
        <w:rPr>
          <w:rFonts w:ascii="Book Antiqua" w:eastAsia="Book Antiqua" w:hAnsi="Book Antiqua" w:cs="Book Antiqua"/>
          <w:color w:val="000000"/>
          <w:szCs w:val="30"/>
          <w:vertAlign w:val="superscript"/>
        </w:rPr>
        <w:t>[80]</w:t>
      </w:r>
      <w:r>
        <w:rPr>
          <w:rFonts w:ascii="Book Antiqua" w:eastAsia="Book Antiqua" w:hAnsi="Book Antiqua" w:cs="Book Antiqua"/>
          <w:color w:val="000000"/>
        </w:rPr>
        <w:t xml:space="preserve">. Based on the compelling evidence from this trial, the FDA approved pembrolizumab for the first-line treatment of patients with </w:t>
      </w:r>
      <w:proofErr w:type="spellStart"/>
      <w:r>
        <w:rPr>
          <w:rFonts w:ascii="Book Antiqua" w:eastAsia="Book Antiqua" w:hAnsi="Book Antiqua" w:cs="Book Antiqua"/>
          <w:color w:val="000000"/>
        </w:rPr>
        <w:t>dMMR</w:t>
      </w:r>
      <w:proofErr w:type="spellEnd"/>
      <w:r>
        <w:rPr>
          <w:rFonts w:ascii="Book Antiqua" w:eastAsia="Book Antiqua" w:hAnsi="Book Antiqua" w:cs="Book Antiqua"/>
          <w:color w:val="000000"/>
        </w:rPr>
        <w:t>/MSI-H or advanced, unresectable, or metastatic CRC in June 2020.</w:t>
      </w:r>
    </w:p>
    <w:p w14:paraId="78DD6F76" w14:textId="77777777" w:rsidR="00A31DCB" w:rsidRDefault="00000000">
      <w:pPr>
        <w:spacing w:line="360" w:lineRule="auto"/>
        <w:ind w:firstLineChars="112" w:firstLine="269"/>
        <w:jc w:val="both"/>
      </w:pPr>
      <w:r>
        <w:rPr>
          <w:rFonts w:ascii="Book Antiqua" w:eastAsia="Book Antiqua" w:hAnsi="Book Antiqua" w:cs="Book Antiqua"/>
          <w:color w:val="000000"/>
        </w:rPr>
        <w:t xml:space="preserve">In certain clinical studies, the use of nivolumab, another PD-1 inhibitor that targets </w:t>
      </w:r>
      <w:proofErr w:type="spellStart"/>
      <w:r>
        <w:rPr>
          <w:rFonts w:ascii="Book Antiqua" w:eastAsia="Book Antiqua" w:hAnsi="Book Antiqua" w:cs="Book Antiqua"/>
          <w:color w:val="000000"/>
        </w:rPr>
        <w:t>dMMR</w:t>
      </w:r>
      <w:proofErr w:type="spellEnd"/>
      <w:r>
        <w:rPr>
          <w:rFonts w:ascii="Book Antiqua" w:eastAsia="Book Antiqua" w:hAnsi="Book Antiqua" w:cs="Book Antiqua"/>
          <w:color w:val="000000"/>
        </w:rPr>
        <w:t xml:space="preserve">/MSIH CRC, is also being investigated. Nivolumab’s effectiveness was examined in the phase 2 study </w:t>
      </w:r>
      <w:proofErr w:type="spellStart"/>
      <w:r>
        <w:rPr>
          <w:rFonts w:ascii="Book Antiqua" w:eastAsia="Book Antiqua" w:hAnsi="Book Antiqua" w:cs="Book Antiqua"/>
          <w:color w:val="000000"/>
        </w:rPr>
        <w:t>CheckMate</w:t>
      </w:r>
      <w:proofErr w:type="spellEnd"/>
      <w:r>
        <w:rPr>
          <w:rFonts w:ascii="Book Antiqua" w:eastAsia="Book Antiqua" w:hAnsi="Book Antiqua" w:cs="Book Antiqua"/>
          <w:color w:val="000000"/>
        </w:rPr>
        <w:t xml:space="preserve"> 142 on 74 patients with </w:t>
      </w:r>
      <w:proofErr w:type="spellStart"/>
      <w:r>
        <w:rPr>
          <w:rFonts w:ascii="Book Antiqua" w:eastAsia="Book Antiqua" w:hAnsi="Book Antiqua" w:cs="Book Antiqua"/>
          <w:color w:val="000000"/>
        </w:rPr>
        <w:t>dMMR</w:t>
      </w:r>
      <w:proofErr w:type="spellEnd"/>
      <w:r>
        <w:rPr>
          <w:rFonts w:ascii="Book Antiqua" w:eastAsia="Book Antiqua" w:hAnsi="Book Antiqua" w:cs="Book Antiqua"/>
          <w:color w:val="000000"/>
        </w:rPr>
        <w:t xml:space="preserve">/MSI-H mCRC. The ORR was 31%, and 69% of patients had disease control for 12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or longer. The median duration of response was not attained. The PFS and OS rates during the past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were 50% and 73%, respectively. Nivolumab's safety profile in this cohort study was consistent with that previously reported in other solid tumor trials, and there were no additional AEs noted</w:t>
      </w:r>
      <w:r>
        <w:rPr>
          <w:rFonts w:ascii="Book Antiqua" w:eastAsia="Book Antiqua" w:hAnsi="Book Antiqua" w:cs="Book Antiqua"/>
          <w:color w:val="000000"/>
          <w:szCs w:val="30"/>
          <w:vertAlign w:val="superscript"/>
        </w:rPr>
        <w:t>[81]</w:t>
      </w:r>
      <w:r>
        <w:rPr>
          <w:rFonts w:ascii="Book Antiqua" w:eastAsia="Book Antiqua" w:hAnsi="Book Antiqua" w:cs="Book Antiqua"/>
          <w:color w:val="000000"/>
        </w:rPr>
        <w:t xml:space="preserve">. Nivolumab was approved by the FDA in August 2017 for the treatment of </w:t>
      </w:r>
      <w:proofErr w:type="spellStart"/>
      <w:r>
        <w:rPr>
          <w:rFonts w:ascii="Book Antiqua" w:eastAsia="Book Antiqua" w:hAnsi="Book Antiqua" w:cs="Book Antiqua"/>
          <w:color w:val="000000"/>
        </w:rPr>
        <w:t>dMMR</w:t>
      </w:r>
      <w:proofErr w:type="spellEnd"/>
      <w:r>
        <w:rPr>
          <w:rFonts w:ascii="Book Antiqua" w:eastAsia="Book Antiqua" w:hAnsi="Book Antiqua" w:cs="Book Antiqua"/>
          <w:color w:val="000000"/>
        </w:rPr>
        <w:t xml:space="preserve">/MSI-H mCRC in adults and children older than 12-years-old </w:t>
      </w:r>
      <w:proofErr w:type="gramStart"/>
      <w:r>
        <w:rPr>
          <w:rFonts w:ascii="Book Antiqua" w:eastAsia="Book Antiqua" w:hAnsi="Book Antiqua" w:cs="Book Antiqua"/>
          <w:color w:val="000000"/>
        </w:rPr>
        <w:t>on the basis of</w:t>
      </w:r>
      <w:proofErr w:type="gramEnd"/>
      <w:r>
        <w:rPr>
          <w:rFonts w:ascii="Book Antiqua" w:eastAsia="Book Antiqua" w:hAnsi="Book Antiqua" w:cs="Book Antiqua"/>
          <w:color w:val="000000"/>
        </w:rPr>
        <w:t xml:space="preserve"> these research findings</w:t>
      </w:r>
      <w:r>
        <w:rPr>
          <w:rFonts w:ascii="Book Antiqua" w:eastAsia="Book Antiqua" w:hAnsi="Book Antiqua" w:cs="Book Antiqua"/>
          <w:color w:val="000000"/>
          <w:vertAlign w:val="superscript"/>
        </w:rPr>
        <w:t>[82]</w:t>
      </w:r>
      <w:r>
        <w:rPr>
          <w:rFonts w:ascii="Book Antiqua" w:eastAsia="Book Antiqua" w:hAnsi="Book Antiqua" w:cs="Book Antiqua"/>
          <w:color w:val="000000"/>
        </w:rPr>
        <w:t xml:space="preserve">. Nivolumab's administration in conjunction with the cytotoxic T-lymphocyte-associated protein 4 </w:t>
      </w:r>
      <w:proofErr w:type="spellStart"/>
      <w:r>
        <w:rPr>
          <w:rFonts w:ascii="Book Antiqua" w:eastAsia="Book Antiqua" w:hAnsi="Book Antiqua" w:cs="Book Antiqua"/>
          <w:color w:val="000000"/>
        </w:rPr>
        <w:t>mAb</w:t>
      </w:r>
      <w:proofErr w:type="spellEnd"/>
      <w:r>
        <w:rPr>
          <w:rFonts w:ascii="Book Antiqua" w:eastAsia="Book Antiqua" w:hAnsi="Book Antiqua" w:cs="Book Antiqua"/>
          <w:color w:val="000000"/>
        </w:rPr>
        <w:t xml:space="preserve"> ipilimumab was also investigated in the CheckMate142 trial. Nivolumab 3 mg/kg in combination with ipilimumab 1 mg/kg was given once every 3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(four doses) to a total of 119 patients with </w:t>
      </w:r>
      <w:proofErr w:type="spellStart"/>
      <w:r>
        <w:rPr>
          <w:rFonts w:ascii="Book Antiqua" w:eastAsia="Book Antiqua" w:hAnsi="Book Antiqua" w:cs="Book Antiqua"/>
          <w:color w:val="000000"/>
        </w:rPr>
        <w:t>dMMR</w:t>
      </w:r>
      <w:proofErr w:type="spellEnd"/>
      <w:r>
        <w:rPr>
          <w:rFonts w:ascii="Book Antiqua" w:eastAsia="Book Antiqua" w:hAnsi="Book Antiqua" w:cs="Book Antiqua"/>
          <w:color w:val="000000"/>
        </w:rPr>
        <w:t xml:space="preserve">/MSI-H mCRC who had not responded to conventional therapy. Nivolumab 3 mg/kg was then given once every 2 wk. The ORR was 55% at a median follow-up of 13.4 mo. In 80% of patients, the disease was under control for at least 12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however, the median PFS was not met. </w:t>
      </w:r>
      <w:r>
        <w:rPr>
          <w:rFonts w:ascii="Book Antiqua" w:eastAsia="Book Antiqua" w:hAnsi="Book Antiqua" w:cs="Book Antiqua"/>
          <w:color w:val="000000"/>
        </w:rPr>
        <w:lastRenderedPageBreak/>
        <w:t>The PFS rates for the 9</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and 12</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were 76% and 71%, respectively. The 9- and 12-mo OS rates were 87% and 85%, respectively, but the median OS was not met</w:t>
      </w:r>
      <w:r>
        <w:rPr>
          <w:rFonts w:ascii="Book Antiqua" w:eastAsia="Book Antiqua" w:hAnsi="Book Antiqua" w:cs="Book Antiqua"/>
          <w:color w:val="000000"/>
          <w:szCs w:val="30"/>
          <w:vertAlign w:val="superscript"/>
        </w:rPr>
        <w:t>[83]</w:t>
      </w:r>
      <w:r>
        <w:rPr>
          <w:rFonts w:ascii="Book Antiqua" w:eastAsia="Book Antiqua" w:hAnsi="Book Antiqua" w:cs="Book Antiqua"/>
          <w:color w:val="000000"/>
        </w:rPr>
        <w:t xml:space="preserve">. The FDA expedited the approval of nivolumab in combination with ipilimumab for the treatment of patients with </w:t>
      </w:r>
      <w:proofErr w:type="spellStart"/>
      <w:r>
        <w:rPr>
          <w:rFonts w:ascii="Book Antiqua" w:eastAsia="Book Antiqua" w:hAnsi="Book Antiqua" w:cs="Book Antiqua"/>
          <w:color w:val="000000"/>
        </w:rPr>
        <w:t>dMMR</w:t>
      </w:r>
      <w:proofErr w:type="spellEnd"/>
      <w:r>
        <w:rPr>
          <w:rFonts w:ascii="Book Antiqua" w:eastAsia="Book Antiqua" w:hAnsi="Book Antiqua" w:cs="Book Antiqua"/>
          <w:color w:val="000000"/>
        </w:rPr>
        <w:t>/MSI-H mCRC in July 2018 based on the findings of this trial. Furthermore, the most recent information from the 2-year follow-up was used to update the study outcomes. The ORR and disease control rates determined by the study were 69% and 84%, respectively, over a median follow-up of 29 mo. The 2-year PFS and OS rates were 74% and 79%, respectively, but the median PFS and OS was not attained</w:t>
      </w:r>
      <w:r>
        <w:rPr>
          <w:rFonts w:ascii="Book Antiqua" w:eastAsia="Book Antiqua" w:hAnsi="Book Antiqua" w:cs="Book Antiqua"/>
          <w:color w:val="000000"/>
          <w:szCs w:val="30"/>
          <w:vertAlign w:val="superscript"/>
        </w:rPr>
        <w:t>[84]</w:t>
      </w:r>
      <w:r>
        <w:rPr>
          <w:rFonts w:ascii="Book Antiqua" w:eastAsia="Book Antiqua" w:hAnsi="Book Antiqua" w:cs="Book Antiqua"/>
          <w:color w:val="000000"/>
        </w:rPr>
        <w:t xml:space="preserve">. </w:t>
      </w:r>
    </w:p>
    <w:p w14:paraId="6209EFB6" w14:textId="77777777" w:rsidR="00A31DCB" w:rsidRDefault="00000000">
      <w:pPr>
        <w:spacing w:line="360" w:lineRule="auto"/>
        <w:ind w:firstLineChars="112" w:firstLine="269"/>
        <w:jc w:val="both"/>
      </w:pPr>
      <w:r>
        <w:rPr>
          <w:rFonts w:ascii="Book Antiqua" w:eastAsia="Book Antiqua" w:hAnsi="Book Antiqua" w:cs="Book Antiqua"/>
          <w:color w:val="000000"/>
        </w:rPr>
        <w:t xml:space="preserve">After first-line chemotherapy failed, Kim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[85]</w:t>
      </w:r>
      <w:r>
        <w:rPr>
          <w:rFonts w:ascii="Book Antiqua" w:eastAsia="Book Antiqua" w:hAnsi="Book Antiqua" w:cs="Book Antiqua"/>
          <w:color w:val="000000"/>
        </w:rPr>
        <w:t xml:space="preserve"> conducted a prospective, open-label, multicenter phase 2 trial in 2020 to assess the effectiveness and safety of avelumab in 30 mCRC patients who had </w:t>
      </w:r>
      <w:proofErr w:type="spellStart"/>
      <w:r>
        <w:rPr>
          <w:rFonts w:ascii="Book Antiqua" w:eastAsia="Book Antiqua" w:hAnsi="Book Antiqua" w:cs="Book Antiqua"/>
          <w:color w:val="000000"/>
        </w:rPr>
        <w:t>dMMR</w:t>
      </w:r>
      <w:proofErr w:type="spellEnd"/>
      <w:r>
        <w:rPr>
          <w:rFonts w:ascii="Book Antiqua" w:eastAsia="Book Antiqua" w:hAnsi="Book Antiqua" w:cs="Book Antiqua"/>
          <w:color w:val="000000"/>
        </w:rPr>
        <w:t xml:space="preserve">)/MSI-H and 3 mCRC patients who had polymerase-epsilon (POLE) mutations. </w:t>
      </w:r>
      <w:proofErr w:type="gramStart"/>
      <w:r>
        <w:rPr>
          <w:rFonts w:ascii="Book Antiqua" w:eastAsia="Book Antiqua" w:hAnsi="Book Antiqua" w:cs="Book Antiqua"/>
          <w:color w:val="000000"/>
        </w:rPr>
        <w:t>All of</w:t>
      </w:r>
      <w:proofErr w:type="gramEnd"/>
      <w:r>
        <w:rPr>
          <w:rFonts w:ascii="Book Antiqua" w:eastAsia="Book Antiqua" w:hAnsi="Book Antiqua" w:cs="Book Antiqua"/>
          <w:color w:val="000000"/>
        </w:rPr>
        <w:t xml:space="preserve"> the respondents were </w:t>
      </w:r>
      <w:proofErr w:type="spellStart"/>
      <w:r>
        <w:rPr>
          <w:rFonts w:ascii="Book Antiqua" w:eastAsia="Book Antiqua" w:hAnsi="Book Antiqua" w:cs="Book Antiqua"/>
          <w:color w:val="000000"/>
        </w:rPr>
        <w:t>dMMR</w:t>
      </w:r>
      <w:proofErr w:type="spellEnd"/>
      <w:r>
        <w:rPr>
          <w:rFonts w:ascii="Book Antiqua" w:eastAsia="Book Antiqua" w:hAnsi="Book Antiqua" w:cs="Book Antiqua"/>
          <w:color w:val="000000"/>
        </w:rPr>
        <w:t xml:space="preserve">/MSI-H, and the ORR was 24.2%. At a median follow-up time of 16.3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the median PFS and OS for all patients was 3.9 and 13.2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respectively. They concluded that in patients with previously treated mCRC carrying </w:t>
      </w:r>
      <w:proofErr w:type="spellStart"/>
      <w:r>
        <w:rPr>
          <w:rFonts w:ascii="Book Antiqua" w:eastAsia="Book Antiqua" w:hAnsi="Book Antiqua" w:cs="Book Antiqua"/>
          <w:color w:val="000000"/>
        </w:rPr>
        <w:t>dMMR</w:t>
      </w:r>
      <w:proofErr w:type="spellEnd"/>
      <w:r>
        <w:rPr>
          <w:rFonts w:ascii="Book Antiqua" w:eastAsia="Book Antiqua" w:hAnsi="Book Antiqua" w:cs="Book Antiqua"/>
          <w:color w:val="000000"/>
        </w:rPr>
        <w:t xml:space="preserve">/MSI-H, avelumab demonstrated anticancer efficacy with controllable toxicity. To assess the effectiveness and safety of cetuximab re-challenge treatment combined with avelumab in 71 MSS, 3 MSI-H, and 3 patients with uncertain microsatellite status with mCRC, Martinelli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[86]</w:t>
      </w:r>
      <w:r>
        <w:rPr>
          <w:rFonts w:ascii="Book Antiqua" w:eastAsia="Book Antiqua" w:hAnsi="Book Antiqua" w:cs="Book Antiqua"/>
          <w:color w:val="000000"/>
        </w:rPr>
        <w:t xml:space="preserve"> conducted a single-arm, multicenter phase 2 study in 2021. The patients were given cetuximab (400 mg/m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then 250 mg/m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weekly) and avelumab (10 mg/kg every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until the disease progressed or the side effects became intolerable. With a median OS of 11.6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a median PFS of 3.6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the trial accomplished its primary aim; 4% of grade 3 AEs were diarrhea, and 14% of them were skin eruptions. There were 48 people with WT illnesses and 19 people with mutations. Those with RAS/BRAF WT cDNA had a median OS of 17.3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opposed to patients with mutations, who had a median OS of 10.4 mo. In contrast to patients with mutant cDNA, those with RAS/BRAF WT had a median PFS of 4.1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opposed to 3.0 mo. They concluded that an active, well-tolerated challenge treatment for RAS WT mCRC is cetuximab plus avelumab.</w:t>
      </w:r>
    </w:p>
    <w:p w14:paraId="323DFE0C" w14:textId="77777777" w:rsidR="00A31DCB" w:rsidRDefault="00A31DCB">
      <w:pPr>
        <w:spacing w:line="360" w:lineRule="auto"/>
        <w:jc w:val="both"/>
        <w:rPr>
          <w:rFonts w:ascii="Book Antiqua" w:eastAsia="Book Antiqua" w:hAnsi="Book Antiqua" w:cs="Book Antiqua"/>
          <w:i/>
          <w:iCs/>
          <w:color w:val="000000"/>
        </w:rPr>
      </w:pPr>
    </w:p>
    <w:p w14:paraId="0F47DF8A" w14:textId="77777777" w:rsidR="00A31DCB" w:rsidRDefault="00000000">
      <w:pPr>
        <w:spacing w:line="360" w:lineRule="auto"/>
        <w:jc w:val="both"/>
        <w:rPr>
          <w:b/>
          <w:bCs/>
        </w:rPr>
      </w:pPr>
      <w:r>
        <w:rPr>
          <w:rFonts w:ascii="Book Antiqua" w:eastAsia="Book Antiqua" w:hAnsi="Book Antiqua" w:cs="Book Antiqua"/>
          <w:b/>
          <w:bCs/>
          <w:color w:val="000000"/>
        </w:rPr>
        <w:lastRenderedPageBreak/>
        <w:t>Use of ICIs in PMMR/MSS mCRC: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pMMR</w:t>
      </w:r>
      <w:proofErr w:type="spellEnd"/>
      <w:r>
        <w:rPr>
          <w:rFonts w:ascii="Book Antiqua" w:eastAsia="Book Antiqua" w:hAnsi="Book Antiqua" w:cs="Book Antiqua"/>
          <w:color w:val="000000"/>
        </w:rPr>
        <w:t xml:space="preserve">/MSS CRC, which makes up about 95% of all </w:t>
      </w:r>
      <w:proofErr w:type="spellStart"/>
      <w:r>
        <w:rPr>
          <w:rFonts w:ascii="Book Antiqua" w:eastAsia="Book Antiqua" w:hAnsi="Book Antiqua" w:cs="Book Antiqua"/>
          <w:color w:val="000000"/>
        </w:rPr>
        <w:t>mCRCs</w:t>
      </w:r>
      <w:proofErr w:type="spellEnd"/>
      <w:r>
        <w:rPr>
          <w:rFonts w:ascii="Book Antiqua" w:eastAsia="Book Antiqua" w:hAnsi="Book Antiqua" w:cs="Book Antiqua"/>
          <w:color w:val="000000"/>
        </w:rPr>
        <w:t xml:space="preserve">, is referred to as a "cold tumor." Single-agent ICI had no effect on </w:t>
      </w:r>
      <w:proofErr w:type="spellStart"/>
      <w:r>
        <w:rPr>
          <w:rFonts w:ascii="Book Antiqua" w:eastAsia="Book Antiqua" w:hAnsi="Book Antiqua" w:cs="Book Antiqua"/>
          <w:color w:val="000000"/>
        </w:rPr>
        <w:t>pMMR</w:t>
      </w:r>
      <w:proofErr w:type="spellEnd"/>
      <w:r>
        <w:rPr>
          <w:rFonts w:ascii="Book Antiqua" w:eastAsia="Book Antiqua" w:hAnsi="Book Antiqua" w:cs="Book Antiqua"/>
          <w:color w:val="000000"/>
        </w:rPr>
        <w:t xml:space="preserve">/MSS CRCs in contrast to inflammatory tumors of </w:t>
      </w:r>
      <w:proofErr w:type="spellStart"/>
      <w:r>
        <w:rPr>
          <w:rFonts w:ascii="Book Antiqua" w:eastAsia="Book Antiqua" w:hAnsi="Book Antiqua" w:cs="Book Antiqua"/>
          <w:color w:val="000000"/>
        </w:rPr>
        <w:t>dMMR</w:t>
      </w:r>
      <w:proofErr w:type="spellEnd"/>
      <w:r>
        <w:rPr>
          <w:rFonts w:ascii="Book Antiqua" w:eastAsia="Book Antiqua" w:hAnsi="Book Antiqua" w:cs="Book Antiqua"/>
          <w:color w:val="000000"/>
        </w:rPr>
        <w:t xml:space="preserve">/MSI-H. The results of recent investigations on the use of combination ICIs have raised the prospect of enhancing immunotherapy efficacy in this population. ICIs in conjunction with systemic chemotherapy were proven to dramatically increase tumor treatment response in refractory mCRC treated with conventional chemotherapy and immunotherapy, especially in </w:t>
      </w:r>
      <w:proofErr w:type="spellStart"/>
      <w:r>
        <w:rPr>
          <w:rFonts w:ascii="Book Antiqua" w:eastAsia="Book Antiqua" w:hAnsi="Book Antiqua" w:cs="Book Antiqua"/>
          <w:color w:val="000000"/>
        </w:rPr>
        <w:t>pMMR</w:t>
      </w:r>
      <w:proofErr w:type="spellEnd"/>
      <w:r>
        <w:rPr>
          <w:rFonts w:ascii="Book Antiqua" w:eastAsia="Book Antiqua" w:hAnsi="Book Antiqua" w:cs="Book Antiqua"/>
          <w:color w:val="000000"/>
        </w:rPr>
        <w:t>/MSS CRCs. Existing data show that immunogenic chemotherapy might improve the efficacy of ICIs by increasing tumor infiltration of CD4+ and CD8+ T cells and interrupting the function of immunosuppressive cells such as regulatory T cells and myeloid-derived suppressor cells</w:t>
      </w:r>
      <w:r>
        <w:rPr>
          <w:rFonts w:ascii="Book Antiqua" w:eastAsia="Book Antiqua" w:hAnsi="Book Antiqua" w:cs="Book Antiqua"/>
          <w:color w:val="000000"/>
          <w:szCs w:val="30"/>
          <w:vertAlign w:val="superscript"/>
        </w:rPr>
        <w:t>[87,88]</w:t>
      </w:r>
      <w:r>
        <w:rPr>
          <w:rFonts w:ascii="Book Antiqua" w:eastAsia="Book Antiqua" w:hAnsi="Book Antiqua" w:cs="Book Antiqua"/>
          <w:color w:val="000000"/>
        </w:rPr>
        <w:t xml:space="preserve">. To investigate ways to make cold tumors heated to boost sensitivity to immunotherapy, </w:t>
      </w:r>
      <w:proofErr w:type="gramStart"/>
      <w:r>
        <w:rPr>
          <w:rFonts w:ascii="Book Antiqua" w:eastAsia="Book Antiqua" w:hAnsi="Book Antiqua" w:cs="Book Antiqua"/>
          <w:color w:val="000000"/>
        </w:rPr>
        <w:t>a number of</w:t>
      </w:r>
      <w:proofErr w:type="gramEnd"/>
      <w:r>
        <w:rPr>
          <w:rFonts w:ascii="Book Antiqua" w:eastAsia="Book Antiqua" w:hAnsi="Book Antiqua" w:cs="Book Antiqua"/>
          <w:color w:val="000000"/>
        </w:rPr>
        <w:t xml:space="preserve"> ICI-based combination treatment studies tested ICIs in conjunction with chemotherapy, targeted therapy, ICI therapy, and radiation. </w:t>
      </w:r>
    </w:p>
    <w:p w14:paraId="5357680E" w14:textId="77777777" w:rsidR="00A31DCB" w:rsidRDefault="00000000">
      <w:pPr>
        <w:spacing w:line="360" w:lineRule="auto"/>
        <w:ind w:firstLineChars="112" w:firstLine="269"/>
        <w:jc w:val="both"/>
      </w:pPr>
      <w:r>
        <w:rPr>
          <w:rFonts w:ascii="Book Antiqua" w:eastAsia="Book Antiqua" w:hAnsi="Book Antiqua" w:cs="Book Antiqua"/>
          <w:color w:val="000000"/>
        </w:rPr>
        <w:t xml:space="preserve">Pembrolizumab combined with modified FOLFOX6 was tested in a single-arm, multicenter phase 1b study by </w:t>
      </w:r>
      <w:proofErr w:type="spellStart"/>
      <w:r>
        <w:rPr>
          <w:rFonts w:ascii="Book Antiqua" w:eastAsia="Book Antiqua" w:hAnsi="Book Antiqua" w:cs="Book Antiqua"/>
          <w:color w:val="000000"/>
        </w:rPr>
        <w:t>Herting</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[89]</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for the treatment of mCRC. In this study, 87% of the participants had </w:t>
      </w:r>
      <w:proofErr w:type="spellStart"/>
      <w:r>
        <w:rPr>
          <w:rFonts w:ascii="Book Antiqua" w:eastAsia="Book Antiqua" w:hAnsi="Book Antiqua" w:cs="Book Antiqua"/>
          <w:color w:val="000000"/>
        </w:rPr>
        <w:t>pMMR</w:t>
      </w:r>
      <w:proofErr w:type="spellEnd"/>
      <w:r>
        <w:rPr>
          <w:rFonts w:ascii="Book Antiqua" w:eastAsia="Book Antiqua" w:hAnsi="Book Antiqua" w:cs="Book Antiqua"/>
          <w:color w:val="000000"/>
        </w:rPr>
        <w:t xml:space="preserve">/MSS mCRC. At a median follow-up of 19.9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among the 30 patients, the investigators noted an ORR of 57% and the mean time it took for the responding patients to respond was 37.57 wk. The median PFS time was 8.8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the median OS was not reached. Recently, two phase 2 trials, </w:t>
      </w:r>
      <w:proofErr w:type="spellStart"/>
      <w:r>
        <w:rPr>
          <w:rFonts w:ascii="Book Antiqua" w:eastAsia="Book Antiqua" w:hAnsi="Book Antiqua" w:cs="Book Antiqua"/>
          <w:color w:val="000000"/>
        </w:rPr>
        <w:t>AtezoTRIBE</w:t>
      </w:r>
      <w:proofErr w:type="spellEnd"/>
      <w:r>
        <w:rPr>
          <w:rFonts w:ascii="Book Antiqua" w:eastAsia="Book Antiqua" w:hAnsi="Book Antiqua" w:cs="Book Antiqua"/>
          <w:color w:val="000000"/>
        </w:rPr>
        <w:t xml:space="preserve"> and MAYA, evaluating combinations of ICIs with chemotherapy, revived optimism for the use of immunotherapy in </w:t>
      </w:r>
      <w:proofErr w:type="spellStart"/>
      <w:r>
        <w:rPr>
          <w:rFonts w:ascii="Book Antiqua" w:eastAsia="Book Antiqua" w:hAnsi="Book Antiqua" w:cs="Book Antiqua"/>
          <w:color w:val="000000"/>
        </w:rPr>
        <w:t>pMMR</w:t>
      </w:r>
      <w:proofErr w:type="spellEnd"/>
      <w:r>
        <w:rPr>
          <w:rFonts w:ascii="Book Antiqua" w:eastAsia="Book Antiqua" w:hAnsi="Book Antiqua" w:cs="Book Antiqua"/>
          <w:color w:val="000000"/>
        </w:rPr>
        <w:t>/MSS mCRC patients, indicating a significant breakthrough and a potential basis for future research in this scenario.</w:t>
      </w:r>
    </w:p>
    <w:p w14:paraId="5B3FC065" w14:textId="77777777" w:rsidR="00A31DCB" w:rsidRDefault="00A31DCB">
      <w:pPr>
        <w:spacing w:line="360" w:lineRule="auto"/>
        <w:jc w:val="both"/>
        <w:rPr>
          <w:rFonts w:ascii="Book Antiqua" w:eastAsia="Book Antiqua" w:hAnsi="Book Antiqua" w:cs="Book Antiqua"/>
          <w:i/>
          <w:iCs/>
          <w:color w:val="000000"/>
        </w:rPr>
      </w:pPr>
    </w:p>
    <w:p w14:paraId="37C4BE54" w14:textId="77777777" w:rsidR="00A31DCB" w:rsidRDefault="00000000">
      <w:pPr>
        <w:spacing w:line="360" w:lineRule="auto"/>
        <w:jc w:val="both"/>
        <w:rPr>
          <w:b/>
          <w:bCs/>
        </w:rPr>
      </w:pPr>
      <w:proofErr w:type="spellStart"/>
      <w:r>
        <w:rPr>
          <w:rFonts w:ascii="Book Antiqua" w:eastAsia="Book Antiqua" w:hAnsi="Book Antiqua" w:cs="Book Antiqua"/>
          <w:b/>
          <w:bCs/>
          <w:color w:val="000000"/>
        </w:rPr>
        <w:t>AtezoTRIBE</w:t>
      </w:r>
      <w:proofErr w:type="spellEnd"/>
      <w:r>
        <w:rPr>
          <w:rFonts w:ascii="Book Antiqua" w:eastAsia="Book Antiqua" w:hAnsi="Book Antiqua" w:cs="Book Antiqua"/>
          <w:b/>
          <w:bCs/>
          <w:color w:val="000000"/>
        </w:rPr>
        <w:t xml:space="preserve"> trial:</w:t>
      </w:r>
      <w:r>
        <w:rPr>
          <w:rFonts w:hint="eastAsia"/>
          <w:b/>
          <w:bCs/>
          <w:lang w:eastAsia="zh-CN"/>
        </w:rPr>
        <w:t xml:space="preserve"> </w:t>
      </w:r>
      <w:r>
        <w:rPr>
          <w:rFonts w:ascii="Book Antiqua" w:eastAsia="Book Antiqua" w:hAnsi="Book Antiqua" w:cs="Book Antiqua"/>
          <w:color w:val="000000"/>
        </w:rPr>
        <w:t>Regardless of microsatellite status, 218 patients with unresectable and chemo-naive mCRC were randomized in a 1:2 ratio to receive FOLFOXIRI. The control group received first-line FOLFOXIRI (intravenous 165 mg/m</w:t>
      </w:r>
      <w:r>
        <w:rPr>
          <w:rFonts w:ascii="Book Antiqua" w:eastAsia="Book Antiqua" w:hAnsi="Book Antiqua" w:cs="Book Antiqua"/>
          <w:color w:val="000000"/>
          <w:szCs w:val="30"/>
          <w:vertAlign w:val="superscript"/>
        </w:rPr>
        <w:t xml:space="preserve">2 </w:t>
      </w:r>
      <w:r>
        <w:rPr>
          <w:rFonts w:ascii="Book Antiqua" w:eastAsia="Book Antiqua" w:hAnsi="Book Antiqua" w:cs="Book Antiqua"/>
          <w:color w:val="000000"/>
        </w:rPr>
        <w:t>irinotecan, 85 mg/m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oxaliplatin, 200 mg/m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leucovorin, and 3200 mg/m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fluorouracil as a 48-h infusion) plus bevacizumab (5 mg/kg intravenously), and the atezolizumab group received the same </w:t>
      </w:r>
      <w:r>
        <w:rPr>
          <w:rFonts w:ascii="Book Antiqua" w:eastAsia="Book Antiqua" w:hAnsi="Book Antiqua" w:cs="Book Antiqua"/>
          <w:color w:val="000000"/>
        </w:rPr>
        <w:lastRenderedPageBreak/>
        <w:t xml:space="preserve">regimen plus atezolizumab (840 mg intravenously) in the </w:t>
      </w:r>
      <w:proofErr w:type="spellStart"/>
      <w:r>
        <w:rPr>
          <w:rFonts w:ascii="Book Antiqua" w:eastAsia="Book Antiqua" w:hAnsi="Book Antiqua" w:cs="Book Antiqua"/>
          <w:color w:val="000000"/>
        </w:rPr>
        <w:t>AtezoTRIBE</w:t>
      </w:r>
      <w:proofErr w:type="spellEnd"/>
      <w:r>
        <w:rPr>
          <w:rFonts w:ascii="Book Antiqua" w:eastAsia="Book Antiqua" w:hAnsi="Book Antiqua" w:cs="Book Antiqua"/>
          <w:color w:val="000000"/>
        </w:rPr>
        <w:t xml:space="preserve"> phase 2 multicenter, open-label, comparative study. According to the randomized arm, both treatments were given for up to eight cycles, then 5-FU with bevacizumab, with or without atezolizumab, was given until the condition progressed, there were unacceptable side effects, or the patient withdrew their consent. PFS was the main endpoint, with a one-sided alpha error of 0.10 and an 85% power. A median follow-up of 19.9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was being used. In the atezolizumab group, the median PFS was 13.1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compared to 11.5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in the control group (HR = 0.69; </w:t>
      </w:r>
      <w:r>
        <w:rPr>
          <w:rFonts w:ascii="Book Antiqua" w:eastAsia="Book Antiqua" w:hAnsi="Book Antiqua" w:cs="Book Antiqua"/>
          <w:i/>
          <w:iCs/>
          <w:color w:val="000000"/>
        </w:rPr>
        <w:t>P</w:t>
      </w:r>
      <w:r>
        <w:rPr>
          <w:rFonts w:ascii="Book Antiqua" w:eastAsia="Book Antiqua" w:hAnsi="Book Antiqua" w:cs="Book Antiqua"/>
          <w:color w:val="000000"/>
        </w:rPr>
        <w:t xml:space="preserve"> = 0 012). Neutropenia (42% of 142 patients in the atezolizumab group </w:t>
      </w:r>
      <w:r>
        <w:rPr>
          <w:rFonts w:ascii="Book Antiqua" w:eastAsia="Book Antiqua" w:hAnsi="Book Antiqua" w:cs="Book Antiqua"/>
          <w:i/>
          <w:iCs/>
          <w:color w:val="000000"/>
        </w:rPr>
        <w:t>vs</w:t>
      </w:r>
      <w:r>
        <w:rPr>
          <w:rFonts w:ascii="Book Antiqua" w:eastAsia="Book Antiqua" w:hAnsi="Book Antiqua" w:cs="Book Antiqua"/>
          <w:color w:val="000000"/>
        </w:rPr>
        <w:t xml:space="preserve"> 36% of 72 individuals in the control group), diarrhea (15% </w:t>
      </w:r>
      <w:r>
        <w:rPr>
          <w:rFonts w:ascii="Book Antiqua" w:eastAsia="Book Antiqua" w:hAnsi="Book Antiqua" w:cs="Book Antiqua"/>
          <w:i/>
          <w:iCs/>
          <w:color w:val="000000"/>
        </w:rPr>
        <w:t>vs</w:t>
      </w:r>
      <w:r>
        <w:rPr>
          <w:rFonts w:ascii="Book Antiqua" w:eastAsia="Book Antiqua" w:hAnsi="Book Antiqua" w:cs="Book Antiqua"/>
          <w:color w:val="000000"/>
        </w:rPr>
        <w:t xml:space="preserve"> 13%), and febrile neutropenia (10% </w:t>
      </w:r>
      <w:r>
        <w:rPr>
          <w:rFonts w:ascii="Book Antiqua" w:eastAsia="Book Antiqua" w:hAnsi="Book Antiqua" w:cs="Book Antiqua"/>
          <w:i/>
          <w:iCs/>
          <w:color w:val="000000"/>
        </w:rPr>
        <w:t>vs</w:t>
      </w:r>
      <w:r>
        <w:rPr>
          <w:rFonts w:ascii="Book Antiqua" w:eastAsia="Book Antiqua" w:hAnsi="Book Antiqua" w:cs="Book Antiqua"/>
          <w:color w:val="000000"/>
        </w:rPr>
        <w:t xml:space="preserve"> 10%) were the most common all-cause grade 3-4 AEs. A total of 39 patients (27%) in the atezolizumab group and 19 patients (26%) in the control group suffered serious AEs. Acute myocardial infarction and bronchopulmonary hemorrhage caused two (1%) treatment-related fatalities in the atezolizumab group; none were recorded in the control group. They concluded that first-line FOLFOXIRI plus bevacizumab with atezolizumab added was safe and enhanced PFS in patients with mCRC who had not previously received treatment</w:t>
      </w:r>
      <w:r>
        <w:rPr>
          <w:rFonts w:ascii="Book Antiqua" w:eastAsia="Book Antiqua" w:hAnsi="Book Antiqua" w:cs="Book Antiqua"/>
          <w:color w:val="000000"/>
          <w:szCs w:val="30"/>
          <w:vertAlign w:val="superscript"/>
        </w:rPr>
        <w:t>[90]</w:t>
      </w:r>
      <w:r>
        <w:rPr>
          <w:rFonts w:ascii="Book Antiqua" w:eastAsia="Book Antiqua" w:hAnsi="Book Antiqua" w:cs="Book Antiqua"/>
          <w:color w:val="000000"/>
        </w:rPr>
        <w:t xml:space="preserve">. </w:t>
      </w:r>
    </w:p>
    <w:p w14:paraId="11C67BFA" w14:textId="77777777" w:rsidR="00A31DCB" w:rsidRDefault="00A31DCB">
      <w:pPr>
        <w:spacing w:line="360" w:lineRule="auto"/>
        <w:jc w:val="both"/>
        <w:rPr>
          <w:rFonts w:ascii="Book Antiqua" w:eastAsia="Book Antiqua" w:hAnsi="Book Antiqua" w:cs="Book Antiqua"/>
          <w:b/>
          <w:bCs/>
          <w:color w:val="000000"/>
        </w:rPr>
      </w:pPr>
    </w:p>
    <w:p w14:paraId="068EE909" w14:textId="77777777" w:rsidR="00A31DCB" w:rsidRDefault="00000000">
      <w:pPr>
        <w:spacing w:line="360" w:lineRule="auto"/>
        <w:jc w:val="both"/>
        <w:rPr>
          <w:b/>
          <w:bCs/>
        </w:rPr>
      </w:pPr>
      <w:r>
        <w:rPr>
          <w:rFonts w:ascii="Book Antiqua" w:eastAsia="Book Antiqua" w:hAnsi="Book Antiqua" w:cs="Book Antiqua"/>
          <w:b/>
          <w:bCs/>
          <w:color w:val="000000"/>
        </w:rPr>
        <w:t>MAYA trial:</w:t>
      </w:r>
      <w:r>
        <w:rPr>
          <w:rFonts w:hint="eastAsia"/>
          <w:b/>
          <w:bCs/>
          <w:lang w:eastAsia="zh-CN"/>
        </w:rPr>
        <w:t xml:space="preserve"> </w:t>
      </w:r>
      <w:r>
        <w:rPr>
          <w:rFonts w:ascii="Book Antiqua" w:eastAsia="Book Antiqua" w:hAnsi="Book Antiqua" w:cs="Book Antiqua"/>
          <w:color w:val="000000"/>
        </w:rPr>
        <w:t xml:space="preserve">MAYA is a prospective single-arm phase 2 trial that included patients with chemo-resistant mCRC who had centrally confirmed MSS status, O6-methylguanine-methyltransferase (MGMT) silence determined by promoter methylation of the MGMT gene, and total immunohistochemical loss of MGMT protein. Only in situations where disease control is obtained during phase 1 are participants to receive two cycles of temozolomide (TMZ) (phase 1), followed by the addition of nivolumab and </w:t>
      </w:r>
      <w:proofErr w:type="gramStart"/>
      <w:r>
        <w:rPr>
          <w:rFonts w:ascii="Book Antiqua" w:eastAsia="Book Antiqua" w:hAnsi="Book Antiqua" w:cs="Book Antiqua"/>
          <w:color w:val="000000"/>
        </w:rPr>
        <w:t>low-dose</w:t>
      </w:r>
      <w:proofErr w:type="gramEnd"/>
      <w:r>
        <w:rPr>
          <w:rFonts w:ascii="Book Antiqua" w:eastAsia="Book Antiqua" w:hAnsi="Book Antiqua" w:cs="Book Antiqua"/>
          <w:color w:val="000000"/>
        </w:rPr>
        <w:t xml:space="preserve"> ipilimumab (phase 2). The 8-mo PFS rate in patients included in phase 2 of the trial served as the study's main objective. The MAYA trial's design is supported by an intriguing biological theory. In short, the MGMT gene plays a role in repairing DNA damage brought on by alkylating drugs like TMZ</w:t>
      </w:r>
      <w:r>
        <w:rPr>
          <w:rFonts w:ascii="Book Antiqua" w:eastAsia="Book Antiqua" w:hAnsi="Book Antiqua" w:cs="Book Antiqua"/>
          <w:color w:val="000000"/>
          <w:szCs w:val="30"/>
          <w:vertAlign w:val="superscript"/>
        </w:rPr>
        <w:t>[91]</w:t>
      </w:r>
      <w:r>
        <w:rPr>
          <w:rFonts w:ascii="Book Antiqua" w:eastAsia="Book Antiqua" w:hAnsi="Book Antiqua" w:cs="Book Antiqua"/>
          <w:color w:val="000000"/>
        </w:rPr>
        <w:t xml:space="preserve">. Sensitivity to TMZ is increased when MGMT is inactivated by hypermethylation of its promoter. As demonstrated in studies evaluating the efficacy of TMZ alone or in combination with other chemotherapeutic </w:t>
      </w:r>
      <w:r>
        <w:rPr>
          <w:rFonts w:ascii="Book Antiqua" w:eastAsia="Book Antiqua" w:hAnsi="Book Antiqua" w:cs="Book Antiqua"/>
          <w:color w:val="000000"/>
        </w:rPr>
        <w:lastRenderedPageBreak/>
        <w:t xml:space="preserve">agents, such as capecitabine and irinotecan, retrospective data revealed that sensitivity to TMZ was primarily restricted to </w:t>
      </w:r>
      <w:proofErr w:type="spellStart"/>
      <w:r>
        <w:rPr>
          <w:rFonts w:ascii="Book Antiqua" w:eastAsia="Book Antiqua" w:hAnsi="Book Antiqua" w:cs="Book Antiqua"/>
          <w:color w:val="000000"/>
        </w:rPr>
        <w:t>pMMR</w:t>
      </w:r>
      <w:proofErr w:type="spellEnd"/>
      <w:r>
        <w:rPr>
          <w:rFonts w:ascii="Book Antiqua" w:eastAsia="Book Antiqua" w:hAnsi="Book Antiqua" w:cs="Book Antiqua"/>
          <w:color w:val="000000"/>
        </w:rPr>
        <w:t>/MSS tumors with complete MGMT protein loss detected with immunohistochemistry</w:t>
      </w:r>
      <w:r>
        <w:rPr>
          <w:rFonts w:ascii="Book Antiqua" w:eastAsia="Book Antiqua" w:hAnsi="Book Antiqua" w:cs="Book Antiqua"/>
          <w:color w:val="000000"/>
          <w:szCs w:val="30"/>
          <w:vertAlign w:val="superscript"/>
        </w:rPr>
        <w:t>[92]</w:t>
      </w:r>
      <w:r>
        <w:rPr>
          <w:rFonts w:ascii="Book Antiqua" w:eastAsia="Book Antiqua" w:hAnsi="Book Antiqua" w:cs="Book Antiqua"/>
          <w:color w:val="000000"/>
        </w:rPr>
        <w:t>. After the first disease response, MGMT re-expression, the selection of sub-clones that express MGMT, or a hypermutated condition resulting from acquired mutations in MMR genes that might make mCRC sensitive to ICIs can all lead to secondary resistance to TMZ</w:t>
      </w:r>
      <w:r>
        <w:rPr>
          <w:rFonts w:ascii="Book Antiqua" w:eastAsia="Book Antiqua" w:hAnsi="Book Antiqua" w:cs="Book Antiqua"/>
          <w:color w:val="000000"/>
          <w:szCs w:val="30"/>
          <w:vertAlign w:val="superscript"/>
        </w:rPr>
        <w:t>[93]</w:t>
      </w:r>
      <w:r>
        <w:rPr>
          <w:rFonts w:ascii="Book Antiqua" w:eastAsia="Book Antiqua" w:hAnsi="Book Antiqua" w:cs="Book Antiqua"/>
          <w:color w:val="000000"/>
        </w:rPr>
        <w:t xml:space="preserve">. In the MAYA study, 204 of 703 assessed patients (29%) were found to be molecularly suitable. Overall, 142 of 703 (19%) patients were enrolled in phase 1, with just 33 (5% of the initial 703 screened patients) progressing to phase 2. The 8-mo PFS rate was 36% after a median follow-up of 23.1 mo. The median PFS and OS were 7.0 and 18.4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respectively, with a 45% response rate. Skin rash (6%), colitis (3%), and </w:t>
      </w:r>
      <w:proofErr w:type="spellStart"/>
      <w:r>
        <w:rPr>
          <w:rFonts w:ascii="Book Antiqua" w:eastAsia="Book Antiqua" w:hAnsi="Book Antiqua" w:cs="Book Antiqua"/>
          <w:color w:val="000000"/>
        </w:rPr>
        <w:t>hypophysitis</w:t>
      </w:r>
      <w:proofErr w:type="spellEnd"/>
      <w:r>
        <w:rPr>
          <w:rFonts w:ascii="Book Antiqua" w:eastAsia="Book Antiqua" w:hAnsi="Book Antiqua" w:cs="Book Antiqua"/>
          <w:color w:val="000000"/>
        </w:rPr>
        <w:t xml:space="preserve"> (3%), were all immune-related side effects of grade 3-4 severity. There were no unanticipated AEs or treatment-related fatalities recorded. They concluded that TMZ priming followed by a combination of low-dose ipilimumab and nivolumab might result in long-term therapeutic benefit in MSS and MGMT-silenced mCRC. These findings should be considered with caution due to the lack of a control arm testing the effectiveness of TMZ monotherapy, which prevented the investigators from distinguishing the effect of immunotherapy addition </w:t>
      </w:r>
      <w:r>
        <w:rPr>
          <w:rFonts w:ascii="Book Antiqua" w:eastAsia="Book Antiqua" w:hAnsi="Book Antiqua" w:cs="Book Antiqua"/>
          <w:i/>
          <w:iCs/>
          <w:color w:val="000000"/>
        </w:rPr>
        <w:t>vs</w:t>
      </w:r>
      <w:r>
        <w:rPr>
          <w:rFonts w:ascii="Book Antiqua" w:eastAsia="Book Antiqua" w:hAnsi="Book Antiqua" w:cs="Book Antiqua"/>
          <w:color w:val="000000"/>
        </w:rPr>
        <w:t xml:space="preserve"> TMZ alone. Given that not all patients who are initially susceptible to TMZ develop a hypermutated phenotype, only a subset of individuals may benefit from immunotherapy. Future analyses separating the ORR observed during phase 1 (with TMZ) from the ORR reported during phase 2 (with TMZ plus ipilimumab plus nivolumab), as well as current translational investigations, might reduce this issue. </w:t>
      </w:r>
    </w:p>
    <w:p w14:paraId="338EAF20" w14:textId="77777777" w:rsidR="00A31DCB" w:rsidRDefault="00000000">
      <w:pPr>
        <w:spacing w:line="360" w:lineRule="auto"/>
        <w:ind w:firstLineChars="112" w:firstLine="269"/>
        <w:jc w:val="both"/>
      </w:pPr>
      <w:r>
        <w:rPr>
          <w:rFonts w:ascii="Book Antiqua" w:eastAsia="Book Antiqua" w:hAnsi="Book Antiqua" w:cs="Book Antiqua"/>
          <w:color w:val="000000"/>
        </w:rPr>
        <w:t xml:space="preserve">Despite the need for more mature follow-up data, the good findings from the </w:t>
      </w:r>
      <w:proofErr w:type="spellStart"/>
      <w:r>
        <w:rPr>
          <w:rFonts w:ascii="Book Antiqua" w:eastAsia="Book Antiqua" w:hAnsi="Book Antiqua" w:cs="Book Antiqua"/>
          <w:color w:val="000000"/>
        </w:rPr>
        <w:t>AtezoTRIBE</w:t>
      </w:r>
      <w:proofErr w:type="spellEnd"/>
      <w:r>
        <w:rPr>
          <w:rFonts w:ascii="Book Antiqua" w:eastAsia="Book Antiqua" w:hAnsi="Book Antiqua" w:cs="Book Antiqua"/>
          <w:color w:val="000000"/>
        </w:rPr>
        <w:t xml:space="preserve"> and MAYA trials bring an end to a long period of stagnation and dismal outcomes in the landscape of immunotherapy in </w:t>
      </w:r>
      <w:proofErr w:type="spellStart"/>
      <w:r>
        <w:rPr>
          <w:rFonts w:ascii="Book Antiqua" w:eastAsia="Book Antiqua" w:hAnsi="Book Antiqua" w:cs="Book Antiqua"/>
          <w:color w:val="000000"/>
        </w:rPr>
        <w:t>pMMR</w:t>
      </w:r>
      <w:proofErr w:type="spellEnd"/>
      <w:r>
        <w:rPr>
          <w:rFonts w:ascii="Book Antiqua" w:eastAsia="Book Antiqua" w:hAnsi="Book Antiqua" w:cs="Book Antiqua"/>
          <w:color w:val="000000"/>
        </w:rPr>
        <w:t xml:space="preserve">/MSS mCRC. In the first-line scenario, chemotherapy escalation and TMZ delivery in MGMT-silenced chemo-refractory patients </w:t>
      </w:r>
      <w:proofErr w:type="gramStart"/>
      <w:r>
        <w:rPr>
          <w:rFonts w:ascii="Book Antiqua" w:eastAsia="Book Antiqua" w:hAnsi="Book Antiqua" w:cs="Book Antiqua"/>
          <w:color w:val="000000"/>
        </w:rPr>
        <w:t>are capable of sensitizing</w:t>
      </w:r>
      <w:proofErr w:type="gramEnd"/>
      <w:r>
        <w:rPr>
          <w:rFonts w:ascii="Book Antiqua" w:eastAsia="Book Antiqua" w:hAnsi="Book Antiqua" w:cs="Book Antiqua"/>
          <w:color w:val="000000"/>
        </w:rPr>
        <w:t xml:space="preserve"> immune-deficient or cold </w:t>
      </w:r>
      <w:proofErr w:type="spellStart"/>
      <w:r>
        <w:rPr>
          <w:rFonts w:ascii="Book Antiqua" w:eastAsia="Book Antiqua" w:hAnsi="Book Antiqua" w:cs="Book Antiqua"/>
          <w:color w:val="000000"/>
        </w:rPr>
        <w:t>mCRCs</w:t>
      </w:r>
      <w:proofErr w:type="spellEnd"/>
      <w:r>
        <w:rPr>
          <w:rFonts w:ascii="Book Antiqua" w:eastAsia="Book Antiqua" w:hAnsi="Book Antiqua" w:cs="Book Antiqua"/>
          <w:color w:val="000000"/>
        </w:rPr>
        <w:t xml:space="preserve"> to immunotherapy, perhaps rewiring an inflamed/hot TME, then unleashed against the </w:t>
      </w:r>
      <w:r>
        <w:rPr>
          <w:rFonts w:ascii="Book Antiqua" w:eastAsia="Book Antiqua" w:hAnsi="Book Antiqua" w:cs="Book Antiqua"/>
          <w:color w:val="000000"/>
        </w:rPr>
        <w:lastRenderedPageBreak/>
        <w:t>tumor by ICIs. Larger confirmatory and translational trials, however, are required to identify people who benefited the most from these therapies</w:t>
      </w:r>
      <w:r>
        <w:rPr>
          <w:rFonts w:ascii="Book Antiqua" w:eastAsia="Book Antiqua" w:hAnsi="Book Antiqua" w:cs="Book Antiqua"/>
          <w:color w:val="000000"/>
          <w:szCs w:val="30"/>
          <w:vertAlign w:val="superscript"/>
        </w:rPr>
        <w:t>[94]</w:t>
      </w:r>
      <w:r>
        <w:rPr>
          <w:rFonts w:ascii="Book Antiqua" w:eastAsia="Book Antiqua" w:hAnsi="Book Antiqua" w:cs="Book Antiqua"/>
          <w:color w:val="000000"/>
        </w:rPr>
        <w:t xml:space="preserve">. </w:t>
      </w:r>
    </w:p>
    <w:p w14:paraId="03E12297" w14:textId="77777777" w:rsidR="00A31DCB" w:rsidRDefault="00A31DCB">
      <w:pPr>
        <w:spacing w:line="360" w:lineRule="auto"/>
        <w:jc w:val="both"/>
        <w:rPr>
          <w:rFonts w:ascii="Book Antiqua" w:eastAsia="Book Antiqua" w:hAnsi="Book Antiqua" w:cs="Book Antiqua"/>
          <w:i/>
          <w:iCs/>
          <w:color w:val="000000"/>
          <w:u w:val="single"/>
        </w:rPr>
      </w:pPr>
    </w:p>
    <w:p w14:paraId="6EF8A4AA" w14:textId="77777777" w:rsidR="00A31DCB" w:rsidRDefault="00000000">
      <w:pPr>
        <w:spacing w:line="360" w:lineRule="auto"/>
        <w:jc w:val="both"/>
        <w:rPr>
          <w:b/>
          <w:bCs/>
          <w:u w:val="single"/>
        </w:rPr>
      </w:pPr>
      <w:r>
        <w:rPr>
          <w:rFonts w:ascii="Book Antiqua" w:eastAsia="Book Antiqua" w:hAnsi="Book Antiqua" w:cs="Book Antiqua"/>
          <w:b/>
          <w:bCs/>
          <w:color w:val="000000"/>
          <w:u w:val="single"/>
        </w:rPr>
        <w:t>ADOPTIVE CELL THERAPY</w:t>
      </w:r>
    </w:p>
    <w:p w14:paraId="53D1F53C" w14:textId="77777777" w:rsidR="00A31DCB" w:rsidRDefault="00000000">
      <w:pPr>
        <w:spacing w:line="360" w:lineRule="auto"/>
        <w:jc w:val="both"/>
      </w:pPr>
      <w:r>
        <w:rPr>
          <w:rFonts w:ascii="Book Antiqua" w:eastAsia="Book Antiqua" w:hAnsi="Book Antiqua" w:cs="Book Antiqua"/>
          <w:color w:val="000000"/>
        </w:rPr>
        <w:t xml:space="preserve">Adoptive cell therapy (ACT), a crucial component of tumor immunotherapy, entails the introduction of immunologically active cells that have been grown and altered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to have direct anticancer action against the cancer-stricken host. Chimeric antigen receptor T (CAR-T) cells, TILs, and T cell receptor-engineered T cells are the three ACT types currently being researched for the treatment of cancer. CAR-T cell therapy entails modifying T cells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in an MHC-independent manner so that they can target tumor antigens and produce an anticancer immune response. With its tremendous effectiveness in treating leukemia, multiple myeloma, some forms of lymphoma, and mCRC, CAR-T cell therapy has a lot of room to grow</w:t>
      </w:r>
      <w:r>
        <w:rPr>
          <w:rFonts w:ascii="Book Antiqua" w:eastAsia="Book Antiqua" w:hAnsi="Book Antiqua" w:cs="Book Antiqua"/>
          <w:color w:val="000000"/>
          <w:szCs w:val="30"/>
          <w:vertAlign w:val="superscript"/>
        </w:rPr>
        <w:t>[95]</w:t>
      </w:r>
      <w:r>
        <w:rPr>
          <w:rFonts w:ascii="Book Antiqua" w:eastAsia="Book Antiqua" w:hAnsi="Book Antiqua" w:cs="Book Antiqua"/>
          <w:color w:val="000000"/>
        </w:rPr>
        <w:t xml:space="preserve">. Numerous clinical investigations on the safety and efficacy of CAR-T cell treatment are now being conducted </w:t>
      </w:r>
      <w:proofErr w:type="gramStart"/>
      <w:r>
        <w:rPr>
          <w:rFonts w:ascii="Book Antiqua" w:eastAsia="Book Antiqua" w:hAnsi="Book Antiqua" w:cs="Book Antiqua"/>
          <w:color w:val="000000"/>
        </w:rPr>
        <w:t>in order to</w:t>
      </w:r>
      <w:proofErr w:type="gramEnd"/>
      <w:r>
        <w:rPr>
          <w:rFonts w:ascii="Book Antiqua" w:eastAsia="Book Antiqua" w:hAnsi="Book Antiqua" w:cs="Book Antiqua"/>
          <w:color w:val="000000"/>
        </w:rPr>
        <w:t xml:space="preserve"> determine its therapeutic potential in the field of CRC. One of the first human trials using CAR-T cells to treat metastatic CRC was published by Hege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[96]</w:t>
      </w:r>
      <w:r>
        <w:rPr>
          <w:rFonts w:ascii="Book Antiqua" w:eastAsia="Book Antiqua" w:hAnsi="Book Antiqua" w:cs="Book Antiqua"/>
          <w:color w:val="000000"/>
        </w:rPr>
        <w:t>. It consisted of two phase 1 experiments with the same CART72 cells (C9701 and C9702). As first-generation CAR-T cells with a CD3-zeta intracellular signaling domain that specifically targeted the tumor-associated glycoprotein-72, CART72 cells were created. The way CART72 was administered in the two studies was different. In trial C9702, patients with CLM received direct hepatic artery infusions, whereas in trial C9701, CART72 was administered intravenously in increasing dosages. Despite a brief blood persistence and modest trafficking to tumor tissue, the data indicated a good safety profile. In addition, rapid clearance following CAR-T cell infusion was linked to CART72 immunogenicity.</w:t>
      </w:r>
    </w:p>
    <w:p w14:paraId="38B9D2CB" w14:textId="77777777" w:rsidR="00A31DCB" w:rsidRDefault="00000000">
      <w:pPr>
        <w:spacing w:line="360" w:lineRule="auto"/>
        <w:ind w:firstLine="270"/>
        <w:jc w:val="both"/>
      </w:pPr>
      <w:r>
        <w:rPr>
          <w:rFonts w:ascii="Book Antiqua" w:eastAsia="Book Antiqua" w:hAnsi="Book Antiqua" w:cs="Book Antiqua"/>
          <w:color w:val="000000"/>
        </w:rPr>
        <w:t xml:space="preserve">Guanylylcyclase2C (GUCY2C) was mentioned by Magee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[97,98]</w:t>
      </w:r>
      <w:r>
        <w:rPr>
          <w:rFonts w:ascii="Book Antiqua" w:eastAsia="Book Antiqua" w:hAnsi="Book Antiqua" w:cs="Book Antiqua"/>
          <w:color w:val="000000"/>
        </w:rPr>
        <w:t xml:space="preserve"> as a potential CAR-T cell target. In a mouse model lacking autoimmunity, they demonstrated that GUCY2C CAR-T cells may cure parenchymal CRC metastases. Additionally, they showed that GUCY2C targeted CAR-T cell treatment works well against metastatic cancers in mouse models and in human CRC xenograft models. Zhang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[99]</w:t>
      </w:r>
      <w:r>
        <w:rPr>
          <w:rFonts w:ascii="Book Antiqua" w:eastAsia="Book Antiqua" w:hAnsi="Book Antiqua" w:cs="Book Antiqua"/>
          <w:color w:val="000000"/>
        </w:rPr>
        <w:t xml:space="preserve"> conducted a phase 1 study </w:t>
      </w:r>
      <w:r>
        <w:rPr>
          <w:rFonts w:ascii="Book Antiqua" w:eastAsia="Book Antiqua" w:hAnsi="Book Antiqua" w:cs="Book Antiqua"/>
          <w:color w:val="000000"/>
        </w:rPr>
        <w:lastRenderedPageBreak/>
        <w:t>using CEA-positive CRC patients to create and assess CEA CAR-T cell treatment in 10 resistant and relapsed CRC patients with metastases. CAR-T cells were administered at five increasing dosage levels (1 × 10</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to 1 × 10</w:t>
      </w:r>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/CAR+/kg cells) to these individuals. The findings demonstrated that there were no significant side effects of CAR-T treatment. Seven of the ten patients—those with progressing illness throughout prior therapies—had stable disease following CAR-T cells therapy. Two patients had tumors removed, and two others had stable illnesses for more than 30 wk. They concluded that CEA CAR-T cell treatment, even at large dosages, was well tolerated in CEA+ CRC patients and that </w:t>
      </w:r>
      <w:proofErr w:type="gramStart"/>
      <w:r>
        <w:rPr>
          <w:rFonts w:ascii="Book Antiqua" w:eastAsia="Book Antiqua" w:hAnsi="Book Antiqua" w:cs="Book Antiqua"/>
          <w:color w:val="000000"/>
        </w:rPr>
        <w:t>the majority of</w:t>
      </w:r>
      <w:proofErr w:type="gramEnd"/>
      <w:r>
        <w:rPr>
          <w:rFonts w:ascii="Book Antiqua" w:eastAsia="Book Antiqua" w:hAnsi="Book Antiqua" w:cs="Book Antiqua"/>
          <w:color w:val="000000"/>
        </w:rPr>
        <w:t xml:space="preserve"> the treated patients showed some effectiveness.</w:t>
      </w:r>
    </w:p>
    <w:p w14:paraId="4BD880F9" w14:textId="77777777" w:rsidR="00A31DCB" w:rsidRDefault="00000000">
      <w:pPr>
        <w:spacing w:line="360" w:lineRule="auto"/>
        <w:ind w:firstLine="270"/>
        <w:jc w:val="both"/>
      </w:pPr>
      <w:r>
        <w:rPr>
          <w:rFonts w:ascii="Book Antiqua" w:eastAsia="Book Antiqua" w:hAnsi="Book Antiqua" w:cs="Book Antiqua"/>
          <w:color w:val="000000"/>
        </w:rPr>
        <w:t>Several ongoing trials are investigating the use of CAR-T cell in the treatment of CRC</w:t>
      </w:r>
      <w:r>
        <w:rPr>
          <w:rFonts w:ascii="Book Antiqua" w:eastAsia="Book Antiqua" w:hAnsi="Book Antiqua" w:cs="Book Antiqua"/>
          <w:color w:val="000000"/>
          <w:vertAlign w:val="superscript"/>
        </w:rPr>
        <w:t>[100]</w:t>
      </w:r>
      <w:r>
        <w:rPr>
          <w:rFonts w:ascii="Book Antiqua" w:eastAsia="Book Antiqua" w:hAnsi="Book Antiqua" w:cs="Book Antiqua"/>
          <w:color w:val="000000"/>
        </w:rPr>
        <w:t xml:space="preserve">. These included the safety, cellular kinetics, and efficacy of CYAD-101, an allogenic CAR-T cell therapy targeting ligands of NKG2D that was administered concurrently with FOLFOX, the efficiency and safety of NKR-2 CAR-T cells, EGFR and EGFR IL 12 CAR-T cell safety and feasibility, the use of anti-carcinoembryonic antigen targeted CAR-T cells, and investigating the efficacy and safety of HER2 chimeric antigen receptor-modified adenovirus-specific cytotoxic T lymphocytes administered in association with </w:t>
      </w:r>
      <w:proofErr w:type="spellStart"/>
      <w:r>
        <w:rPr>
          <w:rFonts w:ascii="Book Antiqua" w:eastAsia="Book Antiqua" w:hAnsi="Book Antiqua" w:cs="Book Antiqua"/>
          <w:color w:val="000000"/>
        </w:rPr>
        <w:t>intratumoral</w:t>
      </w:r>
      <w:proofErr w:type="spellEnd"/>
      <w:r>
        <w:rPr>
          <w:rFonts w:ascii="Book Antiqua" w:eastAsia="Book Antiqua" w:hAnsi="Book Antiqua" w:cs="Book Antiqua"/>
          <w:color w:val="000000"/>
        </w:rPr>
        <w:t xml:space="preserve"> injection of </w:t>
      </w:r>
      <w:proofErr w:type="spellStart"/>
      <w:r>
        <w:rPr>
          <w:rFonts w:ascii="Book Antiqua" w:eastAsia="Book Antiqua" w:hAnsi="Book Antiqua" w:cs="Book Antiqua"/>
          <w:color w:val="000000"/>
        </w:rPr>
        <w:t>CAdVEC</w:t>
      </w:r>
      <w:proofErr w:type="spellEnd"/>
      <w:r>
        <w:rPr>
          <w:rFonts w:ascii="Book Antiqua" w:eastAsia="Book Antiqua" w:hAnsi="Book Antiqua" w:cs="Book Antiqua"/>
          <w:color w:val="000000"/>
        </w:rPr>
        <w:t xml:space="preserve"> in patients with unresectable mCRC.</w:t>
      </w:r>
    </w:p>
    <w:p w14:paraId="4BD8B862" w14:textId="77777777" w:rsidR="00A31DCB" w:rsidRDefault="00A31DCB">
      <w:pPr>
        <w:spacing w:line="360" w:lineRule="auto"/>
        <w:jc w:val="both"/>
      </w:pPr>
    </w:p>
    <w:p w14:paraId="54265EF8" w14:textId="77777777" w:rsidR="00A31DCB" w:rsidRDefault="00000000">
      <w:pPr>
        <w:spacing w:line="360" w:lineRule="auto"/>
        <w:jc w:val="both"/>
      </w:pPr>
      <w:r>
        <w:rPr>
          <w:rFonts w:ascii="Book Antiqua" w:eastAsia="Book Antiqua" w:hAnsi="Book Antiqua" w:cs="Book Antiqua"/>
          <w:b/>
          <w:caps/>
          <w:color w:val="000000"/>
          <w:u w:val="single"/>
        </w:rPr>
        <w:t>CONCLUSION</w:t>
      </w:r>
    </w:p>
    <w:p w14:paraId="5F1621FD" w14:textId="77777777" w:rsidR="00A31DCB" w:rsidRDefault="00000000">
      <w:pPr>
        <w:spacing w:line="360" w:lineRule="auto"/>
        <w:jc w:val="both"/>
      </w:pPr>
      <w:r>
        <w:rPr>
          <w:rFonts w:ascii="Book Antiqua" w:eastAsia="Book Antiqua" w:hAnsi="Book Antiqua" w:cs="Book Antiqua"/>
          <w:color w:val="000000"/>
        </w:rPr>
        <w:t xml:space="preserve">With the discovery and comprehension of several molecular and anatomical indicators, the landscape of systemic therapy for mCRC has significantly changed. To find the most effective treatment solution for mCRC patients, a baseline, thorough molecular study is now required. The effect of RAS, BRAF, HER2, POLE, MMR, MSS, and MSI status on therapy choice is summarized in this article. The selection of an efficient first-line therapy, which should consider both clinical factors and molecular signs, is crucial for deciding treatment outcomes. The second-line regimen is chosen based on the systemic therapies utilized in the first. For patients with RAS WT, third-line treatment, which includes EGFR inhibitors, should consider molecular profiling. Immunotherapy with pembrolizumab or </w:t>
      </w:r>
      <w:r>
        <w:rPr>
          <w:rFonts w:ascii="Book Antiqua" w:eastAsia="Book Antiqua" w:hAnsi="Book Antiqua" w:cs="Book Antiqua"/>
          <w:color w:val="000000"/>
        </w:rPr>
        <w:lastRenderedPageBreak/>
        <w:t xml:space="preserve">nivolumab plus ipilimumab may be an option for patients with high microsatellite instability diseases. </w:t>
      </w:r>
    </w:p>
    <w:p w14:paraId="6F22D534" w14:textId="77777777" w:rsidR="00A31DCB" w:rsidRDefault="00000000">
      <w:pPr>
        <w:spacing w:line="360" w:lineRule="auto"/>
        <w:ind w:firstLineChars="112" w:firstLine="269"/>
        <w:jc w:val="both"/>
        <w:rPr>
          <w:rFonts w:ascii="Book Antiqua" w:eastAsia="Book Antiqua" w:hAnsi="Book Antiqua" w:cs="Book Antiqua"/>
          <w:color w:val="000000"/>
        </w:rPr>
      </w:pPr>
      <w:r>
        <w:rPr>
          <w:rFonts w:ascii="Book Antiqua" w:eastAsia="Book Antiqua" w:hAnsi="Book Antiqua" w:cs="Book Antiqua"/>
          <w:color w:val="000000"/>
        </w:rPr>
        <w:t xml:space="preserve">The TME has been identified as a crucial player in CRC tumor growth and metastasis. This process involves </w:t>
      </w:r>
      <w:proofErr w:type="gramStart"/>
      <w:r>
        <w:rPr>
          <w:rFonts w:ascii="Book Antiqua" w:eastAsia="Book Antiqua" w:hAnsi="Book Antiqua" w:cs="Book Antiqua"/>
          <w:color w:val="000000"/>
        </w:rPr>
        <w:t>all of</w:t>
      </w:r>
      <w:proofErr w:type="gramEnd"/>
      <w:r>
        <w:rPr>
          <w:rFonts w:ascii="Book Antiqua" w:eastAsia="Book Antiqua" w:hAnsi="Book Antiqua" w:cs="Book Antiqua"/>
          <w:color w:val="000000"/>
        </w:rPr>
        <w:t xml:space="preserve"> the components from both bacteria and the host. Although each component has a unique function in CRC growth and metastasis, </w:t>
      </w:r>
      <w:proofErr w:type="gramStart"/>
      <w:r>
        <w:rPr>
          <w:rFonts w:ascii="Book Antiqua" w:eastAsia="Book Antiqua" w:hAnsi="Book Antiqua" w:cs="Book Antiqua"/>
          <w:color w:val="000000"/>
        </w:rPr>
        <w:t>the majority of</w:t>
      </w:r>
      <w:proofErr w:type="gramEnd"/>
      <w:r>
        <w:rPr>
          <w:rFonts w:ascii="Book Antiqua" w:eastAsia="Book Antiqua" w:hAnsi="Book Antiqua" w:cs="Book Antiqua"/>
          <w:color w:val="000000"/>
        </w:rPr>
        <w:t xml:space="preserve"> them act as a double-edged sword, promoting or inhibiting tumor expansion depending on the setting. TME-modulating treatment methods are showing promise. Many </w:t>
      </w:r>
      <w:proofErr w:type="gramStart"/>
      <w:r>
        <w:rPr>
          <w:rFonts w:ascii="Book Antiqua" w:eastAsia="Book Antiqua" w:hAnsi="Book Antiqua" w:cs="Book Antiqua"/>
          <w:color w:val="000000"/>
        </w:rPr>
        <w:t>researches</w:t>
      </w:r>
      <w:proofErr w:type="gramEnd"/>
      <w:r>
        <w:rPr>
          <w:rFonts w:ascii="Book Antiqua" w:eastAsia="Book Antiqua" w:hAnsi="Book Antiqua" w:cs="Book Antiqua"/>
          <w:color w:val="000000"/>
        </w:rPr>
        <w:t xml:space="preserve"> have confirmed that altering the TME can result in greater anti-tumor actions. Clinical investigations have indicated that TME remodeling has a high potential for improving medication therapeutic efficacy. Furthermore, because tumors tend to acquire resistance, monotherapy is frequently insufficient. Combining TME remodeling techniques with other potential therapies, such as targeted treatment and immunotherapy, is another component we need to investigate </w:t>
      </w:r>
      <w:proofErr w:type="gramStart"/>
      <w:r>
        <w:rPr>
          <w:rFonts w:ascii="Book Antiqua" w:eastAsia="Book Antiqua" w:hAnsi="Book Antiqua" w:cs="Book Antiqua"/>
          <w:color w:val="000000"/>
        </w:rPr>
        <w:t>in the near future</w:t>
      </w:r>
      <w:proofErr w:type="gramEnd"/>
      <w:r>
        <w:rPr>
          <w:rFonts w:ascii="Book Antiqua" w:eastAsia="Book Antiqua" w:hAnsi="Book Antiqua" w:cs="Book Antiqua"/>
          <w:color w:val="000000"/>
        </w:rPr>
        <w:t xml:space="preserve"> to reduce treatment resistance.</w:t>
      </w:r>
    </w:p>
    <w:p w14:paraId="265A141E" w14:textId="77777777" w:rsidR="00A31DCB" w:rsidRDefault="00A31DCB">
      <w:pPr>
        <w:spacing w:line="360" w:lineRule="auto"/>
        <w:jc w:val="both"/>
      </w:pPr>
    </w:p>
    <w:p w14:paraId="68C28FD9" w14:textId="77777777" w:rsidR="00A31DCB" w:rsidRDefault="00000000">
      <w:pPr>
        <w:spacing w:line="360" w:lineRule="auto"/>
        <w:jc w:val="both"/>
      </w:pPr>
      <w:r>
        <w:rPr>
          <w:rFonts w:ascii="Book Antiqua" w:eastAsia="Book Antiqua" w:hAnsi="Book Antiqua" w:cs="Book Antiqua"/>
          <w:b/>
          <w:color w:val="000000"/>
        </w:rPr>
        <w:t>REFERENCES</w:t>
      </w:r>
    </w:p>
    <w:p w14:paraId="0B156694" w14:textId="77777777" w:rsidR="00A31DCB" w:rsidRDefault="00000000">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Siegel RL</w:t>
      </w:r>
      <w:r>
        <w:rPr>
          <w:rFonts w:ascii="Book Antiqua" w:eastAsia="Book Antiqua" w:hAnsi="Book Antiqua" w:cs="Book Antiqua"/>
          <w:color w:val="000000"/>
        </w:rPr>
        <w:t xml:space="preserve">, Miller KD, Fuchs HE, Jemal A. Cancer statistics, 2022.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2022; </w:t>
      </w:r>
      <w:r>
        <w:rPr>
          <w:rFonts w:ascii="Book Antiqua" w:eastAsia="Book Antiqua" w:hAnsi="Book Antiqua" w:cs="Book Antiqua"/>
          <w:b/>
          <w:bCs/>
          <w:color w:val="000000"/>
        </w:rPr>
        <w:t>72</w:t>
      </w:r>
      <w:r>
        <w:rPr>
          <w:rFonts w:ascii="Book Antiqua" w:eastAsia="Book Antiqua" w:hAnsi="Book Antiqua" w:cs="Book Antiqua"/>
          <w:color w:val="000000"/>
        </w:rPr>
        <w:t>: 7-33 [PMID: 35020204 DOI: 10.3322/caac.21708]</w:t>
      </w:r>
    </w:p>
    <w:p w14:paraId="4F0D0113" w14:textId="77777777" w:rsidR="00A31DCB" w:rsidRDefault="00000000">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Stewart CL</w:t>
      </w:r>
      <w:r>
        <w:rPr>
          <w:rFonts w:ascii="Book Antiqua" w:eastAsia="Book Antiqua" w:hAnsi="Book Antiqua" w:cs="Book Antiqua"/>
          <w:color w:val="000000"/>
        </w:rPr>
        <w:t xml:space="preserve">, Warner S, Ito K, </w:t>
      </w:r>
      <w:proofErr w:type="spellStart"/>
      <w:r>
        <w:rPr>
          <w:rFonts w:ascii="Book Antiqua" w:eastAsia="Book Antiqua" w:hAnsi="Book Antiqua" w:cs="Book Antiqua"/>
          <w:color w:val="000000"/>
        </w:rPr>
        <w:t>Raoof</w:t>
      </w:r>
      <w:proofErr w:type="spellEnd"/>
      <w:r>
        <w:rPr>
          <w:rFonts w:ascii="Book Antiqua" w:eastAsia="Book Antiqua" w:hAnsi="Book Antiqua" w:cs="Book Antiqua"/>
          <w:color w:val="000000"/>
        </w:rPr>
        <w:t xml:space="preserve"> M, Wu GX, Kessler J, Kim JY, Fong Y. Cytoreduction for colorectal metastases: liver, lung, peritoneum, lymph nodes, bone, brain. When does it palliate, prolong survival, and potentially cure?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Probl</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2018; </w:t>
      </w:r>
      <w:r>
        <w:rPr>
          <w:rFonts w:ascii="Book Antiqua" w:eastAsia="Book Antiqua" w:hAnsi="Book Antiqua" w:cs="Book Antiqua"/>
          <w:b/>
          <w:bCs/>
          <w:color w:val="000000"/>
        </w:rPr>
        <w:t>55</w:t>
      </w:r>
      <w:r>
        <w:rPr>
          <w:rFonts w:ascii="Book Antiqua" w:eastAsia="Book Antiqua" w:hAnsi="Book Antiqua" w:cs="Book Antiqua"/>
          <w:color w:val="000000"/>
        </w:rPr>
        <w:t>: 330-379 [PMID: 30526930 DOI: 10.1067/j.cpsurg.2018.08.004]</w:t>
      </w:r>
    </w:p>
    <w:p w14:paraId="40EF106A" w14:textId="77777777" w:rsidR="00A31DCB" w:rsidRDefault="00000000">
      <w:pPr>
        <w:spacing w:line="360" w:lineRule="auto"/>
        <w:jc w:val="both"/>
      </w:pPr>
      <w:r>
        <w:rPr>
          <w:rFonts w:ascii="Book Antiqua" w:eastAsia="Book Antiqua" w:hAnsi="Book Antiqua" w:cs="Book Antiqua"/>
          <w:color w:val="000000"/>
        </w:rPr>
        <w:t xml:space="preserve">3 American Cancer Society: About Colorectal Cancer (2022). [cited 4 November 2022]. Available from: https://www.cancer.org/cancer/colon-rectal-cancer/about.html/ </w:t>
      </w:r>
    </w:p>
    <w:p w14:paraId="2E559C88" w14:textId="77777777" w:rsidR="00A31DCB" w:rsidRDefault="00000000">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Hughes KS</w:t>
      </w:r>
      <w:r>
        <w:rPr>
          <w:rFonts w:ascii="Book Antiqua" w:eastAsia="Book Antiqua" w:hAnsi="Book Antiqua" w:cs="Book Antiqua"/>
          <w:color w:val="000000"/>
        </w:rPr>
        <w:t xml:space="preserve">, Rosenstein RB, </w:t>
      </w:r>
      <w:proofErr w:type="spellStart"/>
      <w:r>
        <w:rPr>
          <w:rFonts w:ascii="Book Antiqua" w:eastAsia="Book Antiqua" w:hAnsi="Book Antiqua" w:cs="Book Antiqua"/>
          <w:color w:val="000000"/>
        </w:rPr>
        <w:t>Songhorabodi</w:t>
      </w:r>
      <w:proofErr w:type="spellEnd"/>
      <w:r>
        <w:rPr>
          <w:rFonts w:ascii="Book Antiqua" w:eastAsia="Book Antiqua" w:hAnsi="Book Antiqua" w:cs="Book Antiqua"/>
          <w:color w:val="000000"/>
        </w:rPr>
        <w:t xml:space="preserve"> S, Adson MA, </w:t>
      </w:r>
      <w:proofErr w:type="spellStart"/>
      <w:r>
        <w:rPr>
          <w:rFonts w:ascii="Book Antiqua" w:eastAsia="Book Antiqua" w:hAnsi="Book Antiqua" w:cs="Book Antiqua"/>
          <w:color w:val="000000"/>
        </w:rPr>
        <w:t>Ilstrup</w:t>
      </w:r>
      <w:proofErr w:type="spellEnd"/>
      <w:r>
        <w:rPr>
          <w:rFonts w:ascii="Book Antiqua" w:eastAsia="Book Antiqua" w:hAnsi="Book Antiqua" w:cs="Book Antiqua"/>
          <w:color w:val="000000"/>
        </w:rPr>
        <w:t xml:space="preserve"> DM, Fortner JG, Maclean BJ, Foster JH, Daly JM, Fitzherbert D. Resection of the liver for colorectal carcinoma metastases. A multi-institutional study of long-term survivors. </w:t>
      </w:r>
      <w:r>
        <w:rPr>
          <w:rFonts w:ascii="Book Antiqua" w:eastAsia="Book Antiqua" w:hAnsi="Book Antiqua" w:cs="Book Antiqua"/>
          <w:i/>
          <w:iCs/>
          <w:color w:val="000000"/>
        </w:rPr>
        <w:t>Dis Colon Rectum</w:t>
      </w:r>
      <w:r>
        <w:rPr>
          <w:rFonts w:ascii="Book Antiqua" w:eastAsia="Book Antiqua" w:hAnsi="Book Antiqua" w:cs="Book Antiqua"/>
          <w:color w:val="000000"/>
        </w:rPr>
        <w:t xml:space="preserve"> 1988; </w:t>
      </w:r>
      <w:r>
        <w:rPr>
          <w:rFonts w:ascii="Book Antiqua" w:eastAsia="Book Antiqua" w:hAnsi="Book Antiqua" w:cs="Book Antiqua"/>
          <w:b/>
          <w:bCs/>
          <w:color w:val="000000"/>
        </w:rPr>
        <w:t>31</w:t>
      </w:r>
      <w:r>
        <w:rPr>
          <w:rFonts w:ascii="Book Antiqua" w:eastAsia="Book Antiqua" w:hAnsi="Book Antiqua" w:cs="Book Antiqua"/>
          <w:color w:val="000000"/>
        </w:rPr>
        <w:t>: 1-4 [PMID: 3366020 DOI: 10.1007/BF02552560]</w:t>
      </w:r>
    </w:p>
    <w:p w14:paraId="2562E812" w14:textId="77777777" w:rsidR="00A31DCB" w:rsidRDefault="00000000">
      <w:pPr>
        <w:spacing w:line="360" w:lineRule="auto"/>
        <w:jc w:val="both"/>
      </w:pPr>
      <w:r>
        <w:rPr>
          <w:rFonts w:ascii="Book Antiqua" w:eastAsia="Book Antiqua" w:hAnsi="Book Antiqua" w:cs="Book Antiqua"/>
          <w:color w:val="000000"/>
        </w:rPr>
        <w:lastRenderedPageBreak/>
        <w:t xml:space="preserve">5 </w:t>
      </w:r>
      <w:proofErr w:type="spellStart"/>
      <w:r>
        <w:rPr>
          <w:rFonts w:ascii="Book Antiqua" w:eastAsia="Book Antiqua" w:hAnsi="Book Antiqua" w:cs="Book Antiqua"/>
          <w:b/>
          <w:bCs/>
          <w:color w:val="000000"/>
        </w:rPr>
        <w:t>Baidoun</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Elshiwy</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Elkeraie</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Merjaneh</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Khoudari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Sarmini</w:t>
      </w:r>
      <w:proofErr w:type="spellEnd"/>
      <w:r>
        <w:rPr>
          <w:rFonts w:ascii="Book Antiqua" w:eastAsia="Book Antiqua" w:hAnsi="Book Antiqua" w:cs="Book Antiqua"/>
          <w:color w:val="000000"/>
        </w:rPr>
        <w:t xml:space="preserve"> MT, Gad M, Al-Husseini M, Saad A. Colorectal Cancer Epidemiology: Recent Trends and Impact on Outcomes.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Drug Targets</w:t>
      </w:r>
      <w:r>
        <w:rPr>
          <w:rFonts w:ascii="Book Antiqua" w:eastAsia="Book Antiqua" w:hAnsi="Book Antiqua" w:cs="Book Antiqua"/>
          <w:color w:val="000000"/>
        </w:rPr>
        <w:t xml:space="preserve"> 2021; </w:t>
      </w:r>
      <w:r>
        <w:rPr>
          <w:rFonts w:ascii="Book Antiqua" w:eastAsia="Book Antiqua" w:hAnsi="Book Antiqua" w:cs="Book Antiqua"/>
          <w:b/>
          <w:bCs/>
          <w:color w:val="000000"/>
        </w:rPr>
        <w:t>22</w:t>
      </w:r>
      <w:r>
        <w:rPr>
          <w:rFonts w:ascii="Book Antiqua" w:eastAsia="Book Antiqua" w:hAnsi="Book Antiqua" w:cs="Book Antiqua"/>
          <w:color w:val="000000"/>
        </w:rPr>
        <w:t>: 998-1009 [PMID: 33208072 DOI: 10.2174/1389450121999201117115717]</w:t>
      </w:r>
    </w:p>
    <w:p w14:paraId="5E6DCC22" w14:textId="77777777" w:rsidR="00A31DCB" w:rsidRDefault="00000000">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Santos AJM</w:t>
      </w:r>
      <w:r>
        <w:rPr>
          <w:rFonts w:ascii="Book Antiqua" w:eastAsia="Book Antiqua" w:hAnsi="Book Antiqua" w:cs="Book Antiqua"/>
          <w:color w:val="000000"/>
        </w:rPr>
        <w:t xml:space="preserve">, Lo YH, </w:t>
      </w:r>
      <w:proofErr w:type="spellStart"/>
      <w:r>
        <w:rPr>
          <w:rFonts w:ascii="Book Antiqua" w:eastAsia="Book Antiqua" w:hAnsi="Book Antiqua" w:cs="Book Antiqua"/>
          <w:color w:val="000000"/>
        </w:rPr>
        <w:t>Mah</w:t>
      </w:r>
      <w:proofErr w:type="spellEnd"/>
      <w:r>
        <w:rPr>
          <w:rFonts w:ascii="Book Antiqua" w:eastAsia="Book Antiqua" w:hAnsi="Book Antiqua" w:cs="Book Antiqua"/>
          <w:color w:val="000000"/>
        </w:rPr>
        <w:t xml:space="preserve"> AT, </w:t>
      </w:r>
      <w:proofErr w:type="spellStart"/>
      <w:r>
        <w:rPr>
          <w:rFonts w:ascii="Book Antiqua" w:eastAsia="Book Antiqua" w:hAnsi="Book Antiqua" w:cs="Book Antiqua"/>
          <w:color w:val="000000"/>
        </w:rPr>
        <w:t>Kuo</w:t>
      </w:r>
      <w:proofErr w:type="spellEnd"/>
      <w:r>
        <w:rPr>
          <w:rFonts w:ascii="Book Antiqua" w:eastAsia="Book Antiqua" w:hAnsi="Book Antiqua" w:cs="Book Antiqua"/>
          <w:color w:val="000000"/>
        </w:rPr>
        <w:t xml:space="preserve"> CJ. The Intestinal Stem Cell Niche: Homeostasis and Adaptations. </w:t>
      </w:r>
      <w:r>
        <w:rPr>
          <w:rFonts w:ascii="Book Antiqua" w:eastAsia="Book Antiqua" w:hAnsi="Book Antiqua" w:cs="Book Antiqua"/>
          <w:i/>
          <w:iCs/>
          <w:color w:val="000000"/>
        </w:rPr>
        <w:t>Trends Cell Biol</w:t>
      </w:r>
      <w:r>
        <w:rPr>
          <w:rFonts w:ascii="Book Antiqua" w:eastAsia="Book Antiqua" w:hAnsi="Book Antiqua" w:cs="Book Antiqua"/>
          <w:color w:val="000000"/>
        </w:rPr>
        <w:t xml:space="preserve"> 2018; </w:t>
      </w:r>
      <w:r>
        <w:rPr>
          <w:rFonts w:ascii="Book Antiqua" w:eastAsia="Book Antiqua" w:hAnsi="Book Antiqua" w:cs="Book Antiqua"/>
          <w:b/>
          <w:bCs/>
          <w:color w:val="000000"/>
        </w:rPr>
        <w:t>28</w:t>
      </w:r>
      <w:r>
        <w:rPr>
          <w:rFonts w:ascii="Book Antiqua" w:eastAsia="Book Antiqua" w:hAnsi="Book Antiqua" w:cs="Book Antiqua"/>
          <w:color w:val="000000"/>
        </w:rPr>
        <w:t>: 1062-1078 [PMID: 30195922 DOI: 10.1016/j.tcb.2018.08.001]</w:t>
      </w:r>
    </w:p>
    <w:p w14:paraId="353D2D23" w14:textId="77777777" w:rsidR="00A31DCB" w:rsidRDefault="00000000">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Chacón-Martínez CA</w:t>
      </w:r>
      <w:r>
        <w:rPr>
          <w:rFonts w:ascii="Book Antiqua" w:eastAsia="Book Antiqua" w:hAnsi="Book Antiqua" w:cs="Book Antiqua"/>
          <w:color w:val="000000"/>
        </w:rPr>
        <w:t xml:space="preserve">, Koester J, Wickström SA. Signaling in the stem cell niche: regulating cell fate, </w:t>
      </w:r>
      <w:proofErr w:type="gramStart"/>
      <w:r>
        <w:rPr>
          <w:rFonts w:ascii="Book Antiqua" w:eastAsia="Book Antiqua" w:hAnsi="Book Antiqua" w:cs="Book Antiqua"/>
          <w:color w:val="000000"/>
        </w:rPr>
        <w:t>function</w:t>
      </w:r>
      <w:proofErr w:type="gramEnd"/>
      <w:r>
        <w:rPr>
          <w:rFonts w:ascii="Book Antiqua" w:eastAsia="Book Antiqua" w:hAnsi="Book Antiqua" w:cs="Book Antiqua"/>
          <w:color w:val="000000"/>
        </w:rPr>
        <w:t xml:space="preserve"> and plasticity. </w:t>
      </w:r>
      <w:r>
        <w:rPr>
          <w:rFonts w:ascii="Book Antiqua" w:eastAsia="Book Antiqua" w:hAnsi="Book Antiqua" w:cs="Book Antiqua"/>
          <w:i/>
          <w:iCs/>
          <w:color w:val="000000"/>
        </w:rPr>
        <w:t>Development</w:t>
      </w:r>
      <w:r>
        <w:rPr>
          <w:rFonts w:ascii="Book Antiqua" w:eastAsia="Book Antiqua" w:hAnsi="Book Antiqua" w:cs="Book Antiqua"/>
          <w:color w:val="000000"/>
        </w:rPr>
        <w:t xml:space="preserve"> 2018; </w:t>
      </w:r>
      <w:r>
        <w:rPr>
          <w:rFonts w:ascii="Book Antiqua" w:eastAsia="Book Antiqua" w:hAnsi="Book Antiqua" w:cs="Book Antiqua"/>
          <w:b/>
          <w:bCs/>
          <w:color w:val="000000"/>
        </w:rPr>
        <w:t>145</w:t>
      </w:r>
      <w:r>
        <w:rPr>
          <w:rFonts w:ascii="Book Antiqua" w:eastAsia="Book Antiqua" w:hAnsi="Book Antiqua" w:cs="Book Antiqua"/>
          <w:color w:val="000000"/>
        </w:rPr>
        <w:t xml:space="preserve"> [PMID: 30068689 DOI: 10.1242/dev.165399]</w:t>
      </w:r>
    </w:p>
    <w:p w14:paraId="06F96A11" w14:textId="77777777" w:rsidR="00A31DCB" w:rsidRDefault="00000000">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Jasperson</w:t>
      </w:r>
      <w:proofErr w:type="spellEnd"/>
      <w:r>
        <w:rPr>
          <w:rFonts w:ascii="Book Antiqua" w:eastAsia="Book Antiqua" w:hAnsi="Book Antiqua" w:cs="Book Antiqua"/>
          <w:b/>
          <w:bCs/>
          <w:color w:val="000000"/>
        </w:rPr>
        <w:t xml:space="preserve"> KW</w:t>
      </w:r>
      <w:r>
        <w:rPr>
          <w:rFonts w:ascii="Book Antiqua" w:eastAsia="Book Antiqua" w:hAnsi="Book Antiqua" w:cs="Book Antiqua"/>
          <w:color w:val="000000"/>
        </w:rPr>
        <w:t xml:space="preserve">, Tuohy TM, </w:t>
      </w:r>
      <w:proofErr w:type="spellStart"/>
      <w:r>
        <w:rPr>
          <w:rFonts w:ascii="Book Antiqua" w:eastAsia="Book Antiqua" w:hAnsi="Book Antiqua" w:cs="Book Antiqua"/>
          <w:color w:val="000000"/>
        </w:rPr>
        <w:t>Neklason</w:t>
      </w:r>
      <w:proofErr w:type="spellEnd"/>
      <w:r>
        <w:rPr>
          <w:rFonts w:ascii="Book Antiqua" w:eastAsia="Book Antiqua" w:hAnsi="Book Antiqua" w:cs="Book Antiqua"/>
          <w:color w:val="000000"/>
        </w:rPr>
        <w:t xml:space="preserve"> DW, Burt RW. Hereditary and familial colon cancer.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2010; </w:t>
      </w:r>
      <w:r>
        <w:rPr>
          <w:rFonts w:ascii="Book Antiqua" w:eastAsia="Book Antiqua" w:hAnsi="Book Antiqua" w:cs="Book Antiqua"/>
          <w:b/>
          <w:bCs/>
          <w:color w:val="000000"/>
        </w:rPr>
        <w:t>138</w:t>
      </w:r>
      <w:r>
        <w:rPr>
          <w:rFonts w:ascii="Book Antiqua" w:eastAsia="Book Antiqua" w:hAnsi="Book Antiqua" w:cs="Book Antiqua"/>
          <w:color w:val="000000"/>
        </w:rPr>
        <w:t>: 2044-2058 [PMID: 20420945 DOI: 10.1053/j.gastro.2010.01.054]</w:t>
      </w:r>
    </w:p>
    <w:p w14:paraId="2966B331" w14:textId="77777777" w:rsidR="00A31DCB" w:rsidRDefault="00000000">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Yu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Hemminki</w:t>
      </w:r>
      <w:proofErr w:type="spellEnd"/>
      <w:r>
        <w:rPr>
          <w:rFonts w:ascii="Book Antiqua" w:eastAsia="Book Antiqua" w:hAnsi="Book Antiqua" w:cs="Book Antiqua"/>
          <w:color w:val="000000"/>
        </w:rPr>
        <w:t xml:space="preserve"> K. Genetic epidemiology of colorectal cancer and associated cancers. </w:t>
      </w:r>
      <w:r>
        <w:rPr>
          <w:rFonts w:ascii="Book Antiqua" w:eastAsia="Book Antiqua" w:hAnsi="Book Antiqua" w:cs="Book Antiqua"/>
          <w:i/>
          <w:iCs/>
          <w:color w:val="000000"/>
        </w:rPr>
        <w:t>Mutagenesis</w:t>
      </w:r>
      <w:r>
        <w:rPr>
          <w:rFonts w:ascii="Book Antiqua" w:eastAsia="Book Antiqua" w:hAnsi="Book Antiqua" w:cs="Book Antiqua"/>
          <w:color w:val="000000"/>
        </w:rPr>
        <w:t xml:space="preserve"> 2020; </w:t>
      </w:r>
      <w:r>
        <w:rPr>
          <w:rFonts w:ascii="Book Antiqua" w:eastAsia="Book Antiqua" w:hAnsi="Book Antiqua" w:cs="Book Antiqua"/>
          <w:b/>
          <w:bCs/>
          <w:color w:val="000000"/>
        </w:rPr>
        <w:t>35</w:t>
      </w:r>
      <w:r>
        <w:rPr>
          <w:rFonts w:ascii="Book Antiqua" w:eastAsia="Book Antiqua" w:hAnsi="Book Antiqua" w:cs="Book Antiqua"/>
          <w:color w:val="000000"/>
        </w:rPr>
        <w:t>: 207-219 [PMID: 31424514 DOI: 10.1093/</w:t>
      </w:r>
      <w:proofErr w:type="spellStart"/>
      <w:r>
        <w:rPr>
          <w:rFonts w:ascii="Book Antiqua" w:eastAsia="Book Antiqua" w:hAnsi="Book Antiqua" w:cs="Book Antiqua"/>
          <w:color w:val="000000"/>
        </w:rPr>
        <w:t>mutage</w:t>
      </w:r>
      <w:proofErr w:type="spellEnd"/>
      <w:r>
        <w:rPr>
          <w:rFonts w:ascii="Book Antiqua" w:eastAsia="Book Antiqua" w:hAnsi="Book Antiqua" w:cs="Book Antiqua"/>
          <w:color w:val="000000"/>
        </w:rPr>
        <w:t>/gez022]</w:t>
      </w:r>
    </w:p>
    <w:p w14:paraId="63F52E4C" w14:textId="77777777" w:rsidR="00A31DCB" w:rsidRDefault="00000000">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Keum</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Giovannucci</w:t>
      </w:r>
      <w:proofErr w:type="spellEnd"/>
      <w:r>
        <w:rPr>
          <w:rFonts w:ascii="Book Antiqua" w:eastAsia="Book Antiqua" w:hAnsi="Book Antiqua" w:cs="Book Antiqua"/>
          <w:color w:val="000000"/>
        </w:rPr>
        <w:t xml:space="preserve"> E. Global burden of colorectal cancer: emerging trends, risk factors and prevention strategies. </w:t>
      </w:r>
      <w:r>
        <w:rPr>
          <w:rFonts w:ascii="Book Antiqua" w:eastAsia="Book Antiqua" w:hAnsi="Book Antiqua" w:cs="Book Antiqua"/>
          <w:i/>
          <w:iCs/>
          <w:color w:val="000000"/>
        </w:rPr>
        <w:t>Nat Rev Gastroenterol Hepatol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16</w:t>
      </w:r>
      <w:r>
        <w:rPr>
          <w:rFonts w:ascii="Book Antiqua" w:eastAsia="Book Antiqua" w:hAnsi="Book Antiqua" w:cs="Book Antiqua"/>
          <w:color w:val="000000"/>
        </w:rPr>
        <w:t>: 713-732 [PMID: 31455888 DOI: 10.1038/s41575-019-0189-8]</w:t>
      </w:r>
    </w:p>
    <w:p w14:paraId="4FFE0F19" w14:textId="77777777" w:rsidR="00A31DCB" w:rsidRDefault="00000000">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Arnold M</w:t>
      </w:r>
      <w:r>
        <w:rPr>
          <w:rFonts w:ascii="Book Antiqua" w:eastAsia="Book Antiqua" w:hAnsi="Book Antiqua" w:cs="Book Antiqua"/>
          <w:color w:val="000000"/>
        </w:rPr>
        <w:t xml:space="preserve">, Sierra MS, </w:t>
      </w:r>
      <w:proofErr w:type="spellStart"/>
      <w:r>
        <w:rPr>
          <w:rFonts w:ascii="Book Antiqua" w:eastAsia="Book Antiqua" w:hAnsi="Book Antiqua" w:cs="Book Antiqua"/>
          <w:color w:val="000000"/>
        </w:rPr>
        <w:t>Laversanne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Soerjomataram</w:t>
      </w:r>
      <w:proofErr w:type="spellEnd"/>
      <w:r>
        <w:rPr>
          <w:rFonts w:ascii="Book Antiqua" w:eastAsia="Book Antiqua" w:hAnsi="Book Antiqua" w:cs="Book Antiqua"/>
          <w:color w:val="000000"/>
        </w:rPr>
        <w:t xml:space="preserve"> I, Jemal A, Bray F. Global patterns and trends in colorectal cancer incidence and mortality. </w:t>
      </w:r>
      <w:r>
        <w:rPr>
          <w:rFonts w:ascii="Book Antiqua" w:eastAsia="Book Antiqua" w:hAnsi="Book Antiqua" w:cs="Book Antiqua"/>
          <w:i/>
          <w:iCs/>
          <w:color w:val="000000"/>
        </w:rPr>
        <w:t>Gut</w:t>
      </w:r>
      <w:r>
        <w:rPr>
          <w:rFonts w:ascii="Book Antiqua" w:eastAsia="Book Antiqua" w:hAnsi="Book Antiqua" w:cs="Book Antiqua"/>
          <w:color w:val="000000"/>
        </w:rPr>
        <w:t xml:space="preserve"> 2017; </w:t>
      </w:r>
      <w:r>
        <w:rPr>
          <w:rFonts w:ascii="Book Antiqua" w:eastAsia="Book Antiqua" w:hAnsi="Book Antiqua" w:cs="Book Antiqua"/>
          <w:b/>
          <w:bCs/>
          <w:color w:val="000000"/>
        </w:rPr>
        <w:t>66</w:t>
      </w:r>
      <w:r>
        <w:rPr>
          <w:rFonts w:ascii="Book Antiqua" w:eastAsia="Book Antiqua" w:hAnsi="Book Antiqua" w:cs="Book Antiqua"/>
          <w:color w:val="000000"/>
        </w:rPr>
        <w:t>: 683-691 [PMID: 26818619 DOI: 10.1136/gutjnl-2015-310912]</w:t>
      </w:r>
    </w:p>
    <w:p w14:paraId="609604BA" w14:textId="77777777" w:rsidR="00A31DCB" w:rsidRDefault="00000000">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GBD 2019 Colorectal Cancer Collaborators</w:t>
      </w:r>
      <w:r>
        <w:rPr>
          <w:rFonts w:ascii="Book Antiqua" w:eastAsia="Book Antiqua" w:hAnsi="Book Antiqua" w:cs="Book Antiqua"/>
          <w:color w:val="000000"/>
        </w:rPr>
        <w:t xml:space="preserve">. Global, regional, and national burden of colorectal cancer and its risk factors, 1990-2019: a systematic analysis for the Global Burden of Disease Study 2019. </w:t>
      </w:r>
      <w:r>
        <w:rPr>
          <w:rFonts w:ascii="Book Antiqua" w:eastAsia="Book Antiqua" w:hAnsi="Book Antiqua" w:cs="Book Antiqua"/>
          <w:i/>
          <w:iCs/>
          <w:color w:val="000000"/>
        </w:rPr>
        <w:t>Lancet Gastroenterol Hepatol</w:t>
      </w:r>
      <w:r>
        <w:rPr>
          <w:rFonts w:ascii="Book Antiqua" w:eastAsia="Book Antiqua" w:hAnsi="Book Antiqua" w:cs="Book Antiqua"/>
          <w:color w:val="000000"/>
        </w:rPr>
        <w:t xml:space="preserve"> 2022; </w:t>
      </w:r>
      <w:r>
        <w:rPr>
          <w:rFonts w:ascii="Book Antiqua" w:eastAsia="Book Antiqua" w:hAnsi="Book Antiqua" w:cs="Book Antiqua"/>
          <w:b/>
          <w:bCs/>
          <w:color w:val="000000"/>
        </w:rPr>
        <w:t>7</w:t>
      </w:r>
      <w:r>
        <w:rPr>
          <w:rFonts w:ascii="Book Antiqua" w:eastAsia="Book Antiqua" w:hAnsi="Book Antiqua" w:cs="Book Antiqua"/>
          <w:color w:val="000000"/>
        </w:rPr>
        <w:t>: 627-647 [PMID: 35397795 DOI: 10.1016/S2468-1253(22)00044-9]</w:t>
      </w:r>
    </w:p>
    <w:p w14:paraId="76403AD2" w14:textId="77777777" w:rsidR="00A31DCB" w:rsidRDefault="00000000">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Vieira AR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Abar</w:t>
      </w:r>
      <w:proofErr w:type="spellEnd"/>
      <w:r>
        <w:rPr>
          <w:rFonts w:ascii="Book Antiqua" w:eastAsia="Book Antiqua" w:hAnsi="Book Antiqua" w:cs="Book Antiqua"/>
          <w:color w:val="000000"/>
        </w:rPr>
        <w:t xml:space="preserve"> L, Chan DSM, </w:t>
      </w:r>
      <w:proofErr w:type="spellStart"/>
      <w:r>
        <w:rPr>
          <w:rFonts w:ascii="Book Antiqua" w:eastAsia="Book Antiqua" w:hAnsi="Book Antiqua" w:cs="Book Antiqua"/>
          <w:color w:val="000000"/>
        </w:rPr>
        <w:t>Vingeliene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Polemiti</w:t>
      </w:r>
      <w:proofErr w:type="spellEnd"/>
      <w:r>
        <w:rPr>
          <w:rFonts w:ascii="Book Antiqua" w:eastAsia="Book Antiqua" w:hAnsi="Book Antiqua" w:cs="Book Antiqua"/>
          <w:color w:val="000000"/>
        </w:rPr>
        <w:t xml:space="preserve"> E, Stevens C, Greenwood D, </w:t>
      </w:r>
      <w:proofErr w:type="spellStart"/>
      <w:r>
        <w:rPr>
          <w:rFonts w:ascii="Book Antiqua" w:eastAsia="Book Antiqua" w:hAnsi="Book Antiqua" w:cs="Book Antiqua"/>
          <w:color w:val="000000"/>
        </w:rPr>
        <w:t>Norat</w:t>
      </w:r>
      <w:proofErr w:type="spellEnd"/>
      <w:r>
        <w:rPr>
          <w:rFonts w:ascii="Book Antiqua" w:eastAsia="Book Antiqua" w:hAnsi="Book Antiqua" w:cs="Book Antiqua"/>
          <w:color w:val="000000"/>
        </w:rPr>
        <w:t xml:space="preserve"> T. Foods and beverages and colorectal cancer risk: a systematic review and meta-analysis of cohort studies, an update of the evidence of the WCRF-AICR Continuous </w:t>
      </w:r>
      <w:r>
        <w:rPr>
          <w:rFonts w:ascii="Book Antiqua" w:eastAsia="Book Antiqua" w:hAnsi="Book Antiqua" w:cs="Book Antiqua"/>
          <w:color w:val="000000"/>
        </w:rPr>
        <w:lastRenderedPageBreak/>
        <w:t xml:space="preserve">Update Project.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2017; </w:t>
      </w:r>
      <w:r>
        <w:rPr>
          <w:rFonts w:ascii="Book Antiqua" w:eastAsia="Book Antiqua" w:hAnsi="Book Antiqua" w:cs="Book Antiqua"/>
          <w:b/>
          <w:bCs/>
          <w:color w:val="000000"/>
        </w:rPr>
        <w:t>28</w:t>
      </w:r>
      <w:r>
        <w:rPr>
          <w:rFonts w:ascii="Book Antiqua" w:eastAsia="Book Antiqua" w:hAnsi="Book Antiqua" w:cs="Book Antiqua"/>
          <w:color w:val="000000"/>
        </w:rPr>
        <w:t>: 1788-1802 [PMID: 28407090 DOI: 10.1093/</w:t>
      </w:r>
      <w:proofErr w:type="spellStart"/>
      <w:r>
        <w:rPr>
          <w:rFonts w:ascii="Book Antiqua" w:eastAsia="Book Antiqua" w:hAnsi="Book Antiqua" w:cs="Book Antiqua"/>
          <w:color w:val="000000"/>
        </w:rPr>
        <w:t>annonc</w:t>
      </w:r>
      <w:proofErr w:type="spellEnd"/>
      <w:r>
        <w:rPr>
          <w:rFonts w:ascii="Book Antiqua" w:eastAsia="Book Antiqua" w:hAnsi="Book Antiqua" w:cs="Book Antiqua"/>
          <w:color w:val="000000"/>
        </w:rPr>
        <w:t>/mdx171]</w:t>
      </w:r>
    </w:p>
    <w:p w14:paraId="191D6FAB" w14:textId="77777777" w:rsidR="00A31DCB" w:rsidRDefault="00000000">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Figueiredo JC</w:t>
      </w:r>
      <w:r>
        <w:rPr>
          <w:rFonts w:ascii="Book Antiqua" w:eastAsia="Book Antiqua" w:hAnsi="Book Antiqua" w:cs="Book Antiqua"/>
          <w:color w:val="000000"/>
        </w:rPr>
        <w:t xml:space="preserve">, Crockett SD, </w:t>
      </w:r>
      <w:proofErr w:type="spellStart"/>
      <w:r>
        <w:rPr>
          <w:rFonts w:ascii="Book Antiqua" w:eastAsia="Book Antiqua" w:hAnsi="Book Antiqua" w:cs="Book Antiqua"/>
          <w:color w:val="000000"/>
        </w:rPr>
        <w:t>Snover</w:t>
      </w:r>
      <w:proofErr w:type="spellEnd"/>
      <w:r>
        <w:rPr>
          <w:rFonts w:ascii="Book Antiqua" w:eastAsia="Book Antiqua" w:hAnsi="Book Antiqua" w:cs="Book Antiqua"/>
          <w:color w:val="000000"/>
        </w:rPr>
        <w:t xml:space="preserve"> DC, Morris CB, McKeown-</w:t>
      </w:r>
      <w:proofErr w:type="spellStart"/>
      <w:r>
        <w:rPr>
          <w:rFonts w:ascii="Book Antiqua" w:eastAsia="Book Antiqua" w:hAnsi="Book Antiqua" w:cs="Book Antiqua"/>
          <w:color w:val="000000"/>
        </w:rPr>
        <w:t>Eyssen</w:t>
      </w:r>
      <w:proofErr w:type="spellEnd"/>
      <w:r>
        <w:rPr>
          <w:rFonts w:ascii="Book Antiqua" w:eastAsia="Book Antiqua" w:hAnsi="Book Antiqua" w:cs="Book Antiqua"/>
          <w:color w:val="000000"/>
        </w:rPr>
        <w:t xml:space="preserve"> G, Sandler RS, </w:t>
      </w:r>
      <w:proofErr w:type="spellStart"/>
      <w:r>
        <w:rPr>
          <w:rFonts w:ascii="Book Antiqua" w:eastAsia="Book Antiqua" w:hAnsi="Book Antiqua" w:cs="Book Antiqua"/>
          <w:color w:val="000000"/>
        </w:rPr>
        <w:t>Ahnen</w:t>
      </w:r>
      <w:proofErr w:type="spellEnd"/>
      <w:r>
        <w:rPr>
          <w:rFonts w:ascii="Book Antiqua" w:eastAsia="Book Antiqua" w:hAnsi="Book Antiqua" w:cs="Book Antiqua"/>
          <w:color w:val="000000"/>
        </w:rPr>
        <w:t xml:space="preserve"> DJ, Robertson DJ, Burke CA, </w:t>
      </w:r>
      <w:proofErr w:type="spellStart"/>
      <w:r>
        <w:rPr>
          <w:rFonts w:ascii="Book Antiqua" w:eastAsia="Book Antiqua" w:hAnsi="Book Antiqua" w:cs="Book Antiqua"/>
          <w:color w:val="000000"/>
        </w:rPr>
        <w:t>Bresalier</w:t>
      </w:r>
      <w:proofErr w:type="spellEnd"/>
      <w:r>
        <w:rPr>
          <w:rFonts w:ascii="Book Antiqua" w:eastAsia="Book Antiqua" w:hAnsi="Book Antiqua" w:cs="Book Antiqua"/>
          <w:color w:val="000000"/>
        </w:rPr>
        <w:t xml:space="preserve"> RS, Church JM, Church TR, Baron JA. Smoking-associated risks of conventional adenomas and serrated polyps in the colorectum. </w:t>
      </w:r>
      <w:r>
        <w:rPr>
          <w:rFonts w:ascii="Book Antiqua" w:eastAsia="Book Antiqua" w:hAnsi="Book Antiqua" w:cs="Book Antiqua"/>
          <w:i/>
          <w:iCs/>
          <w:color w:val="000000"/>
        </w:rPr>
        <w:t>Cancer Causes Control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26</w:t>
      </w:r>
      <w:r>
        <w:rPr>
          <w:rFonts w:ascii="Book Antiqua" w:eastAsia="Book Antiqua" w:hAnsi="Book Antiqua" w:cs="Book Antiqua"/>
          <w:color w:val="000000"/>
        </w:rPr>
        <w:t>: 377-386 [PMID: 25537738 DOI: 10.1007/s10552-014-0513-0]</w:t>
      </w:r>
    </w:p>
    <w:p w14:paraId="1951C3D2" w14:textId="77777777" w:rsidR="00A31DCB" w:rsidRDefault="00000000">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Liang PS</w:t>
      </w:r>
      <w:r>
        <w:rPr>
          <w:rFonts w:ascii="Book Antiqua" w:eastAsia="Book Antiqua" w:hAnsi="Book Antiqua" w:cs="Book Antiqua"/>
          <w:color w:val="000000"/>
        </w:rPr>
        <w:t xml:space="preserve">, Chen TY, </w:t>
      </w:r>
      <w:proofErr w:type="spellStart"/>
      <w:r>
        <w:rPr>
          <w:rFonts w:ascii="Book Antiqua" w:eastAsia="Book Antiqua" w:hAnsi="Book Antiqua" w:cs="Book Antiqua"/>
          <w:color w:val="000000"/>
        </w:rPr>
        <w:t>Giovannucci</w:t>
      </w:r>
      <w:proofErr w:type="spellEnd"/>
      <w:r>
        <w:rPr>
          <w:rFonts w:ascii="Book Antiqua" w:eastAsia="Book Antiqua" w:hAnsi="Book Antiqua" w:cs="Book Antiqua"/>
          <w:color w:val="000000"/>
        </w:rPr>
        <w:t xml:space="preserve"> E. Cigarette smoking and colorectal cancer incidence and mortality: systematic review and meta-analysis. </w:t>
      </w:r>
      <w:r>
        <w:rPr>
          <w:rFonts w:ascii="Book Antiqua" w:eastAsia="Book Antiqua" w:hAnsi="Book Antiqua" w:cs="Book Antiqua"/>
          <w:i/>
          <w:iCs/>
          <w:color w:val="000000"/>
        </w:rPr>
        <w:t>Int J Cancer</w:t>
      </w:r>
      <w:r>
        <w:rPr>
          <w:rFonts w:ascii="Book Antiqua" w:eastAsia="Book Antiqua" w:hAnsi="Book Antiqua" w:cs="Book Antiqua"/>
          <w:color w:val="000000"/>
        </w:rPr>
        <w:t xml:space="preserve"> 2009; </w:t>
      </w:r>
      <w:r>
        <w:rPr>
          <w:rFonts w:ascii="Book Antiqua" w:eastAsia="Book Antiqua" w:hAnsi="Book Antiqua" w:cs="Book Antiqua"/>
          <w:b/>
          <w:bCs/>
          <w:color w:val="000000"/>
        </w:rPr>
        <w:t>124</w:t>
      </w:r>
      <w:r>
        <w:rPr>
          <w:rFonts w:ascii="Book Antiqua" w:eastAsia="Book Antiqua" w:hAnsi="Book Antiqua" w:cs="Book Antiqua"/>
          <w:color w:val="000000"/>
        </w:rPr>
        <w:t>: 2406-2415 [PMID: 19142968 DOI: 10.1002/ijc.24191]</w:t>
      </w:r>
    </w:p>
    <w:p w14:paraId="70D21AD0" w14:textId="77777777" w:rsidR="00A31DCB" w:rsidRDefault="00000000">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Choi YJ</w:t>
      </w:r>
      <w:r>
        <w:rPr>
          <w:rFonts w:ascii="Book Antiqua" w:eastAsia="Book Antiqua" w:hAnsi="Book Antiqua" w:cs="Book Antiqua"/>
          <w:color w:val="000000"/>
        </w:rPr>
        <w:t xml:space="preserve">, Myung SK, Lee JH. Light Alcohol Drinking and Risk of Cancer: A Meta-Analysis of Cohort Studies. </w:t>
      </w:r>
      <w:r>
        <w:rPr>
          <w:rFonts w:ascii="Book Antiqua" w:eastAsia="Book Antiqua" w:hAnsi="Book Antiqua" w:cs="Book Antiqua"/>
          <w:i/>
          <w:iCs/>
          <w:color w:val="000000"/>
        </w:rPr>
        <w:t>Cancer Res Treat</w:t>
      </w:r>
      <w:r>
        <w:rPr>
          <w:rFonts w:ascii="Book Antiqua" w:eastAsia="Book Antiqua" w:hAnsi="Book Antiqua" w:cs="Book Antiqua"/>
          <w:color w:val="000000"/>
        </w:rPr>
        <w:t xml:space="preserve"> 2018; </w:t>
      </w:r>
      <w:r>
        <w:rPr>
          <w:rFonts w:ascii="Book Antiqua" w:eastAsia="Book Antiqua" w:hAnsi="Book Antiqua" w:cs="Book Antiqua"/>
          <w:b/>
          <w:bCs/>
          <w:color w:val="000000"/>
        </w:rPr>
        <w:t>50</w:t>
      </w:r>
      <w:r>
        <w:rPr>
          <w:rFonts w:ascii="Book Antiqua" w:eastAsia="Book Antiqua" w:hAnsi="Book Antiqua" w:cs="Book Antiqua"/>
          <w:color w:val="000000"/>
        </w:rPr>
        <w:t>: 474-487 [PMID: 28546524 DOI: 10.4143/crt.2017.094]</w:t>
      </w:r>
    </w:p>
    <w:p w14:paraId="475BA15C" w14:textId="77777777" w:rsidR="00A31DCB" w:rsidRDefault="00000000">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Dong Y</w:t>
      </w:r>
      <w:r>
        <w:rPr>
          <w:rFonts w:ascii="Book Antiqua" w:eastAsia="Book Antiqua" w:hAnsi="Book Antiqua" w:cs="Book Antiqua"/>
          <w:color w:val="000000"/>
        </w:rPr>
        <w:t xml:space="preserve">, Zhou J, Zhu Y, Luo L, He T, Hu H, Liu H, Zhang Y, Luo D, Xu S, Xu L, Liu J, Zhang J, Teng Z. Abdominal </w:t>
      </w:r>
      <w:proofErr w:type="gramStart"/>
      <w:r>
        <w:rPr>
          <w:rFonts w:ascii="Book Antiqua" w:eastAsia="Book Antiqua" w:hAnsi="Book Antiqua" w:cs="Book Antiqua"/>
          <w:color w:val="000000"/>
        </w:rPr>
        <w:t>obesity</w:t>
      </w:r>
      <w:proofErr w:type="gramEnd"/>
      <w:r>
        <w:rPr>
          <w:rFonts w:ascii="Book Antiqua" w:eastAsia="Book Antiqua" w:hAnsi="Book Antiqua" w:cs="Book Antiqua"/>
          <w:color w:val="000000"/>
        </w:rPr>
        <w:t xml:space="preserve"> and colorectal cancer risk: systematic review and meta-analysis of prospective studies. </w:t>
      </w:r>
      <w:proofErr w:type="spellStart"/>
      <w:r>
        <w:rPr>
          <w:rFonts w:ascii="Book Antiqua" w:eastAsia="Book Antiqua" w:hAnsi="Book Antiqua" w:cs="Book Antiqua"/>
          <w:i/>
          <w:iCs/>
          <w:color w:val="000000"/>
        </w:rPr>
        <w:t>Biosci</w:t>
      </w:r>
      <w:proofErr w:type="spellEnd"/>
      <w:r>
        <w:rPr>
          <w:rFonts w:ascii="Book Antiqua" w:eastAsia="Book Antiqua" w:hAnsi="Book Antiqua" w:cs="Book Antiqua"/>
          <w:i/>
          <w:iCs/>
          <w:color w:val="000000"/>
        </w:rPr>
        <w:t xml:space="preserve">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37</w:t>
      </w:r>
      <w:r>
        <w:rPr>
          <w:rFonts w:ascii="Book Antiqua" w:eastAsia="Book Antiqua" w:hAnsi="Book Antiqua" w:cs="Book Antiqua"/>
          <w:color w:val="000000"/>
        </w:rPr>
        <w:t xml:space="preserve"> [PMID: 29026008 DOI: 10.1042/BSR20170945]</w:t>
      </w:r>
    </w:p>
    <w:p w14:paraId="214A33BF" w14:textId="77777777" w:rsidR="00A31DCB" w:rsidRDefault="00000000">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Liu PH</w:t>
      </w:r>
      <w:r>
        <w:rPr>
          <w:rFonts w:ascii="Book Antiqua" w:eastAsia="Book Antiqua" w:hAnsi="Book Antiqua" w:cs="Book Antiqua"/>
          <w:color w:val="000000"/>
        </w:rPr>
        <w:t xml:space="preserve">, Wu K, Ng K, </w:t>
      </w:r>
      <w:proofErr w:type="spellStart"/>
      <w:r>
        <w:rPr>
          <w:rFonts w:ascii="Book Antiqua" w:eastAsia="Book Antiqua" w:hAnsi="Book Antiqua" w:cs="Book Antiqua"/>
          <w:color w:val="000000"/>
        </w:rPr>
        <w:t>Zauber</w:t>
      </w:r>
      <w:proofErr w:type="spellEnd"/>
      <w:r>
        <w:rPr>
          <w:rFonts w:ascii="Book Antiqua" w:eastAsia="Book Antiqua" w:hAnsi="Book Antiqua" w:cs="Book Antiqua"/>
          <w:color w:val="000000"/>
        </w:rPr>
        <w:t xml:space="preserve"> AG, Nguyen LH, Song M, He X, Fuchs CS, Ogino S, Willett WC, Chan AT, </w:t>
      </w:r>
      <w:proofErr w:type="spellStart"/>
      <w:r>
        <w:rPr>
          <w:rFonts w:ascii="Book Antiqua" w:eastAsia="Book Antiqua" w:hAnsi="Book Antiqua" w:cs="Book Antiqua"/>
          <w:color w:val="000000"/>
        </w:rPr>
        <w:t>Giovannucci</w:t>
      </w:r>
      <w:proofErr w:type="spellEnd"/>
      <w:r>
        <w:rPr>
          <w:rFonts w:ascii="Book Antiqua" w:eastAsia="Book Antiqua" w:hAnsi="Book Antiqua" w:cs="Book Antiqua"/>
          <w:color w:val="000000"/>
        </w:rPr>
        <w:t xml:space="preserve"> EL, Cao Y. Association of Obesity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Risk of Early-Onset Colorectal Cancer Among Women. </w:t>
      </w:r>
      <w:r>
        <w:rPr>
          <w:rFonts w:ascii="Book Antiqua" w:eastAsia="Book Antiqua" w:hAnsi="Book Antiqua" w:cs="Book Antiqua"/>
          <w:i/>
          <w:iCs/>
          <w:color w:val="000000"/>
        </w:rPr>
        <w:t>JAMA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5</w:t>
      </w:r>
      <w:r>
        <w:rPr>
          <w:rFonts w:ascii="Book Antiqua" w:eastAsia="Book Antiqua" w:hAnsi="Book Antiqua" w:cs="Book Antiqua"/>
          <w:color w:val="000000"/>
        </w:rPr>
        <w:t>: 37-44 [PMID: 30326010 DOI: 10.1001/jamaoncol.2018.4280]</w:t>
      </w:r>
    </w:p>
    <w:p w14:paraId="36AFDA63" w14:textId="77777777" w:rsidR="00A31DCB" w:rsidRDefault="00000000">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Graff RE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Möller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Passarelli</w:t>
      </w:r>
      <w:proofErr w:type="spellEnd"/>
      <w:r>
        <w:rPr>
          <w:rFonts w:ascii="Book Antiqua" w:eastAsia="Book Antiqua" w:hAnsi="Book Antiqua" w:cs="Book Antiqua"/>
          <w:color w:val="000000"/>
        </w:rPr>
        <w:t xml:space="preserve"> MN, Witte JS, </w:t>
      </w:r>
      <w:proofErr w:type="spellStart"/>
      <w:r>
        <w:rPr>
          <w:rFonts w:ascii="Book Antiqua" w:eastAsia="Book Antiqua" w:hAnsi="Book Antiqua" w:cs="Book Antiqua"/>
          <w:color w:val="000000"/>
        </w:rPr>
        <w:t>Skytthe</w:t>
      </w:r>
      <w:proofErr w:type="spellEnd"/>
      <w:r>
        <w:rPr>
          <w:rFonts w:ascii="Book Antiqua" w:eastAsia="Book Antiqua" w:hAnsi="Book Antiqua" w:cs="Book Antiqua"/>
          <w:color w:val="000000"/>
        </w:rPr>
        <w:t xml:space="preserve"> A, Christensen K, Tan Q, </w:t>
      </w:r>
      <w:proofErr w:type="spellStart"/>
      <w:r>
        <w:rPr>
          <w:rFonts w:ascii="Book Antiqua" w:eastAsia="Book Antiqua" w:hAnsi="Book Antiqua" w:cs="Book Antiqua"/>
          <w:color w:val="000000"/>
        </w:rPr>
        <w:t>Adami</w:t>
      </w:r>
      <w:proofErr w:type="spellEnd"/>
      <w:r>
        <w:rPr>
          <w:rFonts w:ascii="Book Antiqua" w:eastAsia="Book Antiqua" w:hAnsi="Book Antiqua" w:cs="Book Antiqua"/>
          <w:color w:val="000000"/>
        </w:rPr>
        <w:t xml:space="preserve"> HO, </w:t>
      </w:r>
      <w:proofErr w:type="spellStart"/>
      <w:r>
        <w:rPr>
          <w:rFonts w:ascii="Book Antiqua" w:eastAsia="Book Antiqua" w:hAnsi="Book Antiqua" w:cs="Book Antiqua"/>
          <w:color w:val="000000"/>
        </w:rPr>
        <w:t>Czene</w:t>
      </w:r>
      <w:proofErr w:type="spellEnd"/>
      <w:r>
        <w:rPr>
          <w:rFonts w:ascii="Book Antiqua" w:eastAsia="Book Antiqua" w:hAnsi="Book Antiqua" w:cs="Book Antiqua"/>
          <w:color w:val="000000"/>
        </w:rPr>
        <w:t xml:space="preserve"> K, Harris JR, </w:t>
      </w:r>
      <w:proofErr w:type="spellStart"/>
      <w:r>
        <w:rPr>
          <w:rFonts w:ascii="Book Antiqua" w:eastAsia="Book Antiqua" w:hAnsi="Book Antiqua" w:cs="Book Antiqua"/>
          <w:color w:val="000000"/>
        </w:rPr>
        <w:t>Pukkala</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Kaprio</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Giovannucci</w:t>
      </w:r>
      <w:proofErr w:type="spellEnd"/>
      <w:r>
        <w:rPr>
          <w:rFonts w:ascii="Book Antiqua" w:eastAsia="Book Antiqua" w:hAnsi="Book Antiqua" w:cs="Book Antiqua"/>
          <w:color w:val="000000"/>
        </w:rPr>
        <w:t xml:space="preserve"> EL, </w:t>
      </w:r>
      <w:proofErr w:type="spellStart"/>
      <w:r>
        <w:rPr>
          <w:rFonts w:ascii="Book Antiqua" w:eastAsia="Book Antiqua" w:hAnsi="Book Antiqua" w:cs="Book Antiqua"/>
          <w:color w:val="000000"/>
        </w:rPr>
        <w:t>Mucci</w:t>
      </w:r>
      <w:proofErr w:type="spellEnd"/>
      <w:r>
        <w:rPr>
          <w:rFonts w:ascii="Book Antiqua" w:eastAsia="Book Antiqua" w:hAnsi="Book Antiqua" w:cs="Book Antiqua"/>
          <w:color w:val="000000"/>
        </w:rPr>
        <w:t xml:space="preserve"> LA, </w:t>
      </w:r>
      <w:proofErr w:type="spellStart"/>
      <w:r>
        <w:rPr>
          <w:rFonts w:ascii="Book Antiqua" w:eastAsia="Book Antiqua" w:hAnsi="Book Antiqua" w:cs="Book Antiqua"/>
          <w:color w:val="000000"/>
        </w:rPr>
        <w:t>Hjelmborg</w:t>
      </w:r>
      <w:proofErr w:type="spellEnd"/>
      <w:r>
        <w:rPr>
          <w:rFonts w:ascii="Book Antiqua" w:eastAsia="Book Antiqua" w:hAnsi="Book Antiqua" w:cs="Book Antiqua"/>
          <w:color w:val="000000"/>
        </w:rPr>
        <w:t xml:space="preserve"> JB. Familial Risk and Heritability of Colorectal Cancer in the Nordic Twin Study of Cancer.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15</w:t>
      </w:r>
      <w:r>
        <w:rPr>
          <w:rFonts w:ascii="Book Antiqua" w:eastAsia="Book Antiqua" w:hAnsi="Book Antiqua" w:cs="Book Antiqua"/>
          <w:color w:val="000000"/>
        </w:rPr>
        <w:t>: 1256-1264 [PMID: 28130150 DOI: 10.1016/j.cgh.2016.12.041]</w:t>
      </w:r>
    </w:p>
    <w:p w14:paraId="1359E40E" w14:textId="77777777" w:rsidR="00A31DCB" w:rsidRDefault="00000000">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Pearlman R</w:t>
      </w:r>
      <w:r>
        <w:rPr>
          <w:rFonts w:ascii="Book Antiqua" w:eastAsia="Book Antiqua" w:hAnsi="Book Antiqua" w:cs="Book Antiqua"/>
          <w:color w:val="000000"/>
        </w:rPr>
        <w:t xml:space="preserve">, Frankel WL, Swanson B, Zhao W, Yilmaz A, Miller K, </w:t>
      </w:r>
      <w:proofErr w:type="spellStart"/>
      <w:r>
        <w:rPr>
          <w:rFonts w:ascii="Book Antiqua" w:eastAsia="Book Antiqua" w:hAnsi="Book Antiqua" w:cs="Book Antiqua"/>
          <w:color w:val="000000"/>
        </w:rPr>
        <w:t>Bacher</w:t>
      </w:r>
      <w:proofErr w:type="spellEnd"/>
      <w:r>
        <w:rPr>
          <w:rFonts w:ascii="Book Antiqua" w:eastAsia="Book Antiqua" w:hAnsi="Book Antiqua" w:cs="Book Antiqua"/>
          <w:color w:val="000000"/>
        </w:rPr>
        <w:t xml:space="preserve"> J, Bigley C, Nelsen L, Goodfellow PJ, Goldberg RM, </w:t>
      </w:r>
      <w:proofErr w:type="spellStart"/>
      <w:r>
        <w:rPr>
          <w:rFonts w:ascii="Book Antiqua" w:eastAsia="Book Antiqua" w:hAnsi="Book Antiqua" w:cs="Book Antiqua"/>
          <w:color w:val="000000"/>
        </w:rPr>
        <w:t>Paskett</w:t>
      </w:r>
      <w:proofErr w:type="spellEnd"/>
      <w:r>
        <w:rPr>
          <w:rFonts w:ascii="Book Antiqua" w:eastAsia="Book Antiqua" w:hAnsi="Book Antiqua" w:cs="Book Antiqua"/>
          <w:color w:val="000000"/>
        </w:rPr>
        <w:t xml:space="preserve"> E, Shields PG, </w:t>
      </w:r>
      <w:proofErr w:type="spellStart"/>
      <w:r>
        <w:rPr>
          <w:rFonts w:ascii="Book Antiqua" w:eastAsia="Book Antiqua" w:hAnsi="Book Antiqua" w:cs="Book Antiqua"/>
          <w:color w:val="000000"/>
        </w:rPr>
        <w:t>Freudenheim</w:t>
      </w:r>
      <w:proofErr w:type="spellEnd"/>
      <w:r>
        <w:rPr>
          <w:rFonts w:ascii="Book Antiqua" w:eastAsia="Book Antiqua" w:hAnsi="Book Antiqua" w:cs="Book Antiqua"/>
          <w:color w:val="000000"/>
        </w:rPr>
        <w:t xml:space="preserve"> JL, </w:t>
      </w:r>
      <w:proofErr w:type="spellStart"/>
      <w:r>
        <w:rPr>
          <w:rFonts w:ascii="Book Antiqua" w:eastAsia="Book Antiqua" w:hAnsi="Book Antiqua" w:cs="Book Antiqua"/>
          <w:color w:val="000000"/>
        </w:rPr>
        <w:t>Stanich</w:t>
      </w:r>
      <w:proofErr w:type="spellEnd"/>
      <w:r>
        <w:rPr>
          <w:rFonts w:ascii="Book Antiqua" w:eastAsia="Book Antiqua" w:hAnsi="Book Antiqua" w:cs="Book Antiqua"/>
          <w:color w:val="000000"/>
        </w:rPr>
        <w:t xml:space="preserve"> PP, </w:t>
      </w:r>
      <w:proofErr w:type="spellStart"/>
      <w:r>
        <w:rPr>
          <w:rFonts w:ascii="Book Antiqua" w:eastAsia="Book Antiqua" w:hAnsi="Book Antiqua" w:cs="Book Antiqua"/>
          <w:color w:val="000000"/>
        </w:rPr>
        <w:t>Lattimer</w:t>
      </w:r>
      <w:proofErr w:type="spellEnd"/>
      <w:r>
        <w:rPr>
          <w:rFonts w:ascii="Book Antiqua" w:eastAsia="Book Antiqua" w:hAnsi="Book Antiqua" w:cs="Book Antiqua"/>
          <w:color w:val="000000"/>
        </w:rPr>
        <w:t xml:space="preserve"> I, Arnold M, </w:t>
      </w:r>
      <w:proofErr w:type="spellStart"/>
      <w:r>
        <w:rPr>
          <w:rFonts w:ascii="Book Antiqua" w:eastAsia="Book Antiqua" w:hAnsi="Book Antiqua" w:cs="Book Antiqua"/>
          <w:color w:val="000000"/>
        </w:rPr>
        <w:t>Liyanarachchi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Kalady</w:t>
      </w:r>
      <w:proofErr w:type="spellEnd"/>
      <w:r>
        <w:rPr>
          <w:rFonts w:ascii="Book Antiqua" w:eastAsia="Book Antiqua" w:hAnsi="Book Antiqua" w:cs="Book Antiqua"/>
          <w:color w:val="000000"/>
        </w:rPr>
        <w:t xml:space="preserve"> M, Heald B, Greenwood C, Paquette </w:t>
      </w:r>
      <w:r>
        <w:rPr>
          <w:rFonts w:ascii="Book Antiqua" w:eastAsia="Book Antiqua" w:hAnsi="Book Antiqua" w:cs="Book Antiqua"/>
          <w:color w:val="000000"/>
        </w:rPr>
        <w:lastRenderedPageBreak/>
        <w:t xml:space="preserve">I, </w:t>
      </w:r>
      <w:proofErr w:type="spellStart"/>
      <w:r>
        <w:rPr>
          <w:rFonts w:ascii="Book Antiqua" w:eastAsia="Book Antiqua" w:hAnsi="Book Antiqua" w:cs="Book Antiqua"/>
          <w:color w:val="000000"/>
        </w:rPr>
        <w:t>Prues</w:t>
      </w:r>
      <w:proofErr w:type="spellEnd"/>
      <w:r>
        <w:rPr>
          <w:rFonts w:ascii="Book Antiqua" w:eastAsia="Book Antiqua" w:hAnsi="Book Antiqua" w:cs="Book Antiqua"/>
          <w:color w:val="000000"/>
        </w:rPr>
        <w:t xml:space="preserve"> M, Draper DJ, Lindeman C, </w:t>
      </w:r>
      <w:proofErr w:type="spellStart"/>
      <w:r>
        <w:rPr>
          <w:rFonts w:ascii="Book Antiqua" w:eastAsia="Book Antiqua" w:hAnsi="Book Antiqua" w:cs="Book Antiqua"/>
          <w:color w:val="000000"/>
        </w:rPr>
        <w:t>Kuebler</w:t>
      </w:r>
      <w:proofErr w:type="spellEnd"/>
      <w:r>
        <w:rPr>
          <w:rFonts w:ascii="Book Antiqua" w:eastAsia="Book Antiqua" w:hAnsi="Book Antiqua" w:cs="Book Antiqua"/>
          <w:color w:val="000000"/>
        </w:rPr>
        <w:t xml:space="preserve"> JP, Reynolds K, </w:t>
      </w:r>
      <w:proofErr w:type="spellStart"/>
      <w:r>
        <w:rPr>
          <w:rFonts w:ascii="Book Antiqua" w:eastAsia="Book Antiqua" w:hAnsi="Book Antiqua" w:cs="Book Antiqua"/>
          <w:color w:val="000000"/>
        </w:rPr>
        <w:t>Brell</w:t>
      </w:r>
      <w:proofErr w:type="spellEnd"/>
      <w:r>
        <w:rPr>
          <w:rFonts w:ascii="Book Antiqua" w:eastAsia="Book Antiqua" w:hAnsi="Book Antiqua" w:cs="Book Antiqua"/>
          <w:color w:val="000000"/>
        </w:rPr>
        <w:t xml:space="preserve"> JM, Shaper AA, Mahesh S, </w:t>
      </w:r>
      <w:proofErr w:type="spellStart"/>
      <w:r>
        <w:rPr>
          <w:rFonts w:ascii="Book Antiqua" w:eastAsia="Book Antiqua" w:hAnsi="Book Antiqua" w:cs="Book Antiqua"/>
          <w:color w:val="000000"/>
        </w:rPr>
        <w:t>Buie</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Weeman</w:t>
      </w:r>
      <w:proofErr w:type="spellEnd"/>
      <w:r>
        <w:rPr>
          <w:rFonts w:ascii="Book Antiqua" w:eastAsia="Book Antiqua" w:hAnsi="Book Antiqua" w:cs="Book Antiqua"/>
          <w:color w:val="000000"/>
        </w:rPr>
        <w:t xml:space="preserve"> K, Shine K, Haut M, Edwards J, </w:t>
      </w:r>
      <w:proofErr w:type="spellStart"/>
      <w:r>
        <w:rPr>
          <w:rFonts w:ascii="Book Antiqua" w:eastAsia="Book Antiqua" w:hAnsi="Book Antiqua" w:cs="Book Antiqua"/>
          <w:color w:val="000000"/>
        </w:rPr>
        <w:t>Bastola</w:t>
      </w:r>
      <w:proofErr w:type="spellEnd"/>
      <w:r>
        <w:rPr>
          <w:rFonts w:ascii="Book Antiqua" w:eastAsia="Book Antiqua" w:hAnsi="Book Antiqua" w:cs="Book Antiqua"/>
          <w:color w:val="000000"/>
        </w:rPr>
        <w:t xml:space="preserve"> S, Wickham K, </w:t>
      </w:r>
      <w:proofErr w:type="spellStart"/>
      <w:r>
        <w:rPr>
          <w:rFonts w:ascii="Book Antiqua" w:eastAsia="Book Antiqua" w:hAnsi="Book Antiqua" w:cs="Book Antiqua"/>
          <w:color w:val="000000"/>
        </w:rPr>
        <w:t>Khanduja</w:t>
      </w:r>
      <w:proofErr w:type="spellEnd"/>
      <w:r>
        <w:rPr>
          <w:rFonts w:ascii="Book Antiqua" w:eastAsia="Book Antiqua" w:hAnsi="Book Antiqua" w:cs="Book Antiqua"/>
          <w:color w:val="000000"/>
        </w:rPr>
        <w:t xml:space="preserve"> KS, Zacks R, Pritchard CC, Shirts BH, Jacobson A, Allen B, de la Chapelle A, Hampel H; Ohio Colorectal Cancer Prevention Initiative Study Group. Prevalence and Spectrum of Germline Cancer Susceptibility Gene Mutations Among Patients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Early-Onset Colorectal Cancer. </w:t>
      </w:r>
      <w:r>
        <w:rPr>
          <w:rFonts w:ascii="Book Antiqua" w:eastAsia="Book Antiqua" w:hAnsi="Book Antiqua" w:cs="Book Antiqua"/>
          <w:i/>
          <w:iCs/>
          <w:color w:val="000000"/>
        </w:rPr>
        <w:t>JAMA Oncol</w:t>
      </w:r>
      <w:r>
        <w:rPr>
          <w:rFonts w:ascii="Book Antiqua" w:eastAsia="Book Antiqua" w:hAnsi="Book Antiqua" w:cs="Book Antiqua"/>
          <w:color w:val="000000"/>
        </w:rPr>
        <w:t xml:space="preserve"> 2017; </w:t>
      </w:r>
      <w:r>
        <w:rPr>
          <w:rFonts w:ascii="Book Antiqua" w:eastAsia="Book Antiqua" w:hAnsi="Book Antiqua" w:cs="Book Antiqua"/>
          <w:b/>
          <w:bCs/>
          <w:color w:val="000000"/>
        </w:rPr>
        <w:t>3</w:t>
      </w:r>
      <w:r>
        <w:rPr>
          <w:rFonts w:ascii="Book Antiqua" w:eastAsia="Book Antiqua" w:hAnsi="Book Antiqua" w:cs="Book Antiqua"/>
          <w:color w:val="000000"/>
        </w:rPr>
        <w:t>: 464-471 [PMID: 27978560 DOI: 10.1001/jamaoncol.2016.5194]</w:t>
      </w:r>
    </w:p>
    <w:p w14:paraId="7A8EA9A0" w14:textId="77777777" w:rsidR="00A31DCB" w:rsidRDefault="00000000">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Talseth</w:t>
      </w:r>
      <w:proofErr w:type="spellEnd"/>
      <w:r>
        <w:rPr>
          <w:rFonts w:ascii="Book Antiqua" w:eastAsia="Book Antiqua" w:hAnsi="Book Antiqua" w:cs="Book Antiqua"/>
          <w:b/>
          <w:bCs/>
          <w:color w:val="000000"/>
        </w:rPr>
        <w:t>-Palmer BA</w:t>
      </w:r>
      <w:r>
        <w:rPr>
          <w:rFonts w:ascii="Book Antiqua" w:eastAsia="Book Antiqua" w:hAnsi="Book Antiqua" w:cs="Book Antiqua"/>
          <w:color w:val="000000"/>
        </w:rPr>
        <w:t xml:space="preserve">. The genetic basis of colonic adenomatous polyposis syndromes. </w:t>
      </w:r>
      <w:proofErr w:type="spellStart"/>
      <w:r>
        <w:rPr>
          <w:rFonts w:ascii="Book Antiqua" w:eastAsia="Book Antiqua" w:hAnsi="Book Antiqua" w:cs="Book Antiqua"/>
          <w:i/>
          <w:iCs/>
          <w:color w:val="000000"/>
        </w:rPr>
        <w:t>Hered</w:t>
      </w:r>
      <w:proofErr w:type="spellEnd"/>
      <w:r>
        <w:rPr>
          <w:rFonts w:ascii="Book Antiqua" w:eastAsia="Book Antiqua" w:hAnsi="Book Antiqua" w:cs="Book Antiqua"/>
          <w:i/>
          <w:iCs/>
          <w:color w:val="000000"/>
        </w:rPr>
        <w:t xml:space="preserve"> Cancer Clin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15</w:t>
      </w:r>
      <w:r>
        <w:rPr>
          <w:rFonts w:ascii="Book Antiqua" w:eastAsia="Book Antiqua" w:hAnsi="Book Antiqua" w:cs="Book Antiqua"/>
          <w:color w:val="000000"/>
        </w:rPr>
        <w:t>: 5 [PMID: 28331556 DOI: 10.1186/s13053-017-0065-x]</w:t>
      </w:r>
    </w:p>
    <w:p w14:paraId="4E0E5656" w14:textId="77777777" w:rsidR="00A31DCB" w:rsidRDefault="00000000">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Augustus GJ</w:t>
      </w:r>
      <w:r>
        <w:rPr>
          <w:rFonts w:ascii="Book Antiqua" w:eastAsia="Book Antiqua" w:hAnsi="Book Antiqua" w:cs="Book Antiqua"/>
          <w:color w:val="000000"/>
        </w:rPr>
        <w:t xml:space="preserve">, Ellis NA. Colorectal Cancer Disparity in African Americans: Risk Factors and Carcinogenic Mechanisms.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188</w:t>
      </w:r>
      <w:r>
        <w:rPr>
          <w:rFonts w:ascii="Book Antiqua" w:eastAsia="Book Antiqua" w:hAnsi="Book Antiqua" w:cs="Book Antiqua"/>
          <w:color w:val="000000"/>
        </w:rPr>
        <w:t>: 291-303 [PMID: 29128568 DOI: 10.1016/j.ajpath.2017.07.023]</w:t>
      </w:r>
    </w:p>
    <w:p w14:paraId="1712FAC9" w14:textId="77777777" w:rsidR="00A31DCB" w:rsidRDefault="00000000">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Reinhart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Bannert</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Dunkler</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Salzl</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Trauner</w:t>
      </w:r>
      <w:proofErr w:type="spellEnd"/>
      <w:r>
        <w:rPr>
          <w:rFonts w:ascii="Book Antiqua" w:eastAsia="Book Antiqua" w:hAnsi="Book Antiqua" w:cs="Book Antiqua"/>
          <w:color w:val="000000"/>
        </w:rPr>
        <w:t xml:space="preserve"> M, Renner F, </w:t>
      </w:r>
      <w:proofErr w:type="spellStart"/>
      <w:r>
        <w:rPr>
          <w:rFonts w:ascii="Book Antiqua" w:eastAsia="Book Antiqua" w:hAnsi="Book Antiqua" w:cs="Book Antiqua"/>
          <w:color w:val="000000"/>
        </w:rPr>
        <w:t>Knoflach</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Ferlitsch</w:t>
      </w:r>
      <w:proofErr w:type="spellEnd"/>
      <w:r>
        <w:rPr>
          <w:rFonts w:ascii="Book Antiqua" w:eastAsia="Book Antiqua" w:hAnsi="Book Antiqua" w:cs="Book Antiqua"/>
          <w:color w:val="000000"/>
        </w:rPr>
        <w:t xml:space="preserve"> A, Weiss W, </w:t>
      </w:r>
      <w:proofErr w:type="spellStart"/>
      <w:r>
        <w:rPr>
          <w:rFonts w:ascii="Book Antiqua" w:eastAsia="Book Antiqua" w:hAnsi="Book Antiqua" w:cs="Book Antiqua"/>
          <w:color w:val="000000"/>
        </w:rPr>
        <w:t>Ferlitsch</w:t>
      </w:r>
      <w:proofErr w:type="spellEnd"/>
      <w:r>
        <w:rPr>
          <w:rFonts w:ascii="Book Antiqua" w:eastAsia="Book Antiqua" w:hAnsi="Book Antiqua" w:cs="Book Antiqua"/>
          <w:color w:val="000000"/>
        </w:rPr>
        <w:t xml:space="preserve"> M. Prevalence of flat lesions in a large screening population and their role in colonoscopy quality improvement.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2013; </w:t>
      </w:r>
      <w:r>
        <w:rPr>
          <w:rFonts w:ascii="Book Antiqua" w:eastAsia="Book Antiqua" w:hAnsi="Book Antiqua" w:cs="Book Antiqua"/>
          <w:b/>
          <w:bCs/>
          <w:color w:val="000000"/>
        </w:rPr>
        <w:t>45</w:t>
      </w:r>
      <w:r>
        <w:rPr>
          <w:rFonts w:ascii="Book Antiqua" w:eastAsia="Book Antiqua" w:hAnsi="Book Antiqua" w:cs="Book Antiqua"/>
          <w:color w:val="000000"/>
        </w:rPr>
        <w:t>: 350-356 [PMID: 23616125 DOI: 10.1055/s-0032-1326348]</w:t>
      </w:r>
    </w:p>
    <w:p w14:paraId="4E2BA6D1" w14:textId="77777777" w:rsidR="00A31DCB" w:rsidRDefault="00000000">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Guo TJ</w:t>
      </w:r>
      <w:r>
        <w:rPr>
          <w:rFonts w:ascii="Book Antiqua" w:eastAsia="Book Antiqua" w:hAnsi="Book Antiqua" w:cs="Book Antiqua"/>
          <w:color w:val="000000"/>
        </w:rPr>
        <w:t xml:space="preserve">, Chen W, Chen Y, Wu JC, Wang YP, Yang JL. Diagnostic performance of magnifying endoscopy with narrow-band imaging in differentiating neoplastic colorectal polyps from non-neoplastic colorectal polyps: a meta-analysis. </w:t>
      </w:r>
      <w:r>
        <w:rPr>
          <w:rFonts w:ascii="Book Antiqua" w:eastAsia="Book Antiqua" w:hAnsi="Book Antiqua" w:cs="Book Antiqua"/>
          <w:i/>
          <w:iCs/>
          <w:color w:val="000000"/>
        </w:rPr>
        <w:t>J Gastroenterol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53</w:t>
      </w:r>
      <w:r>
        <w:rPr>
          <w:rFonts w:ascii="Book Antiqua" w:eastAsia="Book Antiqua" w:hAnsi="Book Antiqua" w:cs="Book Antiqua"/>
          <w:color w:val="000000"/>
        </w:rPr>
        <w:t>: 701-711 [PMID: 29383442 DOI: 10.1007/s00535-018-1436-4]</w:t>
      </w:r>
    </w:p>
    <w:p w14:paraId="7BAB89CC" w14:textId="77777777" w:rsidR="00A31DCB" w:rsidRDefault="00000000">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Malki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ElRuz</w:t>
      </w:r>
      <w:proofErr w:type="spellEnd"/>
      <w:r>
        <w:rPr>
          <w:rFonts w:ascii="Book Antiqua" w:eastAsia="Book Antiqua" w:hAnsi="Book Antiqua" w:cs="Book Antiqua"/>
          <w:color w:val="000000"/>
        </w:rPr>
        <w:t xml:space="preserve"> RA, Gupta I, </w:t>
      </w:r>
      <w:proofErr w:type="spellStart"/>
      <w:r>
        <w:rPr>
          <w:rFonts w:ascii="Book Antiqua" w:eastAsia="Book Antiqua" w:hAnsi="Book Antiqua" w:cs="Book Antiqua"/>
          <w:color w:val="000000"/>
        </w:rPr>
        <w:t>Allouch</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Vranic</w:t>
      </w:r>
      <w:proofErr w:type="spellEnd"/>
      <w:r>
        <w:rPr>
          <w:rFonts w:ascii="Book Antiqua" w:eastAsia="Book Antiqua" w:hAnsi="Book Antiqua" w:cs="Book Antiqua"/>
          <w:color w:val="000000"/>
        </w:rPr>
        <w:t xml:space="preserve"> S, Al </w:t>
      </w:r>
      <w:proofErr w:type="spellStart"/>
      <w:r>
        <w:rPr>
          <w:rFonts w:ascii="Book Antiqua" w:eastAsia="Book Antiqua" w:hAnsi="Book Antiqua" w:cs="Book Antiqua"/>
          <w:color w:val="000000"/>
        </w:rPr>
        <w:t>Moustafa</w:t>
      </w:r>
      <w:proofErr w:type="spellEnd"/>
      <w:r>
        <w:rPr>
          <w:rFonts w:ascii="Book Antiqua" w:eastAsia="Book Antiqua" w:hAnsi="Book Antiqua" w:cs="Book Antiqua"/>
          <w:color w:val="000000"/>
        </w:rPr>
        <w:t xml:space="preserve"> AE. Molecular Mechanisms of Colon Cancer Progression and Metastasis: Recent Insights and Advancements.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2020; </w:t>
      </w:r>
      <w:r>
        <w:rPr>
          <w:rFonts w:ascii="Book Antiqua" w:eastAsia="Book Antiqua" w:hAnsi="Book Antiqua" w:cs="Book Antiqua"/>
          <w:b/>
          <w:bCs/>
          <w:color w:val="000000"/>
        </w:rPr>
        <w:t>22</w:t>
      </w:r>
      <w:r>
        <w:rPr>
          <w:rFonts w:ascii="Book Antiqua" w:eastAsia="Book Antiqua" w:hAnsi="Book Antiqua" w:cs="Book Antiqua"/>
          <w:color w:val="000000"/>
        </w:rPr>
        <w:t xml:space="preserve"> [PMID: 33374459 DOI: 10.3390/ijms22010130]</w:t>
      </w:r>
    </w:p>
    <w:p w14:paraId="7ED24A32" w14:textId="77777777" w:rsidR="00A31DCB" w:rsidRDefault="00000000">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Mukund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Syulyukina</w:t>
      </w:r>
      <w:proofErr w:type="spellEnd"/>
      <w:r>
        <w:rPr>
          <w:rFonts w:ascii="Book Antiqua" w:eastAsia="Book Antiqua" w:hAnsi="Book Antiqua" w:cs="Book Antiqua"/>
          <w:color w:val="000000"/>
        </w:rPr>
        <w:t xml:space="preserve"> N, Ramamoorthy S, Subramaniam S. Right and left-sided colon cancers - specificity of molecular mechanisms in tumorigenesis and progression. </w:t>
      </w:r>
      <w:r>
        <w:rPr>
          <w:rFonts w:ascii="Book Antiqua" w:eastAsia="Book Antiqua" w:hAnsi="Book Antiqua" w:cs="Book Antiqua"/>
          <w:i/>
          <w:iCs/>
          <w:color w:val="000000"/>
        </w:rPr>
        <w:t>BMC Cancer</w:t>
      </w:r>
      <w:r>
        <w:rPr>
          <w:rFonts w:ascii="Book Antiqua" w:eastAsia="Book Antiqua" w:hAnsi="Book Antiqua" w:cs="Book Antiqua"/>
          <w:color w:val="000000"/>
        </w:rPr>
        <w:t xml:space="preserve"> 2020; </w:t>
      </w:r>
      <w:r>
        <w:rPr>
          <w:rFonts w:ascii="Book Antiqua" w:eastAsia="Book Antiqua" w:hAnsi="Book Antiqua" w:cs="Book Antiqua"/>
          <w:b/>
          <w:bCs/>
          <w:color w:val="000000"/>
        </w:rPr>
        <w:t>20</w:t>
      </w:r>
      <w:r>
        <w:rPr>
          <w:rFonts w:ascii="Book Antiqua" w:eastAsia="Book Antiqua" w:hAnsi="Book Antiqua" w:cs="Book Antiqua"/>
          <w:color w:val="000000"/>
        </w:rPr>
        <w:t>: 317 [PMID: 32293332 DOI: 10.1186/s12885-020-06784-7]</w:t>
      </w:r>
    </w:p>
    <w:p w14:paraId="6475605D" w14:textId="77777777" w:rsidR="00A31DCB" w:rsidRDefault="00000000">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Clarke CN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Kopetz</w:t>
      </w:r>
      <w:proofErr w:type="spellEnd"/>
      <w:r>
        <w:rPr>
          <w:rFonts w:ascii="Book Antiqua" w:eastAsia="Book Antiqua" w:hAnsi="Book Antiqua" w:cs="Book Antiqua"/>
          <w:color w:val="000000"/>
        </w:rPr>
        <w:t xml:space="preserve"> ES. BRAF mutant colorectal cancer as a distinct subset of colorectal cancer: clinical characteristics, clinical behavior, and response to targeted therapies.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lastRenderedPageBreak/>
        <w:t>Gastrointest</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2015; </w:t>
      </w:r>
      <w:r>
        <w:rPr>
          <w:rFonts w:ascii="Book Antiqua" w:eastAsia="Book Antiqua" w:hAnsi="Book Antiqua" w:cs="Book Antiqua"/>
          <w:b/>
          <w:bCs/>
          <w:color w:val="000000"/>
        </w:rPr>
        <w:t>6</w:t>
      </w:r>
      <w:r>
        <w:rPr>
          <w:rFonts w:ascii="Book Antiqua" w:eastAsia="Book Antiqua" w:hAnsi="Book Antiqua" w:cs="Book Antiqua"/>
          <w:color w:val="000000"/>
        </w:rPr>
        <w:t>: 660-667 [PMID: 26697199 DOI: 10.3978/j.issn.2078-6891.2015.077]</w:t>
      </w:r>
    </w:p>
    <w:p w14:paraId="05FEC7E6" w14:textId="77777777" w:rsidR="00A31DCB" w:rsidRDefault="00000000">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Zhu G</w:t>
      </w:r>
      <w:r>
        <w:rPr>
          <w:rFonts w:ascii="Book Antiqua" w:eastAsia="Book Antiqua" w:hAnsi="Book Antiqua" w:cs="Book Antiqua"/>
          <w:color w:val="000000"/>
        </w:rPr>
        <w:t xml:space="preserve">, Pei L, Xia H, Tang Q, Bi F. Role of oncogenic KRAS in the prognosis, </w:t>
      </w:r>
      <w:proofErr w:type="gramStart"/>
      <w:r>
        <w:rPr>
          <w:rFonts w:ascii="Book Antiqua" w:eastAsia="Book Antiqua" w:hAnsi="Book Antiqua" w:cs="Book Antiqua"/>
          <w:color w:val="000000"/>
        </w:rPr>
        <w:t>diagnosis</w:t>
      </w:r>
      <w:proofErr w:type="gramEnd"/>
      <w:r>
        <w:rPr>
          <w:rFonts w:ascii="Book Antiqua" w:eastAsia="Book Antiqua" w:hAnsi="Book Antiqua" w:cs="Book Antiqua"/>
          <w:color w:val="000000"/>
        </w:rPr>
        <w:t xml:space="preserve"> and treatment of colorectal cancer. </w:t>
      </w:r>
      <w:r>
        <w:rPr>
          <w:rFonts w:ascii="Book Antiqua" w:eastAsia="Book Antiqua" w:hAnsi="Book Antiqua" w:cs="Book Antiqua"/>
          <w:i/>
          <w:iCs/>
          <w:color w:val="000000"/>
        </w:rPr>
        <w:t>Mol Cancer</w:t>
      </w:r>
      <w:r>
        <w:rPr>
          <w:rFonts w:ascii="Book Antiqua" w:eastAsia="Book Antiqua" w:hAnsi="Book Antiqua" w:cs="Book Antiqua"/>
          <w:color w:val="000000"/>
        </w:rPr>
        <w:t xml:space="preserve"> 2021; </w:t>
      </w:r>
      <w:r>
        <w:rPr>
          <w:rFonts w:ascii="Book Antiqua" w:eastAsia="Book Antiqua" w:hAnsi="Book Antiqua" w:cs="Book Antiqua"/>
          <w:b/>
          <w:bCs/>
          <w:color w:val="000000"/>
        </w:rPr>
        <w:t>20</w:t>
      </w:r>
      <w:r>
        <w:rPr>
          <w:rFonts w:ascii="Book Antiqua" w:eastAsia="Book Antiqua" w:hAnsi="Book Antiqua" w:cs="Book Antiqua"/>
          <w:color w:val="000000"/>
        </w:rPr>
        <w:t>: 143 [PMID: 34742312 DOI: 10.1186/s12943-021-01441-4]</w:t>
      </w:r>
    </w:p>
    <w:p w14:paraId="1A477C8D" w14:textId="77777777" w:rsidR="00A31DCB" w:rsidRDefault="00000000">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Tan C</w:t>
      </w:r>
      <w:r>
        <w:rPr>
          <w:rFonts w:ascii="Book Antiqua" w:eastAsia="Book Antiqua" w:hAnsi="Book Antiqua" w:cs="Book Antiqua"/>
          <w:color w:val="000000"/>
        </w:rPr>
        <w:t xml:space="preserve">, Du X. KRAS mutation testing in metastatic colorectal cancer.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2012; </w:t>
      </w:r>
      <w:r>
        <w:rPr>
          <w:rFonts w:ascii="Book Antiqua" w:eastAsia="Book Antiqua" w:hAnsi="Book Antiqua" w:cs="Book Antiqua"/>
          <w:b/>
          <w:bCs/>
          <w:color w:val="000000"/>
        </w:rPr>
        <w:t>18</w:t>
      </w:r>
      <w:r>
        <w:rPr>
          <w:rFonts w:ascii="Book Antiqua" w:eastAsia="Book Antiqua" w:hAnsi="Book Antiqua" w:cs="Book Antiqua"/>
          <w:color w:val="000000"/>
        </w:rPr>
        <w:t>: 5171-5180 [PMID: 23066310 DOI: 10.3748/wjg.v18.i37.5171]</w:t>
      </w:r>
    </w:p>
    <w:p w14:paraId="4381F754" w14:textId="77777777" w:rsidR="00A31DCB" w:rsidRDefault="00000000">
      <w:pPr>
        <w:spacing w:line="360" w:lineRule="auto"/>
        <w:jc w:val="both"/>
      </w:pPr>
      <w:r>
        <w:rPr>
          <w:rFonts w:ascii="Book Antiqua" w:eastAsia="Book Antiqua" w:hAnsi="Book Antiqua" w:cs="Book Antiqua"/>
          <w:color w:val="000000"/>
        </w:rPr>
        <w:t xml:space="preserve">30 </w:t>
      </w:r>
      <w:proofErr w:type="spellStart"/>
      <w:r>
        <w:rPr>
          <w:rFonts w:ascii="Book Antiqua" w:eastAsia="Book Antiqua" w:hAnsi="Book Antiqua" w:cs="Book Antiqua"/>
          <w:b/>
          <w:bCs/>
          <w:color w:val="000000"/>
        </w:rPr>
        <w:t>Margonis</w:t>
      </w:r>
      <w:proofErr w:type="spellEnd"/>
      <w:r>
        <w:rPr>
          <w:rFonts w:ascii="Book Antiqua" w:eastAsia="Book Antiqua" w:hAnsi="Book Antiqua" w:cs="Book Antiqua"/>
          <w:b/>
          <w:bCs/>
          <w:color w:val="000000"/>
        </w:rPr>
        <w:t xml:space="preserve"> GA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Spolverato</w:t>
      </w:r>
      <w:proofErr w:type="spellEnd"/>
      <w:r>
        <w:rPr>
          <w:rFonts w:ascii="Book Antiqua" w:eastAsia="Book Antiqua" w:hAnsi="Book Antiqua" w:cs="Book Antiqua"/>
          <w:color w:val="000000"/>
        </w:rPr>
        <w:t xml:space="preserve"> G, Kim Y, </w:t>
      </w:r>
      <w:proofErr w:type="spellStart"/>
      <w:r>
        <w:rPr>
          <w:rFonts w:ascii="Book Antiqua" w:eastAsia="Book Antiqua" w:hAnsi="Book Antiqua" w:cs="Book Antiqua"/>
          <w:color w:val="000000"/>
        </w:rPr>
        <w:t>Karagkounis</w:t>
      </w:r>
      <w:proofErr w:type="spellEnd"/>
      <w:r>
        <w:rPr>
          <w:rFonts w:ascii="Book Antiqua" w:eastAsia="Book Antiqua" w:hAnsi="Book Antiqua" w:cs="Book Antiqua"/>
          <w:color w:val="000000"/>
        </w:rPr>
        <w:t xml:space="preserve"> G, Choti MA, </w:t>
      </w:r>
      <w:proofErr w:type="spellStart"/>
      <w:r>
        <w:rPr>
          <w:rFonts w:ascii="Book Antiqua" w:eastAsia="Book Antiqua" w:hAnsi="Book Antiqua" w:cs="Book Antiqua"/>
          <w:color w:val="000000"/>
        </w:rPr>
        <w:t>Pawlik</w:t>
      </w:r>
      <w:proofErr w:type="spellEnd"/>
      <w:r>
        <w:rPr>
          <w:rFonts w:ascii="Book Antiqua" w:eastAsia="Book Antiqua" w:hAnsi="Book Antiqua" w:cs="Book Antiqua"/>
          <w:color w:val="000000"/>
        </w:rPr>
        <w:t xml:space="preserve"> TM. Effect of KRAS Mutation on Long-Term Outcomes of Patients Undergoing Hepatic Resection for Colorectal Liver Metastases.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22</w:t>
      </w:r>
      <w:r>
        <w:rPr>
          <w:rFonts w:ascii="Book Antiqua" w:eastAsia="Book Antiqua" w:hAnsi="Book Antiqua" w:cs="Book Antiqua"/>
          <w:color w:val="000000"/>
        </w:rPr>
        <w:t>: 4158-4165 [PMID: 26077912 DOI: 10.1245/s10434-015-4587-z]</w:t>
      </w:r>
    </w:p>
    <w:p w14:paraId="6BFA1DA4" w14:textId="77777777" w:rsidR="00A31DCB" w:rsidRDefault="00000000">
      <w:pPr>
        <w:spacing w:line="360" w:lineRule="auto"/>
        <w:jc w:val="both"/>
      </w:pPr>
      <w:r>
        <w:rPr>
          <w:rFonts w:ascii="Book Antiqua" w:eastAsia="Book Antiqua" w:hAnsi="Book Antiqua" w:cs="Book Antiqua"/>
          <w:color w:val="000000"/>
        </w:rPr>
        <w:t xml:space="preserve">31 </w:t>
      </w:r>
      <w:proofErr w:type="spellStart"/>
      <w:r>
        <w:rPr>
          <w:rFonts w:ascii="Book Antiqua" w:eastAsia="Book Antiqua" w:hAnsi="Book Antiqua" w:cs="Book Antiqua"/>
          <w:b/>
          <w:bCs/>
          <w:color w:val="000000"/>
        </w:rPr>
        <w:t>Passot</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Denbo</w:t>
      </w:r>
      <w:proofErr w:type="spellEnd"/>
      <w:r>
        <w:rPr>
          <w:rFonts w:ascii="Book Antiqua" w:eastAsia="Book Antiqua" w:hAnsi="Book Antiqua" w:cs="Book Antiqua"/>
          <w:color w:val="000000"/>
        </w:rPr>
        <w:t xml:space="preserve"> JW, Yamashita S, </w:t>
      </w:r>
      <w:proofErr w:type="spellStart"/>
      <w:r>
        <w:rPr>
          <w:rFonts w:ascii="Book Antiqua" w:eastAsia="Book Antiqua" w:hAnsi="Book Antiqua" w:cs="Book Antiqua"/>
          <w:color w:val="000000"/>
        </w:rPr>
        <w:t>Kopetz</w:t>
      </w:r>
      <w:proofErr w:type="spellEnd"/>
      <w:r>
        <w:rPr>
          <w:rFonts w:ascii="Book Antiqua" w:eastAsia="Book Antiqua" w:hAnsi="Book Antiqua" w:cs="Book Antiqua"/>
          <w:color w:val="000000"/>
        </w:rPr>
        <w:t xml:space="preserve"> SE, Chun YS, Maru D, Overman MJ, </w:t>
      </w:r>
      <w:proofErr w:type="spellStart"/>
      <w:r>
        <w:rPr>
          <w:rFonts w:ascii="Book Antiqua" w:eastAsia="Book Antiqua" w:hAnsi="Book Antiqua" w:cs="Book Antiqua"/>
          <w:color w:val="000000"/>
        </w:rPr>
        <w:t>Brudvik</w:t>
      </w:r>
      <w:proofErr w:type="spellEnd"/>
      <w:r>
        <w:rPr>
          <w:rFonts w:ascii="Book Antiqua" w:eastAsia="Book Antiqua" w:hAnsi="Book Antiqua" w:cs="Book Antiqua"/>
          <w:color w:val="000000"/>
        </w:rPr>
        <w:t xml:space="preserve"> KW, Conrad C, </w:t>
      </w:r>
      <w:proofErr w:type="spellStart"/>
      <w:r>
        <w:rPr>
          <w:rFonts w:ascii="Book Antiqua" w:eastAsia="Book Antiqua" w:hAnsi="Book Antiqua" w:cs="Book Antiqua"/>
          <w:color w:val="000000"/>
        </w:rPr>
        <w:t>Aloia</w:t>
      </w:r>
      <w:proofErr w:type="spellEnd"/>
      <w:r>
        <w:rPr>
          <w:rFonts w:ascii="Book Antiqua" w:eastAsia="Book Antiqua" w:hAnsi="Book Antiqua" w:cs="Book Antiqua"/>
          <w:color w:val="000000"/>
        </w:rPr>
        <w:t xml:space="preserve"> TA, </w:t>
      </w:r>
      <w:proofErr w:type="spellStart"/>
      <w:r>
        <w:rPr>
          <w:rFonts w:ascii="Book Antiqua" w:eastAsia="Book Antiqua" w:hAnsi="Book Antiqua" w:cs="Book Antiqua"/>
          <w:color w:val="000000"/>
        </w:rPr>
        <w:t>Vauthey</w:t>
      </w:r>
      <w:proofErr w:type="spellEnd"/>
      <w:r>
        <w:rPr>
          <w:rFonts w:ascii="Book Antiqua" w:eastAsia="Book Antiqua" w:hAnsi="Book Antiqua" w:cs="Book Antiqua"/>
          <w:color w:val="000000"/>
        </w:rPr>
        <w:t xml:space="preserve"> JN. Is hepatectomy justified for patients with RAS mutant colorectal liver metastases? An analysis of 524 patients undergoing curative liver resection. </w:t>
      </w:r>
      <w:r>
        <w:rPr>
          <w:rFonts w:ascii="Book Antiqua" w:eastAsia="Book Antiqua" w:hAnsi="Book Antiqua" w:cs="Book Antiqua"/>
          <w:i/>
          <w:iCs/>
          <w:color w:val="000000"/>
        </w:rPr>
        <w:t>Surgery</w:t>
      </w:r>
      <w:r>
        <w:rPr>
          <w:rFonts w:ascii="Book Antiqua" w:eastAsia="Book Antiqua" w:hAnsi="Book Antiqua" w:cs="Book Antiqua"/>
          <w:color w:val="000000"/>
        </w:rPr>
        <w:t xml:space="preserve"> 2017; </w:t>
      </w:r>
      <w:r>
        <w:rPr>
          <w:rFonts w:ascii="Book Antiqua" w:eastAsia="Book Antiqua" w:hAnsi="Book Antiqua" w:cs="Book Antiqua"/>
          <w:b/>
          <w:bCs/>
          <w:color w:val="000000"/>
        </w:rPr>
        <w:t>161</w:t>
      </w:r>
      <w:r>
        <w:rPr>
          <w:rFonts w:ascii="Book Antiqua" w:eastAsia="Book Antiqua" w:hAnsi="Book Antiqua" w:cs="Book Antiqua"/>
          <w:color w:val="000000"/>
        </w:rPr>
        <w:t>: 332-340 [PMID: 27592215 DOI: 10.1016/j.surg.2016.07.032]</w:t>
      </w:r>
    </w:p>
    <w:p w14:paraId="75500B65" w14:textId="77777777" w:rsidR="00A31DCB" w:rsidRDefault="00000000">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Vale CL</w:t>
      </w:r>
      <w:r>
        <w:rPr>
          <w:rFonts w:ascii="Book Antiqua" w:eastAsia="Book Antiqua" w:hAnsi="Book Antiqua" w:cs="Book Antiqua"/>
          <w:color w:val="000000"/>
        </w:rPr>
        <w:t xml:space="preserve">, Tierney JF, Fisher D, Adams RA, Kaplan R, Maughan TS, Parmar MK, Meade AM. Does anti-EGFR therapy improve outcome in advanced colorectal cancer? A systematic review and meta-analysis. </w:t>
      </w:r>
      <w:r>
        <w:rPr>
          <w:rFonts w:ascii="Book Antiqua" w:eastAsia="Book Antiqua" w:hAnsi="Book Antiqua" w:cs="Book Antiqua"/>
          <w:i/>
          <w:iCs/>
          <w:color w:val="000000"/>
        </w:rPr>
        <w:t>Cancer Treat Rev</w:t>
      </w:r>
      <w:r>
        <w:rPr>
          <w:rFonts w:ascii="Book Antiqua" w:eastAsia="Book Antiqua" w:hAnsi="Book Antiqua" w:cs="Book Antiqua"/>
          <w:color w:val="000000"/>
        </w:rPr>
        <w:t xml:space="preserve"> 2012; </w:t>
      </w:r>
      <w:r>
        <w:rPr>
          <w:rFonts w:ascii="Book Antiqua" w:eastAsia="Book Antiqua" w:hAnsi="Book Antiqua" w:cs="Book Antiqua"/>
          <w:b/>
          <w:bCs/>
          <w:color w:val="000000"/>
        </w:rPr>
        <w:t>38</w:t>
      </w:r>
      <w:r>
        <w:rPr>
          <w:rFonts w:ascii="Book Antiqua" w:eastAsia="Book Antiqua" w:hAnsi="Book Antiqua" w:cs="Book Antiqua"/>
          <w:color w:val="000000"/>
        </w:rPr>
        <w:t>: 618-625 [PMID: 22118887 DOI: 10.1016/j.ctrv.2011.11.002]</w:t>
      </w:r>
    </w:p>
    <w:p w14:paraId="1AD21469" w14:textId="77777777" w:rsidR="00A31DCB" w:rsidRDefault="00000000">
      <w:pPr>
        <w:spacing w:line="360" w:lineRule="auto"/>
        <w:jc w:val="both"/>
      </w:pPr>
      <w:r>
        <w:rPr>
          <w:rFonts w:ascii="Book Antiqua" w:eastAsia="Book Antiqua" w:hAnsi="Book Antiqua" w:cs="Book Antiqua"/>
          <w:color w:val="000000"/>
        </w:rPr>
        <w:t xml:space="preserve">33 </w:t>
      </w:r>
      <w:proofErr w:type="spellStart"/>
      <w:r>
        <w:rPr>
          <w:rFonts w:ascii="Book Antiqua" w:eastAsia="Book Antiqua" w:hAnsi="Book Antiqua" w:cs="Book Antiqua"/>
          <w:b/>
          <w:bCs/>
          <w:color w:val="000000"/>
        </w:rPr>
        <w:t>Shaib</w:t>
      </w:r>
      <w:proofErr w:type="spellEnd"/>
      <w:r>
        <w:rPr>
          <w:rFonts w:ascii="Book Antiqua" w:eastAsia="Book Antiqua" w:hAnsi="Book Antiqua" w:cs="Book Antiqua"/>
          <w:b/>
          <w:bCs/>
          <w:color w:val="000000"/>
        </w:rPr>
        <w:t xml:space="preserve"> W</w:t>
      </w:r>
      <w:r>
        <w:rPr>
          <w:rFonts w:ascii="Book Antiqua" w:eastAsia="Book Antiqua" w:hAnsi="Book Antiqua" w:cs="Book Antiqua"/>
          <w:color w:val="000000"/>
        </w:rPr>
        <w:t>, Mahajan R, El-</w:t>
      </w:r>
      <w:proofErr w:type="spellStart"/>
      <w:r>
        <w:rPr>
          <w:rFonts w:ascii="Book Antiqua" w:eastAsia="Book Antiqua" w:hAnsi="Book Antiqua" w:cs="Book Antiqua"/>
          <w:color w:val="000000"/>
        </w:rPr>
        <w:t>Rayes</w:t>
      </w:r>
      <w:proofErr w:type="spellEnd"/>
      <w:r>
        <w:rPr>
          <w:rFonts w:ascii="Book Antiqua" w:eastAsia="Book Antiqua" w:hAnsi="Book Antiqua" w:cs="Book Antiqua"/>
          <w:color w:val="000000"/>
        </w:rPr>
        <w:t xml:space="preserve"> B. Markers of resistance to anti-EGFR therapy in colorectal cancer.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2013; </w:t>
      </w:r>
      <w:r>
        <w:rPr>
          <w:rFonts w:ascii="Book Antiqua" w:eastAsia="Book Antiqua" w:hAnsi="Book Antiqua" w:cs="Book Antiqua"/>
          <w:b/>
          <w:bCs/>
          <w:color w:val="000000"/>
        </w:rPr>
        <w:t>4</w:t>
      </w:r>
      <w:r>
        <w:rPr>
          <w:rFonts w:ascii="Book Antiqua" w:eastAsia="Book Antiqua" w:hAnsi="Book Antiqua" w:cs="Book Antiqua"/>
          <w:color w:val="000000"/>
        </w:rPr>
        <w:t>: 308-318 [PMID: 23997942 DOI: 10.3978/j.issn.2078-6891.2013.029]</w:t>
      </w:r>
    </w:p>
    <w:p w14:paraId="0865B738" w14:textId="77777777" w:rsidR="00A31DCB" w:rsidRDefault="00000000">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Schirripa M</w:t>
      </w:r>
      <w:r>
        <w:rPr>
          <w:rFonts w:ascii="Book Antiqua" w:eastAsia="Book Antiqua" w:hAnsi="Book Antiqua" w:cs="Book Antiqua"/>
          <w:color w:val="000000"/>
        </w:rPr>
        <w:t xml:space="preserve">, Bergamo F, </w:t>
      </w:r>
      <w:proofErr w:type="spellStart"/>
      <w:r>
        <w:rPr>
          <w:rFonts w:ascii="Book Antiqua" w:eastAsia="Book Antiqua" w:hAnsi="Book Antiqua" w:cs="Book Antiqua"/>
          <w:color w:val="000000"/>
        </w:rPr>
        <w:t>Cremolini</w:t>
      </w:r>
      <w:proofErr w:type="spellEnd"/>
      <w:r>
        <w:rPr>
          <w:rFonts w:ascii="Book Antiqua" w:eastAsia="Book Antiqua" w:hAnsi="Book Antiqua" w:cs="Book Antiqua"/>
          <w:color w:val="000000"/>
        </w:rPr>
        <w:t xml:space="preserve"> C, Casagrande M, </w:t>
      </w:r>
      <w:proofErr w:type="spellStart"/>
      <w:r>
        <w:rPr>
          <w:rFonts w:ascii="Book Antiqua" w:eastAsia="Book Antiqua" w:hAnsi="Book Antiqua" w:cs="Book Antiqua"/>
          <w:color w:val="000000"/>
        </w:rPr>
        <w:t>Lonardi</w:t>
      </w:r>
      <w:proofErr w:type="spellEnd"/>
      <w:r>
        <w:rPr>
          <w:rFonts w:ascii="Book Antiqua" w:eastAsia="Book Antiqua" w:hAnsi="Book Antiqua" w:cs="Book Antiqua"/>
          <w:color w:val="000000"/>
        </w:rPr>
        <w:t xml:space="preserve"> S, Aprile G, Yang D, </w:t>
      </w:r>
      <w:proofErr w:type="spellStart"/>
      <w:r>
        <w:rPr>
          <w:rFonts w:ascii="Book Antiqua" w:eastAsia="Book Antiqua" w:hAnsi="Book Antiqua" w:cs="Book Antiqua"/>
          <w:color w:val="000000"/>
        </w:rPr>
        <w:t>Marmorino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Pasquini</w:t>
      </w:r>
      <w:proofErr w:type="spellEnd"/>
      <w:r>
        <w:rPr>
          <w:rFonts w:ascii="Book Antiqua" w:eastAsia="Book Antiqua" w:hAnsi="Book Antiqua" w:cs="Book Antiqua"/>
          <w:color w:val="000000"/>
        </w:rPr>
        <w:t xml:space="preserve"> G, Sensi E, </w:t>
      </w:r>
      <w:proofErr w:type="spellStart"/>
      <w:r>
        <w:rPr>
          <w:rFonts w:ascii="Book Antiqua" w:eastAsia="Book Antiqua" w:hAnsi="Book Antiqua" w:cs="Book Antiqua"/>
          <w:color w:val="000000"/>
        </w:rPr>
        <w:t>Lupi</w:t>
      </w:r>
      <w:proofErr w:type="spellEnd"/>
      <w:r>
        <w:rPr>
          <w:rFonts w:ascii="Book Antiqua" w:eastAsia="Book Antiqua" w:hAnsi="Book Antiqua" w:cs="Book Antiqua"/>
          <w:color w:val="000000"/>
        </w:rPr>
        <w:t xml:space="preserve"> C, De Maglio G, Borrelli N, </w:t>
      </w:r>
      <w:proofErr w:type="spellStart"/>
      <w:r>
        <w:rPr>
          <w:rFonts w:ascii="Book Antiqua" w:eastAsia="Book Antiqua" w:hAnsi="Book Antiqua" w:cs="Book Antiqua"/>
          <w:color w:val="000000"/>
        </w:rPr>
        <w:t>Pizzolitto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Fasola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Bertorelle</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Rugge</w:t>
      </w:r>
      <w:proofErr w:type="spellEnd"/>
      <w:r>
        <w:rPr>
          <w:rFonts w:ascii="Book Antiqua" w:eastAsia="Book Antiqua" w:hAnsi="Book Antiqua" w:cs="Book Antiqua"/>
          <w:color w:val="000000"/>
        </w:rPr>
        <w:t xml:space="preserve"> M, Fontanini G, </w:t>
      </w:r>
      <w:proofErr w:type="spellStart"/>
      <w:r>
        <w:rPr>
          <w:rFonts w:ascii="Book Antiqua" w:eastAsia="Book Antiqua" w:hAnsi="Book Antiqua" w:cs="Book Antiqua"/>
          <w:color w:val="000000"/>
        </w:rPr>
        <w:t>Zagonel</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Loupakis</w:t>
      </w:r>
      <w:proofErr w:type="spellEnd"/>
      <w:r>
        <w:rPr>
          <w:rFonts w:ascii="Book Antiqua" w:eastAsia="Book Antiqua" w:hAnsi="Book Antiqua" w:cs="Book Antiqua"/>
          <w:color w:val="000000"/>
        </w:rPr>
        <w:t xml:space="preserve"> F, Falcone A. BRAF and RAS mutations as prognostic factors in metastatic colorectal cancer patients undergoing liver resection. </w:t>
      </w:r>
      <w:r>
        <w:rPr>
          <w:rFonts w:ascii="Book Antiqua" w:eastAsia="Book Antiqua" w:hAnsi="Book Antiqua" w:cs="Book Antiqua"/>
          <w:i/>
          <w:iCs/>
          <w:color w:val="000000"/>
        </w:rPr>
        <w:t>Br J Cancer</w:t>
      </w:r>
      <w:r>
        <w:rPr>
          <w:rFonts w:ascii="Book Antiqua" w:eastAsia="Book Antiqua" w:hAnsi="Book Antiqua" w:cs="Book Antiqua"/>
          <w:color w:val="000000"/>
        </w:rPr>
        <w:t xml:space="preserve"> 2015; </w:t>
      </w:r>
      <w:r>
        <w:rPr>
          <w:rFonts w:ascii="Book Antiqua" w:eastAsia="Book Antiqua" w:hAnsi="Book Antiqua" w:cs="Book Antiqua"/>
          <w:b/>
          <w:bCs/>
          <w:color w:val="000000"/>
        </w:rPr>
        <w:t>112</w:t>
      </w:r>
      <w:r>
        <w:rPr>
          <w:rFonts w:ascii="Book Antiqua" w:eastAsia="Book Antiqua" w:hAnsi="Book Antiqua" w:cs="Book Antiqua"/>
          <w:color w:val="000000"/>
        </w:rPr>
        <w:t>: 1921-1928 [PMID: 25942399 DOI: 10.1038/bjc.2015.142]</w:t>
      </w:r>
    </w:p>
    <w:p w14:paraId="4132A63A" w14:textId="77777777" w:rsidR="00A31DCB" w:rsidRDefault="00000000">
      <w:pPr>
        <w:spacing w:line="360" w:lineRule="auto"/>
        <w:jc w:val="both"/>
      </w:pPr>
      <w:r>
        <w:rPr>
          <w:rFonts w:ascii="Book Antiqua" w:eastAsia="Book Antiqua" w:hAnsi="Book Antiqua" w:cs="Book Antiqua"/>
          <w:color w:val="000000"/>
        </w:rPr>
        <w:lastRenderedPageBreak/>
        <w:t xml:space="preserve">35 </w:t>
      </w:r>
      <w:r>
        <w:rPr>
          <w:rFonts w:ascii="Book Antiqua" w:eastAsia="Book Antiqua" w:hAnsi="Book Antiqua" w:cs="Book Antiqua"/>
          <w:b/>
          <w:bCs/>
          <w:color w:val="000000"/>
        </w:rPr>
        <w:t>Tie J</w:t>
      </w:r>
      <w:r>
        <w:rPr>
          <w:rFonts w:ascii="Book Antiqua" w:eastAsia="Book Antiqua" w:hAnsi="Book Antiqua" w:cs="Book Antiqua"/>
          <w:color w:val="000000"/>
        </w:rPr>
        <w:t xml:space="preserve">, Desai J. Targeting BRAF mutant metastatic colorectal cancer: clinical implications and emerging therapeutic strategies. </w:t>
      </w:r>
      <w:r>
        <w:rPr>
          <w:rFonts w:ascii="Book Antiqua" w:eastAsia="Book Antiqua" w:hAnsi="Book Antiqua" w:cs="Book Antiqua"/>
          <w:i/>
          <w:iCs/>
          <w:color w:val="000000"/>
        </w:rPr>
        <w:t>Target Oncol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10</w:t>
      </w:r>
      <w:r>
        <w:rPr>
          <w:rFonts w:ascii="Book Antiqua" w:eastAsia="Book Antiqua" w:hAnsi="Book Antiqua" w:cs="Book Antiqua"/>
          <w:color w:val="000000"/>
        </w:rPr>
        <w:t>: 179-188 [PMID: 25119972 DOI: 10.1007/s11523-014-0330-0]</w:t>
      </w:r>
    </w:p>
    <w:p w14:paraId="4F1FD277" w14:textId="77777777" w:rsidR="00A31DCB" w:rsidRDefault="00000000">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Lochhead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Kuchiba</w:t>
      </w:r>
      <w:proofErr w:type="spellEnd"/>
      <w:r>
        <w:rPr>
          <w:rFonts w:ascii="Book Antiqua" w:eastAsia="Book Antiqua" w:hAnsi="Book Antiqua" w:cs="Book Antiqua"/>
          <w:color w:val="000000"/>
        </w:rPr>
        <w:t xml:space="preserve"> A, Imamura Y, Liao X, Yamauchi M, Nishihara R, Qian ZR, Morikawa T, Shen J, </w:t>
      </w:r>
      <w:proofErr w:type="spellStart"/>
      <w:r>
        <w:rPr>
          <w:rFonts w:ascii="Book Antiqua" w:eastAsia="Book Antiqua" w:hAnsi="Book Antiqua" w:cs="Book Antiqua"/>
          <w:color w:val="000000"/>
        </w:rPr>
        <w:t>Meyerhardt</w:t>
      </w:r>
      <w:proofErr w:type="spellEnd"/>
      <w:r>
        <w:rPr>
          <w:rFonts w:ascii="Book Antiqua" w:eastAsia="Book Antiqua" w:hAnsi="Book Antiqua" w:cs="Book Antiqua"/>
          <w:color w:val="000000"/>
        </w:rPr>
        <w:t xml:space="preserve"> JA, Fuchs CS, Ogino S. Microsatellite instability and BRAF mutation testing in colorectal cancer prognostication. </w:t>
      </w:r>
      <w:r>
        <w:rPr>
          <w:rFonts w:ascii="Book Antiqua" w:eastAsia="Book Antiqua" w:hAnsi="Book Antiqua" w:cs="Book Antiqua"/>
          <w:i/>
          <w:iCs/>
          <w:color w:val="000000"/>
        </w:rPr>
        <w:t>J Natl Cancer Inst</w:t>
      </w:r>
      <w:r>
        <w:rPr>
          <w:rFonts w:ascii="Book Antiqua" w:eastAsia="Book Antiqua" w:hAnsi="Book Antiqua" w:cs="Book Antiqua"/>
          <w:color w:val="000000"/>
        </w:rPr>
        <w:t xml:space="preserve"> 2013; </w:t>
      </w:r>
      <w:r>
        <w:rPr>
          <w:rFonts w:ascii="Book Antiqua" w:eastAsia="Book Antiqua" w:hAnsi="Book Antiqua" w:cs="Book Antiqua"/>
          <w:b/>
          <w:bCs/>
          <w:color w:val="000000"/>
        </w:rPr>
        <w:t>105</w:t>
      </w:r>
      <w:r>
        <w:rPr>
          <w:rFonts w:ascii="Book Antiqua" w:eastAsia="Book Antiqua" w:hAnsi="Book Antiqua" w:cs="Book Antiqua"/>
          <w:color w:val="000000"/>
        </w:rPr>
        <w:t>: 1151-1156 [PMID: 23878352 DOI: 10.1093/</w:t>
      </w:r>
      <w:proofErr w:type="spellStart"/>
      <w:r>
        <w:rPr>
          <w:rFonts w:ascii="Book Antiqua" w:eastAsia="Book Antiqua" w:hAnsi="Book Antiqua" w:cs="Book Antiqua"/>
          <w:color w:val="000000"/>
        </w:rPr>
        <w:t>jnci</w:t>
      </w:r>
      <w:proofErr w:type="spellEnd"/>
      <w:r>
        <w:rPr>
          <w:rFonts w:ascii="Book Antiqua" w:eastAsia="Book Antiqua" w:hAnsi="Book Antiqua" w:cs="Book Antiqua"/>
          <w:color w:val="000000"/>
        </w:rPr>
        <w:t>/djt173]</w:t>
      </w:r>
    </w:p>
    <w:p w14:paraId="12D9FF71" w14:textId="77777777" w:rsidR="00A31DCB" w:rsidRDefault="00000000">
      <w:pPr>
        <w:spacing w:line="360" w:lineRule="auto"/>
        <w:jc w:val="both"/>
      </w:pPr>
      <w:r>
        <w:rPr>
          <w:rFonts w:ascii="Book Antiqua" w:eastAsia="Book Antiqua" w:hAnsi="Book Antiqua" w:cs="Book Antiqua"/>
          <w:color w:val="000000"/>
        </w:rPr>
        <w:t xml:space="preserve">37 </w:t>
      </w:r>
      <w:proofErr w:type="spellStart"/>
      <w:r>
        <w:rPr>
          <w:rFonts w:ascii="Book Antiqua" w:eastAsia="Book Antiqua" w:hAnsi="Book Antiqua" w:cs="Book Antiqua"/>
          <w:b/>
          <w:bCs/>
          <w:color w:val="000000"/>
        </w:rPr>
        <w:t>Sartore</w:t>
      </w:r>
      <w:proofErr w:type="spellEnd"/>
      <w:r>
        <w:rPr>
          <w:rFonts w:ascii="Book Antiqua" w:eastAsia="Book Antiqua" w:hAnsi="Book Antiqua" w:cs="Book Antiqua"/>
          <w:b/>
          <w:bCs/>
          <w:color w:val="000000"/>
        </w:rPr>
        <w:t>-Bianchi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Trusolino</w:t>
      </w:r>
      <w:proofErr w:type="spellEnd"/>
      <w:r>
        <w:rPr>
          <w:rFonts w:ascii="Book Antiqua" w:eastAsia="Book Antiqua" w:hAnsi="Book Antiqua" w:cs="Book Antiqua"/>
          <w:color w:val="000000"/>
        </w:rPr>
        <w:t xml:space="preserve"> L, Martino C, </w:t>
      </w:r>
      <w:proofErr w:type="spellStart"/>
      <w:r>
        <w:rPr>
          <w:rFonts w:ascii="Book Antiqua" w:eastAsia="Book Antiqua" w:hAnsi="Book Antiqua" w:cs="Book Antiqua"/>
          <w:color w:val="000000"/>
        </w:rPr>
        <w:t>Bencardino</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Lonardi</w:t>
      </w:r>
      <w:proofErr w:type="spellEnd"/>
      <w:r>
        <w:rPr>
          <w:rFonts w:ascii="Book Antiqua" w:eastAsia="Book Antiqua" w:hAnsi="Book Antiqua" w:cs="Book Antiqua"/>
          <w:color w:val="000000"/>
        </w:rPr>
        <w:t xml:space="preserve"> S, Bergamo F, </w:t>
      </w:r>
      <w:proofErr w:type="spellStart"/>
      <w:r>
        <w:rPr>
          <w:rFonts w:ascii="Book Antiqua" w:eastAsia="Book Antiqua" w:hAnsi="Book Antiqua" w:cs="Book Antiqua"/>
          <w:color w:val="000000"/>
        </w:rPr>
        <w:t>Zagonel</w:t>
      </w:r>
      <w:proofErr w:type="spellEnd"/>
      <w:r>
        <w:rPr>
          <w:rFonts w:ascii="Book Antiqua" w:eastAsia="Book Antiqua" w:hAnsi="Book Antiqua" w:cs="Book Antiqua"/>
          <w:color w:val="000000"/>
        </w:rPr>
        <w:t xml:space="preserve"> V, Leone F, </w:t>
      </w:r>
      <w:proofErr w:type="spellStart"/>
      <w:r>
        <w:rPr>
          <w:rFonts w:ascii="Book Antiqua" w:eastAsia="Book Antiqua" w:hAnsi="Book Antiqua" w:cs="Book Antiqua"/>
          <w:color w:val="000000"/>
        </w:rPr>
        <w:t>Depetris</w:t>
      </w:r>
      <w:proofErr w:type="spellEnd"/>
      <w:r>
        <w:rPr>
          <w:rFonts w:ascii="Book Antiqua" w:eastAsia="Book Antiqua" w:hAnsi="Book Antiqua" w:cs="Book Antiqua"/>
          <w:color w:val="000000"/>
        </w:rPr>
        <w:t xml:space="preserve"> I, Martinelli E, </w:t>
      </w:r>
      <w:proofErr w:type="spellStart"/>
      <w:r>
        <w:rPr>
          <w:rFonts w:ascii="Book Antiqua" w:eastAsia="Book Antiqua" w:hAnsi="Book Antiqua" w:cs="Book Antiqua"/>
          <w:color w:val="000000"/>
        </w:rPr>
        <w:t>Troiani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Ciardiello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Racca</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Bertotti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Siravegna</w:t>
      </w:r>
      <w:proofErr w:type="spellEnd"/>
      <w:r>
        <w:rPr>
          <w:rFonts w:ascii="Book Antiqua" w:eastAsia="Book Antiqua" w:hAnsi="Book Antiqua" w:cs="Book Antiqua"/>
          <w:color w:val="000000"/>
        </w:rPr>
        <w:t xml:space="preserve"> G, Torri V, </w:t>
      </w:r>
      <w:proofErr w:type="spellStart"/>
      <w:r>
        <w:rPr>
          <w:rFonts w:ascii="Book Antiqua" w:eastAsia="Book Antiqua" w:hAnsi="Book Antiqua" w:cs="Book Antiqua"/>
          <w:color w:val="000000"/>
        </w:rPr>
        <w:t>Amatu</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Ghezzi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Marrapese</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Palmeri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Valtorta</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Cassingena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Lauricella</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Vanzulli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Regge</w:t>
      </w:r>
      <w:proofErr w:type="spellEnd"/>
      <w:r>
        <w:rPr>
          <w:rFonts w:ascii="Book Antiqua" w:eastAsia="Book Antiqua" w:hAnsi="Book Antiqua" w:cs="Book Antiqua"/>
          <w:color w:val="000000"/>
        </w:rPr>
        <w:t xml:space="preserve"> D, Veronese S, </w:t>
      </w:r>
      <w:proofErr w:type="spellStart"/>
      <w:r>
        <w:rPr>
          <w:rFonts w:ascii="Book Antiqua" w:eastAsia="Book Antiqua" w:hAnsi="Book Antiqua" w:cs="Book Antiqua"/>
          <w:color w:val="000000"/>
        </w:rPr>
        <w:t>Comoglio</w:t>
      </w:r>
      <w:proofErr w:type="spellEnd"/>
      <w:r>
        <w:rPr>
          <w:rFonts w:ascii="Book Antiqua" w:eastAsia="Book Antiqua" w:hAnsi="Book Antiqua" w:cs="Book Antiqua"/>
          <w:color w:val="000000"/>
        </w:rPr>
        <w:t xml:space="preserve"> PM, </w:t>
      </w:r>
      <w:proofErr w:type="spellStart"/>
      <w:r>
        <w:rPr>
          <w:rFonts w:ascii="Book Antiqua" w:eastAsia="Book Antiqua" w:hAnsi="Book Antiqua" w:cs="Book Antiqua"/>
          <w:color w:val="000000"/>
        </w:rPr>
        <w:t>Bardelli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Marsoni</w:t>
      </w:r>
      <w:proofErr w:type="spellEnd"/>
      <w:r>
        <w:rPr>
          <w:rFonts w:ascii="Book Antiqua" w:eastAsia="Book Antiqua" w:hAnsi="Book Antiqua" w:cs="Book Antiqua"/>
          <w:color w:val="000000"/>
        </w:rPr>
        <w:t xml:space="preserve"> S, Siena S. Dual-targeted therapy with trastuzumab and lapatinib in treatment-refractory, KRAS codon 12/13 wild-type, HER2-positive metastatic colorectal cancer (HERACLES): a proof-of-concept,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open-label, phase 2 trial. </w:t>
      </w:r>
      <w:r>
        <w:rPr>
          <w:rFonts w:ascii="Book Antiqua" w:eastAsia="Book Antiqua" w:hAnsi="Book Antiqua" w:cs="Book Antiqua"/>
          <w:i/>
          <w:iCs/>
          <w:color w:val="000000"/>
        </w:rPr>
        <w:t>Lancet Oncol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17</w:t>
      </w:r>
      <w:r>
        <w:rPr>
          <w:rFonts w:ascii="Book Antiqua" w:eastAsia="Book Antiqua" w:hAnsi="Book Antiqua" w:cs="Book Antiqua"/>
          <w:color w:val="000000"/>
        </w:rPr>
        <w:t>: 738-746 [PMID: 27108243 DOI: 10.1016/S1470-2045(16)00150-9]</w:t>
      </w:r>
    </w:p>
    <w:p w14:paraId="50294E38" w14:textId="77777777" w:rsidR="00A31DCB" w:rsidRDefault="00000000">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Wang G</w:t>
      </w:r>
      <w:r>
        <w:rPr>
          <w:rFonts w:ascii="Book Antiqua" w:eastAsia="Book Antiqua" w:hAnsi="Book Antiqua" w:cs="Book Antiqua"/>
          <w:color w:val="000000"/>
        </w:rPr>
        <w:t xml:space="preserve">, He Y, Sun Y, Wang W, Qian X, Yu X, Pan Y. Prevalence, </w:t>
      </w:r>
      <w:proofErr w:type="gramStart"/>
      <w:r>
        <w:rPr>
          <w:rFonts w:ascii="Book Antiqua" w:eastAsia="Book Antiqua" w:hAnsi="Book Antiqua" w:cs="Book Antiqua"/>
          <w:color w:val="000000"/>
        </w:rPr>
        <w:t>prognosis</w:t>
      </w:r>
      <w:proofErr w:type="gramEnd"/>
      <w:r>
        <w:rPr>
          <w:rFonts w:ascii="Book Antiqua" w:eastAsia="Book Antiqua" w:hAnsi="Book Antiqua" w:cs="Book Antiqua"/>
          <w:color w:val="000000"/>
        </w:rPr>
        <w:t xml:space="preserve"> and predictive status of HER2 amplification in anti-EGFR-resistant metastatic colorectal cancer.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22</w:t>
      </w:r>
      <w:r>
        <w:rPr>
          <w:rFonts w:ascii="Book Antiqua" w:eastAsia="Book Antiqua" w:hAnsi="Book Antiqua" w:cs="Book Antiqua"/>
          <w:color w:val="000000"/>
        </w:rPr>
        <w:t>: 813-822 [PMID: 31587152 DOI: 10.1007/s12094-019-02213-9]</w:t>
      </w:r>
    </w:p>
    <w:p w14:paraId="5BAA8EB6" w14:textId="77777777" w:rsidR="00A31DCB" w:rsidRDefault="00000000">
      <w:pPr>
        <w:spacing w:line="360" w:lineRule="auto"/>
        <w:jc w:val="both"/>
      </w:pPr>
      <w:r>
        <w:rPr>
          <w:rFonts w:ascii="Book Antiqua" w:eastAsia="Book Antiqua" w:hAnsi="Book Antiqua" w:cs="Book Antiqua"/>
          <w:color w:val="000000"/>
        </w:rPr>
        <w:t xml:space="preserve">39 </w:t>
      </w:r>
      <w:proofErr w:type="spellStart"/>
      <w:r>
        <w:rPr>
          <w:rFonts w:ascii="Book Antiqua" w:eastAsia="Book Antiqua" w:hAnsi="Book Antiqua" w:cs="Book Antiqua"/>
          <w:b/>
          <w:bCs/>
          <w:color w:val="000000"/>
        </w:rPr>
        <w:t>Keam</w:t>
      </w:r>
      <w:proofErr w:type="spellEnd"/>
      <w:r>
        <w:rPr>
          <w:rFonts w:ascii="Book Antiqua" w:eastAsia="Book Antiqua" w:hAnsi="Book Antiqua" w:cs="Book Antiqua"/>
          <w:b/>
          <w:bCs/>
          <w:color w:val="000000"/>
        </w:rPr>
        <w:t xml:space="preserve"> SJ</w:t>
      </w:r>
      <w:r>
        <w:rPr>
          <w:rFonts w:ascii="Book Antiqua" w:eastAsia="Book Antiqua" w:hAnsi="Book Antiqua" w:cs="Book Antiqua"/>
          <w:color w:val="000000"/>
        </w:rPr>
        <w:t xml:space="preserve">. Trastuzumab </w:t>
      </w:r>
      <w:proofErr w:type="spellStart"/>
      <w:r>
        <w:rPr>
          <w:rFonts w:ascii="Book Antiqua" w:eastAsia="Book Antiqua" w:hAnsi="Book Antiqua" w:cs="Book Antiqua"/>
          <w:color w:val="000000"/>
        </w:rPr>
        <w:t>Deruxtecan</w:t>
      </w:r>
      <w:proofErr w:type="spellEnd"/>
      <w:r>
        <w:rPr>
          <w:rFonts w:ascii="Book Antiqua" w:eastAsia="Book Antiqua" w:hAnsi="Book Antiqua" w:cs="Book Antiqua"/>
          <w:color w:val="000000"/>
        </w:rPr>
        <w:t xml:space="preserve">: First Approval. </w:t>
      </w:r>
      <w:r>
        <w:rPr>
          <w:rFonts w:ascii="Book Antiqua" w:eastAsia="Book Antiqua" w:hAnsi="Book Antiqua" w:cs="Book Antiqua"/>
          <w:i/>
          <w:iCs/>
          <w:color w:val="000000"/>
        </w:rPr>
        <w:t>Drugs</w:t>
      </w:r>
      <w:r>
        <w:rPr>
          <w:rFonts w:ascii="Book Antiqua" w:eastAsia="Book Antiqua" w:hAnsi="Book Antiqua" w:cs="Book Antiqua"/>
          <w:color w:val="000000"/>
        </w:rPr>
        <w:t xml:space="preserve"> 2020; </w:t>
      </w:r>
      <w:r>
        <w:rPr>
          <w:rFonts w:ascii="Book Antiqua" w:eastAsia="Book Antiqua" w:hAnsi="Book Antiqua" w:cs="Book Antiqua"/>
          <w:b/>
          <w:bCs/>
          <w:color w:val="000000"/>
        </w:rPr>
        <w:t>80</w:t>
      </w:r>
      <w:r>
        <w:rPr>
          <w:rFonts w:ascii="Book Antiqua" w:eastAsia="Book Antiqua" w:hAnsi="Book Antiqua" w:cs="Book Antiqua"/>
          <w:color w:val="000000"/>
        </w:rPr>
        <w:t>: 501-508 [PMID: 32144719 DOI: 10.1007/s40265-020-01281-4]</w:t>
      </w:r>
    </w:p>
    <w:p w14:paraId="3931CA30" w14:textId="77777777" w:rsidR="00A31DCB" w:rsidRDefault="00000000">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van der Pool AE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Damhuis</w:t>
      </w:r>
      <w:proofErr w:type="spellEnd"/>
      <w:r>
        <w:rPr>
          <w:rFonts w:ascii="Book Antiqua" w:eastAsia="Book Antiqua" w:hAnsi="Book Antiqua" w:cs="Book Antiqua"/>
          <w:color w:val="000000"/>
        </w:rPr>
        <w:t xml:space="preserve"> RA, </w:t>
      </w:r>
      <w:proofErr w:type="spellStart"/>
      <w:r>
        <w:rPr>
          <w:rFonts w:ascii="Book Antiqua" w:eastAsia="Book Antiqua" w:hAnsi="Book Antiqua" w:cs="Book Antiqua"/>
          <w:color w:val="000000"/>
        </w:rPr>
        <w:t>Ijzermans</w:t>
      </w:r>
      <w:proofErr w:type="spellEnd"/>
      <w:r>
        <w:rPr>
          <w:rFonts w:ascii="Book Antiqua" w:eastAsia="Book Antiqua" w:hAnsi="Book Antiqua" w:cs="Book Antiqua"/>
          <w:color w:val="000000"/>
        </w:rPr>
        <w:t xml:space="preserve"> JN, de Wilt JH, </w:t>
      </w:r>
      <w:proofErr w:type="spellStart"/>
      <w:r>
        <w:rPr>
          <w:rFonts w:ascii="Book Antiqua" w:eastAsia="Book Antiqua" w:hAnsi="Book Antiqua" w:cs="Book Antiqua"/>
          <w:color w:val="000000"/>
        </w:rPr>
        <w:t>Eggermont</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Kranse</w:t>
      </w:r>
      <w:proofErr w:type="spellEnd"/>
      <w:r>
        <w:rPr>
          <w:rFonts w:ascii="Book Antiqua" w:eastAsia="Book Antiqua" w:hAnsi="Book Antiqua" w:cs="Book Antiqua"/>
          <w:color w:val="000000"/>
        </w:rPr>
        <w:t xml:space="preserve"> R, Verhoef C. Trends in incidence, </w:t>
      </w:r>
      <w:proofErr w:type="gramStart"/>
      <w:r>
        <w:rPr>
          <w:rFonts w:ascii="Book Antiqua" w:eastAsia="Book Antiqua" w:hAnsi="Book Antiqua" w:cs="Book Antiqua"/>
          <w:color w:val="000000"/>
        </w:rPr>
        <w:t>treatment</w:t>
      </w:r>
      <w:proofErr w:type="gramEnd"/>
      <w:r>
        <w:rPr>
          <w:rFonts w:ascii="Book Antiqua" w:eastAsia="Book Antiqua" w:hAnsi="Book Antiqua" w:cs="Book Antiqua"/>
          <w:color w:val="000000"/>
        </w:rPr>
        <w:t xml:space="preserve"> and survival of patients with stage IV colorectal cancer: a population-based series. </w:t>
      </w:r>
      <w:r>
        <w:rPr>
          <w:rFonts w:ascii="Book Antiqua" w:eastAsia="Book Antiqua" w:hAnsi="Book Antiqua" w:cs="Book Antiqua"/>
          <w:i/>
          <w:iCs/>
          <w:color w:val="000000"/>
        </w:rPr>
        <w:t>Colorectal Dis</w:t>
      </w:r>
      <w:r>
        <w:rPr>
          <w:rFonts w:ascii="Book Antiqua" w:eastAsia="Book Antiqua" w:hAnsi="Book Antiqua" w:cs="Book Antiqua"/>
          <w:color w:val="000000"/>
        </w:rPr>
        <w:t xml:space="preserve"> 2012; </w:t>
      </w:r>
      <w:r>
        <w:rPr>
          <w:rFonts w:ascii="Book Antiqua" w:eastAsia="Book Antiqua" w:hAnsi="Book Antiqua" w:cs="Book Antiqua"/>
          <w:b/>
          <w:bCs/>
          <w:color w:val="000000"/>
        </w:rPr>
        <w:t>14</w:t>
      </w:r>
      <w:r>
        <w:rPr>
          <w:rFonts w:ascii="Book Antiqua" w:eastAsia="Book Antiqua" w:hAnsi="Book Antiqua" w:cs="Book Antiqua"/>
          <w:color w:val="000000"/>
        </w:rPr>
        <w:t>: 56-61 [PMID: 21176063 DOI: 10.1111/j.1463-1318.2010.02539.x]</w:t>
      </w:r>
    </w:p>
    <w:p w14:paraId="462666C2" w14:textId="77777777" w:rsidR="00A31DCB" w:rsidRDefault="00000000">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Ma R</w:t>
      </w:r>
      <w:r>
        <w:rPr>
          <w:rFonts w:ascii="Book Antiqua" w:eastAsia="Book Antiqua" w:hAnsi="Book Antiqua" w:cs="Book Antiqua"/>
          <w:color w:val="000000"/>
        </w:rPr>
        <w:t xml:space="preserve">, Li T. Conversion therapy combined with individualized surgical treatment strategy improves survival in patients with colorectal cancer liver metastases. </w:t>
      </w:r>
      <w:r>
        <w:rPr>
          <w:rFonts w:ascii="Book Antiqua" w:eastAsia="Book Antiqua" w:hAnsi="Book Antiqua" w:cs="Book Antiqua"/>
          <w:i/>
          <w:iCs/>
          <w:color w:val="000000"/>
        </w:rPr>
        <w:t xml:space="preserve">Int J Clin Exp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14</w:t>
      </w:r>
      <w:r>
        <w:rPr>
          <w:rFonts w:ascii="Book Antiqua" w:eastAsia="Book Antiqua" w:hAnsi="Book Antiqua" w:cs="Book Antiqua"/>
          <w:color w:val="000000"/>
        </w:rPr>
        <w:t>: 314-321 [PMID: 33786148]</w:t>
      </w:r>
    </w:p>
    <w:p w14:paraId="4A40F9B7" w14:textId="77777777" w:rsidR="00A31DCB" w:rsidRDefault="00000000">
      <w:pPr>
        <w:spacing w:line="360" w:lineRule="auto"/>
        <w:jc w:val="both"/>
      </w:pPr>
      <w:r>
        <w:rPr>
          <w:rFonts w:ascii="Book Antiqua" w:eastAsia="Book Antiqua" w:hAnsi="Book Antiqua" w:cs="Book Antiqua"/>
          <w:color w:val="000000"/>
        </w:rPr>
        <w:lastRenderedPageBreak/>
        <w:t xml:space="preserve">42 </w:t>
      </w:r>
      <w:proofErr w:type="spellStart"/>
      <w:r>
        <w:rPr>
          <w:rFonts w:ascii="Book Antiqua" w:eastAsia="Book Antiqua" w:hAnsi="Book Antiqua" w:cs="Book Antiqua"/>
          <w:b/>
          <w:bCs/>
          <w:color w:val="000000"/>
        </w:rPr>
        <w:t>Gruenberger</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Tamandl</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Schueller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Scheithauer</w:t>
      </w:r>
      <w:proofErr w:type="spellEnd"/>
      <w:r>
        <w:rPr>
          <w:rFonts w:ascii="Book Antiqua" w:eastAsia="Book Antiqua" w:hAnsi="Book Antiqua" w:cs="Book Antiqua"/>
          <w:color w:val="000000"/>
        </w:rPr>
        <w:t xml:space="preserve"> W, Zielinski C, Herbst F, </w:t>
      </w:r>
      <w:proofErr w:type="spellStart"/>
      <w:r>
        <w:rPr>
          <w:rFonts w:ascii="Book Antiqua" w:eastAsia="Book Antiqua" w:hAnsi="Book Antiqua" w:cs="Book Antiqua"/>
          <w:color w:val="000000"/>
        </w:rPr>
        <w:t>Gruenberger</w:t>
      </w:r>
      <w:proofErr w:type="spellEnd"/>
      <w:r>
        <w:rPr>
          <w:rFonts w:ascii="Book Antiqua" w:eastAsia="Book Antiqua" w:hAnsi="Book Antiqua" w:cs="Book Antiqua"/>
          <w:color w:val="000000"/>
        </w:rPr>
        <w:t xml:space="preserve"> T. Bevacizumab, capecitabine, and oxaliplatin as neoadjuvant therapy for patients with potentially curable metastatic colorectal cancer.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2008; </w:t>
      </w:r>
      <w:r>
        <w:rPr>
          <w:rFonts w:ascii="Book Antiqua" w:eastAsia="Book Antiqua" w:hAnsi="Book Antiqua" w:cs="Book Antiqua"/>
          <w:b/>
          <w:bCs/>
          <w:color w:val="000000"/>
        </w:rPr>
        <w:t>26</w:t>
      </w:r>
      <w:r>
        <w:rPr>
          <w:rFonts w:ascii="Book Antiqua" w:eastAsia="Book Antiqua" w:hAnsi="Book Antiqua" w:cs="Book Antiqua"/>
          <w:color w:val="000000"/>
        </w:rPr>
        <w:t>: 1830-1835 [PMID: 18398148 DOI: 10.1200/JCO.2007.13.7679]</w:t>
      </w:r>
    </w:p>
    <w:p w14:paraId="39B8C822" w14:textId="77777777" w:rsidR="00A31DCB" w:rsidRDefault="00000000">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Bridgewater JA</w:t>
      </w:r>
      <w:r>
        <w:rPr>
          <w:rFonts w:ascii="Book Antiqua" w:eastAsia="Book Antiqua" w:hAnsi="Book Antiqua" w:cs="Book Antiqua"/>
          <w:color w:val="000000"/>
        </w:rPr>
        <w:t xml:space="preserve">, Pugh SA, </w:t>
      </w:r>
      <w:proofErr w:type="spellStart"/>
      <w:r>
        <w:rPr>
          <w:rFonts w:ascii="Book Antiqua" w:eastAsia="Book Antiqua" w:hAnsi="Book Antiqua" w:cs="Book Antiqua"/>
          <w:color w:val="000000"/>
        </w:rPr>
        <w:t>Maishman</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Eminton</w:t>
      </w:r>
      <w:proofErr w:type="spellEnd"/>
      <w:r>
        <w:rPr>
          <w:rFonts w:ascii="Book Antiqua" w:eastAsia="Book Antiqua" w:hAnsi="Book Antiqua" w:cs="Book Antiqua"/>
          <w:color w:val="000000"/>
        </w:rPr>
        <w:t xml:space="preserve"> Z, Mellor J, Whitehead A, Stanton L, Radford M, Corkhill A, Griffiths GO, Falk S, Valle JW, O'Reilly D, Siriwardena AK, Hornbuckle J, Rees M, </w:t>
      </w:r>
      <w:proofErr w:type="spellStart"/>
      <w:r>
        <w:rPr>
          <w:rFonts w:ascii="Book Antiqua" w:eastAsia="Book Antiqua" w:hAnsi="Book Antiqua" w:cs="Book Antiqua"/>
          <w:color w:val="000000"/>
        </w:rPr>
        <w:t>Iveson</w:t>
      </w:r>
      <w:proofErr w:type="spellEnd"/>
      <w:r>
        <w:rPr>
          <w:rFonts w:ascii="Book Antiqua" w:eastAsia="Book Antiqua" w:hAnsi="Book Antiqua" w:cs="Book Antiqua"/>
          <w:color w:val="000000"/>
        </w:rPr>
        <w:t xml:space="preserve"> TJ, Hickish T, Garden OJ, Cunningham D, Maughan TS, Primrose JN; New EPOC investigators. Systemic chemotherapy with or without cetuximab in patients with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colorectal liver metastasis (New EPOC): long-term results of a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controlled, phase 3 trial. </w:t>
      </w:r>
      <w:r>
        <w:rPr>
          <w:rFonts w:ascii="Book Antiqua" w:eastAsia="Book Antiqua" w:hAnsi="Book Antiqua" w:cs="Book Antiqua"/>
          <w:i/>
          <w:iCs/>
          <w:color w:val="000000"/>
        </w:rPr>
        <w:t>Lancet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21</w:t>
      </w:r>
      <w:r>
        <w:rPr>
          <w:rFonts w:ascii="Book Antiqua" w:eastAsia="Book Antiqua" w:hAnsi="Book Antiqua" w:cs="Book Antiqua"/>
          <w:color w:val="000000"/>
        </w:rPr>
        <w:t>: 398-411 [PMID: 32014119 DOI: 10.1016/S1470-2045(19)30798-3]</w:t>
      </w:r>
    </w:p>
    <w:p w14:paraId="00E2945A" w14:textId="77777777" w:rsidR="00A31DCB" w:rsidRDefault="00000000">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Wong R</w:t>
      </w:r>
      <w:r>
        <w:rPr>
          <w:rFonts w:ascii="Book Antiqua" w:eastAsia="Book Antiqua" w:hAnsi="Book Antiqua" w:cs="Book Antiqua"/>
          <w:color w:val="000000"/>
        </w:rPr>
        <w:t xml:space="preserve">, Cunningham D, </w:t>
      </w:r>
      <w:proofErr w:type="spellStart"/>
      <w:r>
        <w:rPr>
          <w:rFonts w:ascii="Book Antiqua" w:eastAsia="Book Antiqua" w:hAnsi="Book Antiqua" w:cs="Book Antiqua"/>
          <w:color w:val="000000"/>
        </w:rPr>
        <w:t>Barbachano</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Saffery</w:t>
      </w:r>
      <w:proofErr w:type="spellEnd"/>
      <w:r>
        <w:rPr>
          <w:rFonts w:ascii="Book Antiqua" w:eastAsia="Book Antiqua" w:hAnsi="Book Antiqua" w:cs="Book Antiqua"/>
          <w:color w:val="000000"/>
        </w:rPr>
        <w:t xml:space="preserve"> C, Valle J, Hickish T, </w:t>
      </w:r>
      <w:proofErr w:type="spellStart"/>
      <w:r>
        <w:rPr>
          <w:rFonts w:ascii="Book Antiqua" w:eastAsia="Book Antiqua" w:hAnsi="Book Antiqua" w:cs="Book Antiqua"/>
          <w:color w:val="000000"/>
        </w:rPr>
        <w:t>Mudan</w:t>
      </w:r>
      <w:proofErr w:type="spellEnd"/>
      <w:r>
        <w:rPr>
          <w:rFonts w:ascii="Book Antiqua" w:eastAsia="Book Antiqua" w:hAnsi="Book Antiqua" w:cs="Book Antiqua"/>
          <w:color w:val="000000"/>
        </w:rPr>
        <w:t xml:space="preserve"> S, Brown G, Khan A, </w:t>
      </w:r>
      <w:proofErr w:type="spellStart"/>
      <w:r>
        <w:rPr>
          <w:rFonts w:ascii="Book Antiqua" w:eastAsia="Book Antiqua" w:hAnsi="Book Antiqua" w:cs="Book Antiqua"/>
          <w:color w:val="000000"/>
        </w:rPr>
        <w:t>Wotherspoon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Strimpakos</w:t>
      </w:r>
      <w:proofErr w:type="spellEnd"/>
      <w:r>
        <w:rPr>
          <w:rFonts w:ascii="Book Antiqua" w:eastAsia="Book Antiqua" w:hAnsi="Book Antiqua" w:cs="Book Antiqua"/>
          <w:color w:val="000000"/>
        </w:rPr>
        <w:t xml:space="preserve"> AS, Thomas J, Compton S, Chua YJ, Chau I. A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study of capecitabine, oxaliplatin plus bevacizumab as perioperative treatment of patients with poor-risk colorectal liver-only metastases not selected for upfront resection.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2011; </w:t>
      </w:r>
      <w:r>
        <w:rPr>
          <w:rFonts w:ascii="Book Antiqua" w:eastAsia="Book Antiqua" w:hAnsi="Book Antiqua" w:cs="Book Antiqua"/>
          <w:b/>
          <w:bCs/>
          <w:color w:val="000000"/>
        </w:rPr>
        <w:t>22</w:t>
      </w:r>
      <w:r>
        <w:rPr>
          <w:rFonts w:ascii="Book Antiqua" w:eastAsia="Book Antiqua" w:hAnsi="Book Antiqua" w:cs="Book Antiqua"/>
          <w:color w:val="000000"/>
        </w:rPr>
        <w:t>: 2042-2048 [PMID: 21285134 DOI: 10.1093/</w:t>
      </w:r>
      <w:proofErr w:type="spellStart"/>
      <w:r>
        <w:rPr>
          <w:rFonts w:ascii="Book Antiqua" w:eastAsia="Book Antiqua" w:hAnsi="Book Antiqua" w:cs="Book Antiqua"/>
          <w:color w:val="000000"/>
        </w:rPr>
        <w:t>annonc</w:t>
      </w:r>
      <w:proofErr w:type="spellEnd"/>
      <w:r>
        <w:rPr>
          <w:rFonts w:ascii="Book Antiqua" w:eastAsia="Book Antiqua" w:hAnsi="Book Antiqua" w:cs="Book Antiqua"/>
          <w:color w:val="000000"/>
        </w:rPr>
        <w:t>/mdq714]</w:t>
      </w:r>
    </w:p>
    <w:p w14:paraId="0F61E590" w14:textId="77777777" w:rsidR="00A31DCB" w:rsidRDefault="00000000">
      <w:pPr>
        <w:spacing w:line="360" w:lineRule="auto"/>
        <w:jc w:val="both"/>
      </w:pPr>
      <w:r>
        <w:rPr>
          <w:rFonts w:ascii="Book Antiqua" w:eastAsia="Book Antiqua" w:hAnsi="Book Antiqua" w:cs="Book Antiqua"/>
          <w:color w:val="000000"/>
        </w:rPr>
        <w:t xml:space="preserve">45 </w:t>
      </w:r>
      <w:proofErr w:type="spellStart"/>
      <w:r>
        <w:rPr>
          <w:rFonts w:ascii="Book Antiqua" w:eastAsia="Book Antiqua" w:hAnsi="Book Antiqua" w:cs="Book Antiqua"/>
          <w:b/>
          <w:bCs/>
          <w:color w:val="000000"/>
        </w:rPr>
        <w:t>Gruenberger</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Bridgewater J, Chau I, García Alfonso P, </w:t>
      </w:r>
      <w:proofErr w:type="spellStart"/>
      <w:r>
        <w:rPr>
          <w:rFonts w:ascii="Book Antiqua" w:eastAsia="Book Antiqua" w:hAnsi="Book Antiqua" w:cs="Book Antiqua"/>
          <w:color w:val="000000"/>
        </w:rPr>
        <w:t>Rivoire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Mudan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Lasserre</w:t>
      </w:r>
      <w:proofErr w:type="spellEnd"/>
      <w:r>
        <w:rPr>
          <w:rFonts w:ascii="Book Antiqua" w:eastAsia="Book Antiqua" w:hAnsi="Book Antiqua" w:cs="Book Antiqua"/>
          <w:color w:val="000000"/>
        </w:rPr>
        <w:t xml:space="preserve"> S, Hermann F, </w:t>
      </w:r>
      <w:proofErr w:type="spellStart"/>
      <w:r>
        <w:rPr>
          <w:rFonts w:ascii="Book Antiqua" w:eastAsia="Book Antiqua" w:hAnsi="Book Antiqua" w:cs="Book Antiqua"/>
          <w:color w:val="000000"/>
        </w:rPr>
        <w:t>Waterkamp</w:t>
      </w:r>
      <w:proofErr w:type="spellEnd"/>
      <w:r>
        <w:rPr>
          <w:rFonts w:ascii="Book Antiqua" w:eastAsia="Book Antiqua" w:hAnsi="Book Antiqua" w:cs="Book Antiqua"/>
          <w:color w:val="000000"/>
        </w:rPr>
        <w:t xml:space="preserve"> D, Adam R. Bevacizumab plus mFOLFOX-6 or FOLFOXIRI in patients with initially unresectable liver metastases from colorectal cancer: the OLIVIA multinational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phase II trial.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26</w:t>
      </w:r>
      <w:r>
        <w:rPr>
          <w:rFonts w:ascii="Book Antiqua" w:eastAsia="Book Antiqua" w:hAnsi="Book Antiqua" w:cs="Book Antiqua"/>
          <w:color w:val="000000"/>
        </w:rPr>
        <w:t>: 702-708 [PMID: 25538173 DOI: 10.1093/</w:t>
      </w:r>
      <w:proofErr w:type="spellStart"/>
      <w:r>
        <w:rPr>
          <w:rFonts w:ascii="Book Antiqua" w:eastAsia="Book Antiqua" w:hAnsi="Book Antiqua" w:cs="Book Antiqua"/>
          <w:color w:val="000000"/>
        </w:rPr>
        <w:t>annonc</w:t>
      </w:r>
      <w:proofErr w:type="spellEnd"/>
      <w:r>
        <w:rPr>
          <w:rFonts w:ascii="Book Antiqua" w:eastAsia="Book Antiqua" w:hAnsi="Book Antiqua" w:cs="Book Antiqua"/>
          <w:color w:val="000000"/>
        </w:rPr>
        <w:t>/mdu580]</w:t>
      </w:r>
    </w:p>
    <w:p w14:paraId="39B086E0" w14:textId="77777777" w:rsidR="00A31DCB" w:rsidRDefault="00000000">
      <w:pPr>
        <w:spacing w:line="360" w:lineRule="auto"/>
        <w:jc w:val="both"/>
      </w:pPr>
      <w:r>
        <w:rPr>
          <w:rFonts w:ascii="Book Antiqua" w:eastAsia="Book Antiqua" w:hAnsi="Book Antiqua" w:cs="Book Antiqua"/>
          <w:color w:val="000000"/>
        </w:rPr>
        <w:t xml:space="preserve">46 </w:t>
      </w:r>
      <w:proofErr w:type="spellStart"/>
      <w:r>
        <w:rPr>
          <w:rFonts w:ascii="Book Antiqua" w:eastAsia="Book Antiqua" w:hAnsi="Book Antiqua" w:cs="Book Antiqua"/>
          <w:b/>
          <w:bCs/>
          <w:color w:val="000000"/>
        </w:rPr>
        <w:t>Kemeny</w:t>
      </w:r>
      <w:proofErr w:type="spellEnd"/>
      <w:r>
        <w:rPr>
          <w:rFonts w:ascii="Book Antiqua" w:eastAsia="Book Antiqua" w:hAnsi="Book Antiqua" w:cs="Book Antiqua"/>
          <w:b/>
          <w:bCs/>
          <w:color w:val="000000"/>
        </w:rPr>
        <w:t xml:space="preserve"> NE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Jarnagin</w:t>
      </w:r>
      <w:proofErr w:type="spellEnd"/>
      <w:r>
        <w:rPr>
          <w:rFonts w:ascii="Book Antiqua" w:eastAsia="Book Antiqua" w:hAnsi="Book Antiqua" w:cs="Book Antiqua"/>
          <w:color w:val="000000"/>
        </w:rPr>
        <w:t xml:space="preserve"> WR, </w:t>
      </w:r>
      <w:proofErr w:type="spellStart"/>
      <w:r>
        <w:rPr>
          <w:rFonts w:ascii="Book Antiqua" w:eastAsia="Book Antiqua" w:hAnsi="Book Antiqua" w:cs="Book Antiqua"/>
          <w:color w:val="000000"/>
        </w:rPr>
        <w:t>Capanu</w:t>
      </w:r>
      <w:proofErr w:type="spellEnd"/>
      <w:r>
        <w:rPr>
          <w:rFonts w:ascii="Book Antiqua" w:eastAsia="Book Antiqua" w:hAnsi="Book Antiqua" w:cs="Book Antiqua"/>
          <w:color w:val="000000"/>
        </w:rPr>
        <w:t xml:space="preserve"> M, Fong Y, Gewirtz AN, </w:t>
      </w:r>
      <w:proofErr w:type="spellStart"/>
      <w:r>
        <w:rPr>
          <w:rFonts w:ascii="Book Antiqua" w:eastAsia="Book Antiqua" w:hAnsi="Book Antiqua" w:cs="Book Antiqua"/>
          <w:color w:val="000000"/>
        </w:rPr>
        <w:t>Dematteo</w:t>
      </w:r>
      <w:proofErr w:type="spellEnd"/>
      <w:r>
        <w:rPr>
          <w:rFonts w:ascii="Book Antiqua" w:eastAsia="Book Antiqua" w:hAnsi="Book Antiqua" w:cs="Book Antiqua"/>
          <w:color w:val="000000"/>
        </w:rPr>
        <w:t xml:space="preserve"> RP, </w:t>
      </w:r>
      <w:proofErr w:type="spellStart"/>
      <w:r>
        <w:rPr>
          <w:rFonts w:ascii="Book Antiqua" w:eastAsia="Book Antiqua" w:hAnsi="Book Antiqua" w:cs="Book Antiqua"/>
          <w:color w:val="000000"/>
        </w:rPr>
        <w:t>D'Angelica</w:t>
      </w:r>
      <w:proofErr w:type="spellEnd"/>
      <w:r>
        <w:rPr>
          <w:rFonts w:ascii="Book Antiqua" w:eastAsia="Book Antiqua" w:hAnsi="Book Antiqua" w:cs="Book Antiqua"/>
          <w:color w:val="000000"/>
        </w:rPr>
        <w:t xml:space="preserve"> MI. Randomized phase II trial of adjuvant hepatic arterial infusion and systemic chemotherapy with or without bevacizumab in patients with resected hepatic metastases from colorectal cancer.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2011; </w:t>
      </w:r>
      <w:r>
        <w:rPr>
          <w:rFonts w:ascii="Book Antiqua" w:eastAsia="Book Antiqua" w:hAnsi="Book Antiqua" w:cs="Book Antiqua"/>
          <w:b/>
          <w:bCs/>
          <w:color w:val="000000"/>
        </w:rPr>
        <w:t>29</w:t>
      </w:r>
      <w:r>
        <w:rPr>
          <w:rFonts w:ascii="Book Antiqua" w:eastAsia="Book Antiqua" w:hAnsi="Book Antiqua" w:cs="Book Antiqua"/>
          <w:color w:val="000000"/>
        </w:rPr>
        <w:t>: 884-889 [PMID: 21189384 DOI: 10.1200/JCO.2010.32.5977]</w:t>
      </w:r>
    </w:p>
    <w:p w14:paraId="4433223E" w14:textId="77777777" w:rsidR="00A31DCB" w:rsidRDefault="00000000">
      <w:pPr>
        <w:spacing w:line="360" w:lineRule="auto"/>
        <w:jc w:val="both"/>
      </w:pPr>
      <w:r>
        <w:rPr>
          <w:rFonts w:ascii="Book Antiqua" w:eastAsia="Book Antiqua" w:hAnsi="Book Antiqua" w:cs="Book Antiqua"/>
          <w:color w:val="000000"/>
        </w:rPr>
        <w:t xml:space="preserve">47 </w:t>
      </w:r>
      <w:proofErr w:type="spellStart"/>
      <w:r>
        <w:rPr>
          <w:rFonts w:ascii="Book Antiqua" w:eastAsia="Book Antiqua" w:hAnsi="Book Antiqua" w:cs="Book Antiqua"/>
          <w:b/>
          <w:bCs/>
          <w:color w:val="000000"/>
        </w:rPr>
        <w:t>Garufi</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Torsello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Tumolo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Ettorre</w:t>
      </w:r>
      <w:proofErr w:type="spellEnd"/>
      <w:r>
        <w:rPr>
          <w:rFonts w:ascii="Book Antiqua" w:eastAsia="Book Antiqua" w:hAnsi="Book Antiqua" w:cs="Book Antiqua"/>
          <w:color w:val="000000"/>
        </w:rPr>
        <w:t xml:space="preserve"> GM, </w:t>
      </w:r>
      <w:proofErr w:type="spellStart"/>
      <w:r>
        <w:rPr>
          <w:rFonts w:ascii="Book Antiqua" w:eastAsia="Book Antiqua" w:hAnsi="Book Antiqua" w:cs="Book Antiqua"/>
          <w:color w:val="000000"/>
        </w:rPr>
        <w:t>Zeuli</w:t>
      </w:r>
      <w:proofErr w:type="spellEnd"/>
      <w:r>
        <w:rPr>
          <w:rFonts w:ascii="Book Antiqua" w:eastAsia="Book Antiqua" w:hAnsi="Book Antiqua" w:cs="Book Antiqua"/>
          <w:color w:val="000000"/>
        </w:rPr>
        <w:t xml:space="preserve"> M, Campanella C, </w:t>
      </w:r>
      <w:proofErr w:type="spellStart"/>
      <w:r>
        <w:rPr>
          <w:rFonts w:ascii="Book Antiqua" w:eastAsia="Book Antiqua" w:hAnsi="Book Antiqua" w:cs="Book Antiqua"/>
          <w:color w:val="000000"/>
        </w:rPr>
        <w:t>Vennarecci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Mottolese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Sperduti</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Cognetti</w:t>
      </w:r>
      <w:proofErr w:type="spellEnd"/>
      <w:r>
        <w:rPr>
          <w:rFonts w:ascii="Book Antiqua" w:eastAsia="Book Antiqua" w:hAnsi="Book Antiqua" w:cs="Book Antiqua"/>
          <w:color w:val="000000"/>
        </w:rPr>
        <w:t xml:space="preserve"> F. Cetuximab plus </w:t>
      </w:r>
      <w:proofErr w:type="spellStart"/>
      <w:r>
        <w:rPr>
          <w:rFonts w:ascii="Book Antiqua" w:eastAsia="Book Antiqua" w:hAnsi="Book Antiqua" w:cs="Book Antiqua"/>
          <w:color w:val="000000"/>
        </w:rPr>
        <w:t>chronomodulated</w:t>
      </w:r>
      <w:proofErr w:type="spellEnd"/>
      <w:r>
        <w:rPr>
          <w:rFonts w:ascii="Book Antiqua" w:eastAsia="Book Antiqua" w:hAnsi="Book Antiqua" w:cs="Book Antiqua"/>
          <w:color w:val="000000"/>
        </w:rPr>
        <w:t xml:space="preserve"> irinotecan, 5-</w:t>
      </w:r>
      <w:r>
        <w:rPr>
          <w:rFonts w:ascii="Book Antiqua" w:eastAsia="Book Antiqua" w:hAnsi="Book Antiqua" w:cs="Book Antiqua"/>
          <w:color w:val="000000"/>
        </w:rPr>
        <w:lastRenderedPageBreak/>
        <w:t xml:space="preserve">fluorouracil, leucovorin and oxaliplatin as neoadjuvant chemotherapy in colorectal liver metastases: POCHER trial. </w:t>
      </w:r>
      <w:r>
        <w:rPr>
          <w:rFonts w:ascii="Book Antiqua" w:eastAsia="Book Antiqua" w:hAnsi="Book Antiqua" w:cs="Book Antiqua"/>
          <w:i/>
          <w:iCs/>
          <w:color w:val="000000"/>
        </w:rPr>
        <w:t>Br J Cancer</w:t>
      </w:r>
      <w:r>
        <w:rPr>
          <w:rFonts w:ascii="Book Antiqua" w:eastAsia="Book Antiqua" w:hAnsi="Book Antiqua" w:cs="Book Antiqua"/>
          <w:color w:val="000000"/>
        </w:rPr>
        <w:t xml:space="preserve"> 2010; </w:t>
      </w:r>
      <w:r>
        <w:rPr>
          <w:rFonts w:ascii="Book Antiqua" w:eastAsia="Book Antiqua" w:hAnsi="Book Antiqua" w:cs="Book Antiqua"/>
          <w:b/>
          <w:bCs/>
          <w:color w:val="000000"/>
        </w:rPr>
        <w:t>103</w:t>
      </w:r>
      <w:r>
        <w:rPr>
          <w:rFonts w:ascii="Book Antiqua" w:eastAsia="Book Antiqua" w:hAnsi="Book Antiqua" w:cs="Book Antiqua"/>
          <w:color w:val="000000"/>
        </w:rPr>
        <w:t>: 1542-1547 [PMID: 20959822 DOI: 10.1038/sj.bjc.6605940]</w:t>
      </w:r>
    </w:p>
    <w:p w14:paraId="78B58507" w14:textId="77777777" w:rsidR="00A31DCB" w:rsidRDefault="00000000">
      <w:pPr>
        <w:spacing w:line="360" w:lineRule="auto"/>
        <w:jc w:val="both"/>
      </w:pPr>
      <w:r>
        <w:rPr>
          <w:rFonts w:ascii="Book Antiqua" w:eastAsia="Book Antiqua" w:hAnsi="Book Antiqua" w:cs="Book Antiqua"/>
          <w:color w:val="000000"/>
        </w:rPr>
        <w:t xml:space="preserve">48 </w:t>
      </w:r>
      <w:proofErr w:type="spellStart"/>
      <w:r>
        <w:rPr>
          <w:rFonts w:ascii="Book Antiqua" w:eastAsia="Book Antiqua" w:hAnsi="Book Antiqua" w:cs="Book Antiqua"/>
          <w:b/>
          <w:bCs/>
          <w:color w:val="000000"/>
        </w:rPr>
        <w:t>Folprecht</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Gruenberger</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Bechstein</w:t>
      </w:r>
      <w:proofErr w:type="spellEnd"/>
      <w:r>
        <w:rPr>
          <w:rFonts w:ascii="Book Antiqua" w:eastAsia="Book Antiqua" w:hAnsi="Book Antiqua" w:cs="Book Antiqua"/>
          <w:color w:val="000000"/>
        </w:rPr>
        <w:t xml:space="preserve"> W, Raab HR, Weitz J, </w:t>
      </w:r>
      <w:proofErr w:type="spellStart"/>
      <w:r>
        <w:rPr>
          <w:rFonts w:ascii="Book Antiqua" w:eastAsia="Book Antiqua" w:hAnsi="Book Antiqua" w:cs="Book Antiqua"/>
          <w:color w:val="000000"/>
        </w:rPr>
        <w:t>Lordick</w:t>
      </w:r>
      <w:proofErr w:type="spellEnd"/>
      <w:r>
        <w:rPr>
          <w:rFonts w:ascii="Book Antiqua" w:eastAsia="Book Antiqua" w:hAnsi="Book Antiqua" w:cs="Book Antiqua"/>
          <w:color w:val="000000"/>
        </w:rPr>
        <w:t xml:space="preserve"> F, Hartmann JT, </w:t>
      </w:r>
      <w:proofErr w:type="spellStart"/>
      <w:r>
        <w:rPr>
          <w:rFonts w:ascii="Book Antiqua" w:eastAsia="Book Antiqua" w:hAnsi="Book Antiqua" w:cs="Book Antiqua"/>
          <w:color w:val="000000"/>
        </w:rPr>
        <w:t>Stoehlmacher</w:t>
      </w:r>
      <w:proofErr w:type="spellEnd"/>
      <w:r>
        <w:rPr>
          <w:rFonts w:ascii="Book Antiqua" w:eastAsia="Book Antiqua" w:hAnsi="Book Antiqua" w:cs="Book Antiqua"/>
          <w:color w:val="000000"/>
        </w:rPr>
        <w:t xml:space="preserve">-Williams J, Lang H, </w:t>
      </w:r>
      <w:proofErr w:type="spellStart"/>
      <w:r>
        <w:rPr>
          <w:rFonts w:ascii="Book Antiqua" w:eastAsia="Book Antiqua" w:hAnsi="Book Antiqua" w:cs="Book Antiqua"/>
          <w:color w:val="000000"/>
        </w:rPr>
        <w:t>Trarbach</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Liersch</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Ockert</w:t>
      </w:r>
      <w:proofErr w:type="spellEnd"/>
      <w:r>
        <w:rPr>
          <w:rFonts w:ascii="Book Antiqua" w:eastAsia="Book Antiqua" w:hAnsi="Book Antiqua" w:cs="Book Antiqua"/>
          <w:color w:val="000000"/>
        </w:rPr>
        <w:t xml:space="preserve"> D, Jaeger D, Steger U, </w:t>
      </w:r>
      <w:proofErr w:type="spellStart"/>
      <w:r>
        <w:rPr>
          <w:rFonts w:ascii="Book Antiqua" w:eastAsia="Book Antiqua" w:hAnsi="Book Antiqua" w:cs="Book Antiqua"/>
          <w:color w:val="000000"/>
        </w:rPr>
        <w:t>Suedhoff</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Rentsch</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Köhne</w:t>
      </w:r>
      <w:proofErr w:type="spellEnd"/>
      <w:r>
        <w:rPr>
          <w:rFonts w:ascii="Book Antiqua" w:eastAsia="Book Antiqua" w:hAnsi="Book Antiqua" w:cs="Book Antiqua"/>
          <w:color w:val="000000"/>
        </w:rPr>
        <w:t xml:space="preserve"> CH. Survival of patients with initially unresectable colorectal liver metastases treated with FOLFOX/cetuximab or FOLFIRI/cetuximab in a multidisciplinary concept (CELIM study).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25</w:t>
      </w:r>
      <w:r>
        <w:rPr>
          <w:rFonts w:ascii="Book Antiqua" w:eastAsia="Book Antiqua" w:hAnsi="Book Antiqua" w:cs="Book Antiqua"/>
          <w:color w:val="000000"/>
        </w:rPr>
        <w:t>: 1018-1025 [PMID: 24585720 DOI: 10.1093/</w:t>
      </w:r>
      <w:proofErr w:type="spellStart"/>
      <w:r>
        <w:rPr>
          <w:rFonts w:ascii="Book Antiqua" w:eastAsia="Book Antiqua" w:hAnsi="Book Antiqua" w:cs="Book Antiqua"/>
          <w:color w:val="000000"/>
        </w:rPr>
        <w:t>annonc</w:t>
      </w:r>
      <w:proofErr w:type="spellEnd"/>
      <w:r>
        <w:rPr>
          <w:rFonts w:ascii="Book Antiqua" w:eastAsia="Book Antiqua" w:hAnsi="Book Antiqua" w:cs="Book Antiqua"/>
          <w:color w:val="000000"/>
        </w:rPr>
        <w:t>/mdu088]</w:t>
      </w:r>
    </w:p>
    <w:p w14:paraId="66BD5BF2" w14:textId="77777777" w:rsidR="00A31DCB" w:rsidRDefault="00000000">
      <w:pPr>
        <w:spacing w:line="360" w:lineRule="auto"/>
        <w:jc w:val="both"/>
      </w:pPr>
      <w:r>
        <w:rPr>
          <w:rFonts w:ascii="Book Antiqua" w:eastAsia="Book Antiqua" w:hAnsi="Book Antiqua" w:cs="Book Antiqua"/>
          <w:color w:val="000000"/>
        </w:rPr>
        <w:t xml:space="preserve">49 </w:t>
      </w:r>
      <w:r>
        <w:rPr>
          <w:rFonts w:ascii="Book Antiqua" w:eastAsia="Book Antiqua" w:hAnsi="Book Antiqua" w:cs="Book Antiqua"/>
          <w:b/>
          <w:bCs/>
          <w:color w:val="000000"/>
        </w:rPr>
        <w:t>Zheng B</w:t>
      </w:r>
      <w:r>
        <w:rPr>
          <w:rFonts w:ascii="Book Antiqua" w:eastAsia="Book Antiqua" w:hAnsi="Book Antiqua" w:cs="Book Antiqua"/>
          <w:color w:val="000000"/>
        </w:rPr>
        <w:t xml:space="preserve">, Wang X, Wei M, Wang Q, Li J, Bi L, Deng X, Wang Z. First-line cetuximab </w:t>
      </w:r>
      <w:r>
        <w:rPr>
          <w:rFonts w:ascii="Book Antiqua" w:eastAsia="Book Antiqua" w:hAnsi="Book Antiqua" w:cs="Book Antiqua"/>
          <w:i/>
          <w:iCs/>
          <w:color w:val="000000"/>
        </w:rPr>
        <w:t>vs</w:t>
      </w:r>
      <w:r>
        <w:rPr>
          <w:rFonts w:ascii="Book Antiqua" w:eastAsia="Book Antiqua" w:hAnsi="Book Antiqua" w:cs="Book Antiqua"/>
          <w:color w:val="000000"/>
        </w:rPr>
        <w:t xml:space="preserve"> bevacizumab for RAS and BRAF wild-type metastatic colorectal cancer: a systematic review and meta-analysis. </w:t>
      </w:r>
      <w:r>
        <w:rPr>
          <w:rFonts w:ascii="Book Antiqua" w:eastAsia="Book Antiqua" w:hAnsi="Book Antiqua" w:cs="Book Antiqua"/>
          <w:i/>
          <w:iCs/>
          <w:color w:val="000000"/>
        </w:rPr>
        <w:t>BMC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19</w:t>
      </w:r>
      <w:r>
        <w:rPr>
          <w:rFonts w:ascii="Book Antiqua" w:eastAsia="Book Antiqua" w:hAnsi="Book Antiqua" w:cs="Book Antiqua"/>
          <w:color w:val="000000"/>
        </w:rPr>
        <w:t>: 280 [PMID: 30922269 DOI: 10.1186/s12885-019-5481-z]</w:t>
      </w:r>
    </w:p>
    <w:p w14:paraId="097D3D3E" w14:textId="77777777" w:rsidR="00A31DCB" w:rsidRDefault="00000000">
      <w:pPr>
        <w:spacing w:line="360" w:lineRule="auto"/>
        <w:jc w:val="both"/>
      </w:pPr>
      <w:r>
        <w:rPr>
          <w:rFonts w:ascii="Book Antiqua" w:eastAsia="Book Antiqua" w:hAnsi="Book Antiqua" w:cs="Book Antiqua"/>
          <w:color w:val="000000"/>
        </w:rPr>
        <w:t xml:space="preserve">50 </w:t>
      </w:r>
      <w:r>
        <w:rPr>
          <w:rFonts w:ascii="Book Antiqua" w:eastAsia="Book Antiqua" w:hAnsi="Book Antiqua" w:cs="Book Antiqua"/>
          <w:b/>
          <w:bCs/>
          <w:color w:val="000000"/>
        </w:rPr>
        <w:t>Rivera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Karthaus</w:t>
      </w:r>
      <w:proofErr w:type="spellEnd"/>
      <w:r>
        <w:rPr>
          <w:rFonts w:ascii="Book Antiqua" w:eastAsia="Book Antiqua" w:hAnsi="Book Antiqua" w:cs="Book Antiqua"/>
          <w:color w:val="000000"/>
        </w:rPr>
        <w:t xml:space="preserve"> M, Hecht JR, Sevilla I, Forget F, </w:t>
      </w:r>
      <w:proofErr w:type="spellStart"/>
      <w:r>
        <w:rPr>
          <w:rFonts w:ascii="Book Antiqua" w:eastAsia="Book Antiqua" w:hAnsi="Book Antiqua" w:cs="Book Antiqua"/>
          <w:color w:val="000000"/>
        </w:rPr>
        <w:t>Fasola</w:t>
      </w:r>
      <w:proofErr w:type="spellEnd"/>
      <w:r>
        <w:rPr>
          <w:rFonts w:ascii="Book Antiqua" w:eastAsia="Book Antiqua" w:hAnsi="Book Antiqua" w:cs="Book Antiqua"/>
          <w:color w:val="000000"/>
        </w:rPr>
        <w:t xml:space="preserve"> G, Canon JL, Guan X, </w:t>
      </w:r>
      <w:proofErr w:type="spellStart"/>
      <w:r>
        <w:rPr>
          <w:rFonts w:ascii="Book Antiqua" w:eastAsia="Book Antiqua" w:hAnsi="Book Antiqua" w:cs="Book Antiqua"/>
          <w:color w:val="000000"/>
        </w:rPr>
        <w:t>Demonty</w:t>
      </w:r>
      <w:proofErr w:type="spellEnd"/>
      <w:r>
        <w:rPr>
          <w:rFonts w:ascii="Book Antiqua" w:eastAsia="Book Antiqua" w:hAnsi="Book Antiqua" w:cs="Book Antiqua"/>
          <w:color w:val="000000"/>
        </w:rPr>
        <w:t xml:space="preserve"> G, Schwartzberg LS. Final analysis of the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PEAK trial: overall survival and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responses during first-line treatment with mFOLFOX6 plus either panitumumab or bevacizumab in patients with metastatic colorectal carcinoma. </w:t>
      </w:r>
      <w:r>
        <w:rPr>
          <w:rFonts w:ascii="Book Antiqua" w:eastAsia="Book Antiqua" w:hAnsi="Book Antiqua" w:cs="Book Antiqua"/>
          <w:i/>
          <w:iCs/>
          <w:color w:val="000000"/>
        </w:rPr>
        <w:t>Int J Colorectal Dis</w:t>
      </w:r>
      <w:r>
        <w:rPr>
          <w:rFonts w:ascii="Book Antiqua" w:eastAsia="Book Antiqua" w:hAnsi="Book Antiqua" w:cs="Book Antiqua"/>
          <w:color w:val="000000"/>
        </w:rPr>
        <w:t xml:space="preserve"> 2017; </w:t>
      </w:r>
      <w:r>
        <w:rPr>
          <w:rFonts w:ascii="Book Antiqua" w:eastAsia="Book Antiqua" w:hAnsi="Book Antiqua" w:cs="Book Antiqua"/>
          <w:b/>
          <w:bCs/>
          <w:color w:val="000000"/>
        </w:rPr>
        <w:t>32</w:t>
      </w:r>
      <w:r>
        <w:rPr>
          <w:rFonts w:ascii="Book Antiqua" w:eastAsia="Book Antiqua" w:hAnsi="Book Antiqua" w:cs="Book Antiqua"/>
          <w:color w:val="000000"/>
        </w:rPr>
        <w:t>: 1179-1190 [PMID: 28424871 DOI: 10.1007/s00384-017-2800-1]</w:t>
      </w:r>
    </w:p>
    <w:p w14:paraId="24A31D56" w14:textId="77777777" w:rsidR="00A31DCB" w:rsidRDefault="00000000">
      <w:pPr>
        <w:spacing w:line="360" w:lineRule="auto"/>
        <w:jc w:val="both"/>
      </w:pPr>
      <w:r>
        <w:rPr>
          <w:rFonts w:ascii="Book Antiqua" w:eastAsia="Book Antiqua" w:hAnsi="Book Antiqua" w:cs="Book Antiqua"/>
          <w:color w:val="000000"/>
        </w:rPr>
        <w:t xml:space="preserve">51 </w:t>
      </w:r>
      <w:r>
        <w:rPr>
          <w:rFonts w:ascii="Book Antiqua" w:eastAsia="Book Antiqua" w:hAnsi="Book Antiqua" w:cs="Book Antiqua"/>
          <w:b/>
          <w:bCs/>
          <w:color w:val="000000"/>
        </w:rPr>
        <w:t>Arnold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Lueza</w:t>
      </w:r>
      <w:proofErr w:type="spellEnd"/>
      <w:r>
        <w:rPr>
          <w:rFonts w:ascii="Book Antiqua" w:eastAsia="Book Antiqua" w:hAnsi="Book Antiqua" w:cs="Book Antiqua"/>
          <w:color w:val="000000"/>
        </w:rPr>
        <w:t xml:space="preserve"> B, Douillard JY, </w:t>
      </w:r>
      <w:proofErr w:type="spellStart"/>
      <w:r>
        <w:rPr>
          <w:rFonts w:ascii="Book Antiqua" w:eastAsia="Book Antiqua" w:hAnsi="Book Antiqua" w:cs="Book Antiqua"/>
          <w:color w:val="000000"/>
        </w:rPr>
        <w:t>Peeters</w:t>
      </w:r>
      <w:proofErr w:type="spellEnd"/>
      <w:r>
        <w:rPr>
          <w:rFonts w:ascii="Book Antiqua" w:eastAsia="Book Antiqua" w:hAnsi="Book Antiqua" w:cs="Book Antiqua"/>
          <w:color w:val="000000"/>
        </w:rPr>
        <w:t xml:space="preserve"> M, Lenz HJ, </w:t>
      </w:r>
      <w:proofErr w:type="spellStart"/>
      <w:r>
        <w:rPr>
          <w:rFonts w:ascii="Book Antiqua" w:eastAsia="Book Antiqua" w:hAnsi="Book Antiqua" w:cs="Book Antiqua"/>
          <w:color w:val="000000"/>
        </w:rPr>
        <w:t>Venook</w:t>
      </w:r>
      <w:proofErr w:type="spellEnd"/>
      <w:r>
        <w:rPr>
          <w:rFonts w:ascii="Book Antiqua" w:eastAsia="Book Antiqua" w:hAnsi="Book Antiqua" w:cs="Book Antiqua"/>
          <w:color w:val="000000"/>
        </w:rPr>
        <w:t xml:space="preserve"> A, Heinemann V, Van </w:t>
      </w:r>
      <w:proofErr w:type="spellStart"/>
      <w:r>
        <w:rPr>
          <w:rFonts w:ascii="Book Antiqua" w:eastAsia="Book Antiqua" w:hAnsi="Book Antiqua" w:cs="Book Antiqua"/>
          <w:color w:val="000000"/>
        </w:rPr>
        <w:t>Cutsem</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Pignon</w:t>
      </w:r>
      <w:proofErr w:type="spellEnd"/>
      <w:r>
        <w:rPr>
          <w:rFonts w:ascii="Book Antiqua" w:eastAsia="Book Antiqua" w:hAnsi="Book Antiqua" w:cs="Book Antiqua"/>
          <w:color w:val="000000"/>
        </w:rPr>
        <w:t xml:space="preserve"> JP, </w:t>
      </w:r>
      <w:proofErr w:type="spellStart"/>
      <w:r>
        <w:rPr>
          <w:rFonts w:ascii="Book Antiqua" w:eastAsia="Book Antiqua" w:hAnsi="Book Antiqua" w:cs="Book Antiqua"/>
          <w:color w:val="000000"/>
        </w:rPr>
        <w:t>Tabernero</w:t>
      </w:r>
      <w:proofErr w:type="spellEnd"/>
      <w:r>
        <w:rPr>
          <w:rFonts w:ascii="Book Antiqua" w:eastAsia="Book Antiqua" w:hAnsi="Book Antiqua" w:cs="Book Antiqua"/>
          <w:color w:val="000000"/>
        </w:rPr>
        <w:t xml:space="preserve"> J, Cervantes A, </w:t>
      </w:r>
      <w:proofErr w:type="spellStart"/>
      <w:r>
        <w:rPr>
          <w:rFonts w:ascii="Book Antiqua" w:eastAsia="Book Antiqua" w:hAnsi="Book Antiqua" w:cs="Book Antiqua"/>
          <w:color w:val="000000"/>
        </w:rPr>
        <w:t>Ciardiello</w:t>
      </w:r>
      <w:proofErr w:type="spellEnd"/>
      <w:r>
        <w:rPr>
          <w:rFonts w:ascii="Book Antiqua" w:eastAsia="Book Antiqua" w:hAnsi="Book Antiqua" w:cs="Book Antiqua"/>
          <w:color w:val="000000"/>
        </w:rPr>
        <w:t xml:space="preserve"> F. </w:t>
      </w:r>
      <w:proofErr w:type="gramStart"/>
      <w:r>
        <w:rPr>
          <w:rFonts w:ascii="Book Antiqua" w:eastAsia="Book Antiqua" w:hAnsi="Book Antiqua" w:cs="Book Antiqua"/>
          <w:color w:val="000000"/>
        </w:rPr>
        <w:t>Prognostic</w:t>
      </w:r>
      <w:proofErr w:type="gramEnd"/>
      <w:r>
        <w:rPr>
          <w:rFonts w:ascii="Book Antiqua" w:eastAsia="Book Antiqua" w:hAnsi="Book Antiqua" w:cs="Book Antiqua"/>
          <w:color w:val="000000"/>
        </w:rPr>
        <w:t xml:space="preserve"> and predictive value of primary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side in patients with RAS wild-type metastatic colorectal cancer treated with chemotherapy and EGFR directed antibodies in six randomized trials.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2017; </w:t>
      </w:r>
      <w:r>
        <w:rPr>
          <w:rFonts w:ascii="Book Antiqua" w:eastAsia="Book Antiqua" w:hAnsi="Book Antiqua" w:cs="Book Antiqua"/>
          <w:b/>
          <w:bCs/>
          <w:color w:val="000000"/>
        </w:rPr>
        <w:t>28</w:t>
      </w:r>
      <w:r>
        <w:rPr>
          <w:rFonts w:ascii="Book Antiqua" w:eastAsia="Book Antiqua" w:hAnsi="Book Antiqua" w:cs="Book Antiqua"/>
          <w:color w:val="000000"/>
        </w:rPr>
        <w:t>: 1713-1729 [PMID: 28407110 DOI: 10.1093/</w:t>
      </w:r>
      <w:proofErr w:type="spellStart"/>
      <w:r>
        <w:rPr>
          <w:rFonts w:ascii="Book Antiqua" w:eastAsia="Book Antiqua" w:hAnsi="Book Antiqua" w:cs="Book Antiqua"/>
          <w:color w:val="000000"/>
        </w:rPr>
        <w:t>annonc</w:t>
      </w:r>
      <w:proofErr w:type="spellEnd"/>
      <w:r>
        <w:rPr>
          <w:rFonts w:ascii="Book Antiqua" w:eastAsia="Book Antiqua" w:hAnsi="Book Antiqua" w:cs="Book Antiqua"/>
          <w:color w:val="000000"/>
        </w:rPr>
        <w:t>/mdx175]</w:t>
      </w:r>
    </w:p>
    <w:p w14:paraId="20A92D5B" w14:textId="77777777" w:rsidR="00A31DCB" w:rsidRDefault="00000000">
      <w:pPr>
        <w:spacing w:line="360" w:lineRule="auto"/>
        <w:jc w:val="both"/>
      </w:pPr>
      <w:r>
        <w:rPr>
          <w:rFonts w:ascii="Book Antiqua" w:eastAsia="Book Antiqua" w:hAnsi="Book Antiqua" w:cs="Book Antiqua"/>
          <w:color w:val="000000"/>
        </w:rPr>
        <w:t xml:space="preserve">52 </w:t>
      </w:r>
      <w:proofErr w:type="spellStart"/>
      <w:r>
        <w:rPr>
          <w:rFonts w:ascii="Book Antiqua" w:eastAsia="Book Antiqua" w:hAnsi="Book Antiqua" w:cs="Book Antiqua"/>
          <w:b/>
          <w:bCs/>
          <w:color w:val="000000"/>
        </w:rPr>
        <w:t>Holch</w:t>
      </w:r>
      <w:proofErr w:type="spellEnd"/>
      <w:r>
        <w:rPr>
          <w:rFonts w:ascii="Book Antiqua" w:eastAsia="Book Antiqua" w:hAnsi="Book Antiqua" w:cs="Book Antiqua"/>
          <w:b/>
          <w:bCs/>
          <w:color w:val="000000"/>
        </w:rPr>
        <w:t xml:space="preserve"> JW</w:t>
      </w:r>
      <w:r>
        <w:rPr>
          <w:rFonts w:ascii="Book Antiqua" w:eastAsia="Book Antiqua" w:hAnsi="Book Antiqua" w:cs="Book Antiqua"/>
          <w:color w:val="000000"/>
        </w:rPr>
        <w:t xml:space="preserve">, Ricard I, </w:t>
      </w:r>
      <w:proofErr w:type="spellStart"/>
      <w:r>
        <w:rPr>
          <w:rFonts w:ascii="Book Antiqua" w:eastAsia="Book Antiqua" w:hAnsi="Book Antiqua" w:cs="Book Antiqua"/>
          <w:color w:val="000000"/>
        </w:rPr>
        <w:t>Stintzing</w:t>
      </w:r>
      <w:proofErr w:type="spellEnd"/>
      <w:r>
        <w:rPr>
          <w:rFonts w:ascii="Book Antiqua" w:eastAsia="Book Antiqua" w:hAnsi="Book Antiqua" w:cs="Book Antiqua"/>
          <w:color w:val="000000"/>
        </w:rPr>
        <w:t xml:space="preserve"> S, Modest DP, Heinemann V. The relevance of primary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location in patients with metastatic colorectal cancer: A meta-analysis of first-line clinical trials.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Cancer</w:t>
      </w:r>
      <w:r>
        <w:rPr>
          <w:rFonts w:ascii="Book Antiqua" w:eastAsia="Book Antiqua" w:hAnsi="Book Antiqua" w:cs="Book Antiqua"/>
          <w:color w:val="000000"/>
        </w:rPr>
        <w:t xml:space="preserve"> 2017; </w:t>
      </w:r>
      <w:r>
        <w:rPr>
          <w:rFonts w:ascii="Book Antiqua" w:eastAsia="Book Antiqua" w:hAnsi="Book Antiqua" w:cs="Book Antiqua"/>
          <w:b/>
          <w:bCs/>
          <w:color w:val="000000"/>
        </w:rPr>
        <w:t>70</w:t>
      </w:r>
      <w:r>
        <w:rPr>
          <w:rFonts w:ascii="Book Antiqua" w:eastAsia="Book Antiqua" w:hAnsi="Book Antiqua" w:cs="Book Antiqua"/>
          <w:color w:val="000000"/>
        </w:rPr>
        <w:t>: 87-98 [PMID: 27907852 DOI: 10.1016/j.ejca.2016.10.007]</w:t>
      </w:r>
    </w:p>
    <w:p w14:paraId="153DCFFB" w14:textId="77777777" w:rsidR="00A31DCB" w:rsidRDefault="00000000">
      <w:pPr>
        <w:spacing w:line="360" w:lineRule="auto"/>
        <w:jc w:val="both"/>
      </w:pPr>
      <w:r>
        <w:rPr>
          <w:rFonts w:ascii="Book Antiqua" w:eastAsia="Book Antiqua" w:hAnsi="Book Antiqua" w:cs="Book Antiqua"/>
          <w:color w:val="000000"/>
        </w:rPr>
        <w:t xml:space="preserve">53 </w:t>
      </w:r>
      <w:proofErr w:type="spellStart"/>
      <w:r>
        <w:rPr>
          <w:rFonts w:ascii="Book Antiqua" w:eastAsia="Book Antiqua" w:hAnsi="Book Antiqua" w:cs="Book Antiqua"/>
          <w:b/>
          <w:bCs/>
          <w:color w:val="000000"/>
        </w:rPr>
        <w:t>Stintzing</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Modest DP, </w:t>
      </w:r>
      <w:proofErr w:type="spellStart"/>
      <w:r>
        <w:rPr>
          <w:rFonts w:ascii="Book Antiqua" w:eastAsia="Book Antiqua" w:hAnsi="Book Antiqua" w:cs="Book Antiqua"/>
          <w:color w:val="000000"/>
        </w:rPr>
        <w:t>Rossius</w:t>
      </w:r>
      <w:proofErr w:type="spellEnd"/>
      <w:r>
        <w:rPr>
          <w:rFonts w:ascii="Book Antiqua" w:eastAsia="Book Antiqua" w:hAnsi="Book Antiqua" w:cs="Book Antiqua"/>
          <w:color w:val="000000"/>
        </w:rPr>
        <w:t xml:space="preserve"> L, Lerch MM, von </w:t>
      </w:r>
      <w:proofErr w:type="spellStart"/>
      <w:r>
        <w:rPr>
          <w:rFonts w:ascii="Book Antiqua" w:eastAsia="Book Antiqua" w:hAnsi="Book Antiqua" w:cs="Book Antiqua"/>
          <w:color w:val="000000"/>
        </w:rPr>
        <w:t>Weikersthal</w:t>
      </w:r>
      <w:proofErr w:type="spellEnd"/>
      <w:r>
        <w:rPr>
          <w:rFonts w:ascii="Book Antiqua" w:eastAsia="Book Antiqua" w:hAnsi="Book Antiqua" w:cs="Book Antiqua"/>
          <w:color w:val="000000"/>
        </w:rPr>
        <w:t xml:space="preserve"> LF, Decker T, </w:t>
      </w:r>
      <w:proofErr w:type="spellStart"/>
      <w:r>
        <w:rPr>
          <w:rFonts w:ascii="Book Antiqua" w:eastAsia="Book Antiqua" w:hAnsi="Book Antiqua" w:cs="Book Antiqua"/>
          <w:color w:val="000000"/>
        </w:rPr>
        <w:t>Kiani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Vehling</w:t>
      </w:r>
      <w:proofErr w:type="spellEnd"/>
      <w:r>
        <w:rPr>
          <w:rFonts w:ascii="Book Antiqua" w:eastAsia="Book Antiqua" w:hAnsi="Book Antiqua" w:cs="Book Antiqua"/>
          <w:color w:val="000000"/>
        </w:rPr>
        <w:t>-Kaiser U, Al-</w:t>
      </w:r>
      <w:proofErr w:type="spellStart"/>
      <w:r>
        <w:rPr>
          <w:rFonts w:ascii="Book Antiqua" w:eastAsia="Book Antiqua" w:hAnsi="Book Antiqua" w:cs="Book Antiqua"/>
          <w:color w:val="000000"/>
        </w:rPr>
        <w:t>Batran</w:t>
      </w:r>
      <w:proofErr w:type="spellEnd"/>
      <w:r>
        <w:rPr>
          <w:rFonts w:ascii="Book Antiqua" w:eastAsia="Book Antiqua" w:hAnsi="Book Antiqua" w:cs="Book Antiqua"/>
          <w:color w:val="000000"/>
        </w:rPr>
        <w:t xml:space="preserve"> SE, </w:t>
      </w:r>
      <w:proofErr w:type="spellStart"/>
      <w:r>
        <w:rPr>
          <w:rFonts w:ascii="Book Antiqua" w:eastAsia="Book Antiqua" w:hAnsi="Book Antiqua" w:cs="Book Antiqua"/>
          <w:color w:val="000000"/>
        </w:rPr>
        <w:t>Heintges</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Lerchenmüller</w:t>
      </w:r>
      <w:proofErr w:type="spellEnd"/>
      <w:r>
        <w:rPr>
          <w:rFonts w:ascii="Book Antiqua" w:eastAsia="Book Antiqua" w:hAnsi="Book Antiqua" w:cs="Book Antiqua"/>
          <w:color w:val="000000"/>
        </w:rPr>
        <w:t xml:space="preserve"> C, Kahl C, </w:t>
      </w:r>
      <w:proofErr w:type="spellStart"/>
      <w:r>
        <w:rPr>
          <w:rFonts w:ascii="Book Antiqua" w:eastAsia="Book Antiqua" w:hAnsi="Book Antiqua" w:cs="Book Antiqua"/>
          <w:color w:val="000000"/>
        </w:rPr>
        <w:t>Seipelt</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Kullmann</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Stauch</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Scheithauer</w:t>
      </w:r>
      <w:proofErr w:type="spellEnd"/>
      <w:r>
        <w:rPr>
          <w:rFonts w:ascii="Book Antiqua" w:eastAsia="Book Antiqua" w:hAnsi="Book Antiqua" w:cs="Book Antiqua"/>
          <w:color w:val="000000"/>
        </w:rPr>
        <w:t xml:space="preserve"> W, Held S, Giessen-Jung C, </w:t>
      </w:r>
      <w:proofErr w:type="spellStart"/>
      <w:r>
        <w:rPr>
          <w:rFonts w:ascii="Book Antiqua" w:eastAsia="Book Antiqua" w:hAnsi="Book Antiqua" w:cs="Book Antiqua"/>
          <w:color w:val="000000"/>
        </w:rPr>
        <w:t>Moehler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Jagenburg</w:t>
      </w:r>
      <w:proofErr w:type="spellEnd"/>
      <w:r>
        <w:rPr>
          <w:rFonts w:ascii="Book Antiqua" w:eastAsia="Book Antiqua" w:hAnsi="Book Antiqua" w:cs="Book Antiqua"/>
          <w:color w:val="000000"/>
        </w:rPr>
        <w:t xml:space="preserve"> A, </w:t>
      </w:r>
      <w:r>
        <w:rPr>
          <w:rFonts w:ascii="Book Antiqua" w:eastAsia="Book Antiqua" w:hAnsi="Book Antiqua" w:cs="Book Antiqua"/>
          <w:color w:val="000000"/>
        </w:rPr>
        <w:lastRenderedPageBreak/>
        <w:t xml:space="preserve">Kirchner T, Jung A, Heinemann V; FIRE-3 investigators. FOLFIRI plus cetuximab </w:t>
      </w:r>
      <w:r>
        <w:rPr>
          <w:rFonts w:ascii="Book Antiqua" w:eastAsia="Book Antiqua" w:hAnsi="Book Antiqua" w:cs="Book Antiqua"/>
          <w:i/>
          <w:iCs/>
          <w:color w:val="000000"/>
        </w:rPr>
        <w:t>vs</w:t>
      </w:r>
      <w:r>
        <w:rPr>
          <w:rFonts w:ascii="Book Antiqua" w:eastAsia="Book Antiqua" w:hAnsi="Book Antiqua" w:cs="Book Antiqua"/>
          <w:color w:val="000000"/>
        </w:rPr>
        <w:t xml:space="preserve"> FOLFIRI plus bevacizumab for metastatic colorectal cancer (FIRE-3): a post-hoc analysis of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dynamics in the final RAS wild-type subgroup of this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open-label phase 3 trial. </w:t>
      </w:r>
      <w:r>
        <w:rPr>
          <w:rFonts w:ascii="Book Antiqua" w:eastAsia="Book Antiqua" w:hAnsi="Book Antiqua" w:cs="Book Antiqua"/>
          <w:i/>
          <w:iCs/>
          <w:color w:val="000000"/>
        </w:rPr>
        <w:t>Lancet Oncol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17</w:t>
      </w:r>
      <w:r>
        <w:rPr>
          <w:rFonts w:ascii="Book Antiqua" w:eastAsia="Book Antiqua" w:hAnsi="Book Antiqua" w:cs="Book Antiqua"/>
          <w:color w:val="000000"/>
        </w:rPr>
        <w:t>: 1426-1434 [PMID: 27575024 DOI: 10.1016/S1470-2045(16)30269-8]</w:t>
      </w:r>
    </w:p>
    <w:p w14:paraId="7F609471" w14:textId="77777777" w:rsidR="00A31DCB" w:rsidRDefault="00000000">
      <w:pPr>
        <w:spacing w:line="360" w:lineRule="auto"/>
        <w:jc w:val="both"/>
      </w:pPr>
      <w:r>
        <w:rPr>
          <w:rFonts w:ascii="Book Antiqua" w:eastAsia="Book Antiqua" w:hAnsi="Book Antiqua" w:cs="Book Antiqua"/>
          <w:color w:val="000000"/>
        </w:rPr>
        <w:t xml:space="preserve">54 </w:t>
      </w:r>
      <w:proofErr w:type="spellStart"/>
      <w:r>
        <w:rPr>
          <w:rFonts w:ascii="Book Antiqua" w:eastAsia="Book Antiqua" w:hAnsi="Book Antiqua" w:cs="Book Antiqua"/>
          <w:b/>
          <w:bCs/>
          <w:color w:val="000000"/>
        </w:rPr>
        <w:t>Piawah</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Venook</w:t>
      </w:r>
      <w:proofErr w:type="spellEnd"/>
      <w:r>
        <w:rPr>
          <w:rFonts w:ascii="Book Antiqua" w:eastAsia="Book Antiqua" w:hAnsi="Book Antiqua" w:cs="Book Antiqua"/>
          <w:color w:val="000000"/>
        </w:rPr>
        <w:t xml:space="preserve"> AP. Targeted therapy for colorectal cancer metastases: A review of current methods of molecularly targeted therapy and the use of tumor biomarkers in the treatment of metastatic colorectal cancer. </w:t>
      </w:r>
      <w:r>
        <w:rPr>
          <w:rFonts w:ascii="Book Antiqua" w:eastAsia="Book Antiqua" w:hAnsi="Book Antiqua" w:cs="Book Antiqua"/>
          <w:i/>
          <w:iCs/>
          <w:color w:val="000000"/>
        </w:rPr>
        <w:t>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125</w:t>
      </w:r>
      <w:r>
        <w:rPr>
          <w:rFonts w:ascii="Book Antiqua" w:eastAsia="Book Antiqua" w:hAnsi="Book Antiqua" w:cs="Book Antiqua"/>
          <w:color w:val="000000"/>
        </w:rPr>
        <w:t>: 4139-4147 [PMID: 31433498 DOI: 10.1002/cncr.32163]</w:t>
      </w:r>
    </w:p>
    <w:p w14:paraId="372B9F19" w14:textId="77777777" w:rsidR="00A31DCB" w:rsidRDefault="00000000">
      <w:pPr>
        <w:spacing w:line="360" w:lineRule="auto"/>
        <w:jc w:val="both"/>
      </w:pPr>
      <w:r>
        <w:rPr>
          <w:rFonts w:ascii="Book Antiqua" w:eastAsia="Book Antiqua" w:hAnsi="Book Antiqua" w:cs="Book Antiqua"/>
          <w:color w:val="000000"/>
        </w:rPr>
        <w:t xml:space="preserve">55 </w:t>
      </w:r>
      <w:r>
        <w:rPr>
          <w:rFonts w:ascii="Book Antiqua" w:eastAsia="Book Antiqua" w:hAnsi="Book Antiqua" w:cs="Book Antiqua"/>
          <w:b/>
          <w:bCs/>
          <w:color w:val="000000"/>
        </w:rPr>
        <w:t>Masi G</w:t>
      </w:r>
      <w:r>
        <w:rPr>
          <w:rFonts w:ascii="Book Antiqua" w:eastAsia="Book Antiqua" w:hAnsi="Book Antiqua" w:cs="Book Antiqua"/>
          <w:color w:val="000000"/>
        </w:rPr>
        <w:t xml:space="preserve">, Salvatore L, </w:t>
      </w:r>
      <w:proofErr w:type="spellStart"/>
      <w:r>
        <w:rPr>
          <w:rFonts w:ascii="Book Antiqua" w:eastAsia="Book Antiqua" w:hAnsi="Book Antiqua" w:cs="Book Antiqua"/>
          <w:color w:val="000000"/>
        </w:rPr>
        <w:t>Boni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Loupakis</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Cremolini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Fornaro</w:t>
      </w:r>
      <w:proofErr w:type="spellEnd"/>
      <w:r>
        <w:rPr>
          <w:rFonts w:ascii="Book Antiqua" w:eastAsia="Book Antiqua" w:hAnsi="Book Antiqua" w:cs="Book Antiqua"/>
          <w:color w:val="000000"/>
        </w:rPr>
        <w:t xml:space="preserve"> L, Schirripa M, </w:t>
      </w:r>
      <w:proofErr w:type="spellStart"/>
      <w:r>
        <w:rPr>
          <w:rFonts w:ascii="Book Antiqua" w:eastAsia="Book Antiqua" w:hAnsi="Book Antiqua" w:cs="Book Antiqua"/>
          <w:color w:val="000000"/>
        </w:rPr>
        <w:t>Cupini</w:t>
      </w:r>
      <w:proofErr w:type="spellEnd"/>
      <w:r>
        <w:rPr>
          <w:rFonts w:ascii="Book Antiqua" w:eastAsia="Book Antiqua" w:hAnsi="Book Antiqua" w:cs="Book Antiqua"/>
          <w:color w:val="000000"/>
        </w:rPr>
        <w:t xml:space="preserve"> S, Barbara C, Safina V, </w:t>
      </w:r>
      <w:proofErr w:type="spellStart"/>
      <w:r>
        <w:rPr>
          <w:rFonts w:ascii="Book Antiqua" w:eastAsia="Book Antiqua" w:hAnsi="Book Antiqua" w:cs="Book Antiqua"/>
          <w:color w:val="000000"/>
        </w:rPr>
        <w:t>Granetto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Fea</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Antonuzzo</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Boni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Allegrini</w:t>
      </w:r>
      <w:proofErr w:type="spellEnd"/>
      <w:r>
        <w:rPr>
          <w:rFonts w:ascii="Book Antiqua" w:eastAsia="Book Antiqua" w:hAnsi="Book Antiqua" w:cs="Book Antiqua"/>
          <w:color w:val="000000"/>
        </w:rPr>
        <w:t xml:space="preserve"> G, Chiara S, Amoroso D, Bonetti A, Falcone A; BEBYP Study Investigators. Continuation or reintroduction of bevacizumab beyond progression to first-line therapy in metastatic colorectal cancer: </w:t>
      </w:r>
      <w:proofErr w:type="gramStart"/>
      <w:r>
        <w:rPr>
          <w:rFonts w:ascii="Book Antiqua" w:eastAsia="Book Antiqua" w:hAnsi="Book Antiqua" w:cs="Book Antiqua"/>
          <w:color w:val="000000"/>
        </w:rPr>
        <w:t>final results</w:t>
      </w:r>
      <w:proofErr w:type="gramEnd"/>
      <w:r>
        <w:rPr>
          <w:rFonts w:ascii="Book Antiqua" w:eastAsia="Book Antiqua" w:hAnsi="Book Antiqua" w:cs="Book Antiqua"/>
          <w:color w:val="000000"/>
        </w:rPr>
        <w:t xml:space="preserve"> of the randomized BEBYP trial.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26</w:t>
      </w:r>
      <w:r>
        <w:rPr>
          <w:rFonts w:ascii="Book Antiqua" w:eastAsia="Book Antiqua" w:hAnsi="Book Antiqua" w:cs="Book Antiqua"/>
          <w:color w:val="000000"/>
        </w:rPr>
        <w:t>: 724-730 [PMID: 25600568 DOI: 10.1093/</w:t>
      </w:r>
      <w:proofErr w:type="spellStart"/>
      <w:r>
        <w:rPr>
          <w:rFonts w:ascii="Book Antiqua" w:eastAsia="Book Antiqua" w:hAnsi="Book Antiqua" w:cs="Book Antiqua"/>
          <w:color w:val="000000"/>
        </w:rPr>
        <w:t>annonc</w:t>
      </w:r>
      <w:proofErr w:type="spellEnd"/>
      <w:r>
        <w:rPr>
          <w:rFonts w:ascii="Book Antiqua" w:eastAsia="Book Antiqua" w:hAnsi="Book Antiqua" w:cs="Book Antiqua"/>
          <w:color w:val="000000"/>
        </w:rPr>
        <w:t>/mdv012]</w:t>
      </w:r>
    </w:p>
    <w:p w14:paraId="1F83593A" w14:textId="77777777" w:rsidR="00A31DCB" w:rsidRDefault="00000000">
      <w:pPr>
        <w:spacing w:line="360" w:lineRule="auto"/>
        <w:jc w:val="both"/>
      </w:pPr>
      <w:r>
        <w:rPr>
          <w:rFonts w:ascii="Book Antiqua" w:eastAsia="Book Antiqua" w:hAnsi="Book Antiqua" w:cs="Book Antiqua"/>
          <w:color w:val="000000"/>
        </w:rPr>
        <w:t xml:space="preserve">56 </w:t>
      </w:r>
      <w:proofErr w:type="spellStart"/>
      <w:r>
        <w:rPr>
          <w:rFonts w:ascii="Book Antiqua" w:eastAsia="Book Antiqua" w:hAnsi="Book Antiqua" w:cs="Book Antiqua"/>
          <w:b/>
          <w:bCs/>
          <w:color w:val="000000"/>
        </w:rPr>
        <w:t>Bennouna</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Sastre</w:t>
      </w:r>
      <w:proofErr w:type="spellEnd"/>
      <w:r>
        <w:rPr>
          <w:rFonts w:ascii="Book Antiqua" w:eastAsia="Book Antiqua" w:hAnsi="Book Antiqua" w:cs="Book Antiqua"/>
          <w:color w:val="000000"/>
        </w:rPr>
        <w:t xml:space="preserve"> J, Arnold D, </w:t>
      </w:r>
      <w:proofErr w:type="spellStart"/>
      <w:r>
        <w:rPr>
          <w:rFonts w:ascii="Book Antiqua" w:eastAsia="Book Antiqua" w:hAnsi="Book Antiqua" w:cs="Book Antiqua"/>
          <w:color w:val="000000"/>
        </w:rPr>
        <w:t>Österlund</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Greil</w:t>
      </w:r>
      <w:proofErr w:type="spellEnd"/>
      <w:r>
        <w:rPr>
          <w:rFonts w:ascii="Book Antiqua" w:eastAsia="Book Antiqua" w:hAnsi="Book Antiqua" w:cs="Book Antiqua"/>
          <w:color w:val="000000"/>
        </w:rPr>
        <w:t xml:space="preserve"> R, Van </w:t>
      </w:r>
      <w:proofErr w:type="spellStart"/>
      <w:r>
        <w:rPr>
          <w:rFonts w:ascii="Book Antiqua" w:eastAsia="Book Antiqua" w:hAnsi="Book Antiqua" w:cs="Book Antiqua"/>
          <w:color w:val="000000"/>
        </w:rPr>
        <w:t>Cutsem</w:t>
      </w:r>
      <w:proofErr w:type="spellEnd"/>
      <w:r>
        <w:rPr>
          <w:rFonts w:ascii="Book Antiqua" w:eastAsia="Book Antiqua" w:hAnsi="Book Antiqua" w:cs="Book Antiqua"/>
          <w:color w:val="000000"/>
        </w:rPr>
        <w:t xml:space="preserve"> E, von Moos R, </w:t>
      </w:r>
      <w:proofErr w:type="spellStart"/>
      <w:r>
        <w:rPr>
          <w:rFonts w:ascii="Book Antiqua" w:eastAsia="Book Antiqua" w:hAnsi="Book Antiqua" w:cs="Book Antiqua"/>
          <w:color w:val="000000"/>
        </w:rPr>
        <w:t>Viéitez</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Bouché</w:t>
      </w:r>
      <w:proofErr w:type="spellEnd"/>
      <w:r>
        <w:rPr>
          <w:rFonts w:ascii="Book Antiqua" w:eastAsia="Book Antiqua" w:hAnsi="Book Antiqua" w:cs="Book Antiqua"/>
          <w:color w:val="000000"/>
        </w:rPr>
        <w:t xml:space="preserve"> O, Borg C, Steffens CC, Alonso-</w:t>
      </w:r>
      <w:proofErr w:type="spellStart"/>
      <w:r>
        <w:rPr>
          <w:rFonts w:ascii="Book Antiqua" w:eastAsia="Book Antiqua" w:hAnsi="Book Antiqua" w:cs="Book Antiqua"/>
          <w:color w:val="000000"/>
        </w:rPr>
        <w:t>Orduña</w:t>
      </w:r>
      <w:proofErr w:type="spellEnd"/>
      <w:r>
        <w:rPr>
          <w:rFonts w:ascii="Book Antiqua" w:eastAsia="Book Antiqua" w:hAnsi="Book Antiqua" w:cs="Book Antiqua"/>
          <w:color w:val="000000"/>
        </w:rPr>
        <w:t xml:space="preserve"> V, Schlichting C, Reyes-Rivera I, </w:t>
      </w:r>
      <w:proofErr w:type="spellStart"/>
      <w:r>
        <w:rPr>
          <w:rFonts w:ascii="Book Antiqua" w:eastAsia="Book Antiqua" w:hAnsi="Book Antiqua" w:cs="Book Antiqua"/>
          <w:color w:val="000000"/>
        </w:rPr>
        <w:t>Bendahmane</w:t>
      </w:r>
      <w:proofErr w:type="spellEnd"/>
      <w:r>
        <w:rPr>
          <w:rFonts w:ascii="Book Antiqua" w:eastAsia="Book Antiqua" w:hAnsi="Book Antiqua" w:cs="Book Antiqua"/>
          <w:color w:val="000000"/>
        </w:rPr>
        <w:t xml:space="preserve"> B, André T, </w:t>
      </w:r>
      <w:proofErr w:type="spellStart"/>
      <w:r>
        <w:rPr>
          <w:rFonts w:ascii="Book Antiqua" w:eastAsia="Book Antiqua" w:hAnsi="Book Antiqua" w:cs="Book Antiqua"/>
          <w:color w:val="000000"/>
        </w:rPr>
        <w:t>Kubicka</w:t>
      </w:r>
      <w:proofErr w:type="spellEnd"/>
      <w:r>
        <w:rPr>
          <w:rFonts w:ascii="Book Antiqua" w:eastAsia="Book Antiqua" w:hAnsi="Book Antiqua" w:cs="Book Antiqua"/>
          <w:color w:val="000000"/>
        </w:rPr>
        <w:t xml:space="preserve"> S; ML18147 Study Investigators. Continuation of bevacizumab after first progression in metastatic colorectal cancer (ML18147): a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phase 3 trial. </w:t>
      </w:r>
      <w:r>
        <w:rPr>
          <w:rFonts w:ascii="Book Antiqua" w:eastAsia="Book Antiqua" w:hAnsi="Book Antiqua" w:cs="Book Antiqua"/>
          <w:i/>
          <w:iCs/>
          <w:color w:val="000000"/>
        </w:rPr>
        <w:t>Lancet Oncol</w:t>
      </w:r>
      <w:r>
        <w:rPr>
          <w:rFonts w:ascii="Book Antiqua" w:eastAsia="Book Antiqua" w:hAnsi="Book Antiqua" w:cs="Book Antiqua"/>
          <w:color w:val="000000"/>
        </w:rPr>
        <w:t xml:space="preserve"> 2013; </w:t>
      </w:r>
      <w:r>
        <w:rPr>
          <w:rFonts w:ascii="Book Antiqua" w:eastAsia="Book Antiqua" w:hAnsi="Book Antiqua" w:cs="Book Antiqua"/>
          <w:b/>
          <w:bCs/>
          <w:color w:val="000000"/>
        </w:rPr>
        <w:t>14</w:t>
      </w:r>
      <w:r>
        <w:rPr>
          <w:rFonts w:ascii="Book Antiqua" w:eastAsia="Book Antiqua" w:hAnsi="Book Antiqua" w:cs="Book Antiqua"/>
          <w:color w:val="000000"/>
        </w:rPr>
        <w:t>: 29-37 [PMID: 23168366 DOI: 10.1016/S1470-2045(12)70477-1]</w:t>
      </w:r>
    </w:p>
    <w:p w14:paraId="0D02C311" w14:textId="77777777" w:rsidR="00A31DCB" w:rsidRDefault="00000000">
      <w:pPr>
        <w:spacing w:line="360" w:lineRule="auto"/>
        <w:jc w:val="both"/>
      </w:pPr>
      <w:r>
        <w:rPr>
          <w:rFonts w:ascii="Book Antiqua" w:eastAsia="Book Antiqua" w:hAnsi="Book Antiqua" w:cs="Book Antiqua"/>
          <w:color w:val="000000"/>
        </w:rPr>
        <w:t xml:space="preserve">57 </w:t>
      </w:r>
      <w:proofErr w:type="spellStart"/>
      <w:r>
        <w:rPr>
          <w:rFonts w:ascii="Book Antiqua" w:eastAsia="Book Antiqua" w:hAnsi="Book Antiqua" w:cs="Book Antiqua"/>
          <w:b/>
          <w:bCs/>
          <w:color w:val="000000"/>
        </w:rPr>
        <w:t>Tabernero</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Yoshino T, Cohn AL, </w:t>
      </w:r>
      <w:proofErr w:type="spellStart"/>
      <w:r>
        <w:rPr>
          <w:rFonts w:ascii="Book Antiqua" w:eastAsia="Book Antiqua" w:hAnsi="Book Antiqua" w:cs="Book Antiqua"/>
          <w:color w:val="000000"/>
        </w:rPr>
        <w:t>Obermannova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Bodoky</w:t>
      </w:r>
      <w:proofErr w:type="spellEnd"/>
      <w:r>
        <w:rPr>
          <w:rFonts w:ascii="Book Antiqua" w:eastAsia="Book Antiqua" w:hAnsi="Book Antiqua" w:cs="Book Antiqua"/>
          <w:color w:val="000000"/>
        </w:rPr>
        <w:t xml:space="preserve"> G, Garcia-</w:t>
      </w:r>
      <w:proofErr w:type="spellStart"/>
      <w:r>
        <w:rPr>
          <w:rFonts w:ascii="Book Antiqua" w:eastAsia="Book Antiqua" w:hAnsi="Book Antiqua" w:cs="Book Antiqua"/>
          <w:color w:val="000000"/>
        </w:rPr>
        <w:t>Carbonero</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Ciuleanu</w:t>
      </w:r>
      <w:proofErr w:type="spellEnd"/>
      <w:r>
        <w:rPr>
          <w:rFonts w:ascii="Book Antiqua" w:eastAsia="Book Antiqua" w:hAnsi="Book Antiqua" w:cs="Book Antiqua"/>
          <w:color w:val="000000"/>
        </w:rPr>
        <w:t xml:space="preserve"> TE, Portnoy DC, Van </w:t>
      </w:r>
      <w:proofErr w:type="spellStart"/>
      <w:r>
        <w:rPr>
          <w:rFonts w:ascii="Book Antiqua" w:eastAsia="Book Antiqua" w:hAnsi="Book Antiqua" w:cs="Book Antiqua"/>
          <w:color w:val="000000"/>
        </w:rPr>
        <w:t>Cutsem</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Grothey</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Prausová</w:t>
      </w:r>
      <w:proofErr w:type="spellEnd"/>
      <w:r>
        <w:rPr>
          <w:rFonts w:ascii="Book Antiqua" w:eastAsia="Book Antiqua" w:hAnsi="Book Antiqua" w:cs="Book Antiqua"/>
          <w:color w:val="000000"/>
        </w:rPr>
        <w:t xml:space="preserve"> J, Garcia-Alfonso P, Yamazaki K, </w:t>
      </w:r>
      <w:proofErr w:type="spellStart"/>
      <w:r>
        <w:rPr>
          <w:rFonts w:ascii="Book Antiqua" w:eastAsia="Book Antiqua" w:hAnsi="Book Antiqua" w:cs="Book Antiqua"/>
          <w:color w:val="000000"/>
        </w:rPr>
        <w:t>Clingan</w:t>
      </w:r>
      <w:proofErr w:type="spellEnd"/>
      <w:r>
        <w:rPr>
          <w:rFonts w:ascii="Book Antiqua" w:eastAsia="Book Antiqua" w:hAnsi="Book Antiqua" w:cs="Book Antiqua"/>
          <w:color w:val="000000"/>
        </w:rPr>
        <w:t xml:space="preserve"> PR, </w:t>
      </w:r>
      <w:proofErr w:type="spellStart"/>
      <w:r>
        <w:rPr>
          <w:rFonts w:ascii="Book Antiqua" w:eastAsia="Book Antiqua" w:hAnsi="Book Antiqua" w:cs="Book Antiqua"/>
          <w:color w:val="000000"/>
        </w:rPr>
        <w:t>Lonardi</w:t>
      </w:r>
      <w:proofErr w:type="spellEnd"/>
      <w:r>
        <w:rPr>
          <w:rFonts w:ascii="Book Antiqua" w:eastAsia="Book Antiqua" w:hAnsi="Book Antiqua" w:cs="Book Antiqua"/>
          <w:color w:val="000000"/>
        </w:rPr>
        <w:t xml:space="preserve"> S, Kim TW, Simms L, Chang SC, </w:t>
      </w:r>
      <w:proofErr w:type="spellStart"/>
      <w:r>
        <w:rPr>
          <w:rFonts w:ascii="Book Antiqua" w:eastAsia="Book Antiqua" w:hAnsi="Book Antiqua" w:cs="Book Antiqua"/>
          <w:color w:val="000000"/>
        </w:rPr>
        <w:t>Nasroulah</w:t>
      </w:r>
      <w:proofErr w:type="spellEnd"/>
      <w:r>
        <w:rPr>
          <w:rFonts w:ascii="Book Antiqua" w:eastAsia="Book Antiqua" w:hAnsi="Book Antiqua" w:cs="Book Antiqua"/>
          <w:color w:val="000000"/>
        </w:rPr>
        <w:t xml:space="preserve"> F; RAISE Study Investigators. Ramucirumab </w:t>
      </w:r>
      <w:r>
        <w:rPr>
          <w:rFonts w:ascii="Book Antiqua" w:eastAsia="Book Antiqua" w:hAnsi="Book Antiqua" w:cs="Book Antiqua"/>
          <w:i/>
          <w:iCs/>
          <w:color w:val="000000"/>
        </w:rPr>
        <w:t>vs</w:t>
      </w:r>
      <w:r>
        <w:rPr>
          <w:rFonts w:ascii="Book Antiqua" w:eastAsia="Book Antiqua" w:hAnsi="Book Antiqua" w:cs="Book Antiqua"/>
          <w:color w:val="000000"/>
        </w:rPr>
        <w:t xml:space="preserve"> placebo in combination with second-line FOLFIRI in patients with metastatic colorectal carcinoma that progressed during or after first-line therapy with bevacizumab, oxaliplatin, and a fluoropyrimidine (RAISE): a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double-blind,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phase 3 study. </w:t>
      </w:r>
      <w:r>
        <w:rPr>
          <w:rFonts w:ascii="Book Antiqua" w:eastAsia="Book Antiqua" w:hAnsi="Book Antiqua" w:cs="Book Antiqua"/>
          <w:i/>
          <w:iCs/>
          <w:color w:val="000000"/>
        </w:rPr>
        <w:t>Lancet Oncol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16</w:t>
      </w:r>
      <w:r>
        <w:rPr>
          <w:rFonts w:ascii="Book Antiqua" w:eastAsia="Book Antiqua" w:hAnsi="Book Antiqua" w:cs="Book Antiqua"/>
          <w:color w:val="000000"/>
        </w:rPr>
        <w:t>: 499-508 [PMID: 25877855 DOI: 10.1016/S1470-2045(15)70127-0]</w:t>
      </w:r>
    </w:p>
    <w:p w14:paraId="3E02111B" w14:textId="77777777" w:rsidR="00A31DCB" w:rsidRDefault="00000000">
      <w:pPr>
        <w:spacing w:line="360" w:lineRule="auto"/>
        <w:jc w:val="both"/>
      </w:pPr>
      <w:r>
        <w:rPr>
          <w:rFonts w:ascii="Book Antiqua" w:eastAsia="Book Antiqua" w:hAnsi="Book Antiqua" w:cs="Book Antiqua"/>
          <w:color w:val="000000"/>
        </w:rPr>
        <w:lastRenderedPageBreak/>
        <w:t xml:space="preserve">58 </w:t>
      </w:r>
      <w:r>
        <w:rPr>
          <w:rFonts w:ascii="Book Antiqua" w:eastAsia="Book Antiqua" w:hAnsi="Book Antiqua" w:cs="Book Antiqua"/>
          <w:b/>
          <w:bCs/>
          <w:color w:val="000000"/>
        </w:rPr>
        <w:t>Pfeiffer P</w:t>
      </w:r>
      <w:r>
        <w:rPr>
          <w:rFonts w:ascii="Book Antiqua" w:eastAsia="Book Antiqua" w:hAnsi="Book Antiqua" w:cs="Book Antiqua"/>
          <w:color w:val="000000"/>
        </w:rPr>
        <w:t xml:space="preserve">, Yilmaz M, </w:t>
      </w:r>
      <w:proofErr w:type="spellStart"/>
      <w:r>
        <w:rPr>
          <w:rFonts w:ascii="Book Antiqua" w:eastAsia="Book Antiqua" w:hAnsi="Book Antiqua" w:cs="Book Antiqua"/>
          <w:color w:val="000000"/>
        </w:rPr>
        <w:t>Möller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Zitnjak</w:t>
      </w:r>
      <w:proofErr w:type="spellEnd"/>
      <w:r>
        <w:rPr>
          <w:rFonts w:ascii="Book Antiqua" w:eastAsia="Book Antiqua" w:hAnsi="Book Antiqua" w:cs="Book Antiqua"/>
          <w:color w:val="000000"/>
        </w:rPr>
        <w:t xml:space="preserve"> D, Krogh M, Petersen LN, Poulsen LØ, </w:t>
      </w:r>
      <w:proofErr w:type="spellStart"/>
      <w:r>
        <w:rPr>
          <w:rFonts w:ascii="Book Antiqua" w:eastAsia="Book Antiqua" w:hAnsi="Book Antiqua" w:cs="Book Antiqua"/>
          <w:color w:val="000000"/>
        </w:rPr>
        <w:t>Winther</w:t>
      </w:r>
      <w:proofErr w:type="spellEnd"/>
      <w:r>
        <w:rPr>
          <w:rFonts w:ascii="Book Antiqua" w:eastAsia="Book Antiqua" w:hAnsi="Book Antiqua" w:cs="Book Antiqua"/>
          <w:color w:val="000000"/>
        </w:rPr>
        <w:t xml:space="preserve"> SB, Thomsen KG, </w:t>
      </w:r>
      <w:proofErr w:type="spellStart"/>
      <w:r>
        <w:rPr>
          <w:rFonts w:ascii="Book Antiqua" w:eastAsia="Book Antiqua" w:hAnsi="Book Antiqua" w:cs="Book Antiqua"/>
          <w:color w:val="000000"/>
        </w:rPr>
        <w:t>Qvortrup</w:t>
      </w:r>
      <w:proofErr w:type="spellEnd"/>
      <w:r>
        <w:rPr>
          <w:rFonts w:ascii="Book Antiqua" w:eastAsia="Book Antiqua" w:hAnsi="Book Antiqua" w:cs="Book Antiqua"/>
          <w:color w:val="000000"/>
        </w:rPr>
        <w:t xml:space="preserve"> C. TAS-102 with or without bevacizumab in patients with </w:t>
      </w:r>
      <w:proofErr w:type="spellStart"/>
      <w:r>
        <w:rPr>
          <w:rFonts w:ascii="Book Antiqua" w:eastAsia="Book Antiqua" w:hAnsi="Book Antiqua" w:cs="Book Antiqua"/>
          <w:color w:val="000000"/>
        </w:rPr>
        <w:t>chemorefractory</w:t>
      </w:r>
      <w:proofErr w:type="spellEnd"/>
      <w:r>
        <w:rPr>
          <w:rFonts w:ascii="Book Antiqua" w:eastAsia="Book Antiqua" w:hAnsi="Book Antiqua" w:cs="Book Antiqua"/>
          <w:color w:val="000000"/>
        </w:rPr>
        <w:t xml:space="preserve"> metastatic colorectal cancer: an investigator-initiated, open-label,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phase 2 trial. </w:t>
      </w:r>
      <w:r>
        <w:rPr>
          <w:rFonts w:ascii="Book Antiqua" w:eastAsia="Book Antiqua" w:hAnsi="Book Antiqua" w:cs="Book Antiqua"/>
          <w:i/>
          <w:iCs/>
          <w:color w:val="000000"/>
        </w:rPr>
        <w:t>Lancet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21</w:t>
      </w:r>
      <w:r>
        <w:rPr>
          <w:rFonts w:ascii="Book Antiqua" w:eastAsia="Book Antiqua" w:hAnsi="Book Antiqua" w:cs="Book Antiqua"/>
          <w:color w:val="000000"/>
        </w:rPr>
        <w:t>: 412-420 [PMID: 31999946 DOI: 10.1016/S1470-2045(19)30827-7]</w:t>
      </w:r>
    </w:p>
    <w:p w14:paraId="70571FE8" w14:textId="77777777" w:rsidR="00A31DCB" w:rsidRDefault="00000000">
      <w:pPr>
        <w:spacing w:line="360" w:lineRule="auto"/>
        <w:jc w:val="both"/>
      </w:pPr>
      <w:r>
        <w:rPr>
          <w:rFonts w:ascii="Book Antiqua" w:eastAsia="Book Antiqua" w:hAnsi="Book Antiqua" w:cs="Book Antiqua"/>
          <w:color w:val="000000"/>
        </w:rPr>
        <w:t xml:space="preserve">59 </w:t>
      </w:r>
      <w:proofErr w:type="spellStart"/>
      <w:r>
        <w:rPr>
          <w:rFonts w:ascii="Book Antiqua" w:eastAsia="Book Antiqua" w:hAnsi="Book Antiqua" w:cs="Book Antiqua"/>
          <w:b/>
          <w:bCs/>
          <w:color w:val="000000"/>
        </w:rPr>
        <w:t>Cremolini</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Rossini D, </w:t>
      </w:r>
      <w:proofErr w:type="spellStart"/>
      <w:r>
        <w:rPr>
          <w:rFonts w:ascii="Book Antiqua" w:eastAsia="Book Antiqua" w:hAnsi="Book Antiqua" w:cs="Book Antiqua"/>
          <w:color w:val="000000"/>
        </w:rPr>
        <w:t>Dell'Aquila</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Lonardi</w:t>
      </w:r>
      <w:proofErr w:type="spellEnd"/>
      <w:r>
        <w:rPr>
          <w:rFonts w:ascii="Book Antiqua" w:eastAsia="Book Antiqua" w:hAnsi="Book Antiqua" w:cs="Book Antiqua"/>
          <w:color w:val="000000"/>
        </w:rPr>
        <w:t xml:space="preserve"> S, Conca E, Del Re M, </w:t>
      </w:r>
      <w:proofErr w:type="spellStart"/>
      <w:r>
        <w:rPr>
          <w:rFonts w:ascii="Book Antiqua" w:eastAsia="Book Antiqua" w:hAnsi="Book Antiqua" w:cs="Book Antiqua"/>
          <w:color w:val="000000"/>
        </w:rPr>
        <w:t>Busico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Pietrantonio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Danesi</w:t>
      </w:r>
      <w:proofErr w:type="spellEnd"/>
      <w:r>
        <w:rPr>
          <w:rFonts w:ascii="Book Antiqua" w:eastAsia="Book Antiqua" w:hAnsi="Book Antiqua" w:cs="Book Antiqua"/>
          <w:color w:val="000000"/>
        </w:rPr>
        <w:t xml:space="preserve"> R, Aprile G, </w:t>
      </w:r>
      <w:proofErr w:type="spellStart"/>
      <w:r>
        <w:rPr>
          <w:rFonts w:ascii="Book Antiqua" w:eastAsia="Book Antiqua" w:hAnsi="Book Antiqua" w:cs="Book Antiqua"/>
          <w:color w:val="000000"/>
        </w:rPr>
        <w:t>Tamburini</w:t>
      </w:r>
      <w:proofErr w:type="spellEnd"/>
      <w:r>
        <w:rPr>
          <w:rFonts w:ascii="Book Antiqua" w:eastAsia="Book Antiqua" w:hAnsi="Book Antiqua" w:cs="Book Antiqua"/>
          <w:color w:val="000000"/>
        </w:rPr>
        <w:t xml:space="preserve"> E, Barone C, Masi G, </w:t>
      </w:r>
      <w:proofErr w:type="spellStart"/>
      <w:r>
        <w:rPr>
          <w:rFonts w:ascii="Book Antiqua" w:eastAsia="Book Antiqua" w:hAnsi="Book Antiqua" w:cs="Book Antiqua"/>
          <w:color w:val="000000"/>
        </w:rPr>
        <w:t>Pantano</w:t>
      </w:r>
      <w:proofErr w:type="spellEnd"/>
      <w:r>
        <w:rPr>
          <w:rFonts w:ascii="Book Antiqua" w:eastAsia="Book Antiqua" w:hAnsi="Book Antiqua" w:cs="Book Antiqua"/>
          <w:color w:val="000000"/>
        </w:rPr>
        <w:t xml:space="preserve"> F, Pucci F, </w:t>
      </w:r>
      <w:proofErr w:type="spellStart"/>
      <w:r>
        <w:rPr>
          <w:rFonts w:ascii="Book Antiqua" w:eastAsia="Book Antiqua" w:hAnsi="Book Antiqua" w:cs="Book Antiqua"/>
          <w:color w:val="000000"/>
        </w:rPr>
        <w:t>Corsi</w:t>
      </w:r>
      <w:proofErr w:type="spellEnd"/>
      <w:r>
        <w:rPr>
          <w:rFonts w:ascii="Book Antiqua" w:eastAsia="Book Antiqua" w:hAnsi="Book Antiqua" w:cs="Book Antiqua"/>
          <w:color w:val="000000"/>
        </w:rPr>
        <w:t xml:space="preserve"> DC, Pella N, Bergamo F, </w:t>
      </w:r>
      <w:proofErr w:type="spellStart"/>
      <w:r>
        <w:rPr>
          <w:rFonts w:ascii="Book Antiqua" w:eastAsia="Book Antiqua" w:hAnsi="Book Antiqua" w:cs="Book Antiqua"/>
          <w:color w:val="000000"/>
        </w:rPr>
        <w:t>Rofi</w:t>
      </w:r>
      <w:proofErr w:type="spellEnd"/>
      <w:r>
        <w:rPr>
          <w:rFonts w:ascii="Book Antiqua" w:eastAsia="Book Antiqua" w:hAnsi="Book Antiqua" w:cs="Book Antiqua"/>
          <w:color w:val="000000"/>
        </w:rPr>
        <w:t xml:space="preserve"> E, Barbara C, Falcone A, Santini D. Rechallenge for Patients With RAS and BRAF Wild-Type Metastatic Colorectal Cancer With Acquired Resistance to First-line Cetuximab and Irinotecan: A Phase 2 Single-Arm Clinical Trial. </w:t>
      </w:r>
      <w:r>
        <w:rPr>
          <w:rFonts w:ascii="Book Antiqua" w:eastAsia="Book Antiqua" w:hAnsi="Book Antiqua" w:cs="Book Antiqua"/>
          <w:i/>
          <w:iCs/>
          <w:color w:val="000000"/>
        </w:rPr>
        <w:t>JAMA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5</w:t>
      </w:r>
      <w:r>
        <w:rPr>
          <w:rFonts w:ascii="Book Antiqua" w:eastAsia="Book Antiqua" w:hAnsi="Book Antiqua" w:cs="Book Antiqua"/>
          <w:color w:val="000000"/>
        </w:rPr>
        <w:t>: 343-350 [PMID: 30476968 DOI: 10.1001/jamaoncol.2018.5080]</w:t>
      </w:r>
    </w:p>
    <w:p w14:paraId="59700516" w14:textId="77777777" w:rsidR="00A31DCB" w:rsidRDefault="00000000">
      <w:pPr>
        <w:spacing w:line="360" w:lineRule="auto"/>
        <w:jc w:val="both"/>
      </w:pPr>
      <w:r>
        <w:rPr>
          <w:rFonts w:ascii="Book Antiqua" w:eastAsia="Book Antiqua" w:hAnsi="Book Antiqua" w:cs="Book Antiqua"/>
          <w:color w:val="000000"/>
        </w:rPr>
        <w:t xml:space="preserve">60 </w:t>
      </w:r>
      <w:proofErr w:type="spellStart"/>
      <w:r>
        <w:rPr>
          <w:rFonts w:ascii="Book Antiqua" w:eastAsia="Book Antiqua" w:hAnsi="Book Antiqua" w:cs="Book Antiqua"/>
          <w:b/>
          <w:bCs/>
          <w:color w:val="000000"/>
        </w:rPr>
        <w:t>Sartore</w:t>
      </w:r>
      <w:proofErr w:type="spellEnd"/>
      <w:r>
        <w:rPr>
          <w:rFonts w:ascii="Book Antiqua" w:eastAsia="Book Antiqua" w:hAnsi="Book Antiqua" w:cs="Book Antiqua"/>
          <w:b/>
          <w:bCs/>
          <w:color w:val="000000"/>
        </w:rPr>
        <w:t>-Bianchi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Pietrantonio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Lonardi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Mussolin</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Rua</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Crisafulli</w:t>
      </w:r>
      <w:proofErr w:type="spellEnd"/>
      <w:r>
        <w:rPr>
          <w:rFonts w:ascii="Book Antiqua" w:eastAsia="Book Antiqua" w:hAnsi="Book Antiqua" w:cs="Book Antiqua"/>
          <w:color w:val="000000"/>
        </w:rPr>
        <w:t xml:space="preserve"> G, Bartolini A, </w:t>
      </w:r>
      <w:proofErr w:type="spellStart"/>
      <w:r>
        <w:rPr>
          <w:rFonts w:ascii="Book Antiqua" w:eastAsia="Book Antiqua" w:hAnsi="Book Antiqua" w:cs="Book Antiqua"/>
          <w:color w:val="000000"/>
        </w:rPr>
        <w:t>Fenocchio</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Amatu</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Manca</w:t>
      </w:r>
      <w:proofErr w:type="spellEnd"/>
      <w:r>
        <w:rPr>
          <w:rFonts w:ascii="Book Antiqua" w:eastAsia="Book Antiqua" w:hAnsi="Book Antiqua" w:cs="Book Antiqua"/>
          <w:color w:val="000000"/>
        </w:rPr>
        <w:t xml:space="preserve"> P, Bergamo F, Tosi F, Mauri G, </w:t>
      </w:r>
      <w:proofErr w:type="spellStart"/>
      <w:r>
        <w:rPr>
          <w:rFonts w:ascii="Book Antiqua" w:eastAsia="Book Antiqua" w:hAnsi="Book Antiqua" w:cs="Book Antiqua"/>
          <w:color w:val="000000"/>
        </w:rPr>
        <w:t>Ambrosini</w:t>
      </w:r>
      <w:proofErr w:type="spellEnd"/>
      <w:r>
        <w:rPr>
          <w:rFonts w:ascii="Book Antiqua" w:eastAsia="Book Antiqua" w:hAnsi="Book Antiqua" w:cs="Book Antiqua"/>
          <w:color w:val="000000"/>
        </w:rPr>
        <w:t xml:space="preserve"> M, Daniel F, Torri V, </w:t>
      </w:r>
      <w:proofErr w:type="spellStart"/>
      <w:r>
        <w:rPr>
          <w:rFonts w:ascii="Book Antiqua" w:eastAsia="Book Antiqua" w:hAnsi="Book Antiqua" w:cs="Book Antiqua"/>
          <w:color w:val="000000"/>
        </w:rPr>
        <w:t>Vanzulli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Regge</w:t>
      </w:r>
      <w:proofErr w:type="spellEnd"/>
      <w:r>
        <w:rPr>
          <w:rFonts w:ascii="Book Antiqua" w:eastAsia="Book Antiqua" w:hAnsi="Book Antiqua" w:cs="Book Antiqua"/>
          <w:color w:val="000000"/>
        </w:rPr>
        <w:t xml:space="preserve"> D, Cappello G, </w:t>
      </w:r>
      <w:proofErr w:type="spellStart"/>
      <w:r>
        <w:rPr>
          <w:rFonts w:ascii="Book Antiqua" w:eastAsia="Book Antiqua" w:hAnsi="Book Antiqua" w:cs="Book Antiqua"/>
          <w:color w:val="000000"/>
        </w:rPr>
        <w:t>Marchiò</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Berrino</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Sapino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Marsoni</w:t>
      </w:r>
      <w:proofErr w:type="spellEnd"/>
      <w:r>
        <w:rPr>
          <w:rFonts w:ascii="Book Antiqua" w:eastAsia="Book Antiqua" w:hAnsi="Book Antiqua" w:cs="Book Antiqua"/>
          <w:color w:val="000000"/>
        </w:rPr>
        <w:t xml:space="preserve"> S, Siena S, </w:t>
      </w:r>
      <w:proofErr w:type="spellStart"/>
      <w:r>
        <w:rPr>
          <w:rFonts w:ascii="Book Antiqua" w:eastAsia="Book Antiqua" w:hAnsi="Book Antiqua" w:cs="Book Antiqua"/>
          <w:color w:val="000000"/>
        </w:rPr>
        <w:t>Bardelli</w:t>
      </w:r>
      <w:proofErr w:type="spellEnd"/>
      <w:r>
        <w:rPr>
          <w:rFonts w:ascii="Book Antiqua" w:eastAsia="Book Antiqua" w:hAnsi="Book Antiqua" w:cs="Book Antiqua"/>
          <w:color w:val="000000"/>
        </w:rPr>
        <w:t xml:space="preserve"> A. Circulating tumor DNA to guide rechallenge with panitumumab in metastatic colorectal cancer: the phase 2 CHRONOS trial. </w:t>
      </w:r>
      <w:r>
        <w:rPr>
          <w:rFonts w:ascii="Book Antiqua" w:eastAsia="Book Antiqua" w:hAnsi="Book Antiqua" w:cs="Book Antiqua"/>
          <w:i/>
          <w:iCs/>
          <w:color w:val="000000"/>
        </w:rPr>
        <w:t>Nat Med</w:t>
      </w:r>
      <w:r>
        <w:rPr>
          <w:rFonts w:ascii="Book Antiqua" w:eastAsia="Book Antiqua" w:hAnsi="Book Antiqua" w:cs="Book Antiqua"/>
          <w:color w:val="000000"/>
        </w:rPr>
        <w:t xml:space="preserve"> 2022; </w:t>
      </w:r>
      <w:r>
        <w:rPr>
          <w:rFonts w:ascii="Book Antiqua" w:eastAsia="Book Antiqua" w:hAnsi="Book Antiqua" w:cs="Book Antiqua"/>
          <w:b/>
          <w:bCs/>
          <w:color w:val="000000"/>
        </w:rPr>
        <w:t>28</w:t>
      </w:r>
      <w:r>
        <w:rPr>
          <w:rFonts w:ascii="Book Antiqua" w:eastAsia="Book Antiqua" w:hAnsi="Book Antiqua" w:cs="Book Antiqua"/>
          <w:color w:val="000000"/>
        </w:rPr>
        <w:t>: 1612-1618 [PMID: 35915157 DOI: 10.1038/s41591-022-01886-0]</w:t>
      </w:r>
    </w:p>
    <w:p w14:paraId="397FF5EF" w14:textId="77777777" w:rsidR="00A31DCB" w:rsidRDefault="00000000">
      <w:pPr>
        <w:spacing w:line="360" w:lineRule="auto"/>
        <w:jc w:val="both"/>
      </w:pPr>
      <w:r>
        <w:rPr>
          <w:rFonts w:ascii="Book Antiqua" w:eastAsia="Book Antiqua" w:hAnsi="Book Antiqua" w:cs="Book Antiqua"/>
          <w:color w:val="000000"/>
        </w:rPr>
        <w:t xml:space="preserve">61 </w:t>
      </w:r>
      <w:r>
        <w:rPr>
          <w:rFonts w:ascii="Book Antiqua" w:eastAsia="Book Antiqua" w:hAnsi="Book Antiqua" w:cs="Book Antiqua"/>
          <w:b/>
          <w:bCs/>
          <w:color w:val="000000"/>
        </w:rPr>
        <w:t>Parseghian CM</w:t>
      </w:r>
      <w:r>
        <w:rPr>
          <w:rFonts w:ascii="Book Antiqua" w:eastAsia="Book Antiqua" w:hAnsi="Book Antiqua" w:cs="Book Antiqua"/>
          <w:color w:val="000000"/>
        </w:rPr>
        <w:t xml:space="preserve">, Loree JM, Morris VK, Liu X, Clifton KK, Napolitano S, Henry JT, Pereira AA, </w:t>
      </w:r>
      <w:proofErr w:type="spellStart"/>
      <w:r>
        <w:rPr>
          <w:rFonts w:ascii="Book Antiqua" w:eastAsia="Book Antiqua" w:hAnsi="Book Antiqua" w:cs="Book Antiqua"/>
          <w:color w:val="000000"/>
        </w:rPr>
        <w:t>Vilar</w:t>
      </w:r>
      <w:proofErr w:type="spellEnd"/>
      <w:r>
        <w:rPr>
          <w:rFonts w:ascii="Book Antiqua" w:eastAsia="Book Antiqua" w:hAnsi="Book Antiqua" w:cs="Book Antiqua"/>
          <w:color w:val="000000"/>
        </w:rPr>
        <w:t xml:space="preserve"> E, Johnson B, Kee B, Raghav K, </w:t>
      </w:r>
      <w:proofErr w:type="spellStart"/>
      <w:r>
        <w:rPr>
          <w:rFonts w:ascii="Book Antiqua" w:eastAsia="Book Antiqua" w:hAnsi="Book Antiqua" w:cs="Book Antiqua"/>
          <w:color w:val="000000"/>
        </w:rPr>
        <w:t>Dasari</w:t>
      </w:r>
      <w:proofErr w:type="spellEnd"/>
      <w:r>
        <w:rPr>
          <w:rFonts w:ascii="Book Antiqua" w:eastAsia="Book Antiqua" w:hAnsi="Book Antiqua" w:cs="Book Antiqua"/>
          <w:color w:val="000000"/>
        </w:rPr>
        <w:t xml:space="preserve"> A, Wu J, Garg N, Raymond VM, Banks KC, </w:t>
      </w:r>
      <w:proofErr w:type="spellStart"/>
      <w:r>
        <w:rPr>
          <w:rFonts w:ascii="Book Antiqua" w:eastAsia="Book Antiqua" w:hAnsi="Book Antiqua" w:cs="Book Antiqua"/>
          <w:color w:val="000000"/>
        </w:rPr>
        <w:t>Talasaz</w:t>
      </w:r>
      <w:proofErr w:type="spellEnd"/>
      <w:r>
        <w:rPr>
          <w:rFonts w:ascii="Book Antiqua" w:eastAsia="Book Antiqua" w:hAnsi="Book Antiqua" w:cs="Book Antiqua"/>
          <w:color w:val="000000"/>
        </w:rPr>
        <w:t xml:space="preserve"> AA, </w:t>
      </w:r>
      <w:proofErr w:type="spellStart"/>
      <w:r>
        <w:rPr>
          <w:rFonts w:ascii="Book Antiqua" w:eastAsia="Book Antiqua" w:hAnsi="Book Antiqua" w:cs="Book Antiqua"/>
          <w:color w:val="000000"/>
        </w:rPr>
        <w:t>Lanman</w:t>
      </w:r>
      <w:proofErr w:type="spellEnd"/>
      <w:r>
        <w:rPr>
          <w:rFonts w:ascii="Book Antiqua" w:eastAsia="Book Antiqua" w:hAnsi="Book Antiqua" w:cs="Book Antiqua"/>
          <w:color w:val="000000"/>
        </w:rPr>
        <w:t xml:space="preserve"> RB, Strickler JH, Hong DS, Corcoran RB, Overman MJ, </w:t>
      </w:r>
      <w:proofErr w:type="spellStart"/>
      <w:r>
        <w:rPr>
          <w:rFonts w:ascii="Book Antiqua" w:eastAsia="Book Antiqua" w:hAnsi="Book Antiqua" w:cs="Book Antiqua"/>
          <w:color w:val="000000"/>
        </w:rPr>
        <w:t>Kopetz</w:t>
      </w:r>
      <w:proofErr w:type="spellEnd"/>
      <w:r>
        <w:rPr>
          <w:rFonts w:ascii="Book Antiqua" w:eastAsia="Book Antiqua" w:hAnsi="Book Antiqua" w:cs="Book Antiqua"/>
          <w:color w:val="000000"/>
        </w:rPr>
        <w:t xml:space="preserve"> S. Anti-EGFR-resistant clones decay exponentially after progression: implications for anti-EGFR re-challenge.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30</w:t>
      </w:r>
      <w:r>
        <w:rPr>
          <w:rFonts w:ascii="Book Antiqua" w:eastAsia="Book Antiqua" w:hAnsi="Book Antiqua" w:cs="Book Antiqua"/>
          <w:color w:val="000000"/>
        </w:rPr>
        <w:t>: 243-249 [PMID: 30462160 DOI: 10.1093/</w:t>
      </w:r>
      <w:proofErr w:type="spellStart"/>
      <w:r>
        <w:rPr>
          <w:rFonts w:ascii="Book Antiqua" w:eastAsia="Book Antiqua" w:hAnsi="Book Antiqua" w:cs="Book Antiqua"/>
          <w:color w:val="000000"/>
        </w:rPr>
        <w:t>annonc</w:t>
      </w:r>
      <w:proofErr w:type="spellEnd"/>
      <w:r>
        <w:rPr>
          <w:rFonts w:ascii="Book Antiqua" w:eastAsia="Book Antiqua" w:hAnsi="Book Antiqua" w:cs="Book Antiqua"/>
          <w:color w:val="000000"/>
        </w:rPr>
        <w:t>/mdy509]</w:t>
      </w:r>
    </w:p>
    <w:p w14:paraId="7D0A9C99" w14:textId="77777777" w:rsidR="00A31DCB" w:rsidRDefault="00000000">
      <w:pPr>
        <w:spacing w:line="360" w:lineRule="auto"/>
        <w:jc w:val="both"/>
      </w:pPr>
      <w:r>
        <w:rPr>
          <w:rFonts w:ascii="Book Antiqua" w:eastAsia="Book Antiqua" w:hAnsi="Book Antiqua" w:cs="Book Antiqua"/>
          <w:color w:val="000000"/>
        </w:rPr>
        <w:t xml:space="preserve">62 </w:t>
      </w:r>
      <w:proofErr w:type="spellStart"/>
      <w:r>
        <w:rPr>
          <w:rFonts w:ascii="Book Antiqua" w:eastAsia="Book Antiqua" w:hAnsi="Book Antiqua" w:cs="Book Antiqua"/>
          <w:b/>
          <w:bCs/>
          <w:color w:val="000000"/>
        </w:rPr>
        <w:t>Peeters</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Price TJ, Cervantes A, </w:t>
      </w:r>
      <w:proofErr w:type="spellStart"/>
      <w:r>
        <w:rPr>
          <w:rFonts w:ascii="Book Antiqua" w:eastAsia="Book Antiqua" w:hAnsi="Book Antiqua" w:cs="Book Antiqua"/>
          <w:color w:val="000000"/>
        </w:rPr>
        <w:t>Sobrero</w:t>
      </w:r>
      <w:proofErr w:type="spellEnd"/>
      <w:r>
        <w:rPr>
          <w:rFonts w:ascii="Book Antiqua" w:eastAsia="Book Antiqua" w:hAnsi="Book Antiqua" w:cs="Book Antiqua"/>
          <w:color w:val="000000"/>
        </w:rPr>
        <w:t xml:space="preserve"> AF, </w:t>
      </w:r>
      <w:proofErr w:type="spellStart"/>
      <w:r>
        <w:rPr>
          <w:rFonts w:ascii="Book Antiqua" w:eastAsia="Book Antiqua" w:hAnsi="Book Antiqua" w:cs="Book Antiqua"/>
          <w:color w:val="000000"/>
        </w:rPr>
        <w:t>Ducreux</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Hotko</w:t>
      </w:r>
      <w:proofErr w:type="spellEnd"/>
      <w:r>
        <w:rPr>
          <w:rFonts w:ascii="Book Antiqua" w:eastAsia="Book Antiqua" w:hAnsi="Book Antiqua" w:cs="Book Antiqua"/>
          <w:color w:val="000000"/>
        </w:rPr>
        <w:t xml:space="preserve"> Y, André T, Chan E, </w:t>
      </w:r>
      <w:proofErr w:type="spellStart"/>
      <w:r>
        <w:rPr>
          <w:rFonts w:ascii="Book Antiqua" w:eastAsia="Book Antiqua" w:hAnsi="Book Antiqua" w:cs="Book Antiqua"/>
          <w:color w:val="000000"/>
        </w:rPr>
        <w:t>Lordick</w:t>
      </w:r>
      <w:proofErr w:type="spellEnd"/>
      <w:r>
        <w:rPr>
          <w:rFonts w:ascii="Book Antiqua" w:eastAsia="Book Antiqua" w:hAnsi="Book Antiqua" w:cs="Book Antiqua"/>
          <w:color w:val="000000"/>
        </w:rPr>
        <w:t xml:space="preserve"> F, Punt CJ, Strickland AH, Wilson G, </w:t>
      </w:r>
      <w:proofErr w:type="spellStart"/>
      <w:r>
        <w:rPr>
          <w:rFonts w:ascii="Book Antiqua" w:eastAsia="Book Antiqua" w:hAnsi="Book Antiqua" w:cs="Book Antiqua"/>
          <w:color w:val="000000"/>
        </w:rPr>
        <w:t>Ciuleanu</w:t>
      </w:r>
      <w:proofErr w:type="spellEnd"/>
      <w:r>
        <w:rPr>
          <w:rFonts w:ascii="Book Antiqua" w:eastAsia="Book Antiqua" w:hAnsi="Book Antiqua" w:cs="Book Antiqua"/>
          <w:color w:val="000000"/>
        </w:rPr>
        <w:t xml:space="preserve"> TE, Roman L, Van </w:t>
      </w:r>
      <w:proofErr w:type="spellStart"/>
      <w:r>
        <w:rPr>
          <w:rFonts w:ascii="Book Antiqua" w:eastAsia="Book Antiqua" w:hAnsi="Book Antiqua" w:cs="Book Antiqua"/>
          <w:color w:val="000000"/>
        </w:rPr>
        <w:t>Cutsem</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Tzekova</w:t>
      </w:r>
      <w:proofErr w:type="spellEnd"/>
      <w:r>
        <w:rPr>
          <w:rFonts w:ascii="Book Antiqua" w:eastAsia="Book Antiqua" w:hAnsi="Book Antiqua" w:cs="Book Antiqua"/>
          <w:color w:val="000000"/>
        </w:rPr>
        <w:t xml:space="preserve"> V, Collins S, </w:t>
      </w:r>
      <w:proofErr w:type="spellStart"/>
      <w:r>
        <w:rPr>
          <w:rFonts w:ascii="Book Antiqua" w:eastAsia="Book Antiqua" w:hAnsi="Book Antiqua" w:cs="Book Antiqua"/>
          <w:color w:val="000000"/>
        </w:rPr>
        <w:t>Oliner</w:t>
      </w:r>
      <w:proofErr w:type="spellEnd"/>
      <w:r>
        <w:rPr>
          <w:rFonts w:ascii="Book Antiqua" w:eastAsia="Book Antiqua" w:hAnsi="Book Antiqua" w:cs="Book Antiqua"/>
          <w:color w:val="000000"/>
        </w:rPr>
        <w:t xml:space="preserve"> KS, Rong A, </w:t>
      </w:r>
      <w:proofErr w:type="spellStart"/>
      <w:r>
        <w:rPr>
          <w:rFonts w:ascii="Book Antiqua" w:eastAsia="Book Antiqua" w:hAnsi="Book Antiqua" w:cs="Book Antiqua"/>
          <w:color w:val="000000"/>
        </w:rPr>
        <w:t>Gansert</w:t>
      </w:r>
      <w:proofErr w:type="spellEnd"/>
      <w:r>
        <w:rPr>
          <w:rFonts w:ascii="Book Antiqua" w:eastAsia="Book Antiqua" w:hAnsi="Book Antiqua" w:cs="Book Antiqua"/>
          <w:color w:val="000000"/>
        </w:rPr>
        <w:t xml:space="preserve"> J. Randomized phase III study of panitumumab with fluorouracil, leucovorin, and irinotecan (FOLFIRI) compared with FOLFIRI alone as second-line treatment in patients with metastatic colorectal cancer.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2010; </w:t>
      </w:r>
      <w:r>
        <w:rPr>
          <w:rFonts w:ascii="Book Antiqua" w:eastAsia="Book Antiqua" w:hAnsi="Book Antiqua" w:cs="Book Antiqua"/>
          <w:b/>
          <w:bCs/>
          <w:color w:val="000000"/>
        </w:rPr>
        <w:t>28</w:t>
      </w:r>
      <w:r>
        <w:rPr>
          <w:rFonts w:ascii="Book Antiqua" w:eastAsia="Book Antiqua" w:hAnsi="Book Antiqua" w:cs="Book Antiqua"/>
          <w:color w:val="000000"/>
        </w:rPr>
        <w:t>: 4706-4713 [PMID: 20921462 DOI: 10.1200/JCO.2009.27.6055]</w:t>
      </w:r>
    </w:p>
    <w:p w14:paraId="1B26A46D" w14:textId="77777777" w:rsidR="00A31DCB" w:rsidRDefault="00000000">
      <w:pPr>
        <w:spacing w:line="360" w:lineRule="auto"/>
        <w:jc w:val="both"/>
      </w:pPr>
      <w:r>
        <w:rPr>
          <w:rFonts w:ascii="Book Antiqua" w:eastAsia="Book Antiqua" w:hAnsi="Book Antiqua" w:cs="Book Antiqua"/>
          <w:color w:val="000000"/>
        </w:rPr>
        <w:lastRenderedPageBreak/>
        <w:t xml:space="preserve">63 </w:t>
      </w:r>
      <w:proofErr w:type="spellStart"/>
      <w:r>
        <w:rPr>
          <w:rFonts w:ascii="Book Antiqua" w:eastAsia="Book Antiqua" w:hAnsi="Book Antiqua" w:cs="Book Antiqua"/>
          <w:b/>
          <w:bCs/>
          <w:color w:val="000000"/>
        </w:rPr>
        <w:t>Kopetz</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Guthrie KA, Morris VK, Lenz HJ, </w:t>
      </w:r>
      <w:proofErr w:type="spellStart"/>
      <w:r>
        <w:rPr>
          <w:rFonts w:ascii="Book Antiqua" w:eastAsia="Book Antiqua" w:hAnsi="Book Antiqua" w:cs="Book Antiqua"/>
          <w:color w:val="000000"/>
        </w:rPr>
        <w:t>Magliocco</w:t>
      </w:r>
      <w:proofErr w:type="spellEnd"/>
      <w:r>
        <w:rPr>
          <w:rFonts w:ascii="Book Antiqua" w:eastAsia="Book Antiqua" w:hAnsi="Book Antiqua" w:cs="Book Antiqua"/>
          <w:color w:val="000000"/>
        </w:rPr>
        <w:t xml:space="preserve"> AM, Maru D, Yan Y, </w:t>
      </w:r>
      <w:proofErr w:type="spellStart"/>
      <w:r>
        <w:rPr>
          <w:rFonts w:ascii="Book Antiqua" w:eastAsia="Book Antiqua" w:hAnsi="Book Antiqua" w:cs="Book Antiqua"/>
          <w:color w:val="000000"/>
        </w:rPr>
        <w:t>Lanman</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Manyam</w:t>
      </w:r>
      <w:proofErr w:type="spellEnd"/>
      <w:r>
        <w:rPr>
          <w:rFonts w:ascii="Book Antiqua" w:eastAsia="Book Antiqua" w:hAnsi="Book Antiqua" w:cs="Book Antiqua"/>
          <w:color w:val="000000"/>
        </w:rPr>
        <w:t xml:space="preserve"> G, Hong DS, Sorokin A, </w:t>
      </w:r>
      <w:proofErr w:type="spellStart"/>
      <w:r>
        <w:rPr>
          <w:rFonts w:ascii="Book Antiqua" w:eastAsia="Book Antiqua" w:hAnsi="Book Antiqua" w:cs="Book Antiqua"/>
          <w:color w:val="000000"/>
        </w:rPr>
        <w:t>Atreya</w:t>
      </w:r>
      <w:proofErr w:type="spellEnd"/>
      <w:r>
        <w:rPr>
          <w:rFonts w:ascii="Book Antiqua" w:eastAsia="Book Antiqua" w:hAnsi="Book Antiqua" w:cs="Book Antiqua"/>
          <w:color w:val="000000"/>
        </w:rPr>
        <w:t xml:space="preserve"> CE, Diaz LA, Allegra C, Raghav KP, Wang SE, Lieu CH, McDonough SL, Philip PA, Hochster HS. Randomized Trial of Irinotecan and Cetuximab With or Without Vemurafenib in BRAF-Mutant Metastatic Colorectal Cancer (SWOG S1406).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2021; </w:t>
      </w:r>
      <w:r>
        <w:rPr>
          <w:rFonts w:ascii="Book Antiqua" w:eastAsia="Book Antiqua" w:hAnsi="Book Antiqua" w:cs="Book Antiqua"/>
          <w:b/>
          <w:bCs/>
          <w:color w:val="000000"/>
        </w:rPr>
        <w:t>39</w:t>
      </w:r>
      <w:r>
        <w:rPr>
          <w:rFonts w:ascii="Book Antiqua" w:eastAsia="Book Antiqua" w:hAnsi="Book Antiqua" w:cs="Book Antiqua"/>
          <w:color w:val="000000"/>
        </w:rPr>
        <w:t>: 285-294 [PMID: 33356422 DOI: 10.1200/JCO.20.01994]</w:t>
      </w:r>
    </w:p>
    <w:p w14:paraId="347EB367" w14:textId="77777777" w:rsidR="00A31DCB" w:rsidRDefault="00000000">
      <w:pPr>
        <w:spacing w:line="360" w:lineRule="auto"/>
        <w:jc w:val="both"/>
      </w:pPr>
      <w:r>
        <w:rPr>
          <w:rFonts w:ascii="Book Antiqua" w:eastAsia="Book Antiqua" w:hAnsi="Book Antiqua" w:cs="Book Antiqua"/>
          <w:color w:val="000000"/>
        </w:rPr>
        <w:t xml:space="preserve">64 </w:t>
      </w:r>
      <w:proofErr w:type="spellStart"/>
      <w:r>
        <w:rPr>
          <w:rFonts w:ascii="Book Antiqua" w:eastAsia="Book Antiqua" w:hAnsi="Book Antiqua" w:cs="Book Antiqua"/>
          <w:b/>
          <w:bCs/>
          <w:color w:val="000000"/>
        </w:rPr>
        <w:t>Tabernero</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Grothey</w:t>
      </w:r>
      <w:proofErr w:type="spellEnd"/>
      <w:r>
        <w:rPr>
          <w:rFonts w:ascii="Book Antiqua" w:eastAsia="Book Antiqua" w:hAnsi="Book Antiqua" w:cs="Book Antiqua"/>
          <w:color w:val="000000"/>
        </w:rPr>
        <w:t xml:space="preserve"> A, Van </w:t>
      </w:r>
      <w:proofErr w:type="spellStart"/>
      <w:r>
        <w:rPr>
          <w:rFonts w:ascii="Book Antiqua" w:eastAsia="Book Antiqua" w:hAnsi="Book Antiqua" w:cs="Book Antiqua"/>
          <w:color w:val="000000"/>
        </w:rPr>
        <w:t>Cutsem</w:t>
      </w:r>
      <w:proofErr w:type="spellEnd"/>
      <w:r>
        <w:rPr>
          <w:rFonts w:ascii="Book Antiqua" w:eastAsia="Book Antiqua" w:hAnsi="Book Antiqua" w:cs="Book Antiqua"/>
          <w:color w:val="000000"/>
        </w:rPr>
        <w:t xml:space="preserve"> E, Yaeger R, </w:t>
      </w:r>
      <w:proofErr w:type="spellStart"/>
      <w:r>
        <w:rPr>
          <w:rFonts w:ascii="Book Antiqua" w:eastAsia="Book Antiqua" w:hAnsi="Book Antiqua" w:cs="Book Antiqua"/>
          <w:color w:val="000000"/>
        </w:rPr>
        <w:t>Wasan</w:t>
      </w:r>
      <w:proofErr w:type="spellEnd"/>
      <w:r>
        <w:rPr>
          <w:rFonts w:ascii="Book Antiqua" w:eastAsia="Book Antiqua" w:hAnsi="Book Antiqua" w:cs="Book Antiqua"/>
          <w:color w:val="000000"/>
        </w:rPr>
        <w:t xml:space="preserve"> H, Yoshino T, Desai J, </w:t>
      </w:r>
      <w:proofErr w:type="spellStart"/>
      <w:r>
        <w:rPr>
          <w:rFonts w:ascii="Book Antiqua" w:eastAsia="Book Antiqua" w:hAnsi="Book Antiqua" w:cs="Book Antiqua"/>
          <w:color w:val="000000"/>
        </w:rPr>
        <w:t>Ciardiello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Loupakis</w:t>
      </w:r>
      <w:proofErr w:type="spellEnd"/>
      <w:r>
        <w:rPr>
          <w:rFonts w:ascii="Book Antiqua" w:eastAsia="Book Antiqua" w:hAnsi="Book Antiqua" w:cs="Book Antiqua"/>
          <w:color w:val="000000"/>
        </w:rPr>
        <w:t xml:space="preserve"> F, Hong YS, </w:t>
      </w:r>
      <w:proofErr w:type="spellStart"/>
      <w:r>
        <w:rPr>
          <w:rFonts w:ascii="Book Antiqua" w:eastAsia="Book Antiqua" w:hAnsi="Book Antiqua" w:cs="Book Antiqua"/>
          <w:color w:val="000000"/>
        </w:rPr>
        <w:t>Steeghs</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Guren</w:t>
      </w:r>
      <w:proofErr w:type="spellEnd"/>
      <w:r>
        <w:rPr>
          <w:rFonts w:ascii="Book Antiqua" w:eastAsia="Book Antiqua" w:hAnsi="Book Antiqua" w:cs="Book Antiqua"/>
          <w:color w:val="000000"/>
        </w:rPr>
        <w:t xml:space="preserve"> TK, </w:t>
      </w:r>
      <w:proofErr w:type="spellStart"/>
      <w:r>
        <w:rPr>
          <w:rFonts w:ascii="Book Antiqua" w:eastAsia="Book Antiqua" w:hAnsi="Book Antiqua" w:cs="Book Antiqua"/>
          <w:color w:val="000000"/>
        </w:rPr>
        <w:t>Arkenau</w:t>
      </w:r>
      <w:proofErr w:type="spellEnd"/>
      <w:r>
        <w:rPr>
          <w:rFonts w:ascii="Book Antiqua" w:eastAsia="Book Antiqua" w:hAnsi="Book Antiqua" w:cs="Book Antiqua"/>
          <w:color w:val="000000"/>
        </w:rPr>
        <w:t xml:space="preserve"> HT, Garcia-Alfonso P, </w:t>
      </w:r>
      <w:proofErr w:type="spellStart"/>
      <w:r>
        <w:rPr>
          <w:rFonts w:ascii="Book Antiqua" w:eastAsia="Book Antiqua" w:hAnsi="Book Antiqua" w:cs="Book Antiqua"/>
          <w:color w:val="000000"/>
        </w:rPr>
        <w:t>Elez</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Gollerkeri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Maharry</w:t>
      </w:r>
      <w:proofErr w:type="spellEnd"/>
      <w:r>
        <w:rPr>
          <w:rFonts w:ascii="Book Antiqua" w:eastAsia="Book Antiqua" w:hAnsi="Book Antiqua" w:cs="Book Antiqua"/>
          <w:color w:val="000000"/>
        </w:rPr>
        <w:t xml:space="preserve"> K, Christy-</w:t>
      </w:r>
      <w:proofErr w:type="spellStart"/>
      <w:r>
        <w:rPr>
          <w:rFonts w:ascii="Book Antiqua" w:eastAsia="Book Antiqua" w:hAnsi="Book Antiqua" w:cs="Book Antiqua"/>
          <w:color w:val="000000"/>
        </w:rPr>
        <w:t>Bittel</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Kopetz</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Encorafenib</w:t>
      </w:r>
      <w:proofErr w:type="spellEnd"/>
      <w:r>
        <w:rPr>
          <w:rFonts w:ascii="Book Antiqua" w:eastAsia="Book Antiqua" w:hAnsi="Book Antiqua" w:cs="Book Antiqua"/>
          <w:color w:val="000000"/>
        </w:rPr>
        <w:t xml:space="preserve"> Plus Cetuximab as a New Standard of Care for Previously Treated BRAF V600E-Mutant Metastatic Colorectal Cancer: Updated Survival Results and Subgroup Analyses from the BEACON Study.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2021; </w:t>
      </w:r>
      <w:r>
        <w:rPr>
          <w:rFonts w:ascii="Book Antiqua" w:eastAsia="Book Antiqua" w:hAnsi="Book Antiqua" w:cs="Book Antiqua"/>
          <w:b/>
          <w:bCs/>
          <w:color w:val="000000"/>
        </w:rPr>
        <w:t>39</w:t>
      </w:r>
      <w:r>
        <w:rPr>
          <w:rFonts w:ascii="Book Antiqua" w:eastAsia="Book Antiqua" w:hAnsi="Book Antiqua" w:cs="Book Antiqua"/>
          <w:color w:val="000000"/>
        </w:rPr>
        <w:t>: 273-284 [PMID: 33503393 DOI: 10.1200/JCO.20.02088]</w:t>
      </w:r>
    </w:p>
    <w:p w14:paraId="7BB54D08" w14:textId="77777777" w:rsidR="00A31DCB" w:rsidRDefault="00000000">
      <w:pPr>
        <w:spacing w:line="360" w:lineRule="auto"/>
        <w:jc w:val="both"/>
      </w:pPr>
      <w:r>
        <w:rPr>
          <w:rFonts w:ascii="Book Antiqua" w:eastAsia="Book Antiqua" w:hAnsi="Book Antiqua" w:cs="Book Antiqua"/>
          <w:color w:val="000000"/>
        </w:rPr>
        <w:t xml:space="preserve">65 </w:t>
      </w:r>
      <w:proofErr w:type="spellStart"/>
      <w:r>
        <w:rPr>
          <w:rFonts w:ascii="Book Antiqua" w:eastAsia="Book Antiqua" w:hAnsi="Book Antiqua" w:cs="Book Antiqua"/>
          <w:b/>
          <w:bCs/>
          <w:color w:val="000000"/>
        </w:rPr>
        <w:t>Huijberts</w:t>
      </w:r>
      <w:proofErr w:type="spellEnd"/>
      <w:r>
        <w:rPr>
          <w:rFonts w:ascii="Book Antiqua" w:eastAsia="Book Antiqua" w:hAnsi="Book Antiqua" w:cs="Book Antiqua"/>
          <w:b/>
          <w:bCs/>
          <w:color w:val="000000"/>
        </w:rPr>
        <w:t xml:space="preserve"> SC</w:t>
      </w:r>
      <w:r>
        <w:rPr>
          <w:rFonts w:ascii="Book Antiqua" w:eastAsia="Book Antiqua" w:hAnsi="Book Antiqua" w:cs="Book Antiqua"/>
          <w:color w:val="000000"/>
        </w:rPr>
        <w:t xml:space="preserve">, van </w:t>
      </w:r>
      <w:proofErr w:type="spellStart"/>
      <w:r>
        <w:rPr>
          <w:rFonts w:ascii="Book Antiqua" w:eastAsia="Book Antiqua" w:hAnsi="Book Antiqua" w:cs="Book Antiqua"/>
          <w:color w:val="000000"/>
        </w:rPr>
        <w:t>Geel</w:t>
      </w:r>
      <w:proofErr w:type="spellEnd"/>
      <w:r>
        <w:rPr>
          <w:rFonts w:ascii="Book Antiqua" w:eastAsia="Book Antiqua" w:hAnsi="Book Antiqua" w:cs="Book Antiqua"/>
          <w:color w:val="000000"/>
        </w:rPr>
        <w:t xml:space="preserve"> RM, </w:t>
      </w:r>
      <w:proofErr w:type="spellStart"/>
      <w:r>
        <w:rPr>
          <w:rFonts w:ascii="Book Antiqua" w:eastAsia="Book Antiqua" w:hAnsi="Book Antiqua" w:cs="Book Antiqua"/>
          <w:color w:val="000000"/>
        </w:rPr>
        <w:t>Bernards</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Beijnen</w:t>
      </w:r>
      <w:proofErr w:type="spellEnd"/>
      <w:r>
        <w:rPr>
          <w:rFonts w:ascii="Book Antiqua" w:eastAsia="Book Antiqua" w:hAnsi="Book Antiqua" w:cs="Book Antiqua"/>
          <w:color w:val="000000"/>
        </w:rPr>
        <w:t xml:space="preserve"> JH, </w:t>
      </w:r>
      <w:proofErr w:type="spellStart"/>
      <w:r>
        <w:rPr>
          <w:rFonts w:ascii="Book Antiqua" w:eastAsia="Book Antiqua" w:hAnsi="Book Antiqua" w:cs="Book Antiqua"/>
          <w:color w:val="000000"/>
        </w:rPr>
        <w:t>Steeghs</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Encorafenib</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binimetinib</w:t>
      </w:r>
      <w:proofErr w:type="spellEnd"/>
      <w:r>
        <w:rPr>
          <w:rFonts w:ascii="Book Antiqua" w:eastAsia="Book Antiqua" w:hAnsi="Book Antiqua" w:cs="Book Antiqua"/>
          <w:color w:val="000000"/>
        </w:rPr>
        <w:t xml:space="preserve"> and cetuximab combined therapy for patients with BRAFV600E mutant metastatic colorectal cancer. </w:t>
      </w:r>
      <w:r>
        <w:rPr>
          <w:rFonts w:ascii="Book Antiqua" w:eastAsia="Book Antiqua" w:hAnsi="Book Antiqua" w:cs="Book Antiqua"/>
          <w:i/>
          <w:iCs/>
          <w:color w:val="000000"/>
        </w:rPr>
        <w:t>Future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16</w:t>
      </w:r>
      <w:r>
        <w:rPr>
          <w:rFonts w:ascii="Book Antiqua" w:eastAsia="Book Antiqua" w:hAnsi="Book Antiqua" w:cs="Book Antiqua"/>
          <w:color w:val="000000"/>
        </w:rPr>
        <w:t>: 161-173 [PMID: 32027186 DOI: 10.2217/fon-2019-0748]</w:t>
      </w:r>
    </w:p>
    <w:p w14:paraId="75592B35" w14:textId="77777777" w:rsidR="00A31DCB" w:rsidRDefault="00000000">
      <w:pPr>
        <w:spacing w:line="360" w:lineRule="auto"/>
        <w:jc w:val="both"/>
      </w:pPr>
      <w:r>
        <w:rPr>
          <w:rFonts w:ascii="Book Antiqua" w:eastAsia="Book Antiqua" w:hAnsi="Book Antiqua" w:cs="Book Antiqua"/>
          <w:color w:val="000000"/>
        </w:rPr>
        <w:t xml:space="preserve">66 </w:t>
      </w:r>
      <w:r>
        <w:rPr>
          <w:rFonts w:ascii="Book Antiqua" w:eastAsia="Book Antiqua" w:hAnsi="Book Antiqua" w:cs="Book Antiqua"/>
          <w:b/>
          <w:bCs/>
          <w:color w:val="000000"/>
        </w:rPr>
        <w:t>Ross JS</w:t>
      </w:r>
      <w:r>
        <w:rPr>
          <w:rFonts w:ascii="Book Antiqua" w:eastAsia="Book Antiqua" w:hAnsi="Book Antiqua" w:cs="Book Antiqua"/>
          <w:color w:val="000000"/>
        </w:rPr>
        <w:t xml:space="preserve">, Fakih M, Ali SM, Elvin JA, Schrock AB, Suh J, </w:t>
      </w:r>
      <w:proofErr w:type="spellStart"/>
      <w:r>
        <w:rPr>
          <w:rFonts w:ascii="Book Antiqua" w:eastAsia="Book Antiqua" w:hAnsi="Book Antiqua" w:cs="Book Antiqua"/>
          <w:color w:val="000000"/>
        </w:rPr>
        <w:t>Vergilio</w:t>
      </w:r>
      <w:proofErr w:type="spellEnd"/>
      <w:r>
        <w:rPr>
          <w:rFonts w:ascii="Book Antiqua" w:eastAsia="Book Antiqua" w:hAnsi="Book Antiqua" w:cs="Book Antiqua"/>
          <w:color w:val="000000"/>
        </w:rPr>
        <w:t xml:space="preserve"> JA, </w:t>
      </w:r>
      <w:proofErr w:type="spellStart"/>
      <w:r>
        <w:rPr>
          <w:rFonts w:ascii="Book Antiqua" w:eastAsia="Book Antiqua" w:hAnsi="Book Antiqua" w:cs="Book Antiqua"/>
          <w:color w:val="000000"/>
        </w:rPr>
        <w:t>Ramkissoon</w:t>
      </w:r>
      <w:proofErr w:type="spellEnd"/>
      <w:r>
        <w:rPr>
          <w:rFonts w:ascii="Book Antiqua" w:eastAsia="Book Antiqua" w:hAnsi="Book Antiqua" w:cs="Book Antiqua"/>
          <w:color w:val="000000"/>
        </w:rPr>
        <w:t xml:space="preserve"> S, Severson E, Daniel S, Fabrizio D, Frampton G, Sun J, Miller VA, Stephens PJ, Gay LM. Targeting HER2 in colorectal cancer: The landscape of amplification and short variant mutations in ERBB2 and ERBB3. </w:t>
      </w:r>
      <w:r>
        <w:rPr>
          <w:rFonts w:ascii="Book Antiqua" w:eastAsia="Book Antiqua" w:hAnsi="Book Antiqua" w:cs="Book Antiqua"/>
          <w:i/>
          <w:iCs/>
          <w:color w:val="000000"/>
        </w:rPr>
        <w:t>Cancer</w:t>
      </w:r>
      <w:r>
        <w:rPr>
          <w:rFonts w:ascii="Book Antiqua" w:eastAsia="Book Antiqua" w:hAnsi="Book Antiqua" w:cs="Book Antiqua"/>
          <w:color w:val="000000"/>
        </w:rPr>
        <w:t xml:space="preserve"> 2018; </w:t>
      </w:r>
      <w:r>
        <w:rPr>
          <w:rFonts w:ascii="Book Antiqua" w:eastAsia="Book Antiqua" w:hAnsi="Book Antiqua" w:cs="Book Antiqua"/>
          <w:b/>
          <w:bCs/>
          <w:color w:val="000000"/>
        </w:rPr>
        <w:t>124</w:t>
      </w:r>
      <w:r>
        <w:rPr>
          <w:rFonts w:ascii="Book Antiqua" w:eastAsia="Book Antiqua" w:hAnsi="Book Antiqua" w:cs="Book Antiqua"/>
          <w:color w:val="000000"/>
        </w:rPr>
        <w:t>: 1358-1373 [PMID: 29338072 DOI: 10.1002/cncr.31125]</w:t>
      </w:r>
    </w:p>
    <w:p w14:paraId="78DB8178" w14:textId="77777777" w:rsidR="00A31DCB" w:rsidRDefault="00000000">
      <w:pPr>
        <w:spacing w:line="360" w:lineRule="auto"/>
        <w:jc w:val="both"/>
      </w:pPr>
      <w:r>
        <w:rPr>
          <w:rFonts w:ascii="Book Antiqua" w:eastAsia="Book Antiqua" w:hAnsi="Book Antiqua" w:cs="Book Antiqua"/>
          <w:color w:val="000000"/>
        </w:rPr>
        <w:t xml:space="preserve">67 </w:t>
      </w:r>
      <w:proofErr w:type="spellStart"/>
      <w:r>
        <w:rPr>
          <w:rFonts w:ascii="Book Antiqua" w:eastAsia="Book Antiqua" w:hAnsi="Book Antiqua" w:cs="Book Antiqua"/>
          <w:b/>
          <w:bCs/>
          <w:color w:val="000000"/>
        </w:rPr>
        <w:t>Meric</w:t>
      </w:r>
      <w:proofErr w:type="spellEnd"/>
      <w:r>
        <w:rPr>
          <w:rFonts w:ascii="Book Antiqua" w:eastAsia="Book Antiqua" w:hAnsi="Book Antiqua" w:cs="Book Antiqua"/>
          <w:b/>
          <w:bCs/>
          <w:color w:val="000000"/>
        </w:rPr>
        <w:t>-Bernstam F</w:t>
      </w:r>
      <w:r>
        <w:rPr>
          <w:rFonts w:ascii="Book Antiqua" w:eastAsia="Book Antiqua" w:hAnsi="Book Antiqua" w:cs="Book Antiqua"/>
          <w:color w:val="000000"/>
        </w:rPr>
        <w:t xml:space="preserve">, Hurwitz H, Raghav KPS, McWilliams RR, Fakih M, </w:t>
      </w:r>
      <w:proofErr w:type="spellStart"/>
      <w:r>
        <w:rPr>
          <w:rFonts w:ascii="Book Antiqua" w:eastAsia="Book Antiqua" w:hAnsi="Book Antiqua" w:cs="Book Antiqua"/>
          <w:color w:val="000000"/>
        </w:rPr>
        <w:t>VanderWalde</w:t>
      </w:r>
      <w:proofErr w:type="spellEnd"/>
      <w:r>
        <w:rPr>
          <w:rFonts w:ascii="Book Antiqua" w:eastAsia="Book Antiqua" w:hAnsi="Book Antiqua" w:cs="Book Antiqua"/>
          <w:color w:val="000000"/>
        </w:rPr>
        <w:t xml:space="preserve"> A, Swanton C, </w:t>
      </w:r>
      <w:proofErr w:type="spellStart"/>
      <w:r>
        <w:rPr>
          <w:rFonts w:ascii="Book Antiqua" w:eastAsia="Book Antiqua" w:hAnsi="Book Antiqua" w:cs="Book Antiqua"/>
          <w:color w:val="000000"/>
        </w:rPr>
        <w:t>Kurzrock</w:t>
      </w:r>
      <w:proofErr w:type="spellEnd"/>
      <w:r>
        <w:rPr>
          <w:rFonts w:ascii="Book Antiqua" w:eastAsia="Book Antiqua" w:hAnsi="Book Antiqua" w:cs="Book Antiqua"/>
          <w:color w:val="000000"/>
        </w:rPr>
        <w:t xml:space="preserve"> R, Burris H, Sweeney C, Bose R, </w:t>
      </w:r>
      <w:proofErr w:type="spellStart"/>
      <w:r>
        <w:rPr>
          <w:rFonts w:ascii="Book Antiqua" w:eastAsia="Book Antiqua" w:hAnsi="Book Antiqua" w:cs="Book Antiqua"/>
          <w:color w:val="000000"/>
        </w:rPr>
        <w:t>Spigel</w:t>
      </w:r>
      <w:proofErr w:type="spellEnd"/>
      <w:r>
        <w:rPr>
          <w:rFonts w:ascii="Book Antiqua" w:eastAsia="Book Antiqua" w:hAnsi="Book Antiqua" w:cs="Book Antiqua"/>
          <w:color w:val="000000"/>
        </w:rPr>
        <w:t xml:space="preserve"> DR, Beattie MS, </w:t>
      </w:r>
      <w:proofErr w:type="spellStart"/>
      <w:r>
        <w:rPr>
          <w:rFonts w:ascii="Book Antiqua" w:eastAsia="Book Antiqua" w:hAnsi="Book Antiqua" w:cs="Book Antiqua"/>
          <w:color w:val="000000"/>
        </w:rPr>
        <w:t>Blotner</w:t>
      </w:r>
      <w:proofErr w:type="spellEnd"/>
      <w:r>
        <w:rPr>
          <w:rFonts w:ascii="Book Antiqua" w:eastAsia="Book Antiqua" w:hAnsi="Book Antiqua" w:cs="Book Antiqua"/>
          <w:color w:val="000000"/>
        </w:rPr>
        <w:t xml:space="preserve"> S, Stone A, Schulze K, </w:t>
      </w:r>
      <w:proofErr w:type="spellStart"/>
      <w:r>
        <w:rPr>
          <w:rFonts w:ascii="Book Antiqua" w:eastAsia="Book Antiqua" w:hAnsi="Book Antiqua" w:cs="Book Antiqua"/>
          <w:color w:val="000000"/>
        </w:rPr>
        <w:t>Cuchelkar</w:t>
      </w:r>
      <w:proofErr w:type="spellEnd"/>
      <w:r>
        <w:rPr>
          <w:rFonts w:ascii="Book Antiqua" w:eastAsia="Book Antiqua" w:hAnsi="Book Antiqua" w:cs="Book Antiqua"/>
          <w:color w:val="000000"/>
        </w:rPr>
        <w:t xml:space="preserve"> V, Hainsworth J. </w:t>
      </w:r>
      <w:proofErr w:type="spellStart"/>
      <w:r>
        <w:rPr>
          <w:rFonts w:ascii="Book Antiqua" w:eastAsia="Book Antiqua" w:hAnsi="Book Antiqua" w:cs="Book Antiqua"/>
          <w:color w:val="000000"/>
        </w:rPr>
        <w:t>Pertuzumab</w:t>
      </w:r>
      <w:proofErr w:type="spellEnd"/>
      <w:r>
        <w:rPr>
          <w:rFonts w:ascii="Book Antiqua" w:eastAsia="Book Antiqua" w:hAnsi="Book Antiqua" w:cs="Book Antiqua"/>
          <w:color w:val="000000"/>
        </w:rPr>
        <w:t xml:space="preserve"> plus trastuzumab for HER2-amplified metastatic colorectal cancer (</w:t>
      </w:r>
      <w:proofErr w:type="spellStart"/>
      <w:r>
        <w:rPr>
          <w:rFonts w:ascii="Book Antiqua" w:eastAsia="Book Antiqua" w:hAnsi="Book Antiqua" w:cs="Book Antiqua"/>
          <w:color w:val="000000"/>
        </w:rPr>
        <w:t>MyPathway</w:t>
      </w:r>
      <w:proofErr w:type="spellEnd"/>
      <w:r>
        <w:rPr>
          <w:rFonts w:ascii="Book Antiqua" w:eastAsia="Book Antiqua" w:hAnsi="Book Antiqua" w:cs="Book Antiqua"/>
          <w:color w:val="000000"/>
        </w:rPr>
        <w:t xml:space="preserve">): an updated report from a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open-label, phase 2a, multiple basket study. </w:t>
      </w:r>
      <w:r>
        <w:rPr>
          <w:rFonts w:ascii="Book Antiqua" w:eastAsia="Book Antiqua" w:hAnsi="Book Antiqua" w:cs="Book Antiqua"/>
          <w:i/>
          <w:iCs/>
          <w:color w:val="000000"/>
        </w:rPr>
        <w:t>Lancet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20</w:t>
      </w:r>
      <w:r>
        <w:rPr>
          <w:rFonts w:ascii="Book Antiqua" w:eastAsia="Book Antiqua" w:hAnsi="Book Antiqua" w:cs="Book Antiqua"/>
          <w:color w:val="000000"/>
        </w:rPr>
        <w:t>: 518-530 [PMID: 30857956 DOI: 10.1016/S1470-2045(18)30904-5]</w:t>
      </w:r>
    </w:p>
    <w:p w14:paraId="1802C41E" w14:textId="77777777" w:rsidR="00A31DCB" w:rsidRDefault="00000000">
      <w:pPr>
        <w:spacing w:line="360" w:lineRule="auto"/>
        <w:jc w:val="both"/>
      </w:pPr>
      <w:r>
        <w:rPr>
          <w:rFonts w:ascii="Book Antiqua" w:eastAsia="Book Antiqua" w:hAnsi="Book Antiqua" w:cs="Book Antiqua"/>
          <w:color w:val="000000"/>
        </w:rPr>
        <w:t xml:space="preserve">68 </w:t>
      </w:r>
      <w:r>
        <w:rPr>
          <w:rFonts w:ascii="Book Antiqua" w:eastAsia="Book Antiqua" w:hAnsi="Book Antiqua" w:cs="Book Antiqua"/>
          <w:b/>
          <w:bCs/>
          <w:color w:val="000000"/>
        </w:rPr>
        <w:t>Siena S</w:t>
      </w:r>
      <w:r>
        <w:rPr>
          <w:rFonts w:ascii="Book Antiqua" w:eastAsia="Book Antiqua" w:hAnsi="Book Antiqua" w:cs="Book Antiqua"/>
          <w:color w:val="000000"/>
        </w:rPr>
        <w:t xml:space="preserve">, Di Bartolomeo M, Raghav K, </w:t>
      </w:r>
      <w:proofErr w:type="spellStart"/>
      <w:r>
        <w:rPr>
          <w:rFonts w:ascii="Book Antiqua" w:eastAsia="Book Antiqua" w:hAnsi="Book Antiqua" w:cs="Book Antiqua"/>
          <w:color w:val="000000"/>
        </w:rPr>
        <w:t>Masuishi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Loupakis</w:t>
      </w:r>
      <w:proofErr w:type="spellEnd"/>
      <w:r>
        <w:rPr>
          <w:rFonts w:ascii="Book Antiqua" w:eastAsia="Book Antiqua" w:hAnsi="Book Antiqua" w:cs="Book Antiqua"/>
          <w:color w:val="000000"/>
        </w:rPr>
        <w:t xml:space="preserve"> F, Kawakami H, Yamaguchi K, </w:t>
      </w:r>
      <w:proofErr w:type="spellStart"/>
      <w:r>
        <w:rPr>
          <w:rFonts w:ascii="Book Antiqua" w:eastAsia="Book Antiqua" w:hAnsi="Book Antiqua" w:cs="Book Antiqua"/>
          <w:color w:val="000000"/>
        </w:rPr>
        <w:t>Nishina</w:t>
      </w:r>
      <w:proofErr w:type="spellEnd"/>
      <w:r>
        <w:rPr>
          <w:rFonts w:ascii="Book Antiqua" w:eastAsia="Book Antiqua" w:hAnsi="Book Antiqua" w:cs="Book Antiqua"/>
          <w:color w:val="000000"/>
        </w:rPr>
        <w:t xml:space="preserve"> T, Fakih M, </w:t>
      </w:r>
      <w:proofErr w:type="spellStart"/>
      <w:r>
        <w:rPr>
          <w:rFonts w:ascii="Book Antiqua" w:eastAsia="Book Antiqua" w:hAnsi="Book Antiqua" w:cs="Book Antiqua"/>
          <w:color w:val="000000"/>
        </w:rPr>
        <w:t>Elez</w:t>
      </w:r>
      <w:proofErr w:type="spellEnd"/>
      <w:r>
        <w:rPr>
          <w:rFonts w:ascii="Book Antiqua" w:eastAsia="Book Antiqua" w:hAnsi="Book Antiqua" w:cs="Book Antiqua"/>
          <w:color w:val="000000"/>
        </w:rPr>
        <w:t xml:space="preserve"> E, Rodriguez J, </w:t>
      </w:r>
      <w:proofErr w:type="spellStart"/>
      <w:r>
        <w:rPr>
          <w:rFonts w:ascii="Book Antiqua" w:eastAsia="Book Antiqua" w:hAnsi="Book Antiqua" w:cs="Book Antiqua"/>
          <w:color w:val="000000"/>
        </w:rPr>
        <w:t>Ciardiello</w:t>
      </w:r>
      <w:proofErr w:type="spellEnd"/>
      <w:r>
        <w:rPr>
          <w:rFonts w:ascii="Book Antiqua" w:eastAsia="Book Antiqua" w:hAnsi="Book Antiqua" w:cs="Book Antiqua"/>
          <w:color w:val="000000"/>
        </w:rPr>
        <w:t xml:space="preserve"> F, Komatsu Y, Esaki T, </w:t>
      </w:r>
      <w:r>
        <w:rPr>
          <w:rFonts w:ascii="Book Antiqua" w:eastAsia="Book Antiqua" w:hAnsi="Book Antiqua" w:cs="Book Antiqua"/>
          <w:color w:val="000000"/>
        </w:rPr>
        <w:lastRenderedPageBreak/>
        <w:t xml:space="preserve">Chung K, </w:t>
      </w:r>
      <w:proofErr w:type="spellStart"/>
      <w:r>
        <w:rPr>
          <w:rFonts w:ascii="Book Antiqua" w:eastAsia="Book Antiqua" w:hAnsi="Book Antiqua" w:cs="Book Antiqua"/>
          <w:color w:val="000000"/>
        </w:rPr>
        <w:t>Wainberg</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Sartore</w:t>
      </w:r>
      <w:proofErr w:type="spellEnd"/>
      <w:r>
        <w:rPr>
          <w:rFonts w:ascii="Book Antiqua" w:eastAsia="Book Antiqua" w:hAnsi="Book Antiqua" w:cs="Book Antiqua"/>
          <w:color w:val="000000"/>
        </w:rPr>
        <w:t xml:space="preserve">-Bianchi A, Saxena K, Yamamoto E, Bako E, Okuda Y, Shahidi J, </w:t>
      </w:r>
      <w:proofErr w:type="spellStart"/>
      <w:r>
        <w:rPr>
          <w:rFonts w:ascii="Book Antiqua" w:eastAsia="Book Antiqua" w:hAnsi="Book Antiqua" w:cs="Book Antiqua"/>
          <w:color w:val="000000"/>
        </w:rPr>
        <w:t>Grothey</w:t>
      </w:r>
      <w:proofErr w:type="spellEnd"/>
      <w:r>
        <w:rPr>
          <w:rFonts w:ascii="Book Antiqua" w:eastAsia="Book Antiqua" w:hAnsi="Book Antiqua" w:cs="Book Antiqua"/>
          <w:color w:val="000000"/>
        </w:rPr>
        <w:t xml:space="preserve"> A, Yoshino T; DESTINY-CRC01 investigators. Trastuzumab </w:t>
      </w:r>
      <w:proofErr w:type="spellStart"/>
      <w:r>
        <w:rPr>
          <w:rFonts w:ascii="Book Antiqua" w:eastAsia="Book Antiqua" w:hAnsi="Book Antiqua" w:cs="Book Antiqua"/>
          <w:color w:val="000000"/>
        </w:rPr>
        <w:t>deruxtecan</w:t>
      </w:r>
      <w:proofErr w:type="spellEnd"/>
      <w:r>
        <w:rPr>
          <w:rFonts w:ascii="Book Antiqua" w:eastAsia="Book Antiqua" w:hAnsi="Book Antiqua" w:cs="Book Antiqua"/>
          <w:color w:val="000000"/>
        </w:rPr>
        <w:t xml:space="preserve"> (DS-8201) in patients with HER2-expressing metastatic colorectal cancer (DESTINY-CRC01): a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open-label, phase 2 trial. </w:t>
      </w:r>
      <w:r>
        <w:rPr>
          <w:rFonts w:ascii="Book Antiqua" w:eastAsia="Book Antiqua" w:hAnsi="Book Antiqua" w:cs="Book Antiqua"/>
          <w:i/>
          <w:iCs/>
          <w:color w:val="000000"/>
        </w:rPr>
        <w:t>Lancet Oncol</w:t>
      </w:r>
      <w:r>
        <w:rPr>
          <w:rFonts w:ascii="Book Antiqua" w:eastAsia="Book Antiqua" w:hAnsi="Book Antiqua" w:cs="Book Antiqua"/>
          <w:color w:val="000000"/>
        </w:rPr>
        <w:t xml:space="preserve"> 2021; </w:t>
      </w:r>
      <w:r>
        <w:rPr>
          <w:rFonts w:ascii="Book Antiqua" w:eastAsia="Book Antiqua" w:hAnsi="Book Antiqua" w:cs="Book Antiqua"/>
          <w:b/>
          <w:bCs/>
          <w:color w:val="000000"/>
        </w:rPr>
        <w:t>22</w:t>
      </w:r>
      <w:r>
        <w:rPr>
          <w:rFonts w:ascii="Book Antiqua" w:eastAsia="Book Antiqua" w:hAnsi="Book Antiqua" w:cs="Book Antiqua"/>
          <w:color w:val="000000"/>
        </w:rPr>
        <w:t>: 779-789 [PMID: 33961795 DOI: 10.1016/S1470-2045(21)00086-3]</w:t>
      </w:r>
    </w:p>
    <w:p w14:paraId="3D2A7F8D" w14:textId="77777777" w:rsidR="00A31DCB" w:rsidRDefault="00000000">
      <w:pPr>
        <w:spacing w:line="360" w:lineRule="auto"/>
        <w:jc w:val="both"/>
      </w:pPr>
      <w:r>
        <w:rPr>
          <w:rFonts w:ascii="Book Antiqua" w:eastAsia="Book Antiqua" w:hAnsi="Book Antiqua" w:cs="Book Antiqua"/>
          <w:color w:val="000000"/>
        </w:rPr>
        <w:t xml:space="preserve">69 </w:t>
      </w:r>
      <w:r>
        <w:rPr>
          <w:rFonts w:ascii="Book Antiqua" w:eastAsia="Book Antiqua" w:hAnsi="Book Antiqua" w:cs="Book Antiqua"/>
          <w:b/>
          <w:bCs/>
          <w:color w:val="000000"/>
        </w:rPr>
        <w:t>Lange AM</w:t>
      </w:r>
      <w:r>
        <w:rPr>
          <w:rFonts w:ascii="Book Antiqua" w:eastAsia="Book Antiqua" w:hAnsi="Book Antiqua" w:cs="Book Antiqua"/>
          <w:color w:val="000000"/>
        </w:rPr>
        <w:t xml:space="preserve">, Lo HW. Inhibiting TRK Proteins in Clinical Cancer Therapy. </w:t>
      </w:r>
      <w:r>
        <w:rPr>
          <w:rFonts w:ascii="Book Antiqua" w:eastAsia="Book Antiqua" w:hAnsi="Book Antiqua" w:cs="Book Antiqua"/>
          <w:i/>
          <w:iCs/>
          <w:color w:val="000000"/>
        </w:rPr>
        <w:t>Cancers (Basel)</w:t>
      </w:r>
      <w:r>
        <w:rPr>
          <w:rFonts w:ascii="Book Antiqua" w:eastAsia="Book Antiqua" w:hAnsi="Book Antiqua" w:cs="Book Antiqua"/>
          <w:color w:val="000000"/>
        </w:rPr>
        <w:t xml:space="preserve"> 2018; </w:t>
      </w:r>
      <w:r>
        <w:rPr>
          <w:rFonts w:ascii="Book Antiqua" w:eastAsia="Book Antiqua" w:hAnsi="Book Antiqua" w:cs="Book Antiqua"/>
          <w:b/>
          <w:bCs/>
          <w:color w:val="000000"/>
        </w:rPr>
        <w:t>10</w:t>
      </w:r>
      <w:r>
        <w:rPr>
          <w:rFonts w:ascii="Book Antiqua" w:eastAsia="Book Antiqua" w:hAnsi="Book Antiqua" w:cs="Book Antiqua"/>
          <w:color w:val="000000"/>
        </w:rPr>
        <w:t xml:space="preserve"> [PMID: 29617282 DOI: 10.3390/cancers10040105]</w:t>
      </w:r>
    </w:p>
    <w:p w14:paraId="226C1718" w14:textId="77777777" w:rsidR="00A31DCB" w:rsidRDefault="00000000">
      <w:pPr>
        <w:spacing w:line="360" w:lineRule="auto"/>
        <w:jc w:val="both"/>
      </w:pPr>
      <w:r>
        <w:rPr>
          <w:rFonts w:ascii="Book Antiqua" w:eastAsia="Book Antiqua" w:hAnsi="Book Antiqua" w:cs="Book Antiqua"/>
          <w:color w:val="000000"/>
        </w:rPr>
        <w:t xml:space="preserve">70 </w:t>
      </w:r>
      <w:proofErr w:type="spellStart"/>
      <w:r>
        <w:rPr>
          <w:rFonts w:ascii="Book Antiqua" w:eastAsia="Book Antiqua" w:hAnsi="Book Antiqua" w:cs="Book Antiqua"/>
          <w:b/>
          <w:bCs/>
          <w:color w:val="000000"/>
        </w:rPr>
        <w:t>Doebele</w:t>
      </w:r>
      <w:proofErr w:type="spellEnd"/>
      <w:r>
        <w:rPr>
          <w:rFonts w:ascii="Book Antiqua" w:eastAsia="Book Antiqua" w:hAnsi="Book Antiqua" w:cs="Book Antiqua"/>
          <w:b/>
          <w:bCs/>
          <w:color w:val="000000"/>
        </w:rPr>
        <w:t xml:space="preserve"> RC</w:t>
      </w:r>
      <w:r>
        <w:rPr>
          <w:rFonts w:ascii="Book Antiqua" w:eastAsia="Book Antiqua" w:hAnsi="Book Antiqua" w:cs="Book Antiqua"/>
          <w:color w:val="000000"/>
        </w:rPr>
        <w:t xml:space="preserve">, Drilon A, Paz-Ares L, Siena S, Shaw AT, </w:t>
      </w:r>
      <w:proofErr w:type="spellStart"/>
      <w:r>
        <w:rPr>
          <w:rFonts w:ascii="Book Antiqua" w:eastAsia="Book Antiqua" w:hAnsi="Book Antiqua" w:cs="Book Antiqua"/>
          <w:color w:val="000000"/>
        </w:rPr>
        <w:t>Farago</w:t>
      </w:r>
      <w:proofErr w:type="spellEnd"/>
      <w:r>
        <w:rPr>
          <w:rFonts w:ascii="Book Antiqua" w:eastAsia="Book Antiqua" w:hAnsi="Book Antiqua" w:cs="Book Antiqua"/>
          <w:color w:val="000000"/>
        </w:rPr>
        <w:t xml:space="preserve"> AF, Blakely CM, </w:t>
      </w:r>
      <w:proofErr w:type="spellStart"/>
      <w:r>
        <w:rPr>
          <w:rFonts w:ascii="Book Antiqua" w:eastAsia="Book Antiqua" w:hAnsi="Book Antiqua" w:cs="Book Antiqua"/>
          <w:color w:val="000000"/>
        </w:rPr>
        <w:t>Seto</w:t>
      </w:r>
      <w:proofErr w:type="spellEnd"/>
      <w:r>
        <w:rPr>
          <w:rFonts w:ascii="Book Antiqua" w:eastAsia="Book Antiqua" w:hAnsi="Book Antiqua" w:cs="Book Antiqua"/>
          <w:color w:val="000000"/>
        </w:rPr>
        <w:t xml:space="preserve"> T, Cho BC, Tosi D, </w:t>
      </w:r>
      <w:proofErr w:type="spellStart"/>
      <w:r>
        <w:rPr>
          <w:rFonts w:ascii="Book Antiqua" w:eastAsia="Book Antiqua" w:hAnsi="Book Antiqua" w:cs="Book Antiqua"/>
          <w:color w:val="000000"/>
        </w:rPr>
        <w:t>Besse</w:t>
      </w:r>
      <w:proofErr w:type="spellEnd"/>
      <w:r>
        <w:rPr>
          <w:rFonts w:ascii="Book Antiqua" w:eastAsia="Book Antiqua" w:hAnsi="Book Antiqua" w:cs="Book Antiqua"/>
          <w:color w:val="000000"/>
        </w:rPr>
        <w:t xml:space="preserve"> B, Chawla SP, </w:t>
      </w:r>
      <w:proofErr w:type="spellStart"/>
      <w:r>
        <w:rPr>
          <w:rFonts w:ascii="Book Antiqua" w:eastAsia="Book Antiqua" w:hAnsi="Book Antiqua" w:cs="Book Antiqua"/>
          <w:color w:val="000000"/>
        </w:rPr>
        <w:t>Bazhenova</w:t>
      </w:r>
      <w:proofErr w:type="spellEnd"/>
      <w:r>
        <w:rPr>
          <w:rFonts w:ascii="Book Antiqua" w:eastAsia="Book Antiqua" w:hAnsi="Book Antiqua" w:cs="Book Antiqua"/>
          <w:color w:val="000000"/>
        </w:rPr>
        <w:t xml:space="preserve"> L, Krauss JC, Chae YK, </w:t>
      </w:r>
      <w:proofErr w:type="spellStart"/>
      <w:r>
        <w:rPr>
          <w:rFonts w:ascii="Book Antiqua" w:eastAsia="Book Antiqua" w:hAnsi="Book Antiqua" w:cs="Book Antiqua"/>
          <w:color w:val="000000"/>
        </w:rPr>
        <w:t>Barve</w:t>
      </w:r>
      <w:proofErr w:type="spellEnd"/>
      <w:r>
        <w:rPr>
          <w:rFonts w:ascii="Book Antiqua" w:eastAsia="Book Antiqua" w:hAnsi="Book Antiqua" w:cs="Book Antiqua"/>
          <w:color w:val="000000"/>
        </w:rPr>
        <w:t xml:space="preserve"> M, Garrido-Laguna I, Liu SV, Conkling P, John T, Fakih M, </w:t>
      </w:r>
      <w:proofErr w:type="spellStart"/>
      <w:r>
        <w:rPr>
          <w:rFonts w:ascii="Book Antiqua" w:eastAsia="Book Antiqua" w:hAnsi="Book Antiqua" w:cs="Book Antiqua"/>
          <w:color w:val="000000"/>
        </w:rPr>
        <w:t>Sigal</w:t>
      </w:r>
      <w:proofErr w:type="spellEnd"/>
      <w:r>
        <w:rPr>
          <w:rFonts w:ascii="Book Antiqua" w:eastAsia="Book Antiqua" w:hAnsi="Book Antiqua" w:cs="Book Antiqua"/>
          <w:color w:val="000000"/>
        </w:rPr>
        <w:t xml:space="preserve"> D, Loong HH, </w:t>
      </w:r>
      <w:proofErr w:type="spellStart"/>
      <w:r>
        <w:rPr>
          <w:rFonts w:ascii="Book Antiqua" w:eastAsia="Book Antiqua" w:hAnsi="Book Antiqua" w:cs="Book Antiqua"/>
          <w:color w:val="000000"/>
        </w:rPr>
        <w:t>Buchschacher</w:t>
      </w:r>
      <w:proofErr w:type="spellEnd"/>
      <w:r>
        <w:rPr>
          <w:rFonts w:ascii="Book Antiqua" w:eastAsia="Book Antiqua" w:hAnsi="Book Antiqua" w:cs="Book Antiqua"/>
          <w:color w:val="000000"/>
        </w:rPr>
        <w:t xml:space="preserve"> GL Jr, Garrido P, </w:t>
      </w:r>
      <w:proofErr w:type="spellStart"/>
      <w:r>
        <w:rPr>
          <w:rFonts w:ascii="Book Antiqua" w:eastAsia="Book Antiqua" w:hAnsi="Book Antiqua" w:cs="Book Antiqua"/>
          <w:color w:val="000000"/>
        </w:rPr>
        <w:t>Nieva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Steuer</w:t>
      </w:r>
      <w:proofErr w:type="spellEnd"/>
      <w:r>
        <w:rPr>
          <w:rFonts w:ascii="Book Antiqua" w:eastAsia="Book Antiqua" w:hAnsi="Book Antiqua" w:cs="Book Antiqua"/>
          <w:color w:val="000000"/>
        </w:rPr>
        <w:t xml:space="preserve"> C, Overbeck TR, Bowles DW, Fox E, Riehl T, Chow-</w:t>
      </w:r>
      <w:proofErr w:type="spellStart"/>
      <w:r>
        <w:rPr>
          <w:rFonts w:ascii="Book Antiqua" w:eastAsia="Book Antiqua" w:hAnsi="Book Antiqua" w:cs="Book Antiqua"/>
          <w:color w:val="000000"/>
        </w:rPr>
        <w:t>Maneval</w:t>
      </w:r>
      <w:proofErr w:type="spellEnd"/>
      <w:r>
        <w:rPr>
          <w:rFonts w:ascii="Book Antiqua" w:eastAsia="Book Antiqua" w:hAnsi="Book Antiqua" w:cs="Book Antiqua"/>
          <w:color w:val="000000"/>
        </w:rPr>
        <w:t xml:space="preserve"> E, Simmons B, Cui N, Johnson A, Eng S, Wilson TR, Demetri GD; trial investigators. </w:t>
      </w:r>
      <w:proofErr w:type="spellStart"/>
      <w:r>
        <w:rPr>
          <w:rFonts w:ascii="Book Antiqua" w:eastAsia="Book Antiqua" w:hAnsi="Book Antiqua" w:cs="Book Antiqua"/>
          <w:color w:val="000000"/>
        </w:rPr>
        <w:t>Entrectinib</w:t>
      </w:r>
      <w:proofErr w:type="spellEnd"/>
      <w:r>
        <w:rPr>
          <w:rFonts w:ascii="Book Antiqua" w:eastAsia="Book Antiqua" w:hAnsi="Book Antiqua" w:cs="Book Antiqua"/>
          <w:color w:val="000000"/>
        </w:rPr>
        <w:t xml:space="preserve"> in patients with advanced or metastatic NTRK fusion-positive solid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integrated analysis of three phase 1-2 trials. </w:t>
      </w:r>
      <w:r>
        <w:rPr>
          <w:rFonts w:ascii="Book Antiqua" w:eastAsia="Book Antiqua" w:hAnsi="Book Antiqua" w:cs="Book Antiqua"/>
          <w:i/>
          <w:iCs/>
          <w:color w:val="000000"/>
        </w:rPr>
        <w:t>Lancet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21</w:t>
      </w:r>
      <w:r>
        <w:rPr>
          <w:rFonts w:ascii="Book Antiqua" w:eastAsia="Book Antiqua" w:hAnsi="Book Antiqua" w:cs="Book Antiqua"/>
          <w:color w:val="000000"/>
        </w:rPr>
        <w:t>: 271-282 [PMID: 31838007 DOI: 10.1016/S1470-2045(19)30691-6]</w:t>
      </w:r>
    </w:p>
    <w:p w14:paraId="27BEC983" w14:textId="77777777" w:rsidR="00A31DCB" w:rsidRDefault="00000000">
      <w:pPr>
        <w:spacing w:line="360" w:lineRule="auto"/>
        <w:jc w:val="both"/>
      </w:pPr>
      <w:r>
        <w:rPr>
          <w:rFonts w:ascii="Book Antiqua" w:eastAsia="Book Antiqua" w:hAnsi="Book Antiqua" w:cs="Book Antiqua"/>
          <w:color w:val="000000"/>
        </w:rPr>
        <w:t xml:space="preserve">71 </w:t>
      </w:r>
      <w:r>
        <w:rPr>
          <w:rFonts w:ascii="Book Antiqua" w:eastAsia="Book Antiqua" w:hAnsi="Book Antiqua" w:cs="Book Antiqua"/>
          <w:b/>
          <w:bCs/>
          <w:color w:val="000000"/>
        </w:rPr>
        <w:t>Mayer RJ</w:t>
      </w:r>
      <w:r>
        <w:rPr>
          <w:rFonts w:ascii="Book Antiqua" w:eastAsia="Book Antiqua" w:hAnsi="Book Antiqua" w:cs="Book Antiqua"/>
          <w:color w:val="000000"/>
        </w:rPr>
        <w:t xml:space="preserve">, Van </w:t>
      </w:r>
      <w:proofErr w:type="spellStart"/>
      <w:r>
        <w:rPr>
          <w:rFonts w:ascii="Book Antiqua" w:eastAsia="Book Antiqua" w:hAnsi="Book Antiqua" w:cs="Book Antiqua"/>
          <w:color w:val="000000"/>
        </w:rPr>
        <w:t>Cutsem</w:t>
      </w:r>
      <w:proofErr w:type="spellEnd"/>
      <w:r>
        <w:rPr>
          <w:rFonts w:ascii="Book Antiqua" w:eastAsia="Book Antiqua" w:hAnsi="Book Antiqua" w:cs="Book Antiqua"/>
          <w:color w:val="000000"/>
        </w:rPr>
        <w:t xml:space="preserve"> E, Falcone A, Yoshino T, Garcia-</w:t>
      </w:r>
      <w:proofErr w:type="spellStart"/>
      <w:r>
        <w:rPr>
          <w:rFonts w:ascii="Book Antiqua" w:eastAsia="Book Antiqua" w:hAnsi="Book Antiqua" w:cs="Book Antiqua"/>
          <w:color w:val="000000"/>
        </w:rPr>
        <w:t>Carbonero</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Mizunuma</w:t>
      </w:r>
      <w:proofErr w:type="spellEnd"/>
      <w:r>
        <w:rPr>
          <w:rFonts w:ascii="Book Antiqua" w:eastAsia="Book Antiqua" w:hAnsi="Book Antiqua" w:cs="Book Antiqua"/>
          <w:color w:val="000000"/>
        </w:rPr>
        <w:t xml:space="preserve"> N, Yamazaki K, Shimada Y, </w:t>
      </w:r>
      <w:proofErr w:type="spellStart"/>
      <w:r>
        <w:rPr>
          <w:rFonts w:ascii="Book Antiqua" w:eastAsia="Book Antiqua" w:hAnsi="Book Antiqua" w:cs="Book Antiqua"/>
          <w:color w:val="000000"/>
        </w:rPr>
        <w:t>Tabernero</w:t>
      </w:r>
      <w:proofErr w:type="spellEnd"/>
      <w:r>
        <w:rPr>
          <w:rFonts w:ascii="Book Antiqua" w:eastAsia="Book Antiqua" w:hAnsi="Book Antiqua" w:cs="Book Antiqua"/>
          <w:color w:val="000000"/>
        </w:rPr>
        <w:t xml:space="preserve"> J, Komatsu Y, </w:t>
      </w:r>
      <w:proofErr w:type="spellStart"/>
      <w:r>
        <w:rPr>
          <w:rFonts w:ascii="Book Antiqua" w:eastAsia="Book Antiqua" w:hAnsi="Book Antiqua" w:cs="Book Antiqua"/>
          <w:color w:val="000000"/>
        </w:rPr>
        <w:t>Sobrero</w:t>
      </w:r>
      <w:proofErr w:type="spellEnd"/>
      <w:r>
        <w:rPr>
          <w:rFonts w:ascii="Book Antiqua" w:eastAsia="Book Antiqua" w:hAnsi="Book Antiqua" w:cs="Book Antiqua"/>
          <w:color w:val="000000"/>
        </w:rPr>
        <w:t xml:space="preserve"> A, Boucher E, </w:t>
      </w:r>
      <w:proofErr w:type="spellStart"/>
      <w:r>
        <w:rPr>
          <w:rFonts w:ascii="Book Antiqua" w:eastAsia="Book Antiqua" w:hAnsi="Book Antiqua" w:cs="Book Antiqua"/>
          <w:color w:val="000000"/>
        </w:rPr>
        <w:t>Peeters</w:t>
      </w:r>
      <w:proofErr w:type="spellEnd"/>
      <w:r>
        <w:rPr>
          <w:rFonts w:ascii="Book Antiqua" w:eastAsia="Book Antiqua" w:hAnsi="Book Antiqua" w:cs="Book Antiqua"/>
          <w:color w:val="000000"/>
        </w:rPr>
        <w:t xml:space="preserve"> M, Tran B, Lenz HJ, </w:t>
      </w:r>
      <w:proofErr w:type="spellStart"/>
      <w:r>
        <w:rPr>
          <w:rFonts w:ascii="Book Antiqua" w:eastAsia="Book Antiqua" w:hAnsi="Book Antiqua" w:cs="Book Antiqua"/>
          <w:color w:val="000000"/>
        </w:rPr>
        <w:t>Zaniboni</w:t>
      </w:r>
      <w:proofErr w:type="spellEnd"/>
      <w:r>
        <w:rPr>
          <w:rFonts w:ascii="Book Antiqua" w:eastAsia="Book Antiqua" w:hAnsi="Book Antiqua" w:cs="Book Antiqua"/>
          <w:color w:val="000000"/>
        </w:rPr>
        <w:t xml:space="preserve"> A, Hochster H, Cleary JM, </w:t>
      </w:r>
      <w:proofErr w:type="spellStart"/>
      <w:r>
        <w:rPr>
          <w:rFonts w:ascii="Book Antiqua" w:eastAsia="Book Antiqua" w:hAnsi="Book Antiqua" w:cs="Book Antiqua"/>
          <w:color w:val="000000"/>
        </w:rPr>
        <w:t>Prenen</w:t>
      </w:r>
      <w:proofErr w:type="spellEnd"/>
      <w:r>
        <w:rPr>
          <w:rFonts w:ascii="Book Antiqua" w:eastAsia="Book Antiqua" w:hAnsi="Book Antiqua" w:cs="Book Antiqua"/>
          <w:color w:val="000000"/>
        </w:rPr>
        <w:t xml:space="preserve"> H, Benedetti F, Mizuguchi H, Makris L, Ito M, </w:t>
      </w:r>
      <w:proofErr w:type="spellStart"/>
      <w:r>
        <w:rPr>
          <w:rFonts w:ascii="Book Antiqua" w:eastAsia="Book Antiqua" w:hAnsi="Book Antiqua" w:cs="Book Antiqua"/>
          <w:color w:val="000000"/>
        </w:rPr>
        <w:t>Ohtsu</w:t>
      </w:r>
      <w:proofErr w:type="spellEnd"/>
      <w:r>
        <w:rPr>
          <w:rFonts w:ascii="Book Antiqua" w:eastAsia="Book Antiqua" w:hAnsi="Book Antiqua" w:cs="Book Antiqua"/>
          <w:color w:val="000000"/>
        </w:rPr>
        <w:t xml:space="preserve"> A; RECOURSE Study Group. Randomized trial of TAS-102 for refractory metastatic colorectal cancer.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372</w:t>
      </w:r>
      <w:r>
        <w:rPr>
          <w:rFonts w:ascii="Book Antiqua" w:eastAsia="Book Antiqua" w:hAnsi="Book Antiqua" w:cs="Book Antiqua"/>
          <w:color w:val="000000"/>
        </w:rPr>
        <w:t>: 1909-1919 [PMID: 25970050 DOI: 10.1056/NEJMoa1414325]</w:t>
      </w:r>
    </w:p>
    <w:p w14:paraId="5D457F9A" w14:textId="77777777" w:rsidR="00A31DCB" w:rsidRDefault="00000000">
      <w:pPr>
        <w:spacing w:line="360" w:lineRule="auto"/>
        <w:jc w:val="both"/>
      </w:pPr>
      <w:r>
        <w:rPr>
          <w:rFonts w:ascii="Book Antiqua" w:eastAsia="Book Antiqua" w:hAnsi="Book Antiqua" w:cs="Book Antiqua"/>
          <w:color w:val="000000"/>
        </w:rPr>
        <w:t xml:space="preserve">72 </w:t>
      </w:r>
      <w:r>
        <w:rPr>
          <w:rFonts w:ascii="Book Antiqua" w:eastAsia="Book Antiqua" w:hAnsi="Book Antiqua" w:cs="Book Antiqua"/>
          <w:b/>
          <w:bCs/>
          <w:color w:val="000000"/>
        </w:rPr>
        <w:t>Yang Y</w:t>
      </w:r>
      <w:r>
        <w:rPr>
          <w:rFonts w:ascii="Book Antiqua" w:eastAsia="Book Antiqua" w:hAnsi="Book Antiqua" w:cs="Book Antiqua"/>
          <w:color w:val="000000"/>
        </w:rPr>
        <w:t xml:space="preserve">. Cancer immunotherapy: harnessing the immune system to battle cancer. </w:t>
      </w:r>
      <w:r>
        <w:rPr>
          <w:rFonts w:ascii="Book Antiqua" w:eastAsia="Book Antiqua" w:hAnsi="Book Antiqua" w:cs="Book Antiqua"/>
          <w:i/>
          <w:iCs/>
          <w:color w:val="000000"/>
        </w:rPr>
        <w:t>J Clin Invest</w:t>
      </w:r>
      <w:r>
        <w:rPr>
          <w:rFonts w:ascii="Book Antiqua" w:eastAsia="Book Antiqua" w:hAnsi="Book Antiqua" w:cs="Book Antiqua"/>
          <w:color w:val="000000"/>
        </w:rPr>
        <w:t xml:space="preserve"> 2015; </w:t>
      </w:r>
      <w:r>
        <w:rPr>
          <w:rFonts w:ascii="Book Antiqua" w:eastAsia="Book Antiqua" w:hAnsi="Book Antiqua" w:cs="Book Antiqua"/>
          <w:b/>
          <w:bCs/>
          <w:color w:val="000000"/>
        </w:rPr>
        <w:t>125</w:t>
      </w:r>
      <w:r>
        <w:rPr>
          <w:rFonts w:ascii="Book Antiqua" w:eastAsia="Book Antiqua" w:hAnsi="Book Antiqua" w:cs="Book Antiqua"/>
          <w:color w:val="000000"/>
        </w:rPr>
        <w:t>: 3335-3337 [PMID: 26325031 DOI: 10.1172/JCI83871]</w:t>
      </w:r>
    </w:p>
    <w:p w14:paraId="4E3D2F0E" w14:textId="77777777" w:rsidR="00A31DCB" w:rsidRDefault="00000000">
      <w:pPr>
        <w:spacing w:line="360" w:lineRule="auto"/>
        <w:jc w:val="both"/>
      </w:pPr>
      <w:r>
        <w:rPr>
          <w:rFonts w:ascii="Book Antiqua" w:eastAsia="Book Antiqua" w:hAnsi="Book Antiqua" w:cs="Book Antiqua"/>
          <w:color w:val="000000"/>
        </w:rPr>
        <w:t xml:space="preserve">73 </w:t>
      </w:r>
      <w:r>
        <w:rPr>
          <w:rFonts w:ascii="Book Antiqua" w:eastAsia="Book Antiqua" w:hAnsi="Book Antiqua" w:cs="Book Antiqua"/>
          <w:b/>
          <w:bCs/>
          <w:color w:val="000000"/>
        </w:rPr>
        <w:t>Fan A</w:t>
      </w:r>
      <w:r>
        <w:rPr>
          <w:rFonts w:ascii="Book Antiqua" w:eastAsia="Book Antiqua" w:hAnsi="Book Antiqua" w:cs="Book Antiqua"/>
          <w:color w:val="000000"/>
        </w:rPr>
        <w:t xml:space="preserve">, Wang B, Wang X, </w:t>
      </w:r>
      <w:proofErr w:type="spellStart"/>
      <w:r>
        <w:rPr>
          <w:rFonts w:ascii="Book Antiqua" w:eastAsia="Book Antiqua" w:hAnsi="Book Antiqua" w:cs="Book Antiqua"/>
          <w:color w:val="000000"/>
        </w:rPr>
        <w:t>Nie</w:t>
      </w:r>
      <w:proofErr w:type="spellEnd"/>
      <w:r>
        <w:rPr>
          <w:rFonts w:ascii="Book Antiqua" w:eastAsia="Book Antiqua" w:hAnsi="Book Antiqua" w:cs="Book Antiqua"/>
          <w:color w:val="000000"/>
        </w:rPr>
        <w:t xml:space="preserve"> Y, Fan D, Zhao X, Lu Y. Immunotherapy in colorectal cancer: current achievements and future perspective. </w:t>
      </w:r>
      <w:r>
        <w:rPr>
          <w:rFonts w:ascii="Book Antiqua" w:eastAsia="Book Antiqua" w:hAnsi="Book Antiqua" w:cs="Book Antiqua"/>
          <w:i/>
          <w:iCs/>
          <w:color w:val="000000"/>
        </w:rPr>
        <w:t>Int J Biol Sci</w:t>
      </w:r>
      <w:r>
        <w:rPr>
          <w:rFonts w:ascii="Book Antiqua" w:eastAsia="Book Antiqua" w:hAnsi="Book Antiqua" w:cs="Book Antiqua"/>
          <w:color w:val="000000"/>
        </w:rPr>
        <w:t xml:space="preserve"> 2021; </w:t>
      </w:r>
      <w:r>
        <w:rPr>
          <w:rFonts w:ascii="Book Antiqua" w:eastAsia="Book Antiqua" w:hAnsi="Book Antiqua" w:cs="Book Antiqua"/>
          <w:b/>
          <w:bCs/>
          <w:color w:val="000000"/>
        </w:rPr>
        <w:t>17</w:t>
      </w:r>
      <w:r>
        <w:rPr>
          <w:rFonts w:ascii="Book Antiqua" w:eastAsia="Book Antiqua" w:hAnsi="Book Antiqua" w:cs="Book Antiqua"/>
          <w:color w:val="000000"/>
        </w:rPr>
        <w:t>: 3837-3849 [PMID: 34671202 DOI: 10.7150/ijbs.64077]</w:t>
      </w:r>
    </w:p>
    <w:p w14:paraId="1C430C72" w14:textId="77777777" w:rsidR="00A31DCB" w:rsidRDefault="00000000">
      <w:pPr>
        <w:spacing w:line="360" w:lineRule="auto"/>
        <w:jc w:val="both"/>
      </w:pPr>
      <w:r>
        <w:rPr>
          <w:rFonts w:ascii="Book Antiqua" w:eastAsia="Book Antiqua" w:hAnsi="Book Antiqua" w:cs="Book Antiqua"/>
          <w:color w:val="000000"/>
        </w:rPr>
        <w:t xml:space="preserve">74 </w:t>
      </w:r>
      <w:r>
        <w:rPr>
          <w:rFonts w:ascii="Book Antiqua" w:eastAsia="Book Antiqua" w:hAnsi="Book Antiqua" w:cs="Book Antiqua"/>
          <w:b/>
          <w:bCs/>
          <w:color w:val="000000"/>
        </w:rPr>
        <w:t>Gajewski TF</w:t>
      </w:r>
      <w:r>
        <w:rPr>
          <w:rFonts w:ascii="Book Antiqua" w:eastAsia="Book Antiqua" w:hAnsi="Book Antiqua" w:cs="Book Antiqua"/>
          <w:color w:val="000000"/>
        </w:rPr>
        <w:t xml:space="preserve">, Schreiber H, Fu YX. Innate and adaptive immune cells in the tumor microenvironment. </w:t>
      </w:r>
      <w:r>
        <w:rPr>
          <w:rFonts w:ascii="Book Antiqua" w:eastAsia="Book Antiqua" w:hAnsi="Book Antiqua" w:cs="Book Antiqua"/>
          <w:i/>
          <w:iCs/>
          <w:color w:val="000000"/>
        </w:rPr>
        <w:t>Nat Immunol</w:t>
      </w:r>
      <w:r>
        <w:rPr>
          <w:rFonts w:ascii="Book Antiqua" w:eastAsia="Book Antiqua" w:hAnsi="Book Antiqua" w:cs="Book Antiqua"/>
          <w:color w:val="000000"/>
        </w:rPr>
        <w:t xml:space="preserve"> 2013; </w:t>
      </w:r>
      <w:r>
        <w:rPr>
          <w:rFonts w:ascii="Book Antiqua" w:eastAsia="Book Antiqua" w:hAnsi="Book Antiqua" w:cs="Book Antiqua"/>
          <w:b/>
          <w:bCs/>
          <w:color w:val="000000"/>
        </w:rPr>
        <w:t>14</w:t>
      </w:r>
      <w:r>
        <w:rPr>
          <w:rFonts w:ascii="Book Antiqua" w:eastAsia="Book Antiqua" w:hAnsi="Book Antiqua" w:cs="Book Antiqua"/>
          <w:color w:val="000000"/>
        </w:rPr>
        <w:t>: 1014-1022 [PMID: 24048123 DOI: 10.1038/ni.2703]</w:t>
      </w:r>
    </w:p>
    <w:p w14:paraId="53413B84" w14:textId="77777777" w:rsidR="00A31DCB" w:rsidRDefault="00000000">
      <w:pPr>
        <w:spacing w:line="360" w:lineRule="auto"/>
        <w:jc w:val="both"/>
      </w:pPr>
      <w:r>
        <w:rPr>
          <w:rFonts w:ascii="Book Antiqua" w:eastAsia="Book Antiqua" w:hAnsi="Book Antiqua" w:cs="Book Antiqua"/>
          <w:color w:val="000000"/>
        </w:rPr>
        <w:lastRenderedPageBreak/>
        <w:t xml:space="preserve">75 </w:t>
      </w:r>
      <w:r>
        <w:rPr>
          <w:rFonts w:ascii="Book Antiqua" w:eastAsia="Book Antiqua" w:hAnsi="Book Antiqua" w:cs="Book Antiqua"/>
          <w:b/>
          <w:bCs/>
          <w:color w:val="000000"/>
        </w:rPr>
        <w:t>Llosa NJ</w:t>
      </w:r>
      <w:r>
        <w:rPr>
          <w:rFonts w:ascii="Book Antiqua" w:eastAsia="Book Antiqua" w:hAnsi="Book Antiqua" w:cs="Book Antiqua"/>
          <w:color w:val="000000"/>
        </w:rPr>
        <w:t xml:space="preserve">, Cruise M, Tam A, Wicks EC, </w:t>
      </w:r>
      <w:proofErr w:type="spellStart"/>
      <w:r>
        <w:rPr>
          <w:rFonts w:ascii="Book Antiqua" w:eastAsia="Book Antiqua" w:hAnsi="Book Antiqua" w:cs="Book Antiqua"/>
          <w:color w:val="000000"/>
        </w:rPr>
        <w:t>Hechenbleikner</w:t>
      </w:r>
      <w:proofErr w:type="spellEnd"/>
      <w:r>
        <w:rPr>
          <w:rFonts w:ascii="Book Antiqua" w:eastAsia="Book Antiqua" w:hAnsi="Book Antiqua" w:cs="Book Antiqua"/>
          <w:color w:val="000000"/>
        </w:rPr>
        <w:t xml:space="preserve"> EM, Taube JM, Blosser RL, Fan H, Wang H, </w:t>
      </w:r>
      <w:proofErr w:type="spellStart"/>
      <w:r>
        <w:rPr>
          <w:rFonts w:ascii="Book Antiqua" w:eastAsia="Book Antiqua" w:hAnsi="Book Antiqua" w:cs="Book Antiqua"/>
          <w:color w:val="000000"/>
        </w:rPr>
        <w:t>Luber</w:t>
      </w:r>
      <w:proofErr w:type="spellEnd"/>
      <w:r>
        <w:rPr>
          <w:rFonts w:ascii="Book Antiqua" w:eastAsia="Book Antiqua" w:hAnsi="Book Antiqua" w:cs="Book Antiqua"/>
          <w:color w:val="000000"/>
        </w:rPr>
        <w:t xml:space="preserve"> BS, Zhang M, Papadopoulos N, </w:t>
      </w:r>
      <w:proofErr w:type="spellStart"/>
      <w:r>
        <w:rPr>
          <w:rFonts w:ascii="Book Antiqua" w:eastAsia="Book Antiqua" w:hAnsi="Book Antiqua" w:cs="Book Antiqua"/>
          <w:color w:val="000000"/>
        </w:rPr>
        <w:t>Kinzler</w:t>
      </w:r>
      <w:proofErr w:type="spellEnd"/>
      <w:r>
        <w:rPr>
          <w:rFonts w:ascii="Book Antiqua" w:eastAsia="Book Antiqua" w:hAnsi="Book Antiqua" w:cs="Book Antiqua"/>
          <w:color w:val="000000"/>
        </w:rPr>
        <w:t xml:space="preserve"> KW, Vogelstein B, Sears CL, Anders RA, </w:t>
      </w:r>
      <w:proofErr w:type="spellStart"/>
      <w:r>
        <w:rPr>
          <w:rFonts w:ascii="Book Antiqua" w:eastAsia="Book Antiqua" w:hAnsi="Book Antiqua" w:cs="Book Antiqua"/>
          <w:color w:val="000000"/>
        </w:rPr>
        <w:t>Pardoll</w:t>
      </w:r>
      <w:proofErr w:type="spellEnd"/>
      <w:r>
        <w:rPr>
          <w:rFonts w:ascii="Book Antiqua" w:eastAsia="Book Antiqua" w:hAnsi="Book Antiqua" w:cs="Book Antiqua"/>
          <w:color w:val="000000"/>
        </w:rPr>
        <w:t xml:space="preserve"> DM, </w:t>
      </w:r>
      <w:proofErr w:type="spellStart"/>
      <w:r>
        <w:rPr>
          <w:rFonts w:ascii="Book Antiqua" w:eastAsia="Book Antiqua" w:hAnsi="Book Antiqua" w:cs="Book Antiqua"/>
          <w:color w:val="000000"/>
        </w:rPr>
        <w:t>Housseau</w:t>
      </w:r>
      <w:proofErr w:type="spellEnd"/>
      <w:r>
        <w:rPr>
          <w:rFonts w:ascii="Book Antiqua" w:eastAsia="Book Antiqua" w:hAnsi="Book Antiqua" w:cs="Book Antiqua"/>
          <w:color w:val="000000"/>
        </w:rPr>
        <w:t xml:space="preserve"> F. The vigorous immune microenvironment of microsatellite instable colon cancer is balanced by multiple counter-inhibitory checkpoints. </w:t>
      </w:r>
      <w:r>
        <w:rPr>
          <w:rFonts w:ascii="Book Antiqua" w:eastAsia="Book Antiqua" w:hAnsi="Book Antiqua" w:cs="Book Antiqua"/>
          <w:i/>
          <w:iCs/>
          <w:color w:val="000000"/>
        </w:rPr>
        <w:t xml:space="preserve">Cancer </w:t>
      </w:r>
      <w:proofErr w:type="spellStart"/>
      <w:r>
        <w:rPr>
          <w:rFonts w:ascii="Book Antiqua" w:eastAsia="Book Antiqua" w:hAnsi="Book Antiqua" w:cs="Book Antiqua"/>
          <w:i/>
          <w:iCs/>
          <w:color w:val="000000"/>
        </w:rPr>
        <w:t>Discov</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5</w:t>
      </w:r>
      <w:r>
        <w:rPr>
          <w:rFonts w:ascii="Book Antiqua" w:eastAsia="Book Antiqua" w:hAnsi="Book Antiqua" w:cs="Book Antiqua"/>
          <w:color w:val="000000"/>
        </w:rPr>
        <w:t>: 43-51 [PMID: 25358689 DOI: 10.1158/2159-8290.CD-14-0863]</w:t>
      </w:r>
    </w:p>
    <w:p w14:paraId="08952972" w14:textId="77777777" w:rsidR="00A31DCB" w:rsidRDefault="00000000">
      <w:pPr>
        <w:spacing w:line="360" w:lineRule="auto"/>
        <w:jc w:val="both"/>
      </w:pPr>
      <w:r>
        <w:rPr>
          <w:rFonts w:ascii="Book Antiqua" w:eastAsia="Book Antiqua" w:hAnsi="Book Antiqua" w:cs="Book Antiqua"/>
          <w:color w:val="000000"/>
        </w:rPr>
        <w:t xml:space="preserve">76 </w:t>
      </w:r>
      <w:r>
        <w:rPr>
          <w:rFonts w:ascii="Book Antiqua" w:eastAsia="Book Antiqua" w:hAnsi="Book Antiqua" w:cs="Book Antiqua"/>
          <w:b/>
          <w:bCs/>
          <w:color w:val="000000"/>
        </w:rPr>
        <w:t>Zhou C</w:t>
      </w:r>
      <w:r>
        <w:rPr>
          <w:rFonts w:ascii="Book Antiqua" w:eastAsia="Book Antiqua" w:hAnsi="Book Antiqua" w:cs="Book Antiqua"/>
          <w:color w:val="000000"/>
        </w:rPr>
        <w:t xml:space="preserve">, Jiang T, Xiao Y, Wang Q, Zeng Z, Cai P, Zhao Y, Zhao Z, Wu D, Lin H, Sun C, Zhang R, Xiao W, Gao Y. Good Tumor Response to </w:t>
      </w:r>
      <w:proofErr w:type="spellStart"/>
      <w:r>
        <w:rPr>
          <w:rFonts w:ascii="Book Antiqua" w:eastAsia="Book Antiqua" w:hAnsi="Book Antiqua" w:cs="Book Antiqua"/>
          <w:color w:val="000000"/>
        </w:rPr>
        <w:t>Chemoradioimmunotherapy</w:t>
      </w:r>
      <w:proofErr w:type="spellEnd"/>
      <w:r>
        <w:rPr>
          <w:rFonts w:ascii="Book Antiqua" w:eastAsia="Book Antiqua" w:hAnsi="Book Antiqua" w:cs="Book Antiqua"/>
          <w:color w:val="000000"/>
        </w:rPr>
        <w:t xml:space="preserve"> in </w:t>
      </w:r>
      <w:proofErr w:type="spellStart"/>
      <w:r>
        <w:rPr>
          <w:rFonts w:ascii="Book Antiqua" w:eastAsia="Book Antiqua" w:hAnsi="Book Antiqua" w:cs="Book Antiqua"/>
          <w:color w:val="000000"/>
        </w:rPr>
        <w:t>dMMR</w:t>
      </w:r>
      <w:proofErr w:type="spellEnd"/>
      <w:r>
        <w:rPr>
          <w:rFonts w:ascii="Book Antiqua" w:eastAsia="Book Antiqua" w:hAnsi="Book Antiqua" w:cs="Book Antiqua"/>
          <w:color w:val="000000"/>
        </w:rPr>
        <w:t xml:space="preserve">/MSI-H Advanced Colorectal Cancer: A Case Series. </w:t>
      </w:r>
      <w:r>
        <w:rPr>
          <w:rFonts w:ascii="Book Antiqua" w:eastAsia="Book Antiqua" w:hAnsi="Book Antiqua" w:cs="Book Antiqua"/>
          <w:i/>
          <w:iCs/>
          <w:color w:val="000000"/>
        </w:rPr>
        <w:t>Front Immunol</w:t>
      </w:r>
      <w:r>
        <w:rPr>
          <w:rFonts w:ascii="Book Antiqua" w:eastAsia="Book Antiqua" w:hAnsi="Book Antiqua" w:cs="Book Antiqua"/>
          <w:color w:val="000000"/>
        </w:rPr>
        <w:t xml:space="preserve"> 2021; </w:t>
      </w:r>
      <w:r>
        <w:rPr>
          <w:rFonts w:ascii="Book Antiqua" w:eastAsia="Book Antiqua" w:hAnsi="Book Antiqua" w:cs="Book Antiqua"/>
          <w:b/>
          <w:bCs/>
          <w:color w:val="000000"/>
        </w:rPr>
        <w:t>12</w:t>
      </w:r>
      <w:r>
        <w:rPr>
          <w:rFonts w:ascii="Book Antiqua" w:eastAsia="Book Antiqua" w:hAnsi="Book Antiqua" w:cs="Book Antiqua"/>
          <w:color w:val="000000"/>
        </w:rPr>
        <w:t>: 784336 [PMID: 34975873 DOI: 10.3389/fimmu.2021.784336]</w:t>
      </w:r>
    </w:p>
    <w:p w14:paraId="5D63C2DE" w14:textId="77777777" w:rsidR="00A31DCB" w:rsidRDefault="00000000">
      <w:pPr>
        <w:spacing w:line="360" w:lineRule="auto"/>
        <w:jc w:val="both"/>
      </w:pPr>
      <w:r>
        <w:rPr>
          <w:rFonts w:ascii="Book Antiqua" w:eastAsia="Book Antiqua" w:hAnsi="Book Antiqua" w:cs="Book Antiqua"/>
          <w:color w:val="000000"/>
        </w:rPr>
        <w:t xml:space="preserve">77 </w:t>
      </w:r>
      <w:proofErr w:type="spellStart"/>
      <w:r>
        <w:rPr>
          <w:rFonts w:ascii="Book Antiqua" w:eastAsia="Book Antiqua" w:hAnsi="Book Antiqua" w:cs="Book Antiqua"/>
          <w:b/>
          <w:bCs/>
          <w:color w:val="000000"/>
        </w:rPr>
        <w:t>Golas</w:t>
      </w:r>
      <w:proofErr w:type="spellEnd"/>
      <w:r>
        <w:rPr>
          <w:rFonts w:ascii="Book Antiqua" w:eastAsia="Book Antiqua" w:hAnsi="Book Antiqua" w:cs="Book Antiqua"/>
          <w:b/>
          <w:bCs/>
          <w:color w:val="000000"/>
        </w:rPr>
        <w:t xml:space="preserve"> MM</w:t>
      </w:r>
      <w:r>
        <w:rPr>
          <w:rFonts w:ascii="Book Antiqua" w:eastAsia="Book Antiqua" w:hAnsi="Book Antiqua" w:cs="Book Antiqua"/>
          <w:color w:val="000000"/>
        </w:rPr>
        <w:t xml:space="preserve">, Gunawan B, </w:t>
      </w:r>
      <w:proofErr w:type="spellStart"/>
      <w:r>
        <w:rPr>
          <w:rFonts w:ascii="Book Antiqua" w:eastAsia="Book Antiqua" w:hAnsi="Book Antiqua" w:cs="Book Antiqua"/>
          <w:color w:val="000000"/>
        </w:rPr>
        <w:t>Cakir</w:t>
      </w:r>
      <w:proofErr w:type="spellEnd"/>
      <w:r>
        <w:rPr>
          <w:rFonts w:ascii="Book Antiqua" w:eastAsia="Book Antiqua" w:hAnsi="Book Antiqua" w:cs="Book Antiqua"/>
          <w:color w:val="000000"/>
        </w:rPr>
        <w:t xml:space="preserve"> M, Cameron S, Enders C, </w:t>
      </w:r>
      <w:proofErr w:type="spellStart"/>
      <w:r>
        <w:rPr>
          <w:rFonts w:ascii="Book Antiqua" w:eastAsia="Book Antiqua" w:hAnsi="Book Antiqua" w:cs="Book Antiqua"/>
          <w:color w:val="000000"/>
        </w:rPr>
        <w:t>Liersch</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Füzesi</w:t>
      </w:r>
      <w:proofErr w:type="spellEnd"/>
      <w:r>
        <w:rPr>
          <w:rFonts w:ascii="Book Antiqua" w:eastAsia="Book Antiqua" w:hAnsi="Book Antiqua" w:cs="Book Antiqua"/>
          <w:color w:val="000000"/>
        </w:rPr>
        <w:t xml:space="preserve"> L, Sander B. Evolutionary patterns of chromosomal instability and mismatch repair deficiency in proximal and distal colorectal cancer. </w:t>
      </w:r>
      <w:r>
        <w:rPr>
          <w:rFonts w:ascii="Book Antiqua" w:eastAsia="Book Antiqua" w:hAnsi="Book Antiqua" w:cs="Book Antiqua"/>
          <w:i/>
          <w:iCs/>
          <w:color w:val="000000"/>
        </w:rPr>
        <w:t>Colorectal Dis</w:t>
      </w:r>
      <w:r>
        <w:rPr>
          <w:rFonts w:ascii="Book Antiqua" w:eastAsia="Book Antiqua" w:hAnsi="Book Antiqua" w:cs="Book Antiqua"/>
          <w:color w:val="000000"/>
        </w:rPr>
        <w:t xml:space="preserve"> 2022; </w:t>
      </w:r>
      <w:r>
        <w:rPr>
          <w:rFonts w:ascii="Book Antiqua" w:eastAsia="Book Antiqua" w:hAnsi="Book Antiqua" w:cs="Book Antiqua"/>
          <w:b/>
          <w:bCs/>
          <w:color w:val="000000"/>
        </w:rPr>
        <w:t>24</w:t>
      </w:r>
      <w:r>
        <w:rPr>
          <w:rFonts w:ascii="Book Antiqua" w:eastAsia="Book Antiqua" w:hAnsi="Book Antiqua" w:cs="Book Antiqua"/>
          <w:color w:val="000000"/>
        </w:rPr>
        <w:t>: 157-176 [PMID: 34623739 DOI: 10.1111/codi.15946]</w:t>
      </w:r>
    </w:p>
    <w:p w14:paraId="5737B14A" w14:textId="77777777" w:rsidR="00A31DCB" w:rsidRDefault="00000000">
      <w:pPr>
        <w:spacing w:line="360" w:lineRule="auto"/>
        <w:jc w:val="both"/>
      </w:pPr>
      <w:r>
        <w:rPr>
          <w:rFonts w:ascii="Book Antiqua" w:eastAsia="Book Antiqua" w:hAnsi="Book Antiqua" w:cs="Book Antiqua"/>
          <w:color w:val="000000"/>
        </w:rPr>
        <w:t xml:space="preserve">78 </w:t>
      </w:r>
      <w:r>
        <w:rPr>
          <w:rFonts w:ascii="Book Antiqua" w:eastAsia="Book Antiqua" w:hAnsi="Book Antiqua" w:cs="Book Antiqua"/>
          <w:b/>
          <w:bCs/>
          <w:color w:val="000000"/>
        </w:rPr>
        <w:t>Le DT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Uram</w:t>
      </w:r>
      <w:proofErr w:type="spellEnd"/>
      <w:r>
        <w:rPr>
          <w:rFonts w:ascii="Book Antiqua" w:eastAsia="Book Antiqua" w:hAnsi="Book Antiqua" w:cs="Book Antiqua"/>
          <w:color w:val="000000"/>
        </w:rPr>
        <w:t xml:space="preserve"> JN, Wang H, Bartlett BR, </w:t>
      </w:r>
      <w:proofErr w:type="spellStart"/>
      <w:r>
        <w:rPr>
          <w:rFonts w:ascii="Book Antiqua" w:eastAsia="Book Antiqua" w:hAnsi="Book Antiqua" w:cs="Book Antiqua"/>
          <w:color w:val="000000"/>
        </w:rPr>
        <w:t>Kemberling</w:t>
      </w:r>
      <w:proofErr w:type="spellEnd"/>
      <w:r>
        <w:rPr>
          <w:rFonts w:ascii="Book Antiqua" w:eastAsia="Book Antiqua" w:hAnsi="Book Antiqua" w:cs="Book Antiqua"/>
          <w:color w:val="000000"/>
        </w:rPr>
        <w:t xml:space="preserve"> H, Eyring AD, </w:t>
      </w:r>
      <w:proofErr w:type="spellStart"/>
      <w:r>
        <w:rPr>
          <w:rFonts w:ascii="Book Antiqua" w:eastAsia="Book Antiqua" w:hAnsi="Book Antiqua" w:cs="Book Antiqua"/>
          <w:color w:val="000000"/>
        </w:rPr>
        <w:t>Skora</w:t>
      </w:r>
      <w:proofErr w:type="spellEnd"/>
      <w:r>
        <w:rPr>
          <w:rFonts w:ascii="Book Antiqua" w:eastAsia="Book Antiqua" w:hAnsi="Book Antiqua" w:cs="Book Antiqua"/>
          <w:color w:val="000000"/>
        </w:rPr>
        <w:t xml:space="preserve"> AD, </w:t>
      </w:r>
      <w:proofErr w:type="spellStart"/>
      <w:r>
        <w:rPr>
          <w:rFonts w:ascii="Book Antiqua" w:eastAsia="Book Antiqua" w:hAnsi="Book Antiqua" w:cs="Book Antiqua"/>
          <w:color w:val="000000"/>
        </w:rPr>
        <w:t>Luber</w:t>
      </w:r>
      <w:proofErr w:type="spellEnd"/>
      <w:r>
        <w:rPr>
          <w:rFonts w:ascii="Book Antiqua" w:eastAsia="Book Antiqua" w:hAnsi="Book Antiqua" w:cs="Book Antiqua"/>
          <w:color w:val="000000"/>
        </w:rPr>
        <w:t xml:space="preserve"> BS, Azad NS, </w:t>
      </w:r>
      <w:proofErr w:type="spellStart"/>
      <w:r>
        <w:rPr>
          <w:rFonts w:ascii="Book Antiqua" w:eastAsia="Book Antiqua" w:hAnsi="Book Antiqua" w:cs="Book Antiqua"/>
          <w:color w:val="000000"/>
        </w:rPr>
        <w:t>Laheru</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Biedrzycki</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Donehower</w:t>
      </w:r>
      <w:proofErr w:type="spellEnd"/>
      <w:r>
        <w:rPr>
          <w:rFonts w:ascii="Book Antiqua" w:eastAsia="Book Antiqua" w:hAnsi="Book Antiqua" w:cs="Book Antiqua"/>
          <w:color w:val="000000"/>
        </w:rPr>
        <w:t xml:space="preserve"> RC, Zaheer A, Fisher GA, </w:t>
      </w:r>
      <w:proofErr w:type="spellStart"/>
      <w:r>
        <w:rPr>
          <w:rFonts w:ascii="Book Antiqua" w:eastAsia="Book Antiqua" w:hAnsi="Book Antiqua" w:cs="Book Antiqua"/>
          <w:color w:val="000000"/>
        </w:rPr>
        <w:t>Crocenzi</w:t>
      </w:r>
      <w:proofErr w:type="spellEnd"/>
      <w:r>
        <w:rPr>
          <w:rFonts w:ascii="Book Antiqua" w:eastAsia="Book Antiqua" w:hAnsi="Book Antiqua" w:cs="Book Antiqua"/>
          <w:color w:val="000000"/>
        </w:rPr>
        <w:t xml:space="preserve"> TS, Lee JJ, Duffy SM, Goldberg RM, de la Chapelle A, </w:t>
      </w:r>
      <w:proofErr w:type="spellStart"/>
      <w:r>
        <w:rPr>
          <w:rFonts w:ascii="Book Antiqua" w:eastAsia="Book Antiqua" w:hAnsi="Book Antiqua" w:cs="Book Antiqua"/>
          <w:color w:val="000000"/>
        </w:rPr>
        <w:t>Koshiji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Bhaijee</w:t>
      </w:r>
      <w:proofErr w:type="spellEnd"/>
      <w:r>
        <w:rPr>
          <w:rFonts w:ascii="Book Antiqua" w:eastAsia="Book Antiqua" w:hAnsi="Book Antiqua" w:cs="Book Antiqua"/>
          <w:color w:val="000000"/>
        </w:rPr>
        <w:t xml:space="preserve"> F, Huebner T, </w:t>
      </w:r>
      <w:proofErr w:type="spellStart"/>
      <w:r>
        <w:rPr>
          <w:rFonts w:ascii="Book Antiqua" w:eastAsia="Book Antiqua" w:hAnsi="Book Antiqua" w:cs="Book Antiqua"/>
          <w:color w:val="000000"/>
        </w:rPr>
        <w:t>Hruban</w:t>
      </w:r>
      <w:proofErr w:type="spellEnd"/>
      <w:r>
        <w:rPr>
          <w:rFonts w:ascii="Book Antiqua" w:eastAsia="Book Antiqua" w:hAnsi="Book Antiqua" w:cs="Book Antiqua"/>
          <w:color w:val="000000"/>
        </w:rPr>
        <w:t xml:space="preserve"> RH, Wood LD, Cuka N, </w:t>
      </w:r>
      <w:proofErr w:type="spellStart"/>
      <w:r>
        <w:rPr>
          <w:rFonts w:ascii="Book Antiqua" w:eastAsia="Book Antiqua" w:hAnsi="Book Antiqua" w:cs="Book Antiqua"/>
          <w:color w:val="000000"/>
        </w:rPr>
        <w:t>Pardoll</w:t>
      </w:r>
      <w:proofErr w:type="spellEnd"/>
      <w:r>
        <w:rPr>
          <w:rFonts w:ascii="Book Antiqua" w:eastAsia="Book Antiqua" w:hAnsi="Book Antiqua" w:cs="Book Antiqua"/>
          <w:color w:val="000000"/>
        </w:rPr>
        <w:t xml:space="preserve"> DM, Papadopoulos N, </w:t>
      </w:r>
      <w:proofErr w:type="spellStart"/>
      <w:r>
        <w:rPr>
          <w:rFonts w:ascii="Book Antiqua" w:eastAsia="Book Antiqua" w:hAnsi="Book Antiqua" w:cs="Book Antiqua"/>
          <w:color w:val="000000"/>
        </w:rPr>
        <w:t>Kinzler</w:t>
      </w:r>
      <w:proofErr w:type="spellEnd"/>
      <w:r>
        <w:rPr>
          <w:rFonts w:ascii="Book Antiqua" w:eastAsia="Book Antiqua" w:hAnsi="Book Antiqua" w:cs="Book Antiqua"/>
          <w:color w:val="000000"/>
        </w:rPr>
        <w:t xml:space="preserve"> KW, Zhou S, Cornish TC, Taube JM, Anders RA, Eshleman JR, Vogelstein B, Diaz LA Jr. PD-1 Blockade in Tumors with Mismatch-Repair Deficiency.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372</w:t>
      </w:r>
      <w:r>
        <w:rPr>
          <w:rFonts w:ascii="Book Antiqua" w:eastAsia="Book Antiqua" w:hAnsi="Book Antiqua" w:cs="Book Antiqua"/>
          <w:color w:val="000000"/>
        </w:rPr>
        <w:t>: 2509-2520 [PMID: 26028255 DOI: 10.1056/NEJMoa1500596]</w:t>
      </w:r>
    </w:p>
    <w:p w14:paraId="0E993A47" w14:textId="77777777" w:rsidR="00A31DCB" w:rsidRDefault="00000000">
      <w:pPr>
        <w:spacing w:line="360" w:lineRule="auto"/>
        <w:jc w:val="both"/>
      </w:pPr>
      <w:r>
        <w:rPr>
          <w:rFonts w:ascii="Book Antiqua" w:eastAsia="Book Antiqua" w:hAnsi="Book Antiqua" w:cs="Book Antiqua"/>
          <w:color w:val="000000"/>
        </w:rPr>
        <w:t xml:space="preserve">79 </w:t>
      </w:r>
      <w:r>
        <w:rPr>
          <w:rFonts w:ascii="Book Antiqua" w:eastAsia="Book Antiqua" w:hAnsi="Book Antiqua" w:cs="Book Antiqua"/>
          <w:b/>
          <w:bCs/>
          <w:color w:val="000000"/>
        </w:rPr>
        <w:t>Le DT</w:t>
      </w:r>
      <w:r>
        <w:rPr>
          <w:rFonts w:ascii="Book Antiqua" w:eastAsia="Book Antiqua" w:hAnsi="Book Antiqua" w:cs="Book Antiqua"/>
          <w:color w:val="000000"/>
        </w:rPr>
        <w:t xml:space="preserve">, Kim TW, Van </w:t>
      </w:r>
      <w:proofErr w:type="spellStart"/>
      <w:r>
        <w:rPr>
          <w:rFonts w:ascii="Book Antiqua" w:eastAsia="Book Antiqua" w:hAnsi="Book Antiqua" w:cs="Book Antiqua"/>
          <w:color w:val="000000"/>
        </w:rPr>
        <w:t>Cutsem</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Geva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Jäger</w:t>
      </w:r>
      <w:proofErr w:type="spellEnd"/>
      <w:r>
        <w:rPr>
          <w:rFonts w:ascii="Book Antiqua" w:eastAsia="Book Antiqua" w:hAnsi="Book Antiqua" w:cs="Book Antiqua"/>
          <w:color w:val="000000"/>
        </w:rPr>
        <w:t xml:space="preserve"> D, Hara H, Burge M, O'Neil B, </w:t>
      </w:r>
      <w:proofErr w:type="spellStart"/>
      <w:r>
        <w:rPr>
          <w:rFonts w:ascii="Book Antiqua" w:eastAsia="Book Antiqua" w:hAnsi="Book Antiqua" w:cs="Book Antiqua"/>
          <w:color w:val="000000"/>
        </w:rPr>
        <w:t>Kavan</w:t>
      </w:r>
      <w:proofErr w:type="spellEnd"/>
      <w:r>
        <w:rPr>
          <w:rFonts w:ascii="Book Antiqua" w:eastAsia="Book Antiqua" w:hAnsi="Book Antiqua" w:cs="Book Antiqua"/>
          <w:color w:val="000000"/>
        </w:rPr>
        <w:t xml:space="preserve"> P, Yoshino T, </w:t>
      </w:r>
      <w:proofErr w:type="spellStart"/>
      <w:r>
        <w:rPr>
          <w:rFonts w:ascii="Book Antiqua" w:eastAsia="Book Antiqua" w:hAnsi="Book Antiqua" w:cs="Book Antiqua"/>
          <w:color w:val="000000"/>
        </w:rPr>
        <w:t>Guimbaud</w:t>
      </w:r>
      <w:proofErr w:type="spellEnd"/>
      <w:r>
        <w:rPr>
          <w:rFonts w:ascii="Book Antiqua" w:eastAsia="Book Antiqua" w:hAnsi="Book Antiqua" w:cs="Book Antiqua"/>
          <w:color w:val="000000"/>
        </w:rPr>
        <w:t xml:space="preserve"> R, Taniguchi H, </w:t>
      </w:r>
      <w:proofErr w:type="spellStart"/>
      <w:r>
        <w:rPr>
          <w:rFonts w:ascii="Book Antiqua" w:eastAsia="Book Antiqua" w:hAnsi="Book Antiqua" w:cs="Book Antiqua"/>
          <w:color w:val="000000"/>
        </w:rPr>
        <w:t>Elez</w:t>
      </w:r>
      <w:proofErr w:type="spellEnd"/>
      <w:r>
        <w:rPr>
          <w:rFonts w:ascii="Book Antiqua" w:eastAsia="Book Antiqua" w:hAnsi="Book Antiqua" w:cs="Book Antiqua"/>
          <w:color w:val="000000"/>
        </w:rPr>
        <w:t xml:space="preserve"> E, Al-</w:t>
      </w:r>
      <w:proofErr w:type="spellStart"/>
      <w:r>
        <w:rPr>
          <w:rFonts w:ascii="Book Antiqua" w:eastAsia="Book Antiqua" w:hAnsi="Book Antiqua" w:cs="Book Antiqua"/>
          <w:color w:val="000000"/>
        </w:rPr>
        <w:t>Batran</w:t>
      </w:r>
      <w:proofErr w:type="spellEnd"/>
      <w:r>
        <w:rPr>
          <w:rFonts w:ascii="Book Antiqua" w:eastAsia="Book Antiqua" w:hAnsi="Book Antiqua" w:cs="Book Antiqua"/>
          <w:color w:val="000000"/>
        </w:rPr>
        <w:t xml:space="preserve"> SE, Boland PM, </w:t>
      </w:r>
      <w:proofErr w:type="spellStart"/>
      <w:r>
        <w:rPr>
          <w:rFonts w:ascii="Book Antiqua" w:eastAsia="Book Antiqua" w:hAnsi="Book Antiqua" w:cs="Book Antiqua"/>
          <w:color w:val="000000"/>
        </w:rPr>
        <w:t>Crocenzi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Atreya</w:t>
      </w:r>
      <w:proofErr w:type="spellEnd"/>
      <w:r>
        <w:rPr>
          <w:rFonts w:ascii="Book Antiqua" w:eastAsia="Book Antiqua" w:hAnsi="Book Antiqua" w:cs="Book Antiqua"/>
          <w:color w:val="000000"/>
        </w:rPr>
        <w:t xml:space="preserve"> CE, Cui Y, Dai T, </w:t>
      </w:r>
      <w:proofErr w:type="spellStart"/>
      <w:r>
        <w:rPr>
          <w:rFonts w:ascii="Book Antiqua" w:eastAsia="Book Antiqua" w:hAnsi="Book Antiqua" w:cs="Book Antiqua"/>
          <w:color w:val="000000"/>
        </w:rPr>
        <w:t>Marinello</w:t>
      </w:r>
      <w:proofErr w:type="spellEnd"/>
      <w:r>
        <w:rPr>
          <w:rFonts w:ascii="Book Antiqua" w:eastAsia="Book Antiqua" w:hAnsi="Book Antiqua" w:cs="Book Antiqua"/>
          <w:color w:val="000000"/>
        </w:rPr>
        <w:t xml:space="preserve"> P, Diaz LA Jr, André T. Phase II Open-Label Study of Pembrolizumab in Treatment-Refractory, Microsatellite Instability-High/Mismatch Repair-Deficient Metastatic Colorectal Cancer: KEYNOTE-164.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38</w:t>
      </w:r>
      <w:r>
        <w:rPr>
          <w:rFonts w:ascii="Book Antiqua" w:eastAsia="Book Antiqua" w:hAnsi="Book Antiqua" w:cs="Book Antiqua"/>
          <w:color w:val="000000"/>
        </w:rPr>
        <w:t>: 11-19 [PMID: 31725351 DOI: 10.1200/JCO.19.02107]</w:t>
      </w:r>
    </w:p>
    <w:p w14:paraId="275D79D4" w14:textId="77777777" w:rsidR="00A31DCB" w:rsidRDefault="00000000">
      <w:pPr>
        <w:spacing w:line="360" w:lineRule="auto"/>
        <w:jc w:val="both"/>
      </w:pPr>
      <w:r>
        <w:rPr>
          <w:rFonts w:ascii="Book Antiqua" w:eastAsia="Book Antiqua" w:hAnsi="Book Antiqua" w:cs="Book Antiqua"/>
          <w:color w:val="000000"/>
        </w:rPr>
        <w:t xml:space="preserve">80 </w:t>
      </w:r>
      <w:r>
        <w:rPr>
          <w:rFonts w:ascii="Book Antiqua" w:eastAsia="Book Antiqua" w:hAnsi="Book Antiqua" w:cs="Book Antiqua"/>
          <w:b/>
          <w:bCs/>
          <w:color w:val="000000"/>
        </w:rPr>
        <w:t>André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Shiu</w:t>
      </w:r>
      <w:proofErr w:type="spellEnd"/>
      <w:r>
        <w:rPr>
          <w:rFonts w:ascii="Book Antiqua" w:eastAsia="Book Antiqua" w:hAnsi="Book Antiqua" w:cs="Book Antiqua"/>
          <w:color w:val="000000"/>
        </w:rPr>
        <w:t xml:space="preserve"> KK, Kim TW, Jensen BV, Jensen LH, Punt C, Smith D, Garcia-</w:t>
      </w:r>
      <w:proofErr w:type="spellStart"/>
      <w:r>
        <w:rPr>
          <w:rFonts w:ascii="Book Antiqua" w:eastAsia="Book Antiqua" w:hAnsi="Book Antiqua" w:cs="Book Antiqua"/>
          <w:color w:val="000000"/>
        </w:rPr>
        <w:t>Carbonero</w:t>
      </w:r>
      <w:proofErr w:type="spellEnd"/>
      <w:r>
        <w:rPr>
          <w:rFonts w:ascii="Book Antiqua" w:eastAsia="Book Antiqua" w:hAnsi="Book Antiqua" w:cs="Book Antiqua"/>
          <w:color w:val="000000"/>
        </w:rPr>
        <w:t xml:space="preserve"> R, Benavides M, Gibbs P, de la </w:t>
      </w:r>
      <w:proofErr w:type="spellStart"/>
      <w:r>
        <w:rPr>
          <w:rFonts w:ascii="Book Antiqua" w:eastAsia="Book Antiqua" w:hAnsi="Book Antiqua" w:cs="Book Antiqua"/>
          <w:color w:val="000000"/>
        </w:rPr>
        <w:t>Fouchardiere</w:t>
      </w:r>
      <w:proofErr w:type="spellEnd"/>
      <w:r>
        <w:rPr>
          <w:rFonts w:ascii="Book Antiqua" w:eastAsia="Book Antiqua" w:hAnsi="Book Antiqua" w:cs="Book Antiqua"/>
          <w:color w:val="000000"/>
        </w:rPr>
        <w:t xml:space="preserve"> C, Rivera F, </w:t>
      </w:r>
      <w:proofErr w:type="spellStart"/>
      <w:r>
        <w:rPr>
          <w:rFonts w:ascii="Book Antiqua" w:eastAsia="Book Antiqua" w:hAnsi="Book Antiqua" w:cs="Book Antiqua"/>
          <w:color w:val="000000"/>
        </w:rPr>
        <w:t>Elez</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Bendell</w:t>
      </w:r>
      <w:proofErr w:type="spellEnd"/>
      <w:r>
        <w:rPr>
          <w:rFonts w:ascii="Book Antiqua" w:eastAsia="Book Antiqua" w:hAnsi="Book Antiqua" w:cs="Book Antiqua"/>
          <w:color w:val="000000"/>
        </w:rPr>
        <w:t xml:space="preserve"> J, Le DT, Yoshino </w:t>
      </w:r>
      <w:r>
        <w:rPr>
          <w:rFonts w:ascii="Book Antiqua" w:eastAsia="Book Antiqua" w:hAnsi="Book Antiqua" w:cs="Book Antiqua"/>
          <w:color w:val="000000"/>
        </w:rPr>
        <w:lastRenderedPageBreak/>
        <w:t xml:space="preserve">T, Van </w:t>
      </w:r>
      <w:proofErr w:type="spellStart"/>
      <w:r>
        <w:rPr>
          <w:rFonts w:ascii="Book Antiqua" w:eastAsia="Book Antiqua" w:hAnsi="Book Antiqua" w:cs="Book Antiqua"/>
          <w:color w:val="000000"/>
        </w:rPr>
        <w:t>Cutsem</w:t>
      </w:r>
      <w:proofErr w:type="spellEnd"/>
      <w:r>
        <w:rPr>
          <w:rFonts w:ascii="Book Antiqua" w:eastAsia="Book Antiqua" w:hAnsi="Book Antiqua" w:cs="Book Antiqua"/>
          <w:color w:val="000000"/>
        </w:rPr>
        <w:t xml:space="preserve"> E, Yang P, Farooqui MZH, </w:t>
      </w:r>
      <w:proofErr w:type="spellStart"/>
      <w:r>
        <w:rPr>
          <w:rFonts w:ascii="Book Antiqua" w:eastAsia="Book Antiqua" w:hAnsi="Book Antiqua" w:cs="Book Antiqua"/>
          <w:color w:val="000000"/>
        </w:rPr>
        <w:t>Marinello</w:t>
      </w:r>
      <w:proofErr w:type="spellEnd"/>
      <w:r>
        <w:rPr>
          <w:rFonts w:ascii="Book Antiqua" w:eastAsia="Book Antiqua" w:hAnsi="Book Antiqua" w:cs="Book Antiqua"/>
          <w:color w:val="000000"/>
        </w:rPr>
        <w:t xml:space="preserve"> P, Diaz LA Jr; KEYNOTE-177 Investigators. Pembrolizumab in Microsatellite-Instability-High Advanced Colorectal Cancer.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383</w:t>
      </w:r>
      <w:r>
        <w:rPr>
          <w:rFonts w:ascii="Book Antiqua" w:eastAsia="Book Antiqua" w:hAnsi="Book Antiqua" w:cs="Book Antiqua"/>
          <w:color w:val="000000"/>
        </w:rPr>
        <w:t>: 2207-2218 [PMID: 33264544 DOI: 10.1056/NEJMoa2017699]</w:t>
      </w:r>
    </w:p>
    <w:p w14:paraId="48179128" w14:textId="77777777" w:rsidR="00A31DCB" w:rsidRDefault="00000000">
      <w:pPr>
        <w:spacing w:line="360" w:lineRule="auto"/>
        <w:jc w:val="both"/>
      </w:pPr>
      <w:r>
        <w:rPr>
          <w:rFonts w:ascii="Book Antiqua" w:eastAsia="Book Antiqua" w:hAnsi="Book Antiqua" w:cs="Book Antiqua"/>
          <w:color w:val="000000"/>
        </w:rPr>
        <w:t xml:space="preserve">81 </w:t>
      </w:r>
      <w:r>
        <w:rPr>
          <w:rFonts w:ascii="Book Antiqua" w:eastAsia="Book Antiqua" w:hAnsi="Book Antiqua" w:cs="Book Antiqua"/>
          <w:b/>
          <w:bCs/>
          <w:color w:val="000000"/>
        </w:rPr>
        <w:t>Overman MJ</w:t>
      </w:r>
      <w:r>
        <w:rPr>
          <w:rFonts w:ascii="Book Antiqua" w:eastAsia="Book Antiqua" w:hAnsi="Book Antiqua" w:cs="Book Antiqua"/>
          <w:color w:val="000000"/>
        </w:rPr>
        <w:t xml:space="preserve">, McDermott R, Leach JL, </w:t>
      </w:r>
      <w:proofErr w:type="spellStart"/>
      <w:r>
        <w:rPr>
          <w:rFonts w:ascii="Book Antiqua" w:eastAsia="Book Antiqua" w:hAnsi="Book Antiqua" w:cs="Book Antiqua"/>
          <w:color w:val="000000"/>
        </w:rPr>
        <w:t>Lonardi</w:t>
      </w:r>
      <w:proofErr w:type="spellEnd"/>
      <w:r>
        <w:rPr>
          <w:rFonts w:ascii="Book Antiqua" w:eastAsia="Book Antiqua" w:hAnsi="Book Antiqua" w:cs="Book Antiqua"/>
          <w:color w:val="000000"/>
        </w:rPr>
        <w:t xml:space="preserve"> S, Lenz HJ, Morse MA, Desai J, Hill A, Axelson M, Moss RA, Goldberg MV, Cao ZA, </w:t>
      </w:r>
      <w:proofErr w:type="spellStart"/>
      <w:r>
        <w:rPr>
          <w:rFonts w:ascii="Book Antiqua" w:eastAsia="Book Antiqua" w:hAnsi="Book Antiqua" w:cs="Book Antiqua"/>
          <w:color w:val="000000"/>
        </w:rPr>
        <w:t>Ledeine</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Maglinte</w:t>
      </w:r>
      <w:proofErr w:type="spellEnd"/>
      <w:r>
        <w:rPr>
          <w:rFonts w:ascii="Book Antiqua" w:eastAsia="Book Antiqua" w:hAnsi="Book Antiqua" w:cs="Book Antiqua"/>
          <w:color w:val="000000"/>
        </w:rPr>
        <w:t xml:space="preserve"> GA, </w:t>
      </w:r>
      <w:proofErr w:type="spellStart"/>
      <w:r>
        <w:rPr>
          <w:rFonts w:ascii="Book Antiqua" w:eastAsia="Book Antiqua" w:hAnsi="Book Antiqua" w:cs="Book Antiqua"/>
          <w:color w:val="000000"/>
        </w:rPr>
        <w:t>Kopetz</w:t>
      </w:r>
      <w:proofErr w:type="spellEnd"/>
      <w:r>
        <w:rPr>
          <w:rFonts w:ascii="Book Antiqua" w:eastAsia="Book Antiqua" w:hAnsi="Book Antiqua" w:cs="Book Antiqua"/>
          <w:color w:val="000000"/>
        </w:rPr>
        <w:t xml:space="preserve"> S, André T. Nivolumab in patients with metastatic DNA mismatch repair-deficient or microsatellite instability-high colorectal cancer (</w:t>
      </w:r>
      <w:proofErr w:type="spellStart"/>
      <w:r>
        <w:rPr>
          <w:rFonts w:ascii="Book Antiqua" w:eastAsia="Book Antiqua" w:hAnsi="Book Antiqua" w:cs="Book Antiqua"/>
          <w:color w:val="000000"/>
        </w:rPr>
        <w:t>CheckMate</w:t>
      </w:r>
      <w:proofErr w:type="spellEnd"/>
      <w:r>
        <w:rPr>
          <w:rFonts w:ascii="Book Antiqua" w:eastAsia="Book Antiqua" w:hAnsi="Book Antiqua" w:cs="Book Antiqua"/>
          <w:color w:val="000000"/>
        </w:rPr>
        <w:t xml:space="preserve"> 142): an open-label,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phase 2 study. </w:t>
      </w:r>
      <w:r>
        <w:rPr>
          <w:rFonts w:ascii="Book Antiqua" w:eastAsia="Book Antiqua" w:hAnsi="Book Antiqua" w:cs="Book Antiqua"/>
          <w:i/>
          <w:iCs/>
          <w:color w:val="000000"/>
        </w:rPr>
        <w:t>Lancet Oncol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18</w:t>
      </w:r>
      <w:r>
        <w:rPr>
          <w:rFonts w:ascii="Book Antiqua" w:eastAsia="Book Antiqua" w:hAnsi="Book Antiqua" w:cs="Book Antiqua"/>
          <w:color w:val="000000"/>
        </w:rPr>
        <w:t>: 1182-1191 [PMID: 28734759 DOI: 10.1016/S1470-2045(17)30422-9]</w:t>
      </w:r>
    </w:p>
    <w:p w14:paraId="4B288EE3" w14:textId="77777777" w:rsidR="00A31DCB" w:rsidRDefault="00000000">
      <w:pPr>
        <w:spacing w:line="360" w:lineRule="auto"/>
        <w:jc w:val="both"/>
      </w:pPr>
      <w:r>
        <w:rPr>
          <w:rFonts w:ascii="Book Antiqua" w:eastAsia="Book Antiqua" w:hAnsi="Book Antiqua" w:cs="Book Antiqua"/>
          <w:color w:val="000000"/>
        </w:rPr>
        <w:t xml:space="preserve">82 </w:t>
      </w:r>
      <w:r>
        <w:rPr>
          <w:rFonts w:ascii="Book Antiqua" w:eastAsia="Book Antiqua" w:hAnsi="Book Antiqua" w:cs="Book Antiqua"/>
          <w:b/>
          <w:bCs/>
          <w:color w:val="000000"/>
        </w:rPr>
        <w:t>André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Lonardi</w:t>
      </w:r>
      <w:proofErr w:type="spellEnd"/>
      <w:r>
        <w:rPr>
          <w:rFonts w:ascii="Book Antiqua" w:eastAsia="Book Antiqua" w:hAnsi="Book Antiqua" w:cs="Book Antiqua"/>
          <w:color w:val="000000"/>
        </w:rPr>
        <w:t xml:space="preserve"> S, Wong KYM, Lenz HJ, </w:t>
      </w:r>
      <w:proofErr w:type="spellStart"/>
      <w:r>
        <w:rPr>
          <w:rFonts w:ascii="Book Antiqua" w:eastAsia="Book Antiqua" w:hAnsi="Book Antiqua" w:cs="Book Antiqua"/>
          <w:color w:val="000000"/>
        </w:rPr>
        <w:t>Gelsomino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Aglietta</w:t>
      </w:r>
      <w:proofErr w:type="spellEnd"/>
      <w:r>
        <w:rPr>
          <w:rFonts w:ascii="Book Antiqua" w:eastAsia="Book Antiqua" w:hAnsi="Book Antiqua" w:cs="Book Antiqua"/>
          <w:color w:val="000000"/>
        </w:rPr>
        <w:t xml:space="preserve"> M, Morse MA, Van </w:t>
      </w:r>
      <w:proofErr w:type="spellStart"/>
      <w:r>
        <w:rPr>
          <w:rFonts w:ascii="Book Antiqua" w:eastAsia="Book Antiqua" w:hAnsi="Book Antiqua" w:cs="Book Antiqua"/>
          <w:color w:val="000000"/>
        </w:rPr>
        <w:t>Cutsem</w:t>
      </w:r>
      <w:proofErr w:type="spellEnd"/>
      <w:r>
        <w:rPr>
          <w:rFonts w:ascii="Book Antiqua" w:eastAsia="Book Antiqua" w:hAnsi="Book Antiqua" w:cs="Book Antiqua"/>
          <w:color w:val="000000"/>
        </w:rPr>
        <w:t xml:space="preserve"> E, McDermott R, Hill A, Sawyer MB, </w:t>
      </w:r>
      <w:proofErr w:type="spellStart"/>
      <w:r>
        <w:rPr>
          <w:rFonts w:ascii="Book Antiqua" w:eastAsia="Book Antiqua" w:hAnsi="Book Antiqua" w:cs="Book Antiqua"/>
          <w:color w:val="000000"/>
        </w:rPr>
        <w:t>Hendlisz</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Neyns</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Abdullaev</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Memaj</w:t>
      </w:r>
      <w:proofErr w:type="spellEnd"/>
      <w:r>
        <w:rPr>
          <w:rFonts w:ascii="Book Antiqua" w:eastAsia="Book Antiqua" w:hAnsi="Book Antiqua" w:cs="Book Antiqua"/>
          <w:color w:val="000000"/>
        </w:rPr>
        <w:t xml:space="preserve"> A, Lei M, Dixon M, </w:t>
      </w:r>
      <w:proofErr w:type="spellStart"/>
      <w:r>
        <w:rPr>
          <w:rFonts w:ascii="Book Antiqua" w:eastAsia="Book Antiqua" w:hAnsi="Book Antiqua" w:cs="Book Antiqua"/>
          <w:color w:val="000000"/>
        </w:rPr>
        <w:t>Kopetz</w:t>
      </w:r>
      <w:proofErr w:type="spellEnd"/>
      <w:r>
        <w:rPr>
          <w:rFonts w:ascii="Book Antiqua" w:eastAsia="Book Antiqua" w:hAnsi="Book Antiqua" w:cs="Book Antiqua"/>
          <w:color w:val="000000"/>
        </w:rPr>
        <w:t xml:space="preserve"> S, Overman MJ. Nivolumab plus low-dose ipilimumab in previously treated patients with microsatellite instability-high/mismatch repair-deficient metastatic colorectal cancer: 4-year follow-up from </w:t>
      </w:r>
      <w:proofErr w:type="spellStart"/>
      <w:r>
        <w:rPr>
          <w:rFonts w:ascii="Book Antiqua" w:eastAsia="Book Antiqua" w:hAnsi="Book Antiqua" w:cs="Book Antiqua"/>
          <w:color w:val="000000"/>
        </w:rPr>
        <w:t>CheckMate</w:t>
      </w:r>
      <w:proofErr w:type="spellEnd"/>
      <w:r>
        <w:rPr>
          <w:rFonts w:ascii="Book Antiqua" w:eastAsia="Book Antiqua" w:hAnsi="Book Antiqua" w:cs="Book Antiqua"/>
          <w:color w:val="000000"/>
        </w:rPr>
        <w:t xml:space="preserve"> 142.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2022; </w:t>
      </w:r>
      <w:r>
        <w:rPr>
          <w:rFonts w:ascii="Book Antiqua" w:eastAsia="Book Antiqua" w:hAnsi="Book Antiqua" w:cs="Book Antiqua"/>
          <w:b/>
          <w:bCs/>
          <w:color w:val="000000"/>
        </w:rPr>
        <w:t>33</w:t>
      </w:r>
      <w:r>
        <w:rPr>
          <w:rFonts w:ascii="Book Antiqua" w:eastAsia="Book Antiqua" w:hAnsi="Book Antiqua" w:cs="Book Antiqua"/>
          <w:color w:val="000000"/>
        </w:rPr>
        <w:t>: 1052-1060 [PMID: 35764271 DOI: 10.1016/j.annonc.2022.06.008]</w:t>
      </w:r>
    </w:p>
    <w:p w14:paraId="6DFE6EC2" w14:textId="77777777" w:rsidR="00A31DCB" w:rsidRDefault="00000000">
      <w:pPr>
        <w:spacing w:line="360" w:lineRule="auto"/>
        <w:jc w:val="both"/>
      </w:pPr>
      <w:r>
        <w:rPr>
          <w:rFonts w:ascii="Book Antiqua" w:eastAsia="Book Antiqua" w:hAnsi="Book Antiqua" w:cs="Book Antiqua"/>
          <w:color w:val="000000"/>
        </w:rPr>
        <w:t xml:space="preserve">83 </w:t>
      </w:r>
      <w:r>
        <w:rPr>
          <w:rFonts w:ascii="Book Antiqua" w:eastAsia="Book Antiqua" w:hAnsi="Book Antiqua" w:cs="Book Antiqua"/>
          <w:b/>
          <w:bCs/>
          <w:color w:val="000000"/>
        </w:rPr>
        <w:t>Overman MJ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Lonardi</w:t>
      </w:r>
      <w:proofErr w:type="spellEnd"/>
      <w:r>
        <w:rPr>
          <w:rFonts w:ascii="Book Antiqua" w:eastAsia="Book Antiqua" w:hAnsi="Book Antiqua" w:cs="Book Antiqua"/>
          <w:color w:val="000000"/>
        </w:rPr>
        <w:t xml:space="preserve"> S, Wong KYM, Lenz HJ, </w:t>
      </w:r>
      <w:proofErr w:type="spellStart"/>
      <w:r>
        <w:rPr>
          <w:rFonts w:ascii="Book Antiqua" w:eastAsia="Book Antiqua" w:hAnsi="Book Antiqua" w:cs="Book Antiqua"/>
          <w:color w:val="000000"/>
        </w:rPr>
        <w:t>Gelsomino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Aglietta</w:t>
      </w:r>
      <w:proofErr w:type="spellEnd"/>
      <w:r>
        <w:rPr>
          <w:rFonts w:ascii="Book Antiqua" w:eastAsia="Book Antiqua" w:hAnsi="Book Antiqua" w:cs="Book Antiqua"/>
          <w:color w:val="000000"/>
        </w:rPr>
        <w:t xml:space="preserve"> M, Morse MA, Van </w:t>
      </w:r>
      <w:proofErr w:type="spellStart"/>
      <w:r>
        <w:rPr>
          <w:rFonts w:ascii="Book Antiqua" w:eastAsia="Book Antiqua" w:hAnsi="Book Antiqua" w:cs="Book Antiqua"/>
          <w:color w:val="000000"/>
        </w:rPr>
        <w:t>Cutsem</w:t>
      </w:r>
      <w:proofErr w:type="spellEnd"/>
      <w:r>
        <w:rPr>
          <w:rFonts w:ascii="Book Antiqua" w:eastAsia="Book Antiqua" w:hAnsi="Book Antiqua" w:cs="Book Antiqua"/>
          <w:color w:val="000000"/>
        </w:rPr>
        <w:t xml:space="preserve"> E, McDermott R, Hill A, Sawyer MB, </w:t>
      </w:r>
      <w:proofErr w:type="spellStart"/>
      <w:r>
        <w:rPr>
          <w:rFonts w:ascii="Book Antiqua" w:eastAsia="Book Antiqua" w:hAnsi="Book Antiqua" w:cs="Book Antiqua"/>
          <w:color w:val="000000"/>
        </w:rPr>
        <w:t>Hendlisz</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Neyns</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Svrcek</w:t>
      </w:r>
      <w:proofErr w:type="spellEnd"/>
      <w:r>
        <w:rPr>
          <w:rFonts w:ascii="Book Antiqua" w:eastAsia="Book Antiqua" w:hAnsi="Book Antiqua" w:cs="Book Antiqua"/>
          <w:color w:val="000000"/>
        </w:rPr>
        <w:t xml:space="preserve"> M, Moss RA, </w:t>
      </w:r>
      <w:proofErr w:type="spellStart"/>
      <w:r>
        <w:rPr>
          <w:rFonts w:ascii="Book Antiqua" w:eastAsia="Book Antiqua" w:hAnsi="Book Antiqua" w:cs="Book Antiqua"/>
          <w:color w:val="000000"/>
        </w:rPr>
        <w:t>Ledeine</w:t>
      </w:r>
      <w:proofErr w:type="spellEnd"/>
      <w:r>
        <w:rPr>
          <w:rFonts w:ascii="Book Antiqua" w:eastAsia="Book Antiqua" w:hAnsi="Book Antiqua" w:cs="Book Antiqua"/>
          <w:color w:val="000000"/>
        </w:rPr>
        <w:t xml:space="preserve"> JM, Cao ZA, </w:t>
      </w:r>
      <w:proofErr w:type="spellStart"/>
      <w:r>
        <w:rPr>
          <w:rFonts w:ascii="Book Antiqua" w:eastAsia="Book Antiqua" w:hAnsi="Book Antiqua" w:cs="Book Antiqua"/>
          <w:color w:val="000000"/>
        </w:rPr>
        <w:t>Kamble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Kopetz</w:t>
      </w:r>
      <w:proofErr w:type="spellEnd"/>
      <w:r>
        <w:rPr>
          <w:rFonts w:ascii="Book Antiqua" w:eastAsia="Book Antiqua" w:hAnsi="Book Antiqua" w:cs="Book Antiqua"/>
          <w:color w:val="000000"/>
        </w:rPr>
        <w:t xml:space="preserve"> S, André T. Durable Clinical Benefit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Nivolumab Plus Ipilimumab in DNA Mismatch Repair-Deficient/Microsatellite Instability-High Metastatic Colorectal Cancer.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36</w:t>
      </w:r>
      <w:r>
        <w:rPr>
          <w:rFonts w:ascii="Book Antiqua" w:eastAsia="Book Antiqua" w:hAnsi="Book Antiqua" w:cs="Book Antiqua"/>
          <w:color w:val="000000"/>
        </w:rPr>
        <w:t>: 773-779 [PMID: 29355075 DOI: 10.1200/JCO.2017.76.9901]</w:t>
      </w:r>
    </w:p>
    <w:p w14:paraId="54EBEF94" w14:textId="77777777" w:rsidR="00A31DCB" w:rsidRDefault="00000000">
      <w:pPr>
        <w:spacing w:line="360" w:lineRule="auto"/>
        <w:jc w:val="both"/>
      </w:pPr>
      <w:r>
        <w:rPr>
          <w:rFonts w:ascii="Book Antiqua" w:eastAsia="Book Antiqua" w:hAnsi="Book Antiqua" w:cs="Book Antiqua"/>
          <w:color w:val="000000"/>
        </w:rPr>
        <w:t xml:space="preserve">84 </w:t>
      </w:r>
      <w:r>
        <w:rPr>
          <w:rFonts w:ascii="Book Antiqua" w:eastAsia="Book Antiqua" w:hAnsi="Book Antiqua" w:cs="Book Antiqua"/>
          <w:b/>
          <w:bCs/>
          <w:color w:val="000000"/>
        </w:rPr>
        <w:t>Lenz HJ</w:t>
      </w:r>
      <w:r>
        <w:rPr>
          <w:rFonts w:ascii="Book Antiqua" w:eastAsia="Book Antiqua" w:hAnsi="Book Antiqua" w:cs="Book Antiqua"/>
          <w:color w:val="000000"/>
        </w:rPr>
        <w:t xml:space="preserve">, Van </w:t>
      </w:r>
      <w:proofErr w:type="spellStart"/>
      <w:r>
        <w:rPr>
          <w:rFonts w:ascii="Book Antiqua" w:eastAsia="Book Antiqua" w:hAnsi="Book Antiqua" w:cs="Book Antiqua"/>
          <w:color w:val="000000"/>
        </w:rPr>
        <w:t>Cutsem</w:t>
      </w:r>
      <w:proofErr w:type="spellEnd"/>
      <w:r>
        <w:rPr>
          <w:rFonts w:ascii="Book Antiqua" w:eastAsia="Book Antiqua" w:hAnsi="Book Antiqua" w:cs="Book Antiqua"/>
          <w:color w:val="000000"/>
        </w:rPr>
        <w:t xml:space="preserve"> E, Luisa Limon M, Wong KYM, </w:t>
      </w:r>
      <w:proofErr w:type="spellStart"/>
      <w:r>
        <w:rPr>
          <w:rFonts w:ascii="Book Antiqua" w:eastAsia="Book Antiqua" w:hAnsi="Book Antiqua" w:cs="Book Antiqua"/>
          <w:color w:val="000000"/>
        </w:rPr>
        <w:t>Hendlisz</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Aglietta</w:t>
      </w:r>
      <w:proofErr w:type="spellEnd"/>
      <w:r>
        <w:rPr>
          <w:rFonts w:ascii="Book Antiqua" w:eastAsia="Book Antiqua" w:hAnsi="Book Antiqua" w:cs="Book Antiqua"/>
          <w:color w:val="000000"/>
        </w:rPr>
        <w:t xml:space="preserve"> M, García-Alfonso P, </w:t>
      </w:r>
      <w:proofErr w:type="spellStart"/>
      <w:r>
        <w:rPr>
          <w:rFonts w:ascii="Book Antiqua" w:eastAsia="Book Antiqua" w:hAnsi="Book Antiqua" w:cs="Book Antiqua"/>
          <w:color w:val="000000"/>
        </w:rPr>
        <w:t>Neyns</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Luppi</w:t>
      </w:r>
      <w:proofErr w:type="spellEnd"/>
      <w:r>
        <w:rPr>
          <w:rFonts w:ascii="Book Antiqua" w:eastAsia="Book Antiqua" w:hAnsi="Book Antiqua" w:cs="Book Antiqua"/>
          <w:color w:val="000000"/>
        </w:rPr>
        <w:t xml:space="preserve"> G, Cardin DB, </w:t>
      </w:r>
      <w:proofErr w:type="spellStart"/>
      <w:r>
        <w:rPr>
          <w:rFonts w:ascii="Book Antiqua" w:eastAsia="Book Antiqua" w:hAnsi="Book Antiqua" w:cs="Book Antiqua"/>
          <w:color w:val="000000"/>
        </w:rPr>
        <w:t>Dragovich</w:t>
      </w:r>
      <w:proofErr w:type="spellEnd"/>
      <w:r>
        <w:rPr>
          <w:rFonts w:ascii="Book Antiqua" w:eastAsia="Book Antiqua" w:hAnsi="Book Antiqua" w:cs="Book Antiqua"/>
          <w:color w:val="000000"/>
        </w:rPr>
        <w:t xml:space="preserve"> T, Shah U, </w:t>
      </w:r>
      <w:proofErr w:type="spellStart"/>
      <w:r>
        <w:rPr>
          <w:rFonts w:ascii="Book Antiqua" w:eastAsia="Book Antiqua" w:hAnsi="Book Antiqua" w:cs="Book Antiqua"/>
          <w:color w:val="000000"/>
        </w:rPr>
        <w:t>Abdullaev</w:t>
      </w:r>
      <w:proofErr w:type="spellEnd"/>
      <w:r>
        <w:rPr>
          <w:rFonts w:ascii="Book Antiqua" w:eastAsia="Book Antiqua" w:hAnsi="Book Antiqua" w:cs="Book Antiqua"/>
          <w:color w:val="000000"/>
        </w:rPr>
        <w:t xml:space="preserve"> S, Gricar J, </w:t>
      </w:r>
      <w:proofErr w:type="spellStart"/>
      <w:r>
        <w:rPr>
          <w:rFonts w:ascii="Book Antiqua" w:eastAsia="Book Antiqua" w:hAnsi="Book Antiqua" w:cs="Book Antiqua"/>
          <w:color w:val="000000"/>
        </w:rPr>
        <w:t>Ledeine</w:t>
      </w:r>
      <w:proofErr w:type="spellEnd"/>
      <w:r>
        <w:rPr>
          <w:rFonts w:ascii="Book Antiqua" w:eastAsia="Book Antiqua" w:hAnsi="Book Antiqua" w:cs="Book Antiqua"/>
          <w:color w:val="000000"/>
        </w:rPr>
        <w:t xml:space="preserve"> JM, Overman MJ, </w:t>
      </w:r>
      <w:proofErr w:type="spellStart"/>
      <w:r>
        <w:rPr>
          <w:rFonts w:ascii="Book Antiqua" w:eastAsia="Book Antiqua" w:hAnsi="Book Antiqua" w:cs="Book Antiqua"/>
          <w:color w:val="000000"/>
        </w:rPr>
        <w:t>Lonardi</w:t>
      </w:r>
      <w:proofErr w:type="spellEnd"/>
      <w:r>
        <w:rPr>
          <w:rFonts w:ascii="Book Antiqua" w:eastAsia="Book Antiqua" w:hAnsi="Book Antiqua" w:cs="Book Antiqua"/>
          <w:color w:val="000000"/>
        </w:rPr>
        <w:t xml:space="preserve"> S. First-Line Nivolumab Plus Low-Dose Ipilimumab for Microsatellite Instability-High/Mismatch Repair-Deficient Metastatic Colorectal Cancer: The Phase II </w:t>
      </w:r>
      <w:proofErr w:type="spellStart"/>
      <w:r>
        <w:rPr>
          <w:rFonts w:ascii="Book Antiqua" w:eastAsia="Book Antiqua" w:hAnsi="Book Antiqua" w:cs="Book Antiqua"/>
          <w:color w:val="000000"/>
        </w:rPr>
        <w:t>CheckMate</w:t>
      </w:r>
      <w:proofErr w:type="spellEnd"/>
      <w:r>
        <w:rPr>
          <w:rFonts w:ascii="Book Antiqua" w:eastAsia="Book Antiqua" w:hAnsi="Book Antiqua" w:cs="Book Antiqua"/>
          <w:color w:val="000000"/>
        </w:rPr>
        <w:t xml:space="preserve"> 142 Study.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2022; </w:t>
      </w:r>
      <w:r>
        <w:rPr>
          <w:rFonts w:ascii="Book Antiqua" w:eastAsia="Book Antiqua" w:hAnsi="Book Antiqua" w:cs="Book Antiqua"/>
          <w:b/>
          <w:bCs/>
          <w:color w:val="000000"/>
        </w:rPr>
        <w:t>40</w:t>
      </w:r>
      <w:r>
        <w:rPr>
          <w:rFonts w:ascii="Book Antiqua" w:eastAsia="Book Antiqua" w:hAnsi="Book Antiqua" w:cs="Book Antiqua"/>
          <w:color w:val="000000"/>
        </w:rPr>
        <w:t>: 161-170 [PMID: 34637336 DOI: 10.1200/JCO.21.01015]</w:t>
      </w:r>
    </w:p>
    <w:p w14:paraId="7A52D834" w14:textId="77777777" w:rsidR="00A31DCB" w:rsidRDefault="00000000">
      <w:pPr>
        <w:spacing w:line="360" w:lineRule="auto"/>
        <w:jc w:val="both"/>
      </w:pPr>
      <w:r>
        <w:rPr>
          <w:rFonts w:ascii="Book Antiqua" w:eastAsia="Book Antiqua" w:hAnsi="Book Antiqua" w:cs="Book Antiqua"/>
          <w:color w:val="000000"/>
        </w:rPr>
        <w:lastRenderedPageBreak/>
        <w:t xml:space="preserve">85 </w:t>
      </w:r>
      <w:r>
        <w:rPr>
          <w:rFonts w:ascii="Book Antiqua" w:eastAsia="Book Antiqua" w:hAnsi="Book Antiqua" w:cs="Book Antiqua"/>
          <w:b/>
          <w:bCs/>
          <w:color w:val="000000"/>
        </w:rPr>
        <w:t>Kim JH</w:t>
      </w:r>
      <w:r>
        <w:rPr>
          <w:rFonts w:ascii="Book Antiqua" w:eastAsia="Book Antiqua" w:hAnsi="Book Antiqua" w:cs="Book Antiqua"/>
          <w:color w:val="000000"/>
        </w:rPr>
        <w:t xml:space="preserve">, Kim SY, Baek JY, Cha YJ, Ahn JB, Kim HS, Lee KW, Kim JW, Kim TY, Chang WJ, Park JO, Kim J, Kim JE, Hong YS, Kim YH, Kim TW. A Phase II Study of Avelumab Monotherapy in Patients with Mismatch Repair-Deficient/Microsatellite Instability-High or POLE-Mutated Metastatic or Unresectable Colorectal Cancer. </w:t>
      </w:r>
      <w:r>
        <w:rPr>
          <w:rFonts w:ascii="Book Antiqua" w:eastAsia="Book Antiqua" w:hAnsi="Book Antiqua" w:cs="Book Antiqua"/>
          <w:i/>
          <w:iCs/>
          <w:color w:val="000000"/>
        </w:rPr>
        <w:t>Cancer Res Treat</w:t>
      </w:r>
      <w:r>
        <w:rPr>
          <w:rFonts w:ascii="Book Antiqua" w:eastAsia="Book Antiqua" w:hAnsi="Book Antiqua" w:cs="Book Antiqua"/>
          <w:color w:val="000000"/>
        </w:rPr>
        <w:t xml:space="preserve"> 2020; </w:t>
      </w:r>
      <w:r>
        <w:rPr>
          <w:rFonts w:ascii="Book Antiqua" w:eastAsia="Book Antiqua" w:hAnsi="Book Antiqua" w:cs="Book Antiqua"/>
          <w:b/>
          <w:bCs/>
          <w:color w:val="000000"/>
        </w:rPr>
        <w:t>52</w:t>
      </w:r>
      <w:r>
        <w:rPr>
          <w:rFonts w:ascii="Book Antiqua" w:eastAsia="Book Antiqua" w:hAnsi="Book Antiqua" w:cs="Book Antiqua"/>
          <w:color w:val="000000"/>
        </w:rPr>
        <w:t>: 1135-1144 [PMID: 32340084 DOI: 10.4143/crt.2020.218]</w:t>
      </w:r>
    </w:p>
    <w:p w14:paraId="573D421E" w14:textId="77777777" w:rsidR="00A31DCB" w:rsidRDefault="00000000">
      <w:pPr>
        <w:spacing w:line="360" w:lineRule="auto"/>
        <w:jc w:val="both"/>
      </w:pPr>
      <w:r>
        <w:rPr>
          <w:rFonts w:ascii="Book Antiqua" w:eastAsia="Book Antiqua" w:hAnsi="Book Antiqua" w:cs="Book Antiqua"/>
          <w:color w:val="000000"/>
        </w:rPr>
        <w:t xml:space="preserve">86 </w:t>
      </w:r>
      <w:r>
        <w:rPr>
          <w:rFonts w:ascii="Book Antiqua" w:eastAsia="Book Antiqua" w:hAnsi="Book Antiqua" w:cs="Book Antiqua"/>
          <w:b/>
          <w:bCs/>
          <w:color w:val="000000"/>
        </w:rPr>
        <w:t>Martinelli E</w:t>
      </w:r>
      <w:r>
        <w:rPr>
          <w:rFonts w:ascii="Book Antiqua" w:eastAsia="Book Antiqua" w:hAnsi="Book Antiqua" w:cs="Book Antiqua"/>
          <w:color w:val="000000"/>
        </w:rPr>
        <w:t xml:space="preserve">, Martini G, </w:t>
      </w:r>
      <w:proofErr w:type="spellStart"/>
      <w:r>
        <w:rPr>
          <w:rFonts w:ascii="Book Antiqua" w:eastAsia="Book Antiqua" w:hAnsi="Book Antiqua" w:cs="Book Antiqua"/>
          <w:color w:val="000000"/>
        </w:rPr>
        <w:t>Famiglietti</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Troiani</w:t>
      </w:r>
      <w:proofErr w:type="spellEnd"/>
      <w:r>
        <w:rPr>
          <w:rFonts w:ascii="Book Antiqua" w:eastAsia="Book Antiqua" w:hAnsi="Book Antiqua" w:cs="Book Antiqua"/>
          <w:color w:val="000000"/>
        </w:rPr>
        <w:t xml:space="preserve"> T, Napolitano S, </w:t>
      </w:r>
      <w:proofErr w:type="spellStart"/>
      <w:r>
        <w:rPr>
          <w:rFonts w:ascii="Book Antiqua" w:eastAsia="Book Antiqua" w:hAnsi="Book Antiqua" w:cs="Book Antiqua"/>
          <w:color w:val="000000"/>
        </w:rPr>
        <w:t>Pietrantonio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Ciardiello</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Terminiello</w:t>
      </w:r>
      <w:proofErr w:type="spellEnd"/>
      <w:r>
        <w:rPr>
          <w:rFonts w:ascii="Book Antiqua" w:eastAsia="Book Antiqua" w:hAnsi="Book Antiqua" w:cs="Book Antiqua"/>
          <w:color w:val="000000"/>
        </w:rPr>
        <w:t xml:space="preserve"> M, Borrelli C, </w:t>
      </w:r>
      <w:proofErr w:type="spellStart"/>
      <w:r>
        <w:rPr>
          <w:rFonts w:ascii="Book Antiqua" w:eastAsia="Book Antiqua" w:hAnsi="Book Antiqua" w:cs="Book Antiqua"/>
          <w:color w:val="000000"/>
        </w:rPr>
        <w:t>Vitiello</w:t>
      </w:r>
      <w:proofErr w:type="spellEnd"/>
      <w:r>
        <w:rPr>
          <w:rFonts w:ascii="Book Antiqua" w:eastAsia="Book Antiqua" w:hAnsi="Book Antiqua" w:cs="Book Antiqua"/>
          <w:color w:val="000000"/>
        </w:rPr>
        <w:t xml:space="preserve"> PP, De </w:t>
      </w:r>
      <w:proofErr w:type="spellStart"/>
      <w:r>
        <w:rPr>
          <w:rFonts w:ascii="Book Antiqua" w:eastAsia="Book Antiqua" w:hAnsi="Book Antiqua" w:cs="Book Antiqua"/>
          <w:color w:val="000000"/>
        </w:rPr>
        <w:t>Braud</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Morano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Avallone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Normanno</w:t>
      </w:r>
      <w:proofErr w:type="spellEnd"/>
      <w:r>
        <w:rPr>
          <w:rFonts w:ascii="Book Antiqua" w:eastAsia="Book Antiqua" w:hAnsi="Book Antiqua" w:cs="Book Antiqua"/>
          <w:color w:val="000000"/>
        </w:rPr>
        <w:t xml:space="preserve"> N, Nappi A, </w:t>
      </w:r>
      <w:proofErr w:type="spellStart"/>
      <w:r>
        <w:rPr>
          <w:rFonts w:ascii="Book Antiqua" w:eastAsia="Book Antiqua" w:hAnsi="Book Antiqua" w:cs="Book Antiqua"/>
          <w:color w:val="000000"/>
        </w:rPr>
        <w:t>Maiello</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Latiano</w:t>
      </w:r>
      <w:proofErr w:type="spellEnd"/>
      <w:r>
        <w:rPr>
          <w:rFonts w:ascii="Book Antiqua" w:eastAsia="Book Antiqua" w:hAnsi="Book Antiqua" w:cs="Book Antiqua"/>
          <w:color w:val="000000"/>
        </w:rPr>
        <w:t xml:space="preserve"> T, Falcone A, </w:t>
      </w:r>
      <w:proofErr w:type="spellStart"/>
      <w:r>
        <w:rPr>
          <w:rFonts w:ascii="Book Antiqua" w:eastAsia="Book Antiqua" w:hAnsi="Book Antiqua" w:cs="Book Antiqua"/>
          <w:color w:val="000000"/>
        </w:rPr>
        <w:t>Cremolini</w:t>
      </w:r>
      <w:proofErr w:type="spellEnd"/>
      <w:r>
        <w:rPr>
          <w:rFonts w:ascii="Book Antiqua" w:eastAsia="Book Antiqua" w:hAnsi="Book Antiqua" w:cs="Book Antiqua"/>
          <w:color w:val="000000"/>
        </w:rPr>
        <w:t xml:space="preserve"> C, Rossini D, Santabarbara G, Pinto C, Santini D, Cardone C, </w:t>
      </w:r>
      <w:proofErr w:type="spellStart"/>
      <w:r>
        <w:rPr>
          <w:rFonts w:ascii="Book Antiqua" w:eastAsia="Book Antiqua" w:hAnsi="Book Antiqua" w:cs="Book Antiqua"/>
          <w:color w:val="000000"/>
        </w:rPr>
        <w:t>Zanaletti</w:t>
      </w:r>
      <w:proofErr w:type="spellEnd"/>
      <w:r>
        <w:rPr>
          <w:rFonts w:ascii="Book Antiqua" w:eastAsia="Book Antiqua" w:hAnsi="Book Antiqua" w:cs="Book Antiqua"/>
          <w:color w:val="000000"/>
        </w:rPr>
        <w:t xml:space="preserve"> N, Di </w:t>
      </w:r>
      <w:proofErr w:type="spellStart"/>
      <w:r>
        <w:rPr>
          <w:rFonts w:ascii="Book Antiqua" w:eastAsia="Book Antiqua" w:hAnsi="Book Antiqua" w:cs="Book Antiqua"/>
          <w:color w:val="000000"/>
        </w:rPr>
        <w:t>Liello</w:t>
      </w:r>
      <w:proofErr w:type="spellEnd"/>
      <w:r>
        <w:rPr>
          <w:rFonts w:ascii="Book Antiqua" w:eastAsia="Book Antiqua" w:hAnsi="Book Antiqua" w:cs="Book Antiqua"/>
          <w:color w:val="000000"/>
        </w:rPr>
        <w:t xml:space="preserve"> A, Renato D, Esposito L, </w:t>
      </w:r>
      <w:proofErr w:type="spellStart"/>
      <w:r>
        <w:rPr>
          <w:rFonts w:ascii="Book Antiqua" w:eastAsia="Book Antiqua" w:hAnsi="Book Antiqua" w:cs="Book Antiqua"/>
          <w:color w:val="000000"/>
        </w:rPr>
        <w:t>Marrone</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Ciardiello</w:t>
      </w:r>
      <w:proofErr w:type="spellEnd"/>
      <w:r>
        <w:rPr>
          <w:rFonts w:ascii="Book Antiqua" w:eastAsia="Book Antiqua" w:hAnsi="Book Antiqua" w:cs="Book Antiqua"/>
          <w:color w:val="000000"/>
        </w:rPr>
        <w:t xml:space="preserve"> F. Cetuximab Rechallenge Plus Avelumab in Pretreated Patients With RAS Wild-type Metastatic Colorectal Cancer: The Phase 2 Single-Arm Clinical CAVE Trial. </w:t>
      </w:r>
      <w:r>
        <w:rPr>
          <w:rFonts w:ascii="Book Antiqua" w:eastAsia="Book Antiqua" w:hAnsi="Book Antiqua" w:cs="Book Antiqua"/>
          <w:i/>
          <w:iCs/>
          <w:color w:val="000000"/>
        </w:rPr>
        <w:t>JAMA Oncol</w:t>
      </w:r>
      <w:r>
        <w:rPr>
          <w:rFonts w:ascii="Book Antiqua" w:eastAsia="Book Antiqua" w:hAnsi="Book Antiqua" w:cs="Book Antiqua"/>
          <w:color w:val="000000"/>
        </w:rPr>
        <w:t xml:space="preserve"> 2021; </w:t>
      </w:r>
      <w:r>
        <w:rPr>
          <w:rFonts w:ascii="Book Antiqua" w:eastAsia="Book Antiqua" w:hAnsi="Book Antiqua" w:cs="Book Antiqua"/>
          <w:b/>
          <w:bCs/>
          <w:color w:val="000000"/>
        </w:rPr>
        <w:t>7</w:t>
      </w:r>
      <w:r>
        <w:rPr>
          <w:rFonts w:ascii="Book Antiqua" w:eastAsia="Book Antiqua" w:hAnsi="Book Antiqua" w:cs="Book Antiqua"/>
          <w:color w:val="000000"/>
        </w:rPr>
        <w:t>: 1529-1535 [PMID: 34382998 DOI: 10.1001/jamaoncol.2021.2915]</w:t>
      </w:r>
    </w:p>
    <w:p w14:paraId="641E6338" w14:textId="77777777" w:rsidR="00A31DCB" w:rsidRDefault="00000000">
      <w:pPr>
        <w:spacing w:line="360" w:lineRule="auto"/>
        <w:jc w:val="both"/>
      </w:pPr>
      <w:r>
        <w:rPr>
          <w:rFonts w:ascii="Book Antiqua" w:eastAsia="Book Antiqua" w:hAnsi="Book Antiqua" w:cs="Book Antiqua"/>
          <w:color w:val="000000"/>
        </w:rPr>
        <w:t xml:space="preserve">87 </w:t>
      </w:r>
      <w:proofErr w:type="spellStart"/>
      <w:r>
        <w:rPr>
          <w:rFonts w:ascii="Book Antiqua" w:eastAsia="Book Antiqua" w:hAnsi="Book Antiqua" w:cs="Book Antiqua"/>
          <w:b/>
          <w:bCs/>
          <w:color w:val="000000"/>
        </w:rPr>
        <w:t>Lote</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Starling N, </w:t>
      </w:r>
      <w:proofErr w:type="spellStart"/>
      <w:r>
        <w:rPr>
          <w:rFonts w:ascii="Book Antiqua" w:eastAsia="Book Antiqua" w:hAnsi="Book Antiqua" w:cs="Book Antiqua"/>
          <w:color w:val="000000"/>
        </w:rPr>
        <w:t>Pihlak</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Gerlinger</w:t>
      </w:r>
      <w:proofErr w:type="spellEnd"/>
      <w:r>
        <w:rPr>
          <w:rFonts w:ascii="Book Antiqua" w:eastAsia="Book Antiqua" w:hAnsi="Book Antiqua" w:cs="Book Antiqua"/>
          <w:color w:val="000000"/>
        </w:rPr>
        <w:t xml:space="preserve"> M. Advances in immunotherapy for MMR proficient colorectal cancer. </w:t>
      </w:r>
      <w:r>
        <w:rPr>
          <w:rFonts w:ascii="Book Antiqua" w:eastAsia="Book Antiqua" w:hAnsi="Book Antiqua" w:cs="Book Antiqua"/>
          <w:i/>
          <w:iCs/>
          <w:color w:val="000000"/>
        </w:rPr>
        <w:t>Cancer Treat Rev</w:t>
      </w:r>
      <w:r>
        <w:rPr>
          <w:rFonts w:ascii="Book Antiqua" w:eastAsia="Book Antiqua" w:hAnsi="Book Antiqua" w:cs="Book Antiqua"/>
          <w:color w:val="000000"/>
        </w:rPr>
        <w:t xml:space="preserve"> 2022; </w:t>
      </w:r>
      <w:r>
        <w:rPr>
          <w:rFonts w:ascii="Book Antiqua" w:eastAsia="Book Antiqua" w:hAnsi="Book Antiqua" w:cs="Book Antiqua"/>
          <w:b/>
          <w:bCs/>
          <w:color w:val="000000"/>
        </w:rPr>
        <w:t>111</w:t>
      </w:r>
      <w:r>
        <w:rPr>
          <w:rFonts w:ascii="Book Antiqua" w:eastAsia="Book Antiqua" w:hAnsi="Book Antiqua" w:cs="Book Antiqua"/>
          <w:color w:val="000000"/>
        </w:rPr>
        <w:t>: 102480 [PMID: 36335756 DOI: 10.1016/j.ctrv.2022.102480]</w:t>
      </w:r>
    </w:p>
    <w:p w14:paraId="7CD151E0" w14:textId="77777777" w:rsidR="00A31DCB" w:rsidRDefault="00000000">
      <w:pPr>
        <w:spacing w:line="360" w:lineRule="auto"/>
        <w:jc w:val="both"/>
      </w:pPr>
      <w:r>
        <w:rPr>
          <w:rFonts w:ascii="Book Antiqua" w:eastAsia="Book Antiqua" w:hAnsi="Book Antiqua" w:cs="Book Antiqua"/>
          <w:color w:val="000000"/>
        </w:rPr>
        <w:t xml:space="preserve">88 </w:t>
      </w:r>
      <w:proofErr w:type="spellStart"/>
      <w:r>
        <w:rPr>
          <w:rFonts w:ascii="Book Antiqua" w:eastAsia="Book Antiqua" w:hAnsi="Book Antiqua" w:cs="Book Antiqua"/>
          <w:b/>
          <w:bCs/>
          <w:color w:val="000000"/>
        </w:rPr>
        <w:t>Pfirschke</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Engblom</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Rickelt</w:t>
      </w:r>
      <w:proofErr w:type="spellEnd"/>
      <w:r>
        <w:rPr>
          <w:rFonts w:ascii="Book Antiqua" w:eastAsia="Book Antiqua" w:hAnsi="Book Antiqua" w:cs="Book Antiqua"/>
          <w:color w:val="000000"/>
        </w:rPr>
        <w:t xml:space="preserve"> S, Cortez-</w:t>
      </w:r>
      <w:proofErr w:type="spellStart"/>
      <w:r>
        <w:rPr>
          <w:rFonts w:ascii="Book Antiqua" w:eastAsia="Book Antiqua" w:hAnsi="Book Antiqua" w:cs="Book Antiqua"/>
          <w:color w:val="000000"/>
        </w:rPr>
        <w:t>Retamozo</w:t>
      </w:r>
      <w:proofErr w:type="spellEnd"/>
      <w:r>
        <w:rPr>
          <w:rFonts w:ascii="Book Antiqua" w:eastAsia="Book Antiqua" w:hAnsi="Book Antiqua" w:cs="Book Antiqua"/>
          <w:color w:val="000000"/>
        </w:rPr>
        <w:t xml:space="preserve"> V, Garris C, Pucci F, Yamazaki T, Poirier-</w:t>
      </w:r>
      <w:proofErr w:type="spellStart"/>
      <w:r>
        <w:rPr>
          <w:rFonts w:ascii="Book Antiqua" w:eastAsia="Book Antiqua" w:hAnsi="Book Antiqua" w:cs="Book Antiqua"/>
          <w:color w:val="000000"/>
        </w:rPr>
        <w:t>Colame</w:t>
      </w:r>
      <w:proofErr w:type="spellEnd"/>
      <w:r>
        <w:rPr>
          <w:rFonts w:ascii="Book Antiqua" w:eastAsia="Book Antiqua" w:hAnsi="Book Antiqua" w:cs="Book Antiqua"/>
          <w:color w:val="000000"/>
        </w:rPr>
        <w:t xml:space="preserve"> V, Newton A, </w:t>
      </w:r>
      <w:proofErr w:type="spellStart"/>
      <w:r>
        <w:rPr>
          <w:rFonts w:ascii="Book Antiqua" w:eastAsia="Book Antiqua" w:hAnsi="Book Antiqua" w:cs="Book Antiqua"/>
          <w:color w:val="000000"/>
        </w:rPr>
        <w:t>Redouane</w:t>
      </w:r>
      <w:proofErr w:type="spellEnd"/>
      <w:r>
        <w:rPr>
          <w:rFonts w:ascii="Book Antiqua" w:eastAsia="Book Antiqua" w:hAnsi="Book Antiqua" w:cs="Book Antiqua"/>
          <w:color w:val="000000"/>
        </w:rPr>
        <w:t xml:space="preserve"> Y, Lin YJ, </w:t>
      </w:r>
      <w:proofErr w:type="spellStart"/>
      <w:r>
        <w:rPr>
          <w:rFonts w:ascii="Book Antiqua" w:eastAsia="Book Antiqua" w:hAnsi="Book Antiqua" w:cs="Book Antiqua"/>
          <w:color w:val="000000"/>
        </w:rPr>
        <w:t>Wojtkiewicz</w:t>
      </w:r>
      <w:proofErr w:type="spellEnd"/>
      <w:r>
        <w:rPr>
          <w:rFonts w:ascii="Book Antiqua" w:eastAsia="Book Antiqua" w:hAnsi="Book Antiqua" w:cs="Book Antiqua"/>
          <w:color w:val="000000"/>
        </w:rPr>
        <w:t xml:space="preserve"> G, Iwamoto Y, Mino-</w:t>
      </w:r>
      <w:proofErr w:type="spellStart"/>
      <w:r>
        <w:rPr>
          <w:rFonts w:ascii="Book Antiqua" w:eastAsia="Book Antiqua" w:hAnsi="Book Antiqua" w:cs="Book Antiqua"/>
          <w:color w:val="000000"/>
        </w:rPr>
        <w:t>Kenudson</w:t>
      </w:r>
      <w:proofErr w:type="spellEnd"/>
      <w:r>
        <w:rPr>
          <w:rFonts w:ascii="Book Antiqua" w:eastAsia="Book Antiqua" w:hAnsi="Book Antiqua" w:cs="Book Antiqua"/>
          <w:color w:val="000000"/>
        </w:rPr>
        <w:t xml:space="preserve"> M, Huynh TG, Hynes RO, Freeman GJ, Kroemer G, </w:t>
      </w:r>
      <w:proofErr w:type="spellStart"/>
      <w:r>
        <w:rPr>
          <w:rFonts w:ascii="Book Antiqua" w:eastAsia="Book Antiqua" w:hAnsi="Book Antiqua" w:cs="Book Antiqua"/>
          <w:color w:val="000000"/>
        </w:rPr>
        <w:t>Zitvogel</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Weissleder</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Pittet</w:t>
      </w:r>
      <w:proofErr w:type="spellEnd"/>
      <w:r>
        <w:rPr>
          <w:rFonts w:ascii="Book Antiqua" w:eastAsia="Book Antiqua" w:hAnsi="Book Antiqua" w:cs="Book Antiqua"/>
          <w:color w:val="000000"/>
        </w:rPr>
        <w:t xml:space="preserve"> MJ. Immunogenic Chemotherapy Sensitizes Tumors to Checkpoint Blockade Therapy. </w:t>
      </w:r>
      <w:r>
        <w:rPr>
          <w:rFonts w:ascii="Book Antiqua" w:eastAsia="Book Antiqua" w:hAnsi="Book Antiqua" w:cs="Book Antiqua"/>
          <w:i/>
          <w:iCs/>
          <w:color w:val="000000"/>
        </w:rPr>
        <w:t>Immunity</w:t>
      </w:r>
      <w:r>
        <w:rPr>
          <w:rFonts w:ascii="Book Antiqua" w:eastAsia="Book Antiqua" w:hAnsi="Book Antiqua" w:cs="Book Antiqua"/>
          <w:color w:val="000000"/>
        </w:rPr>
        <w:t xml:space="preserve"> 2016; </w:t>
      </w:r>
      <w:r>
        <w:rPr>
          <w:rFonts w:ascii="Book Antiqua" w:eastAsia="Book Antiqua" w:hAnsi="Book Antiqua" w:cs="Book Antiqua"/>
          <w:b/>
          <w:bCs/>
          <w:color w:val="000000"/>
        </w:rPr>
        <w:t>44</w:t>
      </w:r>
      <w:r>
        <w:rPr>
          <w:rFonts w:ascii="Book Antiqua" w:eastAsia="Book Antiqua" w:hAnsi="Book Antiqua" w:cs="Book Antiqua"/>
          <w:color w:val="000000"/>
        </w:rPr>
        <w:t>: 343-354 [PMID: 26872698 DOI: 10.1016/j.immuni.2015.11.024]</w:t>
      </w:r>
    </w:p>
    <w:p w14:paraId="053F0C38" w14:textId="77777777" w:rsidR="00A31DCB" w:rsidRDefault="00000000">
      <w:pPr>
        <w:spacing w:line="360" w:lineRule="auto"/>
        <w:jc w:val="both"/>
      </w:pPr>
      <w:r>
        <w:rPr>
          <w:rFonts w:ascii="Book Antiqua" w:eastAsia="Book Antiqua" w:hAnsi="Book Antiqua" w:cs="Book Antiqua"/>
          <w:color w:val="000000"/>
        </w:rPr>
        <w:t xml:space="preserve">89 </w:t>
      </w:r>
      <w:proofErr w:type="spellStart"/>
      <w:r>
        <w:rPr>
          <w:rFonts w:ascii="Book Antiqua" w:eastAsia="Book Antiqua" w:hAnsi="Book Antiqua" w:cs="Book Antiqua"/>
          <w:b/>
          <w:bCs/>
          <w:color w:val="000000"/>
        </w:rPr>
        <w:t>Herting</w:t>
      </w:r>
      <w:proofErr w:type="spellEnd"/>
      <w:r>
        <w:rPr>
          <w:rFonts w:ascii="Book Antiqua" w:eastAsia="Book Antiqua" w:hAnsi="Book Antiqua" w:cs="Book Antiqua"/>
          <w:b/>
          <w:bCs/>
          <w:color w:val="000000"/>
        </w:rPr>
        <w:t xml:space="preserve"> CJ</w:t>
      </w:r>
      <w:r>
        <w:rPr>
          <w:rFonts w:ascii="Book Antiqua" w:eastAsia="Book Antiqua" w:hAnsi="Book Antiqua" w:cs="Book Antiqua"/>
          <w:color w:val="000000"/>
        </w:rPr>
        <w:t xml:space="preserve">, Farren MR, Tong Y, Liu Z, O'Neil B, </w:t>
      </w:r>
      <w:proofErr w:type="spellStart"/>
      <w:r>
        <w:rPr>
          <w:rFonts w:ascii="Book Antiqua" w:eastAsia="Book Antiqua" w:hAnsi="Book Antiqua" w:cs="Book Antiqua"/>
          <w:color w:val="000000"/>
        </w:rPr>
        <w:t>Bekaii</w:t>
      </w:r>
      <w:proofErr w:type="spellEnd"/>
      <w:r>
        <w:rPr>
          <w:rFonts w:ascii="Book Antiqua" w:eastAsia="Book Antiqua" w:hAnsi="Book Antiqua" w:cs="Book Antiqua"/>
          <w:color w:val="000000"/>
        </w:rPr>
        <w:t xml:space="preserve">-Saab T, Noonan A, </w:t>
      </w:r>
      <w:proofErr w:type="spellStart"/>
      <w:r>
        <w:rPr>
          <w:rFonts w:ascii="Book Antiqua" w:eastAsia="Book Antiqua" w:hAnsi="Book Antiqua" w:cs="Book Antiqua"/>
          <w:color w:val="000000"/>
        </w:rPr>
        <w:t>McQuinn</w:t>
      </w:r>
      <w:proofErr w:type="spellEnd"/>
      <w:r>
        <w:rPr>
          <w:rFonts w:ascii="Book Antiqua" w:eastAsia="Book Antiqua" w:hAnsi="Book Antiqua" w:cs="Book Antiqua"/>
          <w:color w:val="000000"/>
        </w:rPr>
        <w:t xml:space="preserve"> C, Mace TA, </w:t>
      </w:r>
      <w:proofErr w:type="spellStart"/>
      <w:r>
        <w:rPr>
          <w:rFonts w:ascii="Book Antiqua" w:eastAsia="Book Antiqua" w:hAnsi="Book Antiqua" w:cs="Book Antiqua"/>
          <w:color w:val="000000"/>
        </w:rPr>
        <w:t>Shaib</w:t>
      </w:r>
      <w:proofErr w:type="spellEnd"/>
      <w:r>
        <w:rPr>
          <w:rFonts w:ascii="Book Antiqua" w:eastAsia="Book Antiqua" w:hAnsi="Book Antiqua" w:cs="Book Antiqua"/>
          <w:color w:val="000000"/>
        </w:rPr>
        <w:t xml:space="preserve"> W, Wu C, El-</w:t>
      </w:r>
      <w:proofErr w:type="spellStart"/>
      <w:r>
        <w:rPr>
          <w:rFonts w:ascii="Book Antiqua" w:eastAsia="Book Antiqua" w:hAnsi="Book Antiqua" w:cs="Book Antiqua"/>
          <w:color w:val="000000"/>
        </w:rPr>
        <w:t>Rayes</w:t>
      </w:r>
      <w:proofErr w:type="spellEnd"/>
      <w:r>
        <w:rPr>
          <w:rFonts w:ascii="Book Antiqua" w:eastAsia="Book Antiqua" w:hAnsi="Book Antiqua" w:cs="Book Antiqua"/>
          <w:color w:val="000000"/>
        </w:rPr>
        <w:t xml:space="preserve"> BF, </w:t>
      </w:r>
      <w:proofErr w:type="spellStart"/>
      <w:r>
        <w:rPr>
          <w:rFonts w:ascii="Book Antiqua" w:eastAsia="Book Antiqua" w:hAnsi="Book Antiqua" w:cs="Book Antiqua"/>
          <w:color w:val="000000"/>
        </w:rPr>
        <w:t>Shahda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Lesinski</w:t>
      </w:r>
      <w:proofErr w:type="spellEnd"/>
      <w:r>
        <w:rPr>
          <w:rFonts w:ascii="Book Antiqua" w:eastAsia="Book Antiqua" w:hAnsi="Book Antiqua" w:cs="Book Antiqua"/>
          <w:color w:val="000000"/>
        </w:rPr>
        <w:t xml:space="preserve"> GB. A multi-center, single-arm, phase </w:t>
      </w:r>
      <w:proofErr w:type="spellStart"/>
      <w:r>
        <w:rPr>
          <w:rFonts w:ascii="Book Antiqua" w:eastAsia="Book Antiqua" w:hAnsi="Book Antiqua" w:cs="Book Antiqua"/>
          <w:color w:val="000000"/>
        </w:rPr>
        <w:t>Ib</w:t>
      </w:r>
      <w:proofErr w:type="spellEnd"/>
      <w:r>
        <w:rPr>
          <w:rFonts w:ascii="Book Antiqua" w:eastAsia="Book Antiqua" w:hAnsi="Book Antiqua" w:cs="Book Antiqua"/>
          <w:color w:val="000000"/>
        </w:rPr>
        <w:t xml:space="preserve"> study of pembrolizumab (MK-3475) in combination with chemotherapy for patients with advanced colorectal cancer: HCRN GI14-186. </w:t>
      </w:r>
      <w:r>
        <w:rPr>
          <w:rFonts w:ascii="Book Antiqua" w:eastAsia="Book Antiqua" w:hAnsi="Book Antiqua" w:cs="Book Antiqua"/>
          <w:i/>
          <w:iCs/>
          <w:color w:val="000000"/>
        </w:rPr>
        <w:t xml:space="preserve">Cancer Immunol </w:t>
      </w:r>
      <w:proofErr w:type="spellStart"/>
      <w:r>
        <w:rPr>
          <w:rFonts w:ascii="Book Antiqua" w:eastAsia="Book Antiqua" w:hAnsi="Book Antiqua" w:cs="Book Antiqua"/>
          <w:i/>
          <w:iCs/>
          <w:color w:val="000000"/>
        </w:rPr>
        <w:t>Immunother</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70</w:t>
      </w:r>
      <w:r>
        <w:rPr>
          <w:rFonts w:ascii="Book Antiqua" w:eastAsia="Book Antiqua" w:hAnsi="Book Antiqua" w:cs="Book Antiqua"/>
          <w:color w:val="000000"/>
        </w:rPr>
        <w:t>: 3337-3348 [PMID: 34160684 DOI: 10.1007/s00262-021-02986-5]</w:t>
      </w:r>
    </w:p>
    <w:p w14:paraId="5EC46DF9" w14:textId="77777777" w:rsidR="00A31DCB" w:rsidRDefault="00000000">
      <w:pPr>
        <w:spacing w:line="360" w:lineRule="auto"/>
        <w:jc w:val="both"/>
      </w:pPr>
      <w:r>
        <w:rPr>
          <w:rFonts w:ascii="Book Antiqua" w:eastAsia="Book Antiqua" w:hAnsi="Book Antiqua" w:cs="Book Antiqua"/>
          <w:color w:val="000000"/>
        </w:rPr>
        <w:t xml:space="preserve">90 </w:t>
      </w:r>
      <w:proofErr w:type="spellStart"/>
      <w:r>
        <w:rPr>
          <w:rFonts w:ascii="Book Antiqua" w:eastAsia="Book Antiqua" w:hAnsi="Book Antiqua" w:cs="Book Antiqua"/>
          <w:b/>
          <w:bCs/>
          <w:color w:val="000000"/>
        </w:rPr>
        <w:t>Antoniotti</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Rossini D, </w:t>
      </w:r>
      <w:proofErr w:type="spellStart"/>
      <w:r>
        <w:rPr>
          <w:rFonts w:ascii="Book Antiqua" w:eastAsia="Book Antiqua" w:hAnsi="Book Antiqua" w:cs="Book Antiqua"/>
          <w:color w:val="000000"/>
        </w:rPr>
        <w:t>Pietrantonio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Catteau</w:t>
      </w:r>
      <w:proofErr w:type="spellEnd"/>
      <w:r>
        <w:rPr>
          <w:rFonts w:ascii="Book Antiqua" w:eastAsia="Book Antiqua" w:hAnsi="Book Antiqua" w:cs="Book Antiqua"/>
          <w:color w:val="000000"/>
        </w:rPr>
        <w:t xml:space="preserve"> A, Salvatore L, </w:t>
      </w:r>
      <w:proofErr w:type="spellStart"/>
      <w:r>
        <w:rPr>
          <w:rFonts w:ascii="Book Antiqua" w:eastAsia="Book Antiqua" w:hAnsi="Book Antiqua" w:cs="Book Antiqua"/>
          <w:color w:val="000000"/>
        </w:rPr>
        <w:t>Lonardi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Boquet</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Tamberi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Marmorino</w:t>
      </w:r>
      <w:proofErr w:type="spellEnd"/>
      <w:r>
        <w:rPr>
          <w:rFonts w:ascii="Book Antiqua" w:eastAsia="Book Antiqua" w:hAnsi="Book Antiqua" w:cs="Book Antiqua"/>
          <w:color w:val="000000"/>
        </w:rPr>
        <w:t xml:space="preserve"> F, Moretto R, </w:t>
      </w:r>
      <w:proofErr w:type="spellStart"/>
      <w:r>
        <w:rPr>
          <w:rFonts w:ascii="Book Antiqua" w:eastAsia="Book Antiqua" w:hAnsi="Book Antiqua" w:cs="Book Antiqua"/>
          <w:color w:val="000000"/>
        </w:rPr>
        <w:t>Ambrosini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Tamburini</w:t>
      </w:r>
      <w:proofErr w:type="spellEnd"/>
      <w:r>
        <w:rPr>
          <w:rFonts w:ascii="Book Antiqua" w:eastAsia="Book Antiqua" w:hAnsi="Book Antiqua" w:cs="Book Antiqua"/>
          <w:color w:val="000000"/>
        </w:rPr>
        <w:t xml:space="preserve"> E, Tortora G, </w:t>
      </w:r>
      <w:proofErr w:type="spellStart"/>
      <w:r>
        <w:rPr>
          <w:rFonts w:ascii="Book Antiqua" w:eastAsia="Book Antiqua" w:hAnsi="Book Antiqua" w:cs="Book Antiqua"/>
          <w:color w:val="000000"/>
        </w:rPr>
        <w:t>Passardi</w:t>
      </w:r>
      <w:proofErr w:type="spellEnd"/>
      <w:r>
        <w:rPr>
          <w:rFonts w:ascii="Book Antiqua" w:eastAsia="Book Antiqua" w:hAnsi="Book Antiqua" w:cs="Book Antiqua"/>
          <w:color w:val="000000"/>
        </w:rPr>
        <w:t xml:space="preserve"> A, Bergamo F, </w:t>
      </w:r>
      <w:proofErr w:type="spellStart"/>
      <w:r>
        <w:rPr>
          <w:rFonts w:ascii="Book Antiqua" w:eastAsia="Book Antiqua" w:hAnsi="Book Antiqua" w:cs="Book Antiqua"/>
          <w:color w:val="000000"/>
        </w:rPr>
        <w:t>Kassambara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Sbarrato</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Morano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Ritorto</w:t>
      </w:r>
      <w:proofErr w:type="spellEnd"/>
      <w:r>
        <w:rPr>
          <w:rFonts w:ascii="Book Antiqua" w:eastAsia="Book Antiqua" w:hAnsi="Book Antiqua" w:cs="Book Antiqua"/>
          <w:color w:val="000000"/>
        </w:rPr>
        <w:t xml:space="preserve"> G, Borelli B, </w:t>
      </w:r>
      <w:proofErr w:type="spellStart"/>
      <w:r>
        <w:rPr>
          <w:rFonts w:ascii="Book Antiqua" w:eastAsia="Book Antiqua" w:hAnsi="Book Antiqua" w:cs="Book Antiqua"/>
          <w:color w:val="000000"/>
        </w:rPr>
        <w:t>Boccaccino</w:t>
      </w:r>
      <w:proofErr w:type="spellEnd"/>
      <w:r>
        <w:rPr>
          <w:rFonts w:ascii="Book Antiqua" w:eastAsia="Book Antiqua" w:hAnsi="Book Antiqua" w:cs="Book Antiqua"/>
          <w:color w:val="000000"/>
        </w:rPr>
        <w:t xml:space="preserve"> A, </w:t>
      </w:r>
      <w:r>
        <w:rPr>
          <w:rFonts w:ascii="Book Antiqua" w:eastAsia="Book Antiqua" w:hAnsi="Book Antiqua" w:cs="Book Antiqua"/>
          <w:color w:val="000000"/>
        </w:rPr>
        <w:lastRenderedPageBreak/>
        <w:t xml:space="preserve">Conca V, Giordano M, </w:t>
      </w:r>
      <w:proofErr w:type="spellStart"/>
      <w:r>
        <w:rPr>
          <w:rFonts w:ascii="Book Antiqua" w:eastAsia="Book Antiqua" w:hAnsi="Book Antiqua" w:cs="Book Antiqua"/>
          <w:color w:val="000000"/>
        </w:rPr>
        <w:t>Ugolini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Fieschi</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Papadopulos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Massoué</w:t>
      </w:r>
      <w:proofErr w:type="spellEnd"/>
      <w:r>
        <w:rPr>
          <w:rFonts w:ascii="Book Antiqua" w:eastAsia="Book Antiqua" w:hAnsi="Book Antiqua" w:cs="Book Antiqua"/>
          <w:color w:val="000000"/>
        </w:rPr>
        <w:t xml:space="preserve"> C, Aprile G, </w:t>
      </w:r>
      <w:proofErr w:type="spellStart"/>
      <w:r>
        <w:rPr>
          <w:rFonts w:ascii="Book Antiqua" w:eastAsia="Book Antiqua" w:hAnsi="Book Antiqua" w:cs="Book Antiqua"/>
          <w:color w:val="000000"/>
        </w:rPr>
        <w:t>Antonuzzo</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Gelsomino</w:t>
      </w:r>
      <w:proofErr w:type="spellEnd"/>
      <w:r>
        <w:rPr>
          <w:rFonts w:ascii="Book Antiqua" w:eastAsia="Book Antiqua" w:hAnsi="Book Antiqua" w:cs="Book Antiqua"/>
          <w:color w:val="000000"/>
        </w:rPr>
        <w:t xml:space="preserve"> F, Martinelli E, Pella N, Masi G, Fontanini G, </w:t>
      </w:r>
      <w:proofErr w:type="spellStart"/>
      <w:r>
        <w:rPr>
          <w:rFonts w:ascii="Book Antiqua" w:eastAsia="Book Antiqua" w:hAnsi="Book Antiqua" w:cs="Book Antiqua"/>
          <w:color w:val="000000"/>
        </w:rPr>
        <w:t>Boni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Galon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Cremolini</w:t>
      </w:r>
      <w:proofErr w:type="spellEnd"/>
      <w:r>
        <w:rPr>
          <w:rFonts w:ascii="Book Antiqua" w:eastAsia="Book Antiqua" w:hAnsi="Book Antiqua" w:cs="Book Antiqua"/>
          <w:color w:val="000000"/>
        </w:rPr>
        <w:t xml:space="preserve"> C; GONO Foundation Investigators. Upfront FOLFOXIRI plus bevacizumab with or without atezolizumab in the treatment of patients with metastatic colorectal cancer (</w:t>
      </w:r>
      <w:proofErr w:type="spellStart"/>
      <w:r>
        <w:rPr>
          <w:rFonts w:ascii="Book Antiqua" w:eastAsia="Book Antiqua" w:hAnsi="Book Antiqua" w:cs="Book Antiqua"/>
          <w:color w:val="000000"/>
        </w:rPr>
        <w:t>AtezoTRIBE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open-label</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controlled, phase 2 trial. </w:t>
      </w:r>
      <w:r>
        <w:rPr>
          <w:rFonts w:ascii="Book Antiqua" w:eastAsia="Book Antiqua" w:hAnsi="Book Antiqua" w:cs="Book Antiqua"/>
          <w:i/>
          <w:iCs/>
          <w:color w:val="000000"/>
        </w:rPr>
        <w:t>Lancet Oncol</w:t>
      </w:r>
      <w:r>
        <w:rPr>
          <w:rFonts w:ascii="Book Antiqua" w:eastAsia="Book Antiqua" w:hAnsi="Book Antiqua" w:cs="Book Antiqua"/>
          <w:color w:val="000000"/>
        </w:rPr>
        <w:t xml:space="preserve"> 2022; </w:t>
      </w:r>
      <w:r>
        <w:rPr>
          <w:rFonts w:ascii="Book Antiqua" w:eastAsia="Book Antiqua" w:hAnsi="Book Antiqua" w:cs="Book Antiqua"/>
          <w:b/>
          <w:bCs/>
          <w:color w:val="000000"/>
        </w:rPr>
        <w:t>23</w:t>
      </w:r>
      <w:r>
        <w:rPr>
          <w:rFonts w:ascii="Book Antiqua" w:eastAsia="Book Antiqua" w:hAnsi="Book Antiqua" w:cs="Book Antiqua"/>
          <w:color w:val="000000"/>
        </w:rPr>
        <w:t>: 876-887 [PMID: 35636444 DOI: 10.1016/S1470-2045(22)00274-1]</w:t>
      </w:r>
    </w:p>
    <w:p w14:paraId="30BBDB0D" w14:textId="77777777" w:rsidR="00A31DCB" w:rsidRDefault="00000000">
      <w:pPr>
        <w:spacing w:line="360" w:lineRule="auto"/>
        <w:jc w:val="both"/>
      </w:pPr>
      <w:r>
        <w:rPr>
          <w:rFonts w:ascii="Book Antiqua" w:eastAsia="Book Antiqua" w:hAnsi="Book Antiqua" w:cs="Book Antiqua"/>
          <w:color w:val="000000"/>
        </w:rPr>
        <w:t xml:space="preserve">91 </w:t>
      </w:r>
      <w:proofErr w:type="spellStart"/>
      <w:r>
        <w:rPr>
          <w:rFonts w:ascii="Book Antiqua" w:eastAsia="Book Antiqua" w:hAnsi="Book Antiqua" w:cs="Book Antiqua"/>
          <w:b/>
          <w:bCs/>
          <w:color w:val="000000"/>
        </w:rPr>
        <w:t>Morano</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Raimondi A, Pagani F, </w:t>
      </w:r>
      <w:proofErr w:type="spellStart"/>
      <w:r>
        <w:rPr>
          <w:rFonts w:ascii="Book Antiqua" w:eastAsia="Book Antiqua" w:hAnsi="Book Antiqua" w:cs="Book Antiqua"/>
          <w:color w:val="000000"/>
        </w:rPr>
        <w:t>Lonardi</w:t>
      </w:r>
      <w:proofErr w:type="spellEnd"/>
      <w:r>
        <w:rPr>
          <w:rFonts w:ascii="Book Antiqua" w:eastAsia="Book Antiqua" w:hAnsi="Book Antiqua" w:cs="Book Antiqua"/>
          <w:color w:val="000000"/>
        </w:rPr>
        <w:t xml:space="preserve"> S, Salvatore L, </w:t>
      </w:r>
      <w:proofErr w:type="spellStart"/>
      <w:r>
        <w:rPr>
          <w:rFonts w:ascii="Book Antiqua" w:eastAsia="Book Antiqua" w:hAnsi="Book Antiqua" w:cs="Book Antiqua"/>
          <w:color w:val="000000"/>
        </w:rPr>
        <w:t>Cremolini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Murgioni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Randon</w:t>
      </w:r>
      <w:proofErr w:type="spellEnd"/>
      <w:r>
        <w:rPr>
          <w:rFonts w:ascii="Book Antiqua" w:eastAsia="Book Antiqua" w:hAnsi="Book Antiqua" w:cs="Book Antiqua"/>
          <w:color w:val="000000"/>
        </w:rPr>
        <w:t xml:space="preserve"> G, Palermo F, </w:t>
      </w:r>
      <w:proofErr w:type="spellStart"/>
      <w:r>
        <w:rPr>
          <w:rFonts w:ascii="Book Antiqua" w:eastAsia="Book Antiqua" w:hAnsi="Book Antiqua" w:cs="Book Antiqua"/>
          <w:color w:val="000000"/>
        </w:rPr>
        <w:t>Antonuzzo</w:t>
      </w:r>
      <w:proofErr w:type="spellEnd"/>
      <w:r>
        <w:rPr>
          <w:rFonts w:ascii="Book Antiqua" w:eastAsia="Book Antiqua" w:hAnsi="Book Antiqua" w:cs="Book Antiqua"/>
          <w:color w:val="000000"/>
        </w:rPr>
        <w:t xml:space="preserve"> L, Pella N, </w:t>
      </w:r>
      <w:proofErr w:type="spellStart"/>
      <w:r>
        <w:rPr>
          <w:rFonts w:ascii="Book Antiqua" w:eastAsia="Book Antiqua" w:hAnsi="Book Antiqua" w:cs="Book Antiqua"/>
          <w:color w:val="000000"/>
        </w:rPr>
        <w:t>Racca</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Prisciandaro</w:t>
      </w:r>
      <w:proofErr w:type="spellEnd"/>
      <w:r>
        <w:rPr>
          <w:rFonts w:ascii="Book Antiqua" w:eastAsia="Book Antiqua" w:hAnsi="Book Antiqua" w:cs="Book Antiqua"/>
          <w:color w:val="000000"/>
        </w:rPr>
        <w:t xml:space="preserve"> M, Niger M, </w:t>
      </w:r>
      <w:proofErr w:type="spellStart"/>
      <w:r>
        <w:rPr>
          <w:rFonts w:ascii="Book Antiqua" w:eastAsia="Book Antiqua" w:hAnsi="Book Antiqua" w:cs="Book Antiqua"/>
          <w:color w:val="000000"/>
        </w:rPr>
        <w:t>Corti</w:t>
      </w:r>
      <w:proofErr w:type="spellEnd"/>
      <w:r>
        <w:rPr>
          <w:rFonts w:ascii="Book Antiqua" w:eastAsia="Book Antiqua" w:hAnsi="Book Antiqua" w:cs="Book Antiqua"/>
          <w:color w:val="000000"/>
        </w:rPr>
        <w:t xml:space="preserve"> F, Bergamo F, </w:t>
      </w:r>
      <w:proofErr w:type="spellStart"/>
      <w:r>
        <w:rPr>
          <w:rFonts w:ascii="Book Antiqua" w:eastAsia="Book Antiqua" w:hAnsi="Book Antiqua" w:cs="Book Antiqua"/>
          <w:color w:val="000000"/>
        </w:rPr>
        <w:t>Zaniboni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Ratti</w:t>
      </w:r>
      <w:proofErr w:type="spellEnd"/>
      <w:r>
        <w:rPr>
          <w:rFonts w:ascii="Book Antiqua" w:eastAsia="Book Antiqua" w:hAnsi="Book Antiqua" w:cs="Book Antiqua"/>
          <w:color w:val="000000"/>
        </w:rPr>
        <w:t xml:space="preserve"> M, Palazzo M, </w:t>
      </w:r>
      <w:proofErr w:type="spellStart"/>
      <w:r>
        <w:rPr>
          <w:rFonts w:ascii="Book Antiqua" w:eastAsia="Book Antiqua" w:hAnsi="Book Antiqua" w:cs="Book Antiqua"/>
          <w:color w:val="000000"/>
        </w:rPr>
        <w:t>Cagnazzo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Calegari</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Marmorino</w:t>
      </w:r>
      <w:proofErr w:type="spellEnd"/>
      <w:r>
        <w:rPr>
          <w:rFonts w:ascii="Book Antiqua" w:eastAsia="Book Antiqua" w:hAnsi="Book Antiqua" w:cs="Book Antiqua"/>
          <w:color w:val="000000"/>
        </w:rPr>
        <w:t xml:space="preserve"> F, Capone I, Conca E, </w:t>
      </w:r>
      <w:proofErr w:type="spellStart"/>
      <w:r>
        <w:rPr>
          <w:rFonts w:ascii="Book Antiqua" w:eastAsia="Book Antiqua" w:hAnsi="Book Antiqua" w:cs="Book Antiqua"/>
          <w:color w:val="000000"/>
        </w:rPr>
        <w:t>Busico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Brich</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Tamborini</w:t>
      </w:r>
      <w:proofErr w:type="spellEnd"/>
      <w:r>
        <w:rPr>
          <w:rFonts w:ascii="Book Antiqua" w:eastAsia="Book Antiqua" w:hAnsi="Book Antiqua" w:cs="Book Antiqua"/>
          <w:color w:val="000000"/>
        </w:rPr>
        <w:t xml:space="preserve"> E, Perrone F, Di Maio M, </w:t>
      </w:r>
      <w:proofErr w:type="spellStart"/>
      <w:r>
        <w:rPr>
          <w:rFonts w:ascii="Book Antiqua" w:eastAsia="Book Antiqua" w:hAnsi="Book Antiqua" w:cs="Book Antiqua"/>
          <w:color w:val="000000"/>
        </w:rPr>
        <w:t>Milione</w:t>
      </w:r>
      <w:proofErr w:type="spellEnd"/>
      <w:r>
        <w:rPr>
          <w:rFonts w:ascii="Book Antiqua" w:eastAsia="Book Antiqua" w:hAnsi="Book Antiqua" w:cs="Book Antiqua"/>
          <w:color w:val="000000"/>
        </w:rPr>
        <w:t xml:space="preserve"> M, Di Bartolomeo M, de </w:t>
      </w:r>
      <w:proofErr w:type="spellStart"/>
      <w:r>
        <w:rPr>
          <w:rFonts w:ascii="Book Antiqua" w:eastAsia="Book Antiqua" w:hAnsi="Book Antiqua" w:cs="Book Antiqua"/>
          <w:color w:val="000000"/>
        </w:rPr>
        <w:t>Braud</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Pietrantonio</w:t>
      </w:r>
      <w:proofErr w:type="spellEnd"/>
      <w:r>
        <w:rPr>
          <w:rFonts w:ascii="Book Antiqua" w:eastAsia="Book Antiqua" w:hAnsi="Book Antiqua" w:cs="Book Antiqua"/>
          <w:color w:val="000000"/>
        </w:rPr>
        <w:t xml:space="preserve"> F. Temozolomide Followed by Combination With Low-Dose Ipilimumab and Nivolumab in Patients With Microsatellite-Stable, O(6)-Methylguanine-DNA Methyltransferase-Silenced Metastatic Colorectal Cancer: The MAYA Trial.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2022; </w:t>
      </w:r>
      <w:r>
        <w:rPr>
          <w:rFonts w:ascii="Book Antiqua" w:eastAsia="Book Antiqua" w:hAnsi="Book Antiqua" w:cs="Book Antiqua"/>
          <w:b/>
          <w:bCs/>
          <w:color w:val="000000"/>
        </w:rPr>
        <w:t>40</w:t>
      </w:r>
      <w:r>
        <w:rPr>
          <w:rFonts w:ascii="Book Antiqua" w:eastAsia="Book Antiqua" w:hAnsi="Book Antiqua" w:cs="Book Antiqua"/>
          <w:color w:val="000000"/>
        </w:rPr>
        <w:t>: 1562-1573 [PMID: 35258987 DOI: 10.1200/JCO.21.02583]</w:t>
      </w:r>
    </w:p>
    <w:p w14:paraId="31CF4349" w14:textId="77777777" w:rsidR="00A31DCB" w:rsidRDefault="00000000">
      <w:pPr>
        <w:spacing w:line="360" w:lineRule="auto"/>
        <w:jc w:val="both"/>
      </w:pPr>
      <w:r>
        <w:rPr>
          <w:rFonts w:ascii="Book Antiqua" w:eastAsia="Book Antiqua" w:hAnsi="Book Antiqua" w:cs="Book Antiqua"/>
          <w:color w:val="000000"/>
        </w:rPr>
        <w:t xml:space="preserve">92 </w:t>
      </w:r>
      <w:proofErr w:type="spellStart"/>
      <w:r>
        <w:rPr>
          <w:rFonts w:ascii="Book Antiqua" w:eastAsia="Book Antiqua" w:hAnsi="Book Antiqua" w:cs="Book Antiqua"/>
          <w:b/>
          <w:bCs/>
          <w:color w:val="000000"/>
        </w:rPr>
        <w:t>Pietrantonio</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Lobefaro</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Antista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Lonardi</w:t>
      </w:r>
      <w:proofErr w:type="spellEnd"/>
      <w:r>
        <w:rPr>
          <w:rFonts w:ascii="Book Antiqua" w:eastAsia="Book Antiqua" w:hAnsi="Book Antiqua" w:cs="Book Antiqua"/>
          <w:color w:val="000000"/>
        </w:rPr>
        <w:t xml:space="preserve"> S, Raimondi A, </w:t>
      </w:r>
      <w:proofErr w:type="spellStart"/>
      <w:r>
        <w:rPr>
          <w:rFonts w:ascii="Book Antiqua" w:eastAsia="Book Antiqua" w:hAnsi="Book Antiqua" w:cs="Book Antiqua"/>
          <w:color w:val="000000"/>
        </w:rPr>
        <w:t>Morano</w:t>
      </w:r>
      <w:proofErr w:type="spellEnd"/>
      <w:r>
        <w:rPr>
          <w:rFonts w:ascii="Book Antiqua" w:eastAsia="Book Antiqua" w:hAnsi="Book Antiqua" w:cs="Book Antiqua"/>
          <w:color w:val="000000"/>
        </w:rPr>
        <w:t xml:space="preserve"> F, Mosconi S, </w:t>
      </w:r>
      <w:proofErr w:type="spellStart"/>
      <w:r>
        <w:rPr>
          <w:rFonts w:ascii="Book Antiqua" w:eastAsia="Book Antiqua" w:hAnsi="Book Antiqua" w:cs="Book Antiqua"/>
          <w:color w:val="000000"/>
        </w:rPr>
        <w:t>Rimassa</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Murgioni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Sartore</w:t>
      </w:r>
      <w:proofErr w:type="spellEnd"/>
      <w:r>
        <w:rPr>
          <w:rFonts w:ascii="Book Antiqua" w:eastAsia="Book Antiqua" w:hAnsi="Book Antiqua" w:cs="Book Antiqua"/>
          <w:color w:val="000000"/>
        </w:rPr>
        <w:t xml:space="preserve">-Bianchi A, </w:t>
      </w:r>
      <w:proofErr w:type="spellStart"/>
      <w:r>
        <w:rPr>
          <w:rFonts w:ascii="Book Antiqua" w:eastAsia="Book Antiqua" w:hAnsi="Book Antiqua" w:cs="Book Antiqua"/>
          <w:color w:val="000000"/>
        </w:rPr>
        <w:t>Tomasello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Longarini</w:t>
      </w:r>
      <w:proofErr w:type="spellEnd"/>
      <w:r>
        <w:rPr>
          <w:rFonts w:ascii="Book Antiqua" w:eastAsia="Book Antiqua" w:hAnsi="Book Antiqua" w:cs="Book Antiqua"/>
          <w:color w:val="000000"/>
        </w:rPr>
        <w:t xml:space="preserve"> R, Farina G, </w:t>
      </w:r>
      <w:proofErr w:type="spellStart"/>
      <w:r>
        <w:rPr>
          <w:rFonts w:ascii="Book Antiqua" w:eastAsia="Book Antiqua" w:hAnsi="Book Antiqua" w:cs="Book Antiqua"/>
          <w:color w:val="000000"/>
        </w:rPr>
        <w:t>Petrelli</w:t>
      </w:r>
      <w:proofErr w:type="spellEnd"/>
      <w:r>
        <w:rPr>
          <w:rFonts w:ascii="Book Antiqua" w:eastAsia="Book Antiqua" w:hAnsi="Book Antiqua" w:cs="Book Antiqua"/>
          <w:color w:val="000000"/>
        </w:rPr>
        <w:t xml:space="preserve"> F, Gori S, </w:t>
      </w:r>
      <w:proofErr w:type="spellStart"/>
      <w:r>
        <w:rPr>
          <w:rFonts w:ascii="Book Antiqua" w:eastAsia="Book Antiqua" w:hAnsi="Book Antiqua" w:cs="Book Antiqua"/>
          <w:color w:val="000000"/>
        </w:rPr>
        <w:t>Randon</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Corallo</w:t>
      </w:r>
      <w:proofErr w:type="spellEnd"/>
      <w:r>
        <w:rPr>
          <w:rFonts w:ascii="Book Antiqua" w:eastAsia="Book Antiqua" w:hAnsi="Book Antiqua" w:cs="Book Antiqua"/>
          <w:color w:val="000000"/>
        </w:rPr>
        <w:t xml:space="preserve"> S, Pagani F, Guarini V, Palermo F, Martinetti A, </w:t>
      </w:r>
      <w:proofErr w:type="spellStart"/>
      <w:r>
        <w:rPr>
          <w:rFonts w:ascii="Book Antiqua" w:eastAsia="Book Antiqua" w:hAnsi="Book Antiqua" w:cs="Book Antiqua"/>
          <w:color w:val="000000"/>
        </w:rPr>
        <w:t>Macagno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Barault</w:t>
      </w:r>
      <w:proofErr w:type="spellEnd"/>
      <w:r>
        <w:rPr>
          <w:rFonts w:ascii="Book Antiqua" w:eastAsia="Book Antiqua" w:hAnsi="Book Antiqua" w:cs="Book Antiqua"/>
          <w:color w:val="000000"/>
        </w:rPr>
        <w:t xml:space="preserve"> L, Perrone F, </w:t>
      </w:r>
      <w:proofErr w:type="spellStart"/>
      <w:r>
        <w:rPr>
          <w:rFonts w:ascii="Book Antiqua" w:eastAsia="Book Antiqua" w:hAnsi="Book Antiqua" w:cs="Book Antiqua"/>
          <w:color w:val="000000"/>
        </w:rPr>
        <w:t>Tamborini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Milione</w:t>
      </w:r>
      <w:proofErr w:type="spellEnd"/>
      <w:r>
        <w:rPr>
          <w:rFonts w:ascii="Book Antiqua" w:eastAsia="Book Antiqua" w:hAnsi="Book Antiqua" w:cs="Book Antiqua"/>
          <w:color w:val="000000"/>
        </w:rPr>
        <w:t xml:space="preserve"> M, Di </w:t>
      </w:r>
      <w:proofErr w:type="spellStart"/>
      <w:r>
        <w:rPr>
          <w:rFonts w:ascii="Book Antiqua" w:eastAsia="Book Antiqua" w:hAnsi="Book Antiqua" w:cs="Book Antiqua"/>
          <w:color w:val="000000"/>
        </w:rPr>
        <w:t>Nicolantonio</w:t>
      </w:r>
      <w:proofErr w:type="spellEnd"/>
      <w:r>
        <w:rPr>
          <w:rFonts w:ascii="Book Antiqua" w:eastAsia="Book Antiqua" w:hAnsi="Book Antiqua" w:cs="Book Antiqua"/>
          <w:color w:val="000000"/>
        </w:rPr>
        <w:t xml:space="preserve"> F, Di Maio M, </w:t>
      </w:r>
      <w:proofErr w:type="spellStart"/>
      <w:r>
        <w:rPr>
          <w:rFonts w:ascii="Book Antiqua" w:eastAsia="Book Antiqua" w:hAnsi="Book Antiqua" w:cs="Book Antiqua"/>
          <w:color w:val="000000"/>
        </w:rPr>
        <w:t>Fucà</w:t>
      </w:r>
      <w:proofErr w:type="spellEnd"/>
      <w:r>
        <w:rPr>
          <w:rFonts w:ascii="Book Antiqua" w:eastAsia="Book Antiqua" w:hAnsi="Book Antiqua" w:cs="Book Antiqua"/>
          <w:color w:val="000000"/>
        </w:rPr>
        <w:t xml:space="preserve"> G, Di Bartolomeo M, de </w:t>
      </w:r>
      <w:proofErr w:type="spellStart"/>
      <w:r>
        <w:rPr>
          <w:rFonts w:ascii="Book Antiqua" w:eastAsia="Book Antiqua" w:hAnsi="Book Antiqua" w:cs="Book Antiqua"/>
          <w:color w:val="000000"/>
        </w:rPr>
        <w:t>Braud</w:t>
      </w:r>
      <w:proofErr w:type="spellEnd"/>
      <w:r>
        <w:rPr>
          <w:rFonts w:ascii="Book Antiqua" w:eastAsia="Book Antiqua" w:hAnsi="Book Antiqua" w:cs="Book Antiqua"/>
          <w:color w:val="000000"/>
        </w:rPr>
        <w:t xml:space="preserve"> F. Capecitabine and Temozolomide </w:t>
      </w:r>
      <w:r>
        <w:rPr>
          <w:rFonts w:ascii="Book Antiqua" w:eastAsia="Book Antiqua" w:hAnsi="Book Antiqua" w:cs="Book Antiqua"/>
          <w:i/>
          <w:iCs/>
          <w:color w:val="000000"/>
        </w:rPr>
        <w:t>vs</w:t>
      </w:r>
      <w:r>
        <w:rPr>
          <w:rFonts w:ascii="Book Antiqua" w:eastAsia="Book Antiqua" w:hAnsi="Book Antiqua" w:cs="Book Antiqua"/>
          <w:color w:val="000000"/>
        </w:rPr>
        <w:t xml:space="preserve"> FOLFIRI in RAS-Mutated, MGMT-Methylated Metastatic Colorectal Cancer. </w:t>
      </w:r>
      <w:r>
        <w:rPr>
          <w:rFonts w:ascii="Book Antiqua" w:eastAsia="Book Antiqua" w:hAnsi="Book Antiqua" w:cs="Book Antiqua"/>
          <w:i/>
          <w:iCs/>
          <w:color w:val="000000"/>
        </w:rPr>
        <w:t>Clin Cancer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26</w:t>
      </w:r>
      <w:r>
        <w:rPr>
          <w:rFonts w:ascii="Book Antiqua" w:eastAsia="Book Antiqua" w:hAnsi="Book Antiqua" w:cs="Book Antiqua"/>
          <w:color w:val="000000"/>
        </w:rPr>
        <w:t>: 1017-1024 [PMID: 31740551 DOI: 10.1158/1078-0432.CCR-19-3024]</w:t>
      </w:r>
    </w:p>
    <w:p w14:paraId="77551EE2" w14:textId="77777777" w:rsidR="00A31DCB" w:rsidRDefault="00000000">
      <w:pPr>
        <w:spacing w:line="360" w:lineRule="auto"/>
        <w:jc w:val="both"/>
      </w:pPr>
      <w:r>
        <w:rPr>
          <w:rFonts w:ascii="Book Antiqua" w:eastAsia="Book Antiqua" w:hAnsi="Book Antiqua" w:cs="Book Antiqua"/>
          <w:color w:val="000000"/>
        </w:rPr>
        <w:t xml:space="preserve">93 </w:t>
      </w:r>
      <w:proofErr w:type="spellStart"/>
      <w:r>
        <w:rPr>
          <w:rFonts w:ascii="Book Antiqua" w:eastAsia="Book Antiqua" w:hAnsi="Book Antiqua" w:cs="Book Antiqua"/>
          <w:b/>
          <w:bCs/>
          <w:color w:val="000000"/>
        </w:rPr>
        <w:t>Germano</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Lamba S, </w:t>
      </w:r>
      <w:proofErr w:type="spellStart"/>
      <w:r>
        <w:rPr>
          <w:rFonts w:ascii="Book Antiqua" w:eastAsia="Book Antiqua" w:hAnsi="Book Antiqua" w:cs="Book Antiqua"/>
          <w:color w:val="000000"/>
        </w:rPr>
        <w:t>Rospo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Barault</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Magrì</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Maione</w:t>
      </w:r>
      <w:proofErr w:type="spellEnd"/>
      <w:r>
        <w:rPr>
          <w:rFonts w:ascii="Book Antiqua" w:eastAsia="Book Antiqua" w:hAnsi="Book Antiqua" w:cs="Book Antiqua"/>
          <w:color w:val="000000"/>
        </w:rPr>
        <w:t xml:space="preserve"> F, Russo M, </w:t>
      </w:r>
      <w:proofErr w:type="spellStart"/>
      <w:r>
        <w:rPr>
          <w:rFonts w:ascii="Book Antiqua" w:eastAsia="Book Antiqua" w:hAnsi="Book Antiqua" w:cs="Book Antiqua"/>
          <w:color w:val="000000"/>
        </w:rPr>
        <w:t>Crisafulli</w:t>
      </w:r>
      <w:proofErr w:type="spellEnd"/>
      <w:r>
        <w:rPr>
          <w:rFonts w:ascii="Book Antiqua" w:eastAsia="Book Antiqua" w:hAnsi="Book Antiqua" w:cs="Book Antiqua"/>
          <w:color w:val="000000"/>
        </w:rPr>
        <w:t xml:space="preserve"> G, Bartolini A, </w:t>
      </w:r>
      <w:proofErr w:type="spellStart"/>
      <w:r>
        <w:rPr>
          <w:rFonts w:ascii="Book Antiqua" w:eastAsia="Book Antiqua" w:hAnsi="Book Antiqua" w:cs="Book Antiqua"/>
          <w:color w:val="000000"/>
        </w:rPr>
        <w:t>Lerda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Siravegna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Mussolin</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Frapolli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Montone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Morano</w:t>
      </w:r>
      <w:proofErr w:type="spellEnd"/>
      <w:r>
        <w:rPr>
          <w:rFonts w:ascii="Book Antiqua" w:eastAsia="Book Antiqua" w:hAnsi="Book Antiqua" w:cs="Book Antiqua"/>
          <w:color w:val="000000"/>
        </w:rPr>
        <w:t xml:space="preserve"> F, de </w:t>
      </w:r>
      <w:proofErr w:type="spellStart"/>
      <w:r>
        <w:rPr>
          <w:rFonts w:ascii="Book Antiqua" w:eastAsia="Book Antiqua" w:hAnsi="Book Antiqua" w:cs="Book Antiqua"/>
          <w:color w:val="000000"/>
        </w:rPr>
        <w:t>Braud</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Amirouchene-Angelozzi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Marsoni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D'Incalci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Orlandi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Giraudo</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Sartore</w:t>
      </w:r>
      <w:proofErr w:type="spellEnd"/>
      <w:r>
        <w:rPr>
          <w:rFonts w:ascii="Book Antiqua" w:eastAsia="Book Antiqua" w:hAnsi="Book Antiqua" w:cs="Book Antiqua"/>
          <w:color w:val="000000"/>
        </w:rPr>
        <w:t xml:space="preserve">-Bianchi A, Siena S, </w:t>
      </w:r>
      <w:proofErr w:type="spellStart"/>
      <w:r>
        <w:rPr>
          <w:rFonts w:ascii="Book Antiqua" w:eastAsia="Book Antiqua" w:hAnsi="Book Antiqua" w:cs="Book Antiqua"/>
          <w:color w:val="000000"/>
        </w:rPr>
        <w:t>Pietrantonio</w:t>
      </w:r>
      <w:proofErr w:type="spellEnd"/>
      <w:r>
        <w:rPr>
          <w:rFonts w:ascii="Book Antiqua" w:eastAsia="Book Antiqua" w:hAnsi="Book Antiqua" w:cs="Book Antiqua"/>
          <w:color w:val="000000"/>
        </w:rPr>
        <w:t xml:space="preserve"> F, Di </w:t>
      </w:r>
      <w:proofErr w:type="spellStart"/>
      <w:r>
        <w:rPr>
          <w:rFonts w:ascii="Book Antiqua" w:eastAsia="Book Antiqua" w:hAnsi="Book Antiqua" w:cs="Book Antiqua"/>
          <w:color w:val="000000"/>
        </w:rPr>
        <w:t>Nicolantonio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Bardelli</w:t>
      </w:r>
      <w:proofErr w:type="spellEnd"/>
      <w:r>
        <w:rPr>
          <w:rFonts w:ascii="Book Antiqua" w:eastAsia="Book Antiqua" w:hAnsi="Book Antiqua" w:cs="Book Antiqua"/>
          <w:color w:val="000000"/>
        </w:rPr>
        <w:t xml:space="preserve"> A. Inactivation of DNA repair triggers neoantigen generation and impairs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growth.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2017; </w:t>
      </w:r>
      <w:r>
        <w:rPr>
          <w:rFonts w:ascii="Book Antiqua" w:eastAsia="Book Antiqua" w:hAnsi="Book Antiqua" w:cs="Book Antiqua"/>
          <w:b/>
          <w:bCs/>
          <w:color w:val="000000"/>
        </w:rPr>
        <w:t>552</w:t>
      </w:r>
      <w:r>
        <w:rPr>
          <w:rFonts w:ascii="Book Antiqua" w:eastAsia="Book Antiqua" w:hAnsi="Book Antiqua" w:cs="Book Antiqua"/>
          <w:color w:val="000000"/>
        </w:rPr>
        <w:t>: 116-120 [PMID: 29186113 DOI: 10.1038/nature24673]</w:t>
      </w:r>
    </w:p>
    <w:p w14:paraId="178EBC5D" w14:textId="77777777" w:rsidR="00A31DCB" w:rsidRDefault="00000000">
      <w:pPr>
        <w:spacing w:line="360" w:lineRule="auto"/>
        <w:jc w:val="both"/>
      </w:pPr>
      <w:r>
        <w:rPr>
          <w:rFonts w:ascii="Book Antiqua" w:eastAsia="Book Antiqua" w:hAnsi="Book Antiqua" w:cs="Book Antiqua"/>
          <w:color w:val="000000"/>
        </w:rPr>
        <w:lastRenderedPageBreak/>
        <w:t xml:space="preserve">94 </w:t>
      </w:r>
      <w:proofErr w:type="spellStart"/>
      <w:r>
        <w:rPr>
          <w:rFonts w:ascii="Book Antiqua" w:eastAsia="Book Antiqua" w:hAnsi="Book Antiqua" w:cs="Book Antiqua"/>
          <w:b/>
          <w:bCs/>
          <w:color w:val="000000"/>
        </w:rPr>
        <w:t>Germani</w:t>
      </w:r>
      <w:proofErr w:type="spellEnd"/>
      <w:r>
        <w:rPr>
          <w:rFonts w:ascii="Book Antiqua" w:eastAsia="Book Antiqua" w:hAnsi="Book Antiqua" w:cs="Book Antiqua"/>
          <w:b/>
          <w:bCs/>
          <w:color w:val="000000"/>
        </w:rPr>
        <w:t xml:space="preserve"> MM</w:t>
      </w:r>
      <w:r>
        <w:rPr>
          <w:rFonts w:ascii="Book Antiqua" w:eastAsia="Book Antiqua" w:hAnsi="Book Antiqua" w:cs="Book Antiqua"/>
          <w:color w:val="000000"/>
        </w:rPr>
        <w:t xml:space="preserve">, Moretto R. Immune Checkpoint Inhibitors in Mismatch Repair Proficient/Microsatellite Stable Metastatic Colorectal Cancer Patients: Insights from the </w:t>
      </w:r>
      <w:proofErr w:type="spellStart"/>
      <w:r>
        <w:rPr>
          <w:rFonts w:ascii="Book Antiqua" w:eastAsia="Book Antiqua" w:hAnsi="Book Antiqua" w:cs="Book Antiqua"/>
          <w:color w:val="000000"/>
        </w:rPr>
        <w:t>AtezoTRIBE</w:t>
      </w:r>
      <w:proofErr w:type="spellEnd"/>
      <w:r>
        <w:rPr>
          <w:rFonts w:ascii="Book Antiqua" w:eastAsia="Book Antiqua" w:hAnsi="Book Antiqua" w:cs="Book Antiqua"/>
          <w:color w:val="000000"/>
        </w:rPr>
        <w:t xml:space="preserve"> and MAYA Trials. </w:t>
      </w:r>
      <w:r>
        <w:rPr>
          <w:rFonts w:ascii="Book Antiqua" w:eastAsia="Book Antiqua" w:hAnsi="Book Antiqua" w:cs="Book Antiqua"/>
          <w:i/>
          <w:iCs/>
          <w:color w:val="000000"/>
        </w:rPr>
        <w:t>Cancers (Basel)</w:t>
      </w:r>
      <w:r>
        <w:rPr>
          <w:rFonts w:ascii="Book Antiqua" w:eastAsia="Book Antiqua" w:hAnsi="Book Antiqua" w:cs="Book Antiqua"/>
          <w:color w:val="000000"/>
        </w:rPr>
        <w:t xml:space="preserve"> 2021; </w:t>
      </w:r>
      <w:r>
        <w:rPr>
          <w:rFonts w:ascii="Book Antiqua" w:eastAsia="Book Antiqua" w:hAnsi="Book Antiqua" w:cs="Book Antiqua"/>
          <w:b/>
          <w:bCs/>
          <w:color w:val="000000"/>
        </w:rPr>
        <w:t>14</w:t>
      </w:r>
      <w:r>
        <w:rPr>
          <w:rFonts w:ascii="Book Antiqua" w:eastAsia="Book Antiqua" w:hAnsi="Book Antiqua" w:cs="Book Antiqua"/>
          <w:color w:val="000000"/>
        </w:rPr>
        <w:t xml:space="preserve"> [PMID: 35008215 DOI: 10.3390/cancers14010052]</w:t>
      </w:r>
    </w:p>
    <w:p w14:paraId="59DD03CA" w14:textId="77777777" w:rsidR="00A31DCB" w:rsidRDefault="00000000">
      <w:pPr>
        <w:spacing w:line="360" w:lineRule="auto"/>
        <w:jc w:val="both"/>
      </w:pPr>
      <w:r>
        <w:rPr>
          <w:rFonts w:ascii="Book Antiqua" w:eastAsia="Book Antiqua" w:hAnsi="Book Antiqua" w:cs="Book Antiqua"/>
          <w:color w:val="000000"/>
        </w:rPr>
        <w:t xml:space="preserve">95 </w:t>
      </w:r>
      <w:r>
        <w:rPr>
          <w:rFonts w:ascii="Book Antiqua" w:eastAsia="Book Antiqua" w:hAnsi="Book Antiqua" w:cs="Book Antiqua"/>
          <w:b/>
          <w:bCs/>
          <w:color w:val="000000"/>
        </w:rPr>
        <w:t>Wang Z</w:t>
      </w:r>
      <w:r>
        <w:rPr>
          <w:rFonts w:ascii="Book Antiqua" w:eastAsia="Book Antiqua" w:hAnsi="Book Antiqua" w:cs="Book Antiqua"/>
          <w:color w:val="000000"/>
        </w:rPr>
        <w:t xml:space="preserve">, Cao YJ. Adoptive Cell Therapy Targeting Neoantigens: A Frontier for Cancer Research. </w:t>
      </w:r>
      <w:r>
        <w:rPr>
          <w:rFonts w:ascii="Book Antiqua" w:eastAsia="Book Antiqua" w:hAnsi="Book Antiqua" w:cs="Book Antiqua"/>
          <w:i/>
          <w:iCs/>
          <w:color w:val="000000"/>
        </w:rPr>
        <w:t>Front Immunol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176 [PMID: 32194541 DOI: 10.3389/fimmu.2020.00176]</w:t>
      </w:r>
    </w:p>
    <w:p w14:paraId="0EE74B94" w14:textId="77777777" w:rsidR="00A31DCB" w:rsidRDefault="00000000">
      <w:pPr>
        <w:spacing w:line="360" w:lineRule="auto"/>
        <w:jc w:val="both"/>
      </w:pPr>
      <w:r>
        <w:rPr>
          <w:rFonts w:ascii="Book Antiqua" w:eastAsia="Book Antiqua" w:hAnsi="Book Antiqua" w:cs="Book Antiqua"/>
          <w:color w:val="000000"/>
        </w:rPr>
        <w:t xml:space="preserve">96 </w:t>
      </w:r>
      <w:r>
        <w:rPr>
          <w:rFonts w:ascii="Book Antiqua" w:eastAsia="Book Antiqua" w:hAnsi="Book Antiqua" w:cs="Book Antiqua"/>
          <w:b/>
          <w:bCs/>
          <w:color w:val="000000"/>
        </w:rPr>
        <w:t>Hege KM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Bergsland</w:t>
      </w:r>
      <w:proofErr w:type="spellEnd"/>
      <w:r>
        <w:rPr>
          <w:rFonts w:ascii="Book Antiqua" w:eastAsia="Book Antiqua" w:hAnsi="Book Antiqua" w:cs="Book Antiqua"/>
          <w:color w:val="000000"/>
        </w:rPr>
        <w:t xml:space="preserve"> EK, Fisher GA, </w:t>
      </w:r>
      <w:proofErr w:type="spellStart"/>
      <w:r>
        <w:rPr>
          <w:rFonts w:ascii="Book Antiqua" w:eastAsia="Book Antiqua" w:hAnsi="Book Antiqua" w:cs="Book Antiqua"/>
          <w:color w:val="000000"/>
        </w:rPr>
        <w:t>Nemunaitis</w:t>
      </w:r>
      <w:proofErr w:type="spellEnd"/>
      <w:r>
        <w:rPr>
          <w:rFonts w:ascii="Book Antiqua" w:eastAsia="Book Antiqua" w:hAnsi="Book Antiqua" w:cs="Book Antiqua"/>
          <w:color w:val="000000"/>
        </w:rPr>
        <w:t xml:space="preserve"> JJ, Warren RS, McArthur JG, Lin AA, </w:t>
      </w:r>
      <w:proofErr w:type="spellStart"/>
      <w:r>
        <w:rPr>
          <w:rFonts w:ascii="Book Antiqua" w:eastAsia="Book Antiqua" w:hAnsi="Book Antiqua" w:cs="Book Antiqua"/>
          <w:color w:val="000000"/>
        </w:rPr>
        <w:t>Schlom</w:t>
      </w:r>
      <w:proofErr w:type="spellEnd"/>
      <w:r>
        <w:rPr>
          <w:rFonts w:ascii="Book Antiqua" w:eastAsia="Book Antiqua" w:hAnsi="Book Antiqua" w:cs="Book Antiqua"/>
          <w:color w:val="000000"/>
        </w:rPr>
        <w:t xml:space="preserve"> J, June CH, Sherwin SA. Safety, tumor trafficking and immunogenicity of chimeric antigen receptor (CAR)-T cells specific for TAG-72 in colorectal cancer.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Immunother</w:t>
      </w:r>
      <w:proofErr w:type="spellEnd"/>
      <w:r>
        <w:rPr>
          <w:rFonts w:ascii="Book Antiqua" w:eastAsia="Book Antiqua" w:hAnsi="Book Antiqua" w:cs="Book Antiqua"/>
          <w:i/>
          <w:iCs/>
          <w:color w:val="000000"/>
        </w:rPr>
        <w:t xml:space="preserve"> Cancer</w:t>
      </w:r>
      <w:r>
        <w:rPr>
          <w:rFonts w:ascii="Book Antiqua" w:eastAsia="Book Antiqua" w:hAnsi="Book Antiqua" w:cs="Book Antiqua"/>
          <w:color w:val="000000"/>
        </w:rPr>
        <w:t xml:space="preserve"> 2017; </w:t>
      </w:r>
      <w:r>
        <w:rPr>
          <w:rFonts w:ascii="Book Antiqua" w:eastAsia="Book Antiqua" w:hAnsi="Book Antiqua" w:cs="Book Antiqua"/>
          <w:b/>
          <w:bCs/>
          <w:color w:val="000000"/>
        </w:rPr>
        <w:t>5</w:t>
      </w:r>
      <w:r>
        <w:rPr>
          <w:rFonts w:ascii="Book Antiqua" w:eastAsia="Book Antiqua" w:hAnsi="Book Antiqua" w:cs="Book Antiqua"/>
          <w:color w:val="000000"/>
        </w:rPr>
        <w:t>: 22 [PMID: 28344808 DOI: 10.1186/s40425-017-0222-9]</w:t>
      </w:r>
    </w:p>
    <w:p w14:paraId="5A4B3585" w14:textId="77777777" w:rsidR="00A31DCB" w:rsidRDefault="00000000">
      <w:pPr>
        <w:spacing w:line="360" w:lineRule="auto"/>
        <w:jc w:val="both"/>
      </w:pPr>
      <w:r>
        <w:rPr>
          <w:rFonts w:ascii="Book Antiqua" w:eastAsia="Book Antiqua" w:hAnsi="Book Antiqua" w:cs="Book Antiqua"/>
          <w:color w:val="000000"/>
        </w:rPr>
        <w:t xml:space="preserve">97 </w:t>
      </w:r>
      <w:r>
        <w:rPr>
          <w:rFonts w:ascii="Book Antiqua" w:eastAsia="Book Antiqua" w:hAnsi="Book Antiqua" w:cs="Book Antiqua"/>
          <w:b/>
          <w:bCs/>
          <w:color w:val="000000"/>
        </w:rPr>
        <w:t>Magee MS</w:t>
      </w:r>
      <w:r>
        <w:rPr>
          <w:rFonts w:ascii="Book Antiqua" w:eastAsia="Book Antiqua" w:hAnsi="Book Antiqua" w:cs="Book Antiqua"/>
          <w:color w:val="000000"/>
        </w:rPr>
        <w:t xml:space="preserve">, Kraft CL, Abraham TS, Baybutt TR, </w:t>
      </w:r>
      <w:proofErr w:type="spellStart"/>
      <w:r>
        <w:rPr>
          <w:rFonts w:ascii="Book Antiqua" w:eastAsia="Book Antiqua" w:hAnsi="Book Antiqua" w:cs="Book Antiqua"/>
          <w:color w:val="000000"/>
        </w:rPr>
        <w:t>Marszalowicz</w:t>
      </w:r>
      <w:proofErr w:type="spellEnd"/>
      <w:r>
        <w:rPr>
          <w:rFonts w:ascii="Book Antiqua" w:eastAsia="Book Antiqua" w:hAnsi="Book Antiqua" w:cs="Book Antiqua"/>
          <w:color w:val="000000"/>
        </w:rPr>
        <w:t xml:space="preserve"> GP, Li P, Waldman SA, Snook AE. GUCY2C-directed CAR-T cells oppose colorectal cancer metastases without autoimmunity. </w:t>
      </w:r>
      <w:proofErr w:type="spellStart"/>
      <w:r>
        <w:rPr>
          <w:rFonts w:ascii="Book Antiqua" w:eastAsia="Book Antiqua" w:hAnsi="Book Antiqua" w:cs="Book Antiqua"/>
          <w:i/>
          <w:iCs/>
          <w:color w:val="000000"/>
        </w:rPr>
        <w:t>Oncoimmunology</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5</w:t>
      </w:r>
      <w:r>
        <w:rPr>
          <w:rFonts w:ascii="Book Antiqua" w:eastAsia="Book Antiqua" w:hAnsi="Book Antiqua" w:cs="Book Antiqua"/>
          <w:color w:val="000000"/>
        </w:rPr>
        <w:t>: e1227897 [PMID: 27853651 DOI: 10.1080/2162402X.2016.1227897]</w:t>
      </w:r>
    </w:p>
    <w:p w14:paraId="12511778" w14:textId="77777777" w:rsidR="00A31DCB" w:rsidRDefault="00000000">
      <w:pPr>
        <w:spacing w:line="360" w:lineRule="auto"/>
        <w:jc w:val="both"/>
      </w:pPr>
      <w:r>
        <w:rPr>
          <w:rFonts w:ascii="Book Antiqua" w:eastAsia="Book Antiqua" w:hAnsi="Book Antiqua" w:cs="Book Antiqua"/>
          <w:color w:val="000000"/>
        </w:rPr>
        <w:t xml:space="preserve">98 </w:t>
      </w:r>
      <w:r>
        <w:rPr>
          <w:rFonts w:ascii="Book Antiqua" w:eastAsia="Book Antiqua" w:hAnsi="Book Antiqua" w:cs="Book Antiqua"/>
          <w:b/>
          <w:bCs/>
          <w:color w:val="000000"/>
        </w:rPr>
        <w:t>Magee MS</w:t>
      </w:r>
      <w:r>
        <w:rPr>
          <w:rFonts w:ascii="Book Antiqua" w:eastAsia="Book Antiqua" w:hAnsi="Book Antiqua" w:cs="Book Antiqua"/>
          <w:color w:val="000000"/>
        </w:rPr>
        <w:t xml:space="preserve">, Abraham TS, Baybutt TR, Flickinger JC Jr, Ridge NA, </w:t>
      </w:r>
      <w:proofErr w:type="spellStart"/>
      <w:r>
        <w:rPr>
          <w:rFonts w:ascii="Book Antiqua" w:eastAsia="Book Antiqua" w:hAnsi="Book Antiqua" w:cs="Book Antiqua"/>
          <w:color w:val="000000"/>
        </w:rPr>
        <w:t>Marszalowicz</w:t>
      </w:r>
      <w:proofErr w:type="spellEnd"/>
      <w:r>
        <w:rPr>
          <w:rFonts w:ascii="Book Antiqua" w:eastAsia="Book Antiqua" w:hAnsi="Book Antiqua" w:cs="Book Antiqua"/>
          <w:color w:val="000000"/>
        </w:rPr>
        <w:t xml:space="preserve"> GP, Prajapati P, </w:t>
      </w:r>
      <w:proofErr w:type="spellStart"/>
      <w:r>
        <w:rPr>
          <w:rFonts w:ascii="Book Antiqua" w:eastAsia="Book Antiqua" w:hAnsi="Book Antiqua" w:cs="Book Antiqua"/>
          <w:color w:val="000000"/>
        </w:rPr>
        <w:t>Hersperger</w:t>
      </w:r>
      <w:proofErr w:type="spellEnd"/>
      <w:r>
        <w:rPr>
          <w:rFonts w:ascii="Book Antiqua" w:eastAsia="Book Antiqua" w:hAnsi="Book Antiqua" w:cs="Book Antiqua"/>
          <w:color w:val="000000"/>
        </w:rPr>
        <w:t xml:space="preserve"> AR, Waldman SA, Snook AE. Human GUCY2C-Targeted Chimeric Antigen Receptor (CAR)-Expressing T Cells Eliminate Colorectal Cancer Metastases. </w:t>
      </w:r>
      <w:r>
        <w:rPr>
          <w:rFonts w:ascii="Book Antiqua" w:eastAsia="Book Antiqua" w:hAnsi="Book Antiqua" w:cs="Book Antiqua"/>
          <w:i/>
          <w:iCs/>
          <w:color w:val="000000"/>
        </w:rPr>
        <w:t>Cancer Immunol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6</w:t>
      </w:r>
      <w:r>
        <w:rPr>
          <w:rFonts w:ascii="Book Antiqua" w:eastAsia="Book Antiqua" w:hAnsi="Book Antiqua" w:cs="Book Antiqua"/>
          <w:color w:val="000000"/>
        </w:rPr>
        <w:t>: 509-516 [PMID: 29615399 DOI: 10.1158/2326-6066.CIR-16-0362]</w:t>
      </w:r>
    </w:p>
    <w:p w14:paraId="4BFE1C80" w14:textId="77777777" w:rsidR="00A31DCB" w:rsidRDefault="00000000">
      <w:pPr>
        <w:spacing w:line="360" w:lineRule="auto"/>
        <w:jc w:val="both"/>
      </w:pPr>
      <w:r>
        <w:rPr>
          <w:rFonts w:ascii="Book Antiqua" w:eastAsia="Book Antiqua" w:hAnsi="Book Antiqua" w:cs="Book Antiqua"/>
          <w:color w:val="000000"/>
        </w:rPr>
        <w:t xml:space="preserve">99 </w:t>
      </w:r>
      <w:r>
        <w:rPr>
          <w:rFonts w:ascii="Book Antiqua" w:eastAsia="Book Antiqua" w:hAnsi="Book Antiqua" w:cs="Book Antiqua"/>
          <w:b/>
          <w:bCs/>
          <w:color w:val="000000"/>
        </w:rPr>
        <w:t>Zhang C</w:t>
      </w:r>
      <w:r>
        <w:rPr>
          <w:rFonts w:ascii="Book Antiqua" w:eastAsia="Book Antiqua" w:hAnsi="Book Antiqua" w:cs="Book Antiqua"/>
          <w:color w:val="000000"/>
        </w:rPr>
        <w:t xml:space="preserve">, Wang Z, Yang Z, Wang M, Li S, Li Y, Zhang R, Xiong Z, Wei Z, Shen J, Luo Y, Zhang Q, Liu L, Qin H, Liu W, Wu F, Chen W, Pan F, Zhang X, </w:t>
      </w:r>
      <w:proofErr w:type="spellStart"/>
      <w:r>
        <w:rPr>
          <w:rFonts w:ascii="Book Antiqua" w:eastAsia="Book Antiqua" w:hAnsi="Book Antiqua" w:cs="Book Antiqua"/>
          <w:color w:val="000000"/>
        </w:rPr>
        <w:t>Bie</w:t>
      </w:r>
      <w:proofErr w:type="spellEnd"/>
      <w:r>
        <w:rPr>
          <w:rFonts w:ascii="Book Antiqua" w:eastAsia="Book Antiqua" w:hAnsi="Book Antiqua" w:cs="Book Antiqua"/>
          <w:color w:val="000000"/>
        </w:rPr>
        <w:t xml:space="preserve"> P, Liang H, </w:t>
      </w:r>
      <w:proofErr w:type="spellStart"/>
      <w:r>
        <w:rPr>
          <w:rFonts w:ascii="Book Antiqua" w:eastAsia="Book Antiqua" w:hAnsi="Book Antiqua" w:cs="Book Antiqua"/>
          <w:color w:val="000000"/>
        </w:rPr>
        <w:t>Pecher</w:t>
      </w:r>
      <w:proofErr w:type="spellEnd"/>
      <w:r>
        <w:rPr>
          <w:rFonts w:ascii="Book Antiqua" w:eastAsia="Book Antiqua" w:hAnsi="Book Antiqua" w:cs="Book Antiqua"/>
          <w:color w:val="000000"/>
        </w:rPr>
        <w:t xml:space="preserve"> G, Qian C. Phase I Escalating-Dose Trial of CAR-T Therapy Targeting CEA(+) Metastatic Colorectal Cancers. </w:t>
      </w:r>
      <w:r>
        <w:rPr>
          <w:rFonts w:ascii="Book Antiqua" w:eastAsia="Book Antiqua" w:hAnsi="Book Antiqua" w:cs="Book Antiqua"/>
          <w:i/>
          <w:iCs/>
          <w:color w:val="000000"/>
        </w:rPr>
        <w:t xml:space="preserve">Mol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25</w:t>
      </w:r>
      <w:r>
        <w:rPr>
          <w:rFonts w:ascii="Book Antiqua" w:eastAsia="Book Antiqua" w:hAnsi="Book Antiqua" w:cs="Book Antiqua"/>
          <w:color w:val="000000"/>
        </w:rPr>
        <w:t>: 1248-1258 [PMID: 28366766 DOI: 10.1016/j.ymthe.2017.03.010]</w:t>
      </w:r>
    </w:p>
    <w:p w14:paraId="6E984665" w14:textId="77777777" w:rsidR="00A31DCB" w:rsidRDefault="00000000">
      <w:pPr>
        <w:spacing w:line="360" w:lineRule="auto"/>
        <w:jc w:val="both"/>
      </w:pPr>
      <w:r>
        <w:rPr>
          <w:rFonts w:ascii="Book Antiqua" w:eastAsia="Book Antiqua" w:hAnsi="Book Antiqua" w:cs="Book Antiqua"/>
          <w:color w:val="000000"/>
        </w:rPr>
        <w:t xml:space="preserve">100 </w:t>
      </w:r>
      <w:r>
        <w:rPr>
          <w:rFonts w:ascii="Book Antiqua" w:eastAsia="Book Antiqua" w:hAnsi="Book Antiqua" w:cs="Book Antiqua"/>
          <w:b/>
          <w:bCs/>
          <w:color w:val="000000"/>
        </w:rPr>
        <w:t>Huang Q</w:t>
      </w:r>
      <w:r>
        <w:rPr>
          <w:rFonts w:ascii="Book Antiqua" w:eastAsia="Book Antiqua" w:hAnsi="Book Antiqua" w:cs="Book Antiqua"/>
          <w:color w:val="000000"/>
        </w:rPr>
        <w:t xml:space="preserve">, Xia J, Wang L, Wang X, Ma X, Deng Q, Lu Y, Kumar M, Zhou Z, Li L, Zeng Z, Young KH, Yi Q, Zhang M, Li Y. miR-153 suppresses IDO1 expression and enhances CAR T cell immunotherapy.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Hematol</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11</w:t>
      </w:r>
      <w:r>
        <w:rPr>
          <w:rFonts w:ascii="Book Antiqua" w:eastAsia="Book Antiqua" w:hAnsi="Book Antiqua" w:cs="Book Antiqua"/>
          <w:color w:val="000000"/>
        </w:rPr>
        <w:t>: 58 [PMID: 29685162 DOI: 10.1186/s13045-018-0600-x]</w:t>
      </w:r>
    </w:p>
    <w:p w14:paraId="62D1801C" w14:textId="77777777" w:rsidR="00A31DCB" w:rsidRDefault="00A31DCB">
      <w:pPr>
        <w:spacing w:line="360" w:lineRule="auto"/>
        <w:jc w:val="both"/>
        <w:rPr>
          <w:rFonts w:ascii="Book Antiqua" w:eastAsia="Book Antiqua" w:hAnsi="Book Antiqua" w:cs="Book Antiqua"/>
          <w:b/>
          <w:color w:val="000000"/>
        </w:rPr>
      </w:pPr>
    </w:p>
    <w:p w14:paraId="1A2C8FE9" w14:textId="77777777" w:rsidR="00A31DCB" w:rsidRDefault="00000000">
      <w:pPr>
        <w:spacing w:line="360" w:lineRule="auto"/>
        <w:jc w:val="both"/>
      </w:pPr>
      <w:r>
        <w:rPr>
          <w:rFonts w:ascii="Book Antiqua" w:eastAsia="Book Antiqua" w:hAnsi="Book Antiqua" w:cs="Book Antiqua"/>
          <w:b/>
          <w:color w:val="000000"/>
        </w:rPr>
        <w:lastRenderedPageBreak/>
        <w:t>Footnotes</w:t>
      </w:r>
    </w:p>
    <w:p w14:paraId="3A999A0A" w14:textId="77777777" w:rsidR="00A31DCB" w:rsidRDefault="00000000">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have no conflicts of interest to declare.</w:t>
      </w:r>
    </w:p>
    <w:p w14:paraId="31B7348C" w14:textId="77777777" w:rsidR="00A31DCB" w:rsidRDefault="00A31DCB">
      <w:pPr>
        <w:spacing w:line="360" w:lineRule="auto"/>
        <w:jc w:val="both"/>
      </w:pPr>
    </w:p>
    <w:p w14:paraId="5C679A34" w14:textId="77777777" w:rsidR="00A31DCB" w:rsidRDefault="0000000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D939157" w14:textId="77777777" w:rsidR="00A31DCB" w:rsidRDefault="00A31DCB">
      <w:pPr>
        <w:spacing w:line="360" w:lineRule="auto"/>
        <w:jc w:val="both"/>
      </w:pPr>
    </w:p>
    <w:p w14:paraId="713B5EEA" w14:textId="77777777" w:rsidR="00A31DCB" w:rsidRDefault="00000000">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Invited article; Externally peer reviewed.</w:t>
      </w:r>
    </w:p>
    <w:p w14:paraId="0DB52C93" w14:textId="77777777" w:rsidR="00A31DCB"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7A7BB6BA" w14:textId="77777777" w:rsidR="00A31DCB" w:rsidRDefault="00A31DCB">
      <w:pPr>
        <w:spacing w:line="360" w:lineRule="auto"/>
        <w:jc w:val="both"/>
      </w:pPr>
    </w:p>
    <w:p w14:paraId="771DE7AA" w14:textId="77777777" w:rsidR="00A31DCB"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29, 2022</w:t>
      </w:r>
    </w:p>
    <w:p w14:paraId="514D6CC0" w14:textId="77777777" w:rsidR="00A31DCB"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8, 2023</w:t>
      </w:r>
    </w:p>
    <w:p w14:paraId="2251F5AB" w14:textId="77777777" w:rsidR="00A31DCB" w:rsidRDefault="00000000">
      <w:pPr>
        <w:spacing w:line="360" w:lineRule="auto"/>
        <w:jc w:val="both"/>
      </w:pPr>
      <w:r>
        <w:rPr>
          <w:rFonts w:ascii="Book Antiqua" w:eastAsia="Book Antiqua" w:hAnsi="Book Antiqua" w:cs="Book Antiqua"/>
          <w:b/>
          <w:color w:val="000000"/>
        </w:rPr>
        <w:t xml:space="preserve">Article in press: </w:t>
      </w:r>
      <w:r>
        <w:rPr>
          <w:rFonts w:ascii="Book Antiqua" w:eastAsia="Book Antiqua" w:hAnsi="Book Antiqua" w:cs="Book Antiqua"/>
          <w:color w:val="000000"/>
          <w:lang w:eastAsia="zh-CN"/>
        </w:rPr>
        <w:t>February 27, 2023</w:t>
      </w:r>
    </w:p>
    <w:p w14:paraId="3D4A5486" w14:textId="77777777" w:rsidR="00A31DCB" w:rsidRDefault="00A31DCB">
      <w:pPr>
        <w:spacing w:line="360" w:lineRule="auto"/>
        <w:jc w:val="both"/>
      </w:pPr>
    </w:p>
    <w:p w14:paraId="67996362" w14:textId="77777777" w:rsidR="00A31DCB" w:rsidRDefault="0000000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Gastroenterology and hepatology</w:t>
      </w:r>
    </w:p>
    <w:p w14:paraId="0286841E" w14:textId="77777777" w:rsidR="00A31DCB"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Thailand</w:t>
      </w:r>
    </w:p>
    <w:p w14:paraId="7D871A62" w14:textId="77777777" w:rsidR="00A31DCB" w:rsidRDefault="00000000">
      <w:pPr>
        <w:spacing w:line="360" w:lineRule="auto"/>
        <w:jc w:val="both"/>
      </w:pPr>
      <w:r>
        <w:rPr>
          <w:rFonts w:ascii="Book Antiqua" w:eastAsia="Book Antiqua" w:hAnsi="Book Antiqua" w:cs="Book Antiqua"/>
          <w:b/>
          <w:color w:val="000000"/>
        </w:rPr>
        <w:t>Peer-review report’s scientific quality classification</w:t>
      </w:r>
    </w:p>
    <w:p w14:paraId="430C173E" w14:textId="77777777" w:rsidR="00A31DCB" w:rsidRDefault="00000000">
      <w:pPr>
        <w:spacing w:line="360" w:lineRule="auto"/>
        <w:jc w:val="both"/>
      </w:pPr>
      <w:r>
        <w:rPr>
          <w:rFonts w:ascii="Book Antiqua" w:eastAsia="Book Antiqua" w:hAnsi="Book Antiqua" w:cs="Book Antiqua"/>
          <w:color w:val="000000"/>
        </w:rPr>
        <w:t>Grade A (Excellent): 0</w:t>
      </w:r>
    </w:p>
    <w:p w14:paraId="41E476D2" w14:textId="77777777" w:rsidR="00A31DCB" w:rsidRDefault="00000000">
      <w:pPr>
        <w:spacing w:line="360" w:lineRule="auto"/>
        <w:jc w:val="both"/>
      </w:pPr>
      <w:r>
        <w:rPr>
          <w:rFonts w:ascii="Book Antiqua" w:eastAsia="Book Antiqua" w:hAnsi="Book Antiqua" w:cs="Book Antiqua"/>
          <w:color w:val="000000"/>
        </w:rPr>
        <w:t>Grade B (Very good): B, B</w:t>
      </w:r>
    </w:p>
    <w:p w14:paraId="74AF3332" w14:textId="77777777" w:rsidR="00A31DCB" w:rsidRDefault="00000000">
      <w:pPr>
        <w:spacing w:line="360" w:lineRule="auto"/>
        <w:jc w:val="both"/>
      </w:pPr>
      <w:r>
        <w:rPr>
          <w:rFonts w:ascii="Book Antiqua" w:eastAsia="Book Antiqua" w:hAnsi="Book Antiqua" w:cs="Book Antiqua"/>
          <w:color w:val="000000"/>
        </w:rPr>
        <w:t>Grade C (Good): 0</w:t>
      </w:r>
    </w:p>
    <w:p w14:paraId="004C0E5D" w14:textId="77777777" w:rsidR="00A31DCB" w:rsidRDefault="00000000">
      <w:pPr>
        <w:spacing w:line="360" w:lineRule="auto"/>
        <w:jc w:val="both"/>
      </w:pPr>
      <w:r>
        <w:rPr>
          <w:rFonts w:ascii="Book Antiqua" w:eastAsia="Book Antiqua" w:hAnsi="Book Antiqua" w:cs="Book Antiqua"/>
          <w:color w:val="000000"/>
        </w:rPr>
        <w:t>Grade D (Fair): 0</w:t>
      </w:r>
    </w:p>
    <w:p w14:paraId="00CFA961" w14:textId="77777777" w:rsidR="00A31DCB" w:rsidRDefault="00000000">
      <w:pPr>
        <w:spacing w:line="360" w:lineRule="auto"/>
        <w:jc w:val="both"/>
      </w:pPr>
      <w:r>
        <w:rPr>
          <w:rFonts w:ascii="Book Antiqua" w:eastAsia="Book Antiqua" w:hAnsi="Book Antiqua" w:cs="Book Antiqua"/>
          <w:color w:val="000000"/>
        </w:rPr>
        <w:t>Grade E (Poor): 0</w:t>
      </w:r>
    </w:p>
    <w:p w14:paraId="39A1AC6E" w14:textId="77777777" w:rsidR="00A31DCB" w:rsidRDefault="00A31DCB">
      <w:pPr>
        <w:spacing w:line="360" w:lineRule="auto"/>
        <w:jc w:val="both"/>
      </w:pPr>
    </w:p>
    <w:p w14:paraId="0A60D709" w14:textId="77777777" w:rsidR="00A31DCB"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Luo Y, China; Wang Z, China</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Zhang H</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 </w:t>
      </w:r>
      <w:r>
        <w:rPr>
          <w:rFonts w:ascii="Book Antiqua" w:eastAsia="Book Antiqua" w:hAnsi="Book Antiqua" w:cs="Book Antiqua"/>
          <w:bCs/>
          <w:color w:val="000000"/>
        </w:rPr>
        <w:t>Zhang H</w:t>
      </w:r>
    </w:p>
    <w:p w14:paraId="40262F9D" w14:textId="77777777" w:rsidR="00A31DCB" w:rsidRDefault="00A31DCB">
      <w:pPr>
        <w:spacing w:line="360" w:lineRule="auto"/>
        <w:jc w:val="both"/>
        <w:rPr>
          <w:rFonts w:ascii="Book Antiqua" w:eastAsia="Book Antiqua" w:hAnsi="Book Antiqua" w:cs="Book Antiqua"/>
          <w:b/>
          <w:color w:val="000000"/>
        </w:rPr>
      </w:pPr>
    </w:p>
    <w:p w14:paraId="13FD6E7B" w14:textId="77777777" w:rsidR="00A31DCB" w:rsidRDefault="00000000">
      <w:pPr>
        <w:spacing w:line="360" w:lineRule="auto"/>
        <w:jc w:val="both"/>
      </w:pPr>
      <w:r>
        <w:rPr>
          <w:rFonts w:ascii="Book Antiqua" w:eastAsia="Book Antiqua" w:hAnsi="Book Antiqua" w:cs="Book Antiqua"/>
          <w:b/>
          <w:color w:val="000000"/>
        </w:rPr>
        <w:lastRenderedPageBreak/>
        <w:t>Figure Legends</w:t>
      </w:r>
    </w:p>
    <w:p w14:paraId="7C84335B" w14:textId="14E71A97" w:rsidR="00A31DCB" w:rsidRDefault="00317DD2">
      <w:pPr>
        <w:spacing w:line="360" w:lineRule="auto"/>
        <w:jc w:val="both"/>
        <w:rPr>
          <w:rFonts w:ascii="Book Antiqua" w:eastAsia="Book Antiqua" w:hAnsi="Book Antiqua" w:cs="Book Antiqua"/>
          <w:b/>
          <w:bCs/>
          <w:color w:val="000000"/>
        </w:rPr>
      </w:pPr>
      <w:r>
        <w:rPr>
          <w:noProof/>
        </w:rPr>
        <w:drawing>
          <wp:inline distT="0" distB="0" distL="0" distR="0" wp14:anchorId="17204742" wp14:editId="31F81269">
            <wp:extent cx="3636645" cy="2445385"/>
            <wp:effectExtent l="0" t="0" r="190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36645" cy="2445385"/>
                    </a:xfrm>
                    <a:prstGeom prst="rect">
                      <a:avLst/>
                    </a:prstGeom>
                    <a:noFill/>
                    <a:ln>
                      <a:noFill/>
                    </a:ln>
                  </pic:spPr>
                </pic:pic>
              </a:graphicData>
            </a:graphic>
          </wp:inline>
        </w:drawing>
      </w:r>
    </w:p>
    <w:p w14:paraId="76B31F9E" w14:textId="77777777" w:rsidR="00A31DCB" w:rsidRDefault="00000000">
      <w:pPr>
        <w:spacing w:line="360" w:lineRule="auto"/>
        <w:jc w:val="both"/>
        <w:rPr>
          <w:b/>
          <w:bCs/>
        </w:rPr>
      </w:pPr>
      <w:r>
        <w:rPr>
          <w:rFonts w:ascii="Book Antiqua" w:eastAsia="Book Antiqua" w:hAnsi="Book Antiqua" w:cs="Book Antiqua"/>
          <w:b/>
          <w:bCs/>
          <w:color w:val="000000"/>
        </w:rPr>
        <w:t>Figure</w:t>
      </w:r>
      <w:r>
        <w:rPr>
          <w:rFonts w:ascii="Book Antiqua" w:eastAsia="Book Antiqua" w:hAnsi="Book Antiqua" w:cs="Book Antiqua"/>
          <w:b/>
          <w:bCs/>
          <w:caps/>
          <w:color w:val="000000"/>
        </w:rPr>
        <w:t xml:space="preserve"> 1 </w:t>
      </w:r>
      <w:r>
        <w:rPr>
          <w:rFonts w:ascii="Book Antiqua" w:eastAsia="Book Antiqua" w:hAnsi="Book Antiqua" w:cs="Book Antiqua"/>
          <w:b/>
          <w:bCs/>
          <w:color w:val="000000"/>
        </w:rPr>
        <w:t xml:space="preserve">Three molecular pathways can lead to colorectal cancer. </w:t>
      </w:r>
      <w:r>
        <w:rPr>
          <w:rFonts w:ascii="Book Antiqua" w:eastAsia="Book Antiqua" w:hAnsi="Book Antiqua" w:cs="Book Antiqua"/>
          <w:color w:val="000000"/>
        </w:rPr>
        <w:t>For colorectal carcinogenesis, three molecular pathways have been proposed: the chromosomal instable or classic pathway, the microsatellite instability pathway, and</w:t>
      </w:r>
      <w:r>
        <w:rPr>
          <w:rFonts w:ascii="Book Antiqua" w:eastAsia="Book Antiqua" w:hAnsi="Book Antiqua" w:cs="Book Antiqua"/>
          <w:caps/>
          <w:color w:val="000000"/>
        </w:rPr>
        <w:t xml:space="preserve"> </w:t>
      </w:r>
      <w:r>
        <w:rPr>
          <w:rFonts w:ascii="Book Antiqua" w:eastAsia="Book Antiqua" w:hAnsi="Book Antiqua" w:cs="Book Antiqua"/>
          <w:color w:val="000000"/>
        </w:rPr>
        <w:t>the serrated pathway. APC: Adenomatous polyposis coli; BRAF: Protein kinase B-Raf; CIMP: CpG island methylator phenotype; KRAS: Kristin rat sarcoma virus.</w:t>
      </w:r>
    </w:p>
    <w:p w14:paraId="50D0F073" w14:textId="4B9D6307" w:rsidR="00A31DCB" w:rsidRDefault="00000000">
      <w:pPr>
        <w:spacing w:line="360" w:lineRule="auto"/>
        <w:jc w:val="both"/>
      </w:pPr>
      <w:r>
        <w:br w:type="page"/>
      </w:r>
    </w:p>
    <w:p w14:paraId="0AD170AB" w14:textId="77777777" w:rsidR="00E11502" w:rsidRDefault="00E11502">
      <w:pPr>
        <w:spacing w:line="360" w:lineRule="auto"/>
        <w:jc w:val="both"/>
        <w:rPr>
          <w:rFonts w:ascii="Book Antiqua" w:eastAsia="Book Antiqua" w:hAnsi="Book Antiqua" w:cs="Book Antiqua"/>
          <w:b/>
          <w:bCs/>
          <w:color w:val="000000"/>
        </w:rPr>
      </w:pPr>
    </w:p>
    <w:p w14:paraId="1CC8F00E" w14:textId="2BF6167A" w:rsidR="00E11502" w:rsidRDefault="00317DD2">
      <w:pPr>
        <w:spacing w:line="360" w:lineRule="auto"/>
        <w:jc w:val="both"/>
        <w:rPr>
          <w:noProof/>
        </w:rPr>
      </w:pPr>
      <w:r>
        <w:rPr>
          <w:noProof/>
        </w:rPr>
        <w:drawing>
          <wp:inline distT="0" distB="0" distL="0" distR="0" wp14:anchorId="6F27485D" wp14:editId="0F7238B4">
            <wp:extent cx="4338320" cy="2445385"/>
            <wp:effectExtent l="0" t="0" r="508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38320" cy="2445385"/>
                    </a:xfrm>
                    <a:prstGeom prst="rect">
                      <a:avLst/>
                    </a:prstGeom>
                    <a:noFill/>
                    <a:ln>
                      <a:noFill/>
                    </a:ln>
                  </pic:spPr>
                </pic:pic>
              </a:graphicData>
            </a:graphic>
          </wp:inline>
        </w:drawing>
      </w:r>
    </w:p>
    <w:p w14:paraId="7AA555F3" w14:textId="0B06BE8D" w:rsidR="00A31DCB" w:rsidRDefault="00000000">
      <w:pPr>
        <w:spacing w:line="360" w:lineRule="auto"/>
        <w:jc w:val="both"/>
      </w:pPr>
      <w:r>
        <w:rPr>
          <w:rFonts w:ascii="Book Antiqua" w:eastAsia="Book Antiqua" w:hAnsi="Book Antiqua" w:cs="Book Antiqua"/>
          <w:b/>
          <w:bCs/>
          <w:color w:val="000000"/>
        </w:rPr>
        <w:t xml:space="preserve">Figure 2 Targeted therapy for metastatic colorectal cancer. </w:t>
      </w:r>
      <w:r>
        <w:rPr>
          <w:rFonts w:ascii="Book Antiqua" w:eastAsia="Book Antiqua" w:hAnsi="Book Antiqua" w:cs="Book Antiqua"/>
          <w:color w:val="000000"/>
        </w:rPr>
        <w:t xml:space="preserve">AKT: Ak strain transforming; D: Down regulation pathway; EGFR: Epidermal growth factor receptor; HER2: Human epidermal growth factor receptor 2; IRS1/2: Insulin receptor substrates 1 or 2; MAPK: Mitogen activated protein kinase; mTOR: Mammalian target of rapamycin; MEK: Mitogen-activated protein kinase </w:t>
      </w:r>
      <w:proofErr w:type="spellStart"/>
      <w:r>
        <w:rPr>
          <w:rFonts w:ascii="Book Antiqua" w:eastAsia="Book Antiqua" w:hAnsi="Book Antiqua" w:cs="Book Antiqua"/>
          <w:color w:val="000000"/>
        </w:rPr>
        <w:t>kinase</w:t>
      </w:r>
      <w:proofErr w:type="spellEnd"/>
      <w:r>
        <w:rPr>
          <w:rFonts w:ascii="Book Antiqua" w:eastAsia="Book Antiqua" w:hAnsi="Book Antiqua" w:cs="Book Antiqua"/>
          <w:color w:val="000000"/>
        </w:rPr>
        <w:t xml:space="preserve">; NTRK: Neurotrophic tyrosine receptor kinase; PTEN: Phosphatase and </w:t>
      </w:r>
      <w:proofErr w:type="spellStart"/>
      <w:r>
        <w:rPr>
          <w:rFonts w:ascii="Book Antiqua" w:eastAsia="Book Antiqua" w:hAnsi="Book Antiqua" w:cs="Book Antiqua"/>
          <w:color w:val="000000"/>
        </w:rPr>
        <w:t>tensin</w:t>
      </w:r>
      <w:proofErr w:type="spellEnd"/>
      <w:r>
        <w:rPr>
          <w:rFonts w:ascii="Book Antiqua" w:eastAsia="Book Antiqua" w:hAnsi="Book Antiqua" w:cs="Book Antiqua"/>
          <w:color w:val="000000"/>
        </w:rPr>
        <w:t xml:space="preserve"> homolog; PI3K: Phosphoinositide 3-kinases; RAF: Rapidly accelerated fibrosarcoma; RAS: Rat sarcoma virus; SOS: Son of </w:t>
      </w:r>
      <w:proofErr w:type="spellStart"/>
      <w:r>
        <w:rPr>
          <w:rFonts w:ascii="Book Antiqua" w:eastAsia="Book Antiqua" w:hAnsi="Book Antiqua" w:cs="Book Antiqua"/>
          <w:color w:val="000000"/>
        </w:rPr>
        <w:t>sevenless</w:t>
      </w:r>
      <w:proofErr w:type="spellEnd"/>
      <w:r>
        <w:rPr>
          <w:rFonts w:ascii="Book Antiqua" w:eastAsia="Book Antiqua" w:hAnsi="Book Antiqua" w:cs="Book Antiqua"/>
          <w:color w:val="000000"/>
        </w:rPr>
        <w:t>.</w:t>
      </w:r>
    </w:p>
    <w:p w14:paraId="33DF33E1" w14:textId="77777777" w:rsidR="00A31DCB" w:rsidRDefault="00A31DCB">
      <w:pPr>
        <w:spacing w:line="360" w:lineRule="auto"/>
        <w:jc w:val="both"/>
      </w:pPr>
    </w:p>
    <w:p w14:paraId="14D60819" w14:textId="703D88FF" w:rsidR="00A31DCB" w:rsidRDefault="00000000">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 </w:t>
      </w:r>
      <w:r w:rsidR="00317DD2">
        <w:rPr>
          <w:rFonts w:ascii="Book Antiqua" w:eastAsia="Book Antiqua" w:hAnsi="Book Antiqua" w:cs="Book Antiqua"/>
          <w:b/>
          <w:bCs/>
          <w:noProof/>
          <w:color w:val="000000"/>
        </w:rPr>
        <w:drawing>
          <wp:inline distT="0" distB="0" distL="0" distR="0" wp14:anchorId="70894DA7" wp14:editId="069A806D">
            <wp:extent cx="4295775" cy="2381885"/>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95775" cy="2381885"/>
                    </a:xfrm>
                    <a:prstGeom prst="rect">
                      <a:avLst/>
                    </a:prstGeom>
                    <a:noFill/>
                    <a:ln>
                      <a:noFill/>
                    </a:ln>
                  </pic:spPr>
                </pic:pic>
              </a:graphicData>
            </a:graphic>
          </wp:inline>
        </w:drawing>
      </w:r>
    </w:p>
    <w:p w14:paraId="720153E3" w14:textId="77777777" w:rsidR="00A31DCB"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Immune check point inhibitors treatment for metastatic colorectal cancer. </w:t>
      </w:r>
      <w:r>
        <w:rPr>
          <w:rFonts w:ascii="Book Antiqua" w:eastAsia="Book Antiqua" w:hAnsi="Book Antiqua" w:cs="Book Antiqua"/>
          <w:color w:val="000000"/>
        </w:rPr>
        <w:t xml:space="preserve">CTLA4: Cytotoxic T-lymphocyte-associated protein 4; MHC: Major histocompatibility </w:t>
      </w:r>
      <w:r>
        <w:rPr>
          <w:rFonts w:ascii="Book Antiqua" w:eastAsia="Book Antiqua" w:hAnsi="Book Antiqua" w:cs="Book Antiqua"/>
          <w:color w:val="000000"/>
        </w:rPr>
        <w:lastRenderedPageBreak/>
        <w:t>complex; PD-1: Programmed cell death protein 1; PD-L1: Programmed death-ligand; TCR: T cell receptor.</w:t>
      </w:r>
    </w:p>
    <w:p w14:paraId="37FC1D22" w14:textId="77777777" w:rsidR="00A31DCB" w:rsidRDefault="00000000">
      <w:pPr>
        <w:shd w:val="clear" w:color="auto" w:fill="FFFFFF"/>
        <w:adjustRightInd w:val="0"/>
        <w:snapToGrid w:val="0"/>
        <w:spacing w:line="360" w:lineRule="auto"/>
        <w:jc w:val="both"/>
        <w:rPr>
          <w:rFonts w:ascii="Book Antiqua" w:eastAsia="Times New Roman" w:hAnsi="Book Antiqua" w:cs="Calibri"/>
          <w:b/>
          <w:bCs/>
          <w:color w:val="000000"/>
        </w:rPr>
      </w:pPr>
      <w:r>
        <w:rPr>
          <w:rFonts w:ascii="Book Antiqua" w:eastAsia="Book Antiqua" w:hAnsi="Book Antiqua" w:cs="Book Antiqua"/>
          <w:color w:val="000000"/>
        </w:rPr>
        <w:br w:type="page"/>
      </w:r>
      <w:r>
        <w:rPr>
          <w:rFonts w:ascii="Book Antiqua" w:eastAsia="Times New Roman" w:hAnsi="Book Antiqua" w:cs="Calibri"/>
          <w:b/>
          <w:bCs/>
          <w:color w:val="000000"/>
        </w:rPr>
        <w:lastRenderedPageBreak/>
        <w:t>Table 1 Modifiable and non-modifiable risk factors and preventive factors for colorectal cancer</w:t>
      </w:r>
    </w:p>
    <w:tbl>
      <w:tblPr>
        <w:tblW w:w="0" w:type="auto"/>
        <w:tblInd w:w="18" w:type="dxa"/>
        <w:tblBorders>
          <w:top w:val="single" w:sz="4" w:space="0" w:color="auto"/>
          <w:bottom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933"/>
        <w:gridCol w:w="3676"/>
        <w:gridCol w:w="10"/>
        <w:gridCol w:w="4043"/>
      </w:tblGrid>
      <w:tr w:rsidR="00A31DCB" w14:paraId="1B0EDCEC" w14:textId="77777777">
        <w:tc>
          <w:tcPr>
            <w:tcW w:w="1933" w:type="dxa"/>
            <w:tcBorders>
              <w:top w:val="single" w:sz="4" w:space="0" w:color="auto"/>
              <w:bottom w:val="single" w:sz="4" w:space="0" w:color="auto"/>
            </w:tcBorders>
            <w:shd w:val="clear" w:color="auto" w:fill="auto"/>
            <w:tcMar>
              <w:top w:w="0" w:type="dxa"/>
              <w:left w:w="108" w:type="dxa"/>
              <w:bottom w:w="0" w:type="dxa"/>
              <w:right w:w="108" w:type="dxa"/>
            </w:tcMar>
          </w:tcPr>
          <w:p w14:paraId="5DF669F5" w14:textId="77777777" w:rsidR="00A31DCB" w:rsidRDefault="00A31DCB">
            <w:pPr>
              <w:spacing w:line="360" w:lineRule="auto"/>
              <w:contextualSpacing/>
              <w:jc w:val="both"/>
              <w:rPr>
                <w:rFonts w:ascii="Book Antiqua" w:eastAsia="Times New Roman" w:hAnsi="Book Antiqua" w:cs="Calibri"/>
                <w:color w:val="000000"/>
              </w:rPr>
            </w:pPr>
          </w:p>
        </w:tc>
        <w:tc>
          <w:tcPr>
            <w:tcW w:w="3686" w:type="dxa"/>
            <w:gridSpan w:val="2"/>
            <w:tcBorders>
              <w:top w:val="single" w:sz="4" w:space="0" w:color="auto"/>
              <w:bottom w:val="single" w:sz="4" w:space="0" w:color="auto"/>
            </w:tcBorders>
            <w:shd w:val="clear" w:color="auto" w:fill="auto"/>
            <w:tcMar>
              <w:top w:w="0" w:type="dxa"/>
              <w:left w:w="108" w:type="dxa"/>
              <w:bottom w:w="0" w:type="dxa"/>
              <w:right w:w="108" w:type="dxa"/>
            </w:tcMar>
          </w:tcPr>
          <w:p w14:paraId="514BB638" w14:textId="77777777" w:rsidR="00A31DCB" w:rsidRDefault="00000000">
            <w:pPr>
              <w:spacing w:line="360" w:lineRule="auto"/>
              <w:contextualSpacing/>
              <w:jc w:val="both"/>
              <w:rPr>
                <w:rFonts w:ascii="Book Antiqua" w:eastAsia="Times New Roman" w:hAnsi="Book Antiqua" w:cs="Calibri"/>
                <w:b/>
                <w:bCs/>
                <w:color w:val="000000"/>
              </w:rPr>
            </w:pPr>
            <w:r>
              <w:rPr>
                <w:rFonts w:ascii="Book Antiqua" w:eastAsia="Times New Roman" w:hAnsi="Book Antiqua" w:cs="Calibri"/>
                <w:b/>
                <w:bCs/>
                <w:color w:val="000000"/>
              </w:rPr>
              <w:t>Modifiable</w:t>
            </w:r>
          </w:p>
        </w:tc>
        <w:tc>
          <w:tcPr>
            <w:tcW w:w="4043" w:type="dxa"/>
            <w:tcBorders>
              <w:top w:val="single" w:sz="4" w:space="0" w:color="auto"/>
              <w:bottom w:val="single" w:sz="4" w:space="0" w:color="auto"/>
            </w:tcBorders>
            <w:shd w:val="clear" w:color="auto" w:fill="auto"/>
            <w:tcMar>
              <w:top w:w="0" w:type="dxa"/>
              <w:left w:w="108" w:type="dxa"/>
              <w:bottom w:w="0" w:type="dxa"/>
              <w:right w:w="108" w:type="dxa"/>
            </w:tcMar>
          </w:tcPr>
          <w:p w14:paraId="609A507E" w14:textId="77777777" w:rsidR="00A31DCB" w:rsidRDefault="00000000">
            <w:pPr>
              <w:spacing w:line="360" w:lineRule="auto"/>
              <w:contextualSpacing/>
              <w:jc w:val="both"/>
              <w:rPr>
                <w:rFonts w:ascii="Book Antiqua" w:eastAsia="Times New Roman" w:hAnsi="Book Antiqua" w:cs="Calibri"/>
                <w:b/>
                <w:bCs/>
                <w:color w:val="000000"/>
              </w:rPr>
            </w:pPr>
            <w:r>
              <w:rPr>
                <w:rFonts w:ascii="Book Antiqua" w:eastAsia="Times New Roman" w:hAnsi="Book Antiqua" w:cs="Calibri"/>
                <w:b/>
                <w:bCs/>
                <w:color w:val="000000"/>
              </w:rPr>
              <w:t>Non-modifiable</w:t>
            </w:r>
          </w:p>
        </w:tc>
      </w:tr>
      <w:tr w:rsidR="00A31DCB" w14:paraId="20970B30" w14:textId="77777777">
        <w:tc>
          <w:tcPr>
            <w:tcW w:w="1933" w:type="dxa"/>
            <w:vMerge w:val="restart"/>
            <w:tcBorders>
              <w:top w:val="single" w:sz="4" w:space="0" w:color="auto"/>
            </w:tcBorders>
            <w:shd w:val="clear" w:color="auto" w:fill="auto"/>
            <w:tcMar>
              <w:top w:w="0" w:type="dxa"/>
              <w:left w:w="108" w:type="dxa"/>
              <w:bottom w:w="0" w:type="dxa"/>
              <w:right w:w="108" w:type="dxa"/>
            </w:tcMar>
          </w:tcPr>
          <w:p w14:paraId="243E19D6" w14:textId="77777777" w:rsidR="00A31DCB" w:rsidRDefault="00000000">
            <w:pPr>
              <w:spacing w:line="360" w:lineRule="auto"/>
              <w:contextualSpacing/>
              <w:jc w:val="both"/>
              <w:rPr>
                <w:rFonts w:ascii="Book Antiqua" w:hAnsi="Book Antiqua" w:cs="Calibri"/>
                <w:color w:val="000000"/>
                <w:lang w:eastAsia="zh-CN"/>
              </w:rPr>
            </w:pPr>
            <w:r>
              <w:rPr>
                <w:rFonts w:ascii="Book Antiqua" w:eastAsia="Times New Roman" w:hAnsi="Book Antiqua" w:cs="Calibri"/>
                <w:color w:val="000000"/>
              </w:rPr>
              <w:t>Risk factors</w:t>
            </w:r>
          </w:p>
        </w:tc>
        <w:tc>
          <w:tcPr>
            <w:tcW w:w="3676" w:type="dxa"/>
            <w:tcBorders>
              <w:top w:val="single" w:sz="4" w:space="0" w:color="auto"/>
            </w:tcBorders>
            <w:shd w:val="clear" w:color="auto" w:fill="auto"/>
            <w:tcMar>
              <w:top w:w="0" w:type="dxa"/>
              <w:left w:w="108" w:type="dxa"/>
              <w:bottom w:w="0" w:type="dxa"/>
              <w:right w:w="108" w:type="dxa"/>
            </w:tcMar>
          </w:tcPr>
          <w:p w14:paraId="7D71E0E2" w14:textId="77777777" w:rsidR="00A31DCB" w:rsidRDefault="00000000">
            <w:pPr>
              <w:spacing w:line="360" w:lineRule="auto"/>
              <w:contextualSpacing/>
              <w:jc w:val="both"/>
              <w:rPr>
                <w:rFonts w:ascii="Book Antiqua" w:eastAsia="Times New Roman" w:hAnsi="Book Antiqua" w:cs="Calibri"/>
                <w:color w:val="000000"/>
              </w:rPr>
            </w:pPr>
            <w:r>
              <w:rPr>
                <w:rFonts w:ascii="Book Antiqua" w:eastAsia="Times New Roman" w:hAnsi="Book Antiqua" w:cs="Calibri"/>
                <w:color w:val="000000"/>
              </w:rPr>
              <w:t>Excess body fat</w:t>
            </w:r>
          </w:p>
        </w:tc>
        <w:tc>
          <w:tcPr>
            <w:tcW w:w="4053" w:type="dxa"/>
            <w:gridSpan w:val="2"/>
            <w:tcBorders>
              <w:top w:val="single" w:sz="4" w:space="0" w:color="auto"/>
            </w:tcBorders>
            <w:shd w:val="clear" w:color="auto" w:fill="auto"/>
            <w:tcMar>
              <w:top w:w="0" w:type="dxa"/>
              <w:left w:w="108" w:type="dxa"/>
              <w:bottom w:w="0" w:type="dxa"/>
              <w:right w:w="108" w:type="dxa"/>
            </w:tcMar>
          </w:tcPr>
          <w:p w14:paraId="14CD3C82" w14:textId="77777777" w:rsidR="00A31DCB" w:rsidRDefault="00000000">
            <w:pPr>
              <w:spacing w:line="360" w:lineRule="auto"/>
              <w:contextualSpacing/>
              <w:jc w:val="both"/>
              <w:rPr>
                <w:rFonts w:ascii="Book Antiqua" w:eastAsia="Times New Roman" w:hAnsi="Book Antiqua" w:cs="Calibri"/>
                <w:color w:val="000000"/>
              </w:rPr>
            </w:pPr>
            <w:r>
              <w:rPr>
                <w:rFonts w:ascii="Book Antiqua" w:eastAsia="Times New Roman" w:hAnsi="Book Antiqua" w:cs="Calibri"/>
                <w:color w:val="000000"/>
              </w:rPr>
              <w:t>Family history of CRC</w:t>
            </w:r>
          </w:p>
        </w:tc>
      </w:tr>
      <w:tr w:rsidR="00A31DCB" w14:paraId="3D2E7CD5" w14:textId="77777777">
        <w:tc>
          <w:tcPr>
            <w:tcW w:w="1933" w:type="dxa"/>
            <w:vMerge/>
            <w:shd w:val="clear" w:color="auto" w:fill="auto"/>
            <w:tcMar>
              <w:top w:w="0" w:type="dxa"/>
              <w:left w:w="108" w:type="dxa"/>
              <w:bottom w:w="0" w:type="dxa"/>
              <w:right w:w="108" w:type="dxa"/>
            </w:tcMar>
          </w:tcPr>
          <w:p w14:paraId="5D95009C" w14:textId="77777777" w:rsidR="00A31DCB" w:rsidRDefault="00A31DCB">
            <w:pPr>
              <w:spacing w:line="360" w:lineRule="auto"/>
              <w:contextualSpacing/>
              <w:jc w:val="both"/>
              <w:rPr>
                <w:rFonts w:ascii="Book Antiqua" w:hAnsi="Book Antiqua" w:cs="Calibri"/>
                <w:color w:val="000000"/>
                <w:lang w:eastAsia="zh-CN"/>
              </w:rPr>
            </w:pPr>
          </w:p>
        </w:tc>
        <w:tc>
          <w:tcPr>
            <w:tcW w:w="3676" w:type="dxa"/>
            <w:shd w:val="clear" w:color="auto" w:fill="auto"/>
            <w:tcMar>
              <w:top w:w="0" w:type="dxa"/>
              <w:left w:w="108" w:type="dxa"/>
              <w:bottom w:w="0" w:type="dxa"/>
              <w:right w:w="108" w:type="dxa"/>
            </w:tcMar>
          </w:tcPr>
          <w:p w14:paraId="38454826" w14:textId="77777777" w:rsidR="00A31DCB" w:rsidRDefault="00000000">
            <w:pPr>
              <w:spacing w:line="360" w:lineRule="auto"/>
              <w:contextualSpacing/>
              <w:jc w:val="both"/>
              <w:rPr>
                <w:rFonts w:ascii="Book Antiqua" w:eastAsia="Times New Roman" w:hAnsi="Book Antiqua" w:cs="Calibri"/>
                <w:color w:val="000000"/>
              </w:rPr>
            </w:pPr>
            <w:r>
              <w:rPr>
                <w:rFonts w:ascii="Book Antiqua" w:eastAsia="Times New Roman" w:hAnsi="Book Antiqua" w:cs="Calibri"/>
                <w:color w:val="000000"/>
              </w:rPr>
              <w:t xml:space="preserve">Sedentary </w:t>
            </w:r>
            <w:proofErr w:type="gramStart"/>
            <w:r>
              <w:rPr>
                <w:rFonts w:ascii="Book Antiqua" w:eastAsia="Times New Roman" w:hAnsi="Book Antiqua" w:cs="Calibri"/>
                <w:color w:val="000000"/>
              </w:rPr>
              <w:t>life-style</w:t>
            </w:r>
            <w:proofErr w:type="gramEnd"/>
          </w:p>
        </w:tc>
        <w:tc>
          <w:tcPr>
            <w:tcW w:w="4053" w:type="dxa"/>
            <w:gridSpan w:val="2"/>
            <w:shd w:val="clear" w:color="auto" w:fill="auto"/>
            <w:tcMar>
              <w:top w:w="0" w:type="dxa"/>
              <w:left w:w="108" w:type="dxa"/>
              <w:bottom w:w="0" w:type="dxa"/>
              <w:right w:w="108" w:type="dxa"/>
            </w:tcMar>
          </w:tcPr>
          <w:p w14:paraId="54EDADB9" w14:textId="77777777" w:rsidR="00A31DCB" w:rsidRDefault="00000000">
            <w:pPr>
              <w:spacing w:line="360" w:lineRule="auto"/>
              <w:contextualSpacing/>
              <w:jc w:val="both"/>
              <w:rPr>
                <w:rFonts w:ascii="Book Antiqua" w:hAnsi="Book Antiqua"/>
              </w:rPr>
            </w:pPr>
            <w:r>
              <w:rPr>
                <w:rFonts w:ascii="Book Antiqua" w:hAnsi="Book Antiqua"/>
              </w:rPr>
              <w:t>Advanced polyps</w:t>
            </w:r>
          </w:p>
        </w:tc>
      </w:tr>
      <w:tr w:rsidR="00A31DCB" w14:paraId="34EFCB27" w14:textId="77777777">
        <w:tc>
          <w:tcPr>
            <w:tcW w:w="1933" w:type="dxa"/>
            <w:vMerge/>
            <w:shd w:val="clear" w:color="auto" w:fill="auto"/>
            <w:tcMar>
              <w:top w:w="0" w:type="dxa"/>
              <w:left w:w="108" w:type="dxa"/>
              <w:bottom w:w="0" w:type="dxa"/>
              <w:right w:w="108" w:type="dxa"/>
            </w:tcMar>
          </w:tcPr>
          <w:p w14:paraId="3B77BD10" w14:textId="77777777" w:rsidR="00A31DCB" w:rsidRDefault="00A31DCB">
            <w:pPr>
              <w:spacing w:line="360" w:lineRule="auto"/>
              <w:contextualSpacing/>
              <w:jc w:val="both"/>
              <w:rPr>
                <w:rFonts w:ascii="Book Antiqua" w:hAnsi="Book Antiqua" w:cs="Calibri"/>
                <w:color w:val="000000"/>
                <w:lang w:eastAsia="zh-CN"/>
              </w:rPr>
            </w:pPr>
          </w:p>
        </w:tc>
        <w:tc>
          <w:tcPr>
            <w:tcW w:w="3676" w:type="dxa"/>
            <w:shd w:val="clear" w:color="auto" w:fill="auto"/>
            <w:tcMar>
              <w:top w:w="0" w:type="dxa"/>
              <w:left w:w="108" w:type="dxa"/>
              <w:bottom w:w="0" w:type="dxa"/>
              <w:right w:w="108" w:type="dxa"/>
            </w:tcMar>
          </w:tcPr>
          <w:p w14:paraId="7B9CE5CD" w14:textId="77777777" w:rsidR="00A31DCB" w:rsidRDefault="00000000">
            <w:pPr>
              <w:spacing w:line="360" w:lineRule="auto"/>
              <w:contextualSpacing/>
              <w:jc w:val="both"/>
              <w:rPr>
                <w:rFonts w:ascii="Book Antiqua" w:eastAsia="Times New Roman" w:hAnsi="Book Antiqua" w:cs="Calibri"/>
                <w:color w:val="000000"/>
              </w:rPr>
            </w:pPr>
            <w:r>
              <w:rPr>
                <w:rFonts w:ascii="Book Antiqua" w:eastAsia="Times New Roman" w:hAnsi="Book Antiqua" w:cs="Calibri"/>
                <w:color w:val="000000"/>
              </w:rPr>
              <w:t>Westernized diet</w:t>
            </w:r>
          </w:p>
        </w:tc>
        <w:tc>
          <w:tcPr>
            <w:tcW w:w="4053" w:type="dxa"/>
            <w:gridSpan w:val="2"/>
            <w:shd w:val="clear" w:color="auto" w:fill="auto"/>
            <w:tcMar>
              <w:top w:w="0" w:type="dxa"/>
              <w:left w:w="108" w:type="dxa"/>
              <w:bottom w:w="0" w:type="dxa"/>
              <w:right w:w="108" w:type="dxa"/>
            </w:tcMar>
          </w:tcPr>
          <w:p w14:paraId="4D28E541" w14:textId="77777777" w:rsidR="00A31DCB" w:rsidRDefault="00000000">
            <w:pPr>
              <w:spacing w:line="360" w:lineRule="auto"/>
              <w:contextualSpacing/>
              <w:jc w:val="both"/>
              <w:rPr>
                <w:rFonts w:ascii="Book Antiqua" w:eastAsia="Times New Roman" w:hAnsi="Book Antiqua" w:cs="Calibri"/>
                <w:color w:val="000000"/>
              </w:rPr>
            </w:pPr>
            <w:r>
              <w:rPr>
                <w:rFonts w:ascii="Book Antiqua" w:eastAsia="Times New Roman" w:hAnsi="Book Antiqua" w:cs="Calibri"/>
                <w:color w:val="000000"/>
              </w:rPr>
              <w:t>Polyposis syndrome (FAP, MAP)</w:t>
            </w:r>
          </w:p>
        </w:tc>
      </w:tr>
      <w:tr w:rsidR="00A31DCB" w14:paraId="68DECA8E" w14:textId="77777777">
        <w:tc>
          <w:tcPr>
            <w:tcW w:w="1933" w:type="dxa"/>
            <w:vMerge/>
            <w:shd w:val="clear" w:color="auto" w:fill="auto"/>
            <w:tcMar>
              <w:top w:w="0" w:type="dxa"/>
              <w:left w:w="108" w:type="dxa"/>
              <w:bottom w:w="0" w:type="dxa"/>
              <w:right w:w="108" w:type="dxa"/>
            </w:tcMar>
          </w:tcPr>
          <w:p w14:paraId="6E515727" w14:textId="77777777" w:rsidR="00A31DCB" w:rsidRDefault="00A31DCB">
            <w:pPr>
              <w:spacing w:line="360" w:lineRule="auto"/>
              <w:contextualSpacing/>
              <w:jc w:val="both"/>
              <w:rPr>
                <w:rFonts w:ascii="Book Antiqua" w:hAnsi="Book Antiqua" w:cs="Calibri"/>
                <w:color w:val="000000"/>
                <w:lang w:eastAsia="zh-CN"/>
              </w:rPr>
            </w:pPr>
          </w:p>
        </w:tc>
        <w:tc>
          <w:tcPr>
            <w:tcW w:w="3676" w:type="dxa"/>
            <w:shd w:val="clear" w:color="auto" w:fill="auto"/>
            <w:tcMar>
              <w:top w:w="0" w:type="dxa"/>
              <w:left w:w="108" w:type="dxa"/>
              <w:bottom w:w="0" w:type="dxa"/>
              <w:right w:w="108" w:type="dxa"/>
            </w:tcMar>
          </w:tcPr>
          <w:p w14:paraId="41897804" w14:textId="77777777" w:rsidR="00A31DCB" w:rsidRDefault="00000000">
            <w:pPr>
              <w:spacing w:line="360" w:lineRule="auto"/>
              <w:contextualSpacing/>
              <w:jc w:val="both"/>
              <w:rPr>
                <w:rFonts w:ascii="Book Antiqua" w:eastAsia="Times New Roman" w:hAnsi="Book Antiqua" w:cs="Calibri"/>
                <w:color w:val="000000"/>
              </w:rPr>
            </w:pPr>
            <w:r>
              <w:rPr>
                <w:rFonts w:ascii="Book Antiqua" w:eastAsia="Times New Roman" w:hAnsi="Book Antiqua" w:cs="Calibri"/>
                <w:color w:val="000000"/>
              </w:rPr>
              <w:t>Processed meats</w:t>
            </w:r>
          </w:p>
        </w:tc>
        <w:tc>
          <w:tcPr>
            <w:tcW w:w="4053" w:type="dxa"/>
            <w:gridSpan w:val="2"/>
            <w:shd w:val="clear" w:color="auto" w:fill="auto"/>
            <w:tcMar>
              <w:top w:w="0" w:type="dxa"/>
              <w:left w:w="108" w:type="dxa"/>
              <w:bottom w:w="0" w:type="dxa"/>
              <w:right w:w="108" w:type="dxa"/>
            </w:tcMar>
          </w:tcPr>
          <w:p w14:paraId="51CE0D3D" w14:textId="77777777" w:rsidR="00A31DCB" w:rsidRDefault="00000000">
            <w:pPr>
              <w:spacing w:line="360" w:lineRule="auto"/>
              <w:contextualSpacing/>
              <w:jc w:val="both"/>
              <w:rPr>
                <w:rFonts w:ascii="Book Antiqua" w:eastAsia="Times New Roman" w:hAnsi="Book Antiqua" w:cs="Calibri"/>
                <w:color w:val="000000"/>
              </w:rPr>
            </w:pPr>
            <w:r>
              <w:rPr>
                <w:rFonts w:ascii="Book Antiqua" w:eastAsia="Times New Roman" w:hAnsi="Book Antiqua" w:cs="Calibri"/>
                <w:color w:val="000000"/>
              </w:rPr>
              <w:t>Lynch syndrome (HNPCC)</w:t>
            </w:r>
          </w:p>
        </w:tc>
      </w:tr>
      <w:tr w:rsidR="00A31DCB" w14:paraId="7BC44901" w14:textId="77777777">
        <w:tc>
          <w:tcPr>
            <w:tcW w:w="1933" w:type="dxa"/>
            <w:vMerge/>
            <w:shd w:val="clear" w:color="auto" w:fill="auto"/>
            <w:tcMar>
              <w:top w:w="0" w:type="dxa"/>
              <w:left w:w="108" w:type="dxa"/>
              <w:bottom w:w="0" w:type="dxa"/>
              <w:right w:w="108" w:type="dxa"/>
            </w:tcMar>
          </w:tcPr>
          <w:p w14:paraId="460D8AEB" w14:textId="77777777" w:rsidR="00A31DCB" w:rsidRDefault="00A31DCB">
            <w:pPr>
              <w:spacing w:line="360" w:lineRule="auto"/>
              <w:contextualSpacing/>
              <w:jc w:val="both"/>
              <w:rPr>
                <w:rFonts w:ascii="Book Antiqua" w:hAnsi="Book Antiqua" w:cs="Calibri"/>
                <w:color w:val="000000"/>
                <w:lang w:eastAsia="zh-CN"/>
              </w:rPr>
            </w:pPr>
          </w:p>
        </w:tc>
        <w:tc>
          <w:tcPr>
            <w:tcW w:w="3676" w:type="dxa"/>
            <w:shd w:val="clear" w:color="auto" w:fill="auto"/>
            <w:tcMar>
              <w:top w:w="0" w:type="dxa"/>
              <w:left w:w="108" w:type="dxa"/>
              <w:bottom w:w="0" w:type="dxa"/>
              <w:right w:w="108" w:type="dxa"/>
            </w:tcMar>
          </w:tcPr>
          <w:p w14:paraId="10973157" w14:textId="77777777" w:rsidR="00A31DCB" w:rsidRDefault="00000000">
            <w:pPr>
              <w:spacing w:line="360" w:lineRule="auto"/>
              <w:contextualSpacing/>
              <w:jc w:val="both"/>
              <w:rPr>
                <w:rFonts w:ascii="Book Antiqua" w:eastAsia="Times New Roman" w:hAnsi="Book Antiqua" w:cs="Calibri"/>
                <w:color w:val="000000"/>
              </w:rPr>
            </w:pPr>
            <w:r>
              <w:rPr>
                <w:rFonts w:ascii="Book Antiqua" w:eastAsia="Times New Roman" w:hAnsi="Book Antiqua" w:cs="Calibri"/>
                <w:color w:val="000000"/>
              </w:rPr>
              <w:t>Red meats</w:t>
            </w:r>
          </w:p>
        </w:tc>
        <w:tc>
          <w:tcPr>
            <w:tcW w:w="4053" w:type="dxa"/>
            <w:gridSpan w:val="2"/>
            <w:shd w:val="clear" w:color="auto" w:fill="auto"/>
            <w:tcMar>
              <w:top w:w="0" w:type="dxa"/>
              <w:left w:w="108" w:type="dxa"/>
              <w:bottom w:w="0" w:type="dxa"/>
              <w:right w:w="108" w:type="dxa"/>
            </w:tcMar>
          </w:tcPr>
          <w:p w14:paraId="134C9386" w14:textId="77777777" w:rsidR="00A31DCB" w:rsidRDefault="00000000">
            <w:pPr>
              <w:spacing w:line="360" w:lineRule="auto"/>
              <w:contextualSpacing/>
              <w:jc w:val="both"/>
              <w:rPr>
                <w:rFonts w:ascii="Book Antiqua" w:eastAsia="Times New Roman" w:hAnsi="Book Antiqua" w:cs="Calibri"/>
                <w:color w:val="000000"/>
              </w:rPr>
            </w:pPr>
            <w:r>
              <w:rPr>
                <w:rFonts w:ascii="Book Antiqua" w:eastAsia="Times New Roman" w:hAnsi="Book Antiqua" w:cs="Calibri"/>
                <w:color w:val="000000"/>
              </w:rPr>
              <w:t>Black people</w:t>
            </w:r>
          </w:p>
        </w:tc>
      </w:tr>
      <w:tr w:rsidR="00A31DCB" w14:paraId="30808EB3" w14:textId="77777777">
        <w:tc>
          <w:tcPr>
            <w:tcW w:w="1933" w:type="dxa"/>
            <w:vMerge/>
            <w:shd w:val="clear" w:color="auto" w:fill="auto"/>
            <w:tcMar>
              <w:top w:w="0" w:type="dxa"/>
              <w:left w:w="108" w:type="dxa"/>
              <w:bottom w:w="0" w:type="dxa"/>
              <w:right w:w="108" w:type="dxa"/>
            </w:tcMar>
          </w:tcPr>
          <w:p w14:paraId="34319696" w14:textId="77777777" w:rsidR="00A31DCB" w:rsidRDefault="00A31DCB">
            <w:pPr>
              <w:spacing w:line="360" w:lineRule="auto"/>
              <w:contextualSpacing/>
              <w:jc w:val="both"/>
              <w:rPr>
                <w:rFonts w:ascii="Book Antiqua" w:hAnsi="Book Antiqua" w:cs="Calibri"/>
                <w:color w:val="000000"/>
                <w:lang w:eastAsia="zh-CN"/>
              </w:rPr>
            </w:pPr>
          </w:p>
        </w:tc>
        <w:tc>
          <w:tcPr>
            <w:tcW w:w="3676" w:type="dxa"/>
            <w:shd w:val="clear" w:color="auto" w:fill="auto"/>
            <w:tcMar>
              <w:top w:w="0" w:type="dxa"/>
              <w:left w:w="108" w:type="dxa"/>
              <w:bottom w:w="0" w:type="dxa"/>
              <w:right w:w="108" w:type="dxa"/>
            </w:tcMar>
          </w:tcPr>
          <w:p w14:paraId="6D6ACFA2" w14:textId="77777777" w:rsidR="00A31DCB" w:rsidRDefault="00A31DCB">
            <w:pPr>
              <w:spacing w:line="360" w:lineRule="auto"/>
              <w:contextualSpacing/>
              <w:jc w:val="both"/>
              <w:rPr>
                <w:rFonts w:ascii="Book Antiqua" w:eastAsia="Times New Roman" w:hAnsi="Book Antiqua" w:cs="Calibri"/>
                <w:color w:val="000000"/>
              </w:rPr>
            </w:pPr>
          </w:p>
        </w:tc>
        <w:tc>
          <w:tcPr>
            <w:tcW w:w="4053" w:type="dxa"/>
            <w:gridSpan w:val="2"/>
            <w:shd w:val="clear" w:color="auto" w:fill="auto"/>
            <w:tcMar>
              <w:top w:w="0" w:type="dxa"/>
              <w:left w:w="108" w:type="dxa"/>
              <w:bottom w:w="0" w:type="dxa"/>
              <w:right w:w="108" w:type="dxa"/>
            </w:tcMar>
          </w:tcPr>
          <w:p w14:paraId="35AC5D35" w14:textId="77777777" w:rsidR="00A31DCB" w:rsidRDefault="00000000">
            <w:pPr>
              <w:spacing w:line="360" w:lineRule="auto"/>
              <w:contextualSpacing/>
              <w:jc w:val="both"/>
              <w:rPr>
                <w:rFonts w:ascii="Book Antiqua" w:eastAsia="Times New Roman" w:hAnsi="Book Antiqua" w:cs="Calibri"/>
                <w:color w:val="000000"/>
              </w:rPr>
            </w:pPr>
            <w:r>
              <w:rPr>
                <w:rFonts w:ascii="Book Antiqua" w:eastAsia="Times New Roman" w:hAnsi="Book Antiqua" w:cs="Calibri"/>
                <w:color w:val="000000"/>
              </w:rPr>
              <w:t>Older age</w:t>
            </w:r>
          </w:p>
        </w:tc>
      </w:tr>
      <w:tr w:rsidR="00A31DCB" w14:paraId="66A64BB9" w14:textId="77777777">
        <w:tc>
          <w:tcPr>
            <w:tcW w:w="1933" w:type="dxa"/>
            <w:vMerge/>
            <w:shd w:val="clear" w:color="auto" w:fill="auto"/>
            <w:tcMar>
              <w:top w:w="0" w:type="dxa"/>
              <w:left w:w="108" w:type="dxa"/>
              <w:bottom w:w="0" w:type="dxa"/>
              <w:right w:w="108" w:type="dxa"/>
            </w:tcMar>
          </w:tcPr>
          <w:p w14:paraId="4EEF37B4" w14:textId="77777777" w:rsidR="00A31DCB" w:rsidRDefault="00A31DCB">
            <w:pPr>
              <w:spacing w:line="360" w:lineRule="auto"/>
              <w:contextualSpacing/>
              <w:jc w:val="both"/>
              <w:rPr>
                <w:rFonts w:ascii="Book Antiqua" w:hAnsi="Book Antiqua" w:cs="Calibri"/>
                <w:color w:val="000000"/>
                <w:lang w:eastAsia="zh-CN"/>
              </w:rPr>
            </w:pPr>
          </w:p>
        </w:tc>
        <w:tc>
          <w:tcPr>
            <w:tcW w:w="3676" w:type="dxa"/>
            <w:shd w:val="clear" w:color="auto" w:fill="auto"/>
            <w:tcMar>
              <w:top w:w="0" w:type="dxa"/>
              <w:left w:w="108" w:type="dxa"/>
              <w:bottom w:w="0" w:type="dxa"/>
              <w:right w:w="108" w:type="dxa"/>
            </w:tcMar>
          </w:tcPr>
          <w:p w14:paraId="4A38C397" w14:textId="77777777" w:rsidR="00A31DCB" w:rsidRDefault="00A31DCB">
            <w:pPr>
              <w:spacing w:line="360" w:lineRule="auto"/>
              <w:contextualSpacing/>
              <w:jc w:val="both"/>
              <w:rPr>
                <w:rFonts w:ascii="Book Antiqua" w:eastAsia="Times New Roman" w:hAnsi="Book Antiqua" w:cs="Calibri"/>
                <w:color w:val="000000"/>
              </w:rPr>
            </w:pPr>
          </w:p>
        </w:tc>
        <w:tc>
          <w:tcPr>
            <w:tcW w:w="4053" w:type="dxa"/>
            <w:gridSpan w:val="2"/>
            <w:shd w:val="clear" w:color="auto" w:fill="auto"/>
            <w:tcMar>
              <w:top w:w="0" w:type="dxa"/>
              <w:left w:w="108" w:type="dxa"/>
              <w:bottom w:w="0" w:type="dxa"/>
              <w:right w:w="108" w:type="dxa"/>
            </w:tcMar>
          </w:tcPr>
          <w:p w14:paraId="7EB45177" w14:textId="77777777" w:rsidR="00A31DCB" w:rsidRDefault="00000000">
            <w:pPr>
              <w:spacing w:line="360" w:lineRule="auto"/>
              <w:contextualSpacing/>
              <w:jc w:val="both"/>
              <w:rPr>
                <w:rFonts w:ascii="Book Antiqua" w:eastAsia="Times New Roman" w:hAnsi="Book Antiqua" w:cs="Calibri"/>
                <w:color w:val="000000"/>
              </w:rPr>
            </w:pPr>
            <w:r>
              <w:rPr>
                <w:rFonts w:ascii="Book Antiqua" w:eastAsia="Times New Roman" w:hAnsi="Book Antiqua" w:cs="Calibri"/>
                <w:color w:val="000000"/>
              </w:rPr>
              <w:t>Male</w:t>
            </w:r>
          </w:p>
        </w:tc>
      </w:tr>
      <w:tr w:rsidR="00A31DCB" w14:paraId="795FD646" w14:textId="77777777">
        <w:tc>
          <w:tcPr>
            <w:tcW w:w="1933" w:type="dxa"/>
            <w:vMerge w:val="restart"/>
            <w:shd w:val="clear" w:color="auto" w:fill="auto"/>
            <w:tcMar>
              <w:top w:w="0" w:type="dxa"/>
              <w:left w:w="108" w:type="dxa"/>
              <w:bottom w:w="0" w:type="dxa"/>
              <w:right w:w="108" w:type="dxa"/>
            </w:tcMar>
          </w:tcPr>
          <w:p w14:paraId="14B3DE0A" w14:textId="77777777" w:rsidR="00A31DCB" w:rsidRDefault="00000000">
            <w:pPr>
              <w:spacing w:line="360" w:lineRule="auto"/>
              <w:contextualSpacing/>
              <w:jc w:val="both"/>
              <w:rPr>
                <w:rFonts w:ascii="Book Antiqua" w:eastAsia="Book Antiqua" w:hAnsi="Book Antiqua" w:cs="Book Antiqua"/>
                <w:color w:val="000000"/>
              </w:rPr>
            </w:pPr>
            <w:r>
              <w:rPr>
                <w:rFonts w:ascii="Book Antiqua" w:eastAsia="Book Antiqua" w:hAnsi="Book Antiqua" w:cs="Book Antiqua"/>
                <w:color w:val="000000"/>
              </w:rPr>
              <w:t>Preventive factors</w:t>
            </w:r>
          </w:p>
        </w:tc>
        <w:tc>
          <w:tcPr>
            <w:tcW w:w="3676" w:type="dxa"/>
            <w:shd w:val="clear" w:color="auto" w:fill="auto"/>
            <w:tcMar>
              <w:top w:w="0" w:type="dxa"/>
              <w:left w:w="108" w:type="dxa"/>
              <w:bottom w:w="0" w:type="dxa"/>
              <w:right w:w="108" w:type="dxa"/>
            </w:tcMar>
          </w:tcPr>
          <w:p w14:paraId="5359D357" w14:textId="77777777" w:rsidR="00A31DCB" w:rsidRDefault="00000000">
            <w:pPr>
              <w:spacing w:line="360" w:lineRule="auto"/>
              <w:contextualSpacing/>
              <w:jc w:val="both"/>
              <w:rPr>
                <w:rFonts w:ascii="Book Antiqua" w:eastAsia="Times New Roman" w:hAnsi="Book Antiqua" w:cs="Calibri"/>
                <w:color w:val="000000"/>
              </w:rPr>
            </w:pPr>
            <w:r>
              <w:rPr>
                <w:rFonts w:ascii="Book Antiqua" w:eastAsia="Times New Roman" w:hAnsi="Book Antiqua" w:cs="Calibri"/>
                <w:color w:val="000000"/>
              </w:rPr>
              <w:t>High fiber diet</w:t>
            </w:r>
          </w:p>
        </w:tc>
        <w:tc>
          <w:tcPr>
            <w:tcW w:w="4053" w:type="dxa"/>
            <w:gridSpan w:val="2"/>
            <w:shd w:val="clear" w:color="auto" w:fill="auto"/>
            <w:tcMar>
              <w:top w:w="0" w:type="dxa"/>
              <w:left w:w="108" w:type="dxa"/>
              <w:bottom w:w="0" w:type="dxa"/>
              <w:right w:w="108" w:type="dxa"/>
            </w:tcMar>
          </w:tcPr>
          <w:p w14:paraId="380D82CD" w14:textId="77777777" w:rsidR="00A31DCB" w:rsidRDefault="00000000">
            <w:pPr>
              <w:spacing w:line="360" w:lineRule="auto"/>
              <w:contextualSpacing/>
              <w:jc w:val="both"/>
              <w:rPr>
                <w:rFonts w:ascii="Book Antiqua" w:eastAsia="Times New Roman" w:hAnsi="Book Antiqua" w:cs="Calibri"/>
                <w:color w:val="000000"/>
              </w:rPr>
            </w:pPr>
            <w:r>
              <w:rPr>
                <w:rFonts w:ascii="Book Antiqua" w:eastAsia="Times New Roman" w:hAnsi="Book Antiqua" w:cs="Calibri"/>
                <w:color w:val="000000"/>
              </w:rPr>
              <w:t>Female</w:t>
            </w:r>
          </w:p>
        </w:tc>
      </w:tr>
      <w:tr w:rsidR="00A31DCB" w14:paraId="549779D9" w14:textId="77777777">
        <w:tc>
          <w:tcPr>
            <w:tcW w:w="1933" w:type="dxa"/>
            <w:vMerge/>
            <w:shd w:val="clear" w:color="auto" w:fill="auto"/>
            <w:tcMar>
              <w:top w:w="0" w:type="dxa"/>
              <w:left w:w="108" w:type="dxa"/>
              <w:bottom w:w="0" w:type="dxa"/>
              <w:right w:w="108" w:type="dxa"/>
            </w:tcMar>
          </w:tcPr>
          <w:p w14:paraId="6CAC3988" w14:textId="77777777" w:rsidR="00A31DCB" w:rsidRDefault="00A31DCB">
            <w:pPr>
              <w:spacing w:line="360" w:lineRule="auto"/>
              <w:contextualSpacing/>
              <w:jc w:val="both"/>
              <w:rPr>
                <w:rFonts w:ascii="Book Antiqua" w:eastAsia="Book Antiqua" w:hAnsi="Book Antiqua" w:cs="Book Antiqua"/>
                <w:color w:val="000000"/>
              </w:rPr>
            </w:pPr>
          </w:p>
        </w:tc>
        <w:tc>
          <w:tcPr>
            <w:tcW w:w="3676" w:type="dxa"/>
            <w:shd w:val="clear" w:color="auto" w:fill="auto"/>
            <w:tcMar>
              <w:top w:w="0" w:type="dxa"/>
              <w:left w:w="108" w:type="dxa"/>
              <w:bottom w:w="0" w:type="dxa"/>
              <w:right w:w="108" w:type="dxa"/>
            </w:tcMar>
          </w:tcPr>
          <w:p w14:paraId="26280B39" w14:textId="77777777" w:rsidR="00A31DCB" w:rsidRDefault="00000000">
            <w:pPr>
              <w:spacing w:line="360" w:lineRule="auto"/>
              <w:contextualSpacing/>
              <w:jc w:val="both"/>
              <w:rPr>
                <w:rFonts w:ascii="Book Antiqua" w:eastAsia="Times New Roman" w:hAnsi="Book Antiqua" w:cs="Calibri"/>
                <w:color w:val="000000"/>
              </w:rPr>
            </w:pPr>
            <w:r>
              <w:rPr>
                <w:rFonts w:ascii="Book Antiqua" w:eastAsia="Times New Roman" w:hAnsi="Book Antiqua" w:cs="Calibri"/>
                <w:color w:val="000000"/>
              </w:rPr>
              <w:t>Whole grain diet</w:t>
            </w:r>
          </w:p>
        </w:tc>
        <w:tc>
          <w:tcPr>
            <w:tcW w:w="4053" w:type="dxa"/>
            <w:gridSpan w:val="2"/>
            <w:shd w:val="clear" w:color="auto" w:fill="auto"/>
            <w:tcMar>
              <w:top w:w="0" w:type="dxa"/>
              <w:left w:w="108" w:type="dxa"/>
              <w:bottom w:w="0" w:type="dxa"/>
              <w:right w:w="108" w:type="dxa"/>
            </w:tcMar>
          </w:tcPr>
          <w:p w14:paraId="69434413" w14:textId="77777777" w:rsidR="00A31DCB" w:rsidRDefault="00A31DCB">
            <w:pPr>
              <w:spacing w:line="360" w:lineRule="auto"/>
              <w:contextualSpacing/>
              <w:jc w:val="both"/>
              <w:rPr>
                <w:rFonts w:ascii="Book Antiqua" w:eastAsia="Times New Roman" w:hAnsi="Book Antiqua" w:cs="Calibri"/>
                <w:color w:val="000000"/>
              </w:rPr>
            </w:pPr>
          </w:p>
        </w:tc>
      </w:tr>
      <w:tr w:rsidR="00A31DCB" w14:paraId="3B3C28E9" w14:textId="77777777">
        <w:tc>
          <w:tcPr>
            <w:tcW w:w="1933" w:type="dxa"/>
            <w:vMerge/>
            <w:shd w:val="clear" w:color="auto" w:fill="auto"/>
            <w:tcMar>
              <w:top w:w="0" w:type="dxa"/>
              <w:left w:w="108" w:type="dxa"/>
              <w:bottom w:w="0" w:type="dxa"/>
              <w:right w:w="108" w:type="dxa"/>
            </w:tcMar>
          </w:tcPr>
          <w:p w14:paraId="522A57B7" w14:textId="77777777" w:rsidR="00A31DCB" w:rsidRDefault="00A31DCB">
            <w:pPr>
              <w:spacing w:line="360" w:lineRule="auto"/>
              <w:contextualSpacing/>
              <w:jc w:val="both"/>
              <w:rPr>
                <w:rFonts w:ascii="Book Antiqua" w:eastAsia="Book Antiqua" w:hAnsi="Book Antiqua" w:cs="Book Antiqua"/>
                <w:color w:val="000000"/>
              </w:rPr>
            </w:pPr>
          </w:p>
        </w:tc>
        <w:tc>
          <w:tcPr>
            <w:tcW w:w="3676" w:type="dxa"/>
            <w:shd w:val="clear" w:color="auto" w:fill="auto"/>
            <w:tcMar>
              <w:top w:w="0" w:type="dxa"/>
              <w:left w:w="108" w:type="dxa"/>
              <w:bottom w:w="0" w:type="dxa"/>
              <w:right w:w="108" w:type="dxa"/>
            </w:tcMar>
          </w:tcPr>
          <w:p w14:paraId="3D73F82C" w14:textId="77777777" w:rsidR="00A31DCB" w:rsidRDefault="00000000">
            <w:pPr>
              <w:spacing w:line="360" w:lineRule="auto"/>
              <w:contextualSpacing/>
              <w:jc w:val="both"/>
              <w:rPr>
                <w:rFonts w:ascii="Book Antiqua" w:eastAsia="Times New Roman" w:hAnsi="Book Antiqua" w:cs="Calibri"/>
                <w:color w:val="000000"/>
              </w:rPr>
            </w:pPr>
            <w:r>
              <w:rPr>
                <w:rFonts w:ascii="Book Antiqua" w:eastAsia="Times New Roman" w:hAnsi="Book Antiqua" w:cs="Calibri"/>
                <w:color w:val="000000"/>
              </w:rPr>
              <w:t>No alcohol</w:t>
            </w:r>
          </w:p>
        </w:tc>
        <w:tc>
          <w:tcPr>
            <w:tcW w:w="4053" w:type="dxa"/>
            <w:gridSpan w:val="2"/>
            <w:shd w:val="clear" w:color="auto" w:fill="auto"/>
            <w:tcMar>
              <w:top w:w="0" w:type="dxa"/>
              <w:left w:w="108" w:type="dxa"/>
              <w:bottom w:w="0" w:type="dxa"/>
              <w:right w:w="108" w:type="dxa"/>
            </w:tcMar>
          </w:tcPr>
          <w:p w14:paraId="25049105" w14:textId="77777777" w:rsidR="00A31DCB" w:rsidRDefault="00A31DCB">
            <w:pPr>
              <w:spacing w:line="360" w:lineRule="auto"/>
              <w:contextualSpacing/>
              <w:jc w:val="both"/>
              <w:rPr>
                <w:rFonts w:ascii="Book Antiqua" w:eastAsia="Times New Roman" w:hAnsi="Book Antiqua" w:cs="Calibri"/>
                <w:color w:val="000000"/>
              </w:rPr>
            </w:pPr>
          </w:p>
        </w:tc>
      </w:tr>
      <w:tr w:rsidR="00A31DCB" w14:paraId="5E89985C" w14:textId="77777777">
        <w:tc>
          <w:tcPr>
            <w:tcW w:w="1933" w:type="dxa"/>
            <w:vMerge/>
            <w:shd w:val="clear" w:color="auto" w:fill="auto"/>
            <w:tcMar>
              <w:top w:w="0" w:type="dxa"/>
              <w:left w:w="108" w:type="dxa"/>
              <w:bottom w:w="0" w:type="dxa"/>
              <w:right w:w="108" w:type="dxa"/>
            </w:tcMar>
          </w:tcPr>
          <w:p w14:paraId="0DFA400D" w14:textId="77777777" w:rsidR="00A31DCB" w:rsidRDefault="00A31DCB">
            <w:pPr>
              <w:spacing w:line="360" w:lineRule="auto"/>
              <w:contextualSpacing/>
              <w:jc w:val="both"/>
              <w:rPr>
                <w:rFonts w:ascii="Book Antiqua" w:eastAsia="Book Antiqua" w:hAnsi="Book Antiqua" w:cs="Book Antiqua"/>
                <w:color w:val="000000"/>
              </w:rPr>
            </w:pPr>
          </w:p>
        </w:tc>
        <w:tc>
          <w:tcPr>
            <w:tcW w:w="3676" w:type="dxa"/>
            <w:shd w:val="clear" w:color="auto" w:fill="auto"/>
            <w:tcMar>
              <w:top w:w="0" w:type="dxa"/>
              <w:left w:w="108" w:type="dxa"/>
              <w:bottom w:w="0" w:type="dxa"/>
              <w:right w:w="108" w:type="dxa"/>
            </w:tcMar>
          </w:tcPr>
          <w:p w14:paraId="5477D830" w14:textId="77777777" w:rsidR="00A31DCB" w:rsidRDefault="00000000">
            <w:pPr>
              <w:spacing w:line="360" w:lineRule="auto"/>
              <w:contextualSpacing/>
              <w:jc w:val="both"/>
              <w:rPr>
                <w:rFonts w:ascii="Book Antiqua" w:eastAsia="Times New Roman" w:hAnsi="Book Antiqua" w:cs="Calibri"/>
                <w:color w:val="000000"/>
              </w:rPr>
            </w:pPr>
            <w:r>
              <w:rPr>
                <w:rFonts w:ascii="Book Antiqua" w:eastAsia="Times New Roman" w:hAnsi="Book Antiqua" w:cs="Calibri"/>
                <w:color w:val="000000"/>
              </w:rPr>
              <w:t>No smoking</w:t>
            </w:r>
          </w:p>
        </w:tc>
        <w:tc>
          <w:tcPr>
            <w:tcW w:w="4053" w:type="dxa"/>
            <w:gridSpan w:val="2"/>
            <w:shd w:val="clear" w:color="auto" w:fill="auto"/>
            <w:tcMar>
              <w:top w:w="0" w:type="dxa"/>
              <w:left w:w="108" w:type="dxa"/>
              <w:bottom w:w="0" w:type="dxa"/>
              <w:right w:w="108" w:type="dxa"/>
            </w:tcMar>
          </w:tcPr>
          <w:p w14:paraId="14AD7C63" w14:textId="77777777" w:rsidR="00A31DCB" w:rsidRDefault="00A31DCB">
            <w:pPr>
              <w:spacing w:line="360" w:lineRule="auto"/>
              <w:contextualSpacing/>
              <w:jc w:val="both"/>
              <w:rPr>
                <w:rFonts w:ascii="Book Antiqua" w:eastAsia="Times New Roman" w:hAnsi="Book Antiqua" w:cs="Calibri"/>
                <w:color w:val="000000"/>
              </w:rPr>
            </w:pPr>
          </w:p>
        </w:tc>
      </w:tr>
    </w:tbl>
    <w:p w14:paraId="5FA6FCAD" w14:textId="77777777" w:rsidR="00A31DCB" w:rsidRDefault="00000000">
      <w:pPr>
        <w:adjustRightInd w:val="0"/>
        <w:snapToGrid w:val="0"/>
        <w:spacing w:line="360" w:lineRule="auto"/>
        <w:jc w:val="both"/>
        <w:rPr>
          <w:rFonts w:ascii="Book Antiqua" w:hAnsi="Book Antiqua"/>
        </w:rPr>
      </w:pPr>
      <w:r>
        <w:rPr>
          <w:rFonts w:ascii="Book Antiqua" w:hAnsi="Book Antiqua"/>
        </w:rPr>
        <w:t xml:space="preserve">CRC: Colorectal cancer; FAP: Familial adenomatous polyposis; </w:t>
      </w:r>
      <w:r>
        <w:rPr>
          <w:rFonts w:ascii="Book Antiqua" w:eastAsia="Book Antiqua" w:hAnsi="Book Antiqua" w:cs="Book Antiqua"/>
          <w:color w:val="000000"/>
        </w:rPr>
        <w:t xml:space="preserve">HNPCC: Hereditary non-polyposis colorectal cancer; </w:t>
      </w:r>
      <w:r>
        <w:rPr>
          <w:rFonts w:ascii="Book Antiqua" w:hAnsi="Book Antiqua"/>
        </w:rPr>
        <w:t>MAP: MUTYH-associated polyposis.</w:t>
      </w:r>
    </w:p>
    <w:p w14:paraId="24387156" w14:textId="77777777" w:rsidR="00A31DCB" w:rsidRDefault="00A31DCB">
      <w:pPr>
        <w:shd w:val="clear" w:color="auto" w:fill="FFFFFF"/>
        <w:adjustRightInd w:val="0"/>
        <w:snapToGrid w:val="0"/>
        <w:spacing w:line="360" w:lineRule="auto"/>
        <w:jc w:val="both"/>
        <w:rPr>
          <w:rFonts w:ascii="Book Antiqua" w:eastAsia="Times New Roman" w:hAnsi="Book Antiqua" w:cs="Calibri"/>
          <w:b/>
          <w:bCs/>
          <w:color w:val="000000"/>
        </w:rPr>
        <w:sectPr w:rsidR="00A31DCB">
          <w:pgSz w:w="12240" w:h="15840"/>
          <w:pgMar w:top="1440" w:right="1440" w:bottom="1440" w:left="1440" w:header="720" w:footer="720" w:gutter="0"/>
          <w:cols w:space="720"/>
          <w:docGrid w:linePitch="360"/>
        </w:sectPr>
      </w:pPr>
    </w:p>
    <w:p w14:paraId="2460A6B8" w14:textId="77777777" w:rsidR="00A31DCB" w:rsidRDefault="00000000">
      <w:pPr>
        <w:shd w:val="clear" w:color="auto" w:fill="FFFFFF"/>
        <w:adjustRightInd w:val="0"/>
        <w:snapToGrid w:val="0"/>
        <w:spacing w:line="360" w:lineRule="auto"/>
        <w:jc w:val="both"/>
        <w:rPr>
          <w:rFonts w:ascii="Book Antiqua" w:eastAsia="Times New Roman" w:hAnsi="Book Antiqua" w:cs="Calibri"/>
          <w:b/>
          <w:bCs/>
          <w:color w:val="000000"/>
        </w:rPr>
      </w:pPr>
      <w:r>
        <w:rPr>
          <w:rFonts w:ascii="Book Antiqua" w:eastAsia="Times New Roman" w:hAnsi="Book Antiqua" w:cs="Calibri"/>
          <w:b/>
          <w:bCs/>
          <w:color w:val="000000"/>
        </w:rPr>
        <w:lastRenderedPageBreak/>
        <w:t>Table 2 Chemotherapy and targeted therapies for metastatic colorectal cancer patients</w:t>
      </w:r>
    </w:p>
    <w:tbl>
      <w:tblPr>
        <w:tblW w:w="15134" w:type="dxa"/>
        <w:tblBorders>
          <w:top w:val="single" w:sz="4" w:space="0" w:color="auto"/>
          <w:bottom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526"/>
        <w:gridCol w:w="1725"/>
        <w:gridCol w:w="1890"/>
        <w:gridCol w:w="1365"/>
        <w:gridCol w:w="945"/>
        <w:gridCol w:w="1110"/>
        <w:gridCol w:w="1500"/>
        <w:gridCol w:w="1350"/>
        <w:gridCol w:w="3723"/>
      </w:tblGrid>
      <w:tr w:rsidR="00A31DCB" w14:paraId="60F4018D" w14:textId="77777777">
        <w:tc>
          <w:tcPr>
            <w:tcW w:w="1526" w:type="dxa"/>
            <w:tcBorders>
              <w:top w:val="single" w:sz="4" w:space="0" w:color="auto"/>
              <w:bottom w:val="single" w:sz="4" w:space="0" w:color="auto"/>
            </w:tcBorders>
            <w:shd w:val="clear" w:color="auto" w:fill="auto"/>
            <w:tcMar>
              <w:top w:w="0" w:type="dxa"/>
              <w:left w:w="108" w:type="dxa"/>
              <w:bottom w:w="0" w:type="dxa"/>
              <w:right w:w="108" w:type="dxa"/>
            </w:tcMar>
          </w:tcPr>
          <w:p w14:paraId="2AE89658" w14:textId="77777777" w:rsidR="00A31DCB" w:rsidRDefault="00000000">
            <w:pPr>
              <w:adjustRightInd w:val="0"/>
              <w:snapToGrid w:val="0"/>
              <w:spacing w:line="360" w:lineRule="auto"/>
              <w:jc w:val="both"/>
              <w:rPr>
                <w:rFonts w:ascii="Book Antiqua" w:hAnsi="Book Antiqua" w:cs="Calibri"/>
                <w:b/>
                <w:bCs/>
                <w:lang w:eastAsia="zh-CN"/>
              </w:rPr>
            </w:pPr>
            <w:r>
              <w:rPr>
                <w:rFonts w:ascii="Book Antiqua" w:hAnsi="Book Antiqua" w:cs="Calibri"/>
                <w:b/>
                <w:bCs/>
                <w:color w:val="000000"/>
                <w:lang w:eastAsia="zh-CN"/>
              </w:rPr>
              <w:t>Ref.</w:t>
            </w:r>
          </w:p>
        </w:tc>
        <w:tc>
          <w:tcPr>
            <w:tcW w:w="1725" w:type="dxa"/>
            <w:tcBorders>
              <w:top w:val="single" w:sz="4" w:space="0" w:color="auto"/>
              <w:bottom w:val="single" w:sz="4" w:space="0" w:color="auto"/>
            </w:tcBorders>
            <w:shd w:val="clear" w:color="auto" w:fill="auto"/>
            <w:tcMar>
              <w:top w:w="0" w:type="dxa"/>
              <w:left w:w="108" w:type="dxa"/>
              <w:bottom w:w="0" w:type="dxa"/>
              <w:right w:w="108" w:type="dxa"/>
            </w:tcMar>
          </w:tcPr>
          <w:p w14:paraId="37DC7BF8" w14:textId="77777777" w:rsidR="00A31DCB" w:rsidRDefault="00000000">
            <w:pPr>
              <w:adjustRightInd w:val="0"/>
              <w:snapToGrid w:val="0"/>
              <w:spacing w:line="360" w:lineRule="auto"/>
              <w:jc w:val="both"/>
              <w:rPr>
                <w:rFonts w:ascii="Book Antiqua" w:hAnsi="Book Antiqua" w:cs="Calibri"/>
                <w:b/>
                <w:bCs/>
                <w:color w:val="000000"/>
                <w:lang w:eastAsia="zh-CN"/>
              </w:rPr>
            </w:pPr>
            <w:r>
              <w:rPr>
                <w:rFonts w:ascii="Book Antiqua" w:hAnsi="Book Antiqua" w:cs="Calibri" w:hint="eastAsia"/>
                <w:b/>
                <w:bCs/>
                <w:color w:val="000000"/>
                <w:lang w:eastAsia="zh-CN"/>
              </w:rPr>
              <w:t>Country</w:t>
            </w:r>
          </w:p>
        </w:tc>
        <w:tc>
          <w:tcPr>
            <w:tcW w:w="1890" w:type="dxa"/>
            <w:tcBorders>
              <w:top w:val="single" w:sz="4" w:space="0" w:color="auto"/>
              <w:bottom w:val="single" w:sz="4" w:space="0" w:color="auto"/>
            </w:tcBorders>
            <w:shd w:val="clear" w:color="auto" w:fill="auto"/>
            <w:tcMar>
              <w:top w:w="0" w:type="dxa"/>
              <w:left w:w="108" w:type="dxa"/>
              <w:bottom w:w="0" w:type="dxa"/>
              <w:right w:w="108" w:type="dxa"/>
            </w:tcMar>
          </w:tcPr>
          <w:p w14:paraId="208CB64F" w14:textId="77777777" w:rsidR="00A31DCB" w:rsidRDefault="00000000">
            <w:pPr>
              <w:adjustRightInd w:val="0"/>
              <w:snapToGrid w:val="0"/>
              <w:spacing w:line="360" w:lineRule="auto"/>
              <w:jc w:val="both"/>
              <w:rPr>
                <w:rFonts w:ascii="Book Antiqua" w:hAnsi="Book Antiqua" w:cs="Calibri"/>
                <w:b/>
                <w:bCs/>
                <w:lang w:eastAsia="zh-CN"/>
              </w:rPr>
            </w:pPr>
            <w:r>
              <w:rPr>
                <w:rFonts w:ascii="Book Antiqua" w:eastAsia="Times New Roman" w:hAnsi="Book Antiqua" w:cs="Calibri"/>
                <w:b/>
                <w:bCs/>
                <w:color w:val="000000"/>
              </w:rPr>
              <w:t>Drug(s)</w:t>
            </w:r>
          </w:p>
        </w:tc>
        <w:tc>
          <w:tcPr>
            <w:tcW w:w="1365" w:type="dxa"/>
            <w:tcBorders>
              <w:top w:val="single" w:sz="4" w:space="0" w:color="auto"/>
              <w:bottom w:val="single" w:sz="4" w:space="0" w:color="auto"/>
            </w:tcBorders>
            <w:shd w:val="clear" w:color="auto" w:fill="auto"/>
            <w:tcMar>
              <w:top w:w="0" w:type="dxa"/>
              <w:left w:w="108" w:type="dxa"/>
              <w:bottom w:w="0" w:type="dxa"/>
              <w:right w:w="108" w:type="dxa"/>
            </w:tcMar>
          </w:tcPr>
          <w:p w14:paraId="513AA6AD" w14:textId="77777777" w:rsidR="00A31DCB" w:rsidRDefault="00000000">
            <w:pPr>
              <w:adjustRightInd w:val="0"/>
              <w:snapToGrid w:val="0"/>
              <w:spacing w:line="360" w:lineRule="auto"/>
              <w:jc w:val="both"/>
              <w:rPr>
                <w:rFonts w:ascii="Book Antiqua" w:hAnsi="Book Antiqua" w:cs="Calibri"/>
                <w:b/>
                <w:bCs/>
                <w:lang w:eastAsia="zh-CN"/>
              </w:rPr>
            </w:pPr>
            <w:r>
              <w:rPr>
                <w:rFonts w:ascii="Book Antiqua" w:hAnsi="Book Antiqua" w:cs="Calibri"/>
                <w:b/>
                <w:bCs/>
                <w:lang w:eastAsia="zh-CN"/>
              </w:rPr>
              <w:t>Number of patients</w:t>
            </w:r>
          </w:p>
        </w:tc>
        <w:tc>
          <w:tcPr>
            <w:tcW w:w="945" w:type="dxa"/>
            <w:tcBorders>
              <w:top w:val="single" w:sz="4" w:space="0" w:color="auto"/>
              <w:bottom w:val="single" w:sz="4" w:space="0" w:color="auto"/>
            </w:tcBorders>
            <w:shd w:val="clear" w:color="auto" w:fill="auto"/>
            <w:tcMar>
              <w:top w:w="0" w:type="dxa"/>
              <w:left w:w="108" w:type="dxa"/>
              <w:bottom w:w="0" w:type="dxa"/>
              <w:right w:w="108" w:type="dxa"/>
            </w:tcMar>
          </w:tcPr>
          <w:p w14:paraId="52191A9B" w14:textId="77777777" w:rsidR="00A31DCB" w:rsidRDefault="00000000">
            <w:pPr>
              <w:adjustRightInd w:val="0"/>
              <w:snapToGrid w:val="0"/>
              <w:spacing w:line="360" w:lineRule="auto"/>
              <w:jc w:val="both"/>
              <w:rPr>
                <w:rFonts w:ascii="Book Antiqua" w:eastAsia="Times New Roman" w:hAnsi="Book Antiqua" w:cs="Calibri"/>
                <w:b/>
                <w:bCs/>
                <w:color w:val="000000"/>
              </w:rPr>
            </w:pPr>
            <w:r>
              <w:rPr>
                <w:rFonts w:ascii="Book Antiqua" w:eastAsia="Times New Roman" w:hAnsi="Book Antiqua" w:cs="Calibri"/>
                <w:b/>
                <w:bCs/>
                <w:color w:val="000000"/>
              </w:rPr>
              <w:t>Study</w:t>
            </w:r>
            <w:r>
              <w:rPr>
                <w:rFonts w:ascii="Book Antiqua" w:hAnsi="Book Antiqua" w:cs="Calibri" w:hint="eastAsia"/>
                <w:b/>
                <w:bCs/>
                <w:color w:val="000000"/>
                <w:lang w:eastAsia="zh-CN"/>
              </w:rPr>
              <w:t xml:space="preserve"> </w:t>
            </w:r>
            <w:r>
              <w:rPr>
                <w:rFonts w:ascii="Book Antiqua" w:eastAsia="Times New Roman" w:hAnsi="Book Antiqua" w:cs="Calibri"/>
                <w:b/>
                <w:bCs/>
                <w:color w:val="000000"/>
              </w:rPr>
              <w:t>phase</w:t>
            </w:r>
          </w:p>
        </w:tc>
        <w:tc>
          <w:tcPr>
            <w:tcW w:w="1110" w:type="dxa"/>
            <w:tcBorders>
              <w:top w:val="single" w:sz="4" w:space="0" w:color="auto"/>
              <w:bottom w:val="single" w:sz="4" w:space="0" w:color="auto"/>
            </w:tcBorders>
            <w:shd w:val="clear" w:color="auto" w:fill="auto"/>
            <w:tcMar>
              <w:top w:w="0" w:type="dxa"/>
              <w:left w:w="108" w:type="dxa"/>
              <w:bottom w:w="0" w:type="dxa"/>
              <w:right w:w="108" w:type="dxa"/>
            </w:tcMar>
          </w:tcPr>
          <w:p w14:paraId="281E8B65" w14:textId="77777777" w:rsidR="00A31DCB" w:rsidRDefault="00000000">
            <w:pPr>
              <w:adjustRightInd w:val="0"/>
              <w:snapToGrid w:val="0"/>
              <w:spacing w:line="360" w:lineRule="auto"/>
              <w:jc w:val="both"/>
              <w:rPr>
                <w:rFonts w:ascii="Book Antiqua" w:eastAsia="Times New Roman" w:hAnsi="Book Antiqua" w:cs="Calibri"/>
                <w:b/>
                <w:bCs/>
                <w:color w:val="000000"/>
              </w:rPr>
            </w:pPr>
            <w:r>
              <w:rPr>
                <w:rFonts w:ascii="Book Antiqua" w:eastAsia="Times New Roman" w:hAnsi="Book Antiqua" w:cs="Calibri"/>
                <w:b/>
                <w:bCs/>
                <w:color w:val="000000"/>
              </w:rPr>
              <w:t>ORR,</w:t>
            </w:r>
            <w:r>
              <w:rPr>
                <w:rFonts w:ascii="Book Antiqua" w:hAnsi="Book Antiqua" w:cs="Calibri" w:hint="eastAsia"/>
                <w:b/>
                <w:bCs/>
                <w:color w:val="000000"/>
                <w:lang w:eastAsia="zh-CN"/>
              </w:rPr>
              <w:t xml:space="preserve"> </w:t>
            </w:r>
            <w:r>
              <w:rPr>
                <w:rFonts w:ascii="Book Antiqua" w:hAnsi="Book Antiqua" w:cs="Calibri"/>
                <w:b/>
                <w:bCs/>
                <w:lang w:eastAsia="zh-CN"/>
              </w:rPr>
              <w:t>%</w:t>
            </w:r>
          </w:p>
        </w:tc>
        <w:tc>
          <w:tcPr>
            <w:tcW w:w="1500" w:type="dxa"/>
            <w:tcBorders>
              <w:top w:val="single" w:sz="4" w:space="0" w:color="auto"/>
              <w:bottom w:val="single" w:sz="4" w:space="0" w:color="auto"/>
            </w:tcBorders>
            <w:shd w:val="clear" w:color="auto" w:fill="auto"/>
            <w:tcMar>
              <w:top w:w="0" w:type="dxa"/>
              <w:left w:w="108" w:type="dxa"/>
              <w:bottom w:w="0" w:type="dxa"/>
              <w:right w:w="108" w:type="dxa"/>
            </w:tcMar>
          </w:tcPr>
          <w:p w14:paraId="36D6686D" w14:textId="77777777" w:rsidR="00A31DCB" w:rsidRDefault="00000000">
            <w:pPr>
              <w:adjustRightInd w:val="0"/>
              <w:snapToGrid w:val="0"/>
              <w:spacing w:line="360" w:lineRule="auto"/>
              <w:jc w:val="both"/>
              <w:rPr>
                <w:rFonts w:ascii="Book Antiqua" w:eastAsia="Times New Roman" w:hAnsi="Book Antiqua" w:cs="Calibri"/>
                <w:b/>
                <w:bCs/>
                <w:color w:val="000000"/>
              </w:rPr>
            </w:pPr>
            <w:r>
              <w:rPr>
                <w:rFonts w:ascii="Book Antiqua" w:eastAsia="Times New Roman" w:hAnsi="Book Antiqua" w:cs="Calibri"/>
                <w:b/>
                <w:bCs/>
                <w:color w:val="000000"/>
              </w:rPr>
              <w:t>Mean OS</w:t>
            </w:r>
            <w:r>
              <w:rPr>
                <w:rFonts w:ascii="Book Antiqua" w:hAnsi="Book Antiqua" w:cs="Calibri" w:hint="eastAsia"/>
                <w:b/>
                <w:bCs/>
                <w:color w:val="000000"/>
                <w:lang w:eastAsia="zh-CN"/>
              </w:rPr>
              <w:t xml:space="preserve"> </w:t>
            </w:r>
            <w:r>
              <w:rPr>
                <w:rFonts w:ascii="Book Antiqua" w:hAnsi="Book Antiqua" w:cs="Calibri"/>
                <w:b/>
                <w:bCs/>
                <w:lang w:eastAsia="zh-CN"/>
              </w:rPr>
              <w:t xml:space="preserve">in </w:t>
            </w:r>
            <w:proofErr w:type="spellStart"/>
            <w:r>
              <w:rPr>
                <w:rFonts w:ascii="Book Antiqua" w:hAnsi="Book Antiqua" w:cs="Calibri"/>
                <w:b/>
                <w:bCs/>
                <w:lang w:eastAsia="zh-CN"/>
              </w:rPr>
              <w:t>mo</w:t>
            </w:r>
            <w:proofErr w:type="spellEnd"/>
          </w:p>
        </w:tc>
        <w:tc>
          <w:tcPr>
            <w:tcW w:w="1350" w:type="dxa"/>
            <w:tcBorders>
              <w:top w:val="single" w:sz="4" w:space="0" w:color="auto"/>
              <w:bottom w:val="single" w:sz="4" w:space="0" w:color="auto"/>
            </w:tcBorders>
            <w:shd w:val="clear" w:color="auto" w:fill="auto"/>
          </w:tcPr>
          <w:p w14:paraId="5A70E30E" w14:textId="77777777" w:rsidR="00A31DCB" w:rsidRDefault="00000000">
            <w:pPr>
              <w:adjustRightInd w:val="0"/>
              <w:snapToGrid w:val="0"/>
              <w:spacing w:line="360" w:lineRule="auto"/>
              <w:jc w:val="both"/>
              <w:rPr>
                <w:rFonts w:ascii="Book Antiqua" w:eastAsia="Times New Roman" w:hAnsi="Book Antiqua" w:cs="Calibri"/>
                <w:b/>
                <w:bCs/>
                <w:color w:val="000000"/>
              </w:rPr>
            </w:pPr>
            <w:r>
              <w:rPr>
                <w:rFonts w:ascii="Book Antiqua" w:eastAsia="Times New Roman" w:hAnsi="Book Antiqua" w:cs="Calibri"/>
                <w:b/>
                <w:bCs/>
                <w:color w:val="000000"/>
              </w:rPr>
              <w:t>Mean PFS</w:t>
            </w:r>
            <w:r>
              <w:rPr>
                <w:rFonts w:ascii="Book Antiqua" w:hAnsi="Book Antiqua" w:cs="Calibri" w:hint="eastAsia"/>
                <w:b/>
                <w:bCs/>
                <w:color w:val="000000"/>
                <w:lang w:eastAsia="zh-CN"/>
              </w:rPr>
              <w:t xml:space="preserve"> </w:t>
            </w:r>
            <w:r>
              <w:rPr>
                <w:rFonts w:ascii="Book Antiqua" w:eastAsia="Times New Roman" w:hAnsi="Book Antiqua" w:cs="Calibri"/>
                <w:b/>
                <w:bCs/>
                <w:color w:val="000000"/>
              </w:rPr>
              <w:t xml:space="preserve">in </w:t>
            </w:r>
            <w:proofErr w:type="spellStart"/>
            <w:r>
              <w:rPr>
                <w:rFonts w:ascii="Book Antiqua" w:eastAsia="Times New Roman" w:hAnsi="Book Antiqua" w:cs="Calibri"/>
                <w:b/>
                <w:bCs/>
                <w:color w:val="000000"/>
              </w:rPr>
              <w:t>mo</w:t>
            </w:r>
            <w:proofErr w:type="spellEnd"/>
          </w:p>
        </w:tc>
        <w:tc>
          <w:tcPr>
            <w:tcW w:w="3723" w:type="dxa"/>
            <w:tcBorders>
              <w:top w:val="single" w:sz="4" w:space="0" w:color="auto"/>
              <w:bottom w:val="single" w:sz="4" w:space="0" w:color="auto"/>
            </w:tcBorders>
            <w:shd w:val="clear" w:color="auto" w:fill="auto"/>
          </w:tcPr>
          <w:p w14:paraId="37C37889" w14:textId="77777777" w:rsidR="00A31DCB" w:rsidRDefault="00000000">
            <w:pPr>
              <w:adjustRightInd w:val="0"/>
              <w:snapToGrid w:val="0"/>
              <w:spacing w:line="360" w:lineRule="auto"/>
              <w:jc w:val="both"/>
              <w:rPr>
                <w:rFonts w:ascii="Book Antiqua" w:eastAsia="Times New Roman" w:hAnsi="Book Antiqua" w:cs="Calibri"/>
                <w:b/>
                <w:bCs/>
                <w:color w:val="000000"/>
              </w:rPr>
            </w:pPr>
            <w:r>
              <w:rPr>
                <w:rFonts w:ascii="Book Antiqua" w:eastAsia="Times New Roman" w:hAnsi="Book Antiqua" w:cs="Calibri"/>
                <w:b/>
                <w:bCs/>
                <w:color w:val="000000"/>
              </w:rPr>
              <w:t>Results</w:t>
            </w:r>
          </w:p>
        </w:tc>
      </w:tr>
      <w:tr w:rsidR="00A31DCB" w14:paraId="05378CC6" w14:textId="77777777">
        <w:tc>
          <w:tcPr>
            <w:tcW w:w="15134" w:type="dxa"/>
            <w:gridSpan w:val="9"/>
            <w:tcBorders>
              <w:top w:val="single" w:sz="4" w:space="0" w:color="auto"/>
            </w:tcBorders>
            <w:shd w:val="clear" w:color="auto" w:fill="auto"/>
            <w:tcMar>
              <w:top w:w="0" w:type="dxa"/>
              <w:left w:w="108" w:type="dxa"/>
              <w:bottom w:w="0" w:type="dxa"/>
              <w:right w:w="108" w:type="dxa"/>
            </w:tcMar>
          </w:tcPr>
          <w:p w14:paraId="0BEC59A4" w14:textId="77777777" w:rsidR="00A31DCB" w:rsidRDefault="00000000">
            <w:pPr>
              <w:adjustRightInd w:val="0"/>
              <w:snapToGrid w:val="0"/>
              <w:spacing w:line="360" w:lineRule="auto"/>
              <w:jc w:val="both"/>
              <w:rPr>
                <w:rFonts w:ascii="Book Antiqua" w:eastAsia="Times New Roman" w:hAnsi="Book Antiqua" w:cs="Calibri"/>
                <w:color w:val="000000"/>
              </w:rPr>
            </w:pPr>
            <w:bookmarkStart w:id="6" w:name="_Hlk127257667"/>
            <w:proofErr w:type="spellStart"/>
            <w:r>
              <w:rPr>
                <w:rFonts w:ascii="Book Antiqua" w:eastAsia="Times New Roman" w:hAnsi="Book Antiqua" w:cs="Calibri"/>
                <w:color w:val="000000"/>
              </w:rPr>
              <w:t>Resectable</w:t>
            </w:r>
            <w:proofErr w:type="spellEnd"/>
            <w:r>
              <w:rPr>
                <w:rFonts w:ascii="Book Antiqua" w:eastAsia="Times New Roman" w:hAnsi="Book Antiqua" w:cs="Calibri"/>
                <w:color w:val="000000"/>
              </w:rPr>
              <w:t xml:space="preserve"> CLM with no extra-hepatic metastasis</w:t>
            </w:r>
          </w:p>
        </w:tc>
      </w:tr>
      <w:bookmarkEnd w:id="6"/>
      <w:tr w:rsidR="00A31DCB" w14:paraId="3A44F987" w14:textId="77777777">
        <w:tc>
          <w:tcPr>
            <w:tcW w:w="1526" w:type="dxa"/>
            <w:shd w:val="clear" w:color="auto" w:fill="auto"/>
            <w:tcMar>
              <w:top w:w="0" w:type="dxa"/>
              <w:left w:w="108" w:type="dxa"/>
              <w:bottom w:w="0" w:type="dxa"/>
              <w:right w:w="108" w:type="dxa"/>
            </w:tcMar>
          </w:tcPr>
          <w:p w14:paraId="3F203124" w14:textId="77777777" w:rsidR="00A31DCB" w:rsidRDefault="00000000">
            <w:pPr>
              <w:adjustRightInd w:val="0"/>
              <w:snapToGrid w:val="0"/>
              <w:spacing w:line="360" w:lineRule="auto"/>
              <w:jc w:val="both"/>
              <w:rPr>
                <w:rFonts w:ascii="Book Antiqua" w:eastAsia="Times New Roman" w:hAnsi="Book Antiqua" w:cs="Calibri"/>
                <w:color w:val="000000"/>
              </w:rPr>
            </w:pPr>
            <w:proofErr w:type="spellStart"/>
            <w:r>
              <w:rPr>
                <w:rFonts w:ascii="Book Antiqua" w:eastAsia="Times New Roman" w:hAnsi="Book Antiqua" w:cs="Calibri"/>
                <w:color w:val="000000"/>
              </w:rPr>
              <w:t>Gruenberger</w:t>
            </w:r>
            <w:proofErr w:type="spellEnd"/>
            <w:r>
              <w:rPr>
                <w:rFonts w:ascii="Book Antiqua" w:eastAsia="Times New Roman" w:hAnsi="Book Antiqua" w:cs="Calibri"/>
                <w:b/>
                <w:bCs/>
                <w:color w:val="000000"/>
              </w:rPr>
              <w:t xml:space="preserve"> </w:t>
            </w:r>
            <w:r>
              <w:rPr>
                <w:rFonts w:ascii="Book Antiqua" w:eastAsia="Times New Roman" w:hAnsi="Book Antiqua" w:cs="Calibri"/>
                <w:i/>
                <w:iCs/>
                <w:color w:val="000000"/>
              </w:rPr>
              <w:t>et al</w:t>
            </w:r>
            <w:r>
              <w:rPr>
                <w:rFonts w:ascii="Book Antiqua" w:eastAsia="Times New Roman" w:hAnsi="Book Antiqua" w:cs="Calibri"/>
                <w:color w:val="000000"/>
                <w:vertAlign w:val="superscript"/>
              </w:rPr>
              <w:t>[42]</w:t>
            </w:r>
          </w:p>
        </w:tc>
        <w:tc>
          <w:tcPr>
            <w:tcW w:w="1725" w:type="dxa"/>
            <w:shd w:val="clear" w:color="auto" w:fill="auto"/>
            <w:tcMar>
              <w:top w:w="0" w:type="dxa"/>
              <w:left w:w="108" w:type="dxa"/>
              <w:bottom w:w="0" w:type="dxa"/>
              <w:right w:w="108" w:type="dxa"/>
            </w:tcMar>
          </w:tcPr>
          <w:p w14:paraId="510A082C" w14:textId="77777777" w:rsidR="00A31DCB" w:rsidRDefault="00000000">
            <w:pPr>
              <w:adjustRightInd w:val="0"/>
              <w:snapToGrid w:val="0"/>
              <w:spacing w:line="360" w:lineRule="auto"/>
              <w:jc w:val="both"/>
              <w:rPr>
                <w:rFonts w:ascii="Book Antiqua" w:eastAsia="Times New Roman" w:hAnsi="Book Antiqua" w:cs="Calibri"/>
                <w:color w:val="000000"/>
              </w:rPr>
            </w:pPr>
            <w:r>
              <w:rPr>
                <w:rFonts w:ascii="Book Antiqua" w:eastAsia="Times New Roman" w:hAnsi="Book Antiqua" w:cs="Calibri"/>
                <w:color w:val="000000"/>
              </w:rPr>
              <w:t>Austria</w:t>
            </w:r>
          </w:p>
        </w:tc>
        <w:tc>
          <w:tcPr>
            <w:tcW w:w="1890" w:type="dxa"/>
            <w:shd w:val="clear" w:color="auto" w:fill="auto"/>
            <w:tcMar>
              <w:top w:w="0" w:type="dxa"/>
              <w:left w:w="108" w:type="dxa"/>
              <w:bottom w:w="0" w:type="dxa"/>
              <w:right w:w="108" w:type="dxa"/>
            </w:tcMar>
          </w:tcPr>
          <w:p w14:paraId="08E84E83" w14:textId="77777777" w:rsidR="00A31DCB"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Capecitabine, oxaliplatin plus bevacizumab</w:t>
            </w:r>
          </w:p>
        </w:tc>
        <w:tc>
          <w:tcPr>
            <w:tcW w:w="1365" w:type="dxa"/>
            <w:shd w:val="clear" w:color="auto" w:fill="auto"/>
            <w:tcMar>
              <w:top w:w="0" w:type="dxa"/>
              <w:left w:w="108" w:type="dxa"/>
              <w:bottom w:w="0" w:type="dxa"/>
              <w:right w:w="108" w:type="dxa"/>
            </w:tcMar>
          </w:tcPr>
          <w:p w14:paraId="5318B8DA" w14:textId="77777777" w:rsidR="00A31DCB"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56</w:t>
            </w:r>
          </w:p>
        </w:tc>
        <w:tc>
          <w:tcPr>
            <w:tcW w:w="945" w:type="dxa"/>
            <w:shd w:val="clear" w:color="auto" w:fill="auto"/>
            <w:tcMar>
              <w:top w:w="0" w:type="dxa"/>
              <w:left w:w="108" w:type="dxa"/>
              <w:bottom w:w="0" w:type="dxa"/>
              <w:right w:w="108" w:type="dxa"/>
            </w:tcMar>
          </w:tcPr>
          <w:p w14:paraId="7678650C" w14:textId="77777777" w:rsidR="00A31DCB" w:rsidRDefault="00000000">
            <w:pPr>
              <w:adjustRightInd w:val="0"/>
              <w:snapToGrid w:val="0"/>
              <w:spacing w:line="360" w:lineRule="auto"/>
              <w:jc w:val="both"/>
              <w:rPr>
                <w:rFonts w:ascii="Book Antiqua" w:eastAsia="Times New Roman" w:hAnsi="Book Antiqua" w:cs="Calibri"/>
                <w:color w:val="000000"/>
              </w:rPr>
            </w:pPr>
            <w:r>
              <w:rPr>
                <w:rFonts w:ascii="Book Antiqua" w:eastAsia="Times New Roman" w:hAnsi="Book Antiqua" w:cs="Calibri"/>
                <w:color w:val="000000"/>
              </w:rPr>
              <w:t>2</w:t>
            </w:r>
          </w:p>
        </w:tc>
        <w:tc>
          <w:tcPr>
            <w:tcW w:w="1110" w:type="dxa"/>
            <w:shd w:val="clear" w:color="auto" w:fill="auto"/>
            <w:tcMar>
              <w:top w:w="0" w:type="dxa"/>
              <w:left w:w="108" w:type="dxa"/>
              <w:bottom w:w="0" w:type="dxa"/>
              <w:right w:w="108" w:type="dxa"/>
            </w:tcMar>
          </w:tcPr>
          <w:p w14:paraId="03C9861C" w14:textId="77777777" w:rsidR="00A31DCB"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73.2</w:t>
            </w:r>
          </w:p>
        </w:tc>
        <w:tc>
          <w:tcPr>
            <w:tcW w:w="1500" w:type="dxa"/>
            <w:shd w:val="clear" w:color="auto" w:fill="auto"/>
            <w:tcMar>
              <w:top w:w="0" w:type="dxa"/>
              <w:left w:w="108" w:type="dxa"/>
              <w:bottom w:w="0" w:type="dxa"/>
              <w:right w:w="108" w:type="dxa"/>
            </w:tcMar>
          </w:tcPr>
          <w:p w14:paraId="652A8050" w14:textId="77777777" w:rsidR="00A31DCB"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w:t>
            </w:r>
          </w:p>
        </w:tc>
        <w:tc>
          <w:tcPr>
            <w:tcW w:w="1350" w:type="dxa"/>
            <w:shd w:val="clear" w:color="auto" w:fill="auto"/>
          </w:tcPr>
          <w:p w14:paraId="2A897A58" w14:textId="77777777" w:rsidR="00A31DCB"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w:t>
            </w:r>
          </w:p>
        </w:tc>
        <w:tc>
          <w:tcPr>
            <w:tcW w:w="3723" w:type="dxa"/>
            <w:shd w:val="clear" w:color="auto" w:fill="auto"/>
          </w:tcPr>
          <w:p w14:paraId="7727506A" w14:textId="77777777" w:rsidR="00A31DCB"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 xml:space="preserve">Bevacizumab can be safely administered until 5 </w:t>
            </w:r>
            <w:proofErr w:type="spellStart"/>
            <w:r>
              <w:rPr>
                <w:rFonts w:ascii="Book Antiqua" w:hAnsi="Book Antiqua" w:cs="Calibri"/>
                <w:lang w:eastAsia="zh-CN"/>
              </w:rPr>
              <w:t>wk</w:t>
            </w:r>
            <w:proofErr w:type="spellEnd"/>
            <w:r>
              <w:rPr>
                <w:rFonts w:ascii="Book Antiqua" w:hAnsi="Book Antiqua" w:cs="Calibri"/>
                <w:lang w:eastAsia="zh-CN"/>
              </w:rPr>
              <w:t xml:space="preserve"> before liver resection in patients with metastatic CRC without increasing the rate of surgical or wound healing complications or the severity of bleeding</w:t>
            </w:r>
          </w:p>
        </w:tc>
      </w:tr>
      <w:tr w:rsidR="00A31DCB" w14:paraId="0B3CE878" w14:textId="77777777">
        <w:tc>
          <w:tcPr>
            <w:tcW w:w="1526" w:type="dxa"/>
            <w:shd w:val="clear" w:color="auto" w:fill="auto"/>
            <w:tcMar>
              <w:top w:w="0" w:type="dxa"/>
              <w:left w:w="108" w:type="dxa"/>
              <w:bottom w:w="0" w:type="dxa"/>
              <w:right w:w="108" w:type="dxa"/>
            </w:tcMar>
          </w:tcPr>
          <w:p w14:paraId="0325962D" w14:textId="77777777" w:rsidR="00A31DCB" w:rsidRDefault="00000000">
            <w:pPr>
              <w:adjustRightInd w:val="0"/>
              <w:snapToGrid w:val="0"/>
              <w:spacing w:line="360" w:lineRule="auto"/>
              <w:jc w:val="both"/>
              <w:rPr>
                <w:rFonts w:ascii="Book Antiqua" w:eastAsia="Times New Roman" w:hAnsi="Book Antiqua" w:cs="Calibri"/>
                <w:color w:val="000000"/>
              </w:rPr>
            </w:pPr>
            <w:r>
              <w:rPr>
                <w:rFonts w:ascii="Book Antiqua" w:eastAsia="Times New Roman" w:hAnsi="Book Antiqua" w:cs="Calibri"/>
                <w:color w:val="000000"/>
              </w:rPr>
              <w:t xml:space="preserve">Bridgewater </w:t>
            </w:r>
            <w:r>
              <w:rPr>
                <w:rFonts w:ascii="Book Antiqua" w:eastAsia="Times New Roman" w:hAnsi="Book Antiqua" w:cs="Calibri"/>
                <w:i/>
                <w:iCs/>
                <w:color w:val="000000"/>
              </w:rPr>
              <w:t>et al</w:t>
            </w:r>
            <w:r>
              <w:rPr>
                <w:rFonts w:ascii="Book Antiqua" w:eastAsia="Times New Roman" w:hAnsi="Book Antiqua" w:cs="Calibri"/>
                <w:color w:val="000000"/>
                <w:vertAlign w:val="superscript"/>
              </w:rPr>
              <w:t>[43]</w:t>
            </w:r>
          </w:p>
        </w:tc>
        <w:tc>
          <w:tcPr>
            <w:tcW w:w="1725" w:type="dxa"/>
            <w:shd w:val="clear" w:color="auto" w:fill="auto"/>
            <w:tcMar>
              <w:top w:w="0" w:type="dxa"/>
              <w:left w:w="108" w:type="dxa"/>
              <w:bottom w:w="0" w:type="dxa"/>
              <w:right w:w="108" w:type="dxa"/>
            </w:tcMar>
          </w:tcPr>
          <w:p w14:paraId="53FEDF90" w14:textId="77777777" w:rsidR="00A31DCB" w:rsidRDefault="00000000">
            <w:pPr>
              <w:adjustRightInd w:val="0"/>
              <w:snapToGrid w:val="0"/>
              <w:spacing w:line="360" w:lineRule="auto"/>
              <w:jc w:val="both"/>
              <w:rPr>
                <w:rFonts w:ascii="Book Antiqua" w:eastAsia="Times New Roman" w:hAnsi="Book Antiqua" w:cs="Calibri"/>
                <w:color w:val="000000"/>
              </w:rPr>
            </w:pPr>
            <w:r>
              <w:rPr>
                <w:rFonts w:ascii="Book Antiqua" w:eastAsia="Times New Roman" w:hAnsi="Book Antiqua" w:cs="Calibri"/>
                <w:color w:val="000000"/>
              </w:rPr>
              <w:t>United Kingdom</w:t>
            </w:r>
          </w:p>
        </w:tc>
        <w:tc>
          <w:tcPr>
            <w:tcW w:w="1890" w:type="dxa"/>
            <w:shd w:val="clear" w:color="auto" w:fill="auto"/>
            <w:tcMar>
              <w:top w:w="0" w:type="dxa"/>
              <w:left w:w="108" w:type="dxa"/>
              <w:bottom w:w="0" w:type="dxa"/>
              <w:right w:w="108" w:type="dxa"/>
            </w:tcMar>
          </w:tcPr>
          <w:p w14:paraId="73D37F63" w14:textId="77777777" w:rsidR="00A31DCB" w:rsidRDefault="00000000">
            <w:pPr>
              <w:adjustRightInd w:val="0"/>
              <w:snapToGrid w:val="0"/>
              <w:spacing w:line="360" w:lineRule="auto"/>
              <w:jc w:val="both"/>
              <w:rPr>
                <w:rFonts w:ascii="Book Antiqua" w:eastAsia="Times New Roman" w:hAnsi="Book Antiqua" w:cs="Calibri"/>
                <w:color w:val="000000"/>
              </w:rPr>
            </w:pPr>
            <w:r>
              <w:rPr>
                <w:rFonts w:ascii="Book Antiqua" w:eastAsia="Times New Roman" w:hAnsi="Book Antiqua" w:cs="Calibri"/>
                <w:color w:val="000000"/>
              </w:rPr>
              <w:t>Oxaliplatin</w:t>
            </w:r>
            <w:r>
              <w:rPr>
                <w:rFonts w:ascii="Book Antiqua" w:hAnsi="Book Antiqua" w:cs="Calibri"/>
                <w:color w:val="000000"/>
                <w:lang w:eastAsia="zh-CN"/>
              </w:rPr>
              <w:t xml:space="preserve">, </w:t>
            </w:r>
            <w:r>
              <w:rPr>
                <w:rFonts w:ascii="Book Antiqua" w:eastAsia="Times New Roman" w:hAnsi="Book Antiqua" w:cs="Calibri"/>
                <w:color w:val="000000"/>
              </w:rPr>
              <w:t>L-folinic acid</w:t>
            </w:r>
            <w:r>
              <w:rPr>
                <w:rFonts w:ascii="Book Antiqua" w:hAnsi="Book Antiqua" w:cs="Calibri"/>
                <w:color w:val="000000"/>
                <w:lang w:eastAsia="zh-CN"/>
              </w:rPr>
              <w:t xml:space="preserve">, </w:t>
            </w:r>
            <w:r>
              <w:rPr>
                <w:rFonts w:ascii="Book Antiqua" w:eastAsia="Times New Roman" w:hAnsi="Book Antiqua" w:cs="Calibri"/>
                <w:color w:val="000000"/>
              </w:rPr>
              <w:t>fluorouracil</w:t>
            </w:r>
            <w:r>
              <w:rPr>
                <w:rFonts w:ascii="Book Antiqua" w:hAnsi="Book Antiqua" w:cs="Calibri"/>
                <w:color w:val="000000"/>
                <w:lang w:eastAsia="zh-CN"/>
              </w:rPr>
              <w:t xml:space="preserve"> </w:t>
            </w:r>
            <w:r>
              <w:rPr>
                <w:rFonts w:ascii="Book Antiqua" w:eastAsia="Times New Roman" w:hAnsi="Book Antiqua" w:cs="Calibri"/>
                <w:color w:val="000000"/>
              </w:rPr>
              <w:t>or</w:t>
            </w:r>
            <w:r>
              <w:rPr>
                <w:rFonts w:ascii="Book Antiqua" w:hAnsi="Book Antiqua" w:cs="Calibri"/>
                <w:color w:val="000000"/>
                <w:lang w:eastAsia="zh-CN"/>
              </w:rPr>
              <w:t xml:space="preserve"> </w:t>
            </w:r>
            <w:r>
              <w:rPr>
                <w:rFonts w:ascii="Book Antiqua" w:eastAsia="Times New Roman" w:hAnsi="Book Antiqua" w:cs="Calibri"/>
                <w:color w:val="000000"/>
              </w:rPr>
              <w:t>capecitabine</w:t>
            </w:r>
            <w:r>
              <w:rPr>
                <w:rFonts w:ascii="Book Antiqua" w:hAnsi="Book Antiqua" w:cs="Calibri"/>
                <w:color w:val="000000"/>
                <w:lang w:eastAsia="zh-CN"/>
              </w:rPr>
              <w:t xml:space="preserve">, </w:t>
            </w:r>
            <w:r>
              <w:rPr>
                <w:rFonts w:ascii="Book Antiqua" w:eastAsia="Times New Roman" w:hAnsi="Book Antiqua" w:cs="Calibri"/>
                <w:color w:val="000000"/>
              </w:rPr>
              <w:t>oxaliplatin</w:t>
            </w:r>
            <w:r>
              <w:rPr>
                <w:rFonts w:ascii="Book Antiqua" w:hAnsi="Book Antiqua" w:cs="Calibri"/>
                <w:color w:val="000000"/>
                <w:lang w:eastAsia="zh-CN"/>
              </w:rPr>
              <w:t xml:space="preserve"> </w:t>
            </w:r>
            <w:r>
              <w:rPr>
                <w:rFonts w:ascii="Book Antiqua" w:hAnsi="Book Antiqua" w:cs="Calibri"/>
                <w:lang w:eastAsia="zh-CN"/>
              </w:rPr>
              <w:t>plus</w:t>
            </w:r>
            <w:r>
              <w:rPr>
                <w:rFonts w:ascii="Book Antiqua" w:hAnsi="Book Antiqua" w:cs="Calibri"/>
                <w:color w:val="000000"/>
                <w:lang w:eastAsia="zh-CN"/>
              </w:rPr>
              <w:t xml:space="preserve"> </w:t>
            </w:r>
            <w:r>
              <w:rPr>
                <w:rFonts w:ascii="Book Antiqua" w:hAnsi="Book Antiqua" w:cs="Calibri"/>
                <w:lang w:eastAsia="zh-CN"/>
              </w:rPr>
              <w:t>cetuximab</w:t>
            </w:r>
          </w:p>
        </w:tc>
        <w:tc>
          <w:tcPr>
            <w:tcW w:w="1365" w:type="dxa"/>
            <w:shd w:val="clear" w:color="auto" w:fill="auto"/>
            <w:tcMar>
              <w:top w:w="0" w:type="dxa"/>
              <w:left w:w="108" w:type="dxa"/>
              <w:bottom w:w="0" w:type="dxa"/>
              <w:right w:w="108" w:type="dxa"/>
            </w:tcMar>
          </w:tcPr>
          <w:p w14:paraId="13CAF546" w14:textId="77777777" w:rsidR="00A31DCB" w:rsidRDefault="00000000">
            <w:pPr>
              <w:adjustRightInd w:val="0"/>
              <w:snapToGrid w:val="0"/>
              <w:spacing w:line="360" w:lineRule="auto"/>
              <w:jc w:val="both"/>
              <w:rPr>
                <w:rFonts w:ascii="Book Antiqua" w:eastAsia="Times New Roman" w:hAnsi="Book Antiqua" w:cs="Calibri"/>
                <w:color w:val="000000"/>
              </w:rPr>
            </w:pPr>
            <w:r>
              <w:rPr>
                <w:rFonts w:ascii="Book Antiqua" w:eastAsia="Times New Roman" w:hAnsi="Book Antiqua" w:cs="Calibri"/>
                <w:color w:val="000000"/>
              </w:rPr>
              <w:t>257</w:t>
            </w:r>
          </w:p>
        </w:tc>
        <w:tc>
          <w:tcPr>
            <w:tcW w:w="945" w:type="dxa"/>
            <w:shd w:val="clear" w:color="auto" w:fill="auto"/>
            <w:tcMar>
              <w:top w:w="0" w:type="dxa"/>
              <w:left w:w="108" w:type="dxa"/>
              <w:bottom w:w="0" w:type="dxa"/>
              <w:right w:w="108" w:type="dxa"/>
            </w:tcMar>
          </w:tcPr>
          <w:p w14:paraId="6C303F17" w14:textId="77777777" w:rsidR="00A31DCB"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3</w:t>
            </w:r>
          </w:p>
        </w:tc>
        <w:tc>
          <w:tcPr>
            <w:tcW w:w="1110" w:type="dxa"/>
            <w:shd w:val="clear" w:color="auto" w:fill="auto"/>
            <w:tcMar>
              <w:top w:w="0" w:type="dxa"/>
              <w:left w:w="108" w:type="dxa"/>
              <w:bottom w:w="0" w:type="dxa"/>
              <w:right w:w="108" w:type="dxa"/>
            </w:tcMar>
          </w:tcPr>
          <w:p w14:paraId="11F14C32" w14:textId="77777777" w:rsidR="00A31DCB"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w:t>
            </w:r>
          </w:p>
        </w:tc>
        <w:tc>
          <w:tcPr>
            <w:tcW w:w="1500" w:type="dxa"/>
            <w:shd w:val="clear" w:color="auto" w:fill="auto"/>
            <w:tcMar>
              <w:top w:w="0" w:type="dxa"/>
              <w:left w:w="108" w:type="dxa"/>
              <w:bottom w:w="0" w:type="dxa"/>
              <w:right w:w="108" w:type="dxa"/>
            </w:tcMar>
          </w:tcPr>
          <w:p w14:paraId="7104D0EF" w14:textId="77777777" w:rsidR="00A31DCB"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81.0/55.4</w:t>
            </w:r>
            <w:r>
              <w:rPr>
                <w:rFonts w:ascii="Book Antiqua" w:hAnsi="Book Antiqua" w:cs="Calibri" w:hint="eastAsia"/>
                <w:lang w:eastAsia="zh-CN"/>
              </w:rPr>
              <w:t xml:space="preserve"> </w:t>
            </w:r>
            <w:r>
              <w:rPr>
                <w:rFonts w:ascii="Book Antiqua" w:hAnsi="Book Antiqua" w:cs="Calibri"/>
                <w:lang w:eastAsia="zh-CN"/>
              </w:rPr>
              <w:t>(Chemo/Chemo+)</w:t>
            </w:r>
          </w:p>
        </w:tc>
        <w:tc>
          <w:tcPr>
            <w:tcW w:w="1350" w:type="dxa"/>
            <w:shd w:val="clear" w:color="auto" w:fill="auto"/>
          </w:tcPr>
          <w:p w14:paraId="60D0588F" w14:textId="77777777" w:rsidR="00A31DCB"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22.2/15.5 (Chemo/Chemo+)</w:t>
            </w:r>
          </w:p>
        </w:tc>
        <w:tc>
          <w:tcPr>
            <w:tcW w:w="3723" w:type="dxa"/>
            <w:shd w:val="clear" w:color="auto" w:fill="auto"/>
          </w:tcPr>
          <w:p w14:paraId="33E249FB" w14:textId="77777777" w:rsidR="00A31DCB"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In the perioperative setting, patients with operable diseases are at a disadvantage in terms of OS; hence, cetuximab should not be used in this setting</w:t>
            </w:r>
          </w:p>
        </w:tc>
      </w:tr>
      <w:tr w:rsidR="00A31DCB" w14:paraId="6776E61F" w14:textId="77777777">
        <w:tc>
          <w:tcPr>
            <w:tcW w:w="15134" w:type="dxa"/>
            <w:gridSpan w:val="9"/>
            <w:shd w:val="clear" w:color="auto" w:fill="auto"/>
            <w:tcMar>
              <w:top w:w="0" w:type="dxa"/>
              <w:left w:w="108" w:type="dxa"/>
              <w:bottom w:w="0" w:type="dxa"/>
              <w:right w:w="108" w:type="dxa"/>
            </w:tcMar>
          </w:tcPr>
          <w:p w14:paraId="3AAF059B" w14:textId="77777777" w:rsidR="00A31DCB" w:rsidRDefault="00000000">
            <w:pPr>
              <w:adjustRightInd w:val="0"/>
              <w:snapToGrid w:val="0"/>
              <w:spacing w:line="360" w:lineRule="auto"/>
              <w:jc w:val="both"/>
              <w:rPr>
                <w:rFonts w:ascii="Book Antiqua" w:eastAsia="Times New Roman" w:hAnsi="Book Antiqua" w:cs="Calibri"/>
                <w:color w:val="000000"/>
              </w:rPr>
            </w:pPr>
            <w:r>
              <w:rPr>
                <w:rFonts w:ascii="Book Antiqua" w:eastAsia="Times New Roman" w:hAnsi="Book Antiqua" w:cs="Calibri"/>
                <w:color w:val="000000"/>
              </w:rPr>
              <w:t>Unresectable CLM with potential for resection and no extra-hepatic metastasis</w:t>
            </w:r>
          </w:p>
        </w:tc>
      </w:tr>
      <w:tr w:rsidR="00A31DCB" w14:paraId="4C5C56C7" w14:textId="77777777">
        <w:tc>
          <w:tcPr>
            <w:tcW w:w="1526" w:type="dxa"/>
            <w:shd w:val="clear" w:color="auto" w:fill="auto"/>
            <w:tcMar>
              <w:top w:w="0" w:type="dxa"/>
              <w:left w:w="108" w:type="dxa"/>
              <w:bottom w:w="0" w:type="dxa"/>
              <w:right w:w="108" w:type="dxa"/>
            </w:tcMar>
          </w:tcPr>
          <w:p w14:paraId="576712CB" w14:textId="77777777" w:rsidR="00A31DCB" w:rsidRDefault="00000000">
            <w:pPr>
              <w:adjustRightInd w:val="0"/>
              <w:snapToGrid w:val="0"/>
              <w:spacing w:line="360" w:lineRule="auto"/>
              <w:jc w:val="both"/>
              <w:rPr>
                <w:rFonts w:ascii="Book Antiqua" w:eastAsia="Times New Roman" w:hAnsi="Book Antiqua" w:cs="Calibri"/>
              </w:rPr>
            </w:pPr>
            <w:r>
              <w:rPr>
                <w:rFonts w:ascii="Book Antiqua" w:eastAsia="Times New Roman" w:hAnsi="Book Antiqua" w:cs="Calibri"/>
              </w:rPr>
              <w:lastRenderedPageBreak/>
              <w:t xml:space="preserve">Wong </w:t>
            </w:r>
            <w:r>
              <w:rPr>
                <w:rFonts w:ascii="Book Antiqua" w:eastAsia="Times New Roman" w:hAnsi="Book Antiqua" w:cs="Calibri"/>
                <w:i/>
                <w:iCs/>
              </w:rPr>
              <w:t>et al</w:t>
            </w:r>
            <w:r>
              <w:rPr>
                <w:rFonts w:ascii="Book Antiqua" w:eastAsia="Times New Roman" w:hAnsi="Book Antiqua" w:cs="Calibri"/>
                <w:vertAlign w:val="superscript"/>
              </w:rPr>
              <w:t>[44]</w:t>
            </w:r>
          </w:p>
        </w:tc>
        <w:tc>
          <w:tcPr>
            <w:tcW w:w="1725" w:type="dxa"/>
            <w:shd w:val="clear" w:color="auto" w:fill="auto"/>
            <w:tcMar>
              <w:top w:w="0" w:type="dxa"/>
              <w:left w:w="108" w:type="dxa"/>
              <w:bottom w:w="0" w:type="dxa"/>
              <w:right w:w="108" w:type="dxa"/>
            </w:tcMar>
          </w:tcPr>
          <w:p w14:paraId="2848E64A" w14:textId="77777777" w:rsidR="00A31DCB" w:rsidRDefault="00000000">
            <w:pPr>
              <w:adjustRightInd w:val="0"/>
              <w:snapToGrid w:val="0"/>
              <w:spacing w:line="360" w:lineRule="auto"/>
              <w:jc w:val="both"/>
              <w:rPr>
                <w:rFonts w:ascii="Book Antiqua" w:eastAsia="Times New Roman" w:hAnsi="Book Antiqua" w:cs="Calibri"/>
              </w:rPr>
            </w:pPr>
            <w:r>
              <w:rPr>
                <w:rFonts w:ascii="Book Antiqua" w:eastAsia="Times New Roman" w:hAnsi="Book Antiqua" w:cs="Calibri"/>
                <w:color w:val="000000"/>
              </w:rPr>
              <w:t>United Kingdom</w:t>
            </w:r>
          </w:p>
        </w:tc>
        <w:tc>
          <w:tcPr>
            <w:tcW w:w="1890" w:type="dxa"/>
            <w:shd w:val="clear" w:color="auto" w:fill="auto"/>
            <w:tcMar>
              <w:top w:w="0" w:type="dxa"/>
              <w:left w:w="108" w:type="dxa"/>
              <w:bottom w:w="0" w:type="dxa"/>
              <w:right w:w="108" w:type="dxa"/>
            </w:tcMar>
          </w:tcPr>
          <w:p w14:paraId="0FB777FB" w14:textId="77777777" w:rsidR="00A31DCB" w:rsidRDefault="00000000">
            <w:pPr>
              <w:adjustRightInd w:val="0"/>
              <w:snapToGrid w:val="0"/>
              <w:spacing w:line="360" w:lineRule="auto"/>
              <w:jc w:val="both"/>
              <w:rPr>
                <w:rFonts w:ascii="Book Antiqua" w:eastAsia="Times New Roman" w:hAnsi="Book Antiqua" w:cs="Calibri"/>
                <w:color w:val="000000"/>
              </w:rPr>
            </w:pPr>
            <w:r>
              <w:rPr>
                <w:rFonts w:ascii="Book Antiqua" w:eastAsia="Times New Roman" w:hAnsi="Book Antiqua" w:cs="Calibri"/>
                <w:color w:val="000000"/>
              </w:rPr>
              <w:t>Capecitabine</w:t>
            </w:r>
            <w:r>
              <w:rPr>
                <w:rFonts w:ascii="Book Antiqua" w:hAnsi="Book Antiqua" w:cs="Calibri"/>
                <w:color w:val="000000"/>
                <w:lang w:eastAsia="zh-CN"/>
              </w:rPr>
              <w:t xml:space="preserve">, </w:t>
            </w:r>
            <w:r>
              <w:rPr>
                <w:rFonts w:ascii="Book Antiqua" w:eastAsia="Times New Roman" w:hAnsi="Book Antiqua" w:cs="Calibri"/>
                <w:color w:val="000000"/>
              </w:rPr>
              <w:t>oxaliplatin</w:t>
            </w:r>
            <w:r>
              <w:rPr>
                <w:rFonts w:ascii="Book Antiqua" w:hAnsi="Book Antiqua" w:cs="Calibri"/>
                <w:color w:val="000000"/>
                <w:lang w:eastAsia="zh-CN"/>
              </w:rPr>
              <w:t xml:space="preserve"> </w:t>
            </w:r>
            <w:r>
              <w:rPr>
                <w:rFonts w:ascii="Book Antiqua" w:eastAsia="Times New Roman" w:hAnsi="Book Antiqua" w:cs="Calibri"/>
                <w:color w:val="000000"/>
              </w:rPr>
              <w:t>plus bevacizumab</w:t>
            </w:r>
          </w:p>
        </w:tc>
        <w:tc>
          <w:tcPr>
            <w:tcW w:w="1365" w:type="dxa"/>
            <w:shd w:val="clear" w:color="auto" w:fill="auto"/>
            <w:tcMar>
              <w:top w:w="0" w:type="dxa"/>
              <w:left w:w="108" w:type="dxa"/>
              <w:bottom w:w="0" w:type="dxa"/>
              <w:right w:w="108" w:type="dxa"/>
            </w:tcMar>
          </w:tcPr>
          <w:p w14:paraId="0C829C86" w14:textId="77777777" w:rsidR="00A31DCB" w:rsidRDefault="00000000">
            <w:pPr>
              <w:adjustRightInd w:val="0"/>
              <w:snapToGrid w:val="0"/>
              <w:spacing w:line="360" w:lineRule="auto"/>
              <w:jc w:val="both"/>
              <w:rPr>
                <w:rFonts w:ascii="Book Antiqua" w:eastAsia="Times New Roman" w:hAnsi="Book Antiqua" w:cs="Calibri"/>
              </w:rPr>
            </w:pPr>
            <w:r>
              <w:rPr>
                <w:rFonts w:ascii="Book Antiqua" w:eastAsia="Times New Roman" w:hAnsi="Book Antiqua" w:cs="Calibri"/>
              </w:rPr>
              <w:t>46</w:t>
            </w:r>
          </w:p>
        </w:tc>
        <w:tc>
          <w:tcPr>
            <w:tcW w:w="945" w:type="dxa"/>
            <w:shd w:val="clear" w:color="auto" w:fill="auto"/>
            <w:tcMar>
              <w:top w:w="0" w:type="dxa"/>
              <w:left w:w="108" w:type="dxa"/>
              <w:bottom w:w="0" w:type="dxa"/>
              <w:right w:w="108" w:type="dxa"/>
            </w:tcMar>
          </w:tcPr>
          <w:p w14:paraId="09BB66F9" w14:textId="77777777" w:rsidR="00A31DCB" w:rsidRDefault="00000000">
            <w:pPr>
              <w:adjustRightInd w:val="0"/>
              <w:snapToGrid w:val="0"/>
              <w:spacing w:line="360" w:lineRule="auto"/>
              <w:jc w:val="both"/>
              <w:rPr>
                <w:rFonts w:ascii="Book Antiqua" w:eastAsia="Times New Roman" w:hAnsi="Book Antiqua" w:cs="Calibri"/>
              </w:rPr>
            </w:pPr>
            <w:r>
              <w:rPr>
                <w:rFonts w:ascii="Book Antiqua" w:eastAsia="Times New Roman" w:hAnsi="Book Antiqua" w:cs="Calibri"/>
              </w:rPr>
              <w:t>-</w:t>
            </w:r>
          </w:p>
        </w:tc>
        <w:tc>
          <w:tcPr>
            <w:tcW w:w="1110" w:type="dxa"/>
            <w:shd w:val="clear" w:color="auto" w:fill="auto"/>
            <w:tcMar>
              <w:top w:w="0" w:type="dxa"/>
              <w:left w:w="108" w:type="dxa"/>
              <w:bottom w:w="0" w:type="dxa"/>
              <w:right w:w="108" w:type="dxa"/>
            </w:tcMar>
          </w:tcPr>
          <w:p w14:paraId="756A0AF6" w14:textId="77777777" w:rsidR="00A31DCB" w:rsidRDefault="00000000">
            <w:pPr>
              <w:adjustRightInd w:val="0"/>
              <w:snapToGrid w:val="0"/>
              <w:spacing w:line="360" w:lineRule="auto"/>
              <w:jc w:val="both"/>
              <w:rPr>
                <w:rFonts w:ascii="Book Antiqua" w:eastAsia="Times New Roman" w:hAnsi="Book Antiqua" w:cs="Calibri"/>
              </w:rPr>
            </w:pPr>
            <w:r>
              <w:rPr>
                <w:rFonts w:ascii="Book Antiqua" w:eastAsia="Times New Roman" w:hAnsi="Book Antiqua" w:cs="Calibri"/>
              </w:rPr>
              <w:t>78.0</w:t>
            </w:r>
          </w:p>
        </w:tc>
        <w:tc>
          <w:tcPr>
            <w:tcW w:w="1500" w:type="dxa"/>
            <w:shd w:val="clear" w:color="auto" w:fill="auto"/>
            <w:tcMar>
              <w:top w:w="0" w:type="dxa"/>
              <w:left w:w="108" w:type="dxa"/>
              <w:bottom w:w="0" w:type="dxa"/>
              <w:right w:w="108" w:type="dxa"/>
            </w:tcMar>
          </w:tcPr>
          <w:p w14:paraId="00337B87" w14:textId="77777777" w:rsidR="00A31DCB" w:rsidRDefault="00000000">
            <w:pPr>
              <w:adjustRightInd w:val="0"/>
              <w:snapToGrid w:val="0"/>
              <w:spacing w:line="360" w:lineRule="auto"/>
              <w:jc w:val="both"/>
              <w:rPr>
                <w:rFonts w:ascii="Book Antiqua" w:eastAsia="Times New Roman" w:hAnsi="Book Antiqua" w:cs="Calibri"/>
              </w:rPr>
            </w:pPr>
            <w:r>
              <w:rPr>
                <w:rFonts w:ascii="Book Antiqua" w:eastAsia="Times New Roman" w:hAnsi="Book Antiqua" w:cs="Calibri"/>
              </w:rPr>
              <w:t>-</w:t>
            </w:r>
          </w:p>
        </w:tc>
        <w:tc>
          <w:tcPr>
            <w:tcW w:w="1350" w:type="dxa"/>
            <w:shd w:val="clear" w:color="auto" w:fill="auto"/>
          </w:tcPr>
          <w:p w14:paraId="52169CC5" w14:textId="77777777" w:rsidR="00A31DCB" w:rsidRDefault="00000000">
            <w:pPr>
              <w:adjustRightInd w:val="0"/>
              <w:snapToGrid w:val="0"/>
              <w:spacing w:line="360" w:lineRule="auto"/>
              <w:jc w:val="both"/>
              <w:rPr>
                <w:rFonts w:ascii="Book Antiqua" w:eastAsia="Times New Roman" w:hAnsi="Book Antiqua" w:cs="Calibri"/>
              </w:rPr>
            </w:pPr>
            <w:r>
              <w:rPr>
                <w:rFonts w:ascii="Book Antiqua" w:eastAsia="Times New Roman" w:hAnsi="Book Antiqua" w:cs="Calibri"/>
              </w:rPr>
              <w:t>-</w:t>
            </w:r>
          </w:p>
        </w:tc>
        <w:tc>
          <w:tcPr>
            <w:tcW w:w="3723" w:type="dxa"/>
            <w:shd w:val="clear" w:color="auto" w:fill="auto"/>
          </w:tcPr>
          <w:p w14:paraId="48890A48" w14:textId="77777777" w:rsidR="00A31DCB" w:rsidRDefault="00000000">
            <w:pPr>
              <w:adjustRightInd w:val="0"/>
              <w:snapToGrid w:val="0"/>
              <w:spacing w:line="360" w:lineRule="auto"/>
              <w:jc w:val="both"/>
              <w:rPr>
                <w:rFonts w:ascii="Book Antiqua" w:eastAsia="Times New Roman" w:hAnsi="Book Antiqua" w:cs="Calibri"/>
              </w:rPr>
            </w:pPr>
            <w:r>
              <w:rPr>
                <w:rFonts w:ascii="Book Antiqua" w:eastAsia="Times New Roman" w:hAnsi="Book Antiqua" w:cs="Calibri"/>
              </w:rPr>
              <w:t xml:space="preserve">A high response rate for patients with CLMs with </w:t>
            </w:r>
            <w:proofErr w:type="gramStart"/>
            <w:r>
              <w:rPr>
                <w:rFonts w:ascii="Book Antiqua" w:eastAsia="Times New Roman" w:hAnsi="Book Antiqua" w:cs="Calibri"/>
              </w:rPr>
              <w:t>poor-risk</w:t>
            </w:r>
            <w:proofErr w:type="gramEnd"/>
            <w:r>
              <w:rPr>
                <w:rFonts w:ascii="Book Antiqua" w:eastAsia="Times New Roman" w:hAnsi="Book Antiqua" w:cs="Calibri"/>
              </w:rPr>
              <w:t xml:space="preserve"> features not selected for upfront resection and converted 40% of patients to </w:t>
            </w:r>
            <w:proofErr w:type="spellStart"/>
            <w:r>
              <w:rPr>
                <w:rFonts w:ascii="Book Antiqua" w:eastAsia="Times New Roman" w:hAnsi="Book Antiqua" w:cs="Calibri"/>
              </w:rPr>
              <w:t>resectability</w:t>
            </w:r>
            <w:proofErr w:type="spellEnd"/>
          </w:p>
        </w:tc>
      </w:tr>
      <w:tr w:rsidR="00A31DCB" w14:paraId="3941D21D" w14:textId="77777777">
        <w:tc>
          <w:tcPr>
            <w:tcW w:w="1526" w:type="dxa"/>
            <w:shd w:val="clear" w:color="auto" w:fill="auto"/>
            <w:tcMar>
              <w:top w:w="0" w:type="dxa"/>
              <w:left w:w="108" w:type="dxa"/>
              <w:bottom w:w="0" w:type="dxa"/>
              <w:right w:w="108" w:type="dxa"/>
            </w:tcMar>
          </w:tcPr>
          <w:p w14:paraId="0D79FC58" w14:textId="77777777" w:rsidR="00A31DCB" w:rsidRDefault="00000000">
            <w:pPr>
              <w:adjustRightInd w:val="0"/>
              <w:snapToGrid w:val="0"/>
              <w:spacing w:line="360" w:lineRule="auto"/>
              <w:jc w:val="both"/>
              <w:rPr>
                <w:rFonts w:ascii="Book Antiqua" w:hAnsi="Book Antiqua" w:cs="Calibri"/>
                <w:color w:val="000000"/>
                <w:lang w:eastAsia="zh-CN"/>
              </w:rPr>
            </w:pPr>
            <w:proofErr w:type="spellStart"/>
            <w:r>
              <w:rPr>
                <w:rFonts w:ascii="Book Antiqua" w:eastAsia="Times New Roman" w:hAnsi="Book Antiqua" w:cs="Calibri"/>
                <w:color w:val="000000"/>
              </w:rPr>
              <w:t>Gruenberger</w:t>
            </w:r>
            <w:proofErr w:type="spellEnd"/>
            <w:r>
              <w:rPr>
                <w:rFonts w:ascii="Book Antiqua" w:eastAsia="Times New Roman" w:hAnsi="Book Antiqua" w:cs="Calibri"/>
                <w:color w:val="000000"/>
              </w:rPr>
              <w:t xml:space="preserve"> </w:t>
            </w:r>
            <w:r>
              <w:rPr>
                <w:rFonts w:ascii="Book Antiqua" w:eastAsia="Times New Roman" w:hAnsi="Book Antiqua" w:cs="Calibri"/>
                <w:i/>
                <w:iCs/>
                <w:color w:val="000000"/>
              </w:rPr>
              <w:t>et al</w:t>
            </w:r>
            <w:r>
              <w:rPr>
                <w:rFonts w:ascii="Book Antiqua" w:eastAsia="Times New Roman" w:hAnsi="Book Antiqua" w:cs="Calibri"/>
                <w:color w:val="000000"/>
                <w:vertAlign w:val="superscript"/>
              </w:rPr>
              <w:t>[45]</w:t>
            </w:r>
          </w:p>
        </w:tc>
        <w:tc>
          <w:tcPr>
            <w:tcW w:w="1725" w:type="dxa"/>
            <w:shd w:val="clear" w:color="auto" w:fill="auto"/>
            <w:tcMar>
              <w:top w:w="0" w:type="dxa"/>
              <w:left w:w="108" w:type="dxa"/>
              <w:bottom w:w="0" w:type="dxa"/>
              <w:right w:w="108" w:type="dxa"/>
            </w:tcMar>
          </w:tcPr>
          <w:p w14:paraId="1BD26C9A" w14:textId="77777777" w:rsidR="00A31DCB" w:rsidRDefault="00000000">
            <w:pPr>
              <w:adjustRightInd w:val="0"/>
              <w:snapToGrid w:val="0"/>
              <w:spacing w:line="360" w:lineRule="auto"/>
              <w:jc w:val="both"/>
              <w:rPr>
                <w:rFonts w:ascii="Book Antiqua" w:eastAsia="Times New Roman" w:hAnsi="Book Antiqua" w:cs="Calibri"/>
                <w:color w:val="000000"/>
              </w:rPr>
            </w:pPr>
            <w:r>
              <w:rPr>
                <w:rFonts w:ascii="Book Antiqua" w:eastAsia="Times New Roman" w:hAnsi="Book Antiqua" w:cs="Calibri"/>
                <w:color w:val="000000"/>
              </w:rPr>
              <w:t>United Kingdom, Austria, France, and Spain</w:t>
            </w:r>
          </w:p>
        </w:tc>
        <w:tc>
          <w:tcPr>
            <w:tcW w:w="1890" w:type="dxa"/>
            <w:shd w:val="clear" w:color="auto" w:fill="auto"/>
            <w:tcMar>
              <w:top w:w="0" w:type="dxa"/>
              <w:left w:w="108" w:type="dxa"/>
              <w:bottom w:w="0" w:type="dxa"/>
              <w:right w:w="108" w:type="dxa"/>
            </w:tcMar>
          </w:tcPr>
          <w:p w14:paraId="729CFEFF" w14:textId="77777777" w:rsidR="00A31DCB" w:rsidRDefault="00000000">
            <w:pPr>
              <w:adjustRightInd w:val="0"/>
              <w:snapToGrid w:val="0"/>
              <w:spacing w:line="360" w:lineRule="auto"/>
              <w:jc w:val="both"/>
              <w:rPr>
                <w:rFonts w:ascii="Book Antiqua" w:eastAsia="Times New Roman" w:hAnsi="Book Antiqua" w:cs="Calibri"/>
                <w:color w:val="000000"/>
              </w:rPr>
            </w:pPr>
            <w:r>
              <w:rPr>
                <w:rFonts w:ascii="Book Antiqua" w:eastAsia="Times New Roman" w:hAnsi="Book Antiqua" w:cs="Calibri"/>
                <w:color w:val="000000"/>
              </w:rPr>
              <w:t>Bevacizumab plus</w:t>
            </w:r>
            <w:r>
              <w:rPr>
                <w:rFonts w:ascii="Book Antiqua" w:hAnsi="Book Antiqua" w:cs="Calibri" w:hint="eastAsia"/>
                <w:color w:val="000000"/>
                <w:lang w:eastAsia="zh-CN"/>
              </w:rPr>
              <w:t xml:space="preserve"> </w:t>
            </w:r>
            <w:r>
              <w:rPr>
                <w:rFonts w:ascii="Book Antiqua" w:eastAsia="Times New Roman" w:hAnsi="Book Antiqua" w:cs="Calibri"/>
                <w:color w:val="000000"/>
              </w:rPr>
              <w:t>FOLFOX-6 (5-fluorouracil</w:t>
            </w:r>
            <w:r>
              <w:rPr>
                <w:rFonts w:ascii="Book Antiqua" w:hAnsi="Book Antiqua" w:cs="Calibri" w:hint="eastAsia"/>
                <w:color w:val="000000"/>
                <w:lang w:eastAsia="zh-CN"/>
              </w:rPr>
              <w:t xml:space="preserve"> </w:t>
            </w:r>
            <w:r>
              <w:rPr>
                <w:rFonts w:ascii="Book Antiqua" w:eastAsia="Times New Roman" w:hAnsi="Book Antiqua" w:cs="Calibri"/>
                <w:color w:val="000000"/>
              </w:rPr>
              <w:t>folinic acid oxaliplatin)</w:t>
            </w:r>
            <w:r>
              <w:rPr>
                <w:rFonts w:ascii="Book Antiqua" w:hAnsi="Book Antiqua" w:cs="Calibri" w:hint="eastAsia"/>
                <w:color w:val="000000"/>
                <w:lang w:eastAsia="zh-CN"/>
              </w:rPr>
              <w:t xml:space="preserve"> </w:t>
            </w:r>
            <w:r>
              <w:rPr>
                <w:rFonts w:ascii="Book Antiqua" w:eastAsia="Times New Roman" w:hAnsi="Book Antiqua" w:cs="Calibri"/>
                <w:color w:val="000000"/>
              </w:rPr>
              <w:t>or FOLFOXIRI (5-fluorouracil</w:t>
            </w:r>
            <w:r>
              <w:rPr>
                <w:rFonts w:ascii="Book Antiqua" w:hAnsi="Book Antiqua" w:cs="Calibri" w:hint="eastAsia"/>
                <w:color w:val="000000"/>
                <w:lang w:eastAsia="zh-CN"/>
              </w:rPr>
              <w:t xml:space="preserve"> </w:t>
            </w:r>
            <w:r>
              <w:rPr>
                <w:rFonts w:ascii="Book Antiqua" w:eastAsia="Times New Roman" w:hAnsi="Book Antiqua" w:cs="Calibri"/>
                <w:color w:val="000000"/>
              </w:rPr>
              <w:t>folinic acid oxaliplatin irinotecan)</w:t>
            </w:r>
          </w:p>
        </w:tc>
        <w:tc>
          <w:tcPr>
            <w:tcW w:w="1365" w:type="dxa"/>
            <w:shd w:val="clear" w:color="auto" w:fill="auto"/>
            <w:tcMar>
              <w:top w:w="0" w:type="dxa"/>
              <w:left w:w="108" w:type="dxa"/>
              <w:bottom w:w="0" w:type="dxa"/>
              <w:right w:w="108" w:type="dxa"/>
            </w:tcMar>
          </w:tcPr>
          <w:p w14:paraId="0BEF7F8A" w14:textId="77777777" w:rsidR="00A31DCB" w:rsidRDefault="00000000">
            <w:pPr>
              <w:adjustRightInd w:val="0"/>
              <w:snapToGrid w:val="0"/>
              <w:spacing w:line="360" w:lineRule="auto"/>
              <w:jc w:val="both"/>
              <w:rPr>
                <w:rFonts w:ascii="Book Antiqua" w:eastAsia="Times New Roman" w:hAnsi="Book Antiqua" w:cs="Calibri"/>
              </w:rPr>
            </w:pPr>
            <w:r>
              <w:rPr>
                <w:rFonts w:ascii="Book Antiqua" w:eastAsia="Times New Roman" w:hAnsi="Book Antiqua" w:cs="Calibri"/>
              </w:rPr>
              <w:t>80</w:t>
            </w:r>
          </w:p>
        </w:tc>
        <w:tc>
          <w:tcPr>
            <w:tcW w:w="945" w:type="dxa"/>
            <w:shd w:val="clear" w:color="auto" w:fill="auto"/>
            <w:tcMar>
              <w:top w:w="0" w:type="dxa"/>
              <w:left w:w="108" w:type="dxa"/>
              <w:bottom w:w="0" w:type="dxa"/>
              <w:right w:w="108" w:type="dxa"/>
            </w:tcMar>
          </w:tcPr>
          <w:p w14:paraId="7DFC9131" w14:textId="77777777" w:rsidR="00A31DCB"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2</w:t>
            </w:r>
          </w:p>
        </w:tc>
        <w:tc>
          <w:tcPr>
            <w:tcW w:w="1110" w:type="dxa"/>
            <w:shd w:val="clear" w:color="auto" w:fill="auto"/>
            <w:tcMar>
              <w:top w:w="0" w:type="dxa"/>
              <w:left w:w="108" w:type="dxa"/>
              <w:bottom w:w="0" w:type="dxa"/>
              <w:right w:w="108" w:type="dxa"/>
            </w:tcMar>
          </w:tcPr>
          <w:p w14:paraId="5D5B109E" w14:textId="77777777" w:rsidR="00A31DCB"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81/62 (BF/BF6)</w:t>
            </w:r>
          </w:p>
        </w:tc>
        <w:tc>
          <w:tcPr>
            <w:tcW w:w="1500" w:type="dxa"/>
            <w:shd w:val="clear" w:color="auto" w:fill="auto"/>
            <w:tcMar>
              <w:top w:w="0" w:type="dxa"/>
              <w:left w:w="108" w:type="dxa"/>
              <w:bottom w:w="0" w:type="dxa"/>
              <w:right w:w="108" w:type="dxa"/>
            </w:tcMar>
          </w:tcPr>
          <w:p w14:paraId="09995525" w14:textId="77777777" w:rsidR="00A31DCB"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w:t>
            </w:r>
          </w:p>
        </w:tc>
        <w:tc>
          <w:tcPr>
            <w:tcW w:w="1350" w:type="dxa"/>
            <w:shd w:val="clear" w:color="auto" w:fill="auto"/>
          </w:tcPr>
          <w:p w14:paraId="5A641474" w14:textId="77777777" w:rsidR="00A31DCB"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18.6/11.5 (BF/BF6)</w:t>
            </w:r>
          </w:p>
        </w:tc>
        <w:tc>
          <w:tcPr>
            <w:tcW w:w="3723" w:type="dxa"/>
            <w:shd w:val="clear" w:color="auto" w:fill="auto"/>
          </w:tcPr>
          <w:p w14:paraId="4C717FD4" w14:textId="77777777" w:rsidR="00A31DCB" w:rsidRDefault="00000000">
            <w:pPr>
              <w:adjustRightInd w:val="0"/>
              <w:snapToGrid w:val="0"/>
              <w:spacing w:line="360" w:lineRule="auto"/>
              <w:jc w:val="both"/>
              <w:rPr>
                <w:rFonts w:ascii="Book Antiqua" w:hAnsi="Book Antiqua" w:cs="Calibri"/>
                <w:lang w:eastAsia="zh-CN"/>
              </w:rPr>
            </w:pPr>
            <w:r>
              <w:rPr>
                <w:rFonts w:ascii="Book Antiqua" w:eastAsia="Times New Roman" w:hAnsi="Book Antiqua" w:cs="Calibri"/>
              </w:rPr>
              <w:t>In patients with CLM that were originally unresectable, bevacizumab-FOLFOXIRI was correlated with better response and resection rates as well as a longer PFS than bevacizumab-mFOLFOX-6</w:t>
            </w:r>
          </w:p>
        </w:tc>
      </w:tr>
      <w:tr w:rsidR="00A31DCB" w14:paraId="252D2112" w14:textId="77777777">
        <w:tc>
          <w:tcPr>
            <w:tcW w:w="1526" w:type="dxa"/>
            <w:shd w:val="clear" w:color="auto" w:fill="auto"/>
            <w:tcMar>
              <w:top w:w="0" w:type="dxa"/>
              <w:left w:w="108" w:type="dxa"/>
              <w:bottom w:w="0" w:type="dxa"/>
              <w:right w:w="108" w:type="dxa"/>
            </w:tcMar>
          </w:tcPr>
          <w:p w14:paraId="2D26842B" w14:textId="77777777" w:rsidR="00A31DCB" w:rsidRDefault="00000000">
            <w:pPr>
              <w:adjustRightInd w:val="0"/>
              <w:snapToGrid w:val="0"/>
              <w:spacing w:line="360" w:lineRule="auto"/>
              <w:jc w:val="both"/>
              <w:rPr>
                <w:rFonts w:ascii="Book Antiqua" w:hAnsi="Book Antiqua" w:cs="Calibri"/>
                <w:color w:val="000000"/>
                <w:lang w:eastAsia="zh-CN"/>
              </w:rPr>
            </w:pPr>
            <w:proofErr w:type="spellStart"/>
            <w:r>
              <w:rPr>
                <w:rFonts w:ascii="Book Antiqua" w:eastAsia="Times New Roman" w:hAnsi="Book Antiqua" w:cs="Calibri"/>
                <w:color w:val="000000"/>
              </w:rPr>
              <w:t>Garufi</w:t>
            </w:r>
            <w:proofErr w:type="spellEnd"/>
            <w:r>
              <w:rPr>
                <w:rFonts w:ascii="Book Antiqua" w:eastAsia="Times New Roman" w:hAnsi="Book Antiqua" w:cs="Calibri"/>
                <w:color w:val="000000"/>
              </w:rPr>
              <w:t xml:space="preserve"> </w:t>
            </w:r>
            <w:r>
              <w:rPr>
                <w:rFonts w:ascii="Book Antiqua" w:eastAsia="Times New Roman" w:hAnsi="Book Antiqua" w:cs="Calibri"/>
                <w:i/>
                <w:iCs/>
                <w:color w:val="000000"/>
              </w:rPr>
              <w:t>et al</w:t>
            </w:r>
            <w:r>
              <w:rPr>
                <w:rFonts w:ascii="Book Antiqua" w:eastAsia="Times New Roman" w:hAnsi="Book Antiqua" w:cs="Calibri"/>
                <w:color w:val="000000"/>
                <w:vertAlign w:val="superscript"/>
              </w:rPr>
              <w:t>[47]</w:t>
            </w:r>
          </w:p>
        </w:tc>
        <w:tc>
          <w:tcPr>
            <w:tcW w:w="1725" w:type="dxa"/>
            <w:shd w:val="clear" w:color="auto" w:fill="auto"/>
            <w:tcMar>
              <w:top w:w="0" w:type="dxa"/>
              <w:left w:w="108" w:type="dxa"/>
              <w:bottom w:w="0" w:type="dxa"/>
              <w:right w:w="108" w:type="dxa"/>
            </w:tcMar>
          </w:tcPr>
          <w:p w14:paraId="39A93319" w14:textId="77777777" w:rsidR="00A31DCB" w:rsidRDefault="00000000">
            <w:pPr>
              <w:adjustRightInd w:val="0"/>
              <w:snapToGrid w:val="0"/>
              <w:spacing w:line="360" w:lineRule="auto"/>
              <w:jc w:val="both"/>
              <w:rPr>
                <w:rFonts w:ascii="Book Antiqua" w:eastAsia="Times New Roman" w:hAnsi="Book Antiqua" w:cs="Calibri"/>
                <w:color w:val="000000"/>
              </w:rPr>
            </w:pPr>
            <w:r>
              <w:rPr>
                <w:rFonts w:ascii="Book Antiqua" w:hAnsi="Book Antiqua" w:cs="Calibri"/>
                <w:color w:val="000000"/>
                <w:lang w:eastAsia="zh-CN"/>
              </w:rPr>
              <w:t>Italy</w:t>
            </w:r>
          </w:p>
        </w:tc>
        <w:tc>
          <w:tcPr>
            <w:tcW w:w="1890" w:type="dxa"/>
            <w:shd w:val="clear" w:color="auto" w:fill="auto"/>
            <w:tcMar>
              <w:top w:w="0" w:type="dxa"/>
              <w:left w:w="108" w:type="dxa"/>
              <w:bottom w:w="0" w:type="dxa"/>
              <w:right w:w="108" w:type="dxa"/>
            </w:tcMar>
          </w:tcPr>
          <w:p w14:paraId="2B1A18E1" w14:textId="77777777" w:rsidR="00A31DCB"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Cetuximab plus</w:t>
            </w:r>
            <w:r>
              <w:rPr>
                <w:rFonts w:ascii="Book Antiqua" w:hAnsi="Book Antiqua" w:cs="Book Antiqua" w:hint="eastAsia"/>
                <w:color w:val="000000"/>
                <w:lang w:eastAsia="zh-CN"/>
              </w:rPr>
              <w:t xml:space="preserve"> </w:t>
            </w:r>
            <w:r>
              <w:rPr>
                <w:rFonts w:ascii="Book Antiqua" w:eastAsia="Times New Roman" w:hAnsi="Book Antiqua" w:cs="Calibri"/>
              </w:rPr>
              <w:t>chrono-IFLO</w:t>
            </w:r>
            <w:r>
              <w:rPr>
                <w:rFonts w:ascii="Book Antiqua" w:hAnsi="Book Antiqua" w:cs="Book Antiqua" w:hint="eastAsia"/>
                <w:color w:val="000000"/>
                <w:lang w:eastAsia="zh-CN"/>
              </w:rPr>
              <w:t xml:space="preserve"> </w:t>
            </w:r>
            <w:r>
              <w:rPr>
                <w:rFonts w:ascii="Book Antiqua" w:eastAsia="Times New Roman" w:hAnsi="Book Antiqua" w:cs="Calibri"/>
              </w:rPr>
              <w:t>(chrono-irinotecan</w:t>
            </w:r>
            <w:r>
              <w:rPr>
                <w:rFonts w:ascii="Book Antiqua" w:hAnsi="Book Antiqua" w:cs="Book Antiqua" w:hint="eastAsia"/>
                <w:color w:val="000000"/>
                <w:lang w:eastAsia="zh-CN"/>
              </w:rPr>
              <w:t xml:space="preserve"> </w:t>
            </w:r>
            <w:r>
              <w:rPr>
                <w:rFonts w:ascii="Book Antiqua" w:eastAsia="Times New Roman" w:hAnsi="Book Antiqua" w:cs="Calibri"/>
              </w:rPr>
              <w:t xml:space="preserve">5-fluorouracil </w:t>
            </w:r>
            <w:r>
              <w:rPr>
                <w:rFonts w:ascii="Book Antiqua" w:eastAsia="Times New Roman" w:hAnsi="Book Antiqua" w:cs="Calibri"/>
              </w:rPr>
              <w:lastRenderedPageBreak/>
              <w:t>leucovorin oxaliplatin)</w:t>
            </w:r>
          </w:p>
        </w:tc>
        <w:tc>
          <w:tcPr>
            <w:tcW w:w="1365" w:type="dxa"/>
            <w:shd w:val="clear" w:color="auto" w:fill="auto"/>
            <w:tcMar>
              <w:top w:w="0" w:type="dxa"/>
              <w:left w:w="108" w:type="dxa"/>
              <w:bottom w:w="0" w:type="dxa"/>
              <w:right w:w="108" w:type="dxa"/>
            </w:tcMar>
          </w:tcPr>
          <w:p w14:paraId="23393E91" w14:textId="77777777" w:rsidR="00A31DCB" w:rsidRDefault="00000000">
            <w:pPr>
              <w:adjustRightInd w:val="0"/>
              <w:snapToGrid w:val="0"/>
              <w:spacing w:line="360" w:lineRule="auto"/>
              <w:jc w:val="both"/>
              <w:rPr>
                <w:rFonts w:ascii="Book Antiqua" w:eastAsia="Times New Roman" w:hAnsi="Book Antiqua" w:cs="Calibri"/>
              </w:rPr>
            </w:pPr>
            <w:r>
              <w:rPr>
                <w:rFonts w:ascii="Book Antiqua" w:eastAsia="Times New Roman" w:hAnsi="Book Antiqua" w:cs="Calibri"/>
              </w:rPr>
              <w:lastRenderedPageBreak/>
              <w:t>43</w:t>
            </w:r>
          </w:p>
        </w:tc>
        <w:tc>
          <w:tcPr>
            <w:tcW w:w="945" w:type="dxa"/>
            <w:shd w:val="clear" w:color="auto" w:fill="auto"/>
            <w:tcMar>
              <w:top w:w="0" w:type="dxa"/>
              <w:left w:w="108" w:type="dxa"/>
              <w:bottom w:w="0" w:type="dxa"/>
              <w:right w:w="108" w:type="dxa"/>
            </w:tcMar>
          </w:tcPr>
          <w:p w14:paraId="6621F772" w14:textId="77777777" w:rsidR="00A31DCB" w:rsidRDefault="00000000">
            <w:pPr>
              <w:adjustRightInd w:val="0"/>
              <w:snapToGrid w:val="0"/>
              <w:spacing w:line="360" w:lineRule="auto"/>
              <w:jc w:val="both"/>
              <w:rPr>
                <w:rFonts w:ascii="Book Antiqua" w:eastAsia="Times New Roman" w:hAnsi="Book Antiqua" w:cs="Calibri"/>
              </w:rPr>
            </w:pPr>
            <w:r>
              <w:rPr>
                <w:rFonts w:ascii="Book Antiqua" w:eastAsia="Times New Roman" w:hAnsi="Book Antiqua" w:cs="Calibri"/>
              </w:rPr>
              <w:t>2</w:t>
            </w:r>
          </w:p>
        </w:tc>
        <w:tc>
          <w:tcPr>
            <w:tcW w:w="1110" w:type="dxa"/>
            <w:shd w:val="clear" w:color="auto" w:fill="auto"/>
            <w:tcMar>
              <w:top w:w="0" w:type="dxa"/>
              <w:left w:w="108" w:type="dxa"/>
              <w:bottom w:w="0" w:type="dxa"/>
              <w:right w:w="108" w:type="dxa"/>
            </w:tcMar>
          </w:tcPr>
          <w:p w14:paraId="401EC826" w14:textId="77777777" w:rsidR="00A31DCB" w:rsidRDefault="00000000">
            <w:pPr>
              <w:adjustRightInd w:val="0"/>
              <w:snapToGrid w:val="0"/>
              <w:spacing w:line="360" w:lineRule="auto"/>
              <w:jc w:val="both"/>
              <w:rPr>
                <w:rFonts w:ascii="Book Antiqua" w:eastAsia="Times New Roman" w:hAnsi="Book Antiqua" w:cs="Calibri"/>
              </w:rPr>
            </w:pPr>
            <w:r>
              <w:rPr>
                <w:rFonts w:ascii="Book Antiqua" w:eastAsia="Times New Roman" w:hAnsi="Book Antiqua" w:cs="Calibri"/>
              </w:rPr>
              <w:t>-</w:t>
            </w:r>
          </w:p>
        </w:tc>
        <w:tc>
          <w:tcPr>
            <w:tcW w:w="1500" w:type="dxa"/>
            <w:shd w:val="clear" w:color="auto" w:fill="auto"/>
            <w:tcMar>
              <w:top w:w="0" w:type="dxa"/>
              <w:left w:w="108" w:type="dxa"/>
              <w:bottom w:w="0" w:type="dxa"/>
              <w:right w:w="108" w:type="dxa"/>
            </w:tcMar>
          </w:tcPr>
          <w:p w14:paraId="77F13DAE" w14:textId="77777777" w:rsidR="00A31DCB"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37</w:t>
            </w:r>
          </w:p>
        </w:tc>
        <w:tc>
          <w:tcPr>
            <w:tcW w:w="1350" w:type="dxa"/>
            <w:shd w:val="clear" w:color="auto" w:fill="auto"/>
          </w:tcPr>
          <w:p w14:paraId="7CD84148" w14:textId="77777777" w:rsidR="00A31DCB" w:rsidRDefault="00000000">
            <w:pPr>
              <w:adjustRightInd w:val="0"/>
              <w:snapToGrid w:val="0"/>
              <w:spacing w:line="360" w:lineRule="auto"/>
              <w:jc w:val="both"/>
              <w:rPr>
                <w:rFonts w:ascii="Book Antiqua" w:eastAsia="Times New Roman" w:hAnsi="Book Antiqua" w:cs="Calibri"/>
              </w:rPr>
            </w:pPr>
            <w:r>
              <w:rPr>
                <w:rFonts w:ascii="Book Antiqua" w:eastAsia="Times New Roman" w:hAnsi="Book Antiqua" w:cs="Calibri"/>
              </w:rPr>
              <w:t>-</w:t>
            </w:r>
          </w:p>
        </w:tc>
        <w:tc>
          <w:tcPr>
            <w:tcW w:w="3723" w:type="dxa"/>
            <w:shd w:val="clear" w:color="auto" w:fill="auto"/>
          </w:tcPr>
          <w:p w14:paraId="0F4D57C7" w14:textId="77777777" w:rsidR="00A31DCB" w:rsidRDefault="00000000">
            <w:pPr>
              <w:adjustRightInd w:val="0"/>
              <w:snapToGrid w:val="0"/>
              <w:spacing w:line="360" w:lineRule="auto"/>
              <w:jc w:val="both"/>
              <w:rPr>
                <w:rFonts w:ascii="Book Antiqua" w:eastAsia="Times New Roman" w:hAnsi="Book Antiqua" w:cs="Calibri"/>
              </w:rPr>
            </w:pPr>
            <w:r>
              <w:rPr>
                <w:rFonts w:ascii="Book Antiqua" w:eastAsia="Times New Roman" w:hAnsi="Book Antiqua" w:cs="Calibri"/>
              </w:rPr>
              <w:t xml:space="preserve">Cetuximab in combination with chrono-IFLO resulted in 60% full </w:t>
            </w:r>
            <w:proofErr w:type="spellStart"/>
            <w:r>
              <w:rPr>
                <w:rFonts w:ascii="Book Antiqua" w:eastAsia="Times New Roman" w:hAnsi="Book Antiqua" w:cs="Calibri"/>
              </w:rPr>
              <w:t>resectability</w:t>
            </w:r>
            <w:proofErr w:type="spellEnd"/>
            <w:r>
              <w:rPr>
                <w:rFonts w:ascii="Book Antiqua" w:eastAsia="Times New Roman" w:hAnsi="Book Antiqua" w:cs="Calibri"/>
              </w:rPr>
              <w:t xml:space="preserve"> of CLM patients</w:t>
            </w:r>
          </w:p>
        </w:tc>
      </w:tr>
      <w:tr w:rsidR="00A31DCB" w14:paraId="5708FE88" w14:textId="77777777">
        <w:tc>
          <w:tcPr>
            <w:tcW w:w="1526" w:type="dxa"/>
            <w:shd w:val="clear" w:color="auto" w:fill="auto"/>
            <w:tcMar>
              <w:top w:w="0" w:type="dxa"/>
              <w:left w:w="108" w:type="dxa"/>
              <w:bottom w:w="0" w:type="dxa"/>
              <w:right w:w="108" w:type="dxa"/>
            </w:tcMar>
          </w:tcPr>
          <w:p w14:paraId="4F5A76B8" w14:textId="77777777" w:rsidR="00A31DCB" w:rsidRDefault="00000000">
            <w:pPr>
              <w:adjustRightInd w:val="0"/>
              <w:snapToGrid w:val="0"/>
              <w:spacing w:line="360" w:lineRule="auto"/>
              <w:jc w:val="both"/>
              <w:rPr>
                <w:rFonts w:ascii="Book Antiqua" w:hAnsi="Book Antiqua" w:cs="Calibri"/>
                <w:color w:val="000000"/>
                <w:lang w:eastAsia="zh-CN"/>
              </w:rPr>
            </w:pPr>
            <w:proofErr w:type="spellStart"/>
            <w:r>
              <w:rPr>
                <w:rFonts w:ascii="Book Antiqua" w:eastAsia="Times New Roman" w:hAnsi="Book Antiqua" w:cs="Calibri"/>
                <w:color w:val="000000"/>
              </w:rPr>
              <w:t>Folprecht</w:t>
            </w:r>
            <w:proofErr w:type="spellEnd"/>
            <w:r>
              <w:rPr>
                <w:rFonts w:ascii="Book Antiqua" w:hAnsi="Book Antiqua" w:cs="Calibri"/>
                <w:lang w:eastAsia="zh-CN"/>
              </w:rPr>
              <w:t xml:space="preserve"> </w:t>
            </w:r>
            <w:r>
              <w:rPr>
                <w:rFonts w:ascii="Book Antiqua" w:eastAsia="Times New Roman" w:hAnsi="Book Antiqua" w:cs="Calibri"/>
                <w:i/>
                <w:iCs/>
                <w:color w:val="000000"/>
              </w:rPr>
              <w:t>et al</w:t>
            </w:r>
            <w:r>
              <w:rPr>
                <w:rFonts w:ascii="Book Antiqua" w:eastAsia="Times New Roman" w:hAnsi="Book Antiqua" w:cs="Calibri"/>
                <w:color w:val="000000"/>
                <w:vertAlign w:val="superscript"/>
              </w:rPr>
              <w:t>[48]</w:t>
            </w:r>
          </w:p>
        </w:tc>
        <w:tc>
          <w:tcPr>
            <w:tcW w:w="1725" w:type="dxa"/>
            <w:shd w:val="clear" w:color="auto" w:fill="auto"/>
            <w:tcMar>
              <w:top w:w="0" w:type="dxa"/>
              <w:left w:w="108" w:type="dxa"/>
              <w:bottom w:w="0" w:type="dxa"/>
              <w:right w:w="108" w:type="dxa"/>
            </w:tcMar>
          </w:tcPr>
          <w:p w14:paraId="5C89601C" w14:textId="77777777" w:rsidR="00A31DCB" w:rsidRDefault="00000000">
            <w:pPr>
              <w:adjustRightInd w:val="0"/>
              <w:snapToGrid w:val="0"/>
              <w:spacing w:line="360" w:lineRule="auto"/>
              <w:jc w:val="both"/>
              <w:rPr>
                <w:rFonts w:ascii="Book Antiqua" w:eastAsia="Times New Roman" w:hAnsi="Book Antiqua" w:cs="Calibri"/>
                <w:color w:val="000000"/>
              </w:rPr>
            </w:pPr>
            <w:r>
              <w:rPr>
                <w:rFonts w:ascii="Book Antiqua" w:hAnsi="Book Antiqua" w:cs="Calibri"/>
                <w:lang w:eastAsia="zh-CN"/>
              </w:rPr>
              <w:t>Germany</w:t>
            </w:r>
          </w:p>
        </w:tc>
        <w:tc>
          <w:tcPr>
            <w:tcW w:w="1890" w:type="dxa"/>
            <w:shd w:val="clear" w:color="auto" w:fill="auto"/>
            <w:tcMar>
              <w:top w:w="0" w:type="dxa"/>
              <w:left w:w="108" w:type="dxa"/>
              <w:bottom w:w="0" w:type="dxa"/>
              <w:right w:w="108" w:type="dxa"/>
            </w:tcMar>
          </w:tcPr>
          <w:p w14:paraId="1D390843" w14:textId="77777777" w:rsidR="00A31DCB"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Cetuximab plus</w:t>
            </w:r>
            <w:r>
              <w:rPr>
                <w:rFonts w:ascii="Book Antiqua" w:hAnsi="Book Antiqua" w:cs="Book Antiqua" w:hint="eastAsia"/>
                <w:color w:val="000000"/>
                <w:lang w:eastAsia="zh-CN"/>
              </w:rPr>
              <w:t xml:space="preserve"> </w:t>
            </w:r>
            <w:r>
              <w:rPr>
                <w:rFonts w:ascii="Book Antiqua" w:eastAsia="Times New Roman" w:hAnsi="Book Antiqua" w:cs="Calibri"/>
                <w:color w:val="000000"/>
              </w:rPr>
              <w:t>FOLFOX (5-fluorouracil</w:t>
            </w:r>
            <w:r>
              <w:rPr>
                <w:rFonts w:ascii="Book Antiqua" w:hAnsi="Book Antiqua" w:cs="Book Antiqua" w:hint="eastAsia"/>
                <w:color w:val="000000"/>
                <w:lang w:eastAsia="zh-CN"/>
              </w:rPr>
              <w:t xml:space="preserve"> </w:t>
            </w:r>
            <w:r>
              <w:rPr>
                <w:rFonts w:ascii="Book Antiqua" w:eastAsia="Times New Roman" w:hAnsi="Book Antiqua" w:cs="Calibri"/>
                <w:color w:val="000000"/>
              </w:rPr>
              <w:t>folinic acid oxaliplatin)</w:t>
            </w:r>
            <w:r>
              <w:rPr>
                <w:rFonts w:ascii="Book Antiqua" w:hAnsi="Book Antiqua" w:cs="Book Antiqua" w:hint="eastAsia"/>
                <w:color w:val="000000"/>
                <w:lang w:eastAsia="zh-CN"/>
              </w:rPr>
              <w:t xml:space="preserve"> </w:t>
            </w:r>
            <w:r>
              <w:rPr>
                <w:rFonts w:ascii="Book Antiqua" w:eastAsia="Times New Roman" w:hAnsi="Book Antiqua" w:cs="Calibri"/>
                <w:color w:val="000000"/>
              </w:rPr>
              <w:t>or FOLFOXIRI (5-fluorouracil</w:t>
            </w:r>
            <w:r>
              <w:rPr>
                <w:rFonts w:ascii="Book Antiqua" w:hAnsi="Book Antiqua" w:cs="Book Antiqua" w:hint="eastAsia"/>
                <w:color w:val="000000"/>
                <w:lang w:eastAsia="zh-CN"/>
              </w:rPr>
              <w:t xml:space="preserve"> </w:t>
            </w:r>
            <w:r>
              <w:rPr>
                <w:rFonts w:ascii="Book Antiqua" w:eastAsia="Times New Roman" w:hAnsi="Book Antiqua" w:cs="Calibri"/>
                <w:color w:val="000000"/>
              </w:rPr>
              <w:t>folinic acid oxaliplatin irinotecan)</w:t>
            </w:r>
          </w:p>
        </w:tc>
        <w:tc>
          <w:tcPr>
            <w:tcW w:w="1365" w:type="dxa"/>
            <w:shd w:val="clear" w:color="auto" w:fill="auto"/>
            <w:tcMar>
              <w:top w:w="0" w:type="dxa"/>
              <w:left w:w="108" w:type="dxa"/>
              <w:bottom w:w="0" w:type="dxa"/>
              <w:right w:w="108" w:type="dxa"/>
            </w:tcMar>
          </w:tcPr>
          <w:p w14:paraId="2FFEB002" w14:textId="77777777" w:rsidR="00A31DCB" w:rsidRDefault="00000000">
            <w:pPr>
              <w:adjustRightInd w:val="0"/>
              <w:snapToGrid w:val="0"/>
              <w:spacing w:line="360" w:lineRule="auto"/>
              <w:jc w:val="both"/>
              <w:rPr>
                <w:rFonts w:ascii="Book Antiqua" w:eastAsia="Times New Roman" w:hAnsi="Book Antiqua" w:cs="Calibri"/>
              </w:rPr>
            </w:pPr>
            <w:r>
              <w:rPr>
                <w:rFonts w:ascii="Book Antiqua" w:eastAsia="Times New Roman" w:hAnsi="Book Antiqua" w:cs="Calibri"/>
              </w:rPr>
              <w:t xml:space="preserve">56/55 </w:t>
            </w:r>
            <w:r>
              <w:rPr>
                <w:rFonts w:ascii="Book Antiqua" w:hAnsi="Book Antiqua" w:cs="Calibri"/>
                <w:lang w:eastAsia="zh-CN"/>
              </w:rPr>
              <w:t>(CFX/CFI)</w:t>
            </w:r>
          </w:p>
        </w:tc>
        <w:tc>
          <w:tcPr>
            <w:tcW w:w="945" w:type="dxa"/>
            <w:shd w:val="clear" w:color="auto" w:fill="auto"/>
            <w:tcMar>
              <w:top w:w="0" w:type="dxa"/>
              <w:left w:w="108" w:type="dxa"/>
              <w:bottom w:w="0" w:type="dxa"/>
              <w:right w:w="108" w:type="dxa"/>
            </w:tcMar>
          </w:tcPr>
          <w:p w14:paraId="58B30302" w14:textId="77777777" w:rsidR="00A31DCB"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w:t>
            </w:r>
          </w:p>
        </w:tc>
        <w:tc>
          <w:tcPr>
            <w:tcW w:w="1110" w:type="dxa"/>
            <w:shd w:val="clear" w:color="auto" w:fill="auto"/>
            <w:tcMar>
              <w:top w:w="0" w:type="dxa"/>
              <w:left w:w="108" w:type="dxa"/>
              <w:bottom w:w="0" w:type="dxa"/>
              <w:right w:w="108" w:type="dxa"/>
            </w:tcMar>
          </w:tcPr>
          <w:p w14:paraId="66874C1A" w14:textId="77777777" w:rsidR="00A31DCB"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w:t>
            </w:r>
          </w:p>
        </w:tc>
        <w:tc>
          <w:tcPr>
            <w:tcW w:w="1500" w:type="dxa"/>
            <w:shd w:val="clear" w:color="auto" w:fill="auto"/>
            <w:tcMar>
              <w:top w:w="0" w:type="dxa"/>
              <w:left w:w="108" w:type="dxa"/>
              <w:bottom w:w="0" w:type="dxa"/>
              <w:right w:w="108" w:type="dxa"/>
            </w:tcMar>
          </w:tcPr>
          <w:p w14:paraId="6F7F5C41" w14:textId="77777777" w:rsidR="00A31DCB"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35.7/29.0 (CFX/CFI)</w:t>
            </w:r>
          </w:p>
        </w:tc>
        <w:tc>
          <w:tcPr>
            <w:tcW w:w="1350" w:type="dxa"/>
            <w:shd w:val="clear" w:color="auto" w:fill="auto"/>
          </w:tcPr>
          <w:p w14:paraId="04032F84" w14:textId="77777777" w:rsidR="00A31DCB"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10.8/10.5 (CFX/CFI)</w:t>
            </w:r>
          </w:p>
        </w:tc>
        <w:tc>
          <w:tcPr>
            <w:tcW w:w="3723" w:type="dxa"/>
            <w:shd w:val="clear" w:color="auto" w:fill="auto"/>
          </w:tcPr>
          <w:p w14:paraId="09427ED9" w14:textId="77777777" w:rsidR="00A31DCB"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Both FOLFOX/FOLFIRI with cetuximab appear to be effective conversion therapy regimens in patients with KRAS codon 12/13/61 wild-type tumors. Thus, liver surgery can be deemed curative or as a second line of therapy in people who are not cured</w:t>
            </w:r>
          </w:p>
        </w:tc>
      </w:tr>
      <w:tr w:rsidR="00A31DCB" w14:paraId="6268C992" w14:textId="77777777">
        <w:tc>
          <w:tcPr>
            <w:tcW w:w="15134" w:type="dxa"/>
            <w:gridSpan w:val="9"/>
            <w:shd w:val="clear" w:color="auto" w:fill="auto"/>
            <w:tcMar>
              <w:top w:w="0" w:type="dxa"/>
              <w:left w:w="108" w:type="dxa"/>
              <w:bottom w:w="0" w:type="dxa"/>
              <w:right w:w="108" w:type="dxa"/>
            </w:tcMar>
          </w:tcPr>
          <w:p w14:paraId="0F198DFD" w14:textId="77777777" w:rsidR="00A31DCB" w:rsidRDefault="00000000">
            <w:pPr>
              <w:adjustRightInd w:val="0"/>
              <w:snapToGrid w:val="0"/>
              <w:spacing w:line="360" w:lineRule="auto"/>
              <w:jc w:val="both"/>
              <w:rPr>
                <w:rFonts w:ascii="Book Antiqua" w:hAnsi="Book Antiqua"/>
              </w:rPr>
            </w:pPr>
            <w:r>
              <w:rPr>
                <w:rFonts w:ascii="Book Antiqua" w:hAnsi="Book Antiqua"/>
              </w:rPr>
              <w:t>Unresectable CLM</w:t>
            </w:r>
          </w:p>
        </w:tc>
      </w:tr>
      <w:tr w:rsidR="00A31DCB" w14:paraId="278BE60A" w14:textId="77777777">
        <w:tc>
          <w:tcPr>
            <w:tcW w:w="1526" w:type="dxa"/>
            <w:shd w:val="clear" w:color="auto" w:fill="auto"/>
            <w:tcMar>
              <w:top w:w="0" w:type="dxa"/>
              <w:left w:w="108" w:type="dxa"/>
              <w:bottom w:w="0" w:type="dxa"/>
              <w:right w:w="108" w:type="dxa"/>
            </w:tcMar>
          </w:tcPr>
          <w:p w14:paraId="6909DBC0" w14:textId="77777777" w:rsidR="00A31DCB"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 xml:space="preserve">Rivera </w:t>
            </w:r>
            <w:r>
              <w:rPr>
                <w:rFonts w:ascii="Book Antiqua" w:eastAsia="Times New Roman" w:hAnsi="Book Antiqua" w:cs="Calibri"/>
                <w:i/>
                <w:iCs/>
              </w:rPr>
              <w:t>et al</w:t>
            </w:r>
            <w:r>
              <w:rPr>
                <w:rFonts w:ascii="Book Antiqua" w:eastAsia="Times New Roman" w:hAnsi="Book Antiqua" w:cs="Calibri"/>
                <w:vertAlign w:val="superscript"/>
              </w:rPr>
              <w:t>[50]</w:t>
            </w:r>
          </w:p>
        </w:tc>
        <w:tc>
          <w:tcPr>
            <w:tcW w:w="1725" w:type="dxa"/>
            <w:shd w:val="clear" w:color="auto" w:fill="auto"/>
            <w:tcMar>
              <w:top w:w="0" w:type="dxa"/>
              <w:left w:w="108" w:type="dxa"/>
              <w:bottom w:w="0" w:type="dxa"/>
              <w:right w:w="108" w:type="dxa"/>
            </w:tcMar>
          </w:tcPr>
          <w:p w14:paraId="3A403C4D" w14:textId="77777777" w:rsidR="00A31DCB" w:rsidRDefault="00000000">
            <w:pPr>
              <w:adjustRightInd w:val="0"/>
              <w:snapToGrid w:val="0"/>
              <w:spacing w:line="360" w:lineRule="auto"/>
              <w:jc w:val="both"/>
              <w:rPr>
                <w:rFonts w:ascii="Book Antiqua" w:hAnsi="Book Antiqua" w:cs="Calibri"/>
                <w:lang w:eastAsia="zh-CN"/>
              </w:rPr>
            </w:pPr>
            <w:bookmarkStart w:id="7" w:name="_Hlk127438381"/>
            <w:r>
              <w:rPr>
                <w:rFonts w:ascii="Book Antiqua" w:eastAsia="Times New Roman" w:hAnsi="Book Antiqua" w:cs="Calibri"/>
                <w:color w:val="000000"/>
              </w:rPr>
              <w:t>Spain, Germany, United States, Belgium, Switzerland, and Italy</w:t>
            </w:r>
          </w:p>
        </w:tc>
        <w:tc>
          <w:tcPr>
            <w:tcW w:w="1890" w:type="dxa"/>
            <w:shd w:val="clear" w:color="auto" w:fill="auto"/>
            <w:tcMar>
              <w:top w:w="0" w:type="dxa"/>
              <w:left w:w="108" w:type="dxa"/>
              <w:bottom w:w="0" w:type="dxa"/>
              <w:right w:w="108" w:type="dxa"/>
            </w:tcMar>
          </w:tcPr>
          <w:p w14:paraId="4D5630DC" w14:textId="77777777" w:rsidR="00A31DCB" w:rsidRDefault="00000000">
            <w:pPr>
              <w:adjustRightInd w:val="0"/>
              <w:snapToGrid w:val="0"/>
              <w:spacing w:line="360" w:lineRule="auto"/>
              <w:jc w:val="both"/>
              <w:rPr>
                <w:rFonts w:ascii="Book Antiqua" w:eastAsia="Times New Roman" w:hAnsi="Book Antiqua" w:cs="Calibri"/>
              </w:rPr>
            </w:pPr>
            <w:r>
              <w:rPr>
                <w:rFonts w:ascii="Book Antiqua" w:eastAsia="Times New Roman" w:hAnsi="Book Antiqua" w:cs="Calibri"/>
              </w:rPr>
              <w:t>mFOLFOX6 plus panitumumab</w:t>
            </w:r>
            <w:r>
              <w:rPr>
                <w:rFonts w:ascii="Book Antiqua" w:hAnsi="Book Antiqua" w:cs="Calibri" w:hint="eastAsia"/>
                <w:lang w:eastAsia="zh-CN"/>
              </w:rPr>
              <w:t xml:space="preserve"> </w:t>
            </w:r>
            <w:r>
              <w:rPr>
                <w:rFonts w:ascii="Book Antiqua" w:eastAsia="Times New Roman" w:hAnsi="Book Antiqua" w:cs="Calibri"/>
              </w:rPr>
              <w:t>or</w:t>
            </w:r>
            <w:r>
              <w:rPr>
                <w:rFonts w:ascii="Book Antiqua" w:hAnsi="Book Antiqua" w:cs="Calibri" w:hint="eastAsia"/>
                <w:lang w:eastAsia="zh-CN"/>
              </w:rPr>
              <w:t xml:space="preserve"> </w:t>
            </w:r>
            <w:r>
              <w:rPr>
                <w:rFonts w:ascii="Book Antiqua" w:hAnsi="Book Antiqua" w:cs="Calibri"/>
                <w:lang w:eastAsia="zh-CN"/>
              </w:rPr>
              <w:t>b</w:t>
            </w:r>
            <w:r>
              <w:rPr>
                <w:rFonts w:ascii="Book Antiqua" w:eastAsia="Times New Roman" w:hAnsi="Book Antiqua" w:cs="Calibri"/>
              </w:rPr>
              <w:t>evacizumab</w:t>
            </w:r>
            <w:bookmarkEnd w:id="7"/>
          </w:p>
        </w:tc>
        <w:tc>
          <w:tcPr>
            <w:tcW w:w="1365" w:type="dxa"/>
            <w:shd w:val="clear" w:color="auto" w:fill="auto"/>
            <w:tcMar>
              <w:top w:w="0" w:type="dxa"/>
              <w:left w:w="108" w:type="dxa"/>
              <w:bottom w:w="0" w:type="dxa"/>
              <w:right w:w="108" w:type="dxa"/>
            </w:tcMar>
          </w:tcPr>
          <w:p w14:paraId="7E9D4E6C" w14:textId="77777777" w:rsidR="00A31DCB" w:rsidRDefault="00000000">
            <w:pPr>
              <w:adjustRightInd w:val="0"/>
              <w:snapToGrid w:val="0"/>
              <w:spacing w:line="360" w:lineRule="auto"/>
              <w:jc w:val="both"/>
              <w:rPr>
                <w:rFonts w:ascii="Book Antiqua" w:eastAsia="Times New Roman" w:hAnsi="Book Antiqua" w:cs="Calibri"/>
              </w:rPr>
            </w:pPr>
            <w:r>
              <w:rPr>
                <w:rFonts w:ascii="Book Antiqua" w:eastAsia="Times New Roman" w:hAnsi="Book Antiqua" w:cs="Calibri"/>
              </w:rPr>
              <w:t>170/156 (RAS WT/RAS WT/BRAF WT)</w:t>
            </w:r>
          </w:p>
        </w:tc>
        <w:tc>
          <w:tcPr>
            <w:tcW w:w="945" w:type="dxa"/>
            <w:shd w:val="clear" w:color="auto" w:fill="auto"/>
            <w:tcMar>
              <w:top w:w="0" w:type="dxa"/>
              <w:left w:w="108" w:type="dxa"/>
              <w:bottom w:w="0" w:type="dxa"/>
              <w:right w:w="108" w:type="dxa"/>
            </w:tcMar>
          </w:tcPr>
          <w:p w14:paraId="73D671A7" w14:textId="77777777" w:rsidR="00A31DCB" w:rsidRDefault="00000000">
            <w:pPr>
              <w:adjustRightInd w:val="0"/>
              <w:snapToGrid w:val="0"/>
              <w:spacing w:line="360" w:lineRule="auto"/>
              <w:jc w:val="both"/>
              <w:rPr>
                <w:rFonts w:ascii="Book Antiqua" w:eastAsia="Times New Roman" w:hAnsi="Book Antiqua" w:cs="Calibri"/>
              </w:rPr>
            </w:pPr>
            <w:r>
              <w:rPr>
                <w:rFonts w:ascii="Book Antiqua" w:eastAsia="Times New Roman" w:hAnsi="Book Antiqua" w:cs="Calibri"/>
              </w:rPr>
              <w:t>-</w:t>
            </w:r>
          </w:p>
        </w:tc>
        <w:tc>
          <w:tcPr>
            <w:tcW w:w="1110" w:type="dxa"/>
            <w:shd w:val="clear" w:color="auto" w:fill="auto"/>
            <w:tcMar>
              <w:top w:w="0" w:type="dxa"/>
              <w:left w:w="108" w:type="dxa"/>
              <w:bottom w:w="0" w:type="dxa"/>
              <w:right w:w="108" w:type="dxa"/>
            </w:tcMar>
          </w:tcPr>
          <w:p w14:paraId="04D30D95" w14:textId="77777777" w:rsidR="00A31DCB"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RAS WT</w:t>
            </w:r>
            <w:r>
              <w:rPr>
                <w:rFonts w:ascii="Book Antiqua" w:hAnsi="Book Antiqua" w:cs="Calibri" w:hint="eastAsia"/>
                <w:lang w:eastAsia="zh-CN"/>
              </w:rPr>
              <w:t xml:space="preserve"> </w:t>
            </w:r>
            <w:r>
              <w:rPr>
                <w:rFonts w:ascii="Book Antiqua" w:hAnsi="Book Antiqua" w:cs="Calibri"/>
                <w:lang w:eastAsia="zh-CN"/>
              </w:rPr>
              <w:t>65/60,</w:t>
            </w:r>
            <w:r>
              <w:rPr>
                <w:rFonts w:ascii="Book Antiqua" w:hAnsi="Book Antiqua" w:cs="Calibri" w:hint="eastAsia"/>
                <w:lang w:eastAsia="zh-CN"/>
              </w:rPr>
              <w:t xml:space="preserve"> </w:t>
            </w:r>
            <w:r>
              <w:rPr>
                <w:rFonts w:ascii="Book Antiqua" w:eastAsia="Times New Roman" w:hAnsi="Book Antiqua" w:cs="Calibri"/>
              </w:rPr>
              <w:t>RAS WT/BRAF WT</w:t>
            </w:r>
            <w:r>
              <w:rPr>
                <w:rFonts w:ascii="Book Antiqua" w:hAnsi="Book Antiqua" w:cs="Calibri" w:hint="eastAsia"/>
                <w:lang w:eastAsia="zh-CN"/>
              </w:rPr>
              <w:t xml:space="preserve"> </w:t>
            </w:r>
            <w:r>
              <w:rPr>
                <w:rFonts w:ascii="Book Antiqua" w:hAnsi="Book Antiqua" w:cs="Calibri"/>
                <w:lang w:eastAsia="zh-CN"/>
              </w:rPr>
              <w:t>65/62</w:t>
            </w:r>
            <w:r>
              <w:rPr>
                <w:rFonts w:ascii="Book Antiqua" w:hAnsi="Book Antiqua" w:cs="Calibri" w:hint="eastAsia"/>
                <w:lang w:eastAsia="zh-CN"/>
              </w:rPr>
              <w:t xml:space="preserve"> </w:t>
            </w:r>
            <w:r>
              <w:rPr>
                <w:rFonts w:ascii="Book Antiqua" w:hAnsi="Book Antiqua" w:cs="Calibri"/>
                <w:lang w:eastAsia="zh-CN"/>
              </w:rPr>
              <w:lastRenderedPageBreak/>
              <w:t>(FXP/FXB)</w:t>
            </w:r>
          </w:p>
        </w:tc>
        <w:tc>
          <w:tcPr>
            <w:tcW w:w="1500" w:type="dxa"/>
            <w:shd w:val="clear" w:color="auto" w:fill="auto"/>
            <w:tcMar>
              <w:top w:w="0" w:type="dxa"/>
              <w:left w:w="108" w:type="dxa"/>
              <w:bottom w:w="0" w:type="dxa"/>
              <w:right w:w="108" w:type="dxa"/>
            </w:tcMar>
          </w:tcPr>
          <w:p w14:paraId="2FBCAEA0" w14:textId="77777777" w:rsidR="00A31DCB"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lastRenderedPageBreak/>
              <w:t>RAS WT</w:t>
            </w:r>
            <w:r>
              <w:rPr>
                <w:rFonts w:ascii="Book Antiqua" w:hAnsi="Book Antiqua" w:cs="Calibri" w:hint="eastAsia"/>
                <w:lang w:eastAsia="zh-CN"/>
              </w:rPr>
              <w:t xml:space="preserve"> </w:t>
            </w:r>
            <w:r>
              <w:rPr>
                <w:rFonts w:ascii="Book Antiqua" w:hAnsi="Book Antiqua" w:cs="Calibri"/>
                <w:lang w:eastAsia="zh-CN"/>
              </w:rPr>
              <w:t>36.9/28.9</w:t>
            </w:r>
            <w:r>
              <w:rPr>
                <w:rFonts w:ascii="Book Antiqua" w:hAnsi="Book Antiqua" w:cs="Calibri" w:hint="eastAsia"/>
                <w:lang w:eastAsia="zh-CN"/>
              </w:rPr>
              <w:t>,</w:t>
            </w:r>
            <w:r>
              <w:rPr>
                <w:rFonts w:ascii="Book Antiqua" w:hAnsi="Book Antiqua" w:cs="Calibri"/>
                <w:lang w:eastAsia="zh-CN"/>
              </w:rPr>
              <w:t xml:space="preserve"> </w:t>
            </w:r>
            <w:r>
              <w:rPr>
                <w:rFonts w:ascii="Book Antiqua" w:eastAsia="Times New Roman" w:hAnsi="Book Antiqua" w:cs="Calibri"/>
              </w:rPr>
              <w:t>RAS WT/BRAF WT</w:t>
            </w:r>
            <w:r>
              <w:rPr>
                <w:rFonts w:ascii="Book Antiqua" w:hAnsi="Book Antiqua" w:cs="Calibri" w:hint="eastAsia"/>
                <w:lang w:eastAsia="zh-CN"/>
              </w:rPr>
              <w:t xml:space="preserve"> </w:t>
            </w:r>
            <w:r>
              <w:rPr>
                <w:rFonts w:ascii="Book Antiqua" w:hAnsi="Book Antiqua" w:cs="Calibri"/>
                <w:lang w:eastAsia="zh-CN"/>
              </w:rPr>
              <w:t>46.3/28.9</w:t>
            </w:r>
            <w:r>
              <w:rPr>
                <w:rFonts w:ascii="Book Antiqua" w:hAnsi="Book Antiqua" w:cs="Calibri" w:hint="eastAsia"/>
                <w:lang w:eastAsia="zh-CN"/>
              </w:rPr>
              <w:t xml:space="preserve"> </w:t>
            </w:r>
            <w:r>
              <w:rPr>
                <w:rFonts w:ascii="Book Antiqua" w:hAnsi="Book Antiqua" w:cs="Calibri"/>
                <w:lang w:eastAsia="zh-CN"/>
              </w:rPr>
              <w:t>(FXP/FXB)</w:t>
            </w:r>
          </w:p>
        </w:tc>
        <w:tc>
          <w:tcPr>
            <w:tcW w:w="1350" w:type="dxa"/>
            <w:shd w:val="clear" w:color="auto" w:fill="auto"/>
          </w:tcPr>
          <w:p w14:paraId="7483EB04" w14:textId="77777777" w:rsidR="00A31DCB"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RAS WT</w:t>
            </w:r>
            <w:r>
              <w:rPr>
                <w:rFonts w:ascii="Book Antiqua" w:hAnsi="Book Antiqua" w:cs="Calibri" w:hint="eastAsia"/>
                <w:lang w:eastAsia="zh-CN"/>
              </w:rPr>
              <w:t xml:space="preserve"> </w:t>
            </w:r>
            <w:r>
              <w:rPr>
                <w:rFonts w:ascii="Book Antiqua" w:hAnsi="Book Antiqua" w:cs="Calibri"/>
                <w:lang w:eastAsia="zh-CN"/>
              </w:rPr>
              <w:t>12.8/10.1</w:t>
            </w:r>
            <w:r>
              <w:rPr>
                <w:rFonts w:ascii="Book Antiqua" w:hAnsi="Book Antiqua" w:cs="Calibri" w:hint="eastAsia"/>
                <w:lang w:eastAsia="zh-CN"/>
              </w:rPr>
              <w:t>,</w:t>
            </w:r>
            <w:r>
              <w:rPr>
                <w:rFonts w:ascii="Book Antiqua" w:hAnsi="Book Antiqua" w:cs="Calibri"/>
                <w:lang w:eastAsia="zh-CN"/>
              </w:rPr>
              <w:t xml:space="preserve"> </w:t>
            </w:r>
            <w:r>
              <w:rPr>
                <w:rFonts w:ascii="Book Antiqua" w:eastAsia="Times New Roman" w:hAnsi="Book Antiqua" w:cs="Calibri"/>
              </w:rPr>
              <w:t>RAS WT/BRAF WT</w:t>
            </w:r>
            <w:r>
              <w:rPr>
                <w:rFonts w:ascii="Book Antiqua" w:hAnsi="Book Antiqua" w:cs="Calibri" w:hint="eastAsia"/>
                <w:lang w:eastAsia="zh-CN"/>
              </w:rPr>
              <w:t xml:space="preserve"> </w:t>
            </w:r>
            <w:r>
              <w:rPr>
                <w:rFonts w:ascii="Book Antiqua" w:hAnsi="Book Antiqua" w:cs="Calibri"/>
                <w:lang w:eastAsia="zh-CN"/>
              </w:rPr>
              <w:t>13.1/10.1</w:t>
            </w:r>
            <w:r>
              <w:rPr>
                <w:rFonts w:ascii="Book Antiqua" w:hAnsi="Book Antiqua" w:cs="Calibri" w:hint="eastAsia"/>
                <w:lang w:eastAsia="zh-CN"/>
              </w:rPr>
              <w:t xml:space="preserve"> </w:t>
            </w:r>
            <w:r>
              <w:rPr>
                <w:rFonts w:ascii="Book Antiqua" w:hAnsi="Book Antiqua" w:cs="Calibri"/>
                <w:lang w:eastAsia="zh-CN"/>
              </w:rPr>
              <w:t>(FXP/FXB)</w:t>
            </w:r>
          </w:p>
        </w:tc>
        <w:tc>
          <w:tcPr>
            <w:tcW w:w="3723" w:type="dxa"/>
            <w:shd w:val="clear" w:color="auto" w:fill="auto"/>
          </w:tcPr>
          <w:p w14:paraId="03DBEFD1" w14:textId="77777777" w:rsidR="00A31DCB"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 xml:space="preserve">Panitumumab in combination with mFOLFOX6 is a successful first-line therapy for individuals with RAS WT and </w:t>
            </w:r>
            <w:r>
              <w:rPr>
                <w:rFonts w:ascii="Book Antiqua" w:eastAsia="Times New Roman" w:hAnsi="Book Antiqua" w:cs="Calibri"/>
              </w:rPr>
              <w:t>RAS WT/BRAF WT</w:t>
            </w:r>
            <w:r>
              <w:rPr>
                <w:rFonts w:ascii="Book Antiqua" w:hAnsi="Book Antiqua" w:cs="Calibri"/>
                <w:lang w:eastAsia="zh-CN"/>
              </w:rPr>
              <w:t xml:space="preserve"> mCRC</w:t>
            </w:r>
          </w:p>
        </w:tc>
      </w:tr>
      <w:tr w:rsidR="00A31DCB" w14:paraId="463B9982" w14:textId="77777777">
        <w:tc>
          <w:tcPr>
            <w:tcW w:w="1526" w:type="dxa"/>
            <w:shd w:val="clear" w:color="auto" w:fill="auto"/>
            <w:tcMar>
              <w:top w:w="0" w:type="dxa"/>
              <w:left w:w="108" w:type="dxa"/>
              <w:bottom w:w="0" w:type="dxa"/>
              <w:right w:w="108" w:type="dxa"/>
            </w:tcMar>
          </w:tcPr>
          <w:p w14:paraId="3D04E18E" w14:textId="77777777" w:rsidR="00A31DCB" w:rsidRDefault="00000000">
            <w:pPr>
              <w:adjustRightInd w:val="0"/>
              <w:snapToGrid w:val="0"/>
              <w:spacing w:line="360" w:lineRule="auto"/>
              <w:jc w:val="both"/>
              <w:rPr>
                <w:rFonts w:ascii="Book Antiqua" w:hAnsi="Book Antiqua" w:cs="Calibri"/>
                <w:lang w:eastAsia="zh-CN"/>
              </w:rPr>
            </w:pPr>
            <w:proofErr w:type="spellStart"/>
            <w:r>
              <w:rPr>
                <w:rFonts w:ascii="Book Antiqua" w:hAnsi="Book Antiqua" w:cs="Calibri"/>
                <w:lang w:eastAsia="zh-CN"/>
              </w:rPr>
              <w:t>Stintzing</w:t>
            </w:r>
            <w:proofErr w:type="spellEnd"/>
            <w:r>
              <w:rPr>
                <w:rFonts w:ascii="Book Antiqua" w:hAnsi="Book Antiqua" w:cs="Calibri"/>
                <w:lang w:eastAsia="zh-CN"/>
              </w:rPr>
              <w:t xml:space="preserve"> </w:t>
            </w:r>
            <w:r>
              <w:rPr>
                <w:rFonts w:ascii="Book Antiqua" w:hAnsi="Book Antiqua" w:cs="Calibri"/>
                <w:i/>
                <w:iCs/>
                <w:lang w:eastAsia="zh-CN"/>
              </w:rPr>
              <w:t>et al</w:t>
            </w:r>
            <w:r>
              <w:rPr>
                <w:rFonts w:ascii="Book Antiqua" w:hAnsi="Book Antiqua" w:cs="Calibri"/>
                <w:vertAlign w:val="superscript"/>
                <w:lang w:eastAsia="zh-CN"/>
              </w:rPr>
              <w:t>[53]</w:t>
            </w:r>
          </w:p>
        </w:tc>
        <w:tc>
          <w:tcPr>
            <w:tcW w:w="1725" w:type="dxa"/>
            <w:shd w:val="clear" w:color="auto" w:fill="auto"/>
            <w:tcMar>
              <w:top w:w="0" w:type="dxa"/>
              <w:left w:w="108" w:type="dxa"/>
              <w:bottom w:w="0" w:type="dxa"/>
              <w:right w:w="108" w:type="dxa"/>
            </w:tcMar>
          </w:tcPr>
          <w:p w14:paraId="7F4DC8D8" w14:textId="77777777" w:rsidR="00A31DCB"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Germany</w:t>
            </w:r>
          </w:p>
        </w:tc>
        <w:tc>
          <w:tcPr>
            <w:tcW w:w="1890" w:type="dxa"/>
            <w:shd w:val="clear" w:color="auto" w:fill="auto"/>
            <w:tcMar>
              <w:top w:w="0" w:type="dxa"/>
              <w:left w:w="108" w:type="dxa"/>
              <w:bottom w:w="0" w:type="dxa"/>
              <w:right w:w="108" w:type="dxa"/>
            </w:tcMar>
          </w:tcPr>
          <w:p w14:paraId="661EF283" w14:textId="77777777" w:rsidR="00A31DCB" w:rsidRDefault="00000000">
            <w:pPr>
              <w:adjustRightInd w:val="0"/>
              <w:snapToGrid w:val="0"/>
              <w:spacing w:line="360" w:lineRule="auto"/>
              <w:jc w:val="both"/>
              <w:rPr>
                <w:rFonts w:ascii="Book Antiqua" w:eastAsia="Times New Roman" w:hAnsi="Book Antiqua" w:cs="Calibri"/>
              </w:rPr>
            </w:pPr>
            <w:r>
              <w:rPr>
                <w:rFonts w:ascii="Book Antiqua" w:eastAsia="Times New Roman" w:hAnsi="Book Antiqua" w:cs="Calibri"/>
              </w:rPr>
              <w:t>FOLFIRI (5-fluorouracil</w:t>
            </w:r>
            <w:r>
              <w:rPr>
                <w:rFonts w:ascii="Book Antiqua" w:hAnsi="Book Antiqua" w:cs="Calibri"/>
                <w:lang w:eastAsia="zh-CN"/>
              </w:rPr>
              <w:t xml:space="preserve"> </w:t>
            </w:r>
            <w:r>
              <w:rPr>
                <w:rFonts w:ascii="Book Antiqua" w:eastAsia="Times New Roman" w:hAnsi="Book Antiqua" w:cs="Calibri"/>
              </w:rPr>
              <w:t>leucovorin irinotecan)</w:t>
            </w:r>
            <w:r>
              <w:rPr>
                <w:rFonts w:ascii="Book Antiqua" w:hAnsi="Book Antiqua" w:cs="Calibri"/>
                <w:lang w:eastAsia="zh-CN"/>
              </w:rPr>
              <w:t xml:space="preserve"> </w:t>
            </w:r>
            <w:r>
              <w:rPr>
                <w:rFonts w:ascii="Book Antiqua" w:eastAsia="Times New Roman" w:hAnsi="Book Antiqua" w:cs="Calibri"/>
              </w:rPr>
              <w:t>plus cetuximab</w:t>
            </w:r>
            <w:r>
              <w:rPr>
                <w:rFonts w:ascii="Book Antiqua" w:hAnsi="Book Antiqua" w:cs="Calibri"/>
                <w:lang w:eastAsia="zh-CN"/>
              </w:rPr>
              <w:t xml:space="preserve"> </w:t>
            </w:r>
            <w:r>
              <w:rPr>
                <w:rFonts w:ascii="Book Antiqua" w:eastAsia="Times New Roman" w:hAnsi="Book Antiqua" w:cs="Calibri"/>
              </w:rPr>
              <w:t>or</w:t>
            </w:r>
            <w:r>
              <w:rPr>
                <w:rFonts w:ascii="Book Antiqua" w:hAnsi="Book Antiqua" w:cs="Calibri"/>
                <w:lang w:eastAsia="zh-CN"/>
              </w:rPr>
              <w:t xml:space="preserve"> </w:t>
            </w:r>
            <w:r>
              <w:rPr>
                <w:rFonts w:ascii="Book Antiqua" w:eastAsia="Times New Roman" w:hAnsi="Book Antiqua" w:cs="Calibri"/>
              </w:rPr>
              <w:t>bevacizumab</w:t>
            </w:r>
          </w:p>
        </w:tc>
        <w:tc>
          <w:tcPr>
            <w:tcW w:w="1365" w:type="dxa"/>
            <w:shd w:val="clear" w:color="auto" w:fill="auto"/>
            <w:tcMar>
              <w:top w:w="0" w:type="dxa"/>
              <w:left w:w="108" w:type="dxa"/>
              <w:bottom w:w="0" w:type="dxa"/>
              <w:right w:w="108" w:type="dxa"/>
            </w:tcMar>
          </w:tcPr>
          <w:p w14:paraId="4C4A8918" w14:textId="77777777" w:rsidR="00A31DCB" w:rsidRDefault="00000000">
            <w:pPr>
              <w:adjustRightInd w:val="0"/>
              <w:snapToGrid w:val="0"/>
              <w:spacing w:line="360" w:lineRule="auto"/>
              <w:jc w:val="both"/>
              <w:rPr>
                <w:rFonts w:ascii="Book Antiqua" w:eastAsia="Times New Roman" w:hAnsi="Book Antiqua" w:cs="Calibri"/>
              </w:rPr>
            </w:pPr>
            <w:r>
              <w:rPr>
                <w:rFonts w:ascii="Book Antiqua" w:eastAsia="Times New Roman" w:hAnsi="Book Antiqua" w:cs="Calibri"/>
              </w:rPr>
              <w:t>400</w:t>
            </w:r>
          </w:p>
        </w:tc>
        <w:tc>
          <w:tcPr>
            <w:tcW w:w="945" w:type="dxa"/>
            <w:shd w:val="clear" w:color="auto" w:fill="auto"/>
            <w:tcMar>
              <w:top w:w="0" w:type="dxa"/>
              <w:left w:w="108" w:type="dxa"/>
              <w:bottom w:w="0" w:type="dxa"/>
              <w:right w:w="108" w:type="dxa"/>
            </w:tcMar>
          </w:tcPr>
          <w:p w14:paraId="627A4112" w14:textId="77777777" w:rsidR="00A31DCB" w:rsidRDefault="00000000">
            <w:pPr>
              <w:adjustRightInd w:val="0"/>
              <w:snapToGrid w:val="0"/>
              <w:spacing w:line="360" w:lineRule="auto"/>
              <w:jc w:val="both"/>
              <w:rPr>
                <w:rFonts w:ascii="Book Antiqua" w:eastAsia="Times New Roman" w:hAnsi="Book Antiqua" w:cs="Calibri"/>
              </w:rPr>
            </w:pPr>
            <w:r>
              <w:rPr>
                <w:rFonts w:ascii="Book Antiqua" w:eastAsia="Times New Roman" w:hAnsi="Book Antiqua" w:cs="Calibri"/>
              </w:rPr>
              <w:t>3</w:t>
            </w:r>
          </w:p>
        </w:tc>
        <w:tc>
          <w:tcPr>
            <w:tcW w:w="1110" w:type="dxa"/>
            <w:shd w:val="clear" w:color="auto" w:fill="auto"/>
            <w:tcMar>
              <w:top w:w="0" w:type="dxa"/>
              <w:left w:w="108" w:type="dxa"/>
              <w:bottom w:w="0" w:type="dxa"/>
              <w:right w:w="108" w:type="dxa"/>
            </w:tcMar>
          </w:tcPr>
          <w:p w14:paraId="071F4A33" w14:textId="77777777" w:rsidR="00A31DCB"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65.3/58.7</w:t>
            </w:r>
            <w:r>
              <w:rPr>
                <w:rFonts w:ascii="Book Antiqua" w:hAnsi="Book Antiqua" w:cs="Calibri" w:hint="eastAsia"/>
                <w:lang w:eastAsia="zh-CN"/>
              </w:rPr>
              <w:t xml:space="preserve"> </w:t>
            </w:r>
            <w:r>
              <w:rPr>
                <w:rFonts w:ascii="Book Antiqua" w:hAnsi="Book Antiqua" w:cs="Calibri"/>
                <w:lang w:eastAsia="zh-CN"/>
              </w:rPr>
              <w:t>(FIC/FIB)</w:t>
            </w:r>
          </w:p>
        </w:tc>
        <w:tc>
          <w:tcPr>
            <w:tcW w:w="1500" w:type="dxa"/>
            <w:shd w:val="clear" w:color="auto" w:fill="auto"/>
            <w:tcMar>
              <w:top w:w="0" w:type="dxa"/>
              <w:left w:w="108" w:type="dxa"/>
              <w:bottom w:w="0" w:type="dxa"/>
              <w:right w:w="108" w:type="dxa"/>
            </w:tcMar>
          </w:tcPr>
          <w:p w14:paraId="566E4744" w14:textId="77777777" w:rsidR="00A31DCB"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33.1/25.0 (FIC/FIB)</w:t>
            </w:r>
          </w:p>
        </w:tc>
        <w:tc>
          <w:tcPr>
            <w:tcW w:w="1350" w:type="dxa"/>
            <w:shd w:val="clear" w:color="auto" w:fill="auto"/>
          </w:tcPr>
          <w:p w14:paraId="5FB0D325" w14:textId="77777777" w:rsidR="00A31DCB"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10.3/10.2 (FIC/FIB)</w:t>
            </w:r>
          </w:p>
        </w:tc>
        <w:tc>
          <w:tcPr>
            <w:tcW w:w="3723" w:type="dxa"/>
            <w:shd w:val="clear" w:color="auto" w:fill="auto"/>
          </w:tcPr>
          <w:p w14:paraId="1DA10B4F" w14:textId="77777777" w:rsidR="00A31DCB"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In the first-line therapy of patients with RAS wild-type metastatic colorectal cancer, FOLFIRI with cetuximab may be preferable than FOLFIRI plus bevacizumab</w:t>
            </w:r>
          </w:p>
        </w:tc>
      </w:tr>
      <w:tr w:rsidR="00A31DCB" w14:paraId="78C5BD8E" w14:textId="77777777">
        <w:tc>
          <w:tcPr>
            <w:tcW w:w="1526" w:type="dxa"/>
            <w:shd w:val="clear" w:color="auto" w:fill="auto"/>
            <w:tcMar>
              <w:top w:w="0" w:type="dxa"/>
              <w:left w:w="108" w:type="dxa"/>
              <w:bottom w:w="0" w:type="dxa"/>
              <w:right w:w="108" w:type="dxa"/>
            </w:tcMar>
          </w:tcPr>
          <w:p w14:paraId="777CF8D3" w14:textId="77777777" w:rsidR="00A31DCB"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 xml:space="preserve">Pfeiffer </w:t>
            </w:r>
            <w:r>
              <w:rPr>
                <w:rFonts w:ascii="Book Antiqua" w:hAnsi="Book Antiqua" w:cs="Calibri"/>
                <w:i/>
                <w:iCs/>
                <w:lang w:eastAsia="zh-CN"/>
              </w:rPr>
              <w:t>et al</w:t>
            </w:r>
            <w:r>
              <w:rPr>
                <w:rFonts w:ascii="Book Antiqua" w:hAnsi="Book Antiqua" w:cs="Calibri"/>
                <w:vertAlign w:val="superscript"/>
                <w:lang w:eastAsia="zh-CN"/>
              </w:rPr>
              <w:t>[58]</w:t>
            </w:r>
          </w:p>
        </w:tc>
        <w:tc>
          <w:tcPr>
            <w:tcW w:w="1725" w:type="dxa"/>
            <w:shd w:val="clear" w:color="auto" w:fill="auto"/>
            <w:tcMar>
              <w:top w:w="0" w:type="dxa"/>
              <w:left w:w="108" w:type="dxa"/>
              <w:bottom w:w="0" w:type="dxa"/>
              <w:right w:w="108" w:type="dxa"/>
            </w:tcMar>
          </w:tcPr>
          <w:p w14:paraId="1062A660" w14:textId="77777777" w:rsidR="00A31DCB"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Denmark</w:t>
            </w:r>
          </w:p>
        </w:tc>
        <w:tc>
          <w:tcPr>
            <w:tcW w:w="1890" w:type="dxa"/>
            <w:shd w:val="clear" w:color="auto" w:fill="auto"/>
            <w:tcMar>
              <w:top w:w="0" w:type="dxa"/>
              <w:left w:w="108" w:type="dxa"/>
              <w:bottom w:w="0" w:type="dxa"/>
              <w:right w:w="108" w:type="dxa"/>
            </w:tcMar>
          </w:tcPr>
          <w:p w14:paraId="33955DC2" w14:textId="77777777" w:rsidR="00A31DCB" w:rsidRDefault="00000000">
            <w:pPr>
              <w:adjustRightInd w:val="0"/>
              <w:snapToGrid w:val="0"/>
              <w:spacing w:line="360" w:lineRule="auto"/>
              <w:jc w:val="both"/>
              <w:rPr>
                <w:rFonts w:ascii="Book Antiqua" w:eastAsia="Times New Roman" w:hAnsi="Book Antiqua" w:cs="Calibri"/>
              </w:rPr>
            </w:pPr>
            <w:r>
              <w:rPr>
                <w:rFonts w:ascii="Book Antiqua" w:eastAsia="Times New Roman" w:hAnsi="Book Antiqua" w:cs="Calibri"/>
              </w:rPr>
              <w:t xml:space="preserve">Trifluridine plus </w:t>
            </w:r>
            <w:proofErr w:type="spellStart"/>
            <w:r>
              <w:rPr>
                <w:rFonts w:ascii="Book Antiqua" w:eastAsia="Times New Roman" w:hAnsi="Book Antiqua" w:cs="Calibri"/>
              </w:rPr>
              <w:t>tipiracil</w:t>
            </w:r>
            <w:proofErr w:type="spellEnd"/>
            <w:r>
              <w:rPr>
                <w:rFonts w:ascii="Book Antiqua" w:eastAsia="Times New Roman" w:hAnsi="Book Antiqua" w:cs="Calibri"/>
              </w:rPr>
              <w:t xml:space="preserve"> hydrochloride</w:t>
            </w:r>
            <w:r>
              <w:rPr>
                <w:rFonts w:ascii="Book Antiqua" w:hAnsi="Book Antiqua" w:cs="Calibri" w:hint="eastAsia"/>
                <w:lang w:eastAsia="zh-CN"/>
              </w:rPr>
              <w:t xml:space="preserve"> </w:t>
            </w:r>
            <w:r>
              <w:rPr>
                <w:rFonts w:ascii="Book Antiqua" w:eastAsia="Times New Roman" w:hAnsi="Book Antiqua" w:cs="Calibri"/>
              </w:rPr>
              <w:t>(TAS-102)</w:t>
            </w:r>
            <w:r>
              <w:rPr>
                <w:rFonts w:ascii="Book Antiqua" w:hAnsi="Book Antiqua" w:cs="Calibri" w:hint="eastAsia"/>
                <w:lang w:eastAsia="zh-CN"/>
              </w:rPr>
              <w:t xml:space="preserve"> </w:t>
            </w:r>
            <w:r>
              <w:rPr>
                <w:rFonts w:ascii="Book Antiqua" w:eastAsia="Times New Roman" w:hAnsi="Book Antiqua" w:cs="Calibri"/>
              </w:rPr>
              <w:t>or</w:t>
            </w:r>
            <w:r>
              <w:rPr>
                <w:rFonts w:ascii="Book Antiqua" w:hAnsi="Book Antiqua" w:cs="Calibri" w:hint="eastAsia"/>
                <w:lang w:eastAsia="zh-CN"/>
              </w:rPr>
              <w:t xml:space="preserve"> </w:t>
            </w:r>
            <w:r>
              <w:rPr>
                <w:rFonts w:ascii="Book Antiqua" w:eastAsia="Times New Roman" w:hAnsi="Book Antiqua" w:cs="Calibri"/>
              </w:rPr>
              <w:t>TAS-102</w:t>
            </w:r>
            <w:r>
              <w:rPr>
                <w:rFonts w:ascii="Book Antiqua" w:hAnsi="Book Antiqua" w:cs="Calibri"/>
                <w:lang w:eastAsia="zh-CN"/>
              </w:rPr>
              <w:t xml:space="preserve"> </w:t>
            </w:r>
            <w:r>
              <w:rPr>
                <w:rFonts w:ascii="Book Antiqua" w:eastAsia="Times New Roman" w:hAnsi="Book Antiqua" w:cs="Calibri"/>
              </w:rPr>
              <w:t xml:space="preserve">plus </w:t>
            </w:r>
            <w:bookmarkStart w:id="8" w:name="_Hlk127437891"/>
            <w:r>
              <w:rPr>
                <w:rFonts w:ascii="Book Antiqua" w:eastAsia="Times New Roman" w:hAnsi="Book Antiqua" w:cs="Calibri"/>
              </w:rPr>
              <w:t>bevacizumab</w:t>
            </w:r>
            <w:bookmarkEnd w:id="8"/>
          </w:p>
        </w:tc>
        <w:tc>
          <w:tcPr>
            <w:tcW w:w="1365" w:type="dxa"/>
            <w:shd w:val="clear" w:color="auto" w:fill="auto"/>
            <w:tcMar>
              <w:top w:w="0" w:type="dxa"/>
              <w:left w:w="108" w:type="dxa"/>
              <w:bottom w:w="0" w:type="dxa"/>
              <w:right w:w="108" w:type="dxa"/>
            </w:tcMar>
          </w:tcPr>
          <w:p w14:paraId="043AADC0" w14:textId="77777777" w:rsidR="00A31DCB" w:rsidRDefault="00000000">
            <w:pPr>
              <w:adjustRightInd w:val="0"/>
              <w:snapToGrid w:val="0"/>
              <w:spacing w:line="360" w:lineRule="auto"/>
              <w:jc w:val="both"/>
              <w:rPr>
                <w:rFonts w:ascii="Book Antiqua" w:eastAsia="Times New Roman" w:hAnsi="Book Antiqua" w:cs="Calibri"/>
              </w:rPr>
            </w:pPr>
            <w:r>
              <w:rPr>
                <w:rFonts w:ascii="Book Antiqua" w:eastAsia="Times New Roman" w:hAnsi="Book Antiqua" w:cs="Calibri"/>
              </w:rPr>
              <w:t>47/46</w:t>
            </w:r>
            <w:r>
              <w:rPr>
                <w:rFonts w:ascii="Book Antiqua" w:hAnsi="Book Antiqua" w:cs="Calibri" w:hint="eastAsia"/>
                <w:lang w:eastAsia="zh-CN"/>
              </w:rPr>
              <w:t xml:space="preserve"> </w:t>
            </w:r>
            <w:r>
              <w:rPr>
                <w:rFonts w:ascii="Book Antiqua" w:eastAsia="Times New Roman" w:hAnsi="Book Antiqua" w:cs="Calibri"/>
              </w:rPr>
              <w:t>(T/TB)</w:t>
            </w:r>
          </w:p>
        </w:tc>
        <w:tc>
          <w:tcPr>
            <w:tcW w:w="945" w:type="dxa"/>
            <w:shd w:val="clear" w:color="auto" w:fill="auto"/>
            <w:tcMar>
              <w:top w:w="0" w:type="dxa"/>
              <w:left w:w="108" w:type="dxa"/>
              <w:bottom w:w="0" w:type="dxa"/>
              <w:right w:w="108" w:type="dxa"/>
            </w:tcMar>
          </w:tcPr>
          <w:p w14:paraId="5A286329" w14:textId="77777777" w:rsidR="00A31DCB" w:rsidRDefault="00000000">
            <w:pPr>
              <w:adjustRightInd w:val="0"/>
              <w:snapToGrid w:val="0"/>
              <w:spacing w:line="360" w:lineRule="auto"/>
              <w:jc w:val="both"/>
              <w:rPr>
                <w:rFonts w:ascii="Book Antiqua" w:eastAsia="Times New Roman" w:hAnsi="Book Antiqua" w:cs="Calibri"/>
              </w:rPr>
            </w:pPr>
            <w:r>
              <w:rPr>
                <w:rFonts w:ascii="Book Antiqua" w:eastAsia="Times New Roman" w:hAnsi="Book Antiqua" w:cs="Calibri"/>
              </w:rPr>
              <w:t>2</w:t>
            </w:r>
          </w:p>
        </w:tc>
        <w:tc>
          <w:tcPr>
            <w:tcW w:w="1110" w:type="dxa"/>
            <w:shd w:val="clear" w:color="auto" w:fill="auto"/>
            <w:tcMar>
              <w:top w:w="0" w:type="dxa"/>
              <w:left w:w="108" w:type="dxa"/>
              <w:bottom w:w="0" w:type="dxa"/>
              <w:right w:w="108" w:type="dxa"/>
            </w:tcMar>
          </w:tcPr>
          <w:p w14:paraId="5A70EF83" w14:textId="77777777" w:rsidR="00A31DCB"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51/67</w:t>
            </w:r>
            <w:r>
              <w:rPr>
                <w:rFonts w:ascii="Book Antiqua" w:hAnsi="Book Antiqua" w:cs="Calibri" w:hint="eastAsia"/>
                <w:lang w:eastAsia="zh-CN"/>
              </w:rPr>
              <w:t xml:space="preserve"> </w:t>
            </w:r>
            <w:r>
              <w:rPr>
                <w:rFonts w:ascii="Book Antiqua" w:hAnsi="Book Antiqua" w:cs="Calibri"/>
                <w:lang w:eastAsia="zh-CN"/>
              </w:rPr>
              <w:t>(T/TB)</w:t>
            </w:r>
          </w:p>
        </w:tc>
        <w:tc>
          <w:tcPr>
            <w:tcW w:w="1500" w:type="dxa"/>
            <w:shd w:val="clear" w:color="auto" w:fill="auto"/>
            <w:tcMar>
              <w:top w:w="0" w:type="dxa"/>
              <w:left w:w="108" w:type="dxa"/>
              <w:bottom w:w="0" w:type="dxa"/>
              <w:right w:w="108" w:type="dxa"/>
            </w:tcMar>
          </w:tcPr>
          <w:p w14:paraId="39A169B4" w14:textId="77777777" w:rsidR="00A31DCB"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6.7/9.4</w:t>
            </w:r>
            <w:r>
              <w:rPr>
                <w:rFonts w:ascii="Book Antiqua" w:hAnsi="Book Antiqua" w:cs="Calibri" w:hint="eastAsia"/>
                <w:lang w:eastAsia="zh-CN"/>
              </w:rPr>
              <w:t xml:space="preserve"> </w:t>
            </w:r>
            <w:r>
              <w:rPr>
                <w:rFonts w:ascii="Book Antiqua" w:hAnsi="Book Antiqua" w:cs="Calibri"/>
                <w:lang w:eastAsia="zh-CN"/>
              </w:rPr>
              <w:t>(T/TB)</w:t>
            </w:r>
          </w:p>
        </w:tc>
        <w:tc>
          <w:tcPr>
            <w:tcW w:w="1350" w:type="dxa"/>
            <w:shd w:val="clear" w:color="auto" w:fill="auto"/>
          </w:tcPr>
          <w:p w14:paraId="0060F490" w14:textId="77777777" w:rsidR="00A31DCB"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2.6/4.6</w:t>
            </w:r>
            <w:r>
              <w:rPr>
                <w:rFonts w:ascii="Book Antiqua" w:hAnsi="Book Antiqua" w:cs="Calibri" w:hint="eastAsia"/>
                <w:lang w:eastAsia="zh-CN"/>
              </w:rPr>
              <w:t xml:space="preserve"> </w:t>
            </w:r>
            <w:r>
              <w:rPr>
                <w:rFonts w:ascii="Book Antiqua" w:hAnsi="Book Antiqua" w:cs="Calibri"/>
                <w:lang w:eastAsia="zh-CN"/>
              </w:rPr>
              <w:t>(T/TB)</w:t>
            </w:r>
          </w:p>
        </w:tc>
        <w:tc>
          <w:tcPr>
            <w:tcW w:w="3723" w:type="dxa"/>
            <w:shd w:val="clear" w:color="auto" w:fill="auto"/>
          </w:tcPr>
          <w:p w14:paraId="2292E772" w14:textId="77777777" w:rsidR="00A31DCB"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 xml:space="preserve">In terms of efficacy and safety, bevacizumab may be an effective companion for TAS-102 in patients with </w:t>
            </w:r>
            <w:proofErr w:type="spellStart"/>
            <w:r>
              <w:rPr>
                <w:rFonts w:ascii="Book Antiqua" w:hAnsi="Book Antiqua" w:cs="Calibri"/>
                <w:lang w:eastAsia="zh-CN"/>
              </w:rPr>
              <w:t>chemorefractory</w:t>
            </w:r>
            <w:proofErr w:type="spellEnd"/>
            <w:r>
              <w:rPr>
                <w:rFonts w:ascii="Book Antiqua" w:hAnsi="Book Antiqua" w:cs="Calibri"/>
                <w:lang w:eastAsia="zh-CN"/>
              </w:rPr>
              <w:t xml:space="preserve"> metastatic colorectal cancer</w:t>
            </w:r>
          </w:p>
        </w:tc>
      </w:tr>
      <w:tr w:rsidR="00A31DCB" w14:paraId="6157DD20" w14:textId="77777777">
        <w:tc>
          <w:tcPr>
            <w:tcW w:w="1526" w:type="dxa"/>
            <w:shd w:val="clear" w:color="auto" w:fill="auto"/>
            <w:tcMar>
              <w:top w:w="0" w:type="dxa"/>
              <w:left w:w="108" w:type="dxa"/>
              <w:bottom w:w="0" w:type="dxa"/>
              <w:right w:w="108" w:type="dxa"/>
            </w:tcMar>
          </w:tcPr>
          <w:p w14:paraId="5505E134" w14:textId="77777777" w:rsidR="00A31DCB" w:rsidRDefault="00000000">
            <w:pPr>
              <w:adjustRightInd w:val="0"/>
              <w:snapToGrid w:val="0"/>
              <w:spacing w:line="360" w:lineRule="auto"/>
              <w:jc w:val="both"/>
              <w:rPr>
                <w:rFonts w:ascii="Book Antiqua" w:hAnsi="Book Antiqua" w:cs="Calibri"/>
                <w:lang w:eastAsia="zh-CN"/>
              </w:rPr>
            </w:pPr>
            <w:proofErr w:type="spellStart"/>
            <w:r>
              <w:rPr>
                <w:rFonts w:ascii="Book Antiqua" w:hAnsi="Book Antiqua" w:cs="Calibri"/>
                <w:lang w:eastAsia="zh-CN"/>
              </w:rPr>
              <w:t>Cremolini</w:t>
            </w:r>
            <w:proofErr w:type="spellEnd"/>
            <w:r>
              <w:rPr>
                <w:rFonts w:ascii="Book Antiqua" w:hAnsi="Book Antiqua" w:cs="Calibri"/>
                <w:lang w:eastAsia="zh-CN"/>
              </w:rPr>
              <w:t xml:space="preserve"> </w:t>
            </w:r>
            <w:r>
              <w:rPr>
                <w:rFonts w:ascii="Book Antiqua" w:hAnsi="Book Antiqua" w:cs="Calibri"/>
                <w:i/>
                <w:iCs/>
                <w:lang w:eastAsia="zh-CN"/>
              </w:rPr>
              <w:t>et al</w:t>
            </w:r>
            <w:r>
              <w:rPr>
                <w:rFonts w:ascii="Book Antiqua" w:hAnsi="Book Antiqua" w:cs="Calibri"/>
                <w:vertAlign w:val="superscript"/>
                <w:lang w:eastAsia="zh-CN"/>
              </w:rPr>
              <w:t>[59]</w:t>
            </w:r>
          </w:p>
        </w:tc>
        <w:tc>
          <w:tcPr>
            <w:tcW w:w="1725" w:type="dxa"/>
            <w:shd w:val="clear" w:color="auto" w:fill="auto"/>
            <w:tcMar>
              <w:top w:w="0" w:type="dxa"/>
              <w:left w:w="108" w:type="dxa"/>
              <w:bottom w:w="0" w:type="dxa"/>
              <w:right w:w="108" w:type="dxa"/>
            </w:tcMar>
          </w:tcPr>
          <w:p w14:paraId="5D9D6207" w14:textId="77777777" w:rsidR="00A31DCB"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Italy</w:t>
            </w:r>
          </w:p>
        </w:tc>
        <w:tc>
          <w:tcPr>
            <w:tcW w:w="1890" w:type="dxa"/>
            <w:shd w:val="clear" w:color="auto" w:fill="auto"/>
            <w:tcMar>
              <w:top w:w="0" w:type="dxa"/>
              <w:left w:w="108" w:type="dxa"/>
              <w:bottom w:w="0" w:type="dxa"/>
              <w:right w:w="108" w:type="dxa"/>
            </w:tcMar>
          </w:tcPr>
          <w:p w14:paraId="79C69416" w14:textId="77777777" w:rsidR="00A31DCB" w:rsidRDefault="00000000">
            <w:pPr>
              <w:adjustRightInd w:val="0"/>
              <w:snapToGrid w:val="0"/>
              <w:spacing w:line="360" w:lineRule="auto"/>
              <w:jc w:val="both"/>
              <w:rPr>
                <w:rFonts w:ascii="Book Antiqua" w:eastAsia="Times New Roman" w:hAnsi="Book Antiqua" w:cs="Calibri"/>
              </w:rPr>
            </w:pPr>
            <w:r>
              <w:rPr>
                <w:rFonts w:ascii="Book Antiqua" w:eastAsia="Times New Roman" w:hAnsi="Book Antiqua" w:cs="Calibri"/>
              </w:rPr>
              <w:t>Cetuximab</w:t>
            </w:r>
            <w:r>
              <w:rPr>
                <w:rFonts w:ascii="Book Antiqua" w:hAnsi="Book Antiqua" w:cs="Calibri" w:hint="eastAsia"/>
                <w:lang w:eastAsia="zh-CN"/>
              </w:rPr>
              <w:t xml:space="preserve"> </w:t>
            </w:r>
            <w:r>
              <w:rPr>
                <w:rFonts w:ascii="Book Antiqua" w:eastAsia="Times New Roman" w:hAnsi="Book Antiqua" w:cs="Calibri"/>
              </w:rPr>
              <w:t xml:space="preserve">plus irinotecan </w:t>
            </w:r>
          </w:p>
        </w:tc>
        <w:tc>
          <w:tcPr>
            <w:tcW w:w="1365" w:type="dxa"/>
            <w:shd w:val="clear" w:color="auto" w:fill="auto"/>
            <w:tcMar>
              <w:top w:w="0" w:type="dxa"/>
              <w:left w:w="108" w:type="dxa"/>
              <w:bottom w:w="0" w:type="dxa"/>
              <w:right w:w="108" w:type="dxa"/>
            </w:tcMar>
          </w:tcPr>
          <w:p w14:paraId="522BFF43" w14:textId="77777777" w:rsidR="00A31DCB" w:rsidRDefault="00000000">
            <w:pPr>
              <w:adjustRightInd w:val="0"/>
              <w:snapToGrid w:val="0"/>
              <w:spacing w:line="360" w:lineRule="auto"/>
              <w:jc w:val="both"/>
              <w:rPr>
                <w:rFonts w:ascii="Book Antiqua" w:eastAsia="Times New Roman" w:hAnsi="Book Antiqua" w:cs="Calibri"/>
              </w:rPr>
            </w:pPr>
            <w:r>
              <w:rPr>
                <w:rFonts w:ascii="Book Antiqua" w:eastAsia="Times New Roman" w:hAnsi="Book Antiqua" w:cs="Calibri"/>
              </w:rPr>
              <w:t>13/12</w:t>
            </w:r>
            <w:r>
              <w:rPr>
                <w:rFonts w:ascii="Book Antiqua" w:hAnsi="Book Antiqua" w:cs="Calibri" w:hint="eastAsia"/>
                <w:lang w:eastAsia="zh-CN"/>
              </w:rPr>
              <w:t xml:space="preserve"> </w:t>
            </w:r>
            <w:r>
              <w:rPr>
                <w:rFonts w:ascii="Book Antiqua" w:eastAsia="Times New Roman" w:hAnsi="Book Antiqua" w:cs="Calibri"/>
              </w:rPr>
              <w:t>(RWT/RMT)</w:t>
            </w:r>
          </w:p>
        </w:tc>
        <w:tc>
          <w:tcPr>
            <w:tcW w:w="945" w:type="dxa"/>
            <w:shd w:val="clear" w:color="auto" w:fill="auto"/>
            <w:tcMar>
              <w:top w:w="0" w:type="dxa"/>
              <w:left w:w="108" w:type="dxa"/>
              <w:bottom w:w="0" w:type="dxa"/>
              <w:right w:w="108" w:type="dxa"/>
            </w:tcMar>
          </w:tcPr>
          <w:p w14:paraId="7CEC7D23" w14:textId="77777777" w:rsidR="00A31DCB" w:rsidRDefault="00000000">
            <w:pPr>
              <w:adjustRightInd w:val="0"/>
              <w:snapToGrid w:val="0"/>
              <w:spacing w:line="360" w:lineRule="auto"/>
              <w:jc w:val="both"/>
              <w:rPr>
                <w:rFonts w:ascii="Book Antiqua" w:eastAsia="Times New Roman" w:hAnsi="Book Antiqua" w:cs="Calibri"/>
              </w:rPr>
            </w:pPr>
            <w:r>
              <w:rPr>
                <w:rFonts w:ascii="Book Antiqua" w:eastAsia="Times New Roman" w:hAnsi="Book Antiqua" w:cs="Calibri"/>
              </w:rPr>
              <w:t>2</w:t>
            </w:r>
          </w:p>
        </w:tc>
        <w:tc>
          <w:tcPr>
            <w:tcW w:w="1110" w:type="dxa"/>
            <w:shd w:val="clear" w:color="auto" w:fill="auto"/>
            <w:tcMar>
              <w:top w:w="0" w:type="dxa"/>
              <w:left w:w="108" w:type="dxa"/>
              <w:bottom w:w="0" w:type="dxa"/>
              <w:right w:w="108" w:type="dxa"/>
            </w:tcMar>
          </w:tcPr>
          <w:p w14:paraId="178992B7" w14:textId="77777777" w:rsidR="00A31DCB"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w:t>
            </w:r>
          </w:p>
        </w:tc>
        <w:tc>
          <w:tcPr>
            <w:tcW w:w="1500" w:type="dxa"/>
            <w:shd w:val="clear" w:color="auto" w:fill="auto"/>
            <w:tcMar>
              <w:top w:w="0" w:type="dxa"/>
              <w:left w:w="108" w:type="dxa"/>
              <w:bottom w:w="0" w:type="dxa"/>
              <w:right w:w="108" w:type="dxa"/>
            </w:tcMar>
          </w:tcPr>
          <w:p w14:paraId="13CE38A5" w14:textId="77777777" w:rsidR="00A31DCB"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12.5/5.2</w:t>
            </w:r>
            <w:r>
              <w:rPr>
                <w:rFonts w:ascii="Book Antiqua" w:hAnsi="Book Antiqua" w:cs="Calibri" w:hint="eastAsia"/>
                <w:lang w:eastAsia="zh-CN"/>
              </w:rPr>
              <w:t xml:space="preserve"> </w:t>
            </w:r>
            <w:r>
              <w:rPr>
                <w:rFonts w:ascii="Book Antiqua" w:eastAsia="Times New Roman" w:hAnsi="Book Antiqua" w:cs="Calibri"/>
              </w:rPr>
              <w:t>(RWT/RMT)</w:t>
            </w:r>
          </w:p>
        </w:tc>
        <w:tc>
          <w:tcPr>
            <w:tcW w:w="1350" w:type="dxa"/>
            <w:shd w:val="clear" w:color="auto" w:fill="auto"/>
          </w:tcPr>
          <w:p w14:paraId="695FD453" w14:textId="77777777" w:rsidR="00A31DCB"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4.0/1.9</w:t>
            </w:r>
            <w:r>
              <w:rPr>
                <w:rFonts w:ascii="Book Antiqua" w:hAnsi="Book Antiqua" w:cs="Calibri" w:hint="eastAsia"/>
                <w:lang w:eastAsia="zh-CN"/>
              </w:rPr>
              <w:t xml:space="preserve"> </w:t>
            </w:r>
            <w:r>
              <w:rPr>
                <w:rFonts w:ascii="Book Antiqua" w:eastAsia="Times New Roman" w:hAnsi="Book Antiqua" w:cs="Calibri"/>
              </w:rPr>
              <w:t>(RWT/RMT)</w:t>
            </w:r>
          </w:p>
        </w:tc>
        <w:tc>
          <w:tcPr>
            <w:tcW w:w="3723" w:type="dxa"/>
            <w:shd w:val="clear" w:color="auto" w:fill="auto"/>
          </w:tcPr>
          <w:p w14:paraId="1C6171CF" w14:textId="77777777" w:rsidR="00A31DCB"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 xml:space="preserve">In patients with RAS and BRAF wild-type mCRC who have acquired resistance to first-line irinotecan and cetuximab-based treatment, a re-challenge approach with cetuximab and irinotecan </w:t>
            </w:r>
            <w:r>
              <w:rPr>
                <w:rFonts w:ascii="Book Antiqua" w:hAnsi="Book Antiqua" w:cs="Calibri"/>
                <w:lang w:eastAsia="zh-CN"/>
              </w:rPr>
              <w:lastRenderedPageBreak/>
              <w:t>may be effective. The examination of RAS mutational status on cDNA may aid in the selection of potential patients</w:t>
            </w:r>
          </w:p>
        </w:tc>
      </w:tr>
      <w:tr w:rsidR="00A31DCB" w14:paraId="2BA8D823" w14:textId="77777777">
        <w:tc>
          <w:tcPr>
            <w:tcW w:w="1526" w:type="dxa"/>
            <w:shd w:val="clear" w:color="auto" w:fill="auto"/>
            <w:tcMar>
              <w:top w:w="0" w:type="dxa"/>
              <w:left w:w="108" w:type="dxa"/>
              <w:bottom w:w="0" w:type="dxa"/>
              <w:right w:w="108" w:type="dxa"/>
            </w:tcMar>
          </w:tcPr>
          <w:p w14:paraId="02CB070B" w14:textId="77777777" w:rsidR="00A31DCB" w:rsidRDefault="00000000">
            <w:pPr>
              <w:adjustRightInd w:val="0"/>
              <w:snapToGrid w:val="0"/>
              <w:spacing w:line="360" w:lineRule="auto"/>
              <w:jc w:val="both"/>
              <w:rPr>
                <w:rFonts w:ascii="Book Antiqua" w:hAnsi="Book Antiqua" w:cs="Calibri"/>
                <w:lang w:eastAsia="zh-CN"/>
              </w:rPr>
            </w:pPr>
            <w:proofErr w:type="spellStart"/>
            <w:r>
              <w:rPr>
                <w:rFonts w:ascii="Book Antiqua" w:hAnsi="Book Antiqua" w:cs="Calibri"/>
                <w:lang w:eastAsia="zh-CN"/>
              </w:rPr>
              <w:lastRenderedPageBreak/>
              <w:t>Sartore</w:t>
            </w:r>
            <w:proofErr w:type="spellEnd"/>
            <w:r>
              <w:rPr>
                <w:rFonts w:ascii="Book Antiqua" w:hAnsi="Book Antiqua" w:cs="Calibri"/>
                <w:lang w:eastAsia="zh-CN"/>
              </w:rPr>
              <w:t xml:space="preserve">-Bianchi </w:t>
            </w:r>
            <w:r>
              <w:rPr>
                <w:rFonts w:ascii="Book Antiqua" w:hAnsi="Book Antiqua" w:cs="Calibri"/>
                <w:i/>
                <w:iCs/>
                <w:lang w:eastAsia="zh-CN"/>
              </w:rPr>
              <w:t>et al</w:t>
            </w:r>
            <w:r>
              <w:rPr>
                <w:rFonts w:ascii="Book Antiqua" w:hAnsi="Book Antiqua" w:cs="Calibri"/>
                <w:vertAlign w:val="superscript"/>
                <w:lang w:eastAsia="zh-CN"/>
              </w:rPr>
              <w:t>[60]</w:t>
            </w:r>
          </w:p>
        </w:tc>
        <w:tc>
          <w:tcPr>
            <w:tcW w:w="1725" w:type="dxa"/>
            <w:shd w:val="clear" w:color="auto" w:fill="auto"/>
            <w:tcMar>
              <w:top w:w="0" w:type="dxa"/>
              <w:left w:w="108" w:type="dxa"/>
              <w:bottom w:w="0" w:type="dxa"/>
              <w:right w:w="108" w:type="dxa"/>
            </w:tcMar>
          </w:tcPr>
          <w:p w14:paraId="41D9F27C" w14:textId="77777777" w:rsidR="00A31DCB"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Italy</w:t>
            </w:r>
          </w:p>
        </w:tc>
        <w:tc>
          <w:tcPr>
            <w:tcW w:w="1890" w:type="dxa"/>
            <w:shd w:val="clear" w:color="auto" w:fill="auto"/>
            <w:tcMar>
              <w:top w:w="0" w:type="dxa"/>
              <w:left w:w="108" w:type="dxa"/>
              <w:bottom w:w="0" w:type="dxa"/>
              <w:right w:w="108" w:type="dxa"/>
            </w:tcMar>
          </w:tcPr>
          <w:p w14:paraId="61384F72" w14:textId="77777777" w:rsidR="00A31DCB" w:rsidRDefault="00000000">
            <w:pPr>
              <w:adjustRightInd w:val="0"/>
              <w:snapToGrid w:val="0"/>
              <w:spacing w:line="360" w:lineRule="auto"/>
              <w:jc w:val="both"/>
              <w:rPr>
                <w:rFonts w:ascii="Book Antiqua" w:eastAsia="Times New Roman" w:hAnsi="Book Antiqua" w:cs="Calibri"/>
              </w:rPr>
            </w:pPr>
            <w:r>
              <w:rPr>
                <w:rFonts w:ascii="Book Antiqua" w:eastAsia="Times New Roman" w:hAnsi="Book Antiqua" w:cs="Calibri"/>
              </w:rPr>
              <w:t>Panitumumab (re-challenge)</w:t>
            </w:r>
          </w:p>
        </w:tc>
        <w:tc>
          <w:tcPr>
            <w:tcW w:w="1365" w:type="dxa"/>
            <w:shd w:val="clear" w:color="auto" w:fill="auto"/>
            <w:tcMar>
              <w:top w:w="0" w:type="dxa"/>
              <w:left w:w="108" w:type="dxa"/>
              <w:bottom w:w="0" w:type="dxa"/>
              <w:right w:w="108" w:type="dxa"/>
            </w:tcMar>
          </w:tcPr>
          <w:p w14:paraId="484CB56F" w14:textId="77777777" w:rsidR="00A31DCB" w:rsidRDefault="00000000">
            <w:pPr>
              <w:adjustRightInd w:val="0"/>
              <w:snapToGrid w:val="0"/>
              <w:spacing w:line="360" w:lineRule="auto"/>
              <w:jc w:val="both"/>
              <w:rPr>
                <w:rFonts w:ascii="Book Antiqua" w:eastAsia="Times New Roman" w:hAnsi="Book Antiqua" w:cs="Calibri"/>
              </w:rPr>
            </w:pPr>
            <w:r>
              <w:rPr>
                <w:rFonts w:ascii="Book Antiqua" w:eastAsia="Times New Roman" w:hAnsi="Book Antiqua" w:cs="Calibri"/>
              </w:rPr>
              <w:t>25</w:t>
            </w:r>
          </w:p>
        </w:tc>
        <w:tc>
          <w:tcPr>
            <w:tcW w:w="945" w:type="dxa"/>
            <w:shd w:val="clear" w:color="auto" w:fill="auto"/>
            <w:tcMar>
              <w:top w:w="0" w:type="dxa"/>
              <w:left w:w="108" w:type="dxa"/>
              <w:bottom w:w="0" w:type="dxa"/>
              <w:right w:w="108" w:type="dxa"/>
            </w:tcMar>
          </w:tcPr>
          <w:p w14:paraId="41D9482E" w14:textId="77777777" w:rsidR="00A31DCB" w:rsidRDefault="00000000">
            <w:pPr>
              <w:adjustRightInd w:val="0"/>
              <w:snapToGrid w:val="0"/>
              <w:spacing w:line="360" w:lineRule="auto"/>
              <w:jc w:val="both"/>
              <w:rPr>
                <w:rFonts w:ascii="Book Antiqua" w:eastAsia="Times New Roman" w:hAnsi="Book Antiqua" w:cs="Calibri"/>
              </w:rPr>
            </w:pPr>
            <w:r>
              <w:rPr>
                <w:rFonts w:ascii="Book Antiqua" w:eastAsia="Times New Roman" w:hAnsi="Book Antiqua" w:cs="Calibri"/>
              </w:rPr>
              <w:t>-</w:t>
            </w:r>
          </w:p>
        </w:tc>
        <w:tc>
          <w:tcPr>
            <w:tcW w:w="1110" w:type="dxa"/>
            <w:shd w:val="clear" w:color="auto" w:fill="auto"/>
            <w:tcMar>
              <w:top w:w="0" w:type="dxa"/>
              <w:left w:w="108" w:type="dxa"/>
              <w:bottom w:w="0" w:type="dxa"/>
              <w:right w:w="108" w:type="dxa"/>
            </w:tcMar>
          </w:tcPr>
          <w:p w14:paraId="47B2D2EB" w14:textId="77777777" w:rsidR="00A31DCB"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30</w:t>
            </w:r>
          </w:p>
        </w:tc>
        <w:tc>
          <w:tcPr>
            <w:tcW w:w="1500" w:type="dxa"/>
            <w:shd w:val="clear" w:color="auto" w:fill="auto"/>
            <w:tcMar>
              <w:top w:w="0" w:type="dxa"/>
              <w:left w:w="108" w:type="dxa"/>
              <w:bottom w:w="0" w:type="dxa"/>
              <w:right w:w="108" w:type="dxa"/>
            </w:tcMar>
          </w:tcPr>
          <w:p w14:paraId="325262C7" w14:textId="77777777" w:rsidR="00A31DCB"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13.7</w:t>
            </w:r>
          </w:p>
        </w:tc>
        <w:tc>
          <w:tcPr>
            <w:tcW w:w="1350" w:type="dxa"/>
            <w:shd w:val="clear" w:color="auto" w:fill="auto"/>
          </w:tcPr>
          <w:p w14:paraId="1DA44B3B" w14:textId="77777777" w:rsidR="00A31DCB"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4</w:t>
            </w:r>
          </w:p>
        </w:tc>
        <w:tc>
          <w:tcPr>
            <w:tcW w:w="3723" w:type="dxa"/>
            <w:shd w:val="clear" w:color="auto" w:fill="auto"/>
          </w:tcPr>
          <w:p w14:paraId="42E6CF3B" w14:textId="77777777" w:rsidR="00A31DCB"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Interventional liquid biopsies can be used efficiently and safely to guide anti-EGFR re-challenge treatment with panitumumab in patients with mCRC</w:t>
            </w:r>
          </w:p>
        </w:tc>
      </w:tr>
      <w:tr w:rsidR="00A31DCB" w14:paraId="230F4D76" w14:textId="77777777">
        <w:tc>
          <w:tcPr>
            <w:tcW w:w="1526" w:type="dxa"/>
            <w:shd w:val="clear" w:color="auto" w:fill="auto"/>
            <w:tcMar>
              <w:top w:w="0" w:type="dxa"/>
              <w:left w:w="108" w:type="dxa"/>
              <w:bottom w:w="0" w:type="dxa"/>
              <w:right w:w="108" w:type="dxa"/>
            </w:tcMar>
          </w:tcPr>
          <w:p w14:paraId="0778780E" w14:textId="77777777" w:rsidR="00A31DCB" w:rsidRDefault="00000000">
            <w:pPr>
              <w:adjustRightInd w:val="0"/>
              <w:snapToGrid w:val="0"/>
              <w:spacing w:line="360" w:lineRule="auto"/>
              <w:jc w:val="both"/>
              <w:rPr>
                <w:rFonts w:ascii="Book Antiqua" w:hAnsi="Book Antiqua" w:cs="Calibri"/>
                <w:lang w:eastAsia="zh-CN"/>
              </w:rPr>
            </w:pPr>
            <w:proofErr w:type="spellStart"/>
            <w:r>
              <w:rPr>
                <w:rFonts w:ascii="Book Antiqua" w:hAnsi="Book Antiqua" w:cs="Calibri"/>
                <w:lang w:eastAsia="zh-CN"/>
              </w:rPr>
              <w:t>Kopetz</w:t>
            </w:r>
            <w:proofErr w:type="spellEnd"/>
            <w:r>
              <w:rPr>
                <w:rFonts w:ascii="Book Antiqua" w:hAnsi="Book Antiqua" w:cs="Calibri"/>
                <w:lang w:eastAsia="zh-CN"/>
              </w:rPr>
              <w:t xml:space="preserve"> </w:t>
            </w:r>
            <w:r>
              <w:rPr>
                <w:rFonts w:ascii="Book Antiqua" w:hAnsi="Book Antiqua" w:cs="Calibri"/>
                <w:i/>
                <w:iCs/>
                <w:lang w:eastAsia="zh-CN"/>
              </w:rPr>
              <w:t>et al</w:t>
            </w:r>
            <w:r>
              <w:rPr>
                <w:rFonts w:ascii="Book Antiqua" w:hAnsi="Book Antiqua" w:cs="Calibri"/>
                <w:vertAlign w:val="superscript"/>
                <w:lang w:eastAsia="zh-CN"/>
              </w:rPr>
              <w:t>[63]</w:t>
            </w:r>
          </w:p>
        </w:tc>
        <w:tc>
          <w:tcPr>
            <w:tcW w:w="1725" w:type="dxa"/>
            <w:shd w:val="clear" w:color="auto" w:fill="auto"/>
            <w:tcMar>
              <w:top w:w="0" w:type="dxa"/>
              <w:left w:w="108" w:type="dxa"/>
              <w:bottom w:w="0" w:type="dxa"/>
              <w:right w:w="108" w:type="dxa"/>
            </w:tcMar>
          </w:tcPr>
          <w:p w14:paraId="33A2738C" w14:textId="77777777" w:rsidR="00A31DCB" w:rsidRDefault="00000000">
            <w:pPr>
              <w:adjustRightInd w:val="0"/>
              <w:snapToGrid w:val="0"/>
              <w:spacing w:line="360" w:lineRule="auto"/>
              <w:jc w:val="both"/>
              <w:rPr>
                <w:rFonts w:ascii="Book Antiqua" w:hAnsi="Book Antiqua" w:cs="Calibri"/>
                <w:lang w:eastAsia="zh-CN"/>
              </w:rPr>
            </w:pPr>
            <w:bookmarkStart w:id="9" w:name="_Hlk127437252"/>
            <w:r>
              <w:rPr>
                <w:rFonts w:ascii="Book Antiqua" w:hAnsi="Book Antiqua" w:cs="Calibri"/>
                <w:lang w:eastAsia="zh-CN"/>
              </w:rPr>
              <w:t xml:space="preserve">United States </w:t>
            </w:r>
          </w:p>
        </w:tc>
        <w:tc>
          <w:tcPr>
            <w:tcW w:w="1890" w:type="dxa"/>
            <w:shd w:val="clear" w:color="auto" w:fill="auto"/>
            <w:tcMar>
              <w:top w:w="0" w:type="dxa"/>
              <w:left w:w="108" w:type="dxa"/>
              <w:bottom w:w="0" w:type="dxa"/>
              <w:right w:w="108" w:type="dxa"/>
            </w:tcMar>
          </w:tcPr>
          <w:p w14:paraId="7A37A01E" w14:textId="77777777" w:rsidR="00A31DCB" w:rsidRDefault="00000000">
            <w:pPr>
              <w:adjustRightInd w:val="0"/>
              <w:snapToGrid w:val="0"/>
              <w:spacing w:line="360" w:lineRule="auto"/>
              <w:jc w:val="both"/>
              <w:rPr>
                <w:rFonts w:ascii="Book Antiqua" w:eastAsia="Times New Roman" w:hAnsi="Book Antiqua" w:cs="Calibri"/>
              </w:rPr>
            </w:pPr>
            <w:r>
              <w:rPr>
                <w:rFonts w:ascii="Book Antiqua" w:eastAsia="Times New Roman" w:hAnsi="Book Antiqua" w:cs="Calibri"/>
              </w:rPr>
              <w:t>Irinotecan cetuximab</w:t>
            </w:r>
            <w:bookmarkEnd w:id="9"/>
            <w:r>
              <w:rPr>
                <w:rFonts w:ascii="Book Antiqua" w:hAnsi="Book Antiqua" w:cs="Calibri"/>
                <w:lang w:eastAsia="zh-CN"/>
              </w:rPr>
              <w:t xml:space="preserve"> </w:t>
            </w:r>
            <w:r>
              <w:rPr>
                <w:rFonts w:ascii="Book Antiqua" w:eastAsia="Times New Roman" w:hAnsi="Book Antiqua" w:cs="Calibri"/>
              </w:rPr>
              <w:t>or</w:t>
            </w:r>
            <w:bookmarkStart w:id="10" w:name="_Hlk127437308"/>
            <w:r>
              <w:rPr>
                <w:rFonts w:ascii="Book Antiqua" w:hAnsi="Book Antiqua" w:cs="Calibri"/>
                <w:lang w:eastAsia="zh-CN"/>
              </w:rPr>
              <w:t xml:space="preserve"> </w:t>
            </w:r>
            <w:r>
              <w:rPr>
                <w:rFonts w:ascii="Book Antiqua" w:eastAsia="Times New Roman" w:hAnsi="Book Antiqua" w:cs="Calibri"/>
              </w:rPr>
              <w:t>irinotecan cetuximab</w:t>
            </w:r>
            <w:r>
              <w:rPr>
                <w:rFonts w:ascii="Book Antiqua" w:hAnsi="Book Antiqua" w:cs="Calibri"/>
                <w:lang w:eastAsia="zh-CN"/>
              </w:rPr>
              <w:t xml:space="preserve"> </w:t>
            </w:r>
            <w:r>
              <w:rPr>
                <w:rFonts w:ascii="Book Antiqua" w:eastAsia="Times New Roman" w:hAnsi="Book Antiqua" w:cs="Calibri"/>
              </w:rPr>
              <w:t>plus</w:t>
            </w:r>
            <w:r>
              <w:rPr>
                <w:rFonts w:ascii="Book Antiqua" w:hAnsi="Book Antiqua" w:cs="Calibri"/>
                <w:lang w:eastAsia="zh-CN"/>
              </w:rPr>
              <w:t xml:space="preserve"> </w:t>
            </w:r>
            <w:r>
              <w:rPr>
                <w:rFonts w:ascii="Book Antiqua" w:eastAsia="Times New Roman" w:hAnsi="Book Antiqua" w:cs="Calibri"/>
              </w:rPr>
              <w:t>vemurafenib</w:t>
            </w:r>
            <w:bookmarkEnd w:id="10"/>
          </w:p>
        </w:tc>
        <w:tc>
          <w:tcPr>
            <w:tcW w:w="1365" w:type="dxa"/>
            <w:shd w:val="clear" w:color="auto" w:fill="auto"/>
            <w:tcMar>
              <w:top w:w="0" w:type="dxa"/>
              <w:left w:w="108" w:type="dxa"/>
              <w:bottom w:w="0" w:type="dxa"/>
              <w:right w:w="108" w:type="dxa"/>
            </w:tcMar>
          </w:tcPr>
          <w:p w14:paraId="43068C12" w14:textId="77777777" w:rsidR="00A31DCB" w:rsidRDefault="00000000">
            <w:pPr>
              <w:adjustRightInd w:val="0"/>
              <w:snapToGrid w:val="0"/>
              <w:spacing w:line="360" w:lineRule="auto"/>
              <w:jc w:val="both"/>
              <w:rPr>
                <w:rFonts w:ascii="Book Antiqua" w:eastAsia="Times New Roman" w:hAnsi="Book Antiqua" w:cs="Calibri"/>
              </w:rPr>
            </w:pPr>
            <w:r>
              <w:rPr>
                <w:rFonts w:ascii="Book Antiqua" w:eastAsia="Times New Roman" w:hAnsi="Book Antiqua" w:cs="Calibri"/>
              </w:rPr>
              <w:t>50/50</w:t>
            </w:r>
            <w:r>
              <w:rPr>
                <w:rFonts w:ascii="Book Antiqua" w:hAnsi="Book Antiqua" w:cs="Calibri" w:hint="eastAsia"/>
                <w:lang w:eastAsia="zh-CN"/>
              </w:rPr>
              <w:t xml:space="preserve"> </w:t>
            </w:r>
            <w:r>
              <w:rPr>
                <w:rFonts w:ascii="Book Antiqua" w:eastAsia="Times New Roman" w:hAnsi="Book Antiqua" w:cs="Calibri"/>
              </w:rPr>
              <w:t>(IC/ICV)</w:t>
            </w:r>
          </w:p>
        </w:tc>
        <w:tc>
          <w:tcPr>
            <w:tcW w:w="945" w:type="dxa"/>
            <w:shd w:val="clear" w:color="auto" w:fill="auto"/>
            <w:tcMar>
              <w:top w:w="0" w:type="dxa"/>
              <w:left w:w="108" w:type="dxa"/>
              <w:bottom w:w="0" w:type="dxa"/>
              <w:right w:w="108" w:type="dxa"/>
            </w:tcMar>
          </w:tcPr>
          <w:p w14:paraId="6D385B0A" w14:textId="77777777" w:rsidR="00A31DCB" w:rsidRDefault="00000000">
            <w:pPr>
              <w:adjustRightInd w:val="0"/>
              <w:snapToGrid w:val="0"/>
              <w:spacing w:line="360" w:lineRule="auto"/>
              <w:jc w:val="both"/>
              <w:rPr>
                <w:rFonts w:ascii="Book Antiqua" w:eastAsia="Times New Roman" w:hAnsi="Book Antiqua" w:cs="Calibri"/>
              </w:rPr>
            </w:pPr>
            <w:r>
              <w:rPr>
                <w:rFonts w:ascii="Book Antiqua" w:eastAsia="Times New Roman" w:hAnsi="Book Antiqua" w:cs="Calibri"/>
              </w:rPr>
              <w:t>-</w:t>
            </w:r>
          </w:p>
        </w:tc>
        <w:tc>
          <w:tcPr>
            <w:tcW w:w="1110" w:type="dxa"/>
            <w:shd w:val="clear" w:color="auto" w:fill="auto"/>
            <w:tcMar>
              <w:top w:w="0" w:type="dxa"/>
              <w:left w:w="108" w:type="dxa"/>
              <w:bottom w:w="0" w:type="dxa"/>
              <w:right w:w="108" w:type="dxa"/>
            </w:tcMar>
          </w:tcPr>
          <w:p w14:paraId="260979EF" w14:textId="77777777" w:rsidR="00A31DCB"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w:t>
            </w:r>
          </w:p>
        </w:tc>
        <w:tc>
          <w:tcPr>
            <w:tcW w:w="1500" w:type="dxa"/>
            <w:shd w:val="clear" w:color="auto" w:fill="auto"/>
            <w:tcMar>
              <w:top w:w="0" w:type="dxa"/>
              <w:left w:w="108" w:type="dxa"/>
              <w:bottom w:w="0" w:type="dxa"/>
              <w:right w:w="108" w:type="dxa"/>
            </w:tcMar>
          </w:tcPr>
          <w:p w14:paraId="54977D7F" w14:textId="77777777" w:rsidR="00A31DCB"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12/12</w:t>
            </w:r>
            <w:r>
              <w:rPr>
                <w:rFonts w:ascii="Book Antiqua" w:hAnsi="Book Antiqua" w:cs="Calibri" w:hint="eastAsia"/>
                <w:lang w:eastAsia="zh-CN"/>
              </w:rPr>
              <w:t xml:space="preserve"> </w:t>
            </w:r>
            <w:r>
              <w:rPr>
                <w:rFonts w:ascii="Book Antiqua" w:hAnsi="Book Antiqua" w:cs="Calibri"/>
                <w:lang w:eastAsia="zh-CN"/>
              </w:rPr>
              <w:t>(IC/ICV)</w:t>
            </w:r>
          </w:p>
        </w:tc>
        <w:tc>
          <w:tcPr>
            <w:tcW w:w="1350" w:type="dxa"/>
            <w:shd w:val="clear" w:color="auto" w:fill="auto"/>
          </w:tcPr>
          <w:p w14:paraId="52B64967" w14:textId="77777777" w:rsidR="00A31DCB"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2.0/4.2</w:t>
            </w:r>
            <w:r>
              <w:rPr>
                <w:rFonts w:ascii="Book Antiqua" w:hAnsi="Book Antiqua" w:cs="Calibri" w:hint="eastAsia"/>
                <w:lang w:eastAsia="zh-CN"/>
              </w:rPr>
              <w:t xml:space="preserve"> </w:t>
            </w:r>
            <w:r>
              <w:rPr>
                <w:rFonts w:ascii="Book Antiqua" w:hAnsi="Book Antiqua" w:cs="Calibri"/>
                <w:lang w:eastAsia="zh-CN"/>
              </w:rPr>
              <w:t>(IC/ICV)</w:t>
            </w:r>
          </w:p>
        </w:tc>
        <w:tc>
          <w:tcPr>
            <w:tcW w:w="3723" w:type="dxa"/>
            <w:shd w:val="clear" w:color="auto" w:fill="auto"/>
          </w:tcPr>
          <w:p w14:paraId="362ACD35" w14:textId="77777777" w:rsidR="00A31DCB"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Vemurafenib in combination with cetuximab and irinotecan is an active combination that increases PFS. This is a well-planned research based on a solid grasp of the mechanisms of adaptive resistance in mCRC</w:t>
            </w:r>
          </w:p>
        </w:tc>
      </w:tr>
      <w:tr w:rsidR="00A31DCB" w14:paraId="7C7F2DAF" w14:textId="77777777">
        <w:tc>
          <w:tcPr>
            <w:tcW w:w="1526" w:type="dxa"/>
            <w:shd w:val="clear" w:color="auto" w:fill="auto"/>
            <w:tcMar>
              <w:top w:w="0" w:type="dxa"/>
              <w:left w:w="108" w:type="dxa"/>
              <w:bottom w:w="0" w:type="dxa"/>
              <w:right w:w="108" w:type="dxa"/>
            </w:tcMar>
          </w:tcPr>
          <w:p w14:paraId="1D1B6E3A" w14:textId="77777777" w:rsidR="00A31DCB" w:rsidRDefault="00000000">
            <w:pPr>
              <w:adjustRightInd w:val="0"/>
              <w:snapToGrid w:val="0"/>
              <w:spacing w:line="360" w:lineRule="auto"/>
              <w:jc w:val="both"/>
              <w:rPr>
                <w:rFonts w:ascii="Book Antiqua" w:hAnsi="Book Antiqua" w:cs="Calibri"/>
                <w:lang w:eastAsia="zh-CN"/>
              </w:rPr>
            </w:pPr>
            <w:proofErr w:type="spellStart"/>
            <w:r>
              <w:rPr>
                <w:rFonts w:ascii="Book Antiqua" w:hAnsi="Book Antiqua" w:cs="Calibri"/>
                <w:lang w:eastAsia="zh-CN"/>
              </w:rPr>
              <w:t>Tabernero</w:t>
            </w:r>
            <w:proofErr w:type="spellEnd"/>
            <w:r>
              <w:rPr>
                <w:rFonts w:ascii="Book Antiqua" w:hAnsi="Book Antiqua" w:cs="Calibri"/>
                <w:lang w:eastAsia="zh-CN"/>
              </w:rPr>
              <w:t xml:space="preserve"> </w:t>
            </w:r>
            <w:r>
              <w:rPr>
                <w:rFonts w:ascii="Book Antiqua" w:hAnsi="Book Antiqua" w:cs="Calibri"/>
                <w:i/>
                <w:iCs/>
                <w:lang w:eastAsia="zh-CN"/>
              </w:rPr>
              <w:t>et al</w:t>
            </w:r>
            <w:r>
              <w:rPr>
                <w:rFonts w:ascii="Book Antiqua" w:hAnsi="Book Antiqua" w:cs="Calibri"/>
                <w:vertAlign w:val="superscript"/>
                <w:lang w:eastAsia="zh-CN"/>
              </w:rPr>
              <w:t>[64]</w:t>
            </w:r>
          </w:p>
        </w:tc>
        <w:tc>
          <w:tcPr>
            <w:tcW w:w="1725" w:type="dxa"/>
            <w:shd w:val="clear" w:color="auto" w:fill="auto"/>
            <w:tcMar>
              <w:top w:w="0" w:type="dxa"/>
              <w:left w:w="108" w:type="dxa"/>
              <w:bottom w:w="0" w:type="dxa"/>
              <w:right w:w="108" w:type="dxa"/>
            </w:tcMar>
          </w:tcPr>
          <w:p w14:paraId="4060700D" w14:textId="77777777" w:rsidR="00A31DCB" w:rsidRDefault="00000000">
            <w:pPr>
              <w:adjustRightInd w:val="0"/>
              <w:snapToGrid w:val="0"/>
              <w:spacing w:line="360" w:lineRule="auto"/>
              <w:jc w:val="both"/>
              <w:rPr>
                <w:rFonts w:ascii="Book Antiqua" w:hAnsi="Book Antiqua" w:cs="Calibri"/>
                <w:lang w:eastAsia="zh-CN"/>
              </w:rPr>
            </w:pPr>
            <w:bookmarkStart w:id="11" w:name="_Hlk127437066"/>
            <w:r>
              <w:rPr>
                <w:rFonts w:ascii="Book Antiqua" w:hAnsi="Book Antiqua" w:cs="Calibri"/>
                <w:lang w:eastAsia="zh-CN"/>
              </w:rPr>
              <w:t xml:space="preserve">United States, France, Italy, Spain, United Kingdom, </w:t>
            </w:r>
            <w:r>
              <w:rPr>
                <w:rFonts w:ascii="Book Antiqua" w:hAnsi="Book Antiqua" w:cs="Calibri"/>
                <w:lang w:eastAsia="zh-CN"/>
              </w:rPr>
              <w:lastRenderedPageBreak/>
              <w:t>Germany, Australia, Hong Kong, Norway, Switzerland, Japan, South Korea, and the Netherlands</w:t>
            </w:r>
          </w:p>
        </w:tc>
        <w:tc>
          <w:tcPr>
            <w:tcW w:w="1890" w:type="dxa"/>
            <w:shd w:val="clear" w:color="auto" w:fill="auto"/>
            <w:tcMar>
              <w:top w:w="0" w:type="dxa"/>
              <w:left w:w="108" w:type="dxa"/>
              <w:bottom w:w="0" w:type="dxa"/>
              <w:right w:w="108" w:type="dxa"/>
            </w:tcMar>
          </w:tcPr>
          <w:p w14:paraId="4EB7796A" w14:textId="77777777" w:rsidR="00A31DCB" w:rsidRDefault="00000000">
            <w:pPr>
              <w:adjustRightInd w:val="0"/>
              <w:snapToGrid w:val="0"/>
              <w:spacing w:line="360" w:lineRule="auto"/>
              <w:jc w:val="both"/>
              <w:rPr>
                <w:rFonts w:ascii="Book Antiqua" w:eastAsia="Times New Roman" w:hAnsi="Book Antiqua" w:cs="Calibri"/>
              </w:rPr>
            </w:pPr>
            <w:proofErr w:type="spellStart"/>
            <w:r>
              <w:rPr>
                <w:rFonts w:ascii="Book Antiqua" w:eastAsia="Times New Roman" w:hAnsi="Book Antiqua" w:cs="Calibri"/>
              </w:rPr>
              <w:lastRenderedPageBreak/>
              <w:t>Encorafenib</w:t>
            </w:r>
            <w:proofErr w:type="spellEnd"/>
            <w:r>
              <w:rPr>
                <w:rFonts w:ascii="Book Antiqua" w:eastAsia="Times New Roman" w:hAnsi="Book Antiqua" w:cs="Calibri"/>
              </w:rPr>
              <w:t xml:space="preserve"> cetuximab </w:t>
            </w:r>
            <w:proofErr w:type="spellStart"/>
            <w:r>
              <w:rPr>
                <w:rFonts w:ascii="Book Antiqua" w:eastAsia="Times New Roman" w:hAnsi="Book Antiqua" w:cs="Calibri"/>
              </w:rPr>
              <w:t>binimetinib</w:t>
            </w:r>
            <w:bookmarkEnd w:id="11"/>
            <w:proofErr w:type="spellEnd"/>
            <w:r>
              <w:rPr>
                <w:rFonts w:ascii="Book Antiqua" w:hAnsi="Book Antiqua" w:cs="Calibri"/>
                <w:lang w:eastAsia="zh-CN"/>
              </w:rPr>
              <w:t xml:space="preserve"> </w:t>
            </w:r>
            <w:r>
              <w:rPr>
                <w:rFonts w:ascii="Book Antiqua" w:eastAsia="Times New Roman" w:hAnsi="Book Antiqua" w:cs="Calibri"/>
              </w:rPr>
              <w:t>or</w:t>
            </w:r>
            <w:bookmarkStart w:id="12" w:name="_Hlk127437025"/>
            <w:r>
              <w:rPr>
                <w:rFonts w:ascii="Book Antiqua" w:hAnsi="Book Antiqua" w:cs="Calibri"/>
                <w:lang w:eastAsia="zh-CN"/>
              </w:rPr>
              <w:t xml:space="preserve"> </w:t>
            </w:r>
            <w:proofErr w:type="spellStart"/>
            <w:r>
              <w:rPr>
                <w:rFonts w:ascii="Book Antiqua" w:eastAsia="Times New Roman" w:hAnsi="Book Antiqua" w:cs="Calibri"/>
              </w:rPr>
              <w:t>encorafenib</w:t>
            </w:r>
            <w:proofErr w:type="spellEnd"/>
            <w:r>
              <w:rPr>
                <w:rFonts w:ascii="Book Antiqua" w:eastAsia="Times New Roman" w:hAnsi="Book Antiqua" w:cs="Calibri"/>
              </w:rPr>
              <w:t xml:space="preserve"> </w:t>
            </w:r>
            <w:r>
              <w:rPr>
                <w:rFonts w:ascii="Book Antiqua" w:eastAsia="Times New Roman" w:hAnsi="Book Antiqua" w:cs="Calibri"/>
              </w:rPr>
              <w:lastRenderedPageBreak/>
              <w:t>cetuximab</w:t>
            </w:r>
            <w:bookmarkEnd w:id="12"/>
            <w:r>
              <w:rPr>
                <w:rFonts w:ascii="Book Antiqua" w:eastAsia="Times New Roman" w:hAnsi="Book Antiqua" w:cs="Calibri"/>
              </w:rPr>
              <w:t xml:space="preserve"> or FOLFIRI cetuximab</w:t>
            </w:r>
          </w:p>
        </w:tc>
        <w:tc>
          <w:tcPr>
            <w:tcW w:w="1365" w:type="dxa"/>
            <w:shd w:val="clear" w:color="auto" w:fill="auto"/>
            <w:tcMar>
              <w:top w:w="0" w:type="dxa"/>
              <w:left w:w="108" w:type="dxa"/>
              <w:bottom w:w="0" w:type="dxa"/>
              <w:right w:w="108" w:type="dxa"/>
            </w:tcMar>
          </w:tcPr>
          <w:p w14:paraId="6FB9B76A" w14:textId="77777777" w:rsidR="00A31DCB" w:rsidRDefault="00000000">
            <w:pPr>
              <w:adjustRightInd w:val="0"/>
              <w:snapToGrid w:val="0"/>
              <w:spacing w:line="360" w:lineRule="auto"/>
              <w:jc w:val="both"/>
              <w:rPr>
                <w:rFonts w:ascii="Book Antiqua" w:eastAsia="Times New Roman" w:hAnsi="Book Antiqua" w:cs="Calibri"/>
              </w:rPr>
            </w:pPr>
            <w:r>
              <w:rPr>
                <w:rFonts w:ascii="Book Antiqua" w:eastAsia="Times New Roman" w:hAnsi="Book Antiqua" w:cs="Calibri"/>
              </w:rPr>
              <w:lastRenderedPageBreak/>
              <w:t>224/220/221</w:t>
            </w:r>
            <w:r>
              <w:rPr>
                <w:rFonts w:ascii="Book Antiqua" w:hAnsi="Book Antiqua" w:cs="Calibri" w:hint="eastAsia"/>
                <w:lang w:eastAsia="zh-CN"/>
              </w:rPr>
              <w:t xml:space="preserve"> </w:t>
            </w:r>
            <w:r>
              <w:rPr>
                <w:rFonts w:ascii="Book Antiqua" w:eastAsia="Times New Roman" w:hAnsi="Book Antiqua" w:cs="Calibri"/>
              </w:rPr>
              <w:t>(3D/2D/CD)</w:t>
            </w:r>
          </w:p>
        </w:tc>
        <w:tc>
          <w:tcPr>
            <w:tcW w:w="945" w:type="dxa"/>
            <w:shd w:val="clear" w:color="auto" w:fill="auto"/>
            <w:tcMar>
              <w:top w:w="0" w:type="dxa"/>
              <w:left w:w="108" w:type="dxa"/>
              <w:bottom w:w="0" w:type="dxa"/>
              <w:right w:w="108" w:type="dxa"/>
            </w:tcMar>
          </w:tcPr>
          <w:p w14:paraId="42BE4A87" w14:textId="77777777" w:rsidR="00A31DCB" w:rsidRDefault="00000000">
            <w:pPr>
              <w:adjustRightInd w:val="0"/>
              <w:snapToGrid w:val="0"/>
              <w:spacing w:line="360" w:lineRule="auto"/>
              <w:jc w:val="both"/>
              <w:rPr>
                <w:rFonts w:ascii="Book Antiqua" w:eastAsia="Times New Roman" w:hAnsi="Book Antiqua" w:cs="Calibri"/>
              </w:rPr>
            </w:pPr>
            <w:r>
              <w:rPr>
                <w:rFonts w:ascii="Book Antiqua" w:eastAsia="Times New Roman" w:hAnsi="Book Antiqua" w:cs="Calibri"/>
              </w:rPr>
              <w:t>3</w:t>
            </w:r>
          </w:p>
        </w:tc>
        <w:tc>
          <w:tcPr>
            <w:tcW w:w="1110" w:type="dxa"/>
            <w:shd w:val="clear" w:color="auto" w:fill="auto"/>
            <w:tcMar>
              <w:top w:w="0" w:type="dxa"/>
              <w:left w:w="108" w:type="dxa"/>
              <w:bottom w:w="0" w:type="dxa"/>
              <w:right w:w="108" w:type="dxa"/>
            </w:tcMar>
          </w:tcPr>
          <w:p w14:paraId="193E01F9" w14:textId="77777777" w:rsidR="00A31DCB"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26.8/19.5/1.8</w:t>
            </w:r>
            <w:r>
              <w:rPr>
                <w:rFonts w:ascii="Book Antiqua" w:hAnsi="Book Antiqua" w:cs="Calibri" w:hint="eastAsia"/>
                <w:lang w:eastAsia="zh-CN"/>
              </w:rPr>
              <w:t xml:space="preserve"> </w:t>
            </w:r>
            <w:r>
              <w:rPr>
                <w:rFonts w:ascii="Book Antiqua" w:eastAsia="Times New Roman" w:hAnsi="Book Antiqua" w:cs="Calibri"/>
              </w:rPr>
              <w:t>(3D/2D/CD)</w:t>
            </w:r>
          </w:p>
        </w:tc>
        <w:tc>
          <w:tcPr>
            <w:tcW w:w="1500" w:type="dxa"/>
            <w:shd w:val="clear" w:color="auto" w:fill="auto"/>
            <w:tcMar>
              <w:top w:w="0" w:type="dxa"/>
              <w:left w:w="108" w:type="dxa"/>
              <w:bottom w:w="0" w:type="dxa"/>
              <w:right w:w="108" w:type="dxa"/>
            </w:tcMar>
          </w:tcPr>
          <w:p w14:paraId="7ADE7AA1" w14:textId="77777777" w:rsidR="00A31DCB"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9.3/9.3/5.9</w:t>
            </w:r>
            <w:r>
              <w:rPr>
                <w:rFonts w:ascii="Book Antiqua" w:hAnsi="Book Antiqua" w:cs="Calibri" w:hint="eastAsia"/>
                <w:lang w:eastAsia="zh-CN"/>
              </w:rPr>
              <w:t xml:space="preserve"> </w:t>
            </w:r>
            <w:r>
              <w:rPr>
                <w:rFonts w:ascii="Book Antiqua" w:eastAsia="Times New Roman" w:hAnsi="Book Antiqua" w:cs="Calibri"/>
              </w:rPr>
              <w:t>(3D/2D/CD)</w:t>
            </w:r>
          </w:p>
        </w:tc>
        <w:tc>
          <w:tcPr>
            <w:tcW w:w="1350" w:type="dxa"/>
            <w:shd w:val="clear" w:color="auto" w:fill="auto"/>
          </w:tcPr>
          <w:p w14:paraId="44137623" w14:textId="77777777" w:rsidR="00A31DCB"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w:t>
            </w:r>
          </w:p>
        </w:tc>
        <w:tc>
          <w:tcPr>
            <w:tcW w:w="3723" w:type="dxa"/>
            <w:shd w:val="clear" w:color="auto" w:fill="auto"/>
          </w:tcPr>
          <w:p w14:paraId="39A7FC19" w14:textId="77777777" w:rsidR="00A31DCB"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 xml:space="preserve">When compared to conventional chemotherapy, </w:t>
            </w:r>
            <w:proofErr w:type="spellStart"/>
            <w:r>
              <w:rPr>
                <w:rFonts w:ascii="Book Antiqua" w:hAnsi="Book Antiqua" w:cs="Calibri"/>
                <w:lang w:eastAsia="zh-CN"/>
              </w:rPr>
              <w:t>encorafenib</w:t>
            </w:r>
            <w:proofErr w:type="spellEnd"/>
            <w:r>
              <w:rPr>
                <w:rFonts w:ascii="Book Antiqua" w:hAnsi="Book Antiqua" w:cs="Calibri"/>
                <w:lang w:eastAsia="zh-CN"/>
              </w:rPr>
              <w:t xml:space="preserve"> plus cetuximab improved OS, ORR, and progression-free survival in </w:t>
            </w:r>
            <w:r>
              <w:rPr>
                <w:rFonts w:ascii="Book Antiqua" w:hAnsi="Book Antiqua" w:cs="Calibri"/>
                <w:lang w:eastAsia="zh-CN"/>
              </w:rPr>
              <w:lastRenderedPageBreak/>
              <w:t xml:space="preserve">previously treated patients with metastatic disease. </w:t>
            </w:r>
            <w:proofErr w:type="spellStart"/>
            <w:r>
              <w:rPr>
                <w:rFonts w:ascii="Book Antiqua" w:hAnsi="Book Antiqua" w:cs="Calibri"/>
                <w:lang w:eastAsia="zh-CN"/>
              </w:rPr>
              <w:t>Encorafenib</w:t>
            </w:r>
            <w:proofErr w:type="spellEnd"/>
            <w:r>
              <w:rPr>
                <w:rFonts w:ascii="Book Antiqua" w:hAnsi="Book Antiqua" w:cs="Calibri"/>
                <w:lang w:eastAsia="zh-CN"/>
              </w:rPr>
              <w:t xml:space="preserve"> with cetuximab is a new standard-of-care regimen for previously treated patients with BRAF V600E mCRC, according to main and revised studies</w:t>
            </w:r>
          </w:p>
        </w:tc>
      </w:tr>
      <w:tr w:rsidR="00A31DCB" w14:paraId="126C4381" w14:textId="77777777">
        <w:tc>
          <w:tcPr>
            <w:tcW w:w="1526" w:type="dxa"/>
            <w:shd w:val="clear" w:color="auto" w:fill="auto"/>
            <w:tcMar>
              <w:top w:w="0" w:type="dxa"/>
              <w:left w:w="108" w:type="dxa"/>
              <w:bottom w:w="0" w:type="dxa"/>
              <w:right w:w="108" w:type="dxa"/>
            </w:tcMar>
          </w:tcPr>
          <w:p w14:paraId="36089447" w14:textId="77777777" w:rsidR="00A31DCB"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lastRenderedPageBreak/>
              <w:t xml:space="preserve">Siena </w:t>
            </w:r>
            <w:r>
              <w:rPr>
                <w:rFonts w:ascii="Book Antiqua" w:hAnsi="Book Antiqua" w:cs="Calibri"/>
                <w:i/>
                <w:iCs/>
                <w:lang w:eastAsia="zh-CN"/>
              </w:rPr>
              <w:t>et al</w:t>
            </w:r>
            <w:r>
              <w:rPr>
                <w:rFonts w:ascii="Book Antiqua" w:hAnsi="Book Antiqua" w:cs="Calibri"/>
                <w:vertAlign w:val="superscript"/>
                <w:lang w:eastAsia="zh-CN"/>
              </w:rPr>
              <w:t>[68]</w:t>
            </w:r>
          </w:p>
        </w:tc>
        <w:tc>
          <w:tcPr>
            <w:tcW w:w="1725" w:type="dxa"/>
            <w:shd w:val="clear" w:color="auto" w:fill="auto"/>
            <w:tcMar>
              <w:top w:w="0" w:type="dxa"/>
              <w:left w:w="108" w:type="dxa"/>
              <w:bottom w:w="0" w:type="dxa"/>
              <w:right w:w="108" w:type="dxa"/>
            </w:tcMar>
          </w:tcPr>
          <w:p w14:paraId="022D2B75" w14:textId="77777777" w:rsidR="00A31DCB"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United States, Italy, United Kingdom, Spain, and Japan</w:t>
            </w:r>
          </w:p>
        </w:tc>
        <w:tc>
          <w:tcPr>
            <w:tcW w:w="1890" w:type="dxa"/>
            <w:shd w:val="clear" w:color="auto" w:fill="auto"/>
            <w:tcMar>
              <w:top w:w="0" w:type="dxa"/>
              <w:left w:w="108" w:type="dxa"/>
              <w:bottom w:w="0" w:type="dxa"/>
              <w:right w:w="108" w:type="dxa"/>
            </w:tcMar>
          </w:tcPr>
          <w:p w14:paraId="19E8DBCE" w14:textId="77777777" w:rsidR="00A31DCB" w:rsidRDefault="00000000">
            <w:pPr>
              <w:adjustRightInd w:val="0"/>
              <w:snapToGrid w:val="0"/>
              <w:spacing w:line="360" w:lineRule="auto"/>
              <w:jc w:val="both"/>
              <w:rPr>
                <w:rFonts w:ascii="Book Antiqua" w:eastAsia="Times New Roman" w:hAnsi="Book Antiqua" w:cs="Calibri"/>
              </w:rPr>
            </w:pPr>
            <w:r>
              <w:rPr>
                <w:rFonts w:ascii="Book Antiqua" w:eastAsia="Times New Roman" w:hAnsi="Book Antiqua" w:cs="Calibri"/>
              </w:rPr>
              <w:t xml:space="preserve">Trastuzumab </w:t>
            </w:r>
            <w:proofErr w:type="spellStart"/>
            <w:r>
              <w:rPr>
                <w:rFonts w:ascii="Book Antiqua" w:eastAsia="Times New Roman" w:hAnsi="Book Antiqua" w:cs="Calibri"/>
              </w:rPr>
              <w:t>deruxtecan</w:t>
            </w:r>
            <w:proofErr w:type="spellEnd"/>
            <w:r>
              <w:rPr>
                <w:rFonts w:ascii="Book Antiqua" w:eastAsia="Times New Roman" w:hAnsi="Book Antiqua" w:cs="Calibri"/>
              </w:rPr>
              <w:t xml:space="preserve"> (DS-8201)</w:t>
            </w:r>
          </w:p>
        </w:tc>
        <w:tc>
          <w:tcPr>
            <w:tcW w:w="1365" w:type="dxa"/>
            <w:shd w:val="clear" w:color="auto" w:fill="auto"/>
            <w:tcMar>
              <w:top w:w="0" w:type="dxa"/>
              <w:left w:w="108" w:type="dxa"/>
              <w:bottom w:w="0" w:type="dxa"/>
              <w:right w:w="108" w:type="dxa"/>
            </w:tcMar>
          </w:tcPr>
          <w:p w14:paraId="15453F70" w14:textId="77777777" w:rsidR="00A31DCB" w:rsidRDefault="00000000">
            <w:pPr>
              <w:adjustRightInd w:val="0"/>
              <w:snapToGrid w:val="0"/>
              <w:spacing w:line="360" w:lineRule="auto"/>
              <w:jc w:val="both"/>
              <w:rPr>
                <w:rFonts w:ascii="Book Antiqua" w:eastAsia="Times New Roman" w:hAnsi="Book Antiqua" w:cs="Calibri"/>
              </w:rPr>
            </w:pPr>
            <w:r>
              <w:rPr>
                <w:rFonts w:ascii="Book Antiqua" w:eastAsia="Times New Roman" w:hAnsi="Book Antiqua" w:cs="Calibri"/>
              </w:rPr>
              <w:t>53/7/18</w:t>
            </w:r>
            <w:r>
              <w:rPr>
                <w:rFonts w:ascii="Book Antiqua" w:hAnsi="Book Antiqua" w:cs="Calibri" w:hint="eastAsia"/>
                <w:lang w:eastAsia="zh-CN"/>
              </w:rPr>
              <w:t xml:space="preserve"> </w:t>
            </w:r>
            <w:r>
              <w:rPr>
                <w:rFonts w:ascii="Book Antiqua" w:eastAsia="Times New Roman" w:hAnsi="Book Antiqua" w:cs="Calibri"/>
              </w:rPr>
              <w:t>(A/B/C)</w:t>
            </w:r>
          </w:p>
        </w:tc>
        <w:tc>
          <w:tcPr>
            <w:tcW w:w="945" w:type="dxa"/>
            <w:shd w:val="clear" w:color="auto" w:fill="auto"/>
            <w:tcMar>
              <w:top w:w="0" w:type="dxa"/>
              <w:left w:w="108" w:type="dxa"/>
              <w:bottom w:w="0" w:type="dxa"/>
              <w:right w:w="108" w:type="dxa"/>
            </w:tcMar>
          </w:tcPr>
          <w:p w14:paraId="1C9F6EC0" w14:textId="77777777" w:rsidR="00A31DCB" w:rsidRDefault="00000000">
            <w:pPr>
              <w:adjustRightInd w:val="0"/>
              <w:snapToGrid w:val="0"/>
              <w:spacing w:line="360" w:lineRule="auto"/>
              <w:jc w:val="both"/>
              <w:rPr>
                <w:rFonts w:ascii="Book Antiqua" w:eastAsia="Times New Roman" w:hAnsi="Book Antiqua" w:cs="Calibri"/>
              </w:rPr>
            </w:pPr>
            <w:r>
              <w:rPr>
                <w:rFonts w:ascii="Book Antiqua" w:eastAsia="Times New Roman" w:hAnsi="Book Antiqua" w:cs="Calibri"/>
              </w:rPr>
              <w:t>2</w:t>
            </w:r>
          </w:p>
        </w:tc>
        <w:tc>
          <w:tcPr>
            <w:tcW w:w="1110" w:type="dxa"/>
            <w:shd w:val="clear" w:color="auto" w:fill="auto"/>
            <w:tcMar>
              <w:top w:w="0" w:type="dxa"/>
              <w:left w:w="108" w:type="dxa"/>
              <w:bottom w:w="0" w:type="dxa"/>
              <w:right w:w="108" w:type="dxa"/>
            </w:tcMar>
          </w:tcPr>
          <w:p w14:paraId="2B688508" w14:textId="77777777" w:rsidR="00A31DCB"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45.3</w:t>
            </w:r>
            <w:r>
              <w:rPr>
                <w:rFonts w:ascii="Book Antiqua" w:hAnsi="Book Antiqua" w:cs="Calibri" w:hint="eastAsia"/>
                <w:lang w:eastAsia="zh-CN"/>
              </w:rPr>
              <w:t xml:space="preserve"> </w:t>
            </w:r>
            <w:r>
              <w:rPr>
                <w:rFonts w:ascii="Book Antiqua" w:hAnsi="Book Antiqua" w:cs="Calibri"/>
                <w:lang w:eastAsia="zh-CN"/>
              </w:rPr>
              <w:t>(A)</w:t>
            </w:r>
          </w:p>
        </w:tc>
        <w:tc>
          <w:tcPr>
            <w:tcW w:w="1500" w:type="dxa"/>
            <w:shd w:val="clear" w:color="auto" w:fill="auto"/>
            <w:tcMar>
              <w:top w:w="0" w:type="dxa"/>
              <w:left w:w="108" w:type="dxa"/>
              <w:bottom w:w="0" w:type="dxa"/>
              <w:right w:w="108" w:type="dxa"/>
            </w:tcMar>
          </w:tcPr>
          <w:p w14:paraId="63C4501B" w14:textId="77777777" w:rsidR="00A31DCB"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5.4</w:t>
            </w:r>
            <w:r>
              <w:rPr>
                <w:rFonts w:ascii="Book Antiqua" w:hAnsi="Book Antiqua" w:cs="Calibri" w:hint="eastAsia"/>
                <w:lang w:eastAsia="zh-CN"/>
              </w:rPr>
              <w:t xml:space="preserve"> </w:t>
            </w:r>
            <w:r>
              <w:rPr>
                <w:rFonts w:ascii="Book Antiqua" w:hAnsi="Book Antiqua" w:cs="Calibri"/>
                <w:lang w:eastAsia="zh-CN"/>
              </w:rPr>
              <w:t>(A)</w:t>
            </w:r>
          </w:p>
        </w:tc>
        <w:tc>
          <w:tcPr>
            <w:tcW w:w="1350" w:type="dxa"/>
            <w:shd w:val="clear" w:color="auto" w:fill="auto"/>
          </w:tcPr>
          <w:p w14:paraId="7D421198" w14:textId="77777777" w:rsidR="00A31DCB"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6.9</w:t>
            </w:r>
            <w:r>
              <w:rPr>
                <w:rFonts w:ascii="Book Antiqua" w:hAnsi="Book Antiqua" w:cs="Calibri" w:hint="eastAsia"/>
                <w:lang w:eastAsia="zh-CN"/>
              </w:rPr>
              <w:t xml:space="preserve"> </w:t>
            </w:r>
            <w:r>
              <w:rPr>
                <w:rFonts w:ascii="Book Antiqua" w:hAnsi="Book Antiqua" w:cs="Calibri"/>
                <w:lang w:eastAsia="zh-CN"/>
              </w:rPr>
              <w:t>(A)</w:t>
            </w:r>
          </w:p>
        </w:tc>
        <w:tc>
          <w:tcPr>
            <w:tcW w:w="3723" w:type="dxa"/>
            <w:shd w:val="clear" w:color="auto" w:fill="auto"/>
          </w:tcPr>
          <w:p w14:paraId="6AA9E2BC" w14:textId="77777777" w:rsidR="00A31DCB"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 xml:space="preserve">Trastuzumab </w:t>
            </w:r>
            <w:proofErr w:type="spellStart"/>
            <w:r>
              <w:rPr>
                <w:rFonts w:ascii="Book Antiqua" w:hAnsi="Book Antiqua" w:cs="Calibri"/>
                <w:lang w:eastAsia="zh-CN"/>
              </w:rPr>
              <w:t>deruxtecan</w:t>
            </w:r>
            <w:proofErr w:type="spellEnd"/>
            <w:r>
              <w:rPr>
                <w:rFonts w:ascii="Book Antiqua" w:hAnsi="Book Antiqua" w:cs="Calibri"/>
                <w:lang w:eastAsia="zh-CN"/>
              </w:rPr>
              <w:t xml:space="preserve"> shown promising and sustained effect in HER2-positive mCRC that was resistant to conventional therapy, as well as a favorable safety profile</w:t>
            </w:r>
          </w:p>
        </w:tc>
      </w:tr>
      <w:tr w:rsidR="00A31DCB" w14:paraId="6DF1CD17" w14:textId="77777777">
        <w:tc>
          <w:tcPr>
            <w:tcW w:w="1526" w:type="dxa"/>
            <w:shd w:val="clear" w:color="auto" w:fill="auto"/>
            <w:tcMar>
              <w:top w:w="0" w:type="dxa"/>
              <w:left w:w="108" w:type="dxa"/>
              <w:bottom w:w="0" w:type="dxa"/>
              <w:right w:w="108" w:type="dxa"/>
            </w:tcMar>
          </w:tcPr>
          <w:p w14:paraId="5E667358" w14:textId="77777777" w:rsidR="00A31DCB"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 xml:space="preserve">Mayer </w:t>
            </w:r>
            <w:r>
              <w:rPr>
                <w:rFonts w:ascii="Book Antiqua" w:hAnsi="Book Antiqua" w:cs="Calibri"/>
                <w:i/>
                <w:iCs/>
                <w:lang w:eastAsia="zh-CN"/>
              </w:rPr>
              <w:t>et al</w:t>
            </w:r>
            <w:r>
              <w:rPr>
                <w:rFonts w:ascii="Book Antiqua" w:hAnsi="Book Antiqua" w:cs="Calibri"/>
                <w:vertAlign w:val="superscript"/>
                <w:lang w:eastAsia="zh-CN"/>
              </w:rPr>
              <w:t>[71]</w:t>
            </w:r>
          </w:p>
        </w:tc>
        <w:tc>
          <w:tcPr>
            <w:tcW w:w="1725" w:type="dxa"/>
            <w:shd w:val="clear" w:color="auto" w:fill="auto"/>
            <w:tcMar>
              <w:top w:w="0" w:type="dxa"/>
              <w:left w:w="108" w:type="dxa"/>
              <w:bottom w:w="0" w:type="dxa"/>
              <w:right w:w="108" w:type="dxa"/>
            </w:tcMar>
          </w:tcPr>
          <w:p w14:paraId="1B63DBC0" w14:textId="77777777" w:rsidR="00A31DCB"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Belgium, Italy, Japan, Spain, Australia, and United States</w:t>
            </w:r>
          </w:p>
        </w:tc>
        <w:tc>
          <w:tcPr>
            <w:tcW w:w="1890" w:type="dxa"/>
            <w:shd w:val="clear" w:color="auto" w:fill="auto"/>
            <w:tcMar>
              <w:top w:w="0" w:type="dxa"/>
              <w:left w:w="108" w:type="dxa"/>
              <w:bottom w:w="0" w:type="dxa"/>
              <w:right w:w="108" w:type="dxa"/>
            </w:tcMar>
          </w:tcPr>
          <w:p w14:paraId="60F213FD" w14:textId="77777777" w:rsidR="00A31DCB" w:rsidRDefault="00000000">
            <w:pPr>
              <w:adjustRightInd w:val="0"/>
              <w:snapToGrid w:val="0"/>
              <w:spacing w:line="360" w:lineRule="auto"/>
              <w:jc w:val="both"/>
              <w:rPr>
                <w:rFonts w:ascii="Book Antiqua" w:eastAsia="Times New Roman" w:hAnsi="Book Antiqua" w:cs="Calibri"/>
              </w:rPr>
            </w:pPr>
            <w:r>
              <w:rPr>
                <w:rFonts w:ascii="Book Antiqua" w:eastAsia="Times New Roman" w:hAnsi="Book Antiqua" w:cs="Calibri"/>
              </w:rPr>
              <w:t>Trifluridine plus</w:t>
            </w:r>
            <w:r>
              <w:rPr>
                <w:rFonts w:ascii="Book Antiqua" w:hAnsi="Book Antiqua" w:cs="Calibri" w:hint="eastAsia"/>
                <w:lang w:eastAsia="zh-CN"/>
              </w:rPr>
              <w:t xml:space="preserve"> </w:t>
            </w:r>
            <w:proofErr w:type="spellStart"/>
            <w:r>
              <w:rPr>
                <w:rFonts w:ascii="Book Antiqua" w:eastAsia="Times New Roman" w:hAnsi="Book Antiqua" w:cs="Calibri"/>
              </w:rPr>
              <w:t>tipiracil</w:t>
            </w:r>
            <w:proofErr w:type="spellEnd"/>
            <w:r>
              <w:rPr>
                <w:rFonts w:ascii="Book Antiqua" w:eastAsia="Times New Roman" w:hAnsi="Book Antiqua" w:cs="Calibri"/>
              </w:rPr>
              <w:t xml:space="preserve"> hydrochloride</w:t>
            </w:r>
            <w:r>
              <w:rPr>
                <w:rFonts w:ascii="Book Antiqua" w:hAnsi="Book Antiqua" w:cs="Calibri" w:hint="eastAsia"/>
                <w:lang w:eastAsia="zh-CN"/>
              </w:rPr>
              <w:t xml:space="preserve"> </w:t>
            </w:r>
            <w:r>
              <w:rPr>
                <w:rFonts w:ascii="Book Antiqua" w:eastAsia="Times New Roman" w:hAnsi="Book Antiqua" w:cs="Calibri"/>
              </w:rPr>
              <w:t>(TAS-102)</w:t>
            </w:r>
            <w:r>
              <w:rPr>
                <w:rFonts w:ascii="Book Antiqua" w:hAnsi="Book Antiqua" w:cs="Calibri" w:hint="eastAsia"/>
                <w:lang w:eastAsia="zh-CN"/>
              </w:rPr>
              <w:t xml:space="preserve"> </w:t>
            </w:r>
            <w:r>
              <w:rPr>
                <w:rFonts w:ascii="Book Antiqua" w:eastAsia="Times New Roman" w:hAnsi="Book Antiqua" w:cs="Calibri"/>
              </w:rPr>
              <w:t>or</w:t>
            </w:r>
            <w:r>
              <w:rPr>
                <w:rFonts w:ascii="Book Antiqua" w:hAnsi="Book Antiqua" w:cs="Calibri" w:hint="eastAsia"/>
                <w:lang w:eastAsia="zh-CN"/>
              </w:rPr>
              <w:t xml:space="preserve"> </w:t>
            </w:r>
            <w:r>
              <w:rPr>
                <w:rFonts w:ascii="Book Antiqua" w:eastAsia="Times New Roman" w:hAnsi="Book Antiqua" w:cs="Calibri"/>
              </w:rPr>
              <w:t>placebo</w:t>
            </w:r>
          </w:p>
        </w:tc>
        <w:tc>
          <w:tcPr>
            <w:tcW w:w="1365" w:type="dxa"/>
            <w:shd w:val="clear" w:color="auto" w:fill="auto"/>
            <w:tcMar>
              <w:top w:w="0" w:type="dxa"/>
              <w:left w:w="108" w:type="dxa"/>
              <w:bottom w:w="0" w:type="dxa"/>
              <w:right w:w="108" w:type="dxa"/>
            </w:tcMar>
          </w:tcPr>
          <w:p w14:paraId="41F5B670" w14:textId="77777777" w:rsidR="00A31DCB" w:rsidRDefault="00000000">
            <w:pPr>
              <w:adjustRightInd w:val="0"/>
              <w:snapToGrid w:val="0"/>
              <w:spacing w:line="360" w:lineRule="auto"/>
              <w:jc w:val="both"/>
              <w:rPr>
                <w:rFonts w:ascii="Book Antiqua" w:eastAsia="Times New Roman" w:hAnsi="Book Antiqua" w:cs="Calibri"/>
              </w:rPr>
            </w:pPr>
            <w:r>
              <w:rPr>
                <w:rFonts w:ascii="Book Antiqua" w:eastAsia="Times New Roman" w:hAnsi="Book Antiqua" w:cs="Calibri"/>
              </w:rPr>
              <w:t>800</w:t>
            </w:r>
            <w:r>
              <w:rPr>
                <w:rFonts w:ascii="Book Antiqua" w:hAnsi="Book Antiqua" w:cs="Calibri" w:hint="eastAsia"/>
                <w:lang w:eastAsia="zh-CN"/>
              </w:rPr>
              <w:t xml:space="preserve"> </w:t>
            </w:r>
            <w:r>
              <w:rPr>
                <w:rFonts w:ascii="Book Antiqua" w:eastAsia="Times New Roman" w:hAnsi="Book Antiqua" w:cs="Calibri"/>
              </w:rPr>
              <w:t>(2:1)</w:t>
            </w:r>
          </w:p>
        </w:tc>
        <w:tc>
          <w:tcPr>
            <w:tcW w:w="945" w:type="dxa"/>
            <w:shd w:val="clear" w:color="auto" w:fill="auto"/>
            <w:tcMar>
              <w:top w:w="0" w:type="dxa"/>
              <w:left w:w="108" w:type="dxa"/>
              <w:bottom w:w="0" w:type="dxa"/>
              <w:right w:w="108" w:type="dxa"/>
            </w:tcMar>
          </w:tcPr>
          <w:p w14:paraId="0A64C540" w14:textId="77777777" w:rsidR="00A31DCB" w:rsidRDefault="00000000">
            <w:pPr>
              <w:adjustRightInd w:val="0"/>
              <w:snapToGrid w:val="0"/>
              <w:spacing w:line="360" w:lineRule="auto"/>
              <w:jc w:val="both"/>
              <w:rPr>
                <w:rFonts w:ascii="Book Antiqua" w:eastAsia="Times New Roman" w:hAnsi="Book Antiqua" w:cs="Calibri"/>
              </w:rPr>
            </w:pPr>
            <w:r>
              <w:rPr>
                <w:rFonts w:ascii="Book Antiqua" w:eastAsia="Times New Roman" w:hAnsi="Book Antiqua" w:cs="Calibri"/>
              </w:rPr>
              <w:t>-</w:t>
            </w:r>
          </w:p>
        </w:tc>
        <w:tc>
          <w:tcPr>
            <w:tcW w:w="1110" w:type="dxa"/>
            <w:shd w:val="clear" w:color="auto" w:fill="auto"/>
            <w:tcMar>
              <w:top w:w="0" w:type="dxa"/>
              <w:left w:w="108" w:type="dxa"/>
              <w:bottom w:w="0" w:type="dxa"/>
              <w:right w:w="108" w:type="dxa"/>
            </w:tcMar>
          </w:tcPr>
          <w:p w14:paraId="56EFE491" w14:textId="77777777" w:rsidR="00A31DCB"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1.6/0.4</w:t>
            </w:r>
            <w:r>
              <w:rPr>
                <w:rFonts w:ascii="Book Antiqua" w:hAnsi="Book Antiqua" w:cs="Calibri" w:hint="eastAsia"/>
                <w:lang w:eastAsia="zh-CN"/>
              </w:rPr>
              <w:t xml:space="preserve"> </w:t>
            </w:r>
            <w:r>
              <w:rPr>
                <w:rFonts w:ascii="Book Antiqua" w:hAnsi="Book Antiqua" w:cs="Calibri"/>
                <w:lang w:eastAsia="zh-CN"/>
              </w:rPr>
              <w:t>(TAS/placebo)</w:t>
            </w:r>
          </w:p>
        </w:tc>
        <w:tc>
          <w:tcPr>
            <w:tcW w:w="1500" w:type="dxa"/>
            <w:shd w:val="clear" w:color="auto" w:fill="auto"/>
            <w:tcMar>
              <w:top w:w="0" w:type="dxa"/>
              <w:left w:w="108" w:type="dxa"/>
              <w:bottom w:w="0" w:type="dxa"/>
              <w:right w:w="108" w:type="dxa"/>
            </w:tcMar>
          </w:tcPr>
          <w:p w14:paraId="4C2070FB" w14:textId="77777777" w:rsidR="00A31DCB"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7.1/5.3</w:t>
            </w:r>
            <w:r>
              <w:rPr>
                <w:rFonts w:ascii="Book Antiqua" w:hAnsi="Book Antiqua" w:cs="Calibri" w:hint="eastAsia"/>
                <w:lang w:eastAsia="zh-CN"/>
              </w:rPr>
              <w:t xml:space="preserve"> </w:t>
            </w:r>
            <w:r>
              <w:rPr>
                <w:rFonts w:ascii="Book Antiqua" w:hAnsi="Book Antiqua" w:cs="Calibri"/>
                <w:lang w:eastAsia="zh-CN"/>
              </w:rPr>
              <w:t>(TAS/placebo)</w:t>
            </w:r>
          </w:p>
        </w:tc>
        <w:tc>
          <w:tcPr>
            <w:tcW w:w="1350" w:type="dxa"/>
            <w:shd w:val="clear" w:color="auto" w:fill="auto"/>
          </w:tcPr>
          <w:p w14:paraId="139B3304" w14:textId="77777777" w:rsidR="00A31DCB"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2.0/1.7</w:t>
            </w:r>
            <w:r>
              <w:rPr>
                <w:rFonts w:ascii="Book Antiqua" w:hAnsi="Book Antiqua" w:cs="Calibri" w:hint="eastAsia"/>
                <w:lang w:eastAsia="zh-CN"/>
              </w:rPr>
              <w:t xml:space="preserve"> </w:t>
            </w:r>
            <w:r>
              <w:rPr>
                <w:rFonts w:ascii="Book Antiqua" w:hAnsi="Book Antiqua" w:cs="Calibri"/>
                <w:lang w:eastAsia="zh-CN"/>
              </w:rPr>
              <w:t>(TAS/placebo)</w:t>
            </w:r>
          </w:p>
        </w:tc>
        <w:tc>
          <w:tcPr>
            <w:tcW w:w="3723" w:type="dxa"/>
            <w:shd w:val="clear" w:color="auto" w:fill="auto"/>
          </w:tcPr>
          <w:p w14:paraId="4400CE29" w14:textId="77777777" w:rsidR="00A31DCB"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 xml:space="preserve">A significant number of Japanese and Western patients with mCRC who had had a lot of prior treatment, including those whose condition was resistant to </w:t>
            </w:r>
            <w:r>
              <w:rPr>
                <w:rFonts w:ascii="Book Antiqua" w:hAnsi="Book Antiqua" w:cs="Calibri"/>
                <w:lang w:eastAsia="zh-CN"/>
              </w:rPr>
              <w:lastRenderedPageBreak/>
              <w:t>fluorouracil, were shown to respond clinically to TAS-102</w:t>
            </w:r>
          </w:p>
        </w:tc>
      </w:tr>
    </w:tbl>
    <w:p w14:paraId="7055CF28" w14:textId="77777777" w:rsidR="00A31DCB" w:rsidRDefault="00000000">
      <w:pPr>
        <w:shd w:val="clear" w:color="auto" w:fill="FFFFFF"/>
        <w:adjustRightInd w:val="0"/>
        <w:snapToGrid w:val="0"/>
        <w:spacing w:line="360" w:lineRule="auto"/>
        <w:jc w:val="both"/>
        <w:rPr>
          <w:rFonts w:ascii="Book Antiqua" w:eastAsia="Times New Roman" w:hAnsi="Book Antiqua" w:cs="Calibri"/>
          <w:color w:val="000000"/>
        </w:rPr>
      </w:pPr>
      <w:r>
        <w:rPr>
          <w:rFonts w:ascii="Book Antiqua" w:eastAsia="Times New Roman" w:hAnsi="Book Antiqua" w:cs="Calibri"/>
          <w:color w:val="000000"/>
        </w:rPr>
        <w:lastRenderedPageBreak/>
        <w:t xml:space="preserve">2D: </w:t>
      </w:r>
      <w:proofErr w:type="spellStart"/>
      <w:r>
        <w:rPr>
          <w:rFonts w:ascii="Book Antiqua" w:eastAsia="Times New Roman" w:hAnsi="Book Antiqua" w:cs="Calibri"/>
          <w:color w:val="000000"/>
        </w:rPr>
        <w:t>Encorafenib</w:t>
      </w:r>
      <w:proofErr w:type="spellEnd"/>
      <w:r>
        <w:rPr>
          <w:rFonts w:ascii="Book Antiqua" w:eastAsia="Times New Roman" w:hAnsi="Book Antiqua" w:cs="Calibri"/>
          <w:color w:val="000000"/>
        </w:rPr>
        <w:t xml:space="preserve"> plus cetuximab; 3D: </w:t>
      </w:r>
      <w:proofErr w:type="spellStart"/>
      <w:r>
        <w:rPr>
          <w:rFonts w:ascii="Book Antiqua" w:eastAsia="Times New Roman" w:hAnsi="Book Antiqua" w:cs="Calibri"/>
          <w:color w:val="000000"/>
        </w:rPr>
        <w:t>Encorafenib</w:t>
      </w:r>
      <w:proofErr w:type="spellEnd"/>
      <w:r>
        <w:rPr>
          <w:rFonts w:ascii="Book Antiqua" w:eastAsia="Times New Roman" w:hAnsi="Book Antiqua" w:cs="Calibri"/>
          <w:color w:val="000000"/>
        </w:rPr>
        <w:t xml:space="preserve"> plus cetuximab plus </w:t>
      </w:r>
      <w:proofErr w:type="spellStart"/>
      <w:r>
        <w:rPr>
          <w:rFonts w:ascii="Book Antiqua" w:eastAsia="Times New Roman" w:hAnsi="Book Antiqua" w:cs="Calibri"/>
          <w:color w:val="000000"/>
        </w:rPr>
        <w:t>binimetinib</w:t>
      </w:r>
      <w:proofErr w:type="spellEnd"/>
      <w:r>
        <w:rPr>
          <w:rFonts w:ascii="Book Antiqua" w:eastAsia="Times New Roman" w:hAnsi="Book Antiqua" w:cs="Calibri"/>
          <w:color w:val="000000"/>
        </w:rPr>
        <w:t xml:space="preserve">; A: Cohort A; B: Cohort B; BF: Bevacizumab plus FOLFOXIRI; BF6: Bevacizumab plus FOLFOX-6; BRAF: </w:t>
      </w:r>
      <w:r>
        <w:rPr>
          <w:rFonts w:ascii="Book Antiqua" w:eastAsia="Book Antiqua" w:hAnsi="Book Antiqua" w:cs="Book Antiqua"/>
          <w:color w:val="000000"/>
        </w:rPr>
        <w:t>Protein kinase B-Raf</w:t>
      </w:r>
      <w:r>
        <w:rPr>
          <w:rFonts w:ascii="Book Antiqua" w:eastAsia="Times New Roman" w:hAnsi="Book Antiqua" w:cs="Calibri"/>
          <w:color w:val="000000"/>
        </w:rPr>
        <w:t xml:space="preserve">; C: Cohort C; CD: FOLFIRI plus cetuximab; CFI: Cetuximab plus FOLFOXIRI; CFX: Cetuximab plus FOLFOX; CRC: Colorectal cancer; </w:t>
      </w:r>
      <w:r>
        <w:rPr>
          <w:rFonts w:ascii="Book Antiqua" w:hAnsi="Book Antiqua" w:cs="Calibri"/>
          <w:lang w:eastAsia="zh-CN"/>
        </w:rPr>
        <w:t>EGFR</w:t>
      </w:r>
      <w:r>
        <w:rPr>
          <w:rFonts w:ascii="Book Antiqua" w:eastAsia="Times New Roman" w:hAnsi="Book Antiqua" w:cs="Calibri"/>
        </w:rPr>
        <w:t xml:space="preserve">: Epidermal growth factor receptor; FIB: FOLFIRI plus </w:t>
      </w:r>
      <w:r>
        <w:rPr>
          <w:rFonts w:ascii="Book Antiqua" w:eastAsia="Times New Roman" w:hAnsi="Book Antiqua" w:cs="Calibri"/>
          <w:color w:val="000000"/>
        </w:rPr>
        <w:t>bevacizumab;</w:t>
      </w:r>
      <w:r>
        <w:rPr>
          <w:rFonts w:ascii="Book Antiqua" w:eastAsia="Times New Roman" w:hAnsi="Book Antiqua" w:cs="Calibri"/>
        </w:rPr>
        <w:t xml:space="preserve"> FIC: FOLFIRI plus cetuximab; FOLFIRI</w:t>
      </w:r>
      <w:r>
        <w:rPr>
          <w:rFonts w:ascii="Book Antiqua" w:hAnsi="Book Antiqua"/>
        </w:rPr>
        <w:t>: Folinic acid, fluorouracil, and irinotecan hydrochloride; FXB: mFOLFOX6 plus bevacizumab; FXP: mFOLFOX6 plus panitumumab; HER2: Human epidermal growth factor receptor 2; IC: Irinotecan plus cetuximab; ICV: Irinotecan plus cetuximab plus vemurafenib;</w:t>
      </w:r>
      <w:r>
        <w:rPr>
          <w:rFonts w:ascii="Book Antiqua" w:hAnsi="Book Antiqua" w:cs="Calibri"/>
          <w:lang w:eastAsia="zh-CN"/>
        </w:rPr>
        <w:t xml:space="preserve"> mCRC</w:t>
      </w:r>
      <w:r>
        <w:rPr>
          <w:rFonts w:ascii="Book Antiqua" w:eastAsia="Times New Roman" w:hAnsi="Book Antiqua" w:cs="Calibri"/>
          <w:color w:val="000000"/>
        </w:rPr>
        <w:t xml:space="preserve">: Metastatic colorectal cancer; ORR: Objective response rate; OS: Overall survival; PFS: Progression-free survival; RAS: Rat sarcoma virus; RMT: Rat sarcoma virus mutate-type; RWT: Rat sarcoma virus wild-type; T: Trifluridine plus </w:t>
      </w:r>
      <w:proofErr w:type="spellStart"/>
      <w:r>
        <w:rPr>
          <w:rFonts w:ascii="Book Antiqua" w:eastAsia="Times New Roman" w:hAnsi="Book Antiqua" w:cs="Calibri"/>
          <w:color w:val="000000"/>
        </w:rPr>
        <w:t>tipiracil</w:t>
      </w:r>
      <w:proofErr w:type="spellEnd"/>
      <w:r>
        <w:rPr>
          <w:rFonts w:ascii="Book Antiqua" w:eastAsia="Times New Roman" w:hAnsi="Book Antiqua" w:cs="Calibri"/>
          <w:color w:val="000000"/>
        </w:rPr>
        <w:t xml:space="preserve"> hydrochloride; TB: Trifluridine plus </w:t>
      </w:r>
      <w:proofErr w:type="spellStart"/>
      <w:r>
        <w:rPr>
          <w:rFonts w:ascii="Book Antiqua" w:eastAsia="Times New Roman" w:hAnsi="Book Antiqua" w:cs="Calibri"/>
          <w:color w:val="000000"/>
        </w:rPr>
        <w:t>tipiracil</w:t>
      </w:r>
      <w:proofErr w:type="spellEnd"/>
      <w:r>
        <w:rPr>
          <w:rFonts w:ascii="Book Antiqua" w:eastAsia="Times New Roman" w:hAnsi="Book Antiqua" w:cs="Calibri"/>
          <w:color w:val="000000"/>
        </w:rPr>
        <w:t xml:space="preserve"> hydrochloride plus bevacizumab; WT: Wild-type.</w:t>
      </w:r>
    </w:p>
    <w:p w14:paraId="26F92FA3" w14:textId="77777777" w:rsidR="00A31DCB" w:rsidRDefault="00A31DCB">
      <w:pPr>
        <w:shd w:val="clear" w:color="auto" w:fill="FFFFFF"/>
        <w:adjustRightInd w:val="0"/>
        <w:snapToGrid w:val="0"/>
        <w:spacing w:line="360" w:lineRule="auto"/>
        <w:jc w:val="both"/>
        <w:rPr>
          <w:rFonts w:ascii="Book Antiqua" w:hAnsi="Book Antiqua"/>
        </w:rPr>
        <w:sectPr w:rsidR="00A31DCB">
          <w:pgSz w:w="15840" w:h="12240" w:orient="landscape"/>
          <w:pgMar w:top="1440" w:right="1440" w:bottom="1440" w:left="1440" w:header="720" w:footer="720" w:gutter="0"/>
          <w:cols w:space="720"/>
          <w:docGrid w:linePitch="360"/>
        </w:sectPr>
      </w:pPr>
    </w:p>
    <w:p w14:paraId="40A54EAA" w14:textId="77777777" w:rsidR="00A31DCB" w:rsidRDefault="00A31DCB">
      <w:pPr>
        <w:ind w:leftChars="100" w:left="240"/>
        <w:jc w:val="center"/>
        <w:rPr>
          <w:rFonts w:ascii="Book Antiqua" w:hAnsi="Book Antiqua"/>
          <w:lang w:val="pt-BR" w:eastAsia="zh-CN"/>
        </w:rPr>
      </w:pPr>
      <w:bookmarkStart w:id="13" w:name="_Hlk88512952"/>
    </w:p>
    <w:p w14:paraId="20C7B06B" w14:textId="77777777" w:rsidR="00A31DCB" w:rsidRDefault="00A31DCB">
      <w:pPr>
        <w:ind w:leftChars="100" w:left="240"/>
        <w:jc w:val="center"/>
        <w:rPr>
          <w:rFonts w:ascii="Book Antiqua" w:hAnsi="Book Antiqua"/>
          <w:lang w:val="pt-BR" w:eastAsia="zh-CN"/>
        </w:rPr>
      </w:pPr>
    </w:p>
    <w:p w14:paraId="27C7B87D" w14:textId="77777777" w:rsidR="00A31DCB" w:rsidRDefault="00A31DCB">
      <w:pPr>
        <w:ind w:leftChars="100" w:left="240"/>
        <w:jc w:val="center"/>
        <w:rPr>
          <w:rFonts w:ascii="Book Antiqua" w:hAnsi="Book Antiqua"/>
          <w:lang w:val="pt-BR" w:eastAsia="zh-CN"/>
        </w:rPr>
      </w:pPr>
    </w:p>
    <w:p w14:paraId="33FD4F0E" w14:textId="77777777" w:rsidR="00A31DCB" w:rsidRDefault="00A31DCB">
      <w:pPr>
        <w:ind w:leftChars="100" w:left="240"/>
        <w:jc w:val="center"/>
        <w:rPr>
          <w:rFonts w:ascii="Book Antiqua" w:hAnsi="Book Antiqua"/>
          <w:lang w:val="pt-BR" w:eastAsia="zh-CN"/>
        </w:rPr>
      </w:pPr>
    </w:p>
    <w:p w14:paraId="17CE960B" w14:textId="77777777" w:rsidR="00A31DCB" w:rsidRDefault="00000000">
      <w:pPr>
        <w:ind w:leftChars="100" w:left="240"/>
        <w:jc w:val="center"/>
        <w:rPr>
          <w:rFonts w:ascii="Book Antiqua" w:hAnsi="Book Antiqua"/>
          <w:lang w:eastAsia="zh-CN"/>
        </w:rPr>
      </w:pPr>
      <w:r>
        <w:rPr>
          <w:rFonts w:ascii="Book Antiqua" w:hAnsi="Book Antiqua"/>
          <w:noProof/>
          <w:lang w:eastAsia="zh-CN"/>
        </w:rPr>
        <w:drawing>
          <wp:inline distT="0" distB="0" distL="0" distR="0" wp14:anchorId="2F4AA617" wp14:editId="5DD29A31">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6B5EE22F" w14:textId="77777777" w:rsidR="00A31DCB" w:rsidRDefault="00A31DCB">
      <w:pPr>
        <w:ind w:leftChars="100" w:left="240"/>
        <w:jc w:val="center"/>
        <w:rPr>
          <w:rFonts w:ascii="Book Antiqua" w:hAnsi="Book Antiqua"/>
          <w:lang w:eastAsia="zh-CN"/>
        </w:rPr>
      </w:pPr>
    </w:p>
    <w:p w14:paraId="32181C23" w14:textId="77777777" w:rsidR="00A31DCB" w:rsidRDefault="00000000">
      <w:pPr>
        <w:autoSpaceDE w:val="0"/>
        <w:autoSpaceDN w:val="0"/>
        <w:adjustRightInd w:val="0"/>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61FC3651" w14:textId="77777777" w:rsidR="00A31DCB" w:rsidRDefault="00000000">
      <w:pPr>
        <w:autoSpaceDE w:val="0"/>
        <w:autoSpaceDN w:val="0"/>
        <w:adjustRightIn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3BCA5D5" w14:textId="77777777" w:rsidR="00A31DCB" w:rsidRDefault="00000000">
      <w:pPr>
        <w:autoSpaceDE w:val="0"/>
        <w:autoSpaceDN w:val="0"/>
        <w:adjustRightIn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7329F25" w14:textId="77777777" w:rsidR="00A31DCB" w:rsidRDefault="00000000">
      <w:pPr>
        <w:autoSpaceDE w:val="0"/>
        <w:autoSpaceDN w:val="0"/>
        <w:adjustRightIn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0C0FFBDA" w14:textId="77777777" w:rsidR="00A31DCB" w:rsidRDefault="00000000">
      <w:pPr>
        <w:autoSpaceDE w:val="0"/>
        <w:autoSpaceDN w:val="0"/>
        <w:adjustRightIn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proofErr w:type="gramStart"/>
      <w:r>
        <w:rPr>
          <w:rFonts w:ascii="Book Antiqua" w:eastAsia="TimesNewRomanPSMT" w:hAnsi="Book Antiqua" w:cs="Garamond"/>
          <w:color w:val="D56400"/>
          <w:sz w:val="28"/>
          <w:szCs w:val="28"/>
        </w:rPr>
        <w:t>https://www.f6publishing.com/helpdesk</w:t>
      </w:r>
      <w:proofErr w:type="gramEnd"/>
    </w:p>
    <w:p w14:paraId="5C3D9084" w14:textId="77777777" w:rsidR="00A31DCB" w:rsidRDefault="00000000">
      <w:pPr>
        <w:ind w:leftChars="100" w:left="240"/>
        <w:jc w:val="center"/>
        <w:rPr>
          <w:rFonts w:ascii="Book Antiqua" w:hAnsi="Book Antiqua"/>
          <w:lang w:eastAsia="zh-CN"/>
        </w:rPr>
      </w:pPr>
      <w:r>
        <w:rPr>
          <w:rFonts w:ascii="Book Antiqua" w:eastAsia="TimesNewRomanPSMT" w:hAnsi="Book Antiqua" w:cs="Garamond"/>
          <w:color w:val="D56400"/>
          <w:sz w:val="28"/>
          <w:szCs w:val="28"/>
        </w:rPr>
        <w:t>https://www.wjgnet.com</w:t>
      </w:r>
    </w:p>
    <w:p w14:paraId="40DE0C3E" w14:textId="77777777" w:rsidR="00A31DCB" w:rsidRDefault="00A31DCB">
      <w:pPr>
        <w:ind w:leftChars="100" w:left="240"/>
        <w:jc w:val="center"/>
        <w:rPr>
          <w:rFonts w:ascii="Book Antiqua" w:hAnsi="Book Antiqua"/>
          <w:lang w:eastAsia="zh-CN"/>
        </w:rPr>
      </w:pPr>
    </w:p>
    <w:p w14:paraId="21887CC5" w14:textId="77777777" w:rsidR="00A31DCB" w:rsidRDefault="00A31DCB">
      <w:pPr>
        <w:ind w:leftChars="100" w:left="240"/>
        <w:jc w:val="center"/>
        <w:rPr>
          <w:rFonts w:ascii="Book Antiqua" w:hAnsi="Book Antiqua"/>
          <w:lang w:eastAsia="zh-CN"/>
        </w:rPr>
      </w:pPr>
    </w:p>
    <w:p w14:paraId="0C2747AB" w14:textId="77777777" w:rsidR="00A31DCB" w:rsidRDefault="00A31DCB">
      <w:pPr>
        <w:ind w:leftChars="100" w:left="240"/>
        <w:jc w:val="center"/>
        <w:rPr>
          <w:rFonts w:ascii="Book Antiqua" w:hAnsi="Book Antiqua"/>
          <w:lang w:eastAsia="zh-CN"/>
        </w:rPr>
      </w:pPr>
    </w:p>
    <w:p w14:paraId="59F52424" w14:textId="77777777" w:rsidR="00A31DCB" w:rsidRDefault="00000000">
      <w:pPr>
        <w:ind w:leftChars="100" w:left="240"/>
        <w:jc w:val="center"/>
        <w:rPr>
          <w:rFonts w:ascii="Book Antiqua" w:hAnsi="Book Antiqua"/>
          <w:lang w:eastAsia="zh-CN"/>
        </w:rPr>
      </w:pPr>
      <w:r>
        <w:rPr>
          <w:rFonts w:ascii="Book Antiqua" w:hAnsi="Book Antiqua"/>
          <w:noProof/>
          <w:lang w:eastAsia="zh-CN"/>
        </w:rPr>
        <w:drawing>
          <wp:inline distT="0" distB="0" distL="0" distR="0" wp14:anchorId="737241D5" wp14:editId="01548823">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2C785BAF" w14:textId="77777777" w:rsidR="00A31DCB" w:rsidRDefault="00A31DCB">
      <w:pPr>
        <w:ind w:leftChars="100" w:left="240"/>
        <w:jc w:val="center"/>
        <w:rPr>
          <w:rFonts w:ascii="Book Antiqua" w:hAnsi="Book Antiqua"/>
          <w:lang w:eastAsia="zh-CN"/>
        </w:rPr>
      </w:pPr>
    </w:p>
    <w:p w14:paraId="206223EA" w14:textId="77777777" w:rsidR="00A31DCB" w:rsidRDefault="00A31DCB">
      <w:pPr>
        <w:ind w:leftChars="100" w:left="240"/>
        <w:jc w:val="center"/>
        <w:rPr>
          <w:rFonts w:ascii="Book Antiqua" w:hAnsi="Book Antiqua"/>
          <w:lang w:eastAsia="zh-CN"/>
        </w:rPr>
      </w:pPr>
    </w:p>
    <w:p w14:paraId="70088B97" w14:textId="77777777" w:rsidR="00A31DCB" w:rsidRDefault="00A31DCB">
      <w:pPr>
        <w:ind w:leftChars="100" w:left="240"/>
        <w:jc w:val="center"/>
        <w:rPr>
          <w:rFonts w:ascii="Book Antiqua" w:hAnsi="Book Antiqua"/>
          <w:lang w:eastAsia="zh-CN"/>
        </w:rPr>
      </w:pPr>
    </w:p>
    <w:p w14:paraId="12E019EB" w14:textId="77777777" w:rsidR="00A31DCB" w:rsidRDefault="00A31DCB">
      <w:pPr>
        <w:ind w:leftChars="100" w:left="240"/>
        <w:jc w:val="center"/>
        <w:rPr>
          <w:rFonts w:ascii="Book Antiqua" w:hAnsi="Book Antiqua"/>
          <w:lang w:eastAsia="zh-CN"/>
        </w:rPr>
      </w:pPr>
    </w:p>
    <w:p w14:paraId="3A4EFBCD" w14:textId="77777777" w:rsidR="00A31DCB" w:rsidRDefault="00A31DCB">
      <w:pPr>
        <w:ind w:leftChars="100" w:left="240"/>
        <w:jc w:val="center"/>
        <w:rPr>
          <w:rFonts w:ascii="Book Antiqua" w:hAnsi="Book Antiqua"/>
          <w:lang w:eastAsia="zh-CN"/>
        </w:rPr>
      </w:pPr>
    </w:p>
    <w:p w14:paraId="031EC07E" w14:textId="77777777" w:rsidR="00A31DCB" w:rsidRDefault="00A31DCB">
      <w:pPr>
        <w:ind w:leftChars="100" w:left="240"/>
        <w:jc w:val="center"/>
        <w:rPr>
          <w:rFonts w:ascii="Book Antiqua" w:hAnsi="Book Antiqua"/>
          <w:lang w:eastAsia="zh-CN"/>
        </w:rPr>
      </w:pPr>
    </w:p>
    <w:p w14:paraId="4DCB4D28" w14:textId="77777777" w:rsidR="00A31DCB" w:rsidRDefault="00A31DCB">
      <w:pPr>
        <w:ind w:leftChars="100" w:left="240"/>
        <w:jc w:val="center"/>
        <w:rPr>
          <w:rFonts w:ascii="Book Antiqua" w:hAnsi="Book Antiqua"/>
          <w:lang w:eastAsia="zh-CN"/>
        </w:rPr>
      </w:pPr>
    </w:p>
    <w:p w14:paraId="0B5BD7E5" w14:textId="77777777" w:rsidR="00A31DCB" w:rsidRDefault="00A31DCB">
      <w:pPr>
        <w:ind w:leftChars="100" w:left="240"/>
        <w:jc w:val="center"/>
        <w:rPr>
          <w:rFonts w:ascii="Book Antiqua" w:hAnsi="Book Antiqua"/>
          <w:lang w:eastAsia="zh-CN"/>
        </w:rPr>
      </w:pPr>
    </w:p>
    <w:p w14:paraId="5D7626EF" w14:textId="77777777" w:rsidR="00A31DCB" w:rsidRDefault="00A31DCB">
      <w:pPr>
        <w:ind w:leftChars="100" w:left="240"/>
        <w:jc w:val="center"/>
        <w:rPr>
          <w:rFonts w:ascii="Book Antiqua" w:hAnsi="Book Antiqua"/>
          <w:lang w:eastAsia="zh-CN"/>
        </w:rPr>
      </w:pPr>
    </w:p>
    <w:p w14:paraId="18C08840" w14:textId="77777777" w:rsidR="00A31DCB" w:rsidRDefault="00A31DCB">
      <w:pPr>
        <w:ind w:leftChars="100" w:left="240"/>
        <w:jc w:val="right"/>
        <w:rPr>
          <w:rFonts w:ascii="Book Antiqua" w:hAnsi="Book Antiqua"/>
          <w:color w:val="000000" w:themeColor="text1"/>
          <w:lang w:eastAsia="zh-CN"/>
        </w:rPr>
      </w:pPr>
    </w:p>
    <w:p w14:paraId="2D37C888" w14:textId="77777777" w:rsidR="00A31DCB" w:rsidRDefault="00000000">
      <w:pPr>
        <w:ind w:leftChars="100" w:left="240"/>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xml:space="preserve">© 2023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bookmarkEnd w:id="13"/>
    </w:p>
    <w:p w14:paraId="5014D59C" w14:textId="77777777" w:rsidR="00A31DCB" w:rsidRDefault="00A31DCB">
      <w:pPr>
        <w:shd w:val="clear" w:color="auto" w:fill="FFFFFF"/>
        <w:adjustRightInd w:val="0"/>
        <w:snapToGrid w:val="0"/>
        <w:spacing w:line="360" w:lineRule="auto"/>
        <w:jc w:val="both"/>
        <w:rPr>
          <w:rFonts w:ascii="Book Antiqua" w:hAnsi="Book Antiqua"/>
        </w:rPr>
      </w:pPr>
    </w:p>
    <w:p w14:paraId="4A539118" w14:textId="77777777" w:rsidR="00A31DCB" w:rsidRDefault="00A31DCB">
      <w:pPr>
        <w:spacing w:line="360" w:lineRule="auto"/>
        <w:jc w:val="both"/>
        <w:rPr>
          <w:b/>
          <w:bCs/>
        </w:rPr>
      </w:pPr>
    </w:p>
    <w:sectPr w:rsidR="00A31DCB">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43D76A" w14:textId="77777777" w:rsidR="00CD07A2" w:rsidRDefault="00CD07A2">
      <w:r>
        <w:separator/>
      </w:r>
    </w:p>
  </w:endnote>
  <w:endnote w:type="continuationSeparator" w:id="0">
    <w:p w14:paraId="19897E0B" w14:textId="77777777" w:rsidR="00CD07A2" w:rsidRDefault="00CD07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236267"/>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121404CF" w14:textId="77777777" w:rsidR="00A31DCB" w:rsidRDefault="00000000">
            <w:pPr>
              <w:pStyle w:val="a7"/>
              <w:jc w:val="right"/>
              <w:rPr>
                <w:rFonts w:ascii="Book Antiqua" w:hAnsi="Book Antiqua"/>
                <w:sz w:val="24"/>
                <w:szCs w:val="24"/>
              </w:rPr>
            </w:pPr>
            <w:r>
              <w:rPr>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p>
        </w:sdtContent>
      </w:sdt>
    </w:sdtContent>
  </w:sdt>
  <w:p w14:paraId="2509325F" w14:textId="77777777" w:rsidR="00A31DCB" w:rsidRDefault="00A31DC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6648D8" w14:textId="77777777" w:rsidR="00CD07A2" w:rsidRDefault="00CD07A2">
      <w:r>
        <w:separator/>
      </w:r>
    </w:p>
  </w:footnote>
  <w:footnote w:type="continuationSeparator" w:id="0">
    <w:p w14:paraId="207342C6" w14:textId="77777777" w:rsidR="00CD07A2" w:rsidRDefault="00CD07A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DMwOTNhZGQxZDZlY2ViN2VkMzIzMzdmMGEyYzNiMGUifQ=="/>
  </w:docVars>
  <w:rsids>
    <w:rsidRoot w:val="00A77B3E"/>
    <w:rsid w:val="00054753"/>
    <w:rsid w:val="00072362"/>
    <w:rsid w:val="00090863"/>
    <w:rsid w:val="0009248F"/>
    <w:rsid w:val="000B5E06"/>
    <w:rsid w:val="000C25D6"/>
    <w:rsid w:val="000D58EB"/>
    <w:rsid w:val="00133EE1"/>
    <w:rsid w:val="0015490D"/>
    <w:rsid w:val="001B4944"/>
    <w:rsid w:val="00201340"/>
    <w:rsid w:val="002079FB"/>
    <w:rsid w:val="00235D14"/>
    <w:rsid w:val="00295FF5"/>
    <w:rsid w:val="002B73DF"/>
    <w:rsid w:val="002B7CFF"/>
    <w:rsid w:val="002E0A07"/>
    <w:rsid w:val="002F3E99"/>
    <w:rsid w:val="002F6224"/>
    <w:rsid w:val="00317B69"/>
    <w:rsid w:val="00317DD2"/>
    <w:rsid w:val="0032006B"/>
    <w:rsid w:val="0036290B"/>
    <w:rsid w:val="00373DCD"/>
    <w:rsid w:val="00394838"/>
    <w:rsid w:val="003C45C2"/>
    <w:rsid w:val="003E158C"/>
    <w:rsid w:val="00404669"/>
    <w:rsid w:val="00451DF0"/>
    <w:rsid w:val="00456DA4"/>
    <w:rsid w:val="0047011C"/>
    <w:rsid w:val="00496510"/>
    <w:rsid w:val="004A51B4"/>
    <w:rsid w:val="004B5909"/>
    <w:rsid w:val="00500D1A"/>
    <w:rsid w:val="00511D10"/>
    <w:rsid w:val="00520A6C"/>
    <w:rsid w:val="005238C5"/>
    <w:rsid w:val="00537BFE"/>
    <w:rsid w:val="00544B7F"/>
    <w:rsid w:val="0055413D"/>
    <w:rsid w:val="00570517"/>
    <w:rsid w:val="005A77A2"/>
    <w:rsid w:val="005F13D3"/>
    <w:rsid w:val="00602DFE"/>
    <w:rsid w:val="006042C2"/>
    <w:rsid w:val="00617FD8"/>
    <w:rsid w:val="00625301"/>
    <w:rsid w:val="00681928"/>
    <w:rsid w:val="00695FE9"/>
    <w:rsid w:val="006E60FA"/>
    <w:rsid w:val="006F4F2E"/>
    <w:rsid w:val="007266AE"/>
    <w:rsid w:val="00727DB0"/>
    <w:rsid w:val="0073430F"/>
    <w:rsid w:val="0073442E"/>
    <w:rsid w:val="00801BAF"/>
    <w:rsid w:val="00803BDD"/>
    <w:rsid w:val="00832F5B"/>
    <w:rsid w:val="00866DAD"/>
    <w:rsid w:val="00876973"/>
    <w:rsid w:val="008A3696"/>
    <w:rsid w:val="008E0482"/>
    <w:rsid w:val="008E6033"/>
    <w:rsid w:val="008F1298"/>
    <w:rsid w:val="008F4337"/>
    <w:rsid w:val="008F5730"/>
    <w:rsid w:val="008F5B41"/>
    <w:rsid w:val="00900335"/>
    <w:rsid w:val="009E35EC"/>
    <w:rsid w:val="00A31DCB"/>
    <w:rsid w:val="00A43188"/>
    <w:rsid w:val="00A44980"/>
    <w:rsid w:val="00A52F26"/>
    <w:rsid w:val="00A77B3E"/>
    <w:rsid w:val="00A86D95"/>
    <w:rsid w:val="00A91507"/>
    <w:rsid w:val="00AA7336"/>
    <w:rsid w:val="00B0207B"/>
    <w:rsid w:val="00B21B50"/>
    <w:rsid w:val="00B36209"/>
    <w:rsid w:val="00B54536"/>
    <w:rsid w:val="00B60543"/>
    <w:rsid w:val="00B904A3"/>
    <w:rsid w:val="00BC674D"/>
    <w:rsid w:val="00C16C8F"/>
    <w:rsid w:val="00C20CFA"/>
    <w:rsid w:val="00C23528"/>
    <w:rsid w:val="00C4504C"/>
    <w:rsid w:val="00C73C02"/>
    <w:rsid w:val="00C82EFE"/>
    <w:rsid w:val="00CA2A55"/>
    <w:rsid w:val="00CB04B0"/>
    <w:rsid w:val="00CD07A2"/>
    <w:rsid w:val="00CD625E"/>
    <w:rsid w:val="00D0289A"/>
    <w:rsid w:val="00D21823"/>
    <w:rsid w:val="00D2403F"/>
    <w:rsid w:val="00D91604"/>
    <w:rsid w:val="00DA35BB"/>
    <w:rsid w:val="00DB36E4"/>
    <w:rsid w:val="00DD4E13"/>
    <w:rsid w:val="00E03066"/>
    <w:rsid w:val="00E11502"/>
    <w:rsid w:val="00E364BE"/>
    <w:rsid w:val="00E90834"/>
    <w:rsid w:val="00EA2674"/>
    <w:rsid w:val="00EE1E54"/>
    <w:rsid w:val="00F017D7"/>
    <w:rsid w:val="00F407FC"/>
    <w:rsid w:val="00F60163"/>
    <w:rsid w:val="00F64383"/>
    <w:rsid w:val="00F83424"/>
    <w:rsid w:val="00FA3D99"/>
    <w:rsid w:val="00FD37C3"/>
    <w:rsid w:val="00FD6174"/>
    <w:rsid w:val="00FF3567"/>
    <w:rsid w:val="0B196E40"/>
    <w:rsid w:val="36B943E5"/>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AE32DA"/>
  <w15:docId w15:val="{BEC540A3-8FD0-4310-8CD3-B756C7617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nhideWhenUsed="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nhideWhenUsed/>
    <w:rPr>
      <w:sz w:val="20"/>
      <w:szCs w:val="20"/>
    </w:rPr>
  </w:style>
  <w:style w:type="paragraph" w:styleId="a5">
    <w:name w:val="Balloon Text"/>
    <w:basedOn w:val="a"/>
    <w:link w:val="a6"/>
    <w:rPr>
      <w:sz w:val="18"/>
      <w:szCs w:val="18"/>
    </w:rPr>
  </w:style>
  <w:style w:type="paragraph" w:styleId="a7">
    <w:name w:val="footer"/>
    <w:basedOn w:val="a"/>
    <w:link w:val="a8"/>
    <w:uiPriority w:val="99"/>
    <w:unhideWhenUsed/>
    <w:pPr>
      <w:tabs>
        <w:tab w:val="center" w:pos="4153"/>
        <w:tab w:val="right" w:pos="8306"/>
      </w:tabs>
      <w:snapToGrid w:val="0"/>
    </w:pPr>
    <w:rPr>
      <w:sz w:val="18"/>
      <w:szCs w:val="18"/>
    </w:rPr>
  </w:style>
  <w:style w:type="paragraph" w:styleId="a9">
    <w:name w:val="header"/>
    <w:basedOn w:val="a"/>
    <w:link w:val="aa"/>
    <w:unhideWhenUsed/>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semiHidden/>
    <w:unhideWhenUsed/>
    <w:rPr>
      <w:b/>
      <w:bCs/>
    </w:rPr>
  </w:style>
  <w:style w:type="character" w:styleId="ad">
    <w:name w:val="Hyperlink"/>
    <w:basedOn w:val="a0"/>
    <w:unhideWhenUsed/>
    <w:rPr>
      <w:color w:val="0000FF" w:themeColor="hyperlink"/>
      <w:u w:val="single"/>
    </w:rPr>
  </w:style>
  <w:style w:type="character" w:styleId="ae">
    <w:name w:val="annotation reference"/>
    <w:basedOn w:val="a0"/>
    <w:semiHidden/>
    <w:unhideWhenUsed/>
    <w:rPr>
      <w:sz w:val="16"/>
      <w:szCs w:val="18"/>
    </w:rPr>
  </w:style>
  <w:style w:type="character" w:customStyle="1" w:styleId="aa">
    <w:name w:val="页眉 字符"/>
    <w:basedOn w:val="a0"/>
    <w:link w:val="a9"/>
    <w:rPr>
      <w:sz w:val="18"/>
      <w:szCs w:val="18"/>
    </w:rPr>
  </w:style>
  <w:style w:type="character" w:customStyle="1" w:styleId="a8">
    <w:name w:val="页脚 字符"/>
    <w:basedOn w:val="a0"/>
    <w:link w:val="a7"/>
    <w:uiPriority w:val="99"/>
    <w:rPr>
      <w:sz w:val="18"/>
      <w:szCs w:val="18"/>
    </w:rPr>
  </w:style>
  <w:style w:type="paragraph" w:customStyle="1" w:styleId="1">
    <w:name w:val="修订1"/>
    <w:hidden/>
    <w:uiPriority w:val="99"/>
    <w:semiHidden/>
    <w:rPr>
      <w:sz w:val="24"/>
      <w:szCs w:val="24"/>
      <w:lang w:eastAsia="en-US"/>
    </w:rPr>
  </w:style>
  <w:style w:type="character" w:customStyle="1" w:styleId="a6">
    <w:name w:val="批注框文本 字符"/>
    <w:basedOn w:val="a0"/>
    <w:link w:val="a5"/>
    <w:rPr>
      <w:sz w:val="18"/>
      <w:szCs w:val="18"/>
    </w:rPr>
  </w:style>
  <w:style w:type="character" w:customStyle="1" w:styleId="a4">
    <w:name w:val="批注文字 字符"/>
    <w:basedOn w:val="a0"/>
    <w:link w:val="a3"/>
  </w:style>
  <w:style w:type="character" w:customStyle="1" w:styleId="ac">
    <w:name w:val="批注主题 字符"/>
    <w:basedOn w:val="a4"/>
    <w:link w:val="ab"/>
    <w:semiHidden/>
    <w:rPr>
      <w:b/>
      <w:bCs/>
    </w:rPr>
  </w:style>
  <w:style w:type="character" w:customStyle="1" w:styleId="10">
    <w:name w:val="未处理的提及1"/>
    <w:basedOn w:val="a0"/>
    <w:uiPriority w:val="99"/>
    <w:semiHidden/>
    <w:unhideWhenUsed/>
    <w:rPr>
      <w:color w:val="605E5C"/>
      <w:shd w:val="clear" w:color="auto" w:fill="E1DFDD"/>
    </w:rPr>
  </w:style>
  <w:style w:type="character" w:styleId="af">
    <w:name w:val="Unresolved Mention"/>
    <w:basedOn w:val="a0"/>
    <w:uiPriority w:val="99"/>
    <w:semiHidden/>
    <w:unhideWhenUsed/>
    <w:rsid w:val="00F601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wjgnet.com/1007-9327/full/v29/i10/1569.htm" TargetMode="Externa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54</Pages>
  <Words>14748</Words>
  <Characters>84066</Characters>
  <Application>Microsoft Office Word</Application>
  <DocSecurity>0</DocSecurity>
  <Lines>700</Lines>
  <Paragraphs>197</Paragraphs>
  <ScaleCrop>false</ScaleCrop>
  <Company/>
  <LinksUpToDate>false</LinksUpToDate>
  <CharactersWithSpaces>98617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zhanghan</dc:creator>
  <cp:lastModifiedBy>Li Jia-Hui</cp:lastModifiedBy>
  <cp:revision>9</cp:revision>
  <dcterms:created xsi:type="dcterms:W3CDTF">2023-03-06T01:52:00Z</dcterms:created>
  <dcterms:modified xsi:type="dcterms:W3CDTF">2023-03-14T06:56:00Z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DA154D6078564FF79F897329EA1D7BFA</vt:lpwstr>
  </property>
</Properties>
</file>