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0136"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2A735760"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7742"/>
        <w:gridCol w:w="627"/>
        <w:gridCol w:w="4056"/>
      </w:tblGrid>
      <w:tr w:rsidR="00191A23" w:rsidRPr="0022554A" w14:paraId="3648D3CB" w14:textId="77777777" w:rsidTr="0070734F">
        <w:tc>
          <w:tcPr>
            <w:tcW w:w="1951" w:type="dxa"/>
          </w:tcPr>
          <w:p w14:paraId="25EBC0CA"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604FC0B9"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6EA17403"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236" w:type="dxa"/>
          </w:tcPr>
          <w:p w14:paraId="42EC8C21"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4158" w:type="dxa"/>
          </w:tcPr>
          <w:p w14:paraId="07C89D57"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3A9DCC90" w14:textId="77777777" w:rsidTr="0070734F">
        <w:tc>
          <w:tcPr>
            <w:tcW w:w="1951" w:type="dxa"/>
            <w:vMerge w:val="restart"/>
          </w:tcPr>
          <w:p w14:paraId="22F1EDA3" w14:textId="406B2DEF"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3636465B" w14:textId="77777777" w:rsidR="00191A23" w:rsidRPr="0022554A" w:rsidRDefault="00191A23" w:rsidP="0022554A">
            <w:pPr>
              <w:tabs>
                <w:tab w:val="left" w:pos="5400"/>
              </w:tabs>
              <w:jc w:val="center"/>
              <w:rPr>
                <w:sz w:val="20"/>
              </w:rPr>
            </w:pPr>
            <w:r w:rsidRPr="0022554A">
              <w:rPr>
                <w:sz w:val="20"/>
              </w:rPr>
              <w:t>1</w:t>
            </w:r>
          </w:p>
        </w:tc>
        <w:tc>
          <w:tcPr>
            <w:tcW w:w="8031" w:type="dxa"/>
          </w:tcPr>
          <w:p w14:paraId="5B35D71D"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236" w:type="dxa"/>
          </w:tcPr>
          <w:p w14:paraId="3B8A6D5F" w14:textId="2E35D2A8" w:rsidR="00191A23" w:rsidRPr="0022554A" w:rsidRDefault="0070734F" w:rsidP="0070734F">
            <w:pPr>
              <w:tabs>
                <w:tab w:val="left" w:pos="5400"/>
              </w:tabs>
              <w:jc w:val="center"/>
              <w:rPr>
                <w:sz w:val="20"/>
              </w:rPr>
            </w:pPr>
            <w:r>
              <w:rPr>
                <w:sz w:val="20"/>
              </w:rPr>
              <w:t>1</w:t>
            </w:r>
          </w:p>
        </w:tc>
        <w:tc>
          <w:tcPr>
            <w:tcW w:w="4158" w:type="dxa"/>
          </w:tcPr>
          <w:p w14:paraId="48929653" w14:textId="3915FD09" w:rsidR="00191A23" w:rsidRPr="0022554A" w:rsidRDefault="0070734F" w:rsidP="0022554A">
            <w:pPr>
              <w:tabs>
                <w:tab w:val="left" w:pos="5400"/>
              </w:tabs>
              <w:rPr>
                <w:sz w:val="20"/>
              </w:rPr>
            </w:pPr>
            <w:r w:rsidRPr="00F76993">
              <w:rPr>
                <w:szCs w:val="24"/>
              </w:rPr>
              <w:t>Between January 20</w:t>
            </w:r>
            <w:r>
              <w:rPr>
                <w:szCs w:val="24"/>
              </w:rPr>
              <w:t>09</w:t>
            </w:r>
            <w:r w:rsidRPr="00F76993">
              <w:rPr>
                <w:szCs w:val="24"/>
              </w:rPr>
              <w:t xml:space="preserve"> and December 2020, 247 patients underwent surgery for the hydatic disease of the liver in our department. Out of the 247 patients, </w:t>
            </w:r>
            <w:r>
              <w:rPr>
                <w:szCs w:val="24"/>
              </w:rPr>
              <w:t>70</w:t>
            </w:r>
            <w:r w:rsidRPr="00F76993">
              <w:rPr>
                <w:szCs w:val="24"/>
              </w:rPr>
              <w:t xml:space="preserve"> patients underwent laparoscopic treatment. </w:t>
            </w:r>
            <w:r>
              <w:rPr>
                <w:szCs w:val="24"/>
              </w:rPr>
              <w:t>A retrospective analysis between the two groups was performed</w:t>
            </w:r>
          </w:p>
        </w:tc>
      </w:tr>
      <w:tr w:rsidR="00191A23" w:rsidRPr="0022554A" w14:paraId="3AA1B979" w14:textId="77777777" w:rsidTr="0070734F">
        <w:tc>
          <w:tcPr>
            <w:tcW w:w="1951" w:type="dxa"/>
            <w:vMerge/>
          </w:tcPr>
          <w:p w14:paraId="52BD850E"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4BA654A2" w14:textId="77777777" w:rsidR="00191A23" w:rsidRPr="0022554A" w:rsidRDefault="00191A23" w:rsidP="0022554A">
            <w:pPr>
              <w:tabs>
                <w:tab w:val="left" w:pos="5400"/>
              </w:tabs>
              <w:jc w:val="center"/>
              <w:rPr>
                <w:sz w:val="20"/>
              </w:rPr>
            </w:pPr>
          </w:p>
        </w:tc>
        <w:tc>
          <w:tcPr>
            <w:tcW w:w="8031" w:type="dxa"/>
          </w:tcPr>
          <w:p w14:paraId="4709AFEE"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236" w:type="dxa"/>
          </w:tcPr>
          <w:p w14:paraId="59AF1893" w14:textId="32EAD43D" w:rsidR="00191A23" w:rsidRPr="0022554A" w:rsidRDefault="0070734F" w:rsidP="0070734F">
            <w:pPr>
              <w:tabs>
                <w:tab w:val="left" w:pos="5400"/>
              </w:tabs>
              <w:jc w:val="center"/>
              <w:rPr>
                <w:sz w:val="20"/>
              </w:rPr>
            </w:pPr>
            <w:r>
              <w:rPr>
                <w:sz w:val="20"/>
              </w:rPr>
              <w:t>1</w:t>
            </w:r>
          </w:p>
        </w:tc>
        <w:tc>
          <w:tcPr>
            <w:tcW w:w="4158" w:type="dxa"/>
          </w:tcPr>
          <w:p w14:paraId="072C7507" w14:textId="77777777" w:rsidR="0070734F" w:rsidRPr="00F76993" w:rsidRDefault="0070734F" w:rsidP="0070734F">
            <w:pPr>
              <w:rPr>
                <w:szCs w:val="24"/>
              </w:rPr>
            </w:pPr>
            <w:r w:rsidRPr="00F76993">
              <w:rPr>
                <w:szCs w:val="24"/>
              </w:rPr>
              <w:t>Results:</w:t>
            </w:r>
            <w:r>
              <w:rPr>
                <w:szCs w:val="24"/>
              </w:rPr>
              <w:t xml:space="preserve"> There were statistically significant differences regarding the cyst dimension, location and presence of </w:t>
            </w:r>
            <w:proofErr w:type="spellStart"/>
            <w:r>
              <w:rPr>
                <w:szCs w:val="24"/>
              </w:rPr>
              <w:t>cystobiliary</w:t>
            </w:r>
            <w:proofErr w:type="spellEnd"/>
            <w:r>
              <w:rPr>
                <w:szCs w:val="24"/>
              </w:rPr>
              <w:t xml:space="preserve"> fistula.</w:t>
            </w:r>
            <w:r w:rsidRPr="00F76993">
              <w:rPr>
                <w:szCs w:val="24"/>
              </w:rPr>
              <w:t xml:space="preserve"> There were no intraoperative complications in the laparoscopic grou</w:t>
            </w:r>
            <w:r>
              <w:rPr>
                <w:szCs w:val="24"/>
              </w:rPr>
              <w:t>p</w:t>
            </w:r>
            <w:r w:rsidRPr="00F76993">
              <w:rPr>
                <w:szCs w:val="24"/>
              </w:rPr>
              <w:t>.</w:t>
            </w:r>
            <w:r>
              <w:rPr>
                <w:szCs w:val="24"/>
              </w:rPr>
              <w:t xml:space="preserve"> </w:t>
            </w:r>
            <w:r w:rsidRPr="00F76993">
              <w:rPr>
                <w:szCs w:val="24"/>
              </w:rPr>
              <w:t xml:space="preserve">The </w:t>
            </w:r>
            <w:proofErr w:type="spellStart"/>
            <w:r w:rsidRPr="00F76993">
              <w:rPr>
                <w:szCs w:val="24"/>
              </w:rPr>
              <w:t>cutoff</w:t>
            </w:r>
            <w:proofErr w:type="spellEnd"/>
            <w:r w:rsidRPr="00F76993">
              <w:rPr>
                <w:szCs w:val="24"/>
              </w:rPr>
              <w:t xml:space="preserve"> value for the cyst size regarding the presence of </w:t>
            </w:r>
            <w:proofErr w:type="spellStart"/>
            <w:r w:rsidRPr="00F76993">
              <w:rPr>
                <w:szCs w:val="24"/>
              </w:rPr>
              <w:t>cystobiliary</w:t>
            </w:r>
            <w:proofErr w:type="spellEnd"/>
            <w:r w:rsidRPr="00F76993">
              <w:rPr>
                <w:szCs w:val="24"/>
              </w:rPr>
              <w:t xml:space="preserve"> fistula was 6.85 cm (p=0.001).</w:t>
            </w:r>
          </w:p>
          <w:p w14:paraId="2D4E9473" w14:textId="77777777" w:rsidR="00191A23" w:rsidRPr="0022554A" w:rsidRDefault="00191A23" w:rsidP="0022554A">
            <w:pPr>
              <w:tabs>
                <w:tab w:val="left" w:pos="5400"/>
              </w:tabs>
              <w:rPr>
                <w:sz w:val="20"/>
              </w:rPr>
            </w:pPr>
          </w:p>
        </w:tc>
      </w:tr>
      <w:tr w:rsidR="00191A23" w:rsidRPr="0022554A" w14:paraId="2BB184B3" w14:textId="77777777" w:rsidTr="0070734F">
        <w:tc>
          <w:tcPr>
            <w:tcW w:w="10829" w:type="dxa"/>
            <w:gridSpan w:val="4"/>
          </w:tcPr>
          <w:p w14:paraId="69552B8D"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4163" w:type="dxa"/>
          </w:tcPr>
          <w:p w14:paraId="03749CD7" w14:textId="77777777" w:rsidR="00191A23" w:rsidRPr="0022554A" w:rsidRDefault="00191A23" w:rsidP="0022554A">
            <w:pPr>
              <w:pStyle w:val="TableSubHead"/>
              <w:tabs>
                <w:tab w:val="left" w:pos="5400"/>
              </w:tabs>
              <w:rPr>
                <w:sz w:val="20"/>
              </w:rPr>
            </w:pPr>
          </w:p>
        </w:tc>
      </w:tr>
      <w:tr w:rsidR="00191A23" w:rsidRPr="0022554A" w14:paraId="0F4FBF07" w14:textId="77777777" w:rsidTr="0070734F">
        <w:tc>
          <w:tcPr>
            <w:tcW w:w="1951" w:type="dxa"/>
          </w:tcPr>
          <w:p w14:paraId="543CA164" w14:textId="05C3C3DB"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3508556A" w14:textId="77777777" w:rsidR="00191A23" w:rsidRPr="0022554A" w:rsidRDefault="00191A23" w:rsidP="0022554A">
            <w:pPr>
              <w:tabs>
                <w:tab w:val="left" w:pos="5400"/>
              </w:tabs>
              <w:jc w:val="center"/>
              <w:rPr>
                <w:sz w:val="20"/>
              </w:rPr>
            </w:pPr>
            <w:r w:rsidRPr="0022554A">
              <w:rPr>
                <w:sz w:val="20"/>
              </w:rPr>
              <w:t>2</w:t>
            </w:r>
          </w:p>
        </w:tc>
        <w:tc>
          <w:tcPr>
            <w:tcW w:w="8031" w:type="dxa"/>
          </w:tcPr>
          <w:p w14:paraId="1BC1A66A"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236" w:type="dxa"/>
          </w:tcPr>
          <w:p w14:paraId="6F1A015A" w14:textId="4033543B" w:rsidR="00191A23" w:rsidRPr="0022554A" w:rsidRDefault="0070734F" w:rsidP="0070734F">
            <w:pPr>
              <w:tabs>
                <w:tab w:val="left" w:pos="5400"/>
              </w:tabs>
              <w:jc w:val="center"/>
              <w:rPr>
                <w:sz w:val="20"/>
              </w:rPr>
            </w:pPr>
            <w:r>
              <w:rPr>
                <w:sz w:val="20"/>
              </w:rPr>
              <w:t>1/2</w:t>
            </w:r>
          </w:p>
        </w:tc>
        <w:tc>
          <w:tcPr>
            <w:tcW w:w="4158" w:type="dxa"/>
          </w:tcPr>
          <w:p w14:paraId="53B2D986" w14:textId="067A949C" w:rsidR="00191A23" w:rsidRPr="0022554A" w:rsidRDefault="0070734F" w:rsidP="0022554A">
            <w:pPr>
              <w:tabs>
                <w:tab w:val="left" w:pos="5400"/>
              </w:tabs>
              <w:rPr>
                <w:sz w:val="20"/>
              </w:rPr>
            </w:pPr>
            <w:r w:rsidRPr="00F76993">
              <w:rPr>
                <w:szCs w:val="24"/>
              </w:rPr>
              <w:t xml:space="preserve">Despite surgery remaining the treatment of choice, an increased interest in non-surgical techniques is encountered in the current literature. Since the open procedures present with a higher risk of morbidity, the laparoscopic approach grew in popularity, although the benefits that laparoscopy provides, and the risk of </w:t>
            </w:r>
            <w:r w:rsidRPr="00F76993">
              <w:rPr>
                <w:szCs w:val="24"/>
              </w:rPr>
              <w:lastRenderedPageBreak/>
              <w:t>recurrence remains debatable</w:t>
            </w:r>
          </w:p>
        </w:tc>
      </w:tr>
      <w:tr w:rsidR="00191A23" w:rsidRPr="0022554A" w14:paraId="18CA703E" w14:textId="77777777" w:rsidTr="0070734F">
        <w:tc>
          <w:tcPr>
            <w:tcW w:w="1951" w:type="dxa"/>
          </w:tcPr>
          <w:p w14:paraId="01601EC0"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lastRenderedPageBreak/>
              <w:t>Objectives</w:t>
            </w:r>
          </w:p>
        </w:tc>
        <w:tc>
          <w:tcPr>
            <w:tcW w:w="616" w:type="dxa"/>
          </w:tcPr>
          <w:p w14:paraId="5F886FDC" w14:textId="77777777" w:rsidR="00191A23" w:rsidRPr="0022554A" w:rsidRDefault="00191A23" w:rsidP="0022554A">
            <w:pPr>
              <w:tabs>
                <w:tab w:val="left" w:pos="5400"/>
              </w:tabs>
              <w:jc w:val="center"/>
              <w:rPr>
                <w:sz w:val="20"/>
              </w:rPr>
            </w:pPr>
            <w:r w:rsidRPr="0022554A">
              <w:rPr>
                <w:sz w:val="20"/>
              </w:rPr>
              <w:t>3</w:t>
            </w:r>
          </w:p>
        </w:tc>
        <w:tc>
          <w:tcPr>
            <w:tcW w:w="8031" w:type="dxa"/>
          </w:tcPr>
          <w:p w14:paraId="10382909"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236" w:type="dxa"/>
          </w:tcPr>
          <w:p w14:paraId="558B029A" w14:textId="20589E40" w:rsidR="00191A23" w:rsidRPr="0022554A" w:rsidRDefault="0070734F" w:rsidP="0022554A">
            <w:pPr>
              <w:tabs>
                <w:tab w:val="left" w:pos="5400"/>
              </w:tabs>
              <w:rPr>
                <w:sz w:val="20"/>
              </w:rPr>
            </w:pPr>
            <w:r>
              <w:rPr>
                <w:sz w:val="20"/>
              </w:rPr>
              <w:t>2</w:t>
            </w:r>
          </w:p>
        </w:tc>
        <w:tc>
          <w:tcPr>
            <w:tcW w:w="4158" w:type="dxa"/>
          </w:tcPr>
          <w:p w14:paraId="50EFC0F6" w14:textId="02BBC9AE" w:rsidR="00191A23" w:rsidRPr="0022554A" w:rsidRDefault="0070734F" w:rsidP="0022554A">
            <w:pPr>
              <w:tabs>
                <w:tab w:val="left" w:pos="5400"/>
              </w:tabs>
              <w:rPr>
                <w:sz w:val="20"/>
              </w:rPr>
            </w:pPr>
            <w:r w:rsidRPr="00F76993">
              <w:rPr>
                <w:szCs w:val="24"/>
              </w:rPr>
              <w:t>This retrospective study evaluates the results of the laparoscopic treatment of the hydatic disease of the liver, compared to the open approach in the context of a 1</w:t>
            </w:r>
            <w:r>
              <w:rPr>
                <w:szCs w:val="24"/>
              </w:rPr>
              <w:t>2</w:t>
            </w:r>
            <w:r w:rsidRPr="00F76993">
              <w:rPr>
                <w:szCs w:val="24"/>
              </w:rPr>
              <w:t>-year single institution experience in terms of the morphological characteristics of the cysts and the perioperative parameters</w:t>
            </w:r>
          </w:p>
        </w:tc>
      </w:tr>
      <w:tr w:rsidR="00191A23" w:rsidRPr="0022554A" w14:paraId="0938D4C8" w14:textId="77777777" w:rsidTr="0070734F">
        <w:tc>
          <w:tcPr>
            <w:tcW w:w="10829" w:type="dxa"/>
            <w:gridSpan w:val="4"/>
          </w:tcPr>
          <w:p w14:paraId="2940A9F4"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4163" w:type="dxa"/>
          </w:tcPr>
          <w:p w14:paraId="30C4CEA8" w14:textId="77777777" w:rsidR="00191A23" w:rsidRPr="0022554A" w:rsidRDefault="00191A23" w:rsidP="0022554A">
            <w:pPr>
              <w:pStyle w:val="TableSubHead"/>
              <w:tabs>
                <w:tab w:val="left" w:pos="5400"/>
              </w:tabs>
              <w:rPr>
                <w:sz w:val="20"/>
              </w:rPr>
            </w:pPr>
          </w:p>
        </w:tc>
      </w:tr>
      <w:tr w:rsidR="00191A23" w:rsidRPr="0022554A" w14:paraId="4CEFB957" w14:textId="77777777" w:rsidTr="0070734F">
        <w:tc>
          <w:tcPr>
            <w:tcW w:w="1951" w:type="dxa"/>
          </w:tcPr>
          <w:p w14:paraId="6447B6A6"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2E36EEC6" w14:textId="77777777" w:rsidR="00191A23" w:rsidRPr="0022554A" w:rsidRDefault="00191A23" w:rsidP="0022554A">
            <w:pPr>
              <w:tabs>
                <w:tab w:val="left" w:pos="5400"/>
              </w:tabs>
              <w:jc w:val="center"/>
              <w:rPr>
                <w:sz w:val="20"/>
              </w:rPr>
            </w:pPr>
            <w:r w:rsidRPr="0022554A">
              <w:rPr>
                <w:sz w:val="20"/>
              </w:rPr>
              <w:t>4</w:t>
            </w:r>
          </w:p>
        </w:tc>
        <w:tc>
          <w:tcPr>
            <w:tcW w:w="8031" w:type="dxa"/>
          </w:tcPr>
          <w:p w14:paraId="0C72EE0F"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236" w:type="dxa"/>
          </w:tcPr>
          <w:p w14:paraId="30237DE8" w14:textId="5DB92C26" w:rsidR="00191A23" w:rsidRPr="0022554A" w:rsidRDefault="0070734F" w:rsidP="0022554A">
            <w:pPr>
              <w:tabs>
                <w:tab w:val="left" w:pos="5400"/>
              </w:tabs>
              <w:rPr>
                <w:sz w:val="20"/>
              </w:rPr>
            </w:pPr>
            <w:r>
              <w:rPr>
                <w:sz w:val="20"/>
              </w:rPr>
              <w:t>2</w:t>
            </w:r>
          </w:p>
        </w:tc>
        <w:tc>
          <w:tcPr>
            <w:tcW w:w="4158" w:type="dxa"/>
          </w:tcPr>
          <w:p w14:paraId="23DF9D3A" w14:textId="77777777" w:rsidR="0070734F" w:rsidRDefault="0070734F" w:rsidP="0070734F">
            <w:pPr>
              <w:ind w:firstLine="720"/>
              <w:rPr>
                <w:szCs w:val="24"/>
              </w:rPr>
            </w:pPr>
            <w:r w:rsidRPr="00F76993">
              <w:rPr>
                <w:szCs w:val="24"/>
              </w:rPr>
              <w:t>Out of the 247 patients, 77 underwent laparoscopic treatment out of which 7 required conversions to open surgery. Therefore, two groups were created, the first group</w:t>
            </w:r>
            <w:r>
              <w:rPr>
                <w:szCs w:val="24"/>
              </w:rPr>
              <w:t xml:space="preserve"> (group A)</w:t>
            </w:r>
            <w:r w:rsidRPr="00F76993">
              <w:rPr>
                <w:szCs w:val="24"/>
              </w:rPr>
              <w:t xml:space="preserve"> comprised of 70 patients which underwent laparoscopic treatment, and the second group</w:t>
            </w:r>
            <w:r>
              <w:rPr>
                <w:szCs w:val="24"/>
              </w:rPr>
              <w:t xml:space="preserve"> (group B)</w:t>
            </w:r>
            <w:r w:rsidRPr="00F76993">
              <w:rPr>
                <w:szCs w:val="24"/>
              </w:rPr>
              <w:t xml:space="preserve"> of 170 patients who underwent open surgery</w:t>
            </w:r>
            <w:r>
              <w:rPr>
                <w:szCs w:val="24"/>
              </w:rPr>
              <w:t>.</w:t>
            </w:r>
            <w:r w:rsidRPr="00F76993">
              <w:rPr>
                <w:szCs w:val="24"/>
              </w:rPr>
              <w:t xml:space="preserve"> In both</w:t>
            </w:r>
            <w:r>
              <w:rPr>
                <w:szCs w:val="24"/>
              </w:rPr>
              <w:t xml:space="preserve"> </w:t>
            </w:r>
            <w:r w:rsidRPr="00F76993">
              <w:rPr>
                <w:szCs w:val="24"/>
              </w:rPr>
              <w:t>groups, there were 73 patients with cysto-biliary communication. Associated cholecystectomy was performed in 62 of the cases.</w:t>
            </w:r>
          </w:p>
          <w:p w14:paraId="5CA1F98F" w14:textId="77777777" w:rsidR="00191A23" w:rsidRPr="0022554A" w:rsidRDefault="00191A23" w:rsidP="0022554A">
            <w:pPr>
              <w:tabs>
                <w:tab w:val="left" w:pos="5400"/>
              </w:tabs>
              <w:rPr>
                <w:sz w:val="20"/>
              </w:rPr>
            </w:pPr>
          </w:p>
        </w:tc>
      </w:tr>
      <w:tr w:rsidR="00191A23" w:rsidRPr="0022554A" w14:paraId="67D810DD" w14:textId="77777777" w:rsidTr="0070734F">
        <w:tc>
          <w:tcPr>
            <w:tcW w:w="1951" w:type="dxa"/>
          </w:tcPr>
          <w:p w14:paraId="23A62901"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387FE281" w14:textId="77777777" w:rsidR="00191A23" w:rsidRPr="0022554A" w:rsidRDefault="00191A23" w:rsidP="0022554A">
            <w:pPr>
              <w:tabs>
                <w:tab w:val="left" w:pos="5400"/>
              </w:tabs>
              <w:jc w:val="center"/>
              <w:rPr>
                <w:sz w:val="20"/>
              </w:rPr>
            </w:pPr>
            <w:r w:rsidRPr="0022554A">
              <w:rPr>
                <w:sz w:val="20"/>
              </w:rPr>
              <w:t>5</w:t>
            </w:r>
          </w:p>
        </w:tc>
        <w:tc>
          <w:tcPr>
            <w:tcW w:w="8031" w:type="dxa"/>
          </w:tcPr>
          <w:p w14:paraId="1D215238"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236" w:type="dxa"/>
          </w:tcPr>
          <w:p w14:paraId="225C02A4" w14:textId="24FC5271" w:rsidR="00191A23" w:rsidRPr="0022554A" w:rsidRDefault="0070734F" w:rsidP="0022554A">
            <w:pPr>
              <w:tabs>
                <w:tab w:val="left" w:pos="5400"/>
              </w:tabs>
              <w:rPr>
                <w:sz w:val="20"/>
              </w:rPr>
            </w:pPr>
            <w:r>
              <w:rPr>
                <w:sz w:val="20"/>
              </w:rPr>
              <w:t>2</w:t>
            </w:r>
          </w:p>
        </w:tc>
        <w:tc>
          <w:tcPr>
            <w:tcW w:w="4158" w:type="dxa"/>
          </w:tcPr>
          <w:p w14:paraId="3EDE0E51" w14:textId="5D5D7448" w:rsidR="00191A23" w:rsidRPr="0022554A" w:rsidRDefault="0070734F" w:rsidP="0022554A">
            <w:pPr>
              <w:tabs>
                <w:tab w:val="left" w:pos="5400"/>
              </w:tabs>
              <w:rPr>
                <w:sz w:val="20"/>
              </w:rPr>
            </w:pPr>
            <w:r w:rsidRPr="00F76993">
              <w:rPr>
                <w:szCs w:val="24"/>
              </w:rPr>
              <w:t>Between January 20</w:t>
            </w:r>
            <w:r>
              <w:rPr>
                <w:szCs w:val="24"/>
              </w:rPr>
              <w:t>09</w:t>
            </w:r>
            <w:r w:rsidRPr="00F76993">
              <w:rPr>
                <w:szCs w:val="24"/>
              </w:rPr>
              <w:t xml:space="preserve"> and December 2020, 247 patients underwent surgery for the hydatic disease of the liver in our surgical department. Patients were reviewed retrospectively.</w:t>
            </w:r>
          </w:p>
        </w:tc>
      </w:tr>
      <w:bookmarkEnd w:id="25"/>
      <w:bookmarkEnd w:id="26"/>
      <w:tr w:rsidR="00191A23" w:rsidRPr="0022554A" w14:paraId="4CC73C50" w14:textId="77777777" w:rsidTr="0070734F">
        <w:tc>
          <w:tcPr>
            <w:tcW w:w="1951" w:type="dxa"/>
            <w:vMerge w:val="restart"/>
          </w:tcPr>
          <w:p w14:paraId="670BED83"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4FA3A4C3" w14:textId="77777777" w:rsidR="00191A23" w:rsidRPr="0022554A" w:rsidRDefault="00191A23" w:rsidP="0022554A">
            <w:pPr>
              <w:tabs>
                <w:tab w:val="left" w:pos="5400"/>
              </w:tabs>
              <w:jc w:val="center"/>
              <w:rPr>
                <w:sz w:val="20"/>
              </w:rPr>
            </w:pPr>
            <w:r w:rsidRPr="0022554A">
              <w:rPr>
                <w:sz w:val="20"/>
              </w:rPr>
              <w:t>6</w:t>
            </w:r>
          </w:p>
        </w:tc>
        <w:tc>
          <w:tcPr>
            <w:tcW w:w="8031" w:type="dxa"/>
          </w:tcPr>
          <w:p w14:paraId="53F4B570"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6DE17967" w14:textId="77777777" w:rsidR="00191A23" w:rsidRPr="0022554A" w:rsidRDefault="00191A23" w:rsidP="0022554A">
            <w:pPr>
              <w:tabs>
                <w:tab w:val="left" w:pos="5400"/>
              </w:tabs>
              <w:rPr>
                <w:sz w:val="20"/>
              </w:rPr>
            </w:pPr>
            <w:r w:rsidRPr="0022554A">
              <w:rPr>
                <w:i/>
                <w:sz w:val="20"/>
              </w:rPr>
              <w:lastRenderedPageBreak/>
              <w:t>Case-control study</w:t>
            </w:r>
            <w:r w:rsidRPr="0022554A">
              <w:rPr>
                <w:sz w:val="20"/>
              </w:rPr>
              <w:t>—Give the eligibility criteria, and the sources and methods of case ascertainment and control selection. Give the rationale for the choice of cases and controls</w:t>
            </w:r>
          </w:p>
          <w:p w14:paraId="7DFB5DF3"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236" w:type="dxa"/>
          </w:tcPr>
          <w:p w14:paraId="2F502518" w14:textId="37A86AFB" w:rsidR="00191A23" w:rsidRPr="0022554A" w:rsidRDefault="0070734F" w:rsidP="0022554A">
            <w:pPr>
              <w:tabs>
                <w:tab w:val="left" w:pos="5400"/>
              </w:tabs>
              <w:rPr>
                <w:sz w:val="20"/>
              </w:rPr>
            </w:pPr>
            <w:r>
              <w:rPr>
                <w:sz w:val="20"/>
              </w:rPr>
              <w:lastRenderedPageBreak/>
              <w:t>2/3</w:t>
            </w:r>
          </w:p>
        </w:tc>
        <w:tc>
          <w:tcPr>
            <w:tcW w:w="4158" w:type="dxa"/>
          </w:tcPr>
          <w:p w14:paraId="2769F37F" w14:textId="66CFF43F" w:rsidR="00191A23" w:rsidRDefault="0070734F" w:rsidP="0022554A">
            <w:pPr>
              <w:tabs>
                <w:tab w:val="left" w:pos="5400"/>
              </w:tabs>
              <w:rPr>
                <w:szCs w:val="24"/>
              </w:rPr>
            </w:pPr>
            <w:r>
              <w:rPr>
                <w:szCs w:val="24"/>
              </w:rPr>
              <w:t xml:space="preserve">The primary inclusion criteria were patients who underwent surgery for </w:t>
            </w:r>
            <w:r>
              <w:rPr>
                <w:szCs w:val="24"/>
              </w:rPr>
              <w:lastRenderedPageBreak/>
              <w:t>hydatid disease of the liver, patients over 18 years who signed the informed consent. Exclusion criteria were patients with incomplete records, lack of signed informed consent, patients with spontaneous rupture,</w:t>
            </w:r>
            <w:r>
              <w:rPr>
                <w:szCs w:val="24"/>
              </w:rPr>
              <w:t xml:space="preserve"> </w:t>
            </w:r>
            <w:r>
              <w:rPr>
                <w:szCs w:val="24"/>
              </w:rPr>
              <w:t>patients who underwent conversion to open surgery or patients who underwent percutaneous treatment. There were no exclusion criteria regarding cyst location, cyst size or number of cysts.</w:t>
            </w:r>
          </w:p>
          <w:p w14:paraId="33DB11EA" w14:textId="77777777" w:rsidR="0070734F" w:rsidRDefault="0070734F" w:rsidP="0022554A">
            <w:pPr>
              <w:tabs>
                <w:tab w:val="left" w:pos="5400"/>
              </w:tabs>
              <w:rPr>
                <w:szCs w:val="24"/>
              </w:rPr>
            </w:pPr>
          </w:p>
          <w:p w14:paraId="30ABE043" w14:textId="26AF1785" w:rsidR="0070734F" w:rsidRPr="0022554A" w:rsidRDefault="0070734F" w:rsidP="0022554A">
            <w:pPr>
              <w:tabs>
                <w:tab w:val="left" w:pos="5400"/>
              </w:tabs>
              <w:rPr>
                <w:sz w:val="20"/>
              </w:rPr>
            </w:pPr>
            <w:r w:rsidRPr="00F76993">
              <w:rPr>
                <w:szCs w:val="24"/>
              </w:rPr>
              <w:t>two groups were created, the first group</w:t>
            </w:r>
            <w:r>
              <w:rPr>
                <w:szCs w:val="24"/>
              </w:rPr>
              <w:t xml:space="preserve"> (group A)</w:t>
            </w:r>
            <w:r w:rsidRPr="00F76993">
              <w:rPr>
                <w:szCs w:val="24"/>
              </w:rPr>
              <w:t xml:space="preserve"> comprised of 70 patients which underwent laparoscopic treatment, and the second group</w:t>
            </w:r>
            <w:r>
              <w:rPr>
                <w:szCs w:val="24"/>
              </w:rPr>
              <w:t xml:space="preserve"> (group B)</w:t>
            </w:r>
            <w:r w:rsidRPr="00F76993">
              <w:rPr>
                <w:szCs w:val="24"/>
              </w:rPr>
              <w:t xml:space="preserve"> of 170 patients who underwent open surgery</w:t>
            </w:r>
          </w:p>
        </w:tc>
      </w:tr>
      <w:tr w:rsidR="00191A23" w:rsidRPr="0022554A" w14:paraId="5357828D" w14:textId="77777777" w:rsidTr="0070734F">
        <w:tc>
          <w:tcPr>
            <w:tcW w:w="1951" w:type="dxa"/>
            <w:vMerge/>
          </w:tcPr>
          <w:p w14:paraId="126197F7"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450F9C79" w14:textId="77777777" w:rsidR="00191A23" w:rsidRPr="0022554A" w:rsidRDefault="00191A23" w:rsidP="0022554A">
            <w:pPr>
              <w:tabs>
                <w:tab w:val="left" w:pos="5400"/>
              </w:tabs>
              <w:jc w:val="center"/>
              <w:rPr>
                <w:sz w:val="20"/>
              </w:rPr>
            </w:pPr>
          </w:p>
        </w:tc>
        <w:tc>
          <w:tcPr>
            <w:tcW w:w="8031" w:type="dxa"/>
          </w:tcPr>
          <w:p w14:paraId="02F29B36"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30392482"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236" w:type="dxa"/>
          </w:tcPr>
          <w:p w14:paraId="1B3A6A6B" w14:textId="77777777" w:rsidR="00191A23" w:rsidRPr="0022554A" w:rsidRDefault="00191A23" w:rsidP="0022554A">
            <w:pPr>
              <w:tabs>
                <w:tab w:val="left" w:pos="5400"/>
              </w:tabs>
              <w:rPr>
                <w:sz w:val="20"/>
              </w:rPr>
            </w:pPr>
          </w:p>
        </w:tc>
        <w:tc>
          <w:tcPr>
            <w:tcW w:w="4158" w:type="dxa"/>
          </w:tcPr>
          <w:p w14:paraId="2B115786" w14:textId="77777777" w:rsidR="00191A23" w:rsidRPr="0022554A" w:rsidRDefault="00191A23" w:rsidP="0022554A">
            <w:pPr>
              <w:tabs>
                <w:tab w:val="left" w:pos="5400"/>
              </w:tabs>
              <w:rPr>
                <w:sz w:val="20"/>
              </w:rPr>
            </w:pPr>
          </w:p>
        </w:tc>
      </w:tr>
      <w:tr w:rsidR="00191A23" w:rsidRPr="0022554A" w14:paraId="26AAB7DF" w14:textId="77777777" w:rsidTr="0070734F">
        <w:tc>
          <w:tcPr>
            <w:tcW w:w="1951" w:type="dxa"/>
          </w:tcPr>
          <w:p w14:paraId="5F383104"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09BD3F79" w14:textId="77777777" w:rsidR="00191A23" w:rsidRPr="0022554A" w:rsidRDefault="00191A23" w:rsidP="0022554A">
            <w:pPr>
              <w:tabs>
                <w:tab w:val="left" w:pos="5400"/>
              </w:tabs>
              <w:jc w:val="center"/>
              <w:rPr>
                <w:sz w:val="20"/>
              </w:rPr>
            </w:pPr>
            <w:r w:rsidRPr="0022554A">
              <w:rPr>
                <w:sz w:val="20"/>
              </w:rPr>
              <w:t>7</w:t>
            </w:r>
          </w:p>
        </w:tc>
        <w:tc>
          <w:tcPr>
            <w:tcW w:w="8031" w:type="dxa"/>
          </w:tcPr>
          <w:p w14:paraId="3C38B057"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236" w:type="dxa"/>
          </w:tcPr>
          <w:p w14:paraId="65D1D9F6" w14:textId="77777777" w:rsidR="00191A23" w:rsidRPr="0022554A" w:rsidRDefault="00191A23" w:rsidP="0022554A">
            <w:pPr>
              <w:tabs>
                <w:tab w:val="left" w:pos="5400"/>
              </w:tabs>
              <w:rPr>
                <w:sz w:val="20"/>
              </w:rPr>
            </w:pPr>
          </w:p>
        </w:tc>
        <w:tc>
          <w:tcPr>
            <w:tcW w:w="4158" w:type="dxa"/>
          </w:tcPr>
          <w:p w14:paraId="3EA3A2D6" w14:textId="77777777" w:rsidR="00191A23" w:rsidRPr="0022554A" w:rsidRDefault="00191A23" w:rsidP="0022554A">
            <w:pPr>
              <w:tabs>
                <w:tab w:val="left" w:pos="5400"/>
              </w:tabs>
              <w:rPr>
                <w:sz w:val="20"/>
              </w:rPr>
            </w:pPr>
          </w:p>
        </w:tc>
      </w:tr>
      <w:tr w:rsidR="00191A23" w:rsidRPr="0022554A" w14:paraId="203B67AE" w14:textId="77777777" w:rsidTr="0070734F">
        <w:trPr>
          <w:trHeight w:val="294"/>
        </w:trPr>
        <w:tc>
          <w:tcPr>
            <w:tcW w:w="1951" w:type="dxa"/>
          </w:tcPr>
          <w:p w14:paraId="7E5CAE77" w14:textId="48BAF611"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449DFDDF"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7C212A8D"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236" w:type="dxa"/>
          </w:tcPr>
          <w:p w14:paraId="1F6A5B8F" w14:textId="44154550" w:rsidR="00191A23" w:rsidRPr="0022554A" w:rsidRDefault="0070734F" w:rsidP="0022554A">
            <w:pPr>
              <w:tabs>
                <w:tab w:val="left" w:pos="5400"/>
              </w:tabs>
              <w:rPr>
                <w:i/>
                <w:sz w:val="20"/>
              </w:rPr>
            </w:pPr>
            <w:r>
              <w:rPr>
                <w:i/>
                <w:sz w:val="20"/>
              </w:rPr>
              <w:t>2/3</w:t>
            </w:r>
          </w:p>
        </w:tc>
        <w:tc>
          <w:tcPr>
            <w:tcW w:w="4158" w:type="dxa"/>
          </w:tcPr>
          <w:p w14:paraId="4E474BFF" w14:textId="4B87F758" w:rsidR="00191A23" w:rsidRPr="0022554A" w:rsidRDefault="0070734F" w:rsidP="0070734F">
            <w:pPr>
              <w:rPr>
                <w:i/>
                <w:sz w:val="20"/>
              </w:rPr>
            </w:pPr>
            <w:r>
              <w:rPr>
                <w:szCs w:val="24"/>
              </w:rPr>
              <w:t xml:space="preserve">The groups were </w:t>
            </w:r>
            <w:proofErr w:type="spellStart"/>
            <w:r>
              <w:rPr>
                <w:szCs w:val="24"/>
              </w:rPr>
              <w:t>analyzed</w:t>
            </w:r>
            <w:proofErr w:type="spellEnd"/>
            <w:r>
              <w:rPr>
                <w:szCs w:val="24"/>
              </w:rPr>
              <w:t xml:space="preserve"> based on their demographic, preoperative and postoperative parameters, cyst parameters as well as follow-up and morbidity.</w:t>
            </w:r>
          </w:p>
        </w:tc>
      </w:tr>
      <w:tr w:rsidR="00191A23" w:rsidRPr="0022554A" w14:paraId="4FC15D0C" w14:textId="77777777" w:rsidTr="0070734F">
        <w:tc>
          <w:tcPr>
            <w:tcW w:w="1951" w:type="dxa"/>
          </w:tcPr>
          <w:p w14:paraId="22054339"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3EF0A059" w14:textId="77777777" w:rsidR="00191A23" w:rsidRPr="0022554A" w:rsidRDefault="00191A23" w:rsidP="0022554A">
            <w:pPr>
              <w:tabs>
                <w:tab w:val="left" w:pos="5400"/>
              </w:tabs>
              <w:jc w:val="center"/>
              <w:rPr>
                <w:sz w:val="20"/>
              </w:rPr>
            </w:pPr>
            <w:r w:rsidRPr="0022554A">
              <w:rPr>
                <w:sz w:val="20"/>
              </w:rPr>
              <w:t>9</w:t>
            </w:r>
          </w:p>
        </w:tc>
        <w:tc>
          <w:tcPr>
            <w:tcW w:w="8031" w:type="dxa"/>
          </w:tcPr>
          <w:p w14:paraId="30444A7A"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236" w:type="dxa"/>
          </w:tcPr>
          <w:p w14:paraId="46EA037C" w14:textId="62D12F26" w:rsidR="00191A23" w:rsidRPr="0022554A" w:rsidRDefault="0070734F" w:rsidP="0022554A">
            <w:pPr>
              <w:tabs>
                <w:tab w:val="left" w:pos="5400"/>
              </w:tabs>
              <w:rPr>
                <w:color w:val="000000"/>
                <w:sz w:val="20"/>
              </w:rPr>
            </w:pPr>
            <w:r>
              <w:rPr>
                <w:color w:val="000000"/>
                <w:sz w:val="20"/>
              </w:rPr>
              <w:t>5</w:t>
            </w:r>
          </w:p>
        </w:tc>
        <w:tc>
          <w:tcPr>
            <w:tcW w:w="4158" w:type="dxa"/>
          </w:tcPr>
          <w:p w14:paraId="3D41FC2B" w14:textId="77777777" w:rsidR="0070734F" w:rsidRPr="00F76993" w:rsidRDefault="0070734F" w:rsidP="0070734F">
            <w:pPr>
              <w:rPr>
                <w:szCs w:val="24"/>
              </w:rPr>
            </w:pPr>
            <w:r>
              <w:rPr>
                <w:szCs w:val="24"/>
              </w:rPr>
              <w:t xml:space="preserve">In order to minimize the potential sources of bias, additional parameters </w:t>
            </w:r>
            <w:r>
              <w:rPr>
                <w:szCs w:val="24"/>
              </w:rPr>
              <w:lastRenderedPageBreak/>
              <w:t xml:space="preserve">were compared to verify the potential differences between the two groups. </w:t>
            </w:r>
          </w:p>
          <w:p w14:paraId="1A948BBC" w14:textId="77777777" w:rsidR="00191A23" w:rsidRPr="0022554A" w:rsidRDefault="00191A23" w:rsidP="0022554A">
            <w:pPr>
              <w:tabs>
                <w:tab w:val="left" w:pos="5400"/>
              </w:tabs>
              <w:rPr>
                <w:color w:val="000000"/>
                <w:sz w:val="20"/>
              </w:rPr>
            </w:pPr>
          </w:p>
        </w:tc>
      </w:tr>
      <w:tr w:rsidR="00191A23" w:rsidRPr="0022554A" w14:paraId="08B6E608" w14:textId="77777777" w:rsidTr="0070734F">
        <w:tc>
          <w:tcPr>
            <w:tcW w:w="1951" w:type="dxa"/>
          </w:tcPr>
          <w:p w14:paraId="481B8693"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lastRenderedPageBreak/>
              <w:t>Study size</w:t>
            </w:r>
          </w:p>
        </w:tc>
        <w:tc>
          <w:tcPr>
            <w:tcW w:w="616" w:type="dxa"/>
          </w:tcPr>
          <w:p w14:paraId="6306A0D9" w14:textId="77777777" w:rsidR="00191A23" w:rsidRPr="0022554A" w:rsidRDefault="00191A23" w:rsidP="0022554A">
            <w:pPr>
              <w:tabs>
                <w:tab w:val="left" w:pos="5400"/>
              </w:tabs>
              <w:jc w:val="center"/>
              <w:rPr>
                <w:sz w:val="20"/>
              </w:rPr>
            </w:pPr>
            <w:r w:rsidRPr="0022554A">
              <w:rPr>
                <w:sz w:val="20"/>
              </w:rPr>
              <w:t>10</w:t>
            </w:r>
          </w:p>
        </w:tc>
        <w:tc>
          <w:tcPr>
            <w:tcW w:w="8031" w:type="dxa"/>
          </w:tcPr>
          <w:p w14:paraId="105590CF" w14:textId="77777777" w:rsidR="00191A23" w:rsidRPr="0022554A" w:rsidRDefault="00191A23" w:rsidP="0022554A">
            <w:pPr>
              <w:tabs>
                <w:tab w:val="left" w:pos="5400"/>
              </w:tabs>
              <w:rPr>
                <w:sz w:val="20"/>
              </w:rPr>
            </w:pPr>
            <w:r w:rsidRPr="0022554A">
              <w:rPr>
                <w:sz w:val="20"/>
              </w:rPr>
              <w:t>Explain how the study size was arrived at</w:t>
            </w:r>
          </w:p>
        </w:tc>
        <w:tc>
          <w:tcPr>
            <w:tcW w:w="236" w:type="dxa"/>
          </w:tcPr>
          <w:p w14:paraId="3DA0FEDC" w14:textId="79351E91" w:rsidR="00191A23" w:rsidRPr="0022554A" w:rsidRDefault="0070734F" w:rsidP="0022554A">
            <w:pPr>
              <w:tabs>
                <w:tab w:val="left" w:pos="5400"/>
              </w:tabs>
              <w:rPr>
                <w:sz w:val="20"/>
              </w:rPr>
            </w:pPr>
            <w:r>
              <w:rPr>
                <w:sz w:val="20"/>
              </w:rPr>
              <w:t>2</w:t>
            </w:r>
          </w:p>
        </w:tc>
        <w:tc>
          <w:tcPr>
            <w:tcW w:w="4158" w:type="dxa"/>
          </w:tcPr>
          <w:p w14:paraId="645E1776" w14:textId="05E28B3A" w:rsidR="00191A23" w:rsidRPr="0022554A" w:rsidRDefault="0070734F" w:rsidP="0022554A">
            <w:pPr>
              <w:tabs>
                <w:tab w:val="left" w:pos="5400"/>
              </w:tabs>
              <w:rPr>
                <w:sz w:val="20"/>
              </w:rPr>
            </w:pPr>
            <w:r w:rsidRPr="00F76993">
              <w:rPr>
                <w:szCs w:val="24"/>
              </w:rPr>
              <w:t xml:space="preserve">Out of the </w:t>
            </w:r>
            <w:r>
              <w:rPr>
                <w:szCs w:val="24"/>
              </w:rPr>
              <w:t>258</w:t>
            </w:r>
            <w:r w:rsidRPr="00F76993">
              <w:rPr>
                <w:szCs w:val="24"/>
              </w:rPr>
              <w:t xml:space="preserve"> patients, 77 underwent laparoscopic treatment out of which 7 required conversions to open surgery.</w:t>
            </w:r>
            <w:r>
              <w:rPr>
                <w:szCs w:val="24"/>
              </w:rPr>
              <w:t xml:space="preserve"> 11 cases presented with spontaneous rupture of the cyst, thus being excluded.  </w:t>
            </w:r>
          </w:p>
        </w:tc>
      </w:tr>
    </w:tbl>
    <w:p w14:paraId="6BA3846A"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612E60F6" w14:textId="77777777" w:rsidTr="00517788">
        <w:tc>
          <w:tcPr>
            <w:tcW w:w="1521" w:type="dxa"/>
          </w:tcPr>
          <w:p w14:paraId="7B1BC998"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7411CC6B" w14:textId="77777777" w:rsidR="00191A23" w:rsidRPr="0022554A" w:rsidRDefault="00191A23" w:rsidP="00191A23">
            <w:pPr>
              <w:tabs>
                <w:tab w:val="left" w:pos="5400"/>
              </w:tabs>
              <w:jc w:val="center"/>
              <w:rPr>
                <w:sz w:val="20"/>
              </w:rPr>
            </w:pPr>
            <w:r w:rsidRPr="0022554A">
              <w:rPr>
                <w:sz w:val="20"/>
              </w:rPr>
              <w:t>11</w:t>
            </w:r>
          </w:p>
        </w:tc>
        <w:tc>
          <w:tcPr>
            <w:tcW w:w="8328" w:type="dxa"/>
          </w:tcPr>
          <w:p w14:paraId="69DC1CFB"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3C50A99E" w14:textId="44163649" w:rsidR="00191A23" w:rsidRPr="0022554A" w:rsidRDefault="00B109EA" w:rsidP="00191A23">
            <w:pPr>
              <w:tabs>
                <w:tab w:val="left" w:pos="5400"/>
              </w:tabs>
              <w:rPr>
                <w:sz w:val="20"/>
              </w:rPr>
            </w:pPr>
            <w:r>
              <w:rPr>
                <w:sz w:val="20"/>
              </w:rPr>
              <w:t>5</w:t>
            </w:r>
          </w:p>
        </w:tc>
        <w:tc>
          <w:tcPr>
            <w:tcW w:w="3118" w:type="dxa"/>
          </w:tcPr>
          <w:p w14:paraId="7D87E378" w14:textId="6A3E3085" w:rsidR="00191A23" w:rsidRPr="0022554A" w:rsidRDefault="00B109EA" w:rsidP="00191A23">
            <w:pPr>
              <w:tabs>
                <w:tab w:val="left" w:pos="5400"/>
              </w:tabs>
              <w:rPr>
                <w:sz w:val="20"/>
              </w:rPr>
            </w:pPr>
            <w:r w:rsidRPr="00274DF6">
              <w:rPr>
                <w:szCs w:val="24"/>
              </w:rPr>
              <w:t>When accounting for quantitative variables, such as surgery duration, estimated blood loss, cyst diameter, normality tests were used to verify the distribution of the data (using Kolmogorov-Smirnov and Shapiro-Wilk tests). Thus, non-normal distributed data was evaluated by comparing median values, using Mann-Whitney U tests, and normal distributed data was evaluated by comparing mean values, using T-test for independent variables (mean age)</w:t>
            </w:r>
          </w:p>
        </w:tc>
      </w:tr>
      <w:tr w:rsidR="00191A23" w:rsidRPr="0022554A" w14:paraId="75B99C4F" w14:textId="77777777" w:rsidTr="00517788">
        <w:tc>
          <w:tcPr>
            <w:tcW w:w="1521" w:type="dxa"/>
            <w:vMerge w:val="restart"/>
          </w:tcPr>
          <w:p w14:paraId="4B4AACA3" w14:textId="6446926C"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0ACDB8F1" w14:textId="77777777" w:rsidR="00191A23" w:rsidRPr="0022554A" w:rsidRDefault="00191A23" w:rsidP="00191A23">
            <w:pPr>
              <w:tabs>
                <w:tab w:val="left" w:pos="5400"/>
              </w:tabs>
              <w:jc w:val="center"/>
              <w:rPr>
                <w:sz w:val="20"/>
              </w:rPr>
            </w:pPr>
            <w:r w:rsidRPr="0022554A">
              <w:rPr>
                <w:sz w:val="20"/>
              </w:rPr>
              <w:t>12</w:t>
            </w:r>
          </w:p>
        </w:tc>
        <w:tc>
          <w:tcPr>
            <w:tcW w:w="8328" w:type="dxa"/>
          </w:tcPr>
          <w:p w14:paraId="113CB338"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60B431A0" w14:textId="49E6044B" w:rsidR="00191A23" w:rsidRPr="0022554A" w:rsidRDefault="00B109EA" w:rsidP="00191A23">
            <w:pPr>
              <w:tabs>
                <w:tab w:val="left" w:pos="5400"/>
              </w:tabs>
              <w:rPr>
                <w:sz w:val="20"/>
              </w:rPr>
            </w:pPr>
            <w:r>
              <w:rPr>
                <w:sz w:val="20"/>
              </w:rPr>
              <w:t>5</w:t>
            </w:r>
          </w:p>
        </w:tc>
        <w:tc>
          <w:tcPr>
            <w:tcW w:w="3118" w:type="dxa"/>
          </w:tcPr>
          <w:p w14:paraId="7BE0AF7F" w14:textId="5146CE3F" w:rsidR="00191A23" w:rsidRPr="0022554A" w:rsidRDefault="00B109EA" w:rsidP="00191A23">
            <w:pPr>
              <w:tabs>
                <w:tab w:val="left" w:pos="5400"/>
              </w:tabs>
              <w:rPr>
                <w:sz w:val="20"/>
              </w:rPr>
            </w:pPr>
            <w:r>
              <w:rPr>
                <w:szCs w:val="24"/>
              </w:rPr>
              <w:t>To minimize the potential sources of bias, additional related parameters were compared to verify the potential differences between the two groups as well as to control the potential confounding variables.</w:t>
            </w:r>
          </w:p>
        </w:tc>
      </w:tr>
      <w:tr w:rsidR="00191A23" w:rsidRPr="0022554A" w14:paraId="39A11729" w14:textId="77777777" w:rsidTr="00517788">
        <w:tc>
          <w:tcPr>
            <w:tcW w:w="1521" w:type="dxa"/>
            <w:vMerge/>
          </w:tcPr>
          <w:p w14:paraId="6CAE8898"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7EBB1FD5" w14:textId="77777777" w:rsidR="00191A23" w:rsidRPr="0022554A" w:rsidRDefault="00191A23" w:rsidP="00191A23">
            <w:pPr>
              <w:tabs>
                <w:tab w:val="left" w:pos="5400"/>
              </w:tabs>
              <w:jc w:val="center"/>
              <w:rPr>
                <w:sz w:val="20"/>
              </w:rPr>
            </w:pPr>
          </w:p>
        </w:tc>
        <w:tc>
          <w:tcPr>
            <w:tcW w:w="8328" w:type="dxa"/>
          </w:tcPr>
          <w:p w14:paraId="6BC12EE1"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6D305B5B" w14:textId="378AD498" w:rsidR="00191A23" w:rsidRPr="0022554A" w:rsidRDefault="00B109EA" w:rsidP="00191A23">
            <w:pPr>
              <w:tabs>
                <w:tab w:val="left" w:pos="5400"/>
              </w:tabs>
              <w:rPr>
                <w:sz w:val="20"/>
              </w:rPr>
            </w:pPr>
            <w:r>
              <w:rPr>
                <w:sz w:val="20"/>
              </w:rPr>
              <w:t>2/3</w:t>
            </w:r>
          </w:p>
        </w:tc>
        <w:tc>
          <w:tcPr>
            <w:tcW w:w="3118" w:type="dxa"/>
          </w:tcPr>
          <w:p w14:paraId="732DA85E" w14:textId="10528334" w:rsidR="00191A23" w:rsidRPr="0022554A" w:rsidRDefault="00B109EA" w:rsidP="00191A23">
            <w:pPr>
              <w:tabs>
                <w:tab w:val="left" w:pos="5400"/>
              </w:tabs>
              <w:rPr>
                <w:sz w:val="20"/>
              </w:rPr>
            </w:pPr>
            <w:r>
              <w:rPr>
                <w:sz w:val="20"/>
              </w:rPr>
              <w:t xml:space="preserve">  -</w:t>
            </w:r>
          </w:p>
        </w:tc>
      </w:tr>
      <w:tr w:rsidR="00191A23" w:rsidRPr="0022554A" w14:paraId="5930F398" w14:textId="77777777" w:rsidTr="00517788">
        <w:tc>
          <w:tcPr>
            <w:tcW w:w="1521" w:type="dxa"/>
            <w:vMerge/>
          </w:tcPr>
          <w:p w14:paraId="740240DB"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157EFDE8" w14:textId="77777777" w:rsidR="00191A23" w:rsidRPr="0022554A" w:rsidRDefault="00191A23" w:rsidP="00191A23">
            <w:pPr>
              <w:tabs>
                <w:tab w:val="left" w:pos="5400"/>
              </w:tabs>
              <w:jc w:val="center"/>
              <w:rPr>
                <w:sz w:val="20"/>
              </w:rPr>
            </w:pPr>
          </w:p>
        </w:tc>
        <w:tc>
          <w:tcPr>
            <w:tcW w:w="8328" w:type="dxa"/>
          </w:tcPr>
          <w:p w14:paraId="43DF79EF"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6F5598B1" w14:textId="63DAFC98" w:rsidR="00191A23" w:rsidRPr="0022554A" w:rsidRDefault="00B109EA" w:rsidP="00191A23">
            <w:pPr>
              <w:tabs>
                <w:tab w:val="left" w:pos="5400"/>
              </w:tabs>
              <w:rPr>
                <w:sz w:val="20"/>
              </w:rPr>
            </w:pPr>
            <w:r>
              <w:rPr>
                <w:sz w:val="20"/>
              </w:rPr>
              <w:t>2</w:t>
            </w:r>
          </w:p>
        </w:tc>
        <w:tc>
          <w:tcPr>
            <w:tcW w:w="3118" w:type="dxa"/>
          </w:tcPr>
          <w:p w14:paraId="41CFBA75" w14:textId="71FA8E5E" w:rsidR="00191A23" w:rsidRPr="0022554A" w:rsidRDefault="00B109EA" w:rsidP="00191A23">
            <w:pPr>
              <w:tabs>
                <w:tab w:val="left" w:pos="5400"/>
              </w:tabs>
              <w:rPr>
                <w:sz w:val="20"/>
              </w:rPr>
            </w:pPr>
            <w:r>
              <w:rPr>
                <w:szCs w:val="24"/>
              </w:rPr>
              <w:t xml:space="preserve">. Exclusion criteria were patients with incomplete records, lack of signed informed consent, patients with spontaneous rupture, </w:t>
            </w:r>
            <w:r>
              <w:rPr>
                <w:szCs w:val="24"/>
              </w:rPr>
              <w:lastRenderedPageBreak/>
              <w:t>patients who underwent conversion to open surgery or patients who underwent percutaneous treatment</w:t>
            </w:r>
          </w:p>
        </w:tc>
      </w:tr>
      <w:tr w:rsidR="00191A23" w:rsidRPr="0022554A" w14:paraId="7AF895BB" w14:textId="77777777" w:rsidTr="00517788">
        <w:tc>
          <w:tcPr>
            <w:tcW w:w="1521" w:type="dxa"/>
            <w:vMerge/>
          </w:tcPr>
          <w:p w14:paraId="45FDE6EF"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38913B10" w14:textId="77777777" w:rsidR="00191A23" w:rsidRPr="0022554A" w:rsidRDefault="00191A23" w:rsidP="00191A23">
            <w:pPr>
              <w:tabs>
                <w:tab w:val="left" w:pos="5400"/>
              </w:tabs>
              <w:jc w:val="center"/>
              <w:rPr>
                <w:sz w:val="20"/>
              </w:rPr>
            </w:pPr>
          </w:p>
        </w:tc>
        <w:tc>
          <w:tcPr>
            <w:tcW w:w="8328" w:type="dxa"/>
          </w:tcPr>
          <w:p w14:paraId="36939F4B"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5852C8DA"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7AF02D68"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6B0AE34B" w14:textId="2BD1863A" w:rsidR="00191A23" w:rsidRPr="0022554A" w:rsidRDefault="00B109EA" w:rsidP="00191A23">
            <w:pPr>
              <w:tabs>
                <w:tab w:val="left" w:pos="5400"/>
              </w:tabs>
              <w:rPr>
                <w:sz w:val="20"/>
              </w:rPr>
            </w:pPr>
            <w:r>
              <w:rPr>
                <w:sz w:val="20"/>
              </w:rPr>
              <w:t xml:space="preserve"> -</w:t>
            </w:r>
          </w:p>
        </w:tc>
        <w:tc>
          <w:tcPr>
            <w:tcW w:w="3118" w:type="dxa"/>
          </w:tcPr>
          <w:p w14:paraId="1BBE9F79" w14:textId="77777777" w:rsidR="00191A23" w:rsidRPr="0022554A" w:rsidRDefault="00191A23" w:rsidP="00191A23">
            <w:pPr>
              <w:tabs>
                <w:tab w:val="left" w:pos="5400"/>
              </w:tabs>
              <w:rPr>
                <w:sz w:val="20"/>
              </w:rPr>
            </w:pPr>
          </w:p>
        </w:tc>
      </w:tr>
      <w:tr w:rsidR="00191A23" w:rsidRPr="0022554A" w14:paraId="0DF5C444" w14:textId="77777777" w:rsidTr="00517788">
        <w:tc>
          <w:tcPr>
            <w:tcW w:w="1521" w:type="dxa"/>
            <w:vMerge/>
          </w:tcPr>
          <w:p w14:paraId="2D9530A7"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4F784B1D" w14:textId="77777777" w:rsidR="00191A23" w:rsidRPr="0022554A" w:rsidRDefault="00191A23" w:rsidP="00191A23">
            <w:pPr>
              <w:tabs>
                <w:tab w:val="left" w:pos="5400"/>
              </w:tabs>
              <w:jc w:val="center"/>
              <w:rPr>
                <w:sz w:val="20"/>
              </w:rPr>
            </w:pPr>
          </w:p>
        </w:tc>
        <w:tc>
          <w:tcPr>
            <w:tcW w:w="8328" w:type="dxa"/>
          </w:tcPr>
          <w:p w14:paraId="54E66635"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25EBF4D1" w14:textId="20172A4D" w:rsidR="00191A23" w:rsidRPr="0022554A" w:rsidRDefault="00B109EA" w:rsidP="00191A23">
            <w:pPr>
              <w:tabs>
                <w:tab w:val="left" w:pos="5400"/>
              </w:tabs>
              <w:rPr>
                <w:sz w:val="20"/>
              </w:rPr>
            </w:pPr>
            <w:r>
              <w:rPr>
                <w:sz w:val="20"/>
              </w:rPr>
              <w:t>-</w:t>
            </w:r>
          </w:p>
        </w:tc>
        <w:tc>
          <w:tcPr>
            <w:tcW w:w="3118" w:type="dxa"/>
          </w:tcPr>
          <w:p w14:paraId="681BCF8A" w14:textId="77777777" w:rsidR="00191A23" w:rsidRPr="0022554A" w:rsidRDefault="00191A23" w:rsidP="00191A23">
            <w:pPr>
              <w:tabs>
                <w:tab w:val="left" w:pos="5400"/>
              </w:tabs>
              <w:rPr>
                <w:sz w:val="20"/>
              </w:rPr>
            </w:pPr>
          </w:p>
        </w:tc>
      </w:tr>
      <w:bookmarkEnd w:id="52"/>
      <w:bookmarkEnd w:id="53"/>
      <w:tr w:rsidR="00191A23" w:rsidRPr="0022554A" w14:paraId="7DB079D1" w14:textId="77777777" w:rsidTr="00191A23">
        <w:tc>
          <w:tcPr>
            <w:tcW w:w="14992" w:type="dxa"/>
            <w:gridSpan w:val="5"/>
          </w:tcPr>
          <w:p w14:paraId="28772418"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03341229" w14:textId="77777777" w:rsidTr="00517788">
        <w:tc>
          <w:tcPr>
            <w:tcW w:w="0" w:type="auto"/>
            <w:vMerge w:val="restart"/>
          </w:tcPr>
          <w:p w14:paraId="763E439A"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DB474BD"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1EEF5200"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5E298D95" w14:textId="511C0B55" w:rsidR="00191A23" w:rsidRDefault="00B109EA" w:rsidP="00191A23">
            <w:pPr>
              <w:tabs>
                <w:tab w:val="left" w:pos="5400"/>
              </w:tabs>
              <w:rPr>
                <w:sz w:val="20"/>
              </w:rPr>
            </w:pPr>
            <w:r>
              <w:rPr>
                <w:sz w:val="20"/>
              </w:rPr>
              <w:t>2</w:t>
            </w:r>
          </w:p>
        </w:tc>
        <w:tc>
          <w:tcPr>
            <w:tcW w:w="3118" w:type="dxa"/>
          </w:tcPr>
          <w:p w14:paraId="7B29872F" w14:textId="5362C982" w:rsidR="00191A23" w:rsidRDefault="00B109EA" w:rsidP="00191A23">
            <w:pPr>
              <w:tabs>
                <w:tab w:val="left" w:pos="5400"/>
              </w:tabs>
              <w:rPr>
                <w:sz w:val="20"/>
              </w:rPr>
            </w:pPr>
            <w:r w:rsidRPr="00F76993">
              <w:rPr>
                <w:szCs w:val="24"/>
              </w:rPr>
              <w:t xml:space="preserve">Out of the </w:t>
            </w:r>
            <w:r>
              <w:rPr>
                <w:szCs w:val="24"/>
              </w:rPr>
              <w:t xml:space="preserve">268 </w:t>
            </w:r>
            <w:r w:rsidRPr="00F76993">
              <w:rPr>
                <w:szCs w:val="24"/>
              </w:rPr>
              <w:t>patients, 77 underwent laparoscopic treatment out of which 7 required conversions to open surgery.</w:t>
            </w:r>
            <w:r>
              <w:rPr>
                <w:szCs w:val="24"/>
              </w:rPr>
              <w:t xml:space="preserve"> 11 cases presented with spontaneous rupture of the cyst and 10 cases had incomplete data, thus being excluded. </w:t>
            </w:r>
            <w:r w:rsidRPr="00F76993">
              <w:rPr>
                <w:szCs w:val="24"/>
              </w:rPr>
              <w:t>Therefore, two groups were created, the first group</w:t>
            </w:r>
            <w:r>
              <w:rPr>
                <w:szCs w:val="24"/>
              </w:rPr>
              <w:t xml:space="preserve"> (group A)</w:t>
            </w:r>
            <w:r w:rsidRPr="00F76993">
              <w:rPr>
                <w:szCs w:val="24"/>
              </w:rPr>
              <w:t xml:space="preserve"> comprised of 70 patients which underwent laparoscopic treatment, and the second group</w:t>
            </w:r>
            <w:r>
              <w:rPr>
                <w:szCs w:val="24"/>
              </w:rPr>
              <w:t xml:space="preserve"> (group B)</w:t>
            </w:r>
            <w:r w:rsidRPr="00F76993">
              <w:rPr>
                <w:szCs w:val="24"/>
              </w:rPr>
              <w:t xml:space="preserve"> of 170 patients who underwent open surgery</w:t>
            </w:r>
          </w:p>
        </w:tc>
      </w:tr>
      <w:tr w:rsidR="00191A23" w:rsidRPr="0022554A" w14:paraId="7B411B22" w14:textId="77777777" w:rsidTr="00517788">
        <w:tc>
          <w:tcPr>
            <w:tcW w:w="0" w:type="auto"/>
            <w:vMerge/>
          </w:tcPr>
          <w:p w14:paraId="7FA95A93"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1F04B5A3" w14:textId="77777777" w:rsidR="00191A23" w:rsidRPr="0022554A" w:rsidRDefault="00191A23" w:rsidP="00191A23">
            <w:pPr>
              <w:tabs>
                <w:tab w:val="left" w:pos="5400"/>
              </w:tabs>
              <w:jc w:val="center"/>
              <w:rPr>
                <w:sz w:val="20"/>
              </w:rPr>
            </w:pPr>
          </w:p>
        </w:tc>
        <w:tc>
          <w:tcPr>
            <w:tcW w:w="8328" w:type="dxa"/>
          </w:tcPr>
          <w:p w14:paraId="12B8FEEA"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5E182289" w14:textId="3BEBAC6C" w:rsidR="00191A23" w:rsidRDefault="00B109EA" w:rsidP="00191A23">
            <w:pPr>
              <w:tabs>
                <w:tab w:val="left" w:pos="5400"/>
              </w:tabs>
              <w:rPr>
                <w:sz w:val="20"/>
              </w:rPr>
            </w:pPr>
            <w:r>
              <w:rPr>
                <w:sz w:val="20"/>
              </w:rPr>
              <w:t>2</w:t>
            </w:r>
          </w:p>
        </w:tc>
        <w:tc>
          <w:tcPr>
            <w:tcW w:w="3118" w:type="dxa"/>
          </w:tcPr>
          <w:p w14:paraId="5EF1BF34" w14:textId="77777777" w:rsidR="00191A23" w:rsidRDefault="00191A23" w:rsidP="00191A23">
            <w:pPr>
              <w:tabs>
                <w:tab w:val="left" w:pos="5400"/>
              </w:tabs>
              <w:rPr>
                <w:sz w:val="20"/>
              </w:rPr>
            </w:pPr>
          </w:p>
        </w:tc>
      </w:tr>
      <w:tr w:rsidR="00191A23" w:rsidRPr="0022554A" w14:paraId="203AF8E2" w14:textId="77777777" w:rsidTr="00517788">
        <w:tc>
          <w:tcPr>
            <w:tcW w:w="0" w:type="auto"/>
            <w:vMerge/>
          </w:tcPr>
          <w:p w14:paraId="0BBAE11D"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B5ACF75" w14:textId="77777777" w:rsidR="00191A23" w:rsidRPr="0022554A" w:rsidRDefault="00191A23" w:rsidP="00191A23">
            <w:pPr>
              <w:tabs>
                <w:tab w:val="left" w:pos="5400"/>
              </w:tabs>
              <w:jc w:val="center"/>
              <w:rPr>
                <w:sz w:val="20"/>
              </w:rPr>
            </w:pPr>
          </w:p>
        </w:tc>
        <w:tc>
          <w:tcPr>
            <w:tcW w:w="8328" w:type="dxa"/>
          </w:tcPr>
          <w:p w14:paraId="05D57EA5"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6A6829D3" w14:textId="5B427E54" w:rsidR="00191A23" w:rsidRDefault="00B109EA" w:rsidP="00191A23">
            <w:pPr>
              <w:tabs>
                <w:tab w:val="left" w:pos="5400"/>
              </w:tabs>
              <w:rPr>
                <w:sz w:val="20"/>
              </w:rPr>
            </w:pPr>
            <w:r>
              <w:rPr>
                <w:sz w:val="20"/>
              </w:rPr>
              <w:t>-</w:t>
            </w:r>
          </w:p>
        </w:tc>
        <w:tc>
          <w:tcPr>
            <w:tcW w:w="3118" w:type="dxa"/>
          </w:tcPr>
          <w:p w14:paraId="39197219" w14:textId="77777777" w:rsidR="00191A23" w:rsidRDefault="00191A23" w:rsidP="00191A23">
            <w:pPr>
              <w:tabs>
                <w:tab w:val="left" w:pos="5400"/>
              </w:tabs>
              <w:rPr>
                <w:sz w:val="20"/>
              </w:rPr>
            </w:pPr>
          </w:p>
        </w:tc>
      </w:tr>
      <w:tr w:rsidR="00191A23" w:rsidRPr="0022554A" w14:paraId="6BB57C98" w14:textId="77777777" w:rsidTr="00517788">
        <w:tc>
          <w:tcPr>
            <w:tcW w:w="0" w:type="auto"/>
            <w:vMerge w:val="restart"/>
          </w:tcPr>
          <w:p w14:paraId="116ABABD" w14:textId="4C145845"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68AA6D2"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502EAF0A"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29FDE9ED" w14:textId="539F01BB" w:rsidR="00191A23" w:rsidRDefault="00186B02" w:rsidP="00191A23">
            <w:pPr>
              <w:tabs>
                <w:tab w:val="left" w:pos="5400"/>
              </w:tabs>
              <w:rPr>
                <w:sz w:val="20"/>
              </w:rPr>
            </w:pPr>
            <w:r>
              <w:rPr>
                <w:sz w:val="20"/>
              </w:rPr>
              <w:t>5</w:t>
            </w:r>
          </w:p>
        </w:tc>
        <w:tc>
          <w:tcPr>
            <w:tcW w:w="3118" w:type="dxa"/>
          </w:tcPr>
          <w:p w14:paraId="0D03F408" w14:textId="7C921EFA" w:rsidR="00191A23" w:rsidRDefault="00186B02" w:rsidP="00191A23">
            <w:pPr>
              <w:tabs>
                <w:tab w:val="left" w:pos="5400"/>
              </w:tabs>
              <w:rPr>
                <w:sz w:val="20"/>
              </w:rPr>
            </w:pPr>
            <w:r>
              <w:rPr>
                <w:sz w:val="20"/>
              </w:rPr>
              <w:t>See table 1</w:t>
            </w:r>
          </w:p>
        </w:tc>
      </w:tr>
      <w:tr w:rsidR="00191A23" w:rsidRPr="0022554A" w14:paraId="443EBE22" w14:textId="77777777" w:rsidTr="00517788">
        <w:tc>
          <w:tcPr>
            <w:tcW w:w="0" w:type="auto"/>
            <w:vMerge/>
          </w:tcPr>
          <w:p w14:paraId="2C79BB12"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550A7216" w14:textId="77777777" w:rsidR="00191A23" w:rsidRPr="0022554A" w:rsidRDefault="00191A23" w:rsidP="00191A23">
            <w:pPr>
              <w:tabs>
                <w:tab w:val="left" w:pos="5400"/>
              </w:tabs>
              <w:jc w:val="center"/>
              <w:rPr>
                <w:sz w:val="20"/>
              </w:rPr>
            </w:pPr>
          </w:p>
        </w:tc>
        <w:tc>
          <w:tcPr>
            <w:tcW w:w="8328" w:type="dxa"/>
          </w:tcPr>
          <w:p w14:paraId="0CC799F3"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6069BE97" w14:textId="0CBB475F" w:rsidR="00191A23" w:rsidRDefault="00186B02" w:rsidP="00191A23">
            <w:pPr>
              <w:tabs>
                <w:tab w:val="left" w:pos="5400"/>
              </w:tabs>
              <w:rPr>
                <w:sz w:val="20"/>
              </w:rPr>
            </w:pPr>
            <w:r>
              <w:rPr>
                <w:sz w:val="20"/>
              </w:rPr>
              <w:t>2</w:t>
            </w:r>
          </w:p>
        </w:tc>
        <w:tc>
          <w:tcPr>
            <w:tcW w:w="3118" w:type="dxa"/>
          </w:tcPr>
          <w:p w14:paraId="53C1935A" w14:textId="77777777" w:rsidR="00191A23" w:rsidRDefault="00191A23" w:rsidP="00191A23">
            <w:pPr>
              <w:tabs>
                <w:tab w:val="left" w:pos="5400"/>
              </w:tabs>
              <w:rPr>
                <w:sz w:val="20"/>
              </w:rPr>
            </w:pPr>
          </w:p>
        </w:tc>
      </w:tr>
      <w:tr w:rsidR="00191A23" w:rsidRPr="0022554A" w14:paraId="4CC8BBBB" w14:textId="77777777" w:rsidTr="00517788">
        <w:tc>
          <w:tcPr>
            <w:tcW w:w="0" w:type="auto"/>
            <w:vMerge/>
          </w:tcPr>
          <w:p w14:paraId="36110168"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56FD191" w14:textId="77777777" w:rsidR="00191A23" w:rsidRPr="0022554A" w:rsidRDefault="00191A23" w:rsidP="00191A23">
            <w:pPr>
              <w:tabs>
                <w:tab w:val="left" w:pos="5400"/>
              </w:tabs>
              <w:jc w:val="center"/>
              <w:rPr>
                <w:sz w:val="20"/>
              </w:rPr>
            </w:pPr>
          </w:p>
        </w:tc>
        <w:tc>
          <w:tcPr>
            <w:tcW w:w="8328" w:type="dxa"/>
          </w:tcPr>
          <w:p w14:paraId="6DC778E5"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1875E580" w14:textId="77777777" w:rsidR="00191A23" w:rsidRDefault="00191A23" w:rsidP="00191A23">
            <w:pPr>
              <w:tabs>
                <w:tab w:val="left" w:pos="5400"/>
              </w:tabs>
              <w:rPr>
                <w:sz w:val="20"/>
              </w:rPr>
            </w:pPr>
          </w:p>
        </w:tc>
        <w:tc>
          <w:tcPr>
            <w:tcW w:w="3118" w:type="dxa"/>
          </w:tcPr>
          <w:p w14:paraId="7DF22029" w14:textId="77777777" w:rsidR="00191A23" w:rsidRDefault="00191A23" w:rsidP="00191A23">
            <w:pPr>
              <w:tabs>
                <w:tab w:val="left" w:pos="5400"/>
              </w:tabs>
              <w:rPr>
                <w:sz w:val="20"/>
              </w:rPr>
            </w:pPr>
          </w:p>
        </w:tc>
      </w:tr>
      <w:tr w:rsidR="00191A23" w:rsidRPr="0022554A" w14:paraId="153A4A32" w14:textId="77777777" w:rsidTr="00517788">
        <w:trPr>
          <w:trHeight w:val="295"/>
        </w:trPr>
        <w:tc>
          <w:tcPr>
            <w:tcW w:w="0" w:type="auto"/>
            <w:vMerge w:val="restart"/>
          </w:tcPr>
          <w:p w14:paraId="4BD6D212"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0B45CDEA"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0FF94787"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6939BE63" w14:textId="427206E8" w:rsidR="00191A23" w:rsidRPr="0022554A" w:rsidRDefault="00186B02" w:rsidP="00191A23">
            <w:pPr>
              <w:tabs>
                <w:tab w:val="left" w:pos="5400"/>
              </w:tabs>
              <w:rPr>
                <w:i/>
                <w:sz w:val="20"/>
              </w:rPr>
            </w:pPr>
            <w:r>
              <w:rPr>
                <w:i/>
                <w:sz w:val="20"/>
              </w:rPr>
              <w:t>5-8</w:t>
            </w:r>
          </w:p>
        </w:tc>
        <w:tc>
          <w:tcPr>
            <w:tcW w:w="3118" w:type="dxa"/>
          </w:tcPr>
          <w:p w14:paraId="6749CC94" w14:textId="0CCE45AA" w:rsidR="00191A23" w:rsidRPr="0022554A" w:rsidRDefault="00186B02" w:rsidP="00191A23">
            <w:pPr>
              <w:tabs>
                <w:tab w:val="left" w:pos="5400"/>
              </w:tabs>
              <w:rPr>
                <w:i/>
                <w:sz w:val="20"/>
              </w:rPr>
            </w:pPr>
            <w:r>
              <w:rPr>
                <w:i/>
                <w:sz w:val="20"/>
              </w:rPr>
              <w:t>See tables 1-6</w:t>
            </w:r>
          </w:p>
        </w:tc>
      </w:tr>
      <w:tr w:rsidR="00191A23" w:rsidRPr="0022554A" w14:paraId="19B9C1BF" w14:textId="77777777" w:rsidTr="00517788">
        <w:trPr>
          <w:trHeight w:val="294"/>
        </w:trPr>
        <w:tc>
          <w:tcPr>
            <w:tcW w:w="0" w:type="auto"/>
            <w:vMerge/>
          </w:tcPr>
          <w:p w14:paraId="783D2060" w14:textId="77777777" w:rsidR="00191A23" w:rsidRPr="0022554A" w:rsidRDefault="00191A23" w:rsidP="00191A23">
            <w:pPr>
              <w:tabs>
                <w:tab w:val="left" w:pos="5400"/>
              </w:tabs>
              <w:rPr>
                <w:bCs/>
                <w:sz w:val="20"/>
              </w:rPr>
            </w:pPr>
          </w:p>
        </w:tc>
        <w:tc>
          <w:tcPr>
            <w:tcW w:w="0" w:type="auto"/>
            <w:vMerge/>
          </w:tcPr>
          <w:p w14:paraId="5C0FF643" w14:textId="77777777" w:rsidR="00191A23" w:rsidRPr="0022554A" w:rsidRDefault="00191A23" w:rsidP="00191A23">
            <w:pPr>
              <w:tabs>
                <w:tab w:val="left" w:pos="5400"/>
              </w:tabs>
              <w:jc w:val="center"/>
              <w:rPr>
                <w:sz w:val="20"/>
              </w:rPr>
            </w:pPr>
          </w:p>
        </w:tc>
        <w:tc>
          <w:tcPr>
            <w:tcW w:w="8328" w:type="dxa"/>
          </w:tcPr>
          <w:p w14:paraId="6B675E0D"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77900045" w14:textId="77777777" w:rsidR="00191A23" w:rsidRPr="0022554A" w:rsidRDefault="00191A23" w:rsidP="00191A23">
            <w:pPr>
              <w:tabs>
                <w:tab w:val="left" w:pos="5400"/>
              </w:tabs>
              <w:rPr>
                <w:i/>
                <w:sz w:val="20"/>
              </w:rPr>
            </w:pPr>
          </w:p>
        </w:tc>
        <w:tc>
          <w:tcPr>
            <w:tcW w:w="3118" w:type="dxa"/>
          </w:tcPr>
          <w:p w14:paraId="6A675877" w14:textId="77777777" w:rsidR="00191A23" w:rsidRPr="0022554A" w:rsidRDefault="00191A23" w:rsidP="00191A23">
            <w:pPr>
              <w:tabs>
                <w:tab w:val="left" w:pos="5400"/>
              </w:tabs>
              <w:rPr>
                <w:i/>
                <w:sz w:val="20"/>
              </w:rPr>
            </w:pPr>
          </w:p>
        </w:tc>
      </w:tr>
      <w:tr w:rsidR="00191A23" w:rsidRPr="0022554A" w14:paraId="53E846FE" w14:textId="77777777" w:rsidTr="00517788">
        <w:trPr>
          <w:trHeight w:val="294"/>
        </w:trPr>
        <w:tc>
          <w:tcPr>
            <w:tcW w:w="0" w:type="auto"/>
            <w:vMerge/>
          </w:tcPr>
          <w:p w14:paraId="064A812D" w14:textId="77777777" w:rsidR="00191A23" w:rsidRPr="0022554A" w:rsidRDefault="00191A23" w:rsidP="00191A23">
            <w:pPr>
              <w:tabs>
                <w:tab w:val="left" w:pos="5400"/>
              </w:tabs>
              <w:rPr>
                <w:bCs/>
                <w:sz w:val="20"/>
              </w:rPr>
            </w:pPr>
          </w:p>
        </w:tc>
        <w:tc>
          <w:tcPr>
            <w:tcW w:w="0" w:type="auto"/>
            <w:vMerge/>
          </w:tcPr>
          <w:p w14:paraId="734A4514" w14:textId="77777777" w:rsidR="00191A23" w:rsidRPr="0022554A" w:rsidRDefault="00191A23" w:rsidP="00191A23">
            <w:pPr>
              <w:tabs>
                <w:tab w:val="left" w:pos="5400"/>
              </w:tabs>
              <w:jc w:val="center"/>
              <w:rPr>
                <w:sz w:val="20"/>
              </w:rPr>
            </w:pPr>
          </w:p>
        </w:tc>
        <w:tc>
          <w:tcPr>
            <w:tcW w:w="8328" w:type="dxa"/>
          </w:tcPr>
          <w:p w14:paraId="03491724"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260971C2" w14:textId="77777777" w:rsidR="00191A23" w:rsidRDefault="00191A23" w:rsidP="00191A23">
            <w:pPr>
              <w:tabs>
                <w:tab w:val="left" w:pos="5400"/>
              </w:tabs>
              <w:rPr>
                <w:i/>
                <w:sz w:val="20"/>
              </w:rPr>
            </w:pPr>
          </w:p>
        </w:tc>
        <w:tc>
          <w:tcPr>
            <w:tcW w:w="3118" w:type="dxa"/>
          </w:tcPr>
          <w:p w14:paraId="535DE35D" w14:textId="77777777" w:rsidR="00191A23" w:rsidRDefault="00191A23" w:rsidP="00191A23">
            <w:pPr>
              <w:tabs>
                <w:tab w:val="left" w:pos="5400"/>
              </w:tabs>
              <w:rPr>
                <w:i/>
                <w:sz w:val="20"/>
              </w:rPr>
            </w:pPr>
          </w:p>
        </w:tc>
      </w:tr>
      <w:tr w:rsidR="00191A23" w:rsidRPr="0022554A" w14:paraId="03072501" w14:textId="77777777" w:rsidTr="00517788">
        <w:tc>
          <w:tcPr>
            <w:tcW w:w="0" w:type="auto"/>
            <w:vMerge w:val="restart"/>
          </w:tcPr>
          <w:p w14:paraId="10F860CF"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23A69335" w14:textId="77777777" w:rsidR="00191A23" w:rsidRPr="0022554A" w:rsidRDefault="00191A23" w:rsidP="00191A23">
            <w:pPr>
              <w:tabs>
                <w:tab w:val="left" w:pos="5400"/>
              </w:tabs>
              <w:jc w:val="center"/>
              <w:rPr>
                <w:sz w:val="20"/>
              </w:rPr>
            </w:pPr>
            <w:r w:rsidRPr="0022554A">
              <w:rPr>
                <w:sz w:val="20"/>
              </w:rPr>
              <w:t>16</w:t>
            </w:r>
          </w:p>
        </w:tc>
        <w:tc>
          <w:tcPr>
            <w:tcW w:w="8328" w:type="dxa"/>
          </w:tcPr>
          <w:p w14:paraId="486A1FF6"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2A58F3B0" w14:textId="0DDB05E7" w:rsidR="00191A23" w:rsidRPr="0022554A" w:rsidRDefault="00186B02" w:rsidP="00191A23">
            <w:pPr>
              <w:tabs>
                <w:tab w:val="left" w:pos="5400"/>
              </w:tabs>
              <w:rPr>
                <w:sz w:val="20"/>
              </w:rPr>
            </w:pPr>
            <w:r>
              <w:rPr>
                <w:sz w:val="20"/>
              </w:rPr>
              <w:t>5-8</w:t>
            </w:r>
          </w:p>
        </w:tc>
        <w:tc>
          <w:tcPr>
            <w:tcW w:w="3118" w:type="dxa"/>
          </w:tcPr>
          <w:p w14:paraId="3189802E" w14:textId="43E5CFA3" w:rsidR="00191A23" w:rsidRPr="0022554A" w:rsidRDefault="00186B02" w:rsidP="00191A23">
            <w:pPr>
              <w:tabs>
                <w:tab w:val="left" w:pos="5400"/>
              </w:tabs>
              <w:rPr>
                <w:sz w:val="20"/>
              </w:rPr>
            </w:pPr>
            <w:r>
              <w:rPr>
                <w:sz w:val="20"/>
              </w:rPr>
              <w:t>See Tables 1-6</w:t>
            </w:r>
          </w:p>
        </w:tc>
      </w:tr>
      <w:tr w:rsidR="00191A23" w:rsidRPr="0022554A" w14:paraId="377BED99" w14:textId="77777777" w:rsidTr="00517788">
        <w:tc>
          <w:tcPr>
            <w:tcW w:w="0" w:type="auto"/>
            <w:vMerge/>
          </w:tcPr>
          <w:p w14:paraId="442344FF"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181AB5DF" w14:textId="77777777" w:rsidR="00191A23" w:rsidRPr="0022554A" w:rsidRDefault="00191A23" w:rsidP="00191A23">
            <w:pPr>
              <w:tabs>
                <w:tab w:val="left" w:pos="5400"/>
              </w:tabs>
              <w:jc w:val="center"/>
              <w:rPr>
                <w:sz w:val="20"/>
              </w:rPr>
            </w:pPr>
          </w:p>
        </w:tc>
        <w:tc>
          <w:tcPr>
            <w:tcW w:w="8328" w:type="dxa"/>
          </w:tcPr>
          <w:p w14:paraId="53BFDE36"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02BCB249" w14:textId="6B6BD0FD" w:rsidR="00191A23" w:rsidRPr="0022554A" w:rsidRDefault="00186B02" w:rsidP="00191A23">
            <w:pPr>
              <w:tabs>
                <w:tab w:val="left" w:pos="5400"/>
              </w:tabs>
              <w:rPr>
                <w:sz w:val="20"/>
              </w:rPr>
            </w:pPr>
            <w:r>
              <w:rPr>
                <w:sz w:val="20"/>
              </w:rPr>
              <w:t>-</w:t>
            </w:r>
          </w:p>
        </w:tc>
        <w:tc>
          <w:tcPr>
            <w:tcW w:w="3118" w:type="dxa"/>
          </w:tcPr>
          <w:p w14:paraId="1C1046E1" w14:textId="77777777" w:rsidR="00191A23" w:rsidRPr="0022554A" w:rsidRDefault="00191A23" w:rsidP="00191A23">
            <w:pPr>
              <w:tabs>
                <w:tab w:val="left" w:pos="5400"/>
              </w:tabs>
              <w:rPr>
                <w:sz w:val="20"/>
              </w:rPr>
            </w:pPr>
          </w:p>
        </w:tc>
      </w:tr>
      <w:tr w:rsidR="00191A23" w:rsidRPr="0022554A" w14:paraId="7DA954E7" w14:textId="77777777" w:rsidTr="00517788">
        <w:tc>
          <w:tcPr>
            <w:tcW w:w="0" w:type="auto"/>
            <w:vMerge/>
          </w:tcPr>
          <w:p w14:paraId="2856D87B"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26BBAE9E" w14:textId="77777777" w:rsidR="00191A23" w:rsidRPr="0022554A" w:rsidRDefault="00191A23" w:rsidP="00191A23">
            <w:pPr>
              <w:tabs>
                <w:tab w:val="left" w:pos="5400"/>
              </w:tabs>
              <w:jc w:val="center"/>
              <w:rPr>
                <w:sz w:val="20"/>
              </w:rPr>
            </w:pPr>
          </w:p>
        </w:tc>
        <w:tc>
          <w:tcPr>
            <w:tcW w:w="8328" w:type="dxa"/>
          </w:tcPr>
          <w:p w14:paraId="0926A544"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2A9EC838" w14:textId="625B80DF" w:rsidR="00191A23" w:rsidRPr="0022554A" w:rsidRDefault="00186B02" w:rsidP="00191A23">
            <w:pPr>
              <w:tabs>
                <w:tab w:val="left" w:pos="5400"/>
              </w:tabs>
              <w:rPr>
                <w:sz w:val="20"/>
              </w:rPr>
            </w:pPr>
            <w:r>
              <w:rPr>
                <w:sz w:val="20"/>
              </w:rPr>
              <w:t>-</w:t>
            </w:r>
          </w:p>
        </w:tc>
        <w:tc>
          <w:tcPr>
            <w:tcW w:w="3118" w:type="dxa"/>
          </w:tcPr>
          <w:p w14:paraId="2873CDC2" w14:textId="77777777" w:rsidR="00191A23" w:rsidRPr="0022554A" w:rsidRDefault="00191A23" w:rsidP="00191A23">
            <w:pPr>
              <w:tabs>
                <w:tab w:val="left" w:pos="5400"/>
              </w:tabs>
              <w:rPr>
                <w:sz w:val="20"/>
              </w:rPr>
            </w:pPr>
          </w:p>
        </w:tc>
      </w:tr>
    </w:tbl>
    <w:p w14:paraId="642B226B"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2296D0CD" w14:textId="77777777" w:rsidTr="00517788">
        <w:tc>
          <w:tcPr>
            <w:tcW w:w="0" w:type="auto"/>
          </w:tcPr>
          <w:p w14:paraId="65D4507D"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1D20C1A6" w14:textId="77777777" w:rsidR="00191A23" w:rsidRPr="0022554A" w:rsidRDefault="00191A23" w:rsidP="00191A23">
            <w:pPr>
              <w:tabs>
                <w:tab w:val="left" w:pos="5400"/>
              </w:tabs>
              <w:jc w:val="center"/>
              <w:rPr>
                <w:sz w:val="20"/>
              </w:rPr>
            </w:pPr>
            <w:r w:rsidRPr="0022554A">
              <w:rPr>
                <w:sz w:val="20"/>
              </w:rPr>
              <w:t>17</w:t>
            </w:r>
          </w:p>
        </w:tc>
        <w:tc>
          <w:tcPr>
            <w:tcW w:w="8687" w:type="dxa"/>
          </w:tcPr>
          <w:p w14:paraId="0CB1C8E9"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1B7550B0" w14:textId="203BDC5A" w:rsidR="00191A23" w:rsidRPr="0022554A" w:rsidRDefault="00186B02" w:rsidP="00191A23">
            <w:pPr>
              <w:tabs>
                <w:tab w:val="left" w:pos="5400"/>
              </w:tabs>
              <w:rPr>
                <w:sz w:val="20"/>
              </w:rPr>
            </w:pPr>
            <w:r>
              <w:rPr>
                <w:sz w:val="20"/>
              </w:rPr>
              <w:t>8-9</w:t>
            </w:r>
          </w:p>
        </w:tc>
        <w:tc>
          <w:tcPr>
            <w:tcW w:w="3129" w:type="dxa"/>
          </w:tcPr>
          <w:p w14:paraId="7EA532B2" w14:textId="5D25FA1A" w:rsidR="00191A23" w:rsidRPr="0022554A" w:rsidRDefault="00186B02" w:rsidP="00191A23">
            <w:pPr>
              <w:tabs>
                <w:tab w:val="left" w:pos="5400"/>
              </w:tabs>
              <w:rPr>
                <w:sz w:val="20"/>
              </w:rPr>
            </w:pPr>
            <w:r>
              <w:rPr>
                <w:sz w:val="20"/>
              </w:rPr>
              <w:t>See Fig 1/2</w:t>
            </w:r>
          </w:p>
        </w:tc>
      </w:tr>
      <w:tr w:rsidR="00976EE1" w:rsidRPr="0022554A" w14:paraId="1C4565C7" w14:textId="77777777" w:rsidTr="00191A23">
        <w:tc>
          <w:tcPr>
            <w:tcW w:w="14992" w:type="dxa"/>
            <w:gridSpan w:val="5"/>
          </w:tcPr>
          <w:p w14:paraId="0ED4FEF3"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6A1BDA43" w14:textId="77777777" w:rsidTr="00517788">
        <w:tc>
          <w:tcPr>
            <w:tcW w:w="0" w:type="auto"/>
          </w:tcPr>
          <w:p w14:paraId="2D5E514B"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16618776" w14:textId="77777777" w:rsidR="00191A23" w:rsidRPr="0022554A" w:rsidRDefault="00191A23" w:rsidP="00191A23">
            <w:pPr>
              <w:tabs>
                <w:tab w:val="left" w:pos="5400"/>
              </w:tabs>
              <w:jc w:val="center"/>
              <w:rPr>
                <w:sz w:val="20"/>
              </w:rPr>
            </w:pPr>
            <w:r w:rsidRPr="0022554A">
              <w:rPr>
                <w:sz w:val="20"/>
              </w:rPr>
              <w:t>18</w:t>
            </w:r>
          </w:p>
        </w:tc>
        <w:tc>
          <w:tcPr>
            <w:tcW w:w="8687" w:type="dxa"/>
          </w:tcPr>
          <w:p w14:paraId="36966BD8"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43B41D3A" w14:textId="7D5E73E7" w:rsidR="00191A23" w:rsidRPr="0022554A" w:rsidRDefault="00186B02" w:rsidP="00191A23">
            <w:pPr>
              <w:tabs>
                <w:tab w:val="left" w:pos="5400"/>
              </w:tabs>
              <w:rPr>
                <w:sz w:val="20"/>
              </w:rPr>
            </w:pPr>
            <w:r>
              <w:rPr>
                <w:sz w:val="20"/>
              </w:rPr>
              <w:t>8-9</w:t>
            </w:r>
          </w:p>
        </w:tc>
        <w:tc>
          <w:tcPr>
            <w:tcW w:w="3129" w:type="dxa"/>
          </w:tcPr>
          <w:p w14:paraId="6FD21927" w14:textId="77777777" w:rsidR="00191A23" w:rsidRPr="0022554A" w:rsidRDefault="00191A23" w:rsidP="00191A23">
            <w:pPr>
              <w:tabs>
                <w:tab w:val="left" w:pos="5400"/>
              </w:tabs>
              <w:rPr>
                <w:sz w:val="20"/>
              </w:rPr>
            </w:pPr>
          </w:p>
        </w:tc>
      </w:tr>
      <w:tr w:rsidR="00191A23" w:rsidRPr="0022554A" w14:paraId="2619FF23" w14:textId="77777777" w:rsidTr="00517788">
        <w:tc>
          <w:tcPr>
            <w:tcW w:w="0" w:type="auto"/>
          </w:tcPr>
          <w:p w14:paraId="49912829"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60BE9558" w14:textId="77777777" w:rsidR="00191A23" w:rsidRPr="0022554A" w:rsidRDefault="00191A23" w:rsidP="00191A23">
            <w:pPr>
              <w:tabs>
                <w:tab w:val="left" w:pos="5400"/>
              </w:tabs>
              <w:jc w:val="center"/>
              <w:rPr>
                <w:sz w:val="20"/>
              </w:rPr>
            </w:pPr>
            <w:r w:rsidRPr="0022554A">
              <w:rPr>
                <w:sz w:val="20"/>
              </w:rPr>
              <w:t>19</w:t>
            </w:r>
          </w:p>
        </w:tc>
        <w:tc>
          <w:tcPr>
            <w:tcW w:w="8687" w:type="dxa"/>
          </w:tcPr>
          <w:p w14:paraId="0A7432C1"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26CBCB2A" w14:textId="05FAAFE7" w:rsidR="00191A23" w:rsidRPr="0022554A" w:rsidRDefault="00186B02" w:rsidP="00191A23">
            <w:pPr>
              <w:tabs>
                <w:tab w:val="left" w:pos="5400"/>
              </w:tabs>
              <w:rPr>
                <w:sz w:val="20"/>
              </w:rPr>
            </w:pPr>
            <w:r>
              <w:rPr>
                <w:sz w:val="20"/>
              </w:rPr>
              <w:t>13</w:t>
            </w:r>
          </w:p>
        </w:tc>
        <w:tc>
          <w:tcPr>
            <w:tcW w:w="3129" w:type="dxa"/>
          </w:tcPr>
          <w:p w14:paraId="733DD4CF" w14:textId="77777777" w:rsidR="00191A23" w:rsidRPr="0022554A" w:rsidRDefault="00191A23" w:rsidP="00191A23">
            <w:pPr>
              <w:tabs>
                <w:tab w:val="left" w:pos="5400"/>
              </w:tabs>
              <w:rPr>
                <w:sz w:val="20"/>
              </w:rPr>
            </w:pPr>
          </w:p>
        </w:tc>
      </w:tr>
      <w:tr w:rsidR="00191A23" w:rsidRPr="0022554A" w14:paraId="237CBDD9" w14:textId="77777777" w:rsidTr="00517788">
        <w:tc>
          <w:tcPr>
            <w:tcW w:w="0" w:type="auto"/>
          </w:tcPr>
          <w:p w14:paraId="4E5DB7F5"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7C670E76" w14:textId="77777777" w:rsidR="00191A23" w:rsidRPr="0022554A" w:rsidRDefault="00191A23" w:rsidP="00191A23">
            <w:pPr>
              <w:tabs>
                <w:tab w:val="left" w:pos="5400"/>
              </w:tabs>
              <w:jc w:val="center"/>
              <w:rPr>
                <w:sz w:val="20"/>
              </w:rPr>
            </w:pPr>
            <w:r w:rsidRPr="0022554A">
              <w:rPr>
                <w:sz w:val="20"/>
              </w:rPr>
              <w:t>20</w:t>
            </w:r>
          </w:p>
        </w:tc>
        <w:tc>
          <w:tcPr>
            <w:tcW w:w="8687" w:type="dxa"/>
          </w:tcPr>
          <w:p w14:paraId="18A2CA9E"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3843CBB7" w14:textId="3FE8F469" w:rsidR="00191A23" w:rsidRPr="0022554A" w:rsidRDefault="00203B99" w:rsidP="00191A23">
            <w:pPr>
              <w:tabs>
                <w:tab w:val="left" w:pos="5400"/>
              </w:tabs>
              <w:rPr>
                <w:sz w:val="20"/>
              </w:rPr>
            </w:pPr>
            <w:r>
              <w:rPr>
                <w:sz w:val="20"/>
              </w:rPr>
              <w:t>13-14</w:t>
            </w:r>
          </w:p>
        </w:tc>
        <w:tc>
          <w:tcPr>
            <w:tcW w:w="3129" w:type="dxa"/>
          </w:tcPr>
          <w:p w14:paraId="66F53B2E" w14:textId="126CE87F" w:rsidR="00203B99" w:rsidRPr="00F76993" w:rsidRDefault="00203B99" w:rsidP="00203B99">
            <w:pPr>
              <w:ind w:firstLine="720"/>
              <w:rPr>
                <w:color w:val="000000" w:themeColor="text1"/>
                <w:szCs w:val="24"/>
              </w:rPr>
            </w:pPr>
            <w:r>
              <w:rPr>
                <w:color w:val="000000" w:themeColor="text1"/>
                <w:szCs w:val="24"/>
              </w:rPr>
              <w:t xml:space="preserve">Our study presents some limitations. First, being a retrospective study, the data completed in both electronic databases and medical archives might have errors in completion, this being one of the main reasons for excluding the patients with incomplete data. Second, being a retrospective analysis, the choice for open or laparoscopy surgery can be purely subjective based on the surgeon’s experience, which in a retrospective setting cannot be adequately quantified. One of the main reasons for comparing the current laparoscopic experience with the one from our previous study was to diminish this limit, highlighting a significant improvement with a broadened case selection, </w:t>
            </w:r>
            <w:r>
              <w:rPr>
                <w:color w:val="000000" w:themeColor="text1"/>
                <w:szCs w:val="24"/>
              </w:rPr>
              <w:lastRenderedPageBreak/>
              <w:t xml:space="preserve">improved postoperative recovery as well as maintaining intraoperative parameters. </w:t>
            </w:r>
          </w:p>
          <w:p w14:paraId="1BEB0DCA" w14:textId="77777777" w:rsidR="00191A23" w:rsidRPr="0022554A" w:rsidRDefault="00191A23" w:rsidP="00191A23">
            <w:pPr>
              <w:tabs>
                <w:tab w:val="left" w:pos="5400"/>
              </w:tabs>
              <w:rPr>
                <w:sz w:val="20"/>
              </w:rPr>
            </w:pPr>
          </w:p>
        </w:tc>
      </w:tr>
      <w:tr w:rsidR="00191A23" w:rsidRPr="0022554A" w14:paraId="17C73F72" w14:textId="77777777" w:rsidTr="00517788">
        <w:tc>
          <w:tcPr>
            <w:tcW w:w="0" w:type="auto"/>
          </w:tcPr>
          <w:p w14:paraId="038C01E8"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lastRenderedPageBreak/>
              <w:t>Generalisability</w:t>
            </w:r>
          </w:p>
        </w:tc>
        <w:tc>
          <w:tcPr>
            <w:tcW w:w="0" w:type="auto"/>
          </w:tcPr>
          <w:p w14:paraId="2D31CD1E" w14:textId="77777777" w:rsidR="00191A23" w:rsidRPr="0022554A" w:rsidRDefault="00191A23" w:rsidP="00191A23">
            <w:pPr>
              <w:tabs>
                <w:tab w:val="left" w:pos="5400"/>
              </w:tabs>
              <w:jc w:val="center"/>
              <w:rPr>
                <w:sz w:val="20"/>
              </w:rPr>
            </w:pPr>
            <w:r w:rsidRPr="0022554A">
              <w:rPr>
                <w:sz w:val="20"/>
              </w:rPr>
              <w:t>21</w:t>
            </w:r>
          </w:p>
        </w:tc>
        <w:tc>
          <w:tcPr>
            <w:tcW w:w="8687" w:type="dxa"/>
          </w:tcPr>
          <w:p w14:paraId="6A96B556"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32B7A259" w14:textId="2581A9D1" w:rsidR="00191A23" w:rsidRPr="0022554A" w:rsidRDefault="00203B99" w:rsidP="00191A23">
            <w:pPr>
              <w:tabs>
                <w:tab w:val="left" w:pos="5400"/>
              </w:tabs>
              <w:rPr>
                <w:sz w:val="20"/>
              </w:rPr>
            </w:pPr>
            <w:r>
              <w:rPr>
                <w:sz w:val="20"/>
              </w:rPr>
              <w:t>14</w:t>
            </w:r>
          </w:p>
        </w:tc>
        <w:tc>
          <w:tcPr>
            <w:tcW w:w="3129" w:type="dxa"/>
          </w:tcPr>
          <w:p w14:paraId="49DBFEB5" w14:textId="4961A0F3" w:rsidR="00191A23" w:rsidRPr="0022554A" w:rsidRDefault="00203B99" w:rsidP="00191A23">
            <w:pPr>
              <w:tabs>
                <w:tab w:val="left" w:pos="5400"/>
              </w:tabs>
              <w:rPr>
                <w:sz w:val="20"/>
              </w:rPr>
            </w:pPr>
            <w:r>
              <w:rPr>
                <w:color w:val="000000" w:themeColor="text1"/>
                <w:szCs w:val="24"/>
              </w:rPr>
              <w:t xml:space="preserve">Finally, compared to the current literature, our results showcase similar results in terms of the effectiveness of the laparoscopic procedure with relative changes in the management of the patients which can be explained by the current setting of our tertiary </w:t>
            </w:r>
            <w:proofErr w:type="spellStart"/>
            <w:r>
              <w:rPr>
                <w:color w:val="000000" w:themeColor="text1"/>
                <w:szCs w:val="24"/>
              </w:rPr>
              <w:t>center</w:t>
            </w:r>
            <w:proofErr w:type="spellEnd"/>
            <w:r>
              <w:rPr>
                <w:color w:val="000000" w:themeColor="text1"/>
                <w:szCs w:val="24"/>
              </w:rPr>
              <w:t xml:space="preserve">. Some of these results might be difficult to reproduce in smaller-volume </w:t>
            </w:r>
            <w:proofErr w:type="spellStart"/>
            <w:r>
              <w:rPr>
                <w:color w:val="000000" w:themeColor="text1"/>
                <w:szCs w:val="24"/>
              </w:rPr>
              <w:t>centers</w:t>
            </w:r>
            <w:proofErr w:type="spellEnd"/>
            <w:r>
              <w:rPr>
                <w:color w:val="000000" w:themeColor="text1"/>
                <w:szCs w:val="24"/>
              </w:rPr>
              <w:t>.</w:t>
            </w:r>
          </w:p>
        </w:tc>
      </w:tr>
      <w:tr w:rsidR="00191A23" w:rsidRPr="0022554A" w14:paraId="7A6F9929" w14:textId="77777777" w:rsidTr="00517788">
        <w:tc>
          <w:tcPr>
            <w:tcW w:w="1911" w:type="dxa"/>
            <w:gridSpan w:val="2"/>
          </w:tcPr>
          <w:p w14:paraId="51D9BC26"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2913DF70" w14:textId="77777777" w:rsidR="00191A23" w:rsidRPr="0022554A" w:rsidRDefault="00191A23" w:rsidP="00191A23">
            <w:pPr>
              <w:pStyle w:val="TableSubHead"/>
              <w:tabs>
                <w:tab w:val="left" w:pos="5400"/>
              </w:tabs>
              <w:rPr>
                <w:sz w:val="20"/>
              </w:rPr>
            </w:pPr>
          </w:p>
        </w:tc>
      </w:tr>
      <w:tr w:rsidR="00191A23" w:rsidRPr="0022554A" w14:paraId="1C9BE051" w14:textId="77777777" w:rsidTr="00517788">
        <w:tc>
          <w:tcPr>
            <w:tcW w:w="0" w:type="auto"/>
          </w:tcPr>
          <w:p w14:paraId="2653B30E"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7408EEFC" w14:textId="77777777" w:rsidR="00191A23" w:rsidRPr="0022554A" w:rsidRDefault="00191A23" w:rsidP="00191A23">
            <w:pPr>
              <w:tabs>
                <w:tab w:val="left" w:pos="5400"/>
              </w:tabs>
              <w:jc w:val="center"/>
              <w:rPr>
                <w:sz w:val="20"/>
              </w:rPr>
            </w:pPr>
            <w:r w:rsidRPr="0022554A">
              <w:rPr>
                <w:sz w:val="20"/>
              </w:rPr>
              <w:t>22</w:t>
            </w:r>
          </w:p>
        </w:tc>
        <w:tc>
          <w:tcPr>
            <w:tcW w:w="8687" w:type="dxa"/>
          </w:tcPr>
          <w:p w14:paraId="15C51DA7"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460F5CEB" w14:textId="68F5E2A4" w:rsidR="00191A23" w:rsidRPr="0022554A" w:rsidRDefault="00186B02" w:rsidP="00191A23">
            <w:pPr>
              <w:tabs>
                <w:tab w:val="left" w:pos="5400"/>
              </w:tabs>
              <w:rPr>
                <w:sz w:val="20"/>
              </w:rPr>
            </w:pPr>
            <w:r>
              <w:rPr>
                <w:sz w:val="20"/>
              </w:rPr>
              <w:t>-</w:t>
            </w:r>
          </w:p>
        </w:tc>
        <w:tc>
          <w:tcPr>
            <w:tcW w:w="3129" w:type="dxa"/>
          </w:tcPr>
          <w:p w14:paraId="566C87A0" w14:textId="77777777" w:rsidR="00191A23" w:rsidRPr="0022554A" w:rsidRDefault="00191A23" w:rsidP="00191A23">
            <w:pPr>
              <w:tabs>
                <w:tab w:val="left" w:pos="5400"/>
              </w:tabs>
              <w:rPr>
                <w:sz w:val="20"/>
              </w:rPr>
            </w:pPr>
          </w:p>
        </w:tc>
      </w:tr>
      <w:bookmarkEnd w:id="94"/>
      <w:bookmarkEnd w:id="95"/>
    </w:tbl>
    <w:p w14:paraId="22F93914" w14:textId="77777777" w:rsidR="002602FB" w:rsidRDefault="002602FB" w:rsidP="0022554A">
      <w:pPr>
        <w:pStyle w:val="TableNote"/>
        <w:tabs>
          <w:tab w:val="left" w:pos="5400"/>
        </w:tabs>
        <w:rPr>
          <w:bCs/>
          <w:sz w:val="20"/>
        </w:rPr>
      </w:pPr>
    </w:p>
    <w:p w14:paraId="4E0F69D7"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405C3213" w14:textId="77777777" w:rsidR="00AE2C57" w:rsidRDefault="00AE2C57" w:rsidP="0022554A">
      <w:pPr>
        <w:pStyle w:val="TableNote"/>
        <w:tabs>
          <w:tab w:val="left" w:pos="5400"/>
        </w:tabs>
        <w:rPr>
          <w:sz w:val="20"/>
        </w:rPr>
      </w:pPr>
    </w:p>
    <w:p w14:paraId="2BF9DBFE"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D336" w14:textId="77777777" w:rsidR="004D0E6F" w:rsidRDefault="004D0E6F">
      <w:r>
        <w:separator/>
      </w:r>
    </w:p>
  </w:endnote>
  <w:endnote w:type="continuationSeparator" w:id="0">
    <w:p w14:paraId="1BDE6E2C" w14:textId="77777777" w:rsidR="004D0E6F" w:rsidRDefault="004D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7696" w14:textId="77777777" w:rsidR="00A13C96" w:rsidRDefault="00A13C96" w:rsidP="00A13C9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63A214E2" w14:textId="77777777" w:rsidR="00A13C96" w:rsidRDefault="00A13C96" w:rsidP="005D0CF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4395" w14:textId="77777777" w:rsidR="00A13C96" w:rsidRDefault="00A13C96" w:rsidP="007F7FA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CA489B">
      <w:rPr>
        <w:rStyle w:val="Numrdepagin"/>
        <w:noProof/>
      </w:rPr>
      <w:t>3</w:t>
    </w:r>
    <w:r>
      <w:rPr>
        <w:rStyle w:val="Numrdepagin"/>
      </w:rPr>
      <w:fldChar w:fldCharType="end"/>
    </w:r>
  </w:p>
  <w:p w14:paraId="67927F92" w14:textId="77777777" w:rsidR="00A13C96" w:rsidRDefault="00A13C96" w:rsidP="005D0CFC">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2B36" w14:textId="77777777" w:rsidR="004D0E6F" w:rsidRDefault="004D0E6F">
      <w:r>
        <w:separator/>
      </w:r>
    </w:p>
  </w:footnote>
  <w:footnote w:type="continuationSeparator" w:id="0">
    <w:p w14:paraId="78BA81C4" w14:textId="77777777" w:rsidR="004D0E6F" w:rsidRDefault="004D0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cumarcatori"/>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lu2"/>
      <w:lvlText w:val="%2."/>
      <w:lvlJc w:val="left"/>
      <w:pPr>
        <w:tabs>
          <w:tab w:val="num" w:pos="1080"/>
        </w:tabs>
        <w:ind w:left="720" w:firstLine="0"/>
      </w:pPr>
    </w:lvl>
    <w:lvl w:ilvl="2">
      <w:start w:val="1"/>
      <w:numFmt w:val="decimal"/>
      <w:pStyle w:val="Titlu3"/>
      <w:lvlText w:val="%3."/>
      <w:lvlJc w:val="left"/>
      <w:pPr>
        <w:tabs>
          <w:tab w:val="num" w:pos="1800"/>
        </w:tabs>
        <w:ind w:left="1440" w:firstLine="0"/>
      </w:pPr>
    </w:lvl>
    <w:lvl w:ilvl="3">
      <w:start w:val="1"/>
      <w:numFmt w:val="lowerLetter"/>
      <w:pStyle w:val="Titlu4"/>
      <w:lvlText w:val="%4)"/>
      <w:lvlJc w:val="left"/>
      <w:pPr>
        <w:tabs>
          <w:tab w:val="num" w:pos="2520"/>
        </w:tabs>
        <w:ind w:left="2160" w:firstLine="0"/>
      </w:pPr>
    </w:lvl>
    <w:lvl w:ilvl="4">
      <w:start w:val="1"/>
      <w:numFmt w:val="decimal"/>
      <w:pStyle w:val="Titlu5"/>
      <w:lvlText w:val="(%5)"/>
      <w:lvlJc w:val="left"/>
      <w:pPr>
        <w:tabs>
          <w:tab w:val="num" w:pos="3240"/>
        </w:tabs>
        <w:ind w:left="2880" w:firstLine="0"/>
      </w:pPr>
    </w:lvl>
    <w:lvl w:ilvl="5">
      <w:start w:val="1"/>
      <w:numFmt w:val="lowerLetter"/>
      <w:pStyle w:val="Titlu6"/>
      <w:lvlText w:val="(%6)"/>
      <w:lvlJc w:val="left"/>
      <w:pPr>
        <w:tabs>
          <w:tab w:val="num" w:pos="3960"/>
        </w:tabs>
        <w:ind w:left="3600" w:firstLine="0"/>
      </w:pPr>
    </w:lvl>
    <w:lvl w:ilvl="6">
      <w:start w:val="1"/>
      <w:numFmt w:val="lowerRoman"/>
      <w:pStyle w:val="Titlu7"/>
      <w:lvlText w:val="(%7)"/>
      <w:lvlJc w:val="left"/>
      <w:pPr>
        <w:tabs>
          <w:tab w:val="num" w:pos="4680"/>
        </w:tabs>
        <w:ind w:left="4320" w:firstLine="0"/>
      </w:pPr>
    </w:lvl>
    <w:lvl w:ilvl="7">
      <w:start w:val="1"/>
      <w:numFmt w:val="lowerLetter"/>
      <w:pStyle w:val="Titlu8"/>
      <w:lvlText w:val="(%8)"/>
      <w:lvlJc w:val="left"/>
      <w:pPr>
        <w:tabs>
          <w:tab w:val="num" w:pos="5400"/>
        </w:tabs>
        <w:ind w:left="5040" w:firstLine="0"/>
      </w:pPr>
    </w:lvl>
    <w:lvl w:ilvl="8">
      <w:start w:val="1"/>
      <w:numFmt w:val="lowerRoman"/>
      <w:pStyle w:val="Titlu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908999086">
    <w:abstractNumId w:val="20"/>
  </w:num>
  <w:num w:numId="2" w16cid:durableId="96023702">
    <w:abstractNumId w:val="11"/>
  </w:num>
  <w:num w:numId="3" w16cid:durableId="1255164443">
    <w:abstractNumId w:val="18"/>
  </w:num>
  <w:num w:numId="4" w16cid:durableId="1478306350">
    <w:abstractNumId w:val="16"/>
  </w:num>
  <w:num w:numId="5" w16cid:durableId="688799722">
    <w:abstractNumId w:val="15"/>
  </w:num>
  <w:num w:numId="6" w16cid:durableId="1026634592">
    <w:abstractNumId w:val="19"/>
  </w:num>
  <w:num w:numId="7" w16cid:durableId="296376961">
    <w:abstractNumId w:val="10"/>
  </w:num>
  <w:num w:numId="8" w16cid:durableId="206647528">
    <w:abstractNumId w:val="13"/>
  </w:num>
  <w:num w:numId="9" w16cid:durableId="1543247674">
    <w:abstractNumId w:val="9"/>
  </w:num>
  <w:num w:numId="10" w16cid:durableId="480003771">
    <w:abstractNumId w:val="14"/>
  </w:num>
  <w:num w:numId="11" w16cid:durableId="1309281743">
    <w:abstractNumId w:val="7"/>
  </w:num>
  <w:num w:numId="12" w16cid:durableId="291324870">
    <w:abstractNumId w:val="6"/>
  </w:num>
  <w:num w:numId="13" w16cid:durableId="331638814">
    <w:abstractNumId w:val="5"/>
  </w:num>
  <w:num w:numId="14" w16cid:durableId="88039571">
    <w:abstractNumId w:val="4"/>
  </w:num>
  <w:num w:numId="15" w16cid:durableId="1258557628">
    <w:abstractNumId w:val="8"/>
  </w:num>
  <w:num w:numId="16" w16cid:durableId="1856770567">
    <w:abstractNumId w:val="3"/>
  </w:num>
  <w:num w:numId="17" w16cid:durableId="560138379">
    <w:abstractNumId w:val="2"/>
  </w:num>
  <w:num w:numId="18" w16cid:durableId="1700550454">
    <w:abstractNumId w:val="1"/>
  </w:num>
  <w:num w:numId="19" w16cid:durableId="197741607">
    <w:abstractNumId w:val="0"/>
  </w:num>
  <w:num w:numId="20" w16cid:durableId="1069309128">
    <w:abstractNumId w:val="12"/>
  </w:num>
  <w:num w:numId="21" w16cid:durableId="12259190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86B02"/>
    <w:rsid w:val="00191A23"/>
    <w:rsid w:val="001A495C"/>
    <w:rsid w:val="001A75E9"/>
    <w:rsid w:val="001E02AD"/>
    <w:rsid w:val="00203B99"/>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D0E6F"/>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0734F"/>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109EA"/>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38F279"/>
  <w15:docId w15:val="{F1E1379F-8D35-435F-9310-E8A66342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itlu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lu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lu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lu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lu5">
    <w:name w:val="heading 5"/>
    <w:basedOn w:val="Normal"/>
    <w:next w:val="Normal"/>
    <w:qFormat/>
    <w:rsid w:val="000B6FD4"/>
    <w:pPr>
      <w:numPr>
        <w:ilvl w:val="4"/>
        <w:numId w:val="5"/>
      </w:numPr>
      <w:spacing w:before="240" w:after="60" w:line="240" w:lineRule="auto"/>
      <w:outlineLvl w:val="4"/>
    </w:pPr>
    <w:rPr>
      <w:sz w:val="22"/>
    </w:rPr>
  </w:style>
  <w:style w:type="paragraph" w:styleId="Titlu6">
    <w:name w:val="heading 6"/>
    <w:basedOn w:val="Normal"/>
    <w:next w:val="Normal"/>
    <w:qFormat/>
    <w:rsid w:val="000B6FD4"/>
    <w:pPr>
      <w:numPr>
        <w:ilvl w:val="5"/>
        <w:numId w:val="5"/>
      </w:numPr>
      <w:spacing w:before="240" w:after="60" w:line="240" w:lineRule="auto"/>
      <w:outlineLvl w:val="5"/>
    </w:pPr>
    <w:rPr>
      <w:i/>
      <w:sz w:val="22"/>
    </w:rPr>
  </w:style>
  <w:style w:type="paragraph" w:styleId="Titlu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lu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lu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rsid w:val="000B6FD4"/>
    <w:pPr>
      <w:spacing w:after="120"/>
      <w:ind w:left="283"/>
    </w:pPr>
  </w:style>
  <w:style w:type="paragraph" w:styleId="TextnBalon">
    <w:name w:val="Balloon Text"/>
    <w:basedOn w:val="Normal"/>
    <w:semiHidden/>
    <w:rsid w:val="008D225B"/>
    <w:rPr>
      <w:rFonts w:ascii="Tahoma" w:hAnsi="Tahoma" w:cs="Tahoma"/>
      <w:sz w:val="16"/>
      <w:szCs w:val="16"/>
    </w:rPr>
  </w:style>
  <w:style w:type="paragraph" w:styleId="Subsol">
    <w:name w:val="footer"/>
    <w:basedOn w:val="Normal"/>
    <w:rsid w:val="000B6FD4"/>
    <w:pPr>
      <w:tabs>
        <w:tab w:val="center" w:pos="4153"/>
        <w:tab w:val="right" w:pos="8306"/>
      </w:tabs>
      <w:spacing w:line="240" w:lineRule="auto"/>
    </w:pPr>
    <w:rPr>
      <w:rFonts w:ascii="Arial" w:hAnsi="Arial"/>
      <w:sz w:val="20"/>
    </w:rPr>
  </w:style>
  <w:style w:type="character" w:styleId="Numrdepagin">
    <w:name w:val="page number"/>
    <w:basedOn w:val="Fontdeparagrafimplicit"/>
    <w:rsid w:val="000B6FD4"/>
  </w:style>
  <w:style w:type="paragraph" w:styleId="Antet">
    <w:name w:val="header"/>
    <w:basedOn w:val="Normal"/>
    <w:rsid w:val="000B6FD4"/>
    <w:pPr>
      <w:tabs>
        <w:tab w:val="center" w:pos="4153"/>
        <w:tab w:val="right" w:pos="8306"/>
      </w:tabs>
      <w:spacing w:line="240" w:lineRule="auto"/>
    </w:pPr>
    <w:rPr>
      <w:sz w:val="18"/>
    </w:rPr>
  </w:style>
  <w:style w:type="paragraph" w:styleId="Textnotdesubsol">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simplu">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egend">
    <w:name w:val="caption"/>
    <w:basedOn w:val="Normal"/>
    <w:next w:val="Normal"/>
    <w:qFormat/>
    <w:rsid w:val="000B6FD4"/>
    <w:pPr>
      <w:spacing w:before="120" w:after="120" w:line="240" w:lineRule="auto"/>
    </w:pPr>
    <w:rPr>
      <w:b/>
      <w:sz w:val="20"/>
    </w:rPr>
  </w:style>
  <w:style w:type="paragraph" w:styleId="Textcomentariu">
    <w:name w:val="annotation text"/>
    <w:basedOn w:val="Normal"/>
    <w:semiHidden/>
    <w:rsid w:val="000B6FD4"/>
    <w:pPr>
      <w:spacing w:line="240" w:lineRule="auto"/>
    </w:pPr>
    <w:rPr>
      <w:sz w:val="20"/>
    </w:rPr>
  </w:style>
  <w:style w:type="paragraph" w:styleId="Textbloc">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egend"/>
    <w:rsid w:val="000B6FD4"/>
    <w:rPr>
      <w:sz w:val="18"/>
    </w:rPr>
  </w:style>
  <w:style w:type="paragraph" w:styleId="Dat">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text">
    <w:name w:val="Body Text"/>
    <w:basedOn w:val="Normal"/>
    <w:rsid w:val="000B6FD4"/>
    <w:pPr>
      <w:spacing w:after="120"/>
    </w:pPr>
  </w:style>
  <w:style w:type="character" w:styleId="Referinnotdefinal">
    <w:name w:val="endnote reference"/>
    <w:basedOn w:val="Fontdeparagrafimplicit"/>
    <w:semiHidden/>
    <w:rsid w:val="000B6FD4"/>
    <w:rPr>
      <w:vertAlign w:val="superscript"/>
    </w:rPr>
  </w:style>
  <w:style w:type="paragraph" w:styleId="Textnotde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ontdeparagrafimplicit"/>
    <w:rsid w:val="000B6FD4"/>
    <w:rPr>
      <w:color w:val="0000FF"/>
      <w:vertAlign w:val="superscript"/>
    </w:rPr>
  </w:style>
  <w:style w:type="character" w:customStyle="1" w:styleId="FnoteRef">
    <w:name w:val="FnoteRef"/>
    <w:basedOn w:val="Fontdeparagrafimplicit"/>
    <w:rsid w:val="000B6FD4"/>
    <w:rPr>
      <w:color w:val="FF0000"/>
      <w:vertAlign w:val="superscript"/>
    </w:rPr>
  </w:style>
  <w:style w:type="paragraph" w:customStyle="1" w:styleId="Footnote">
    <w:name w:val="Footnote"/>
    <w:basedOn w:val="Normal"/>
    <w:rsid w:val="000B6FD4"/>
    <w:pPr>
      <w:spacing w:line="240" w:lineRule="auto"/>
    </w:pPr>
  </w:style>
  <w:style w:type="character" w:styleId="Referinnotdesubsol">
    <w:name w:val="footnote reference"/>
    <w:basedOn w:val="Fontdeparagrafimplici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u"/>
    <w:next w:val="Titlu"/>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cumarcatori">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u">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
    <w:name w:val="Emphasis"/>
    <w:basedOn w:val="Fontdeparagrafimplicit"/>
    <w:qFormat/>
    <w:rsid w:val="000B6FD4"/>
    <w:rPr>
      <w:i/>
      <w:iCs/>
    </w:rPr>
  </w:style>
  <w:style w:type="paragraph" w:customStyle="1" w:styleId="GroupAuthor">
    <w:name w:val="GroupAuthor"/>
    <w:basedOn w:val="Author"/>
    <w:rsid w:val="000B6FD4"/>
    <w:rPr>
      <w:b/>
      <w:i/>
    </w:rPr>
  </w:style>
  <w:style w:type="character" w:styleId="Referincomentariu">
    <w:name w:val="annotation reference"/>
    <w:basedOn w:val="Fontdeparagrafimplici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indentpentrucorptext">
    <w:name w:val="Body Text First Indent"/>
    <w:basedOn w:val="Corp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Formuldesalut">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u">
    <w:name w:val="Subtitle"/>
    <w:basedOn w:val="Normal"/>
    <w:qFormat/>
    <w:rsid w:val="000B6FD4"/>
    <w:pPr>
      <w:spacing w:after="60"/>
      <w:outlineLvl w:val="1"/>
    </w:pPr>
    <w:rPr>
      <w:i/>
    </w:rPr>
  </w:style>
  <w:style w:type="paragraph" w:customStyle="1" w:styleId="Subtitle1">
    <w:name w:val="Subtitle1"/>
    <w:basedOn w:val="Subtitlu"/>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ontdeparagrafimplici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ontdeparagrafimplici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ontdeparagrafimplicit"/>
    <w:rsid w:val="000B6FD4"/>
    <w:rPr>
      <w:color w:val="0000FF"/>
      <w:vertAlign w:val="superscript"/>
    </w:rPr>
  </w:style>
  <w:style w:type="paragraph" w:styleId="Primindentpentrucorptext2">
    <w:name w:val="Body Text First Indent 2"/>
    <w:basedOn w:val="Indentcorptex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Indentcorptext2">
    <w:name w:val="Body Text Indent 2"/>
    <w:basedOn w:val="Normal"/>
    <w:rsid w:val="000B6FD4"/>
    <w:pPr>
      <w:spacing w:after="120" w:line="480" w:lineRule="auto"/>
      <w:ind w:left="283"/>
    </w:pPr>
  </w:style>
  <w:style w:type="paragraph" w:styleId="Indentcorptext3">
    <w:name w:val="Body Text Indent 3"/>
    <w:basedOn w:val="Normal"/>
    <w:rsid w:val="000B6FD4"/>
    <w:pPr>
      <w:spacing w:after="120"/>
      <w:ind w:left="283"/>
    </w:pPr>
    <w:rPr>
      <w:sz w:val="16"/>
      <w:szCs w:val="16"/>
    </w:rPr>
  </w:style>
  <w:style w:type="paragraph" w:styleId="Formuledencheiere">
    <w:name w:val="Closing"/>
    <w:basedOn w:val="Normal"/>
    <w:rsid w:val="000B6FD4"/>
    <w:pPr>
      <w:ind w:left="4252"/>
    </w:pPr>
  </w:style>
  <w:style w:type="paragraph" w:styleId="Plandocument">
    <w:name w:val="Document Map"/>
    <w:basedOn w:val="Normal"/>
    <w:semiHidden/>
    <w:rsid w:val="000B6FD4"/>
    <w:pPr>
      <w:shd w:val="clear" w:color="auto" w:fill="000080"/>
    </w:pPr>
    <w:rPr>
      <w:rFonts w:ascii="Tahoma" w:hAnsi="Tahoma" w:cs="Tahoma"/>
    </w:rPr>
  </w:style>
  <w:style w:type="paragraph" w:styleId="Semnture-mail">
    <w:name w:val="E-mail Signature"/>
    <w:basedOn w:val="Normal"/>
    <w:rsid w:val="000B6FD4"/>
  </w:style>
  <w:style w:type="paragraph" w:styleId="Adresplic">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turplic">
    <w:name w:val="envelope return"/>
    <w:basedOn w:val="Normal"/>
    <w:rsid w:val="000B6FD4"/>
    <w:rPr>
      <w:rFonts w:ascii="Arial" w:hAnsi="Arial"/>
      <w:sz w:val="20"/>
    </w:rPr>
  </w:style>
  <w:style w:type="character" w:styleId="HyperlinkParcurs">
    <w:name w:val="FollowedHyperlink"/>
    <w:basedOn w:val="Fontdeparagrafimplicit"/>
    <w:rsid w:val="000B6FD4"/>
    <w:rPr>
      <w:color w:val="800080"/>
      <w:u w:val="single"/>
    </w:rPr>
  </w:style>
  <w:style w:type="character" w:styleId="AcronimHTML">
    <w:name w:val="HTML Acronym"/>
    <w:basedOn w:val="Fontdeparagrafimplicit"/>
    <w:rsid w:val="000B6FD4"/>
  </w:style>
  <w:style w:type="paragraph" w:styleId="AdresHTML">
    <w:name w:val="HTML Address"/>
    <w:basedOn w:val="Normal"/>
    <w:rsid w:val="000B6FD4"/>
    <w:rPr>
      <w:i/>
      <w:iCs/>
    </w:rPr>
  </w:style>
  <w:style w:type="character" w:styleId="CitareHTML">
    <w:name w:val="HTML Cite"/>
    <w:basedOn w:val="Fontdeparagrafimplicit"/>
    <w:rsid w:val="000B6FD4"/>
    <w:rPr>
      <w:i/>
      <w:iCs/>
    </w:rPr>
  </w:style>
  <w:style w:type="character" w:styleId="CodHTML">
    <w:name w:val="HTML Code"/>
    <w:basedOn w:val="Fontdeparagrafimplicit"/>
    <w:rsid w:val="000B6FD4"/>
    <w:rPr>
      <w:rFonts w:ascii="Courier New" w:hAnsi="Courier New"/>
      <w:sz w:val="20"/>
      <w:szCs w:val="20"/>
    </w:rPr>
  </w:style>
  <w:style w:type="character" w:styleId="DefiniieHTML">
    <w:name w:val="HTML Definition"/>
    <w:basedOn w:val="Fontdeparagrafimplicit"/>
    <w:rsid w:val="000B6FD4"/>
    <w:rPr>
      <w:i/>
      <w:iCs/>
    </w:rPr>
  </w:style>
  <w:style w:type="character" w:styleId="TastaturHTML">
    <w:name w:val="HTML Keyboard"/>
    <w:basedOn w:val="Fontdeparagrafimplicit"/>
    <w:rsid w:val="000B6FD4"/>
    <w:rPr>
      <w:rFonts w:ascii="Courier New" w:hAnsi="Courier New"/>
      <w:sz w:val="20"/>
      <w:szCs w:val="20"/>
    </w:rPr>
  </w:style>
  <w:style w:type="paragraph" w:styleId="PreformatatHTML">
    <w:name w:val="HTML Preformatted"/>
    <w:basedOn w:val="Normal"/>
    <w:rsid w:val="000B6FD4"/>
    <w:rPr>
      <w:rFonts w:ascii="Courier New" w:hAnsi="Courier New"/>
      <w:sz w:val="20"/>
    </w:rPr>
  </w:style>
  <w:style w:type="character" w:styleId="MostrHTML">
    <w:name w:val="HTML Sample"/>
    <w:basedOn w:val="Fontdeparagrafimplicit"/>
    <w:rsid w:val="000B6FD4"/>
    <w:rPr>
      <w:rFonts w:ascii="Courier New" w:hAnsi="Courier New"/>
    </w:rPr>
  </w:style>
  <w:style w:type="character" w:styleId="MaindescrisHTML">
    <w:name w:val="HTML Typewriter"/>
    <w:basedOn w:val="Fontdeparagrafimplicit"/>
    <w:rsid w:val="000B6FD4"/>
    <w:rPr>
      <w:rFonts w:ascii="Courier New" w:hAnsi="Courier New"/>
      <w:sz w:val="20"/>
      <w:szCs w:val="20"/>
    </w:rPr>
  </w:style>
  <w:style w:type="character" w:styleId="VariabilHTML">
    <w:name w:val="HTML Variable"/>
    <w:basedOn w:val="Fontdeparagrafimplicit"/>
    <w:rsid w:val="000B6FD4"/>
    <w:rPr>
      <w:i/>
      <w:iCs/>
    </w:rPr>
  </w:style>
  <w:style w:type="character" w:styleId="Hyperlink">
    <w:name w:val="Hyperlink"/>
    <w:basedOn w:val="Fontdeparagrafimplici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ludeindex">
    <w:name w:val="index heading"/>
    <w:basedOn w:val="Normal"/>
    <w:next w:val="Index1"/>
    <w:semiHidden/>
    <w:rsid w:val="000B6FD4"/>
    <w:rPr>
      <w:rFonts w:ascii="Arial" w:hAnsi="Arial"/>
      <w:b/>
      <w:bCs/>
    </w:rPr>
  </w:style>
  <w:style w:type="character" w:styleId="Numrdelinie">
    <w:name w:val="line number"/>
    <w:basedOn w:val="Fontdeparagrafimplicit"/>
    <w:rsid w:val="000B6FD4"/>
  </w:style>
  <w:style w:type="paragraph" w:styleId="List">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umarcatori2">
    <w:name w:val="List Bullet 2"/>
    <w:basedOn w:val="Normal"/>
    <w:autoRedefine/>
    <w:rsid w:val="000B6FD4"/>
    <w:pPr>
      <w:numPr>
        <w:numId w:val="11"/>
      </w:numPr>
    </w:pPr>
  </w:style>
  <w:style w:type="paragraph" w:styleId="Listacumarcatori3">
    <w:name w:val="List Bullet 3"/>
    <w:basedOn w:val="Normal"/>
    <w:autoRedefine/>
    <w:rsid w:val="000B6FD4"/>
    <w:pPr>
      <w:numPr>
        <w:numId w:val="12"/>
      </w:numPr>
    </w:pPr>
  </w:style>
  <w:style w:type="paragraph" w:styleId="Listacumarcatori4">
    <w:name w:val="List Bullet 4"/>
    <w:basedOn w:val="Normal"/>
    <w:autoRedefine/>
    <w:rsid w:val="000B6FD4"/>
    <w:pPr>
      <w:numPr>
        <w:numId w:val="13"/>
      </w:numPr>
    </w:pPr>
  </w:style>
  <w:style w:type="paragraph" w:styleId="Listacumarcatori5">
    <w:name w:val="List Bullet 5"/>
    <w:basedOn w:val="Normal"/>
    <w:autoRedefine/>
    <w:rsid w:val="000B6FD4"/>
    <w:pPr>
      <w:numPr>
        <w:numId w:val="14"/>
      </w:numPr>
    </w:pPr>
  </w:style>
  <w:style w:type="paragraph" w:styleId="Listcontinuare">
    <w:name w:val="List Continue"/>
    <w:basedOn w:val="Normal"/>
    <w:rsid w:val="000B6FD4"/>
    <w:pPr>
      <w:spacing w:after="120"/>
      <w:ind w:left="283"/>
    </w:pPr>
  </w:style>
  <w:style w:type="paragraph" w:styleId="Listcontinuare2">
    <w:name w:val="List Continue 2"/>
    <w:basedOn w:val="Normal"/>
    <w:rsid w:val="000B6FD4"/>
    <w:pPr>
      <w:spacing w:after="120"/>
      <w:ind w:left="566"/>
    </w:pPr>
  </w:style>
  <w:style w:type="paragraph" w:styleId="Listcontinuare3">
    <w:name w:val="List Continue 3"/>
    <w:basedOn w:val="Normal"/>
    <w:rsid w:val="000B6FD4"/>
    <w:pPr>
      <w:spacing w:after="120"/>
      <w:ind w:left="849"/>
    </w:pPr>
  </w:style>
  <w:style w:type="paragraph" w:styleId="Listcontinuare4">
    <w:name w:val="List Continue 4"/>
    <w:basedOn w:val="Normal"/>
    <w:rsid w:val="000B6FD4"/>
    <w:pPr>
      <w:spacing w:after="120"/>
      <w:ind w:left="1132"/>
    </w:pPr>
  </w:style>
  <w:style w:type="paragraph" w:styleId="Listcontinuare5">
    <w:name w:val="List Continue 5"/>
    <w:basedOn w:val="Normal"/>
    <w:rsid w:val="000B6FD4"/>
    <w:pPr>
      <w:spacing w:after="120"/>
      <w:ind w:left="1415"/>
    </w:pPr>
  </w:style>
  <w:style w:type="paragraph" w:styleId="Listnumerotat">
    <w:name w:val="List Number"/>
    <w:basedOn w:val="Normal"/>
    <w:rsid w:val="000B6FD4"/>
    <w:pPr>
      <w:numPr>
        <w:numId w:val="15"/>
      </w:numPr>
    </w:pPr>
  </w:style>
  <w:style w:type="paragraph" w:styleId="Listanumerotat2">
    <w:name w:val="List Number 2"/>
    <w:basedOn w:val="Normal"/>
    <w:rsid w:val="000B6FD4"/>
    <w:pPr>
      <w:numPr>
        <w:numId w:val="16"/>
      </w:numPr>
    </w:pPr>
  </w:style>
  <w:style w:type="paragraph" w:styleId="Listanumerotat3">
    <w:name w:val="List Number 3"/>
    <w:basedOn w:val="Normal"/>
    <w:rsid w:val="000B6FD4"/>
    <w:pPr>
      <w:numPr>
        <w:numId w:val="17"/>
      </w:numPr>
    </w:pPr>
  </w:style>
  <w:style w:type="paragraph" w:styleId="Listanumerotat4">
    <w:name w:val="List Number 4"/>
    <w:basedOn w:val="Normal"/>
    <w:rsid w:val="000B6FD4"/>
    <w:pPr>
      <w:numPr>
        <w:numId w:val="18"/>
      </w:numPr>
    </w:pPr>
  </w:style>
  <w:style w:type="paragraph" w:styleId="Listanumerotat5">
    <w:name w:val="List Number 5"/>
    <w:basedOn w:val="Normal"/>
    <w:rsid w:val="000B6FD4"/>
    <w:pPr>
      <w:numPr>
        <w:numId w:val="19"/>
      </w:numPr>
    </w:pPr>
  </w:style>
  <w:style w:type="paragraph" w:styleId="Textmacrocomand">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ntetmesaj">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Indentnormal">
    <w:name w:val="Normal Indent"/>
    <w:basedOn w:val="Normal"/>
    <w:rsid w:val="000B6FD4"/>
    <w:pPr>
      <w:ind w:left="720"/>
    </w:pPr>
  </w:style>
  <w:style w:type="paragraph" w:styleId="Titlunot">
    <w:name w:val="Note Heading"/>
    <w:basedOn w:val="Normal"/>
    <w:next w:val="Normal"/>
    <w:rsid w:val="000B6FD4"/>
  </w:style>
  <w:style w:type="character" w:customStyle="1" w:styleId="ParaHead">
    <w:name w:val="ParaHead"/>
    <w:basedOn w:val="Fontdeparagrafimplici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ontdeparagrafimplici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SubiectComentariu">
    <w:name w:val="annotation subject"/>
    <w:basedOn w:val="Textcomentariu"/>
    <w:next w:val="Textcomentariu"/>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9</TotalTime>
  <Pages>9</Pages>
  <Words>2173</Words>
  <Characters>8888</Characters>
  <Application>Microsoft Office Word</Application>
  <DocSecurity>0</DocSecurity>
  <Lines>2222</Lines>
  <Paragraphs>2212</Paragraphs>
  <ScaleCrop>false</ScaleCrop>
  <HeadingPairs>
    <vt:vector size="6" baseType="variant">
      <vt:variant>
        <vt:lpstr>Titlu</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ZAHARIE VASILE FLORIN</cp:lastModifiedBy>
  <cp:revision>3</cp:revision>
  <cp:lastPrinted>2014-09-01T08:36:00Z</cp:lastPrinted>
  <dcterms:created xsi:type="dcterms:W3CDTF">2014-09-01T14:20:00Z</dcterms:created>
  <dcterms:modified xsi:type="dcterms:W3CDTF">2022-12-31T00:54:00Z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