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both"/>
        <w:rPr>
          <w:rFonts w:ascii="Book Antiqua" w:hAnsi="Book Antiqua"/>
        </w:rPr>
      </w:pPr>
      <w:r>
        <w:rPr>
          <w:rFonts w:ascii="Book Antiqua" w:hAnsi="Book Antiqua" w:eastAsia="Book Antiqua" w:cs="Book Antiqua"/>
          <w:b/>
          <w:color w:val="000000"/>
        </w:rPr>
        <w:t xml:space="preserve">Name of Journal: </w:t>
      </w:r>
      <w:r>
        <w:rPr>
          <w:rFonts w:ascii="Book Antiqua" w:hAnsi="Book Antiqua" w:eastAsia="Book Antiqua" w:cs="Book Antiqua"/>
          <w:i/>
          <w:color w:val="000000"/>
        </w:rPr>
        <w:t>World Journal of Clinical Cases</w:t>
      </w:r>
    </w:p>
    <w:p>
      <w:pPr>
        <w:spacing w:line="360" w:lineRule="auto"/>
        <w:jc w:val="both"/>
        <w:rPr>
          <w:rFonts w:ascii="Book Antiqua" w:hAnsi="Book Antiqua"/>
        </w:rPr>
      </w:pPr>
      <w:r>
        <w:rPr>
          <w:rFonts w:ascii="Book Antiqua" w:hAnsi="Book Antiqua" w:eastAsia="Book Antiqua" w:cs="Book Antiqua"/>
          <w:b/>
          <w:color w:val="000000"/>
        </w:rPr>
        <w:t xml:space="preserve">Manuscript NO: </w:t>
      </w:r>
      <w:r>
        <w:rPr>
          <w:rFonts w:ascii="Book Antiqua" w:hAnsi="Book Antiqua" w:eastAsia="Book Antiqua" w:cs="Book Antiqua"/>
          <w:color w:val="000000"/>
        </w:rPr>
        <w:t>82317</w:t>
      </w:r>
    </w:p>
    <w:p>
      <w:pPr>
        <w:spacing w:line="360" w:lineRule="auto"/>
        <w:jc w:val="both"/>
        <w:rPr>
          <w:rFonts w:ascii="Book Antiqua" w:hAnsi="Book Antiqua"/>
        </w:rPr>
      </w:pPr>
      <w:r>
        <w:rPr>
          <w:rFonts w:ascii="Book Antiqua" w:hAnsi="Book Antiqua" w:eastAsia="Book Antiqua" w:cs="Book Antiqua"/>
          <w:b/>
          <w:color w:val="000000"/>
        </w:rPr>
        <w:t xml:space="preserve">Manuscript Type: </w:t>
      </w:r>
      <w:r>
        <w:rPr>
          <w:rFonts w:ascii="Book Antiqua" w:hAnsi="Book Antiqua" w:eastAsia="Book Antiqua" w:cs="Book Antiqua"/>
          <w:color w:val="000000"/>
        </w:rPr>
        <w:t>CASE REPORT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Treatment of periprosthetic knee infection and coexistent periprosthetic fracture: A case report and literature review</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 xml:space="preserve">Hao LJ </w:t>
      </w:r>
      <w:r>
        <w:rPr>
          <w:rFonts w:ascii="Book Antiqua" w:hAnsi="Book Antiqua" w:eastAsia="Book Antiqua" w:cs="Book Antiqua"/>
          <w:i/>
          <w:color w:val="000000"/>
        </w:rPr>
        <w:t>et al</w:t>
      </w:r>
      <w:r>
        <w:rPr>
          <w:rFonts w:ascii="Book Antiqua" w:hAnsi="Book Antiqua" w:eastAsia="Book Antiqua" w:cs="Book Antiqua"/>
          <w:color w:val="000000"/>
        </w:rPr>
        <w:t>. Treatment of PJI and coexistent PPF</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Lin-Jie Hao, Peng-Fei Wen, Yu-Min Zhang, Wei Song, Juan Chen, Tao Ma</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Lin-Jie Hao, Peng-Fei Wen, Yu-Min Zhang, Wei Song, Juan Chen, Tao Ma, </w:t>
      </w:r>
      <w:r>
        <w:rPr>
          <w:rFonts w:ascii="Book Antiqua" w:hAnsi="Book Antiqua" w:eastAsia="Book Antiqua" w:cs="Book Antiqua"/>
          <w:color w:val="000000"/>
        </w:rPr>
        <w:t>Department of Joint Surgery, Honghui Hospital, Xi'an Jiaotong University, Xi'an 710000, Shaanxi Province, China</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Author contributions: </w:t>
      </w:r>
      <w:r>
        <w:rPr>
          <w:rFonts w:ascii="Book Antiqua" w:hAnsi="Book Antiqua" w:eastAsia="Book Antiqua" w:cs="Book Antiqua"/>
          <w:color w:val="000000"/>
        </w:rPr>
        <w:t>Ma T and Zhang YM conceived and performed the surgery; Hao LJ assembled previous reported records and drafted the manuscript; Wen PF, Song W</w:t>
      </w:r>
      <w:r>
        <w:rPr>
          <w:rFonts w:hint="eastAsia" w:ascii="Book Antiqua" w:hAnsi="Book Antiqua" w:eastAsia="宋体" w:cs="Book Antiqua"/>
          <w:color w:val="000000"/>
          <w:lang w:eastAsia="zh-CN"/>
        </w:rPr>
        <w:t>,</w:t>
      </w:r>
      <w:r>
        <w:rPr>
          <w:rFonts w:ascii="Book Antiqua" w:hAnsi="Book Antiqua" w:eastAsia="Book Antiqua" w:cs="Book Antiqua"/>
          <w:color w:val="000000"/>
        </w:rPr>
        <w:t xml:space="preserve"> and Chen J </w:t>
      </w:r>
      <w:r>
        <w:rPr>
          <w:rFonts w:hint="eastAsia" w:ascii="Book Antiqua" w:hAnsi="Book Antiqua" w:eastAsia="宋体" w:cs="Book Antiqua"/>
          <w:color w:val="000000"/>
          <w:lang w:eastAsia="zh-CN"/>
        </w:rPr>
        <w:t>helped perform</w:t>
      </w:r>
      <w:r>
        <w:rPr>
          <w:rFonts w:ascii="Book Antiqua" w:hAnsi="Book Antiqua" w:eastAsia="Book Antiqua" w:cs="Book Antiqua"/>
          <w:color w:val="000000"/>
        </w:rPr>
        <w:t xml:space="preserve"> the surgery and revised the manuscript for important intellectual content; all authors have read and approved the final manuscript.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Supported by </w:t>
      </w:r>
      <w:r>
        <w:rPr>
          <w:rFonts w:ascii="Book Antiqua" w:hAnsi="Book Antiqua" w:eastAsia="Book Antiqua" w:cs="Book Antiqua"/>
          <w:color w:val="000000"/>
        </w:rPr>
        <w:t>the General Cultivation Project of Xi'an Health Commission, No. 2021ms08.</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Corresponding author: Tao Ma, MD, Chief Doctor, Surgeon, </w:t>
      </w:r>
      <w:r>
        <w:rPr>
          <w:rFonts w:ascii="Book Antiqua" w:hAnsi="Book Antiqua" w:eastAsia="Book Antiqua" w:cs="Book Antiqua"/>
          <w:color w:val="000000"/>
        </w:rPr>
        <w:t>Department of Joint Surgery, Honghui Hospital, Xi'an Jiaotong University, No. 555 Youyi East Road, Xi'an 710000, Shaanxi Province, China. 171303186@qq.com</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Received: </w:t>
      </w:r>
      <w:r>
        <w:rPr>
          <w:rFonts w:ascii="Book Antiqua" w:hAnsi="Book Antiqua" w:eastAsia="Book Antiqua" w:cs="Book Antiqua"/>
          <w:color w:val="000000"/>
        </w:rPr>
        <w:t>December 15, 2022</w:t>
      </w:r>
    </w:p>
    <w:p>
      <w:pPr>
        <w:spacing w:line="360" w:lineRule="auto"/>
        <w:jc w:val="both"/>
        <w:rPr>
          <w:rFonts w:ascii="Book Antiqua" w:hAnsi="Book Antiqua"/>
        </w:rPr>
      </w:pPr>
      <w:r>
        <w:rPr>
          <w:rFonts w:ascii="Book Antiqua" w:hAnsi="Book Antiqua" w:eastAsia="Book Antiqua" w:cs="Book Antiqua"/>
          <w:b/>
          <w:bCs/>
          <w:color w:val="000000"/>
        </w:rPr>
        <w:t xml:space="preserve">Revised: </w:t>
      </w:r>
      <w:r>
        <w:rPr>
          <w:rFonts w:ascii="Book Antiqua" w:hAnsi="Book Antiqua" w:eastAsia="Book Antiqua" w:cs="Book Antiqua"/>
          <w:bCs/>
          <w:color w:val="000000"/>
        </w:rPr>
        <w:t>February 8, 2023</w:t>
      </w:r>
    </w:p>
    <w:p>
      <w:pPr>
        <w:spacing w:line="360" w:lineRule="auto"/>
        <w:jc w:val="both"/>
        <w:rPr>
          <w:rFonts w:ascii="Book Antiqua" w:hAnsi="Book Antiqua"/>
        </w:rPr>
      </w:pPr>
      <w:r>
        <w:rPr>
          <w:rFonts w:ascii="Book Antiqua" w:hAnsi="Book Antiqua" w:eastAsia="Book Antiqua" w:cs="Book Antiqua"/>
          <w:b/>
          <w:bCs/>
          <w:color w:val="000000"/>
        </w:rPr>
        <w:t xml:space="preserve">Accepted: </w:t>
      </w:r>
      <w:r>
        <w:rPr>
          <w:rFonts w:ascii="Book Antiqua" w:hAnsi="Book Antiqua" w:eastAsia="Book Antiqua" w:cs="Book Antiqua"/>
          <w:color w:val="000000"/>
        </w:rPr>
        <w:t>March 6, 2023</w:t>
      </w:r>
    </w:p>
    <w:p>
      <w:pPr>
        <w:spacing w:line="360" w:lineRule="auto"/>
        <w:jc w:val="both"/>
        <w:rPr>
          <w:rFonts w:ascii="Book Antiqua" w:hAnsi="Book Antiqua"/>
        </w:rPr>
      </w:pPr>
      <w:r>
        <w:rPr>
          <w:rFonts w:ascii="Book Antiqua" w:hAnsi="Book Antiqua" w:eastAsia="Book Antiqua" w:cs="Book Antiqua"/>
          <w:b/>
          <w:bCs/>
          <w:color w:val="000000"/>
        </w:rPr>
        <w:t xml:space="preserve">Published online: </w:t>
      </w:r>
      <w:r>
        <w:rPr>
          <w:rFonts w:ascii="Book Antiqua" w:hAnsi="Book Antiqua" w:eastAsia="Book Antiqua" w:cs="Book Antiqua"/>
          <w:color w:val="000000"/>
        </w:rPr>
        <w:t>April 6, 2023</w:t>
      </w:r>
    </w:p>
    <w:p>
      <w:pPr>
        <w:rPr>
          <w:rFonts w:ascii="Book Antiqua" w:hAnsi="Book Antiqua"/>
        </w:rPr>
      </w:pPr>
      <w:r>
        <w:rPr>
          <w:rFonts w:ascii="Book Antiqua" w:hAnsi="Book Antiqua"/>
        </w:rPr>
        <w:br w:type="page"/>
      </w:r>
    </w:p>
    <w:p>
      <w:pPr>
        <w:spacing w:line="360" w:lineRule="auto"/>
        <w:jc w:val="both"/>
        <w:rPr>
          <w:rFonts w:ascii="Book Antiqua" w:hAnsi="Book Antiqua"/>
        </w:rPr>
      </w:pPr>
      <w:r>
        <w:rPr>
          <w:rFonts w:ascii="Book Antiqua" w:hAnsi="Book Antiqua" w:eastAsia="Book Antiqua" w:cs="Book Antiqua"/>
          <w:b/>
          <w:color w:val="000000"/>
        </w:rPr>
        <w:t>Abstract</w:t>
      </w:r>
    </w:p>
    <w:p>
      <w:pPr>
        <w:spacing w:line="360" w:lineRule="auto"/>
        <w:jc w:val="both"/>
        <w:rPr>
          <w:rFonts w:ascii="Book Antiqua" w:hAnsi="Book Antiqua"/>
        </w:rPr>
      </w:pPr>
      <w:r>
        <w:rPr>
          <w:rFonts w:ascii="Book Antiqua" w:hAnsi="Book Antiqua" w:eastAsia="Book Antiqua" w:cs="Book Antiqua"/>
          <w:color w:val="000000"/>
        </w:rPr>
        <w:t>BACKGROUND</w:t>
      </w:r>
    </w:p>
    <w:p>
      <w:pPr>
        <w:spacing w:line="360" w:lineRule="auto"/>
        <w:jc w:val="both"/>
        <w:rPr>
          <w:rFonts w:ascii="Book Antiqua" w:hAnsi="Book Antiqua"/>
        </w:rPr>
      </w:pPr>
      <w:r>
        <w:rPr>
          <w:rFonts w:ascii="Book Antiqua" w:hAnsi="Book Antiqua" w:eastAsia="Book Antiqua" w:cs="Book Antiqua"/>
          <w:color w:val="000000"/>
        </w:rPr>
        <w:t>Periprosthetic joint infection (PJI) and periprosthetic fracture (PPF) are among the most serious complications following total knee arthroplasty. Herein, we present one patient with these two complications with details on the characteristics, treatment strategy, and outcome.</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CASE SUMMARY</w:t>
      </w:r>
    </w:p>
    <w:p>
      <w:pPr>
        <w:spacing w:line="360" w:lineRule="auto"/>
        <w:jc w:val="both"/>
        <w:rPr>
          <w:rFonts w:ascii="Book Antiqua" w:hAnsi="Book Antiqua"/>
        </w:rPr>
      </w:pPr>
      <w:r>
        <w:rPr>
          <w:rFonts w:ascii="Book Antiqua" w:hAnsi="Book Antiqua" w:eastAsia="Book Antiqua" w:cs="Book Antiqua"/>
          <w:color w:val="000000"/>
        </w:rPr>
        <w:t xml:space="preserve">A 69-year-old female patient who suffered from PJI and PPF following total knee arthroplasty was treated </w:t>
      </w:r>
      <w:r>
        <w:rPr>
          <w:rFonts w:hint="eastAsia" w:ascii="Book Antiqua" w:hAnsi="Book Antiqua" w:eastAsia="宋体" w:cs="Book Antiqua"/>
          <w:color w:val="000000"/>
          <w:lang w:eastAsia="zh-CN"/>
        </w:rPr>
        <w:t>by</w:t>
      </w:r>
      <w:r>
        <w:rPr>
          <w:rFonts w:ascii="Book Antiqua" w:hAnsi="Book Antiqua" w:eastAsia="Book Antiqua" w:cs="Book Antiqua"/>
          <w:color w:val="000000"/>
        </w:rPr>
        <w:t xml:space="preserve"> a two-stage revision surgery. After thorough foreign material removal and debridement, we used a plate that was covered with antibiotic-loaded bone cement to link with a hand-made cement spacer to occupy the joint space and fix the fracture. Although the infection was cured, the fracture did not heal and caused bone defect due to the long interval between debridement and revision. In the revision surgery, a cemented stem and cortical allogenic splints were used to reconstruct the fracture and bone defect. At the final follow-up</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27 mo after revision, the patient was satisfied with postoperative knee functions with satisfactory range of motion (104º) and Hospital for Special Surgery knee score (82 points). The radiographs showed no loosening of the prosthesis and that the bone grafts healed well with the femur.</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CONCLUSION</w:t>
      </w:r>
    </w:p>
    <w:p>
      <w:pPr>
        <w:spacing w:line="360" w:lineRule="auto"/>
        <w:jc w:val="both"/>
        <w:rPr>
          <w:rFonts w:ascii="Book Antiqua" w:hAnsi="Book Antiqua"/>
        </w:rPr>
      </w:pPr>
      <w:r>
        <w:rPr>
          <w:rFonts w:ascii="Book Antiqua" w:hAnsi="Book Antiqua" w:eastAsia="Book Antiqua" w:cs="Book Antiqua"/>
          <w:color w:val="000000"/>
        </w:rPr>
        <w:t xml:space="preserve">Our two-stage revision surgery has proved to be successful and may be considered in other patients with PJI and PPF. </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Key Words: </w:t>
      </w:r>
      <w:r>
        <w:rPr>
          <w:rFonts w:ascii="Book Antiqua" w:hAnsi="Book Antiqua" w:eastAsia="Book Antiqua" w:cs="Book Antiqua"/>
          <w:color w:val="000000"/>
        </w:rPr>
        <w:t>Knee arthroplasty; Periprosthetic joint infection; Periprosthetic fractures; Complications; Surgical revision; Case report</w:t>
      </w:r>
    </w:p>
    <w:p>
      <w:pPr>
        <w:spacing w:line="360" w:lineRule="auto"/>
        <w:jc w:val="both"/>
        <w:rPr>
          <w:rFonts w:ascii="Book Antiqua" w:hAnsi="Book Antiqua"/>
          <w:lang w:eastAsia="zh-CN"/>
        </w:rPr>
      </w:pPr>
    </w:p>
    <w:p>
      <w:pPr>
        <w:spacing w:line="360" w:lineRule="auto"/>
        <w:rPr>
          <w:rFonts w:ascii="Book Antiqua" w:hAnsi="Book Antiqua" w:eastAsia="Book Antiqua" w:cs="Book Antiqua"/>
          <w:color w:val="000000"/>
        </w:rPr>
      </w:pPr>
      <w:r>
        <w:rPr>
          <w:rFonts w:hint="eastAsia" w:ascii="Book Antiqua" w:hAnsi="Book Antiqua" w:eastAsia="Book Antiqua" w:cs="Book Antiqua"/>
          <w:b/>
          <w:color w:val="000000"/>
        </w:rPr>
        <w:t>©</w:t>
      </w:r>
      <w:r>
        <w:rPr>
          <w:rFonts w:ascii="Book Antiqua" w:hAnsi="Book Antiqua" w:eastAsia="Book Antiqua" w:cs="Book Antiqua"/>
          <w:b/>
          <w:color w:val="000000"/>
        </w:rPr>
        <w:t>The</w:t>
      </w:r>
      <w:r>
        <w:rPr>
          <w:rFonts w:ascii="Book Antiqua" w:hAnsi="Book Antiqua" w:eastAsia="Book Antiqua" w:cs="Book Antiqua"/>
          <w:color w:val="000000"/>
        </w:rPr>
        <w:t xml:space="preserve"> </w:t>
      </w:r>
      <w:r>
        <w:rPr>
          <w:rFonts w:ascii="Book Antiqua" w:hAnsi="Book Antiqua" w:eastAsia="Book Antiqua" w:cs="Book Antiqua"/>
          <w:b/>
          <w:color w:val="000000"/>
        </w:rPr>
        <w:t>Author(s) 202</w:t>
      </w:r>
      <w:r>
        <w:rPr>
          <w:rFonts w:hint="eastAsia" w:ascii="Book Antiqua" w:hAnsi="Book Antiqua" w:cs="Book Antiqua"/>
          <w:b/>
          <w:color w:val="000000"/>
        </w:rPr>
        <w:t>3</w:t>
      </w:r>
      <w:r>
        <w:rPr>
          <w:rFonts w:ascii="Book Antiqua" w:hAnsi="Book Antiqua" w:eastAsia="Book Antiqua" w:cs="Book Antiqua"/>
          <w:b/>
          <w:color w:val="000000"/>
        </w:rPr>
        <w:t xml:space="preserve">. </w:t>
      </w:r>
      <w:r>
        <w:rPr>
          <w:rFonts w:ascii="Book Antiqua" w:hAnsi="Book Antiqua" w:eastAsia="Book Antiqua" w:cs="Book Antiqua"/>
          <w:color w:val="000000"/>
        </w:rPr>
        <w:t xml:space="preserve">Published by Baishideng Publishing Group Inc. All rights reserved. </w:t>
      </w:r>
    </w:p>
    <w:p>
      <w:pPr>
        <w:tabs>
          <w:tab w:val="left" w:pos="980"/>
        </w:tabs>
        <w:spacing w:line="360" w:lineRule="auto"/>
        <w:jc w:val="both"/>
        <w:rPr>
          <w:rFonts w:ascii="Book Antiqua" w:hAnsi="Book Antiqua"/>
          <w:lang w:eastAsia="zh-CN"/>
        </w:rPr>
      </w:pPr>
    </w:p>
    <w:p>
      <w:pPr>
        <w:spacing w:line="360" w:lineRule="auto"/>
        <w:jc w:val="both"/>
        <w:rPr>
          <w:rFonts w:ascii="Book Antiqua" w:hAnsi="Book Antiqua" w:cs="Book Antiqua"/>
          <w:lang w:eastAsia="zh-CN"/>
        </w:rPr>
      </w:pPr>
      <w:r>
        <w:rPr>
          <w:rFonts w:ascii="Book Antiqua" w:hAnsi="Book Antiqua" w:eastAsia="Book Antiqua" w:cs="Book Antiqua"/>
          <w:b/>
          <w:color w:val="000000"/>
        </w:rPr>
        <w:t xml:space="preserve">Citation: </w:t>
      </w:r>
      <w:r>
        <w:rPr>
          <w:rFonts w:ascii="Book Antiqua" w:hAnsi="Book Antiqua" w:eastAsia="Book Antiqua" w:cs="Book Antiqua"/>
          <w:color w:val="000000"/>
        </w:rPr>
        <w:t>Hao LJ, Wen PF, Zhang YM, Song W, Chen J, Ma T. Treatment of periprosthetic knee infection and coexistent periprosthetic fracture: A case report</w:t>
      </w:r>
      <w:r>
        <w:rPr>
          <w:rFonts w:hint="eastAsia" w:ascii="Book Antiqua" w:hAnsi="Book Antiqua" w:eastAsia="宋体" w:cs="Book Antiqua"/>
          <w:color w:val="000000"/>
          <w:lang w:eastAsia="zh-CN"/>
        </w:rPr>
        <w:t xml:space="preserve"> and literature review</w:t>
      </w:r>
      <w:r>
        <w:rPr>
          <w:rFonts w:ascii="Book Antiqua" w:hAnsi="Book Antiqua" w:eastAsia="Book Antiqua" w:cs="Book Antiqua"/>
          <w:color w:val="000000"/>
        </w:rPr>
        <w:t xml:space="preserve">. </w:t>
      </w:r>
      <w:r>
        <w:rPr>
          <w:rFonts w:ascii="Book Antiqua" w:hAnsi="Book Antiqua" w:eastAsia="Book Antiqua" w:cs="Book Antiqua"/>
          <w:i/>
          <w:iCs/>
          <w:color w:val="000000"/>
        </w:rPr>
        <w:t>World J Clin Cases</w:t>
      </w:r>
      <w:r>
        <w:rPr>
          <w:rFonts w:ascii="Book Antiqua" w:hAnsi="Book Antiqua" w:eastAsia="Book Antiqua" w:cs="Book Antiqua"/>
          <w:color w:val="000000"/>
        </w:rPr>
        <w:t xml:space="preserve"> 2023;</w:t>
      </w:r>
      <w:r>
        <w:rPr>
          <w:rFonts w:ascii="Book Antiqua" w:hAnsi="Book Antiqua" w:eastAsia="Book Antiqua" w:cs="Book Antiqua"/>
        </w:rPr>
        <w:t xml:space="preserve"> 11(</w:t>
      </w:r>
      <w:r>
        <w:rPr>
          <w:rFonts w:hint="eastAsia" w:ascii="Book Antiqua" w:hAnsi="Book Antiqua" w:cs="Book Antiqua"/>
          <w:lang w:eastAsia="zh-CN"/>
        </w:rPr>
        <w:t>10</w:t>
      </w:r>
      <w:r>
        <w:rPr>
          <w:rFonts w:ascii="Book Antiqua" w:hAnsi="Book Antiqua" w:eastAsia="Book Antiqua" w:cs="Book Antiqua"/>
        </w:rPr>
        <w:t xml:space="preserve">): </w:t>
      </w:r>
      <w:r>
        <w:rPr>
          <w:rFonts w:hint="default" w:ascii="Book Antiqua" w:hAnsi="Book Antiqua" w:eastAsia="Book Antiqua" w:cs="Book Antiqua"/>
          <w:i w:val="0"/>
          <w:iCs w:val="0"/>
          <w:color w:val="000000"/>
          <w:kern w:val="0"/>
          <w:sz w:val="24"/>
          <w:szCs w:val="24"/>
          <w:u w:val="none"/>
          <w:lang w:val="en-US" w:eastAsia="zh-CN" w:bidi="ar"/>
        </w:rPr>
        <w:t>2321-2328</w:t>
      </w:r>
    </w:p>
    <w:p>
      <w:pPr>
        <w:spacing w:line="360" w:lineRule="auto"/>
        <w:jc w:val="both"/>
        <w:rPr>
          <w:rFonts w:ascii="Book Antiqua" w:hAnsi="Book Antiqua" w:cs="Book Antiqua"/>
          <w:lang w:eastAsia="zh-CN"/>
        </w:rPr>
      </w:pPr>
      <w:r>
        <w:rPr>
          <w:rFonts w:ascii="Book Antiqua" w:hAnsi="Book Antiqua" w:eastAsia="Book Antiqua" w:cs="Book Antiqua"/>
          <w:b/>
        </w:rPr>
        <w:t xml:space="preserve">URL: </w:t>
      </w:r>
      <w:r>
        <w:rPr>
          <w:rFonts w:ascii="Book Antiqua" w:hAnsi="Book Antiqua" w:eastAsia="Book Antiqua" w:cs="Book Antiqua"/>
        </w:rPr>
        <w:t>https://www.wjgnet.com/2307-8960/full/v11/i</w:t>
      </w:r>
      <w:r>
        <w:rPr>
          <w:rFonts w:hint="eastAsia" w:ascii="Book Antiqua" w:hAnsi="Book Antiqua" w:cs="Book Antiqua"/>
          <w:lang w:eastAsia="zh-CN"/>
        </w:rPr>
        <w:t>10</w:t>
      </w:r>
      <w:r>
        <w:rPr>
          <w:rFonts w:ascii="Book Antiqua" w:hAnsi="Book Antiqua" w:eastAsia="Book Antiqua" w:cs="Book Antiqua"/>
        </w:rPr>
        <w:t>/</w:t>
      </w:r>
      <w:r>
        <w:rPr>
          <w:rFonts w:hint="default" w:ascii="Book Antiqua" w:hAnsi="Book Antiqua" w:eastAsia="Book Antiqua" w:cs="Book Antiqua"/>
          <w:i w:val="0"/>
          <w:iCs w:val="0"/>
          <w:color w:val="000000"/>
          <w:kern w:val="0"/>
          <w:sz w:val="24"/>
          <w:szCs w:val="24"/>
          <w:u w:val="none"/>
          <w:lang w:val="en-US" w:eastAsia="zh-CN" w:bidi="ar"/>
        </w:rPr>
        <w:t>2321</w:t>
      </w:r>
      <w:r>
        <w:rPr>
          <w:rFonts w:ascii="Book Antiqua" w:hAnsi="Book Antiqua" w:eastAsia="Book Antiqua" w:cs="Book Antiqua"/>
        </w:rPr>
        <w:t>.htm</w:t>
      </w:r>
    </w:p>
    <w:p>
      <w:pPr>
        <w:spacing w:line="360" w:lineRule="auto"/>
        <w:jc w:val="both"/>
        <w:rPr>
          <w:rFonts w:ascii="Book Antiqua" w:hAnsi="Book Antiqua"/>
        </w:rPr>
      </w:pPr>
      <w:r>
        <w:rPr>
          <w:rFonts w:ascii="Book Antiqua" w:hAnsi="Book Antiqua" w:eastAsia="Book Antiqua" w:cs="Book Antiqua"/>
          <w:b/>
        </w:rPr>
        <w:t xml:space="preserve">DOI: </w:t>
      </w:r>
      <w:r>
        <w:rPr>
          <w:rFonts w:ascii="Book Antiqua" w:hAnsi="Book Antiqua" w:eastAsia="Book Antiqua" w:cs="Book Antiqua"/>
        </w:rPr>
        <w:t>https://dx.doi.org/10.12998/wjcc.v11.i</w:t>
      </w:r>
      <w:r>
        <w:rPr>
          <w:rFonts w:hint="eastAsia" w:ascii="Book Antiqua" w:hAnsi="Book Antiqua" w:cs="Book Antiqua"/>
          <w:lang w:eastAsia="zh-CN"/>
        </w:rPr>
        <w:t>10</w:t>
      </w:r>
      <w:r>
        <w:rPr>
          <w:rFonts w:ascii="Book Antiqua" w:hAnsi="Book Antiqua" w:eastAsia="Book Antiqua" w:cs="Book Antiqua"/>
        </w:rPr>
        <w:t>.</w:t>
      </w:r>
      <w:r>
        <w:rPr>
          <w:rFonts w:hint="default" w:ascii="Book Antiqua" w:hAnsi="Book Antiqua" w:eastAsia="Book Antiqua" w:cs="Book Antiqua"/>
          <w:i w:val="0"/>
          <w:iCs w:val="0"/>
          <w:color w:val="000000"/>
          <w:kern w:val="0"/>
          <w:sz w:val="24"/>
          <w:szCs w:val="24"/>
          <w:u w:val="none"/>
          <w:lang w:val="en-US" w:eastAsia="zh-CN" w:bidi="ar"/>
        </w:rPr>
        <w:t>2321</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Core Tip: </w:t>
      </w:r>
      <w:r>
        <w:rPr>
          <w:rFonts w:ascii="Book Antiqua" w:hAnsi="Book Antiqua" w:eastAsia="Book Antiqua" w:cs="Book Antiqua"/>
          <w:color w:val="000000"/>
        </w:rPr>
        <w:t>Periprosthetic joint infection (PJI) and periprosthetic fracture (PPF) are among the most serious complications of knee arthroplasty. A two-stage revision surgery should be progressively performed in the treatment of PJI and coexistent PPF with bone loss. In the first-stage operation, a T-shaped cement spacer made from a rectangular vancomycin laden cement block and a cement coated plate was used after debridement. In the second-stage operation, the combination of cemented prosthesis and freeze-dried cortical allogenic splints were used for knee revision and fixation of PPF. Our approach offers an option for successful treatment of PJI and PPF.</w:t>
      </w:r>
    </w:p>
    <w:p>
      <w:pPr>
        <w:rPr>
          <w:rFonts w:ascii="Book Antiqua" w:hAnsi="Book Antiqua"/>
        </w:rPr>
      </w:pPr>
      <w:r>
        <w:rPr>
          <w:rFonts w:ascii="Book Antiqua" w:hAnsi="Book Antiqua"/>
        </w:rPr>
        <w:br w:type="page"/>
      </w:r>
    </w:p>
    <w:p>
      <w:pPr>
        <w:spacing w:line="360" w:lineRule="auto"/>
        <w:jc w:val="both"/>
        <w:rPr>
          <w:rFonts w:ascii="Book Antiqua" w:hAnsi="Book Antiqua"/>
        </w:rPr>
      </w:pPr>
      <w:r>
        <w:rPr>
          <w:rFonts w:ascii="Book Antiqua" w:hAnsi="Book Antiqua" w:eastAsia="Book Antiqua" w:cs="Book Antiqua"/>
          <w:b/>
          <w:caps/>
          <w:color w:val="000000"/>
          <w:u w:val="single"/>
        </w:rPr>
        <w:t>INTRODUCTION</w:t>
      </w:r>
    </w:p>
    <w:p>
      <w:pPr>
        <w:spacing w:line="360" w:lineRule="auto"/>
        <w:jc w:val="both"/>
        <w:rPr>
          <w:rFonts w:ascii="Book Antiqua" w:hAnsi="Book Antiqua"/>
        </w:rPr>
      </w:pPr>
      <w:r>
        <w:rPr>
          <w:rFonts w:ascii="Book Antiqua" w:hAnsi="Book Antiqua" w:eastAsia="Book Antiqua" w:cs="Book Antiqua"/>
          <w:color w:val="000000"/>
        </w:rPr>
        <w:t>For patients with posttraumatic osteoarthritis, the presence of periarticular hardware complicates total knee arthroplasty (TKA) and increases the incidence of periprosthetic joint infection (PJI)</w:t>
      </w:r>
      <w:r>
        <w:rPr>
          <w:rFonts w:ascii="Book Antiqua" w:hAnsi="Book Antiqua" w:eastAsia="Book Antiqua" w:cs="Book Antiqua"/>
          <w:color w:val="000000"/>
          <w:vertAlign w:val="superscript"/>
        </w:rPr>
        <w:t>[1-3]</w:t>
      </w:r>
      <w:r>
        <w:rPr>
          <w:rFonts w:ascii="Book Antiqua" w:hAnsi="Book Antiqua" w:eastAsia="Book Antiqua" w:cs="Book Antiqua"/>
          <w:color w:val="000000"/>
        </w:rPr>
        <w:t>. Meanwhile, PJI may significantly prolong the treatment period, resulting in longer hospitalization, more complications, higher medical costs, and lower quality of life</w:t>
      </w:r>
      <w:r>
        <w:rPr>
          <w:rFonts w:ascii="Book Antiqua" w:hAnsi="Book Antiqua" w:eastAsia="Book Antiqua" w:cs="Book Antiqua"/>
          <w:color w:val="000000"/>
          <w:vertAlign w:val="superscript"/>
        </w:rPr>
        <w:t>[4-6]</w:t>
      </w:r>
      <w:r>
        <w:rPr>
          <w:rFonts w:ascii="Book Antiqua" w:hAnsi="Book Antiqua" w:eastAsia="Book Antiqua" w:cs="Book Antiqua"/>
          <w:color w:val="000000"/>
        </w:rPr>
        <w:t>. Periprosthetic fracture (PPF) is also one of the most serious complications after TKA and usually result</w:t>
      </w:r>
      <w:r>
        <w:rPr>
          <w:rFonts w:hint="eastAsia" w:ascii="Book Antiqua" w:hAnsi="Book Antiqua" w:eastAsia="宋体" w:cs="Book Antiqua"/>
          <w:color w:val="000000"/>
          <w:lang w:eastAsia="zh-CN"/>
        </w:rPr>
        <w:t>s</w:t>
      </w:r>
      <w:r>
        <w:rPr>
          <w:rFonts w:ascii="Book Antiqua" w:hAnsi="Book Antiqua" w:eastAsia="Book Antiqua" w:cs="Book Antiqua"/>
          <w:color w:val="000000"/>
        </w:rPr>
        <w:t xml:space="preserve"> in joint dysfunctions or even disabilities</w:t>
      </w:r>
      <w:r>
        <w:rPr>
          <w:rFonts w:ascii="Book Antiqua" w:hAnsi="Book Antiqua" w:eastAsia="Book Antiqua" w:cs="Book Antiqua"/>
          <w:color w:val="000000"/>
          <w:vertAlign w:val="superscript"/>
        </w:rPr>
        <w:t>[7]</w:t>
      </w:r>
      <w:r>
        <w:rPr>
          <w:rFonts w:ascii="Book Antiqua" w:hAnsi="Book Antiqua" w:eastAsia="Book Antiqua" w:cs="Book Antiqua"/>
          <w:color w:val="000000"/>
        </w:rPr>
        <w:t xml:space="preserve">. Patients may suffer from both PJI and PPF simultaneously, which makes a therapeutic approach difficult to formulate because of different or contradicting treatment concepts. Once an infection occurs, all foreign materials including prosthesis and internal fixation need to be removed; however, PPF needs to be stabilized </w:t>
      </w:r>
      <w:r>
        <w:rPr>
          <w:rFonts w:hint="eastAsia" w:ascii="Book Antiqua" w:hAnsi="Book Antiqua" w:eastAsia="宋体" w:cs="Book Antiqua"/>
          <w:color w:val="000000"/>
          <w:lang w:eastAsia="zh-CN"/>
        </w:rPr>
        <w:t>by</w:t>
      </w:r>
      <w:r>
        <w:rPr>
          <w:rFonts w:ascii="Book Antiqua" w:hAnsi="Book Antiqua" w:eastAsia="Book Antiqua" w:cs="Book Antiqua"/>
          <w:color w:val="000000"/>
        </w:rPr>
        <w:t xml:space="preserve"> internal fixation. Therefore, the most crucial question is how to deal with both fracture fixation and infection treatment appropriately.</w:t>
      </w:r>
    </w:p>
    <w:p>
      <w:pPr>
        <w:spacing w:line="360" w:lineRule="auto"/>
        <w:ind w:firstLine="480" w:firstLineChars="200"/>
        <w:jc w:val="both"/>
        <w:rPr>
          <w:rFonts w:ascii="Book Antiqua" w:hAnsi="Book Antiqua"/>
        </w:rPr>
      </w:pPr>
      <w:r>
        <w:rPr>
          <w:rFonts w:ascii="Book Antiqua" w:hAnsi="Book Antiqua" w:eastAsia="Book Antiqua" w:cs="Book Antiqua"/>
          <w:color w:val="000000"/>
        </w:rPr>
        <w:t xml:space="preserve">In this case report, we describe a patient with concomitant PJI and PPF who was successfully treated </w:t>
      </w:r>
      <w:r>
        <w:rPr>
          <w:rFonts w:hint="eastAsia" w:ascii="Book Antiqua" w:hAnsi="Book Antiqua" w:eastAsia="宋体" w:cs="Book Antiqua"/>
          <w:color w:val="000000"/>
          <w:lang w:eastAsia="zh-CN"/>
        </w:rPr>
        <w:t xml:space="preserve">and followed for </w:t>
      </w:r>
      <w:r>
        <w:rPr>
          <w:rFonts w:ascii="Book Antiqua" w:hAnsi="Book Antiqua" w:eastAsia="Book Antiqua" w:cs="Book Antiqua"/>
          <w:color w:val="000000"/>
        </w:rPr>
        <w:t>2</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year</w:t>
      </w:r>
      <w:r>
        <w:rPr>
          <w:rFonts w:hint="eastAsia" w:ascii="Book Antiqua" w:hAnsi="Book Antiqua" w:eastAsia="宋体" w:cs="Book Antiqua"/>
          <w:color w:val="000000"/>
          <w:lang w:eastAsia="zh-CN"/>
        </w:rPr>
        <w:t>s</w:t>
      </w:r>
      <w:r>
        <w:rPr>
          <w:rFonts w:ascii="Book Antiqua" w:hAnsi="Book Antiqua" w:eastAsia="Book Antiqua" w:cs="Book Antiqua"/>
          <w:color w:val="000000"/>
        </w:rPr>
        <w: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CASE PRESENTATION</w:t>
      </w:r>
    </w:p>
    <w:p>
      <w:pPr>
        <w:spacing w:line="360" w:lineRule="auto"/>
        <w:jc w:val="both"/>
        <w:rPr>
          <w:rFonts w:ascii="Book Antiqua" w:hAnsi="Book Antiqua"/>
        </w:rPr>
      </w:pPr>
      <w:r>
        <w:rPr>
          <w:rFonts w:ascii="Book Antiqua" w:hAnsi="Book Antiqua" w:eastAsia="Book Antiqua" w:cs="Book Antiqua"/>
          <w:b/>
          <w:i/>
          <w:color w:val="000000"/>
        </w:rPr>
        <w:t>Chief complaints</w:t>
      </w:r>
    </w:p>
    <w:p>
      <w:pPr>
        <w:spacing w:line="360" w:lineRule="auto"/>
        <w:jc w:val="both"/>
        <w:rPr>
          <w:rFonts w:ascii="Book Antiqua" w:hAnsi="Book Antiqua"/>
        </w:rPr>
      </w:pPr>
      <w:r>
        <w:rPr>
          <w:rFonts w:ascii="Book Antiqua" w:hAnsi="Book Antiqua" w:eastAsia="Book Antiqua" w:cs="Book Antiqua"/>
          <w:color w:val="000000"/>
        </w:rPr>
        <w:t>A 69-year-old Chinese woman was admitted to our joint clinic with a complaint of right thigh pain and swelling for 3 d.</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History of present illness</w:t>
      </w:r>
    </w:p>
    <w:p>
      <w:pPr>
        <w:spacing w:line="360" w:lineRule="auto"/>
        <w:jc w:val="both"/>
        <w:rPr>
          <w:rFonts w:ascii="Book Antiqua" w:hAnsi="Book Antiqua"/>
        </w:rPr>
      </w:pPr>
      <w:r>
        <w:rPr>
          <w:rFonts w:ascii="Book Antiqua" w:hAnsi="Book Antiqua" w:eastAsia="Book Antiqua" w:cs="Book Antiqua"/>
          <w:color w:val="000000"/>
        </w:rPr>
        <w:t>Symptoms started 3 d before presentation with severe thigh pain and swelling (July 2019).</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History of past illness</w:t>
      </w:r>
    </w:p>
    <w:p>
      <w:pPr>
        <w:spacing w:line="360" w:lineRule="auto"/>
        <w:jc w:val="both"/>
        <w:rPr>
          <w:rFonts w:ascii="Book Antiqua" w:hAnsi="Book Antiqua"/>
        </w:rPr>
      </w:pPr>
      <w:r>
        <w:rPr>
          <w:rFonts w:ascii="Book Antiqua" w:hAnsi="Book Antiqua" w:eastAsia="Book Antiqua" w:cs="Book Antiqua"/>
          <w:color w:val="000000"/>
        </w:rPr>
        <w:t>The patient fell and fractured her right distal femur in November 2017. She underwent an open reduction and internal fixation (ORIF) at a local hospital. In December 2018, the patient was diagnosed with posttraumatic osteoarthritis of the right knee, for which the removal of original internal fixation implants and TKA were simultaneously performed (Figure 1A and B). In April 2019, the patient suffered PJI of the right knee with a sinus formation and was treated with antibiotic suppression; however, the infection did not improve.</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Personal and family history</w:t>
      </w:r>
    </w:p>
    <w:p>
      <w:pPr>
        <w:spacing w:line="360" w:lineRule="auto"/>
        <w:jc w:val="both"/>
        <w:rPr>
          <w:rFonts w:ascii="Book Antiqua" w:hAnsi="Book Antiqua"/>
        </w:rPr>
      </w:pPr>
      <w:r>
        <w:rPr>
          <w:rFonts w:ascii="Book Antiqua" w:hAnsi="Book Antiqua" w:eastAsia="Book Antiqua" w:cs="Book Antiqua"/>
          <w:color w:val="000000"/>
        </w:rPr>
        <w:t>The patient had no personal or family history.</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Physical examination</w:t>
      </w:r>
    </w:p>
    <w:p>
      <w:pPr>
        <w:spacing w:line="360" w:lineRule="auto"/>
        <w:jc w:val="both"/>
        <w:rPr>
          <w:rFonts w:ascii="Book Antiqua" w:hAnsi="Book Antiqua"/>
        </w:rPr>
      </w:pPr>
      <w:r>
        <w:rPr>
          <w:rFonts w:ascii="Book Antiqua" w:hAnsi="Book Antiqua" w:eastAsia="Book Antiqua" w:cs="Book Antiqua"/>
          <w:color w:val="000000"/>
        </w:rPr>
        <w:t>The right thigh was swollen and deformed. The right knee had a sinus tract and limited range of motion.</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Laboratory examinations</w:t>
      </w:r>
    </w:p>
    <w:p>
      <w:pPr>
        <w:spacing w:line="360" w:lineRule="auto"/>
        <w:jc w:val="both"/>
        <w:rPr>
          <w:rFonts w:ascii="Book Antiqua" w:hAnsi="Book Antiqua"/>
        </w:rPr>
      </w:pPr>
      <w:r>
        <w:rPr>
          <w:rFonts w:ascii="Book Antiqua" w:hAnsi="Book Antiqua" w:eastAsia="Book Antiqua" w:cs="Book Antiqua"/>
          <w:color w:val="000000"/>
        </w:rPr>
        <w:t>The serum erythrocyte sedimentation rate (ESR), C-reactive protein (CRP), white blood cell (WBC) count, and neutrophil percentage were elevated (97 mm/h, 126.19 mg/L, 12.18 × 10</w:t>
      </w:r>
      <w:r>
        <w:rPr>
          <w:rFonts w:ascii="Book Antiqua" w:hAnsi="Book Antiqua" w:eastAsia="Book Antiqua" w:cs="Book Antiqua"/>
          <w:color w:val="000000"/>
          <w:vertAlign w:val="superscript"/>
        </w:rPr>
        <w:t>9</w:t>
      </w:r>
      <w:r>
        <w:rPr>
          <w:rFonts w:ascii="Book Antiqua" w:hAnsi="Book Antiqua" w:eastAsia="Book Antiqua" w:cs="Book Antiqua"/>
          <w:color w:val="000000"/>
        </w:rPr>
        <w:t>/L</w:t>
      </w:r>
      <w:r>
        <w:rPr>
          <w:rFonts w:hint="eastAsia" w:ascii="Book Antiqua" w:hAnsi="Book Antiqua" w:eastAsia="宋体" w:cs="Book Antiqua"/>
          <w:color w:val="000000"/>
          <w:lang w:eastAsia="zh-CN"/>
        </w:rPr>
        <w:t>,</w:t>
      </w:r>
      <w:r>
        <w:rPr>
          <w:rFonts w:ascii="Book Antiqua" w:hAnsi="Book Antiqua" w:eastAsia="Book Antiqua" w:cs="Book Antiqua"/>
          <w:color w:val="000000"/>
        </w:rPr>
        <w:t xml:space="preserve"> and 75.2%, respectively). The synovial fluid WBC count and synovial fluid polymorphonuclear neutrophil percentage were 12045/uL and 94%, respectively. Methicillin-resistant </w:t>
      </w:r>
      <w:r>
        <w:rPr>
          <w:rFonts w:ascii="Book Antiqua" w:hAnsi="Book Antiqua" w:eastAsia="宋体" w:cs="Book Antiqua"/>
          <w:i/>
          <w:iCs/>
          <w:color w:val="000000"/>
          <w:lang w:eastAsia="zh-CN"/>
        </w:rPr>
        <w:t>S</w:t>
      </w:r>
      <w:r>
        <w:rPr>
          <w:rFonts w:ascii="Book Antiqua" w:hAnsi="Book Antiqua" w:eastAsia="Book Antiqua" w:cs="Book Antiqua"/>
          <w:i/>
          <w:iCs/>
          <w:color w:val="000000"/>
        </w:rPr>
        <w:t>taphylococcus aureus</w:t>
      </w:r>
      <w:r>
        <w:rPr>
          <w:rFonts w:ascii="Book Antiqua" w:hAnsi="Book Antiqua" w:eastAsia="Book Antiqua" w:cs="Book Antiqua"/>
          <w:color w:val="000000"/>
        </w:rPr>
        <w:t xml:space="preserve"> (MRSA) was detected on the synovial fluid culture.</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Imaging examinations</w:t>
      </w:r>
    </w:p>
    <w:p>
      <w:pPr>
        <w:spacing w:line="360" w:lineRule="auto"/>
        <w:jc w:val="both"/>
        <w:rPr>
          <w:rFonts w:ascii="Book Antiqua" w:hAnsi="Book Antiqua"/>
        </w:rPr>
      </w:pPr>
      <w:r>
        <w:rPr>
          <w:rFonts w:ascii="Book Antiqua" w:hAnsi="Book Antiqua" w:eastAsia="Book Antiqua" w:cs="Book Antiqua"/>
          <w:color w:val="000000"/>
        </w:rPr>
        <w:t xml:space="preserve">The X-ray and computed tomography (CT) scan revealed a fracture of the right femur and loosening of the knee prosthesis (Figure 1C-E). </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FINAL DIAGNOSIS</w:t>
      </w:r>
    </w:p>
    <w:p>
      <w:pPr>
        <w:spacing w:line="360" w:lineRule="auto"/>
        <w:jc w:val="both"/>
        <w:rPr>
          <w:rFonts w:ascii="Book Antiqua" w:hAnsi="Book Antiqua"/>
        </w:rPr>
      </w:pPr>
      <w:r>
        <w:rPr>
          <w:rFonts w:ascii="Book Antiqua" w:hAnsi="Book Antiqua" w:eastAsia="Book Antiqua" w:cs="Book Antiqua"/>
          <w:color w:val="000000"/>
        </w:rPr>
        <w:t>The patient was diagnosed with PJI and PPF (Rorabeck and Taylor</w:t>
      </w:r>
      <w:r>
        <w:rPr>
          <w:rFonts w:ascii="Book Antiqua" w:hAnsi="Book Antiqua" w:eastAsia="Book Antiqua" w:cs="Book Antiqua"/>
          <w:color w:val="000000"/>
          <w:vertAlign w:val="superscript"/>
        </w:rPr>
        <w:t>[8]</w:t>
      </w:r>
      <w:r>
        <w:rPr>
          <w:rFonts w:ascii="Book Antiqua" w:hAnsi="Book Antiqua" w:eastAsia="Book Antiqua" w:cs="Book Antiqua"/>
          <w:color w:val="000000"/>
        </w:rPr>
        <w:t xml:space="preserve"> </w:t>
      </w:r>
      <w:r>
        <w:rPr>
          <w:rFonts w:hint="eastAsia" w:ascii="Book Antiqua" w:hAnsi="Book Antiqua" w:eastAsia="宋体" w:cs="Book Antiqua"/>
          <w:color w:val="000000"/>
          <w:lang w:eastAsia="zh-CN"/>
        </w:rPr>
        <w:t>t</w:t>
      </w:r>
      <w:r>
        <w:rPr>
          <w:rFonts w:ascii="Book Antiqua" w:hAnsi="Book Antiqua" w:eastAsia="Book Antiqua" w:cs="Book Antiqua"/>
          <w:color w:val="000000"/>
        </w:rPr>
        <w:t>ype II) of the right knee.</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TREATMENT</w:t>
      </w:r>
    </w:p>
    <w:p>
      <w:pPr>
        <w:spacing w:line="360" w:lineRule="auto"/>
        <w:jc w:val="both"/>
        <w:rPr>
          <w:rFonts w:ascii="Book Antiqua" w:hAnsi="Book Antiqua"/>
        </w:rPr>
      </w:pPr>
      <w:r>
        <w:rPr>
          <w:rFonts w:ascii="Book Antiqua" w:hAnsi="Book Antiqua" w:eastAsia="Book Antiqua" w:cs="Book Antiqua"/>
          <w:color w:val="000000"/>
        </w:rPr>
        <w:t>A two-stage revision surgery was planned with an interval of about 3 mo.</w:t>
      </w:r>
      <w:r>
        <w:rPr>
          <w:rFonts w:hint="eastAsia" w:ascii="Book Antiqua" w:hAnsi="Book Antiqua"/>
          <w:lang w:eastAsia="zh-CN"/>
        </w:rPr>
        <w:t xml:space="preserve"> </w:t>
      </w:r>
      <w:r>
        <w:rPr>
          <w:rFonts w:ascii="Book Antiqua" w:hAnsi="Book Antiqua" w:eastAsia="Book Antiqua" w:cs="Book Antiqua"/>
          <w:color w:val="000000"/>
        </w:rPr>
        <w:t>The first-stage operation (Figure 2) was performed in two steps. The first step was resection of the prosthesis and debridement. The second step was the placement of an antibiotic cement spacer and fixation of PPF. We used a rectangular vancomycin laden cement (Palacos R+G, Heraeus Medical GmbH) block linking with a cement-coated plate (Limited contact dynamic compression plate, Synthes GmbH) to make a T-shaped spacer. A longer plate was not selected to avoid the spread of infection. Five different specimens around the prosthesis were sent for culture, and the detected pathogen was still MRSA. An infectious disease specialist prescribed a regimen of anti-MRSA drugs, consisting of intravenous drip of vancomycin and oral rifampicin at dosages of 1000 and 600 mg/d, respectively. After 2 wk, the regimen was changed to 300 mg/d of oral rifampicin and 500 mg/d</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of oral ciprofloxacin for 6 wk. After the operation, the patient was instructed to walk without weight-bearing. However, the patient was lost to follow-up and did not undergo the second-stage operation (Figure 3) in October 2019 as planned. In May 2020, she revisited our outpatient clinic. By this time, she had suffered severe functional impairment with a Hospital for Special Surgery (HSS)</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knee</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 xml:space="preserve">score of only 23 points. She was admitted into the hospital. After infection was ruled out through a series </w:t>
      </w:r>
      <w:r>
        <w:rPr>
          <w:rFonts w:hint="eastAsia" w:ascii="Book Antiqua" w:hAnsi="Book Antiqua" w:eastAsia="宋体" w:cs="Book Antiqua"/>
          <w:color w:val="000000"/>
          <w:lang w:eastAsia="zh-CN"/>
        </w:rPr>
        <w:t xml:space="preserve">of </w:t>
      </w:r>
      <w:r>
        <w:rPr>
          <w:rFonts w:ascii="Book Antiqua" w:hAnsi="Book Antiqua" w:eastAsia="Book Antiqua" w:cs="Book Antiqua"/>
          <w:color w:val="000000"/>
        </w:rPr>
        <w:t>blood tests and synovial fluid culture, the second-stage operation consisting of ORIF of PPF and revision TKA was performed in three steps. First, we performed debridement and removed any foreign material and sequestrum. Second, the fixation of periprosthetic femoral fracture was done. Two pieces of freeze-dried cortical allogenic splint (Shanxi Aorui Biomaterials Co. LTD) of approximate</w:t>
      </w:r>
      <w:r>
        <w:rPr>
          <w:rFonts w:hint="eastAsia" w:ascii="Book Antiqua" w:hAnsi="Book Antiqua" w:eastAsia="宋体" w:cs="Book Antiqua"/>
          <w:color w:val="000000"/>
          <w:lang w:eastAsia="zh-CN"/>
        </w:rPr>
        <w:t>ly</w:t>
      </w:r>
      <w:r>
        <w:rPr>
          <w:rFonts w:ascii="Book Antiqua" w:hAnsi="Book Antiqua" w:eastAsia="Book Antiqua" w:cs="Book Antiqua"/>
          <w:color w:val="000000"/>
        </w:rPr>
        <w:t xml:space="preserve"> 10 centimeter in length were used for auxiliary fixation of the femur. Then, cables (Synthes Cable System) and wires were used to bundle bone splits, and autologous bone graft was applied to the bone defect. Finally, knee revision prosthesis (NexGen LCCK, Zimmer Inc.) was installed. A 150-millimeter-long stem with a diameter of 14 millimeters was used on the femoral side. A 100-millimeter-long stem with a diameter of 14 millimeters was used on the tibial side. A 5-millimeter-thick metal pad was added to both medial and lateral side</w:t>
      </w:r>
      <w:r>
        <w:rPr>
          <w:rFonts w:hint="eastAsia" w:ascii="Book Antiqua" w:hAnsi="Book Antiqua" w:eastAsia="宋体" w:cs="Book Antiqua"/>
          <w:color w:val="000000"/>
          <w:lang w:eastAsia="zh-CN"/>
        </w:rPr>
        <w:t>s</w:t>
      </w:r>
      <w:r>
        <w:rPr>
          <w:rFonts w:ascii="Book Antiqua" w:hAnsi="Book Antiqua" w:eastAsia="Book Antiqua" w:cs="Book Antiqua"/>
          <w:color w:val="000000"/>
        </w:rPr>
        <w:t xml:space="preserve"> of the distal femoral prosthesis, and a 10-millimeter-thick metal pad was added to the posterior condyle of the femoral prosthesis. X-rays were taken at 3 d postoperatively. Postoperative rehabilitation exercise consisted of partial weight bearing of the right lower limb for 6 wk. The antibiotic therapy was continued according to the instructions of the infectious disease specialist. A timeline of the clinical course and management is provided in Table 1.</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OUTCOME AND FOLLOW-UP</w:t>
      </w:r>
    </w:p>
    <w:p>
      <w:pPr>
        <w:spacing w:line="360" w:lineRule="auto"/>
        <w:jc w:val="both"/>
        <w:rPr>
          <w:rFonts w:ascii="Book Antiqua" w:hAnsi="Book Antiqua"/>
        </w:rPr>
      </w:pPr>
      <w:r>
        <w:rPr>
          <w:rFonts w:ascii="Book Antiqua" w:hAnsi="Book Antiqua" w:eastAsia="Book Antiqua" w:cs="Book Antiqua"/>
          <w:color w:val="000000"/>
        </w:rPr>
        <w:t xml:space="preserve">The patient was followed periodically (6, 12, </w:t>
      </w:r>
      <w:r>
        <w:rPr>
          <w:rFonts w:hint="eastAsia" w:ascii="Book Antiqua" w:hAnsi="Book Antiqua" w:eastAsia="宋体" w:cs="Book Antiqua"/>
          <w:color w:val="000000"/>
          <w:lang w:eastAsia="zh-CN"/>
        </w:rPr>
        <w:t xml:space="preserve">and </w:t>
      </w:r>
      <w:r>
        <w:rPr>
          <w:rFonts w:ascii="Book Antiqua" w:hAnsi="Book Antiqua" w:eastAsia="Book Antiqua" w:cs="Book Antiqua"/>
          <w:color w:val="000000"/>
        </w:rPr>
        <w:t>24 wk and annually thereafter) after revision TKA. The wound healed well without redness or swelling. The serum CRP and ESR decreased continuously and returned to normal at 3 mo post-revision. The HSS score was 59, 69, and 85 points at 6, 12, and 24 wk after revision, respectively. At the final follow-up 27 mo after revision (Figure 4), the range of motion was 104º</w:t>
      </w:r>
      <w:r>
        <w:rPr>
          <w:rFonts w:ascii="Book Antiqua" w:hAnsi="Book Antiqua" w:eastAsia="宋体" w:cs="宋体"/>
          <w:color w:val="000000"/>
          <w:lang w:eastAsia="zh-CN"/>
        </w:rPr>
        <w:t xml:space="preserve">, </w:t>
      </w:r>
      <w:r>
        <w:rPr>
          <w:rFonts w:ascii="Book Antiqua" w:hAnsi="Book Antiqua" w:eastAsia="Book Antiqua" w:cs="Book Antiqua"/>
          <w:color w:val="000000"/>
        </w:rPr>
        <w:t>the HSS score was 82 points, and the Western Ontario MacMaster Universities Osteoarthritis Index score was 36 points. The patient was satisfied with the course of treatment and postoperative knee function. There was no sign of infection recurrence or loosening of the prosthesis.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DISCUSSION</w:t>
      </w:r>
    </w:p>
    <w:p>
      <w:pPr>
        <w:spacing w:line="360" w:lineRule="auto"/>
        <w:jc w:val="both"/>
        <w:rPr>
          <w:rFonts w:ascii="Book Antiqua" w:hAnsi="Book Antiqua"/>
        </w:rPr>
      </w:pPr>
      <w:r>
        <w:rPr>
          <w:rFonts w:ascii="Book Antiqua" w:hAnsi="Book Antiqua" w:eastAsia="Book Antiqua" w:cs="Book Antiqua"/>
          <w:color w:val="000000"/>
        </w:rPr>
        <w:t>PJI and PPF are among the most serious complications following TKA and usually raise concern for both patients and</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surgeons</w:t>
      </w:r>
      <w:r>
        <w:rPr>
          <w:rFonts w:ascii="Book Antiqua" w:hAnsi="Book Antiqua" w:eastAsia="Book Antiqua" w:cs="Book Antiqua"/>
          <w:color w:val="000000"/>
          <w:vertAlign w:val="superscript"/>
        </w:rPr>
        <w:t>[9-11]</w:t>
      </w:r>
      <w:r>
        <w:rPr>
          <w:rFonts w:ascii="Book Antiqua" w:hAnsi="Book Antiqua" w:eastAsia="Book Antiqua" w:cs="Book Antiqua"/>
          <w:color w:val="000000"/>
        </w:rPr>
        <w:t xml:space="preserve">. </w:t>
      </w:r>
      <w:r>
        <w:rPr>
          <w:rFonts w:ascii="Book Antiqua" w:hAnsi="Book Antiqua" w:eastAsia="Book Antiqua" w:cs="Book Antiqua"/>
        </w:rPr>
        <w:t>The incidence of PJI after primary TKA is 0.7%-2%</w:t>
      </w:r>
      <w:r>
        <w:rPr>
          <w:rFonts w:ascii="Book Antiqua" w:hAnsi="Book Antiqua" w:eastAsia="Book Antiqua" w:cs="Book Antiqua"/>
          <w:vertAlign w:val="superscript"/>
        </w:rPr>
        <w:t>[12,13]</w:t>
      </w:r>
      <w:r>
        <w:rPr>
          <w:rFonts w:ascii="Book Antiqua" w:hAnsi="Book Antiqua" w:eastAsia="Book Antiqua" w:cs="Book Antiqua"/>
        </w:rPr>
        <w:t xml:space="preserve">, </w:t>
      </w:r>
      <w:r>
        <w:rPr>
          <w:rFonts w:ascii="Book Antiqua" w:hAnsi="Book Antiqua" w:eastAsia="Book Antiqua" w:cs="Book Antiqua"/>
          <w:color w:val="000000"/>
        </w:rPr>
        <w:t>while that aft</w:t>
      </w:r>
      <w:r>
        <w:rPr>
          <w:rFonts w:ascii="Book Antiqua" w:hAnsi="Book Antiqua" w:eastAsia="Book Antiqua" w:cs="Book Antiqua"/>
        </w:rPr>
        <w:t>er revision is 5.6%-35%</w:t>
      </w:r>
      <w:r>
        <w:rPr>
          <w:rFonts w:ascii="Book Antiqua" w:hAnsi="Book Antiqua" w:eastAsia="Book Antiqua" w:cs="Book Antiqua"/>
          <w:vertAlign w:val="superscript"/>
        </w:rPr>
        <w:t>[14-16]</w:t>
      </w:r>
      <w:r>
        <w:rPr>
          <w:rFonts w:ascii="Book Antiqua" w:hAnsi="Book Antiqua" w:eastAsia="Book Antiqua" w:cs="Book Antiqua"/>
        </w:rPr>
        <w:t xml:space="preserve">. </w:t>
      </w:r>
      <w:r>
        <w:rPr>
          <w:rFonts w:ascii="Book Antiqua" w:hAnsi="Book Antiqua" w:eastAsia="Book Antiqua" w:cs="Book Antiqua"/>
          <w:color w:val="000000"/>
        </w:rPr>
        <w:t xml:space="preserve">Meanwhile, </w:t>
      </w:r>
      <w:r>
        <w:rPr>
          <w:rFonts w:hint="eastAsia" w:cs="Book Antiqua" w:asciiTheme="minorEastAsia" w:hAnsiTheme="minorEastAsia"/>
          <w:color w:val="000000"/>
          <w:lang w:eastAsia="zh-CN"/>
        </w:rPr>
        <w:t>t</w:t>
      </w:r>
      <w:r>
        <w:rPr>
          <w:rFonts w:ascii="Book Antiqua" w:hAnsi="Book Antiqua" w:eastAsia="Book Antiqua" w:cs="Book Antiqua"/>
          <w:color w:val="000000"/>
        </w:rPr>
        <w:t>he incidence of PPF ranges from 0.3% to 2.5% after primary TKA and 1.6% to 38% after revision TKA</w:t>
      </w:r>
      <w:r>
        <w:rPr>
          <w:rFonts w:ascii="Book Antiqua" w:hAnsi="Book Antiqua" w:eastAsia="Book Antiqua" w:cs="Book Antiqua"/>
          <w:color w:val="000000"/>
          <w:vertAlign w:val="superscript"/>
        </w:rPr>
        <w:t>[17-19]</w:t>
      </w:r>
      <w:r>
        <w:rPr>
          <w:rFonts w:hint="eastAsia" w:ascii="Book Antiqua" w:hAnsi="Book Antiqua" w:eastAsia="Book Antiqua" w:cs="Book Antiqua"/>
          <w:color w:val="000000"/>
        </w:rPr>
        <w:t>.</w:t>
      </w:r>
      <w:r>
        <w:rPr>
          <w:rFonts w:ascii="Book Antiqua" w:hAnsi="Book Antiqua" w:eastAsia="Book Antiqua" w:cs="Book Antiqua"/>
          <w:color w:val="000000"/>
        </w:rPr>
        <w:t xml:space="preserve"> Each complication needs precise assessment and specific care to prevent further serious issues. If PJI is simultaneous with PPF for one patient, it is going to be a very tricky situation. There is no optimal management strategy regarding this issue due to lack of standards and controversy over treatment effectiveness. The treatment of this patient for infection and fracture after TKA with periarticular internal fixators offers possible strategies for this condition. </w:t>
      </w:r>
    </w:p>
    <w:p>
      <w:pPr>
        <w:spacing w:line="360" w:lineRule="auto"/>
        <w:ind w:firstLine="480" w:firstLineChars="200"/>
        <w:jc w:val="both"/>
        <w:rPr>
          <w:rFonts w:eastAsia="WarnockPro-Regular"/>
          <w:sz w:val="22"/>
        </w:rPr>
      </w:pPr>
      <w:r>
        <w:rPr>
          <w:rFonts w:ascii="Book Antiqua" w:hAnsi="Book Antiqua" w:eastAsia="Book Antiqua" w:cs="Book Antiqua"/>
          <w:color w:val="000000"/>
        </w:rPr>
        <w:t>The incidence of PJI in patients with a history of ORIF who under</w:t>
      </w:r>
      <w:r>
        <w:rPr>
          <w:rFonts w:hint="eastAsia" w:ascii="Book Antiqua" w:hAnsi="Book Antiqua" w:eastAsia="宋体" w:cs="Book Antiqua"/>
          <w:color w:val="000000"/>
          <w:lang w:eastAsia="zh-CN"/>
        </w:rPr>
        <w:t>went</w:t>
      </w:r>
      <w:r>
        <w:rPr>
          <w:rFonts w:ascii="Book Antiqua" w:hAnsi="Book Antiqua" w:eastAsia="Book Antiqua" w:cs="Book Antiqua"/>
          <w:color w:val="000000"/>
        </w:rPr>
        <w:t xml:space="preserve"> TKA is similar to that after revision</w:t>
      </w:r>
      <w:r>
        <w:rPr>
          <w:rFonts w:ascii="Book Antiqua" w:hAnsi="Book Antiqua" w:eastAsia="Book Antiqua" w:cs="Book Antiqua"/>
          <w:color w:val="000000"/>
          <w:vertAlign w:val="superscript"/>
        </w:rPr>
        <w:t>[20]</w:t>
      </w:r>
      <w:r>
        <w:rPr>
          <w:rFonts w:ascii="Book Antiqua" w:hAnsi="Book Antiqua" w:eastAsia="Book Antiqua" w:cs="Book Antiqua"/>
          <w:color w:val="000000"/>
        </w:rPr>
        <w:t xml:space="preserve">. Suzuki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[21]</w:t>
      </w:r>
      <w:r>
        <w:rPr>
          <w:rFonts w:ascii="Book Antiqua" w:hAnsi="Book Antiqua" w:eastAsia="Book Antiqua" w:cs="Book Antiqua"/>
          <w:color w:val="000000"/>
        </w:rPr>
        <w:t xml:space="preserve"> reported that previous ORIF and remnants of previous internal fixation materials showed significant correlation with postoperative infections. A prospective matched cohort study conducted by Lizaur-Utrilla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[22]</w:t>
      </w:r>
      <w:r>
        <w:rPr>
          <w:rFonts w:ascii="Book Antiqua" w:hAnsi="Book Antiqua" w:eastAsia="Book Antiqua" w:cs="Book Antiqua"/>
          <w:color w:val="000000"/>
        </w:rPr>
        <w:t xml:space="preserve"> found that the incidence of surgical site infection was higher in the posttraumatic group and recommended removal of hardware prior to TKA. In contrast, Klatte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[23]</w:t>
      </w:r>
      <w:r>
        <w:rPr>
          <w:rFonts w:ascii="Book Antiqua" w:hAnsi="Book Antiqua" w:eastAsia="Book Antiqua" w:cs="Book Antiqua"/>
          <w:color w:val="000000"/>
        </w:rPr>
        <w:t xml:space="preserve"> found that the risk of developing periprosthetic knee infection was not significantly increased with pre-existing orthopaedic implants. In general, more and more studies identified previous fracture history and remnants of pre-existing fixation-devices as major risk factors for PJI after TKA</w:t>
      </w:r>
      <w:r>
        <w:rPr>
          <w:rFonts w:ascii="Book Antiqua" w:hAnsi="Book Antiqua" w:eastAsia="Book Antiqua" w:cs="Book Antiqua"/>
          <w:color w:val="000000"/>
          <w:vertAlign w:val="superscript"/>
        </w:rPr>
        <w:t>[21,22,24]</w:t>
      </w:r>
      <w:r>
        <w:rPr>
          <w:rFonts w:ascii="Book Antiqua" w:hAnsi="Book Antiqua" w:eastAsia="Book Antiqua" w:cs="Book Antiqua"/>
          <w:color w:val="000000"/>
        </w:rPr>
        <w:t xml:space="preserve"> and suggested that complete removal of the fixators 4 to 6 mo before TKA could reduce the incidence of PJI</w:t>
      </w:r>
      <w:r>
        <w:rPr>
          <w:rFonts w:ascii="Book Antiqua" w:hAnsi="Book Antiqua" w:eastAsia="Book Antiqua" w:cs="Book Antiqua"/>
          <w:color w:val="000000"/>
          <w:vertAlign w:val="superscript"/>
        </w:rPr>
        <w:t>[22,25]</w:t>
      </w:r>
      <w:r>
        <w:rPr>
          <w:rFonts w:ascii="Book Antiqua" w:hAnsi="Book Antiqua" w:eastAsia="Book Antiqua" w:cs="Book Antiqua"/>
          <w:color w:val="000000"/>
        </w:rPr>
        <w:t xml:space="preserve">. For clinical implication, surgeons should be conscious of the infection potential when performing knee arthroplasty on patients with these risk factors.  </w:t>
      </w:r>
    </w:p>
    <w:p>
      <w:pPr>
        <w:spacing w:line="360" w:lineRule="auto"/>
        <w:ind w:firstLine="240"/>
        <w:jc w:val="both"/>
        <w:rPr>
          <w:rFonts w:ascii="Book Antiqua" w:hAnsi="Book Antiqua"/>
        </w:rPr>
      </w:pPr>
      <w:r>
        <w:rPr>
          <w:rFonts w:ascii="Book Antiqua" w:hAnsi="Book Antiqua" w:eastAsia="Book Antiqua" w:cs="Book Antiqua"/>
          <w:color w:val="000000"/>
        </w:rPr>
        <w:t xml:space="preserve">From our point of view, fixing the fracture is the main difficulty for patients with both PJI and PPF and also is an important factor to ensure fracture union and prevent postoperative infection. In this study, the combination of antibiotic-laden cement spacer and cement-coated plate, which was used as an intramedullary nail, provided a solution. Bonacker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[26]</w:t>
      </w:r>
      <w:r>
        <w:rPr>
          <w:rFonts w:ascii="Book Antiqua" w:hAnsi="Book Antiqua" w:eastAsia="Book Antiqua" w:cs="Book Antiqua"/>
          <w:color w:val="000000"/>
        </w:rPr>
        <w:t xml:space="preserve"> presented a two-stage surgical strategy conducted in a 69-year-old male patient with a periprosthetic tibia fracture, infectious nonunion, and loosening of the TKA due to ascending infection. After removing all implants, a deep debridement was performed, and a tibial nail connected with a hand-formed bone cement knee spacer including antibiotics and two additional antibiotic-impregnated chains was implanted. In the revision surgery, the tibial fracture site was stabilized with a long uncemented stem. Sanz-Ruiz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[27]</w:t>
      </w:r>
      <w:r>
        <w:rPr>
          <w:rFonts w:ascii="Book Antiqua" w:hAnsi="Book Antiqua" w:eastAsia="Book Antiqua" w:cs="Book Antiqua"/>
          <w:color w:val="000000"/>
        </w:rPr>
        <w:t xml:space="preserve"> presented a biarticular cement spacer, made from a cephalomedullary nail, to treat infected hip arthroplasty with massive bone loss. They covered the nail with antibiotic-laden cement and obtained satisfactory results of infection control and functional retention. In this case, a cement-coated plate which can slowly release antibiotics, preventing bacterial adhesion and proliferation and biofilm formation, was also used to substitute a metal-exposed plate as intramedullary nail for fracture immobilization. In addition, a cemented femoral stem was used instead of cementless one during the revision, because a fully long cementless stem could not be implanted due to the anterior femoral curvature and large defect of the previous fracture. Meanwhile, the cemented one could stabilize the proximal and distal </w:t>
      </w:r>
      <w:r>
        <w:rPr>
          <w:rFonts w:hint="eastAsia" w:ascii="Book Antiqua" w:hAnsi="Book Antiqua" w:eastAsia="宋体" w:cs="Book Antiqua"/>
          <w:color w:val="000000"/>
          <w:lang w:eastAsia="zh-CN"/>
        </w:rPr>
        <w:t xml:space="preserve">parts </w:t>
      </w:r>
      <w:r>
        <w:rPr>
          <w:rFonts w:ascii="Book Antiqua" w:hAnsi="Book Antiqua" w:eastAsia="Book Antiqua" w:cs="Book Antiqua"/>
          <w:color w:val="000000"/>
        </w:rPr>
        <w:t>of femoral fracture. What needs illustration is that cement smeared at the fracture was strictly prohibited and measure of heat control was indispensable when the cement generate heat during solidification to avoid affecting the union of fracture.</w:t>
      </w:r>
    </w:p>
    <w:p>
      <w:pPr>
        <w:spacing w:line="360" w:lineRule="auto"/>
        <w:ind w:firstLine="240"/>
        <w:jc w:val="both"/>
        <w:rPr>
          <w:rFonts w:ascii="Book Antiqua" w:hAnsi="Book Antiqua" w:eastAsia="Book Antiqua" w:cs="Book Antiqua"/>
          <w:color w:val="000000"/>
        </w:rPr>
      </w:pPr>
      <w:r>
        <w:rPr>
          <w:rFonts w:ascii="Book Antiqua" w:hAnsi="Book Antiqua" w:eastAsia="Book Antiqua" w:cs="Book Antiqua"/>
          <w:color w:val="000000"/>
        </w:rPr>
        <w:t xml:space="preserve">Müller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[28]</w:t>
      </w:r>
      <w:r>
        <w:rPr>
          <w:rFonts w:ascii="Book Antiqua" w:hAnsi="Book Antiqua" w:eastAsia="Book Antiqua" w:cs="Book Antiqua"/>
          <w:color w:val="000000"/>
        </w:rPr>
        <w:t xml:space="preserve"> reported a two-stage revision for the treatment of 8 patients with PPF and infection. The fractures were fixed by three strategies: 2 patients by plate, 3 by intramedullary rod/pin, and 3 by plate and rod/pin. At the final follow-up, one infection recurred, and three individuals developed nonunion of fracture, getting a high nonunion rate. A systematic review conducted by</w:t>
      </w:r>
      <w:r>
        <w:rPr>
          <w:rFonts w:ascii="Book Antiqua" w:hAnsi="Book Antiqua" w:eastAsia="Book Antiqua" w:cs="Book Antiqua"/>
          <w:color w:val="000000" w:themeColor="text1"/>
          <w14:textFill>
            <w14:solidFill>
              <w14:schemeClr w14:val="tx1"/>
            </w14:solidFill>
          </w14:textFill>
        </w:rPr>
        <w:t xml:space="preserve"> Ebraheim </w:t>
      </w:r>
      <w:r>
        <w:rPr>
          <w:rFonts w:ascii="Book Antiqua" w:hAnsi="Book Antiqua" w:eastAsia="Book Antiqua" w:cs="Book Antiqua"/>
          <w:i/>
          <w:color w:val="000000" w:themeColor="text1"/>
          <w14:textFill>
            <w14:solidFill>
              <w14:schemeClr w14:val="tx1"/>
            </w14:solidFill>
          </w14:textFill>
        </w:rPr>
        <w:t>et al</w:t>
      </w:r>
      <w:r>
        <w:rPr>
          <w:rFonts w:ascii="Book Antiqua" w:hAnsi="Book Antiqua" w:eastAsia="Book Antiqua" w:cs="Book Antiqua"/>
          <w:color w:val="000000" w:themeColor="text1"/>
          <w:vertAlign w:val="superscript"/>
          <w14:textFill>
            <w14:solidFill>
              <w14:schemeClr w14:val="tx1"/>
            </w14:solidFill>
          </w14:textFill>
        </w:rPr>
        <w:t>[29]</w:t>
      </w:r>
      <w:r>
        <w:rPr>
          <w:rFonts w:ascii="Book Antiqua" w:hAnsi="Book Antiqua" w:eastAsia="Book Antiqua" w:cs="Book Antiqua"/>
          <w:color w:val="000000" w:themeColor="text1"/>
          <w14:textFill>
            <w14:solidFill>
              <w14:schemeClr w14:val="tx1"/>
            </w14:solidFill>
          </w14:textFill>
        </w:rPr>
        <w:t xml:space="preserve"> c</w:t>
      </w:r>
      <w:r>
        <w:rPr>
          <w:rFonts w:ascii="Book Antiqua" w:hAnsi="Book Antiqua" w:eastAsia="Book Antiqua" w:cs="Book Antiqua"/>
          <w:color w:val="000000"/>
        </w:rPr>
        <w:t xml:space="preserve">oncluded that the complication rate of PPF after TKA separately treated with intramedullary nail/rod or locking plate is as high as 53% and 35%, respectively, and the most common complication is non/delayed union. Therefore, to ensure fracture healing, it is necessary not only to cure infection, but also to obtain the fixation stability of the fracture. In such revision surgery, extramedullary auxiliary fixation is often required if intramedullary stem cannot guarantee the fixation stability of fracture. Except for plates, bone splints are commonly used. Carta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[30]</w:t>
      </w:r>
      <w:r>
        <w:rPr>
          <w:rFonts w:ascii="Book Antiqua" w:hAnsi="Book Antiqua" w:eastAsia="Book Antiqua" w:cs="Book Antiqua"/>
          <w:color w:val="000000"/>
        </w:rPr>
        <w:t xml:space="preserve"> reported that cortical allogenic splints should be considered the use instead of metal plates for the treatment of periprosthetic femoral fracture, which usually has bone loss and/or a potential mechanical instability. In a cadaveric study, Peters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[31]</w:t>
      </w:r>
      <w:r>
        <w:rPr>
          <w:rFonts w:ascii="Book Antiqua" w:hAnsi="Book Antiqua" w:eastAsia="Book Antiqua" w:cs="Book Antiqua"/>
          <w:color w:val="000000"/>
        </w:rPr>
        <w:t xml:space="preserve"> concluded that allograft cortical splints offer biomechanical advantages as an alternative to metal plates for the fixation of femur fracture below a well-fixed femoral component. In this study, we used titanium cable and wires to fix the two splints which were placed on the medial and lateral aspects of the femur. Then, bone graft was also performed. Comparing with using single metal plates, we could get potential benefits from the use of cortical allogenic splints, which can increase bone quantity and quality, decrease stress shielding, stabilize the entirety, so as to reduce fracture nonunion occurrence and other complications, and improve the patients’ quality of life by accelerating function recovery. However, the potential disadvantages of the customized transplant, such as transmission of infectious diseases, risks of infections, longer surgical time, and more complex surgical procedures, must be taken into consideration.</w:t>
      </w:r>
    </w:p>
    <w:p>
      <w:pPr>
        <w:spacing w:line="360" w:lineRule="auto"/>
        <w:ind w:firstLine="240"/>
        <w:jc w:val="both"/>
        <w:rPr>
          <w:rFonts w:ascii="Book Antiqua" w:hAnsi="Book Antiqua"/>
        </w:rPr>
      </w:pPr>
      <w:r>
        <w:rPr>
          <w:rFonts w:ascii="Book Antiqua" w:hAnsi="Book Antiqua" w:eastAsia="Book Antiqua" w:cs="Book Antiqua"/>
          <w:color w:val="000000"/>
        </w:rPr>
        <w:t xml:space="preserve">Another aspect that we have learned from this case is the importance of strengthening patients’ management and guidance to avoid similar incidents. In the future, we should establish a more diversified and convenient follow-up system, strengthen the patient education on the post-discharge process, urge patients who need special care to </w:t>
      </w:r>
      <w:r>
        <w:rPr>
          <w:rFonts w:hint="eastAsia" w:ascii="Book Antiqua" w:hAnsi="Book Antiqua" w:eastAsia="宋体" w:cs="Book Antiqua"/>
          <w:color w:val="000000"/>
          <w:lang w:eastAsia="zh-CN"/>
        </w:rPr>
        <w:t xml:space="preserve">attend </w:t>
      </w:r>
      <w:r>
        <w:rPr>
          <w:rFonts w:ascii="Book Antiqua" w:hAnsi="Book Antiqua" w:eastAsia="Book Antiqua" w:cs="Book Antiqua"/>
          <w:color w:val="000000"/>
        </w:rPr>
        <w:t>follow</w:t>
      </w:r>
      <w:r>
        <w:rPr>
          <w:rFonts w:hint="eastAsia" w:ascii="Book Antiqua" w:hAnsi="Book Antiqua" w:eastAsia="宋体" w:cs="Book Antiqua"/>
          <w:color w:val="000000"/>
          <w:lang w:eastAsia="zh-CN"/>
        </w:rPr>
        <w:t>-</w:t>
      </w:r>
      <w:r>
        <w:rPr>
          <w:rFonts w:ascii="Book Antiqua" w:hAnsi="Book Antiqua" w:eastAsia="Book Antiqua" w:cs="Book Antiqua"/>
          <w:color w:val="000000"/>
        </w:rPr>
        <w:t xml:space="preserve">up </w:t>
      </w:r>
      <w:r>
        <w:rPr>
          <w:rFonts w:hint="eastAsia" w:ascii="Book Antiqua" w:hAnsi="Book Antiqua" w:eastAsia="宋体" w:cs="Book Antiqua"/>
          <w:color w:val="000000"/>
          <w:lang w:eastAsia="zh-CN"/>
        </w:rPr>
        <w:t xml:space="preserve">visits </w:t>
      </w:r>
      <w:r>
        <w:rPr>
          <w:rFonts w:ascii="Book Antiqua" w:hAnsi="Book Antiqua" w:eastAsia="Book Antiqua" w:cs="Book Antiqua"/>
          <w:color w:val="000000"/>
        </w:rPr>
        <w:t>regularly, and involve family members in the patient care.</w:t>
      </w:r>
    </w:p>
    <w:p>
      <w:pPr>
        <w:spacing w:line="360" w:lineRule="auto"/>
        <w:ind w:firstLine="240"/>
        <w:jc w:val="both"/>
        <w:rPr>
          <w:rFonts w:ascii="Book Antiqua" w:hAnsi="Book Antiqua"/>
        </w:rPr>
      </w:pPr>
      <w:r>
        <w:rPr>
          <w:rFonts w:ascii="Book Antiqua" w:hAnsi="Book Antiqua" w:eastAsia="Book Antiqua" w:cs="Book Antiqua"/>
          <w:color w:val="000000"/>
        </w:rPr>
        <w:t xml:space="preserve">The main limitation of this study is that it is a report of </w:t>
      </w:r>
      <w:r>
        <w:rPr>
          <w:rFonts w:hint="eastAsia" w:ascii="Book Antiqua" w:hAnsi="Book Antiqua" w:eastAsia="宋体" w:cs="Book Antiqua"/>
          <w:color w:val="000000"/>
          <w:lang w:eastAsia="zh-CN"/>
        </w:rPr>
        <w:t xml:space="preserve">a </w:t>
      </w:r>
      <w:r>
        <w:rPr>
          <w:rFonts w:ascii="Book Antiqua" w:hAnsi="Book Antiqua" w:eastAsia="Book Antiqua" w:cs="Book Antiqua"/>
          <w:color w:val="000000"/>
        </w:rPr>
        <w:t>single case, which is due to the low incidence of the coexistence of PJI and PPF.</w:t>
      </w:r>
    </w:p>
    <w:p>
      <w:pPr>
        <w:spacing w:line="360" w:lineRule="auto"/>
        <w:ind w:firstLine="240"/>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CONCLUSION</w:t>
      </w:r>
    </w:p>
    <w:p>
      <w:pPr>
        <w:spacing w:line="360" w:lineRule="auto"/>
        <w:jc w:val="both"/>
        <w:rPr>
          <w:rFonts w:ascii="Book Antiqua" w:hAnsi="Book Antiqua"/>
        </w:rPr>
      </w:pPr>
      <w:r>
        <w:rPr>
          <w:rFonts w:ascii="Book Antiqua" w:hAnsi="Book Antiqua" w:eastAsia="Book Antiqua" w:cs="Book Antiqua"/>
          <w:color w:val="000000"/>
        </w:rPr>
        <w:t xml:space="preserve">PJI, PPF, </w:t>
      </w:r>
      <w:r>
        <w:rPr>
          <w:rFonts w:hint="eastAsia" w:ascii="Book Antiqua" w:hAnsi="Book Antiqua" w:eastAsia="宋体" w:cs="Book Antiqua"/>
          <w:color w:val="000000"/>
          <w:lang w:eastAsia="zh-CN"/>
        </w:rPr>
        <w:t xml:space="preserve">and </w:t>
      </w:r>
      <w:r>
        <w:rPr>
          <w:rFonts w:ascii="Book Antiqua" w:hAnsi="Book Antiqua" w:eastAsia="Book Antiqua" w:cs="Book Antiqua"/>
          <w:color w:val="000000"/>
        </w:rPr>
        <w:t xml:space="preserve">nonunion with bone defect individually pose a challenge in orthopedics and trauma surgery. We present a highly complex case on account of the consecutive occurrence of these complications. The </w:t>
      </w:r>
      <w:r>
        <w:rPr>
          <w:rFonts w:hint="eastAsia" w:ascii="Book Antiqua" w:hAnsi="Book Antiqua" w:eastAsia="宋体" w:cs="Book Antiqua"/>
          <w:color w:val="000000"/>
          <w:lang w:eastAsia="zh-CN"/>
        </w:rPr>
        <w:t>lack</w:t>
      </w:r>
      <w:r>
        <w:rPr>
          <w:rFonts w:ascii="Book Antiqua" w:hAnsi="Book Antiqua" w:eastAsia="Book Antiqua" w:cs="Book Antiqua"/>
          <w:color w:val="000000"/>
        </w:rPr>
        <w:t xml:space="preserve"> of standards </w:t>
      </w:r>
      <w:r>
        <w:rPr>
          <w:rFonts w:hint="eastAsia" w:ascii="Book Antiqua" w:hAnsi="Book Antiqua" w:eastAsia="宋体" w:cs="Book Antiqua"/>
          <w:color w:val="000000"/>
          <w:lang w:eastAsia="zh-CN"/>
        </w:rPr>
        <w:t>resulted in the requirement of</w:t>
      </w:r>
      <w:r>
        <w:rPr>
          <w:rFonts w:ascii="Book Antiqua" w:hAnsi="Book Antiqua" w:eastAsia="Book Antiqua" w:cs="Book Antiqua"/>
          <w:color w:val="000000"/>
        </w:rPr>
        <w:t xml:space="preserve"> an individualized strategy under this circumstance, and the key to success was synergistic execution of simultaneous fracture stabilization and infection eradication. Our approach offers an option for successful treatment, upon which future strategies can be developed. Highly specialized interdisciplinary centers are needed for desirable therapeutic outcomes.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REFERENCES</w:t>
      </w:r>
    </w:p>
    <w:p>
      <w:pPr>
        <w:spacing w:line="360" w:lineRule="auto"/>
        <w:jc w:val="both"/>
        <w:rPr>
          <w:rFonts w:ascii="Book Antiqua" w:hAnsi="Book Antiqua"/>
        </w:rPr>
      </w:pPr>
      <w:r>
        <w:rPr>
          <w:rFonts w:ascii="Book Antiqua" w:hAnsi="Book Antiqua"/>
        </w:rPr>
        <w:t xml:space="preserve">1 </w:t>
      </w:r>
      <w:r>
        <w:rPr>
          <w:rFonts w:ascii="Book Antiqua" w:hAnsi="Book Antiqua"/>
          <w:b/>
          <w:bCs/>
        </w:rPr>
        <w:t>Best MJ</w:t>
      </w:r>
      <w:r>
        <w:rPr>
          <w:rFonts w:ascii="Book Antiqua" w:hAnsi="Book Antiqua"/>
        </w:rPr>
        <w:t xml:space="preserve">, Amin RM, Raad M, Kreulen RT, Musharbash F, Valaik D, Wilckens JH. Total Knee Arthroplasty after Anterior Cruciate Ligament Reconstruction. </w:t>
      </w:r>
      <w:r>
        <w:rPr>
          <w:rFonts w:ascii="Book Antiqua" w:hAnsi="Book Antiqua"/>
          <w:i/>
          <w:iCs/>
        </w:rPr>
        <w:t>J Knee Surg</w:t>
      </w:r>
      <w:r>
        <w:rPr>
          <w:rFonts w:ascii="Book Antiqua" w:hAnsi="Book Antiqua"/>
        </w:rPr>
        <w:t xml:space="preserve"> 2022; </w:t>
      </w:r>
      <w:r>
        <w:rPr>
          <w:rFonts w:ascii="Book Antiqua" w:hAnsi="Book Antiqua"/>
          <w:b/>
          <w:bCs/>
        </w:rPr>
        <w:t>35</w:t>
      </w:r>
      <w:r>
        <w:rPr>
          <w:rFonts w:ascii="Book Antiqua" w:hAnsi="Book Antiqua"/>
        </w:rPr>
        <w:t>: 844-848 [PMID: 33242906 DOI: 10.1055/s-0040-1721423]</w:t>
      </w:r>
    </w:p>
    <w:p>
      <w:pPr>
        <w:spacing w:line="360" w:lineRule="auto"/>
        <w:jc w:val="both"/>
        <w:rPr>
          <w:rFonts w:ascii="Book Antiqua" w:hAnsi="Book Antiqua"/>
        </w:rPr>
      </w:pPr>
      <w:r>
        <w:rPr>
          <w:rFonts w:ascii="Book Antiqua" w:hAnsi="Book Antiqua"/>
        </w:rPr>
        <w:t xml:space="preserve">2 </w:t>
      </w:r>
      <w:r>
        <w:rPr>
          <w:rFonts w:ascii="Book Antiqua" w:hAnsi="Book Antiqua"/>
          <w:b/>
          <w:bCs/>
        </w:rPr>
        <w:t>Farfalli LA</w:t>
      </w:r>
      <w:r>
        <w:rPr>
          <w:rFonts w:ascii="Book Antiqua" w:hAnsi="Book Antiqua"/>
        </w:rPr>
        <w:t xml:space="preserve">, Farfalli GL, Aponte-Tinao LA. Complications in total knee arthroplasty after high tibial osteotomy. </w:t>
      </w:r>
      <w:r>
        <w:rPr>
          <w:rFonts w:ascii="Book Antiqua" w:hAnsi="Book Antiqua"/>
          <w:i/>
          <w:iCs/>
        </w:rPr>
        <w:t>Orthopedics</w:t>
      </w:r>
      <w:r>
        <w:rPr>
          <w:rFonts w:ascii="Book Antiqua" w:hAnsi="Book Antiqua"/>
        </w:rPr>
        <w:t xml:space="preserve"> 2012; </w:t>
      </w:r>
      <w:r>
        <w:rPr>
          <w:rFonts w:ascii="Book Antiqua" w:hAnsi="Book Antiqua"/>
          <w:b/>
          <w:bCs/>
        </w:rPr>
        <w:t>35</w:t>
      </w:r>
      <w:r>
        <w:rPr>
          <w:rFonts w:ascii="Book Antiqua" w:hAnsi="Book Antiqua"/>
        </w:rPr>
        <w:t>: e464-e468 [PMID: 22495843 DOI: 10.3928/01477447-20120327-21]</w:t>
      </w:r>
    </w:p>
    <w:p>
      <w:pPr>
        <w:spacing w:line="360" w:lineRule="auto"/>
        <w:jc w:val="both"/>
        <w:rPr>
          <w:rFonts w:ascii="Book Antiqua" w:hAnsi="Book Antiqua"/>
        </w:rPr>
      </w:pPr>
      <w:r>
        <w:rPr>
          <w:rFonts w:ascii="Book Antiqua" w:hAnsi="Book Antiqua"/>
        </w:rPr>
        <w:t xml:space="preserve">3 </w:t>
      </w:r>
      <w:r>
        <w:rPr>
          <w:rFonts w:ascii="Book Antiqua" w:hAnsi="Book Antiqua"/>
          <w:b/>
          <w:bCs/>
        </w:rPr>
        <w:t>El-Galaly A</w:t>
      </w:r>
      <w:r>
        <w:rPr>
          <w:rFonts w:ascii="Book Antiqua" w:hAnsi="Book Antiqua"/>
        </w:rPr>
        <w:t xml:space="preserve">, Haldrup S, Pedersen AB, Kappel A, Jensen MU, Nielsen PT. Increased risk of early and medium-term revision after post-fracture total knee arthroplasty. </w:t>
      </w:r>
      <w:r>
        <w:rPr>
          <w:rFonts w:ascii="Book Antiqua" w:hAnsi="Book Antiqua"/>
          <w:i/>
          <w:iCs/>
        </w:rPr>
        <w:t>Acta Orthop</w:t>
      </w:r>
      <w:r>
        <w:rPr>
          <w:rFonts w:ascii="Book Antiqua" w:hAnsi="Book Antiqua"/>
        </w:rPr>
        <w:t xml:space="preserve"> 2017; </w:t>
      </w:r>
      <w:r>
        <w:rPr>
          <w:rFonts w:ascii="Book Antiqua" w:hAnsi="Book Antiqua"/>
          <w:b/>
          <w:bCs/>
        </w:rPr>
        <w:t>88</w:t>
      </w:r>
      <w:r>
        <w:rPr>
          <w:rFonts w:ascii="Book Antiqua" w:hAnsi="Book Antiqua"/>
        </w:rPr>
        <w:t>: 263-268 [PMID: 28464756 DOI: 10.1080/17453674.2017.1290479]</w:t>
      </w:r>
    </w:p>
    <w:p>
      <w:pPr>
        <w:spacing w:line="360" w:lineRule="auto"/>
        <w:jc w:val="both"/>
        <w:rPr>
          <w:rFonts w:ascii="Book Antiqua" w:hAnsi="Book Antiqua"/>
        </w:rPr>
      </w:pPr>
      <w:r>
        <w:rPr>
          <w:rFonts w:ascii="Book Antiqua" w:hAnsi="Book Antiqua"/>
        </w:rPr>
        <w:t xml:space="preserve">4 </w:t>
      </w:r>
      <w:r>
        <w:rPr>
          <w:rFonts w:ascii="Book Antiqua" w:hAnsi="Book Antiqua"/>
          <w:b/>
          <w:bCs/>
        </w:rPr>
        <w:t>Parvizi J</w:t>
      </w:r>
      <w:r>
        <w:rPr>
          <w:rFonts w:ascii="Book Antiqua" w:hAnsi="Book Antiqua"/>
        </w:rPr>
        <w:t xml:space="preserve">, Zmistowski B, Berbari EF, Bauer TW, Springer BD, Della Valle CJ, Garvin KL, Mont MA, Wongworawat MD, Zalavras CG. New definition for periprosthetic joint infection: from the Workgroup of the Musculoskeletal Infection Society. </w:t>
      </w:r>
      <w:r>
        <w:rPr>
          <w:rFonts w:ascii="Book Antiqua" w:hAnsi="Book Antiqua"/>
          <w:i/>
          <w:iCs/>
        </w:rPr>
        <w:t>Clin Orthop Relat Res</w:t>
      </w:r>
      <w:r>
        <w:rPr>
          <w:rFonts w:ascii="Book Antiqua" w:hAnsi="Book Antiqua"/>
        </w:rPr>
        <w:t xml:space="preserve"> 2011; </w:t>
      </w:r>
      <w:r>
        <w:rPr>
          <w:rFonts w:ascii="Book Antiqua" w:hAnsi="Book Antiqua"/>
          <w:b/>
          <w:bCs/>
        </w:rPr>
        <w:t>469</w:t>
      </w:r>
      <w:r>
        <w:rPr>
          <w:rFonts w:ascii="Book Antiqua" w:hAnsi="Book Antiqua"/>
        </w:rPr>
        <w:t>: 2992-2994 [PMID: 21938532 DOI: 10.1007/s11999-011-2102-9]</w:t>
      </w:r>
    </w:p>
    <w:p>
      <w:pPr>
        <w:spacing w:line="360" w:lineRule="auto"/>
        <w:jc w:val="both"/>
        <w:rPr>
          <w:rFonts w:ascii="Book Antiqua" w:hAnsi="Book Antiqua"/>
        </w:rPr>
      </w:pPr>
      <w:r>
        <w:rPr>
          <w:rFonts w:ascii="Book Antiqua" w:hAnsi="Book Antiqua"/>
        </w:rPr>
        <w:t xml:space="preserve">5 </w:t>
      </w:r>
      <w:r>
        <w:rPr>
          <w:rFonts w:ascii="Book Antiqua" w:hAnsi="Book Antiqua"/>
          <w:b/>
          <w:bCs/>
        </w:rPr>
        <w:t>Kurtz SM</w:t>
      </w:r>
      <w:r>
        <w:rPr>
          <w:rFonts w:ascii="Book Antiqua" w:hAnsi="Book Antiqua"/>
        </w:rPr>
        <w:t xml:space="preserve">, Lau E, Watson H, Schmier JK, Parvizi J. Economic burden of periprosthetic joint infection in the United States. </w:t>
      </w:r>
      <w:r>
        <w:rPr>
          <w:rFonts w:ascii="Book Antiqua" w:hAnsi="Book Antiqua"/>
          <w:i/>
          <w:iCs/>
        </w:rPr>
        <w:t>J Arthroplasty</w:t>
      </w:r>
      <w:r>
        <w:rPr>
          <w:rFonts w:ascii="Book Antiqua" w:hAnsi="Book Antiqua"/>
        </w:rPr>
        <w:t xml:space="preserve"> 2012; </w:t>
      </w:r>
      <w:r>
        <w:rPr>
          <w:rFonts w:ascii="Book Antiqua" w:hAnsi="Book Antiqua"/>
          <w:b/>
          <w:bCs/>
        </w:rPr>
        <w:t>27</w:t>
      </w:r>
      <w:r>
        <w:rPr>
          <w:rFonts w:ascii="Book Antiqua" w:hAnsi="Book Antiqua"/>
        </w:rPr>
        <w:t>: 61-5.e1 [PMID: 22554729 DOI: 10.1016/j.arth.2012.02.022]</w:t>
      </w:r>
    </w:p>
    <w:p>
      <w:pPr>
        <w:spacing w:line="360" w:lineRule="auto"/>
        <w:jc w:val="both"/>
        <w:rPr>
          <w:rFonts w:ascii="Book Antiqua" w:hAnsi="Book Antiqua"/>
        </w:rPr>
      </w:pPr>
      <w:r>
        <w:rPr>
          <w:rFonts w:ascii="Book Antiqua" w:hAnsi="Book Antiqua"/>
        </w:rPr>
        <w:t xml:space="preserve">6 </w:t>
      </w:r>
      <w:r>
        <w:rPr>
          <w:rFonts w:ascii="Book Antiqua" w:hAnsi="Book Antiqua"/>
          <w:b/>
          <w:bCs/>
        </w:rPr>
        <w:t>Zingg M</w:t>
      </w:r>
      <w:r>
        <w:rPr>
          <w:rFonts w:ascii="Book Antiqua" w:hAnsi="Book Antiqua"/>
        </w:rPr>
        <w:t xml:space="preserve">, Kheir MM, Ziemba-Davis M, Meneghini RM. Reduced Infection Rate After Aseptic Revision Total Knee Arthroplasty With Extended Oral Antibiotic Protocol. </w:t>
      </w:r>
      <w:r>
        <w:rPr>
          <w:rFonts w:ascii="Book Antiqua" w:hAnsi="Book Antiqua"/>
          <w:i/>
          <w:iCs/>
        </w:rPr>
        <w:t>J Arthroplasty</w:t>
      </w:r>
      <w:r>
        <w:rPr>
          <w:rFonts w:ascii="Book Antiqua" w:hAnsi="Book Antiqua"/>
        </w:rPr>
        <w:t xml:space="preserve"> 2022; </w:t>
      </w:r>
      <w:r>
        <w:rPr>
          <w:rFonts w:ascii="Book Antiqua" w:hAnsi="Book Antiqua"/>
          <w:b/>
          <w:bCs/>
        </w:rPr>
        <w:t>37</w:t>
      </w:r>
      <w:r>
        <w:rPr>
          <w:rFonts w:ascii="Book Antiqua" w:hAnsi="Book Antiqua"/>
        </w:rPr>
        <w:t>: 905-909 [PMID: 35077819 DOI: 10.1016/j.arth.2022.01.040]</w:t>
      </w:r>
    </w:p>
    <w:p>
      <w:pPr>
        <w:spacing w:line="360" w:lineRule="auto"/>
        <w:jc w:val="both"/>
        <w:rPr>
          <w:rFonts w:ascii="Book Antiqua" w:hAnsi="Book Antiqua"/>
        </w:rPr>
      </w:pPr>
      <w:r>
        <w:rPr>
          <w:rFonts w:ascii="Book Antiqua" w:hAnsi="Book Antiqua"/>
        </w:rPr>
        <w:t xml:space="preserve">7 </w:t>
      </w:r>
      <w:r>
        <w:rPr>
          <w:rFonts w:ascii="Book Antiqua" w:hAnsi="Book Antiqua"/>
          <w:b/>
          <w:bCs/>
        </w:rPr>
        <w:t>Kurtz SM</w:t>
      </w:r>
      <w:r>
        <w:rPr>
          <w:rFonts w:ascii="Book Antiqua" w:hAnsi="Book Antiqua"/>
        </w:rPr>
        <w:t xml:space="preserve">, Lau EC, Ong KL, Adler EM, Kolisek FR, Manley MT. Which Clinical and Patient Factors Influence the National Economic Burden of Hospital Readmissions After Total Joint Arthroplasty? </w:t>
      </w:r>
      <w:r>
        <w:rPr>
          <w:rFonts w:ascii="Book Antiqua" w:hAnsi="Book Antiqua"/>
          <w:i/>
          <w:iCs/>
        </w:rPr>
        <w:t>Clin Orthop Relat Res</w:t>
      </w:r>
      <w:r>
        <w:rPr>
          <w:rFonts w:ascii="Book Antiqua" w:hAnsi="Book Antiqua"/>
        </w:rPr>
        <w:t xml:space="preserve"> 2017; </w:t>
      </w:r>
      <w:r>
        <w:rPr>
          <w:rFonts w:ascii="Book Antiqua" w:hAnsi="Book Antiqua"/>
          <w:b/>
          <w:bCs/>
        </w:rPr>
        <w:t>475</w:t>
      </w:r>
      <w:r>
        <w:rPr>
          <w:rFonts w:ascii="Book Antiqua" w:hAnsi="Book Antiqua"/>
        </w:rPr>
        <w:t>: 2926-2937 [PMID: 28108823 DOI: 10.1007/s11999-017-5244-6]</w:t>
      </w:r>
    </w:p>
    <w:p>
      <w:pPr>
        <w:spacing w:line="360" w:lineRule="auto"/>
        <w:jc w:val="both"/>
        <w:rPr>
          <w:rFonts w:ascii="Book Antiqua" w:hAnsi="Book Antiqua"/>
        </w:rPr>
      </w:pPr>
      <w:r>
        <w:rPr>
          <w:rFonts w:ascii="Book Antiqua" w:hAnsi="Book Antiqua"/>
        </w:rPr>
        <w:t xml:space="preserve">8 </w:t>
      </w:r>
      <w:r>
        <w:rPr>
          <w:rFonts w:ascii="Book Antiqua" w:hAnsi="Book Antiqua"/>
          <w:b/>
          <w:bCs/>
        </w:rPr>
        <w:t>Rorabeck CH</w:t>
      </w:r>
      <w:r>
        <w:rPr>
          <w:rFonts w:ascii="Book Antiqua" w:hAnsi="Book Antiqua"/>
        </w:rPr>
        <w:t xml:space="preserve">, Taylor JW. Classification of periprosthetic fractures complicating total knee arthroplasty. </w:t>
      </w:r>
      <w:r>
        <w:rPr>
          <w:rFonts w:ascii="Book Antiqua" w:hAnsi="Book Antiqua"/>
          <w:i/>
          <w:iCs/>
        </w:rPr>
        <w:t>Orthop Clin North Am</w:t>
      </w:r>
      <w:r>
        <w:rPr>
          <w:rFonts w:ascii="Book Antiqua" w:hAnsi="Book Antiqua"/>
        </w:rPr>
        <w:t xml:space="preserve"> 1999; </w:t>
      </w:r>
      <w:r>
        <w:rPr>
          <w:rFonts w:ascii="Book Antiqua" w:hAnsi="Book Antiqua"/>
          <w:b/>
          <w:bCs/>
        </w:rPr>
        <w:t>30</w:t>
      </w:r>
      <w:r>
        <w:rPr>
          <w:rFonts w:ascii="Book Antiqua" w:hAnsi="Book Antiqua"/>
        </w:rPr>
        <w:t>: 209-214 [PMID: 10196422 DOI: 10.1016/s0030-5898(05)70075-4]</w:t>
      </w:r>
    </w:p>
    <w:p>
      <w:pPr>
        <w:spacing w:line="360" w:lineRule="auto"/>
        <w:jc w:val="both"/>
        <w:rPr>
          <w:rFonts w:ascii="Book Antiqua" w:hAnsi="Book Antiqua"/>
        </w:rPr>
      </w:pPr>
      <w:r>
        <w:rPr>
          <w:rFonts w:ascii="Book Antiqua" w:hAnsi="Book Antiqua"/>
        </w:rPr>
        <w:t xml:space="preserve">9 </w:t>
      </w:r>
      <w:r>
        <w:rPr>
          <w:rFonts w:ascii="Book Antiqua" w:hAnsi="Book Antiqua"/>
          <w:b/>
          <w:bCs/>
        </w:rPr>
        <w:t>Postler A</w:t>
      </w:r>
      <w:r>
        <w:rPr>
          <w:rFonts w:ascii="Book Antiqua" w:hAnsi="Book Antiqua"/>
        </w:rPr>
        <w:t xml:space="preserve">, Lützner C, Beyer F, Tille E, Lützner J. Analysis of Total Knee Arthroplasty revision causes. </w:t>
      </w:r>
      <w:r>
        <w:rPr>
          <w:rFonts w:ascii="Book Antiqua" w:hAnsi="Book Antiqua"/>
          <w:i/>
          <w:iCs/>
        </w:rPr>
        <w:t>BMC Musculoskelet Disord</w:t>
      </w:r>
      <w:r>
        <w:rPr>
          <w:rFonts w:ascii="Book Antiqua" w:hAnsi="Book Antiqua"/>
        </w:rPr>
        <w:t xml:space="preserve"> 2018; </w:t>
      </w:r>
      <w:r>
        <w:rPr>
          <w:rFonts w:ascii="Book Antiqua" w:hAnsi="Book Antiqua"/>
          <w:b/>
          <w:bCs/>
        </w:rPr>
        <w:t>19</w:t>
      </w:r>
      <w:r>
        <w:rPr>
          <w:rFonts w:ascii="Book Antiqua" w:hAnsi="Book Antiqua"/>
        </w:rPr>
        <w:t>: 55 [PMID: 29444666 DOI: 10.1186/s12891-018-1977-y]</w:t>
      </w:r>
    </w:p>
    <w:p>
      <w:pPr>
        <w:spacing w:line="360" w:lineRule="auto"/>
        <w:jc w:val="both"/>
        <w:rPr>
          <w:rFonts w:ascii="Book Antiqua" w:hAnsi="Book Antiqua"/>
        </w:rPr>
      </w:pPr>
      <w:r>
        <w:rPr>
          <w:rFonts w:ascii="Book Antiqua" w:hAnsi="Book Antiqua"/>
        </w:rPr>
        <w:t xml:space="preserve">10 </w:t>
      </w:r>
      <w:r>
        <w:rPr>
          <w:rFonts w:ascii="Book Antiqua" w:hAnsi="Book Antiqua"/>
          <w:b/>
          <w:bCs/>
        </w:rPr>
        <w:t>Sukhonthamarn K</w:t>
      </w:r>
      <w:r>
        <w:rPr>
          <w:rFonts w:ascii="Book Antiqua" w:hAnsi="Book Antiqua"/>
        </w:rPr>
        <w:t xml:space="preserve">, Strony JT, Patel UJ, Brown SA, Nazarian DG, Parvizi J, Klein GR. Distal Femoral Replacement and Periprosthetic Joint Infection After Non-Oncological Reconstruction: A Retrospective Analysis. </w:t>
      </w:r>
      <w:r>
        <w:rPr>
          <w:rFonts w:ascii="Book Antiqua" w:hAnsi="Book Antiqua"/>
          <w:i/>
          <w:iCs/>
        </w:rPr>
        <w:t>J Arthroplasty</w:t>
      </w:r>
      <w:r>
        <w:rPr>
          <w:rFonts w:ascii="Book Antiqua" w:hAnsi="Book Antiqua"/>
        </w:rPr>
        <w:t xml:space="preserve"> 2021; </w:t>
      </w:r>
      <w:r>
        <w:rPr>
          <w:rFonts w:ascii="Book Antiqua" w:hAnsi="Book Antiqua"/>
          <w:b/>
          <w:bCs/>
        </w:rPr>
        <w:t>36</w:t>
      </w:r>
      <w:r>
        <w:rPr>
          <w:rFonts w:ascii="Book Antiqua" w:hAnsi="Book Antiqua"/>
        </w:rPr>
        <w:t>: 3959-3965 [PMID: 34518056 DOI: 10.1016/j.arth.2021.08.013]</w:t>
      </w:r>
    </w:p>
    <w:p>
      <w:pPr>
        <w:spacing w:line="360" w:lineRule="auto"/>
        <w:jc w:val="both"/>
        <w:rPr>
          <w:rFonts w:ascii="Book Antiqua" w:hAnsi="Book Antiqua"/>
        </w:rPr>
      </w:pPr>
      <w:r>
        <w:rPr>
          <w:rFonts w:ascii="Book Antiqua" w:hAnsi="Book Antiqua"/>
        </w:rPr>
        <w:t xml:space="preserve">11 </w:t>
      </w:r>
      <w:r>
        <w:rPr>
          <w:rFonts w:ascii="Book Antiqua" w:hAnsi="Book Antiqua"/>
          <w:b/>
          <w:bCs/>
        </w:rPr>
        <w:t>Meyer JA</w:t>
      </w:r>
      <w:r>
        <w:rPr>
          <w:rFonts w:ascii="Book Antiqua" w:hAnsi="Book Antiqua"/>
        </w:rPr>
        <w:t xml:space="preserve">, Zhu M, Cavadino A, Coleman B, Munro JT, Young SW. Infection and periprosthetic fracture are the leading causes of failure after aseptic revision total knee arthroplasty. </w:t>
      </w:r>
      <w:r>
        <w:rPr>
          <w:rFonts w:ascii="Book Antiqua" w:hAnsi="Book Antiqua"/>
          <w:i/>
          <w:iCs/>
        </w:rPr>
        <w:t>Arch Orthop Trauma Surg</w:t>
      </w:r>
      <w:r>
        <w:rPr>
          <w:rFonts w:ascii="Book Antiqua" w:hAnsi="Book Antiqua"/>
        </w:rPr>
        <w:t xml:space="preserve"> 2021; </w:t>
      </w:r>
      <w:r>
        <w:rPr>
          <w:rFonts w:ascii="Book Antiqua" w:hAnsi="Book Antiqua"/>
          <w:b/>
          <w:bCs/>
        </w:rPr>
        <w:t>141</w:t>
      </w:r>
      <w:r>
        <w:rPr>
          <w:rFonts w:ascii="Book Antiqua" w:hAnsi="Book Antiqua"/>
        </w:rPr>
        <w:t>: 1373-1383 [PMID: 33515323 DOI: 10.1007/s00402-020-03698-8]</w:t>
      </w:r>
    </w:p>
    <w:p>
      <w:pPr>
        <w:spacing w:line="360" w:lineRule="auto"/>
        <w:jc w:val="both"/>
        <w:rPr>
          <w:rFonts w:ascii="Book Antiqua" w:hAnsi="Book Antiqua"/>
        </w:rPr>
      </w:pPr>
      <w:r>
        <w:rPr>
          <w:rFonts w:ascii="Book Antiqua" w:hAnsi="Book Antiqua"/>
        </w:rPr>
        <w:t xml:space="preserve">12 </w:t>
      </w:r>
      <w:r>
        <w:rPr>
          <w:rFonts w:ascii="Book Antiqua" w:hAnsi="Book Antiqua"/>
          <w:b/>
          <w:bCs/>
        </w:rPr>
        <w:t>Pulido L</w:t>
      </w:r>
      <w:r>
        <w:rPr>
          <w:rFonts w:ascii="Book Antiqua" w:hAnsi="Book Antiqua"/>
        </w:rPr>
        <w:t xml:space="preserve">, Ghanem E, Joshi A, Purtill JJ, Parvizi J. Periprosthetic joint infection: the incidence, timing, and predisposing factors. </w:t>
      </w:r>
      <w:r>
        <w:rPr>
          <w:rFonts w:ascii="Book Antiqua" w:hAnsi="Book Antiqua"/>
          <w:i/>
          <w:iCs/>
        </w:rPr>
        <w:t>Clin Orthop Relat Res</w:t>
      </w:r>
      <w:r>
        <w:rPr>
          <w:rFonts w:ascii="Book Antiqua" w:hAnsi="Book Antiqua"/>
        </w:rPr>
        <w:t xml:space="preserve"> 2008; </w:t>
      </w:r>
      <w:r>
        <w:rPr>
          <w:rFonts w:ascii="Book Antiqua" w:hAnsi="Book Antiqua"/>
          <w:b/>
          <w:bCs/>
        </w:rPr>
        <w:t>466</w:t>
      </w:r>
      <w:r>
        <w:rPr>
          <w:rFonts w:ascii="Book Antiqua" w:hAnsi="Book Antiqua"/>
        </w:rPr>
        <w:t>: 1710-1715 [PMID: 18421542 DOI: 10.1007/s11999-008-0209-4]</w:t>
      </w:r>
    </w:p>
    <w:p>
      <w:pPr>
        <w:spacing w:line="360" w:lineRule="auto"/>
        <w:jc w:val="both"/>
        <w:rPr>
          <w:rFonts w:ascii="Book Antiqua" w:hAnsi="Book Antiqua"/>
        </w:rPr>
      </w:pPr>
      <w:r>
        <w:rPr>
          <w:rFonts w:ascii="Book Antiqua" w:hAnsi="Book Antiqua"/>
        </w:rPr>
        <w:t xml:space="preserve">13 </w:t>
      </w:r>
      <w:r>
        <w:rPr>
          <w:rFonts w:ascii="Book Antiqua" w:hAnsi="Book Antiqua"/>
          <w:b/>
          <w:bCs/>
        </w:rPr>
        <w:t>Cram P</w:t>
      </w:r>
      <w:r>
        <w:rPr>
          <w:rFonts w:ascii="Book Antiqua" w:hAnsi="Book Antiqua"/>
        </w:rPr>
        <w:t xml:space="preserve">, Lu X, Kates SL, Singh JA, Li Y, Wolf BR. Total knee arthroplasty volume, utilization, and outcomes among Medicare beneficiaries, 1991-2010. </w:t>
      </w:r>
      <w:r>
        <w:rPr>
          <w:rFonts w:ascii="Book Antiqua" w:hAnsi="Book Antiqua"/>
          <w:i/>
          <w:iCs/>
        </w:rPr>
        <w:t>JAMA</w:t>
      </w:r>
      <w:r>
        <w:rPr>
          <w:rFonts w:ascii="Book Antiqua" w:hAnsi="Book Antiqua"/>
        </w:rPr>
        <w:t xml:space="preserve"> 2012; </w:t>
      </w:r>
      <w:r>
        <w:rPr>
          <w:rFonts w:ascii="Book Antiqua" w:hAnsi="Book Antiqua"/>
          <w:b/>
          <w:bCs/>
        </w:rPr>
        <w:t>308</w:t>
      </w:r>
      <w:r>
        <w:rPr>
          <w:rFonts w:ascii="Book Antiqua" w:hAnsi="Book Antiqua"/>
        </w:rPr>
        <w:t>: 1227-1236 [PMID: 23011713 DOI: 10.1001/2012.jama.11153]</w:t>
      </w:r>
    </w:p>
    <w:p>
      <w:pPr>
        <w:spacing w:line="360" w:lineRule="auto"/>
        <w:jc w:val="both"/>
        <w:rPr>
          <w:rFonts w:ascii="Book Antiqua" w:hAnsi="Book Antiqua"/>
        </w:rPr>
      </w:pPr>
      <w:r>
        <w:rPr>
          <w:rFonts w:ascii="Book Antiqua" w:hAnsi="Book Antiqua"/>
        </w:rPr>
        <w:t xml:space="preserve">14 </w:t>
      </w:r>
      <w:r>
        <w:rPr>
          <w:rFonts w:ascii="Book Antiqua" w:hAnsi="Book Antiqua"/>
          <w:b/>
          <w:bCs/>
        </w:rPr>
        <w:t>Schroer WC</w:t>
      </w:r>
      <w:r>
        <w:rPr>
          <w:rFonts w:ascii="Book Antiqua" w:hAnsi="Book Antiqua"/>
        </w:rPr>
        <w:t xml:space="preserve">, Berend KR, Lombardi AV, Barnes CL, Bolognesi MP, Berend ME, Ritter MA, Nunley RM. Why are total knees failing today? Etiology of total knee revision in 2010 and 2011. </w:t>
      </w:r>
      <w:r>
        <w:rPr>
          <w:rFonts w:ascii="Book Antiqua" w:hAnsi="Book Antiqua"/>
          <w:i/>
          <w:iCs/>
        </w:rPr>
        <w:t>J Arthroplasty</w:t>
      </w:r>
      <w:r>
        <w:rPr>
          <w:rFonts w:ascii="Book Antiqua" w:hAnsi="Book Antiqua"/>
        </w:rPr>
        <w:t xml:space="preserve"> 2013; </w:t>
      </w:r>
      <w:r>
        <w:rPr>
          <w:rFonts w:ascii="Book Antiqua" w:hAnsi="Book Antiqua"/>
          <w:b/>
          <w:bCs/>
        </w:rPr>
        <w:t>28</w:t>
      </w:r>
      <w:r>
        <w:rPr>
          <w:rFonts w:ascii="Book Antiqua" w:hAnsi="Book Antiqua"/>
        </w:rPr>
        <w:t>: 116-119 [PMID: 23954423 DOI: 10.1016/j.arth.2013.04.056]</w:t>
      </w:r>
    </w:p>
    <w:p>
      <w:pPr>
        <w:spacing w:line="360" w:lineRule="auto"/>
        <w:jc w:val="both"/>
        <w:rPr>
          <w:rFonts w:ascii="Book Antiqua" w:hAnsi="Book Antiqua"/>
        </w:rPr>
      </w:pPr>
      <w:r>
        <w:rPr>
          <w:rFonts w:ascii="Book Antiqua" w:hAnsi="Book Antiqua"/>
        </w:rPr>
        <w:t xml:space="preserve">15 </w:t>
      </w:r>
      <w:r>
        <w:rPr>
          <w:rFonts w:ascii="Book Antiqua" w:hAnsi="Book Antiqua"/>
          <w:b/>
          <w:bCs/>
        </w:rPr>
        <w:t>Srivastava K</w:t>
      </w:r>
      <w:r>
        <w:rPr>
          <w:rFonts w:ascii="Book Antiqua" w:hAnsi="Book Antiqua"/>
        </w:rPr>
        <w:t xml:space="preserve">, Bozic KJ, Silverton C, Nelson AJ, Makhni EC, Davis JJ. Reconsidering Strategies for Managing Chronic Periprosthetic Joint Infection in Total Knee Arthroplasty: Using Decision Analytics to Find the Optimal Strategy Between One-Stage and Two-Stage Total Knee Revision. </w:t>
      </w:r>
      <w:r>
        <w:rPr>
          <w:rFonts w:ascii="Book Antiqua" w:hAnsi="Book Antiqua"/>
          <w:i/>
          <w:iCs/>
        </w:rPr>
        <w:t>J Bone Joint Surg Am</w:t>
      </w:r>
      <w:r>
        <w:rPr>
          <w:rFonts w:ascii="Book Antiqua" w:hAnsi="Book Antiqua"/>
        </w:rPr>
        <w:t xml:space="preserve"> 2019; </w:t>
      </w:r>
      <w:r>
        <w:rPr>
          <w:rFonts w:ascii="Book Antiqua" w:hAnsi="Book Antiqua"/>
          <w:b/>
          <w:bCs/>
        </w:rPr>
        <w:t>101</w:t>
      </w:r>
      <w:r>
        <w:rPr>
          <w:rFonts w:ascii="Book Antiqua" w:hAnsi="Book Antiqua"/>
        </w:rPr>
        <w:t>: 14-24 [PMID: 30601412 DOI: 10.2106/JBJS.17.00874]</w:t>
      </w:r>
    </w:p>
    <w:p>
      <w:pPr>
        <w:spacing w:line="360" w:lineRule="auto"/>
        <w:jc w:val="both"/>
        <w:rPr>
          <w:rFonts w:ascii="Book Antiqua" w:hAnsi="Book Antiqua"/>
        </w:rPr>
      </w:pPr>
      <w:r>
        <w:rPr>
          <w:rFonts w:ascii="Book Antiqua" w:hAnsi="Book Antiqua"/>
        </w:rPr>
        <w:t xml:space="preserve">16 </w:t>
      </w:r>
      <w:r>
        <w:rPr>
          <w:rFonts w:ascii="Book Antiqua" w:hAnsi="Book Antiqua"/>
          <w:b/>
          <w:bCs/>
        </w:rPr>
        <w:t>Di Benedetto P</w:t>
      </w:r>
      <w:r>
        <w:rPr>
          <w:rFonts w:ascii="Book Antiqua" w:hAnsi="Book Antiqua"/>
        </w:rPr>
        <w:t xml:space="preserve">, Di Benedetto ED, Salviato D, Beltrame A, Gissoni R, Cainero V, Causero A. Acute periprosthetic knee infection: is there still a role for DAIR? </w:t>
      </w:r>
      <w:r>
        <w:rPr>
          <w:rFonts w:ascii="Book Antiqua" w:hAnsi="Book Antiqua"/>
          <w:i/>
          <w:iCs/>
        </w:rPr>
        <w:t>Acta Biomed</w:t>
      </w:r>
      <w:r>
        <w:rPr>
          <w:rFonts w:ascii="Book Antiqua" w:hAnsi="Book Antiqua"/>
        </w:rPr>
        <w:t xml:space="preserve"> 2017; </w:t>
      </w:r>
      <w:r>
        <w:rPr>
          <w:rFonts w:ascii="Book Antiqua" w:hAnsi="Book Antiqua"/>
          <w:b/>
          <w:bCs/>
        </w:rPr>
        <w:t>88</w:t>
      </w:r>
      <w:r>
        <w:rPr>
          <w:rFonts w:ascii="Book Antiqua" w:hAnsi="Book Antiqua"/>
        </w:rPr>
        <w:t>: 84-91 [PMID: 28657569 DOI: 10.23750/abm.v88i2-S.6518]</w:t>
      </w:r>
    </w:p>
    <w:p>
      <w:pPr>
        <w:spacing w:line="360" w:lineRule="auto"/>
        <w:jc w:val="both"/>
        <w:rPr>
          <w:rFonts w:ascii="Book Antiqua" w:hAnsi="Book Antiqua"/>
        </w:rPr>
      </w:pPr>
      <w:r>
        <w:rPr>
          <w:rFonts w:ascii="Book Antiqua" w:hAnsi="Book Antiqua"/>
        </w:rPr>
        <w:t xml:space="preserve">17 </w:t>
      </w:r>
      <w:r>
        <w:rPr>
          <w:rFonts w:ascii="Book Antiqua" w:hAnsi="Book Antiqua"/>
          <w:b/>
          <w:bCs/>
        </w:rPr>
        <w:t>Mortazavi SM</w:t>
      </w:r>
      <w:r>
        <w:rPr>
          <w:rFonts w:ascii="Book Antiqua" w:hAnsi="Book Antiqua"/>
        </w:rPr>
        <w:t xml:space="preserve">, Kurd MF, Bender B, Post Z, Parvizi J, Purtill JJ. Distal femoral arthroplasty for the treatment of periprosthetic fractures after total knee arthroplasty. </w:t>
      </w:r>
      <w:r>
        <w:rPr>
          <w:rFonts w:ascii="Book Antiqua" w:hAnsi="Book Antiqua"/>
          <w:i/>
          <w:iCs/>
        </w:rPr>
        <w:t>J Arthroplasty</w:t>
      </w:r>
      <w:r>
        <w:rPr>
          <w:rFonts w:ascii="Book Antiqua" w:hAnsi="Book Antiqua"/>
        </w:rPr>
        <w:t xml:space="preserve"> 2010; </w:t>
      </w:r>
      <w:r>
        <w:rPr>
          <w:rFonts w:ascii="Book Antiqua" w:hAnsi="Book Antiqua"/>
          <w:b/>
          <w:bCs/>
        </w:rPr>
        <w:t>25</w:t>
      </w:r>
      <w:r>
        <w:rPr>
          <w:rFonts w:ascii="Book Antiqua" w:hAnsi="Book Antiqua"/>
        </w:rPr>
        <w:t>: 775-780 [PMID: 20171053 DOI: 10.1016/j.arth.2009.05.024]</w:t>
      </w:r>
    </w:p>
    <w:p>
      <w:pPr>
        <w:spacing w:line="360" w:lineRule="auto"/>
        <w:jc w:val="both"/>
        <w:rPr>
          <w:rFonts w:ascii="Book Antiqua" w:hAnsi="Book Antiqua"/>
        </w:rPr>
      </w:pPr>
      <w:r>
        <w:rPr>
          <w:rFonts w:ascii="Book Antiqua" w:hAnsi="Book Antiqua"/>
        </w:rPr>
        <w:t xml:space="preserve">18 </w:t>
      </w:r>
      <w:r>
        <w:rPr>
          <w:rFonts w:ascii="Book Antiqua" w:hAnsi="Book Antiqua"/>
          <w:b/>
          <w:bCs/>
        </w:rPr>
        <w:t>Agarwal S</w:t>
      </w:r>
      <w:r>
        <w:rPr>
          <w:rFonts w:ascii="Book Antiqua" w:hAnsi="Book Antiqua"/>
        </w:rPr>
        <w:t xml:space="preserve">, Sharma RK, Jain JK. Periprosthetic fractures after total knee arthroplasty. </w:t>
      </w:r>
      <w:r>
        <w:rPr>
          <w:rFonts w:ascii="Book Antiqua" w:hAnsi="Book Antiqua"/>
          <w:i/>
          <w:iCs/>
        </w:rPr>
        <w:t>J Orthop Surg (Hong Kong)</w:t>
      </w:r>
      <w:r>
        <w:rPr>
          <w:rFonts w:ascii="Book Antiqua" w:hAnsi="Book Antiqua"/>
        </w:rPr>
        <w:t xml:space="preserve"> 2014; </w:t>
      </w:r>
      <w:r>
        <w:rPr>
          <w:rFonts w:ascii="Book Antiqua" w:hAnsi="Book Antiqua"/>
          <w:b/>
          <w:bCs/>
        </w:rPr>
        <w:t>22</w:t>
      </w:r>
      <w:r>
        <w:rPr>
          <w:rFonts w:ascii="Book Antiqua" w:hAnsi="Book Antiqua"/>
        </w:rPr>
        <w:t>: 24-29 [PMID: 24781608 DOI: 10.1177/230949901402200108]</w:t>
      </w:r>
    </w:p>
    <w:p>
      <w:pPr>
        <w:spacing w:line="360" w:lineRule="auto"/>
        <w:jc w:val="both"/>
        <w:rPr>
          <w:rFonts w:ascii="Book Antiqua" w:hAnsi="Book Antiqua"/>
        </w:rPr>
      </w:pPr>
      <w:r>
        <w:rPr>
          <w:rFonts w:ascii="Book Antiqua" w:hAnsi="Book Antiqua"/>
        </w:rPr>
        <w:t xml:space="preserve">19 </w:t>
      </w:r>
      <w:r>
        <w:rPr>
          <w:rFonts w:ascii="Book Antiqua" w:hAnsi="Book Antiqua"/>
          <w:b/>
          <w:bCs/>
        </w:rPr>
        <w:t>Dyrhovden GS</w:t>
      </w:r>
      <w:r>
        <w:rPr>
          <w:rFonts w:ascii="Book Antiqua" w:hAnsi="Book Antiqua"/>
        </w:rPr>
        <w:t xml:space="preserve">, Lygre SHL, Badawy M, Gøthesen Ø, Furnes O. Have the Causes of Revision for Total and Unicompartmental Knee Arthroplasties Changed During the Past Two Decades? </w:t>
      </w:r>
      <w:r>
        <w:rPr>
          <w:rFonts w:ascii="Book Antiqua" w:hAnsi="Book Antiqua"/>
          <w:i/>
          <w:iCs/>
        </w:rPr>
        <w:t>Clin Orthop Relat Res</w:t>
      </w:r>
      <w:r>
        <w:rPr>
          <w:rFonts w:ascii="Book Antiqua" w:hAnsi="Book Antiqua"/>
        </w:rPr>
        <w:t xml:space="preserve"> 2017; </w:t>
      </w:r>
      <w:r>
        <w:rPr>
          <w:rFonts w:ascii="Book Antiqua" w:hAnsi="Book Antiqua"/>
          <w:b/>
          <w:bCs/>
        </w:rPr>
        <w:t>475</w:t>
      </w:r>
      <w:r>
        <w:rPr>
          <w:rFonts w:ascii="Book Antiqua" w:hAnsi="Book Antiqua"/>
        </w:rPr>
        <w:t>: 1874-1886 [PMID: 28299718 DOI: 10.1007/s11999-017-5316-7]</w:t>
      </w:r>
    </w:p>
    <w:p>
      <w:pPr>
        <w:spacing w:line="360" w:lineRule="auto"/>
        <w:jc w:val="both"/>
        <w:rPr>
          <w:rFonts w:ascii="Book Antiqua" w:hAnsi="Book Antiqua"/>
        </w:rPr>
      </w:pPr>
      <w:r>
        <w:rPr>
          <w:rFonts w:ascii="Book Antiqua" w:hAnsi="Book Antiqua"/>
        </w:rPr>
        <w:t xml:space="preserve">20 </w:t>
      </w:r>
      <w:r>
        <w:rPr>
          <w:rFonts w:ascii="Book Antiqua" w:hAnsi="Book Antiqua"/>
          <w:b/>
          <w:bCs/>
        </w:rPr>
        <w:t>Schwarz EM</w:t>
      </w:r>
      <w:r>
        <w:rPr>
          <w:rFonts w:ascii="Book Antiqua" w:hAnsi="Book Antiqua"/>
        </w:rPr>
        <w:t xml:space="preserve">, Parvizi J, Gehrke T, Aiyer A, Battenberg A, Brown SA, Callaghan JJ, Citak M, Egol K, Garrigues GE, Ghert M, Goswami K, Green A, Hammound S, Kates SL, McLaren AC, Mont MA, Namdari S, Obremskey WT, O'Toole R, Raikin S, Restrepo C, Ricciardi B, Saeed K, Sanchez-Sotelo J, Shohat N, Tan T, Thirukumaran CP, Winters B. 2018 International Consensus Meeting on Musculoskeletal Infection: Research Priorities from the General Assembly Questions. </w:t>
      </w:r>
      <w:r>
        <w:rPr>
          <w:rFonts w:ascii="Book Antiqua" w:hAnsi="Book Antiqua"/>
          <w:i/>
          <w:iCs/>
        </w:rPr>
        <w:t>J Orthop Res</w:t>
      </w:r>
      <w:r>
        <w:rPr>
          <w:rFonts w:ascii="Book Antiqua" w:hAnsi="Book Antiqua"/>
        </w:rPr>
        <w:t xml:space="preserve"> 2019; </w:t>
      </w:r>
      <w:r>
        <w:rPr>
          <w:rFonts w:ascii="Book Antiqua" w:hAnsi="Book Antiqua"/>
          <w:b/>
          <w:bCs/>
        </w:rPr>
        <w:t>37</w:t>
      </w:r>
      <w:r>
        <w:rPr>
          <w:rFonts w:ascii="Book Antiqua" w:hAnsi="Book Antiqua"/>
        </w:rPr>
        <w:t>: 997-1006 [PMID: 30977537 DOI: 10.1002/jor.24293]</w:t>
      </w:r>
    </w:p>
    <w:p>
      <w:pPr>
        <w:spacing w:line="360" w:lineRule="auto"/>
        <w:jc w:val="both"/>
        <w:rPr>
          <w:rFonts w:ascii="Book Antiqua" w:hAnsi="Book Antiqua"/>
        </w:rPr>
      </w:pPr>
      <w:r>
        <w:rPr>
          <w:rFonts w:ascii="Book Antiqua" w:hAnsi="Book Antiqua"/>
        </w:rPr>
        <w:t xml:space="preserve">21 </w:t>
      </w:r>
      <w:r>
        <w:rPr>
          <w:rFonts w:ascii="Book Antiqua" w:hAnsi="Book Antiqua"/>
          <w:b/>
          <w:bCs/>
        </w:rPr>
        <w:t>Suzuki G</w:t>
      </w:r>
      <w:r>
        <w:rPr>
          <w:rFonts w:ascii="Book Antiqua" w:hAnsi="Book Antiqua"/>
        </w:rPr>
        <w:t xml:space="preserve">, Saito S, Ishii T, Motojima S, Tokuhashi Y, Ryu J. Previous fracture surgery is a major risk factor of infection after total knee arthroplasty. </w:t>
      </w:r>
      <w:r>
        <w:rPr>
          <w:rFonts w:ascii="Book Antiqua" w:hAnsi="Book Antiqua"/>
          <w:i/>
          <w:iCs/>
        </w:rPr>
        <w:t>Knee Surg Sports Traumatol Arthrosc</w:t>
      </w:r>
      <w:r>
        <w:rPr>
          <w:rFonts w:ascii="Book Antiqua" w:hAnsi="Book Antiqua"/>
        </w:rPr>
        <w:t xml:space="preserve"> 2011; </w:t>
      </w:r>
      <w:r>
        <w:rPr>
          <w:rFonts w:ascii="Book Antiqua" w:hAnsi="Book Antiqua"/>
          <w:b/>
          <w:bCs/>
        </w:rPr>
        <w:t>19</w:t>
      </w:r>
      <w:r>
        <w:rPr>
          <w:rFonts w:ascii="Book Antiqua" w:hAnsi="Book Antiqua"/>
        </w:rPr>
        <w:t>: 2040-2044 [PMID: 21541707 DOI: 10.1007/s00167-011-1525-x]</w:t>
      </w:r>
    </w:p>
    <w:p>
      <w:pPr>
        <w:spacing w:line="360" w:lineRule="auto"/>
        <w:jc w:val="both"/>
        <w:rPr>
          <w:rFonts w:ascii="Book Antiqua" w:hAnsi="Book Antiqua"/>
        </w:rPr>
      </w:pPr>
      <w:r>
        <w:rPr>
          <w:rFonts w:ascii="Book Antiqua" w:hAnsi="Book Antiqua"/>
        </w:rPr>
        <w:t xml:space="preserve">22 </w:t>
      </w:r>
      <w:r>
        <w:rPr>
          <w:rFonts w:ascii="Book Antiqua" w:hAnsi="Book Antiqua"/>
          <w:b/>
          <w:bCs/>
        </w:rPr>
        <w:t>Lizaur-Utrilla A</w:t>
      </w:r>
      <w:r>
        <w:rPr>
          <w:rFonts w:ascii="Book Antiqua" w:hAnsi="Book Antiqua"/>
        </w:rPr>
        <w:t xml:space="preserve">, Collados-Maestre I, Miralles-Muñoz FA, Lopez-Prats FA. Total Knee Arthroplasty for Osteoarthritis Secondary to Fracture of the Tibial Plateau. A Prospective Matched Cohort Study. </w:t>
      </w:r>
      <w:r>
        <w:rPr>
          <w:rFonts w:ascii="Book Antiqua" w:hAnsi="Book Antiqua"/>
          <w:i/>
          <w:iCs/>
        </w:rPr>
        <w:t>J Arthroplasty</w:t>
      </w:r>
      <w:r>
        <w:rPr>
          <w:rFonts w:ascii="Book Antiqua" w:hAnsi="Book Antiqua"/>
        </w:rPr>
        <w:t xml:space="preserve"> 2015; </w:t>
      </w:r>
      <w:r>
        <w:rPr>
          <w:rFonts w:ascii="Book Antiqua" w:hAnsi="Book Antiqua"/>
          <w:b/>
          <w:bCs/>
        </w:rPr>
        <w:t>30</w:t>
      </w:r>
      <w:r>
        <w:rPr>
          <w:rFonts w:ascii="Book Antiqua" w:hAnsi="Book Antiqua"/>
        </w:rPr>
        <w:t>: 1328-1332 [PMID: 25795233 DOI: 10.1016/j.arth.2015.02.032]</w:t>
      </w:r>
    </w:p>
    <w:p>
      <w:pPr>
        <w:spacing w:line="360" w:lineRule="auto"/>
        <w:jc w:val="both"/>
        <w:rPr>
          <w:rFonts w:ascii="Book Antiqua" w:hAnsi="Book Antiqua"/>
        </w:rPr>
      </w:pPr>
      <w:r>
        <w:rPr>
          <w:rFonts w:ascii="Book Antiqua" w:hAnsi="Book Antiqua"/>
        </w:rPr>
        <w:t xml:space="preserve">23 </w:t>
      </w:r>
      <w:r>
        <w:rPr>
          <w:rFonts w:ascii="Book Antiqua" w:hAnsi="Book Antiqua"/>
          <w:b/>
          <w:bCs/>
        </w:rPr>
        <w:t>Klatte TO</w:t>
      </w:r>
      <w:r>
        <w:rPr>
          <w:rFonts w:ascii="Book Antiqua" w:hAnsi="Book Antiqua"/>
        </w:rPr>
        <w:t xml:space="preserve">, Schneider MM, Citak M, Oloughlin P, Gebauer M, Rueger M, Gehrke T, Kendoff D. Infection rates in patients undergoing primary knee arthroplasty with pre-existing orthopaedic fixation-devices. </w:t>
      </w:r>
      <w:r>
        <w:rPr>
          <w:rFonts w:ascii="Book Antiqua" w:hAnsi="Book Antiqua"/>
          <w:i/>
          <w:iCs/>
        </w:rPr>
        <w:t>Knee</w:t>
      </w:r>
      <w:r>
        <w:rPr>
          <w:rFonts w:ascii="Book Antiqua" w:hAnsi="Book Antiqua"/>
        </w:rPr>
        <w:t xml:space="preserve"> 2013; </w:t>
      </w:r>
      <w:r>
        <w:rPr>
          <w:rFonts w:ascii="Book Antiqua" w:hAnsi="Book Antiqua"/>
          <w:b/>
          <w:bCs/>
        </w:rPr>
        <w:t>20</w:t>
      </w:r>
      <w:r>
        <w:rPr>
          <w:rFonts w:ascii="Book Antiqua" w:hAnsi="Book Antiqua"/>
        </w:rPr>
        <w:t>: 177-180 [PMID: 23540939 DOI: 10.1016/j.knee.2013.02.004]</w:t>
      </w:r>
    </w:p>
    <w:p>
      <w:pPr>
        <w:spacing w:line="360" w:lineRule="auto"/>
        <w:jc w:val="both"/>
        <w:rPr>
          <w:rFonts w:ascii="Book Antiqua" w:hAnsi="Book Antiqua"/>
        </w:rPr>
      </w:pPr>
      <w:r>
        <w:rPr>
          <w:rFonts w:ascii="Book Antiqua" w:hAnsi="Book Antiqua"/>
        </w:rPr>
        <w:t xml:space="preserve">24 </w:t>
      </w:r>
      <w:r>
        <w:rPr>
          <w:rFonts w:ascii="Book Antiqua" w:hAnsi="Book Antiqua"/>
          <w:b/>
          <w:bCs/>
        </w:rPr>
        <w:t>Ge DH</w:t>
      </w:r>
      <w:r>
        <w:rPr>
          <w:rFonts w:ascii="Book Antiqua" w:hAnsi="Book Antiqua"/>
        </w:rPr>
        <w:t xml:space="preserve">, Anoushiravani AA, Kester BS, Vigdorchik JM, Schwarzkopf R. Preoperative Diagnosis Can Predict Conversion Total Knee Arthroplasty Outcomes. </w:t>
      </w:r>
      <w:r>
        <w:rPr>
          <w:rFonts w:ascii="Book Antiqua" w:hAnsi="Book Antiqua"/>
          <w:i/>
          <w:iCs/>
        </w:rPr>
        <w:t>J Arthroplasty</w:t>
      </w:r>
      <w:r>
        <w:rPr>
          <w:rFonts w:ascii="Book Antiqua" w:hAnsi="Book Antiqua"/>
        </w:rPr>
        <w:t xml:space="preserve"> 2018; </w:t>
      </w:r>
      <w:r>
        <w:rPr>
          <w:rFonts w:ascii="Book Antiqua" w:hAnsi="Book Antiqua"/>
          <w:b/>
          <w:bCs/>
        </w:rPr>
        <w:t>33</w:t>
      </w:r>
      <w:r>
        <w:rPr>
          <w:rFonts w:ascii="Book Antiqua" w:hAnsi="Book Antiqua"/>
        </w:rPr>
        <w:t>: 124-129.e1 [PMID: 28939032 DOI: 10.1016/j.arth.2017.08.019]</w:t>
      </w:r>
    </w:p>
    <w:p>
      <w:pPr>
        <w:spacing w:line="360" w:lineRule="auto"/>
        <w:jc w:val="both"/>
        <w:rPr>
          <w:rFonts w:ascii="Book Antiqua" w:hAnsi="Book Antiqua"/>
        </w:rPr>
      </w:pPr>
      <w:r>
        <w:rPr>
          <w:rFonts w:ascii="Book Antiqua" w:hAnsi="Book Antiqua"/>
        </w:rPr>
        <w:t xml:space="preserve">25 </w:t>
      </w:r>
      <w:r>
        <w:rPr>
          <w:rFonts w:ascii="Book Antiqua" w:hAnsi="Book Antiqua"/>
          <w:b/>
          <w:bCs/>
        </w:rPr>
        <w:t>Ehlinger M</w:t>
      </w:r>
      <w:r>
        <w:rPr>
          <w:rFonts w:ascii="Book Antiqua" w:hAnsi="Book Antiqua"/>
        </w:rPr>
        <w:t xml:space="preserve">, D'Ambrosio A, Vie P, Leclerc S, Bonnomet F, Bonnevialle P, Lustig S, Parratte S, Colmar M, Argenson JN; French Society of Orthopedic Surgery, Traumatology (SoFCOT). Total knee arthroplasty after opening- versus closing-wedge high tibial osteotomy. A 135-case series with minimum 5-year follow-up. </w:t>
      </w:r>
      <w:r>
        <w:rPr>
          <w:rFonts w:ascii="Book Antiqua" w:hAnsi="Book Antiqua"/>
          <w:i/>
          <w:iCs/>
        </w:rPr>
        <w:t>Orthop Traumatol Surg Res</w:t>
      </w:r>
      <w:r>
        <w:rPr>
          <w:rFonts w:ascii="Book Antiqua" w:hAnsi="Book Antiqua"/>
        </w:rPr>
        <w:t xml:space="preserve"> 2017; </w:t>
      </w:r>
      <w:r>
        <w:rPr>
          <w:rFonts w:ascii="Book Antiqua" w:hAnsi="Book Antiqua"/>
          <w:b/>
          <w:bCs/>
        </w:rPr>
        <w:t>103</w:t>
      </w:r>
      <w:r>
        <w:rPr>
          <w:rFonts w:ascii="Book Antiqua" w:hAnsi="Book Antiqua"/>
        </w:rPr>
        <w:t>: 1035-1039 [PMID: 28888524 DOI: 10.1016/j.otsr.2017.07.011]</w:t>
      </w:r>
    </w:p>
    <w:p>
      <w:pPr>
        <w:spacing w:line="360" w:lineRule="auto"/>
        <w:jc w:val="both"/>
        <w:rPr>
          <w:rFonts w:ascii="Book Antiqua" w:hAnsi="Book Antiqua"/>
        </w:rPr>
      </w:pPr>
      <w:r>
        <w:rPr>
          <w:rFonts w:ascii="Book Antiqua" w:hAnsi="Book Antiqua"/>
        </w:rPr>
        <w:t xml:space="preserve">26 </w:t>
      </w:r>
      <w:r>
        <w:rPr>
          <w:rFonts w:ascii="Book Antiqua" w:hAnsi="Book Antiqua"/>
          <w:b/>
          <w:bCs/>
        </w:rPr>
        <w:t>Bonacker J</w:t>
      </w:r>
      <w:r>
        <w:rPr>
          <w:rFonts w:ascii="Book Antiqua" w:hAnsi="Book Antiqua"/>
        </w:rPr>
        <w:t xml:space="preserve">, Darowski M, Haar P, Westphal T, Bergschmidt P. Periprosthetic Tibial Fracture with Nonunion and Ascending Prosthetic Joint Infection: A Case Report of an Individual Treatment Strategy. </w:t>
      </w:r>
      <w:r>
        <w:rPr>
          <w:rFonts w:ascii="Book Antiqua" w:hAnsi="Book Antiqua"/>
          <w:i/>
          <w:iCs/>
        </w:rPr>
        <w:t>J Orthop Case Rep</w:t>
      </w:r>
      <w:r>
        <w:rPr>
          <w:rFonts w:ascii="Book Antiqua" w:hAnsi="Book Antiqua"/>
        </w:rPr>
        <w:t xml:space="preserve"> 2018; </w:t>
      </w:r>
      <w:r>
        <w:rPr>
          <w:rFonts w:ascii="Book Antiqua" w:hAnsi="Book Antiqua"/>
          <w:b/>
          <w:bCs/>
        </w:rPr>
        <w:t>8</w:t>
      </w:r>
      <w:r>
        <w:rPr>
          <w:rFonts w:ascii="Book Antiqua" w:hAnsi="Book Antiqua"/>
        </w:rPr>
        <w:t>: 3-8 [PMID: 30915283 DOI: 10.13107/jocr.2250-0685.1232]</w:t>
      </w:r>
    </w:p>
    <w:p>
      <w:pPr>
        <w:spacing w:line="360" w:lineRule="auto"/>
        <w:jc w:val="both"/>
        <w:rPr>
          <w:rFonts w:ascii="Book Antiqua" w:hAnsi="Book Antiqua"/>
        </w:rPr>
      </w:pPr>
      <w:r>
        <w:rPr>
          <w:rFonts w:ascii="Book Antiqua" w:hAnsi="Book Antiqua"/>
        </w:rPr>
        <w:t xml:space="preserve">27 </w:t>
      </w:r>
      <w:r>
        <w:rPr>
          <w:rFonts w:ascii="Book Antiqua" w:hAnsi="Book Antiqua"/>
          <w:b/>
          <w:bCs/>
        </w:rPr>
        <w:t>Sanz-Ruiz P</w:t>
      </w:r>
      <w:r>
        <w:rPr>
          <w:rFonts w:ascii="Book Antiqua" w:hAnsi="Book Antiqua"/>
        </w:rPr>
        <w:t xml:space="preserve">, Matas-Diez JA, Villanueva-Martinez M, Carbo-Laso E, Lopez-Torres II, Vaquero-Martín J. A new biarticular cement spacer technique for infected total hip and knee arthroplasty with massive bone loss. </w:t>
      </w:r>
      <w:r>
        <w:rPr>
          <w:rFonts w:ascii="Book Antiqua" w:hAnsi="Book Antiqua"/>
          <w:i/>
          <w:iCs/>
        </w:rPr>
        <w:t>Hip Int</w:t>
      </w:r>
      <w:r>
        <w:rPr>
          <w:rFonts w:ascii="Book Antiqua" w:hAnsi="Book Antiqua"/>
        </w:rPr>
        <w:t xml:space="preserve"> 2021; </w:t>
      </w:r>
      <w:r>
        <w:rPr>
          <w:rFonts w:ascii="Book Antiqua" w:hAnsi="Book Antiqua"/>
          <w:b/>
          <w:bCs/>
        </w:rPr>
        <w:t>31</w:t>
      </w:r>
      <w:r>
        <w:rPr>
          <w:rFonts w:ascii="Book Antiqua" w:hAnsi="Book Antiqua"/>
        </w:rPr>
        <w:t>: 242-249 [PMID: 31746228 DOI: 10.1177/1120700019884557]</w:t>
      </w:r>
    </w:p>
    <w:p>
      <w:pPr>
        <w:spacing w:line="360" w:lineRule="auto"/>
        <w:jc w:val="both"/>
        <w:rPr>
          <w:rFonts w:ascii="Book Antiqua" w:hAnsi="Book Antiqua"/>
        </w:rPr>
      </w:pPr>
      <w:r>
        <w:rPr>
          <w:rFonts w:ascii="Book Antiqua" w:hAnsi="Book Antiqua"/>
        </w:rPr>
        <w:t xml:space="preserve">28 </w:t>
      </w:r>
      <w:r>
        <w:rPr>
          <w:rFonts w:ascii="Book Antiqua" w:hAnsi="Book Antiqua"/>
          <w:b/>
          <w:bCs/>
        </w:rPr>
        <w:t>Müller M</w:t>
      </w:r>
      <w:r>
        <w:rPr>
          <w:rFonts w:ascii="Book Antiqua" w:hAnsi="Book Antiqua"/>
        </w:rPr>
        <w:t xml:space="preserve">, Winkler T, Märdian S, Trampuz A, Renz N, Perka C, Karczewski D. The worst-case scenario: treatment of periprosthetic femoral fracture with coexistent periprosthetic infection-a prospective and consecutive clinical study. </w:t>
      </w:r>
      <w:r>
        <w:rPr>
          <w:rFonts w:ascii="Book Antiqua" w:hAnsi="Book Antiqua"/>
          <w:i/>
          <w:iCs/>
        </w:rPr>
        <w:t>Arch Orthop Trauma Surg</w:t>
      </w:r>
      <w:r>
        <w:rPr>
          <w:rFonts w:ascii="Book Antiqua" w:hAnsi="Book Antiqua"/>
        </w:rPr>
        <w:t xml:space="preserve"> 2019; </w:t>
      </w:r>
      <w:r>
        <w:rPr>
          <w:rFonts w:ascii="Book Antiqua" w:hAnsi="Book Antiqua"/>
          <w:b/>
          <w:bCs/>
        </w:rPr>
        <w:t>139</w:t>
      </w:r>
      <w:r>
        <w:rPr>
          <w:rFonts w:ascii="Book Antiqua" w:hAnsi="Book Antiqua"/>
        </w:rPr>
        <w:t>: 1461-1470 [PMID: 31432205 DOI: 10.1007/s00402-019-03263-y]</w:t>
      </w:r>
    </w:p>
    <w:p>
      <w:pPr>
        <w:spacing w:line="360" w:lineRule="auto"/>
        <w:jc w:val="both"/>
        <w:rPr>
          <w:rFonts w:ascii="Book Antiqua" w:hAnsi="Book Antiqua"/>
        </w:rPr>
      </w:pPr>
      <w:r>
        <w:rPr>
          <w:rFonts w:ascii="Book Antiqua" w:hAnsi="Book Antiqua"/>
        </w:rPr>
        <w:t xml:space="preserve">29 </w:t>
      </w:r>
      <w:r>
        <w:rPr>
          <w:rFonts w:ascii="Book Antiqua" w:hAnsi="Book Antiqua"/>
          <w:b/>
          <w:bCs/>
        </w:rPr>
        <w:t>Ebraheim NA</w:t>
      </w:r>
      <w:r>
        <w:rPr>
          <w:rFonts w:ascii="Book Antiqua" w:hAnsi="Book Antiqua"/>
        </w:rPr>
        <w:t xml:space="preserve">, Kelley LH, Liu X, Thomas IS, Steiner RB, Liu J. Periprosthetic Distal Femur Fracture after Total Knee Arthroplasty: A Systematic Review. </w:t>
      </w:r>
      <w:r>
        <w:rPr>
          <w:rFonts w:ascii="Book Antiqua" w:hAnsi="Book Antiqua"/>
          <w:i/>
          <w:iCs/>
        </w:rPr>
        <w:t>Orthop Surg</w:t>
      </w:r>
      <w:r>
        <w:rPr>
          <w:rFonts w:ascii="Book Antiqua" w:hAnsi="Book Antiqua"/>
        </w:rPr>
        <w:t xml:space="preserve"> 2015; </w:t>
      </w:r>
      <w:r>
        <w:rPr>
          <w:rFonts w:ascii="Book Antiqua" w:hAnsi="Book Antiqua"/>
          <w:b/>
          <w:bCs/>
        </w:rPr>
        <w:t>7</w:t>
      </w:r>
      <w:r>
        <w:rPr>
          <w:rFonts w:ascii="Book Antiqua" w:hAnsi="Book Antiqua"/>
        </w:rPr>
        <w:t>: 297-305 [PMID: 26790831 DOI: 10.1111/os.12199]</w:t>
      </w:r>
    </w:p>
    <w:p>
      <w:pPr>
        <w:spacing w:line="360" w:lineRule="auto"/>
        <w:jc w:val="both"/>
        <w:rPr>
          <w:rFonts w:ascii="Book Antiqua" w:hAnsi="Book Antiqua"/>
        </w:rPr>
      </w:pPr>
      <w:r>
        <w:rPr>
          <w:rFonts w:ascii="Book Antiqua" w:hAnsi="Book Antiqua"/>
        </w:rPr>
        <w:t xml:space="preserve">30 </w:t>
      </w:r>
      <w:r>
        <w:rPr>
          <w:rFonts w:ascii="Book Antiqua" w:hAnsi="Book Antiqua"/>
          <w:b/>
          <w:bCs/>
        </w:rPr>
        <w:t>Carta S</w:t>
      </w:r>
      <w:r>
        <w:rPr>
          <w:rFonts w:ascii="Book Antiqua" w:hAnsi="Book Antiqua"/>
        </w:rPr>
        <w:t xml:space="preserve">, Fortina M, Riva A, Meccariello L, Manzi E, Di Giovanni A, Ferrata P. The Biological Metallic versus Metallic Solution in Treating Periprosthetic Femoral Fractures: Outcome Assessment. </w:t>
      </w:r>
      <w:r>
        <w:rPr>
          <w:rFonts w:ascii="Book Antiqua" w:hAnsi="Book Antiqua"/>
          <w:i/>
          <w:iCs/>
        </w:rPr>
        <w:t>Adv Med</w:t>
      </w:r>
      <w:r>
        <w:rPr>
          <w:rFonts w:ascii="Book Antiqua" w:hAnsi="Book Antiqua"/>
        </w:rPr>
        <w:t xml:space="preserve"> 2016; </w:t>
      </w:r>
      <w:r>
        <w:rPr>
          <w:rFonts w:ascii="Book Antiqua" w:hAnsi="Book Antiqua"/>
          <w:b/>
          <w:bCs/>
        </w:rPr>
        <w:t>2016</w:t>
      </w:r>
      <w:r>
        <w:rPr>
          <w:rFonts w:ascii="Book Antiqua" w:hAnsi="Book Antiqua"/>
        </w:rPr>
        <w:t>: 2918735 [PMID: 27990462 DOI: 10.1155/2016/2918735]</w:t>
      </w:r>
    </w:p>
    <w:p>
      <w:pPr>
        <w:spacing w:line="360" w:lineRule="auto"/>
        <w:jc w:val="both"/>
        <w:rPr>
          <w:rFonts w:ascii="Book Antiqua" w:hAnsi="Book Antiqua"/>
        </w:rPr>
      </w:pPr>
      <w:r>
        <w:rPr>
          <w:rFonts w:ascii="Book Antiqua" w:hAnsi="Book Antiqua"/>
        </w:rPr>
        <w:t xml:space="preserve">31 </w:t>
      </w:r>
      <w:r>
        <w:rPr>
          <w:rFonts w:ascii="Book Antiqua" w:hAnsi="Book Antiqua"/>
          <w:b/>
          <w:bCs/>
        </w:rPr>
        <w:t>Peters CL</w:t>
      </w:r>
      <w:r>
        <w:rPr>
          <w:rFonts w:ascii="Book Antiqua" w:hAnsi="Book Antiqua"/>
        </w:rPr>
        <w:t xml:space="preserve">, Bachus KN, Davitt JS. Fixation of periprosthetic femur fractures: a biomechanical analysis comparing cortical strut allograft plates and conventional metal plates. </w:t>
      </w:r>
      <w:r>
        <w:rPr>
          <w:rFonts w:ascii="Book Antiqua" w:hAnsi="Book Antiqua"/>
          <w:i/>
          <w:iCs/>
        </w:rPr>
        <w:t>Orthopedics</w:t>
      </w:r>
      <w:r>
        <w:rPr>
          <w:rFonts w:ascii="Book Antiqua" w:hAnsi="Book Antiqua"/>
        </w:rPr>
        <w:t xml:space="preserve"> 2003; </w:t>
      </w:r>
      <w:r>
        <w:rPr>
          <w:rFonts w:ascii="Book Antiqua" w:hAnsi="Book Antiqua"/>
          <w:b/>
          <w:bCs/>
        </w:rPr>
        <w:t>26</w:t>
      </w:r>
      <w:r>
        <w:rPr>
          <w:rFonts w:ascii="Book Antiqua" w:hAnsi="Book Antiqua"/>
        </w:rPr>
        <w:t>: 695-699 [PMID: 12875564 DOI: 10.3928/0147-7447-20030701-13]</w:t>
      </w:r>
    </w:p>
    <w:p>
      <w:pPr>
        <w:rPr>
          <w:rFonts w:ascii="Book Antiqua" w:hAnsi="Book Antiqua"/>
        </w:rPr>
      </w:pPr>
      <w:r>
        <w:rPr>
          <w:rFonts w:ascii="Book Antiqua" w:hAnsi="Book Antiqua"/>
        </w:rPr>
        <w:br w:type="page"/>
      </w:r>
    </w:p>
    <w:p>
      <w:pPr>
        <w:spacing w:line="360" w:lineRule="auto"/>
        <w:jc w:val="both"/>
        <w:rPr>
          <w:rFonts w:ascii="Book Antiqua" w:hAnsi="Book Antiqua"/>
        </w:rPr>
      </w:pPr>
      <w:r>
        <w:rPr>
          <w:rFonts w:ascii="Book Antiqua" w:hAnsi="Book Antiqua" w:eastAsia="Book Antiqua" w:cs="Book Antiqua"/>
          <w:b/>
          <w:color w:val="000000"/>
        </w:rPr>
        <w:t>Footnotes</w:t>
      </w:r>
    </w:p>
    <w:p>
      <w:pPr>
        <w:spacing w:line="360" w:lineRule="auto"/>
        <w:jc w:val="both"/>
        <w:rPr>
          <w:rFonts w:ascii="Book Antiqua" w:hAnsi="Book Antiqua"/>
        </w:rPr>
      </w:pPr>
      <w:r>
        <w:rPr>
          <w:rFonts w:ascii="Book Antiqua" w:hAnsi="Book Antiqua" w:eastAsia="Book Antiqua" w:cs="Book Antiqua"/>
          <w:b/>
          <w:bCs/>
          <w:color w:val="000000"/>
        </w:rPr>
        <w:t xml:space="preserve">Informed consent statement: </w:t>
      </w:r>
      <w:r>
        <w:rPr>
          <w:rFonts w:ascii="Book Antiqua" w:hAnsi="Book Antiqua" w:eastAsia="Book Antiqua" w:cs="Book Antiqua"/>
          <w:color w:val="000000"/>
        </w:rPr>
        <w:t>Informed written consent was obtained from the patient</w:t>
      </w:r>
      <w:r>
        <w:rPr>
          <w:rFonts w:hint="eastAsia" w:ascii="Book Antiqua" w:hAnsi="Book Antiqua" w:eastAsia="宋体" w:cs="Book Antiqua"/>
          <w:color w:val="000000"/>
          <w:lang w:eastAsia="zh-CN"/>
        </w:rPr>
        <w:t xml:space="preserve"> for the publication of this case report</w:t>
      </w:r>
      <w:r>
        <w:rPr>
          <w:rFonts w:ascii="Book Antiqua" w:hAnsi="Book Antiqua" w:eastAsia="Book Antiqua" w:cs="Book Antiqua"/>
          <w:color w:val="000000"/>
        </w:rPr>
        <w: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Conflict-of-interest statement: </w:t>
      </w:r>
      <w:r>
        <w:rPr>
          <w:rFonts w:ascii="Book Antiqua" w:hAnsi="Book Antiqua" w:eastAsia="Book Antiqua" w:cs="Book Antiqua"/>
          <w:bCs/>
          <w:color w:val="000000"/>
        </w:rPr>
        <w:t xml:space="preserve">All </w:t>
      </w:r>
      <w:r>
        <w:rPr>
          <w:rFonts w:ascii="Book Antiqua" w:hAnsi="Book Antiqua" w:eastAsia="Book Antiqua" w:cs="Book Antiqua"/>
          <w:color w:val="000000"/>
        </w:rPr>
        <w:t>the authors declare that they have no conflict of interest</w:t>
      </w:r>
      <w:r>
        <w:rPr>
          <w:rFonts w:hint="eastAsia" w:ascii="Book Antiqua" w:hAnsi="Book Antiqua" w:eastAsia="宋体" w:cs="Book Antiqua"/>
          <w:color w:val="000000"/>
          <w:lang w:eastAsia="zh-CN"/>
        </w:rPr>
        <w:t xml:space="preserve"> to disclose</w:t>
      </w:r>
      <w:r>
        <w:rPr>
          <w:rFonts w:ascii="Book Antiqua" w:hAnsi="Book Antiqua" w:eastAsia="Book Antiqua" w:cs="Book Antiqua"/>
          <w:color w:val="000000"/>
        </w:rPr>
        <w:t xml:space="preserve">. </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CARE Checklist (2016) statement: </w:t>
      </w:r>
      <w:r>
        <w:rPr>
          <w:rFonts w:ascii="Book Antiqua" w:hAnsi="Book Antiqua" w:eastAsia="Book Antiqua" w:cs="Book Antiqua"/>
          <w:color w:val="000000"/>
        </w:rPr>
        <w:t>The authors have read the CARE Checklist (2016), and the manuscript was prepared and revised according to the CARE Checklist (2016).</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Open-Access: </w:t>
      </w:r>
      <w:r>
        <w:rPr>
          <w:rFonts w:ascii="Book Antiqua" w:hAnsi="Book Antiqua" w:eastAsia="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 xml:space="preserve">Provenance and peer review: </w:t>
      </w:r>
      <w:r>
        <w:rPr>
          <w:rFonts w:ascii="Book Antiqua" w:hAnsi="Book Antiqua" w:eastAsia="Book Antiqua" w:cs="Book Antiqua"/>
          <w:color w:val="000000"/>
        </w:rPr>
        <w:t>Unsolicited article; Externally peer reviewed.</w:t>
      </w:r>
    </w:p>
    <w:p>
      <w:pPr>
        <w:spacing w:line="360" w:lineRule="auto"/>
        <w:jc w:val="both"/>
        <w:rPr>
          <w:rFonts w:ascii="Book Antiqua" w:hAnsi="Book Antiqua"/>
        </w:rPr>
      </w:pPr>
      <w:r>
        <w:rPr>
          <w:rFonts w:ascii="Book Antiqua" w:hAnsi="Book Antiqua" w:eastAsia="Book Antiqua" w:cs="Book Antiqua"/>
          <w:b/>
          <w:color w:val="000000"/>
        </w:rPr>
        <w:t xml:space="preserve">Peer-review model: </w:t>
      </w:r>
      <w:r>
        <w:rPr>
          <w:rFonts w:ascii="Book Antiqua" w:hAnsi="Book Antiqua" w:eastAsia="Book Antiqua" w:cs="Book Antiqua"/>
          <w:color w:val="000000"/>
        </w:rPr>
        <w:t>Single blind</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 xml:space="preserve">Peer-review started: </w:t>
      </w:r>
      <w:r>
        <w:rPr>
          <w:rFonts w:ascii="Book Antiqua" w:hAnsi="Book Antiqua" w:eastAsia="Book Antiqua" w:cs="Book Antiqua"/>
          <w:color w:val="000000"/>
        </w:rPr>
        <w:t>December 15, 2022</w:t>
      </w:r>
    </w:p>
    <w:p>
      <w:pPr>
        <w:spacing w:line="360" w:lineRule="auto"/>
        <w:jc w:val="both"/>
        <w:rPr>
          <w:rFonts w:ascii="Book Antiqua" w:hAnsi="Book Antiqua"/>
        </w:rPr>
      </w:pPr>
      <w:r>
        <w:rPr>
          <w:rFonts w:ascii="Book Antiqua" w:hAnsi="Book Antiqua" w:eastAsia="Book Antiqua" w:cs="Book Antiqua"/>
          <w:b/>
          <w:color w:val="000000"/>
        </w:rPr>
        <w:t xml:space="preserve">First decision: </w:t>
      </w:r>
      <w:r>
        <w:rPr>
          <w:rFonts w:ascii="Book Antiqua" w:hAnsi="Book Antiqua" w:eastAsia="Book Antiqua" w:cs="Book Antiqua"/>
          <w:color w:val="000000"/>
        </w:rPr>
        <w:t>January 20, 2023</w:t>
      </w:r>
    </w:p>
    <w:p>
      <w:pPr>
        <w:spacing w:line="360" w:lineRule="auto"/>
        <w:jc w:val="both"/>
        <w:rPr>
          <w:rFonts w:ascii="Book Antiqua" w:hAnsi="Book Antiqua"/>
        </w:rPr>
      </w:pPr>
      <w:r>
        <w:rPr>
          <w:rFonts w:ascii="Book Antiqua" w:hAnsi="Book Antiqua" w:eastAsia="Book Antiqua" w:cs="Book Antiqua"/>
          <w:b/>
          <w:color w:val="000000"/>
        </w:rPr>
        <w:t xml:space="preserve">Article in press: </w:t>
      </w:r>
      <w:r>
        <w:rPr>
          <w:rFonts w:ascii="Book Antiqua" w:hAnsi="Book Antiqua" w:eastAsia="Book Antiqua" w:cs="Book Antiqua"/>
          <w:color w:val="000000"/>
        </w:rPr>
        <w:t>March 6, 2023</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 xml:space="preserve">Specialty type: </w:t>
      </w:r>
      <w:r>
        <w:rPr>
          <w:rFonts w:ascii="Book Antiqua" w:hAnsi="Book Antiqua" w:eastAsia="Book Antiqua" w:cs="Book Antiqua"/>
          <w:color w:val="000000"/>
        </w:rPr>
        <w:t>Surgery</w:t>
      </w:r>
    </w:p>
    <w:p>
      <w:pPr>
        <w:spacing w:line="360" w:lineRule="auto"/>
        <w:jc w:val="both"/>
        <w:rPr>
          <w:rFonts w:ascii="Book Antiqua" w:hAnsi="Book Antiqua"/>
        </w:rPr>
      </w:pPr>
      <w:r>
        <w:rPr>
          <w:rFonts w:ascii="Book Antiqua" w:hAnsi="Book Antiqua" w:eastAsia="Book Antiqua" w:cs="Book Antiqua"/>
          <w:b/>
          <w:color w:val="000000"/>
        </w:rPr>
        <w:t xml:space="preserve">Country/Territory of origin: </w:t>
      </w:r>
      <w:r>
        <w:rPr>
          <w:rFonts w:ascii="Book Antiqua" w:hAnsi="Book Antiqua" w:eastAsia="Book Antiqua" w:cs="Book Antiqua"/>
          <w:color w:val="000000"/>
        </w:rPr>
        <w:t>China</w:t>
      </w:r>
    </w:p>
    <w:p>
      <w:pPr>
        <w:spacing w:line="360" w:lineRule="auto"/>
        <w:jc w:val="both"/>
        <w:rPr>
          <w:rFonts w:ascii="Book Antiqua" w:hAnsi="Book Antiqua"/>
        </w:rPr>
      </w:pPr>
      <w:r>
        <w:rPr>
          <w:rFonts w:ascii="Book Antiqua" w:hAnsi="Book Antiqua" w:eastAsia="Book Antiqua" w:cs="Book Antiqua"/>
          <w:b/>
          <w:color w:val="000000"/>
        </w:rPr>
        <w:t>Peer-review report’s scientific quality classification</w:t>
      </w:r>
    </w:p>
    <w:p>
      <w:pPr>
        <w:spacing w:line="360" w:lineRule="auto"/>
        <w:jc w:val="both"/>
        <w:rPr>
          <w:rFonts w:ascii="Book Antiqua" w:hAnsi="Book Antiqua"/>
        </w:rPr>
      </w:pPr>
      <w:r>
        <w:rPr>
          <w:rFonts w:ascii="Book Antiqua" w:hAnsi="Book Antiqua" w:eastAsia="Book Antiqua" w:cs="Book Antiqua"/>
          <w:color w:val="000000"/>
        </w:rPr>
        <w:t>Grade A (Excellent): 0</w:t>
      </w:r>
    </w:p>
    <w:p>
      <w:pPr>
        <w:spacing w:line="360" w:lineRule="auto"/>
        <w:jc w:val="both"/>
        <w:rPr>
          <w:rFonts w:ascii="Book Antiqua" w:hAnsi="Book Antiqua"/>
        </w:rPr>
      </w:pPr>
      <w:r>
        <w:rPr>
          <w:rFonts w:ascii="Book Antiqua" w:hAnsi="Book Antiqua" w:eastAsia="Book Antiqua" w:cs="Book Antiqua"/>
          <w:color w:val="000000"/>
        </w:rPr>
        <w:t>Grade B (Very good): 0</w:t>
      </w:r>
    </w:p>
    <w:p>
      <w:pPr>
        <w:spacing w:line="360" w:lineRule="auto"/>
        <w:jc w:val="both"/>
        <w:rPr>
          <w:rFonts w:ascii="Book Antiqua" w:hAnsi="Book Antiqua"/>
        </w:rPr>
      </w:pPr>
      <w:r>
        <w:rPr>
          <w:rFonts w:ascii="Book Antiqua" w:hAnsi="Book Antiqua" w:eastAsia="Book Antiqua" w:cs="Book Antiqua"/>
          <w:color w:val="000000"/>
        </w:rPr>
        <w:t>Grade C (Good): C</w:t>
      </w:r>
    </w:p>
    <w:p>
      <w:pPr>
        <w:spacing w:line="360" w:lineRule="auto"/>
        <w:jc w:val="both"/>
        <w:rPr>
          <w:rFonts w:ascii="Book Antiqua" w:hAnsi="Book Antiqua"/>
        </w:rPr>
      </w:pPr>
      <w:r>
        <w:rPr>
          <w:rFonts w:ascii="Book Antiqua" w:hAnsi="Book Antiqua" w:eastAsia="Book Antiqua" w:cs="Book Antiqua"/>
          <w:color w:val="000000"/>
        </w:rPr>
        <w:t>Grade D (Fair): D</w:t>
      </w:r>
    </w:p>
    <w:p>
      <w:pPr>
        <w:spacing w:line="360" w:lineRule="auto"/>
        <w:jc w:val="both"/>
        <w:rPr>
          <w:rFonts w:ascii="Book Antiqua" w:hAnsi="Book Antiqua"/>
        </w:rPr>
      </w:pPr>
      <w:r>
        <w:rPr>
          <w:rFonts w:ascii="Book Antiqua" w:hAnsi="Book Antiqua" w:eastAsia="Book Antiqua" w:cs="Book Antiqua"/>
          <w:color w:val="000000"/>
        </w:rPr>
        <w:t>Grade E (Poor): 0</w:t>
      </w:r>
    </w:p>
    <w:p>
      <w:pPr>
        <w:spacing w:line="360" w:lineRule="auto"/>
        <w:jc w:val="both"/>
        <w:rPr>
          <w:rFonts w:ascii="Book Antiqua" w:hAnsi="Book Antiqua"/>
        </w:rPr>
      </w:pPr>
    </w:p>
    <w:p>
      <w:pPr>
        <w:spacing w:line="360" w:lineRule="auto"/>
        <w:jc w:val="both"/>
        <w:rPr>
          <w:rFonts w:ascii="Book Antiqua" w:hAnsi="Book Antiqua" w:cs="Book Antiqua"/>
          <w:b/>
          <w:color w:val="000000"/>
          <w:lang w:eastAsia="zh-CN"/>
        </w:rPr>
      </w:pPr>
      <w:r>
        <w:rPr>
          <w:rFonts w:ascii="Book Antiqua" w:hAnsi="Book Antiqua" w:eastAsia="Book Antiqua" w:cs="Book Antiqua"/>
          <w:b/>
          <w:color w:val="000000"/>
        </w:rPr>
        <w:t xml:space="preserve">P-Reviewer: </w:t>
      </w:r>
      <w:r>
        <w:rPr>
          <w:rFonts w:ascii="Book Antiqua" w:hAnsi="Book Antiqua" w:eastAsia="Book Antiqua" w:cs="Book Antiqua"/>
          <w:color w:val="000000"/>
        </w:rPr>
        <w:t>OOMMEN AT, India; Primadhi RA, Indonesia</w:t>
      </w:r>
      <w:r>
        <w:rPr>
          <w:rFonts w:ascii="Book Antiqua" w:hAnsi="Book Antiqua" w:eastAsia="Book Antiqua" w:cs="Book Antiqua"/>
          <w:b/>
          <w:color w:val="000000"/>
        </w:rPr>
        <w:t xml:space="preserve"> S-Editor: </w:t>
      </w:r>
      <w:r>
        <w:rPr>
          <w:rFonts w:ascii="Book Antiqua" w:hAnsi="Book Antiqua" w:eastAsia="Book Antiqua" w:cs="Book Antiqua"/>
          <w:color w:val="000000"/>
        </w:rPr>
        <w:t>Liu JH</w:t>
      </w:r>
      <w:r>
        <w:rPr>
          <w:rFonts w:ascii="Book Antiqua" w:hAnsi="Book Antiqua" w:eastAsia="Book Antiqua" w:cs="Book Antiqua"/>
          <w:b/>
          <w:color w:val="000000"/>
        </w:rPr>
        <w:t xml:space="preserve"> L-Editor: </w:t>
      </w:r>
      <w:r>
        <w:rPr>
          <w:rFonts w:ascii="Book Antiqua" w:hAnsi="Book Antiqua" w:eastAsia="宋体" w:cs="Book Antiqua"/>
          <w:bCs/>
          <w:color w:val="000000"/>
          <w:lang w:eastAsia="zh-CN"/>
        </w:rPr>
        <w:t>Wang TQ</w:t>
      </w:r>
      <w:r>
        <w:rPr>
          <w:rFonts w:ascii="Book Antiqua" w:hAnsi="Book Antiqua" w:eastAsia="Book Antiqua" w:cs="Book Antiqua"/>
          <w:b/>
          <w:color w:val="000000"/>
        </w:rPr>
        <w:t xml:space="preserve"> P-Editor:</w:t>
      </w:r>
      <w:r>
        <w:rPr>
          <w:rFonts w:ascii="Book Antiqua" w:hAnsi="Book Antiqua" w:eastAsia="Book Antiqua" w:cs="Book Antiqua"/>
          <w:color w:val="000000"/>
        </w:rPr>
        <w:t xml:space="preserve"> Liu JH</w:t>
      </w:r>
    </w:p>
    <w:p>
      <w:pPr>
        <w:rPr>
          <w:rFonts w:ascii="Book Antiqua" w:hAnsi="Book Antiqua" w:eastAsia="Book Antiqua" w:cs="Book Antiqua"/>
          <w:b/>
          <w:color w:val="000000"/>
        </w:rPr>
      </w:pPr>
      <w:r>
        <w:rPr>
          <w:rFonts w:ascii="Book Antiqua" w:hAnsi="Book Antiqua" w:eastAsia="Book Antiqua" w:cs="Book Antiqua"/>
          <w:b/>
          <w:color w:val="000000"/>
        </w:rPr>
        <w:br w:type="page"/>
      </w:r>
    </w:p>
    <w:p>
      <w:pPr>
        <w:spacing w:line="360" w:lineRule="auto"/>
        <w:jc w:val="both"/>
        <w:rPr>
          <w:rFonts w:ascii="Book Antiqua" w:hAnsi="Book Antiqua"/>
        </w:rPr>
        <w:sectPr>
          <w:footerReference r:id="rId3" w:type="default"/>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rPr>
      </w:pPr>
      <w:r>
        <w:rPr>
          <w:rFonts w:ascii="Book Antiqua" w:hAnsi="Book Antiqua" w:eastAsia="Book Antiqua" w:cs="Book Antiqua"/>
          <w:b/>
          <w:color w:val="000000"/>
        </w:rPr>
        <w:t>Figure Legends</w:t>
      </w:r>
    </w:p>
    <w:p>
      <w:pPr>
        <w:spacing w:line="360" w:lineRule="auto"/>
        <w:jc w:val="both"/>
        <w:rPr>
          <w:rFonts w:ascii="Book Antiqua" w:hAnsi="Book Antiqua" w:eastAsia="Book Antiqua" w:cs="Book Antiqua"/>
          <w:b/>
          <w:bCs/>
          <w:color w:val="000000"/>
        </w:rPr>
      </w:pPr>
      <w:r>
        <w:rPr>
          <w:lang w:eastAsia="zh-CN"/>
        </w:rPr>
        <w:drawing>
          <wp:inline distT="0" distB="0" distL="114300" distR="114300">
            <wp:extent cx="5711825" cy="4373880"/>
            <wp:effectExtent l="0" t="0" r="3175" b="0"/>
            <wp:docPr id="8" name="图片 8" descr="WJCC-11-2321-g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WJCC-11-2321-g001"/>
                    <pic:cNvPicPr>
                      <a:picLocks noChangeAspect="1"/>
                    </pic:cNvPicPr>
                  </pic:nvPicPr>
                  <pic:blipFill>
                    <a:blip r:embed="rId5"/>
                    <a:stretch>
                      <a:fillRect/>
                    </a:stretch>
                  </pic:blipFill>
                  <pic:spPr>
                    <a:xfrm>
                      <a:off x="0" y="0"/>
                      <a:ext cx="5711825" cy="4373880"/>
                    </a:xfrm>
                    <a:prstGeom prst="rect">
                      <a:avLst/>
                    </a:prstGeom>
                  </pic:spPr>
                </pic:pic>
              </a:graphicData>
            </a:graphic>
          </wp:inline>
        </w:drawing>
      </w:r>
    </w:p>
    <w:p>
      <w:pPr>
        <w:spacing w:line="360" w:lineRule="auto"/>
        <w:jc w:val="both"/>
        <w:rPr>
          <w:rFonts w:ascii="Book Antiqua" w:hAnsi="Book Antiqua"/>
        </w:rPr>
      </w:pPr>
      <w:r>
        <w:rPr>
          <w:rFonts w:ascii="Book Antiqua" w:hAnsi="Book Antiqua" w:eastAsia="Book Antiqua" w:cs="Book Antiqua"/>
          <w:b/>
          <w:bCs/>
          <w:color w:val="000000"/>
        </w:rPr>
        <w:t>Figure 1</w:t>
      </w:r>
      <w:r>
        <w:rPr>
          <w:rFonts w:ascii="Book Antiqua" w:hAnsi="Book Antiqua" w:eastAsia="Book Antiqua" w:cs="Book Antiqua"/>
          <w:color w:val="000000"/>
        </w:rPr>
        <w:t xml:space="preserve"> </w:t>
      </w:r>
      <w:r>
        <w:rPr>
          <w:rFonts w:ascii="Book Antiqua" w:hAnsi="Book Antiqua" w:eastAsia="Book Antiqua" w:cs="Book Antiqua"/>
          <w:b/>
          <w:bCs/>
          <w:color w:val="000000"/>
        </w:rPr>
        <w:t>X-ray and computed tomography</w:t>
      </w:r>
      <w:r>
        <w:rPr>
          <w:rFonts w:hint="eastAsia" w:ascii="Book Antiqua" w:hAnsi="Book Antiqua" w:eastAsia="宋体" w:cs="Book Antiqua"/>
          <w:b/>
          <w:bCs/>
          <w:color w:val="000000"/>
          <w:lang w:eastAsia="zh-CN"/>
        </w:rPr>
        <w:t xml:space="preserve"> </w:t>
      </w:r>
      <w:r>
        <w:rPr>
          <w:rFonts w:ascii="Book Antiqua" w:hAnsi="Book Antiqua" w:eastAsia="Book Antiqua" w:cs="Book Antiqua"/>
          <w:b/>
          <w:bCs/>
          <w:color w:val="000000"/>
        </w:rPr>
        <w:t xml:space="preserve">images. </w:t>
      </w:r>
      <w:r>
        <w:rPr>
          <w:rFonts w:ascii="Book Antiqua" w:hAnsi="Book Antiqua" w:eastAsia="Book Antiqua" w:cs="Book Antiqua"/>
          <w:color w:val="000000"/>
        </w:rPr>
        <w:t xml:space="preserve">A: Anterior–posterior and lateral X-ray images of the right knee before primary total knee arthroplasty showing an end-stage osteoarthritis of </w:t>
      </w:r>
      <w:r>
        <w:rPr>
          <w:rFonts w:hint="eastAsia" w:ascii="Book Antiqua" w:hAnsi="Book Antiqua" w:eastAsia="宋体" w:cs="Book Antiqua"/>
          <w:color w:val="000000"/>
          <w:lang w:eastAsia="zh-CN"/>
        </w:rPr>
        <w:t xml:space="preserve">the </w:t>
      </w:r>
      <w:r>
        <w:rPr>
          <w:rFonts w:ascii="Book Antiqua" w:hAnsi="Book Antiqua" w:eastAsia="Book Antiqua" w:cs="Book Antiqua"/>
          <w:color w:val="000000"/>
        </w:rPr>
        <w:t xml:space="preserve">right knee with valgus deformity and a hardware fixed on right femur without signs of fracture (December 2018); B: Anterior–posterior and lateral X-ray images of the right knee after the primary total knee arthroplasty showing satisfactory position of the knee prosthesis and that the original hardware was completely removed without fracture (December 2018); C: Anterior–posterior and lateral </w:t>
      </w:r>
      <w:r>
        <w:rPr>
          <w:rFonts w:hint="eastAsia" w:ascii="Book Antiqua" w:hAnsi="Book Antiqua" w:eastAsia="宋体" w:cs="Book Antiqua"/>
          <w:color w:val="000000"/>
          <w:lang w:eastAsia="zh-CN"/>
        </w:rPr>
        <w:t>X</w:t>
      </w:r>
      <w:r>
        <w:rPr>
          <w:rFonts w:ascii="Book Antiqua" w:hAnsi="Book Antiqua" w:eastAsia="Book Antiqua" w:cs="Book Antiqua"/>
          <w:color w:val="000000"/>
        </w:rPr>
        <w:t>-ray images of the right knee after fall</w:t>
      </w:r>
      <w:r>
        <w:rPr>
          <w:rFonts w:hint="eastAsia" w:ascii="Book Antiqua" w:hAnsi="Book Antiqua" w:eastAsia="宋体" w:cs="Book Antiqua"/>
          <w:color w:val="000000"/>
          <w:lang w:eastAsia="zh-CN"/>
        </w:rPr>
        <w:t xml:space="preserve"> showing </w:t>
      </w:r>
      <w:r>
        <w:rPr>
          <w:rFonts w:ascii="Book Antiqua" w:hAnsi="Book Antiqua" w:eastAsia="Book Antiqua" w:cs="Book Antiqua"/>
          <w:color w:val="000000"/>
        </w:rPr>
        <w:t xml:space="preserve">the distal femur fracture with significant displacement and </w:t>
      </w:r>
      <w:r>
        <w:rPr>
          <w:rFonts w:hint="eastAsia" w:ascii="Book Antiqua" w:hAnsi="Book Antiqua" w:eastAsia="宋体" w:cs="Book Antiqua"/>
          <w:color w:val="000000"/>
          <w:lang w:eastAsia="zh-CN"/>
        </w:rPr>
        <w:t xml:space="preserve">that </w:t>
      </w:r>
      <w:r>
        <w:rPr>
          <w:rFonts w:ascii="Book Antiqua" w:hAnsi="Book Antiqua" w:eastAsia="Book Antiqua" w:cs="Book Antiqua"/>
          <w:color w:val="000000"/>
        </w:rPr>
        <w:t>the knee prosthesis was seemingly stable (July 2019); D: Three-dimensional computed tomography (CT) images showing fractures of the right distal femur with severe displacement (July 2019); E: Coronal and sagittal CT</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images showing radiolucent lines around the femoral and tibial prosthesis (July 2019).</w:t>
      </w:r>
    </w:p>
    <w:p>
      <w:pPr>
        <w:spacing w:line="360" w:lineRule="auto"/>
        <w:jc w:val="both"/>
        <w:rPr>
          <w:rFonts w:ascii="Book Antiqua" w:hAnsi="Book Antiqua" w:eastAsia="Book Antiqua" w:cs="Book Antiqua"/>
          <w:b/>
          <w:bCs/>
          <w:color w:val="000000"/>
        </w:rPr>
      </w:pPr>
      <w:r>
        <w:rPr>
          <w:rFonts w:ascii="Book Antiqua" w:hAnsi="Book Antiqua" w:eastAsia="Book Antiqua" w:cs="Book Antiqua"/>
          <w:b/>
          <w:bCs/>
          <w:color w:val="000000"/>
        </w:rPr>
        <w:drawing>
          <wp:inline distT="0" distB="0" distL="114300" distR="114300">
            <wp:extent cx="3999230" cy="2496185"/>
            <wp:effectExtent l="0" t="0" r="8890" b="3175"/>
            <wp:docPr id="9" name="图片 9" descr="WJCC-11-2321-g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WJCC-11-2321-g002"/>
                    <pic:cNvPicPr>
                      <a:picLocks noChangeAspect="1"/>
                    </pic:cNvPicPr>
                  </pic:nvPicPr>
                  <pic:blipFill>
                    <a:blip r:embed="rId6"/>
                    <a:stretch>
                      <a:fillRect/>
                    </a:stretch>
                  </pic:blipFill>
                  <pic:spPr>
                    <a:xfrm>
                      <a:off x="0" y="0"/>
                      <a:ext cx="3999230" cy="2496185"/>
                    </a:xfrm>
                    <a:prstGeom prst="rect">
                      <a:avLst/>
                    </a:prstGeom>
                  </pic:spPr>
                </pic:pic>
              </a:graphicData>
            </a:graphic>
          </wp:inline>
        </w:drawing>
      </w:r>
    </w:p>
    <w:p>
      <w:pPr>
        <w:spacing w:line="360" w:lineRule="auto"/>
        <w:jc w:val="both"/>
        <w:rPr>
          <w:rFonts w:ascii="Book Antiqua" w:hAnsi="Book Antiqua" w:cs="Book Antiqua"/>
          <w:color w:val="000000"/>
          <w:lang w:eastAsia="zh-CN"/>
        </w:rPr>
      </w:pPr>
      <w:r>
        <w:rPr>
          <w:rFonts w:ascii="Book Antiqua" w:hAnsi="Book Antiqua" w:eastAsia="Book Antiqua" w:cs="Book Antiqua"/>
          <w:b/>
          <w:bCs/>
          <w:color w:val="000000"/>
        </w:rPr>
        <w:t>Figure 2</w:t>
      </w:r>
      <w:r>
        <w:rPr>
          <w:rFonts w:ascii="Book Antiqua" w:hAnsi="Book Antiqua" w:eastAsia="Book Antiqua" w:cs="Book Antiqua"/>
          <w:color w:val="000000"/>
        </w:rPr>
        <w:t xml:space="preserve"> </w:t>
      </w:r>
      <w:r>
        <w:rPr>
          <w:rFonts w:ascii="Book Antiqua" w:hAnsi="Book Antiqua" w:eastAsia="Book Antiqua" w:cs="Book Antiqua"/>
          <w:b/>
          <w:bCs/>
          <w:color w:val="000000"/>
        </w:rPr>
        <w:t xml:space="preserve">X-ray and intraoperative images. </w:t>
      </w:r>
      <w:r>
        <w:rPr>
          <w:rFonts w:ascii="Book Antiqua" w:hAnsi="Book Antiqua" w:eastAsia="Book Antiqua" w:cs="Book Antiqua"/>
          <w:color w:val="000000"/>
        </w:rPr>
        <w:t xml:space="preserve">A: Anterior–posterior and lateral X-ray images of the right knee after the first stage operation showing favorable position of </w:t>
      </w:r>
      <w:r>
        <w:rPr>
          <w:rFonts w:hint="eastAsia" w:ascii="Book Antiqua" w:hAnsi="Book Antiqua" w:eastAsia="宋体" w:cs="Book Antiqua"/>
          <w:color w:val="000000"/>
          <w:lang w:eastAsia="zh-CN"/>
        </w:rPr>
        <w:t xml:space="preserve">the </w:t>
      </w:r>
      <w:r>
        <w:rPr>
          <w:rFonts w:ascii="Book Antiqua" w:hAnsi="Book Antiqua" w:eastAsia="Book Antiqua" w:cs="Book Antiqua"/>
          <w:color w:val="000000"/>
        </w:rPr>
        <w:t>cement spacer and satisfactory reduction and fixation of the femoral fracture (July 2019); B: A hand-made T-shaped antibiotic-laden cement spacer for knee gap occupation and femoral fracture fixation.</w:t>
      </w:r>
    </w:p>
    <w:p>
      <w:pPr>
        <w:rPr>
          <w:rFonts w:ascii="Book Antiqua" w:hAnsi="Book Antiqua"/>
          <w:lang w:eastAsia="zh-CN"/>
        </w:rPr>
      </w:pPr>
      <w:r>
        <w:rPr>
          <w:rFonts w:ascii="Book Antiqua" w:hAnsi="Book Antiqua"/>
          <w:lang w:eastAsia="zh-CN"/>
        </w:rPr>
        <w:br w:type="page"/>
      </w:r>
    </w:p>
    <w:p>
      <w:pPr>
        <w:spacing w:line="360" w:lineRule="auto"/>
        <w:jc w:val="both"/>
        <w:rPr>
          <w:rFonts w:ascii="Book Antiqua" w:hAnsi="Book Antiqua" w:eastAsia="Book Antiqua" w:cs="Book Antiqua"/>
          <w:b/>
          <w:bCs/>
          <w:color w:val="000000"/>
        </w:rPr>
      </w:pPr>
      <w:r>
        <w:rPr>
          <w:rFonts w:ascii="Book Antiqua" w:hAnsi="Book Antiqua" w:eastAsia="Book Antiqua" w:cs="Book Antiqua"/>
          <w:b/>
          <w:bCs/>
          <w:color w:val="000000"/>
        </w:rPr>
        <w:drawing>
          <wp:inline distT="0" distB="0" distL="114300" distR="114300">
            <wp:extent cx="5629910" cy="2240280"/>
            <wp:effectExtent l="0" t="0" r="8890" b="0"/>
            <wp:docPr id="10" name="图片 10" descr="WJCC-11-2321-g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WJCC-11-2321-g003"/>
                    <pic:cNvPicPr>
                      <a:picLocks noChangeAspect="1"/>
                    </pic:cNvPicPr>
                  </pic:nvPicPr>
                  <pic:blipFill>
                    <a:blip r:embed="rId7"/>
                    <a:stretch>
                      <a:fillRect/>
                    </a:stretch>
                  </pic:blipFill>
                  <pic:spPr>
                    <a:xfrm>
                      <a:off x="0" y="0"/>
                      <a:ext cx="5629910" cy="2240280"/>
                    </a:xfrm>
                    <a:prstGeom prst="rect">
                      <a:avLst/>
                    </a:prstGeom>
                  </pic:spPr>
                </pic:pic>
              </a:graphicData>
            </a:graphic>
          </wp:inline>
        </w:drawing>
      </w:r>
    </w:p>
    <w:p>
      <w:pPr>
        <w:spacing w:line="360" w:lineRule="auto"/>
        <w:jc w:val="both"/>
        <w:rPr>
          <w:rFonts w:ascii="Book Antiqua" w:hAnsi="Book Antiqua" w:cs="Book Antiqua"/>
          <w:color w:val="000000"/>
          <w:lang w:eastAsia="zh-CN"/>
        </w:rPr>
      </w:pPr>
      <w:r>
        <w:rPr>
          <w:rFonts w:ascii="Book Antiqua" w:hAnsi="Book Antiqua" w:eastAsia="Book Antiqua" w:cs="Book Antiqua"/>
          <w:b/>
          <w:bCs/>
          <w:color w:val="000000"/>
        </w:rPr>
        <w:t xml:space="preserve">Figure 3 X-ray images. </w:t>
      </w:r>
      <w:r>
        <w:rPr>
          <w:rFonts w:ascii="Book Antiqua" w:hAnsi="Book Antiqua" w:eastAsia="Book Antiqua" w:cs="Book Antiqua"/>
          <w:color w:val="000000"/>
        </w:rPr>
        <w:t xml:space="preserve">A: Anterior–posterior and lateral X-ray images of the right knee before the second stage operation showing that the cement spacer slightly displaced to the medial side, the proximal end of internal fixator came out through the middle femoral shaft, callus formed at the previous fracture of </w:t>
      </w:r>
      <w:r>
        <w:rPr>
          <w:rFonts w:hint="eastAsia" w:ascii="Book Antiqua" w:hAnsi="Book Antiqua" w:eastAsia="宋体" w:cs="Book Antiqua"/>
          <w:color w:val="000000"/>
          <w:lang w:eastAsia="zh-CN"/>
        </w:rPr>
        <w:t xml:space="preserve">the </w:t>
      </w:r>
      <w:r>
        <w:rPr>
          <w:rFonts w:ascii="Book Antiqua" w:hAnsi="Book Antiqua" w:eastAsia="Book Antiqua" w:cs="Book Antiqua"/>
          <w:color w:val="000000"/>
        </w:rPr>
        <w:t xml:space="preserve">femur but not healing yet, and bone defects existed in </w:t>
      </w:r>
      <w:r>
        <w:rPr>
          <w:rFonts w:hint="eastAsia" w:ascii="Book Antiqua" w:hAnsi="Book Antiqua" w:eastAsia="宋体" w:cs="Book Antiqua"/>
          <w:color w:val="000000"/>
          <w:lang w:eastAsia="zh-CN"/>
        </w:rPr>
        <w:t xml:space="preserve">the </w:t>
      </w:r>
      <w:r>
        <w:rPr>
          <w:rFonts w:ascii="Book Antiqua" w:hAnsi="Book Antiqua" w:eastAsia="Book Antiqua" w:cs="Book Antiqua"/>
          <w:color w:val="000000"/>
        </w:rPr>
        <w:t>distal femur and proximal tibia</w:t>
      </w:r>
      <w:r>
        <w:rPr>
          <w:rFonts w:hint="eastAsia" w:ascii="Book Antiqua" w:hAnsi="Book Antiqua" w:eastAsia="宋体" w:cs="Book Antiqua"/>
          <w:color w:val="000000"/>
          <w:lang w:eastAsia="zh-CN"/>
        </w:rPr>
        <w:t>,</w:t>
      </w:r>
      <w:r>
        <w:rPr>
          <w:rFonts w:ascii="Book Antiqua" w:hAnsi="Book Antiqua" w:eastAsia="Book Antiqua" w:cs="Book Antiqua"/>
          <w:color w:val="000000"/>
        </w:rPr>
        <w:t xml:space="preserve"> which resulted in valgus deformity of the right knee (May 2020); B and C: Anterior–posterior and lateral X-ray images of the right knee after the second stage operation showing no loosening of cemented revision knee prosthesis and that the femoral fracture was fixed with intramedullary stem and extramedullary cortical splints (May 2020).</w:t>
      </w:r>
    </w:p>
    <w:p>
      <w:pPr>
        <w:rPr>
          <w:rFonts w:ascii="Book Antiqua" w:hAnsi="Book Antiqua"/>
          <w:lang w:eastAsia="zh-CN"/>
        </w:rPr>
      </w:pPr>
      <w:r>
        <w:rPr>
          <w:rFonts w:ascii="Book Antiqua" w:hAnsi="Book Antiqua"/>
          <w:lang w:eastAsia="zh-CN"/>
        </w:rPr>
        <w:br w:type="page"/>
      </w:r>
    </w:p>
    <w:p>
      <w:pPr>
        <w:spacing w:line="360" w:lineRule="auto"/>
        <w:jc w:val="both"/>
        <w:rPr>
          <w:rFonts w:ascii="Book Antiqua" w:hAnsi="Book Antiqua" w:eastAsia="Book Antiqua" w:cs="Book Antiqua"/>
          <w:b/>
          <w:bCs/>
          <w:color w:val="000000"/>
        </w:rPr>
      </w:pPr>
      <w:r>
        <w:rPr>
          <w:rFonts w:ascii="Book Antiqua" w:hAnsi="Book Antiqua" w:eastAsia="Book Antiqua" w:cs="Book Antiqua"/>
          <w:b/>
          <w:bCs/>
          <w:color w:val="000000"/>
        </w:rPr>
        <w:drawing>
          <wp:inline distT="0" distB="0" distL="114300" distR="114300">
            <wp:extent cx="2715895" cy="2614930"/>
            <wp:effectExtent l="0" t="0" r="12065" b="6350"/>
            <wp:docPr id="11" name="图片 11" descr="WJCC-11-2321-g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WJCC-11-2321-g004"/>
                    <pic:cNvPicPr>
                      <a:picLocks noChangeAspect="1"/>
                    </pic:cNvPicPr>
                  </pic:nvPicPr>
                  <pic:blipFill>
                    <a:blip r:embed="rId8"/>
                    <a:stretch>
                      <a:fillRect/>
                    </a:stretch>
                  </pic:blipFill>
                  <pic:spPr>
                    <a:xfrm>
                      <a:off x="0" y="0"/>
                      <a:ext cx="2715895" cy="2614930"/>
                    </a:xfrm>
                    <a:prstGeom prst="rect">
                      <a:avLst/>
                    </a:prstGeom>
                  </pic:spPr>
                </pic:pic>
              </a:graphicData>
            </a:graphic>
          </wp:inline>
        </w:drawing>
      </w:r>
      <w:bookmarkStart w:id="0" w:name="_GoBack"/>
      <w:bookmarkEnd w:id="0"/>
    </w:p>
    <w:p>
      <w:pPr>
        <w:spacing w:line="360" w:lineRule="auto"/>
        <w:jc w:val="both"/>
        <w:rPr>
          <w:rFonts w:ascii="Book Antiqua" w:hAnsi="Book Antiqua" w:eastAsia="Book Antiqua" w:cs="Book Antiqua"/>
          <w:color w:val="000000"/>
        </w:rPr>
      </w:pPr>
      <w:r>
        <w:rPr>
          <w:rFonts w:ascii="Book Antiqua" w:hAnsi="Book Antiqua" w:eastAsia="Book Antiqua" w:cs="Book Antiqua"/>
          <w:b/>
          <w:bCs/>
          <w:color w:val="000000"/>
        </w:rPr>
        <w:t xml:space="preserve">Figure 4 X-ray images. </w:t>
      </w:r>
      <w:r>
        <w:rPr>
          <w:rFonts w:ascii="Book Antiqua" w:hAnsi="Book Antiqua" w:eastAsia="Book Antiqua" w:cs="Book Antiqua"/>
          <w:color w:val="000000"/>
        </w:rPr>
        <w:t>Anterior–posterior and lateral X-ray images showing a large amount of new bone formed between the cortical splits and femoral shaft with no loosening of the knee prosthesis (August 2022).</w:t>
      </w:r>
    </w:p>
    <w:p>
      <w:pPr>
        <w:autoSpaceDE w:val="0"/>
        <w:autoSpaceDN w:val="0"/>
        <w:adjustRightInd w:val="0"/>
        <w:spacing w:line="360" w:lineRule="auto"/>
        <w:jc w:val="both"/>
        <w:rPr>
          <w:rFonts w:ascii="Book Antiqua" w:hAnsi="Book Antiqua" w:eastAsia="WarnockPro-Regular"/>
        </w:rPr>
      </w:pPr>
      <w:r>
        <w:rPr>
          <w:rFonts w:ascii="Book Antiqua" w:hAnsi="Book Antiqua" w:eastAsia="Book Antiqua" w:cs="Book Antiqua"/>
          <w:color w:val="000000"/>
        </w:rPr>
        <w:br w:type="page"/>
      </w:r>
      <w:r>
        <w:rPr>
          <w:rFonts w:ascii="Book Antiqua" w:hAnsi="Book Antiqua" w:eastAsia="WarnockPro-Regular"/>
          <w:b/>
        </w:rPr>
        <w:t>Table 1 Overview of the timeline of the clinical history, diagnosis, and treatment</w:t>
      </w:r>
    </w:p>
    <w:tbl>
      <w:tblPr>
        <w:tblStyle w:val="5"/>
        <w:tblW w:w="9356" w:type="dxa"/>
        <w:tblInd w:w="108" w:type="dxa"/>
        <w:tblLayout w:type="autofit"/>
        <w:tblCellMar>
          <w:top w:w="0" w:type="dxa"/>
          <w:left w:w="108" w:type="dxa"/>
          <w:bottom w:w="0" w:type="dxa"/>
          <w:right w:w="108" w:type="dxa"/>
        </w:tblCellMar>
      </w:tblPr>
      <w:tblGrid>
        <w:gridCol w:w="1843"/>
        <w:gridCol w:w="3260"/>
        <w:gridCol w:w="4253"/>
      </w:tblGrid>
      <w:tr>
        <w:tblPrEx>
          <w:tblCellMar>
            <w:top w:w="0" w:type="dxa"/>
            <w:left w:w="108" w:type="dxa"/>
            <w:bottom w:w="0" w:type="dxa"/>
            <w:right w:w="108" w:type="dxa"/>
          </w:tblCellMar>
        </w:tblPrEx>
        <w:trPr>
          <w:trHeight w:val="115" w:hRule="atLeast"/>
        </w:trPr>
        <w:tc>
          <w:tcPr>
            <w:tcW w:w="1843" w:type="dxa"/>
            <w:tcBorders>
              <w:top w:val="single" w:color="auto" w:sz="4" w:space="0"/>
              <w:left w:val="nil"/>
              <w:bottom w:val="single" w:color="auto" w:sz="4" w:space="0"/>
              <w:right w:val="nil"/>
            </w:tcBorders>
            <w:shd w:val="clear" w:color="auto" w:fill="auto"/>
            <w:vAlign w:val="center"/>
          </w:tcPr>
          <w:p>
            <w:pPr>
              <w:spacing w:line="360" w:lineRule="auto"/>
              <w:jc w:val="both"/>
              <w:rPr>
                <w:rFonts w:ascii="Book Antiqua" w:hAnsi="Book Antiqua" w:eastAsia="等线" w:cs="宋体"/>
                <w:b/>
                <w:color w:val="000000"/>
                <w:lang w:eastAsia="zh-CN"/>
              </w:rPr>
            </w:pPr>
            <w:r>
              <w:rPr>
                <w:rFonts w:ascii="Book Antiqua" w:hAnsi="Book Antiqua" w:eastAsia="等线" w:cs="宋体"/>
                <w:b/>
                <w:color w:val="000000"/>
                <w:lang w:eastAsia="zh-CN"/>
              </w:rPr>
              <w:t>Date</w:t>
            </w:r>
          </w:p>
        </w:tc>
        <w:tc>
          <w:tcPr>
            <w:tcW w:w="3260" w:type="dxa"/>
            <w:tcBorders>
              <w:top w:val="single" w:color="auto" w:sz="4" w:space="0"/>
              <w:left w:val="nil"/>
              <w:bottom w:val="single" w:color="auto" w:sz="4" w:space="0"/>
              <w:right w:val="nil"/>
            </w:tcBorders>
            <w:shd w:val="clear" w:color="auto" w:fill="auto"/>
            <w:vAlign w:val="center"/>
          </w:tcPr>
          <w:p>
            <w:pPr>
              <w:spacing w:line="360" w:lineRule="auto"/>
              <w:jc w:val="both"/>
              <w:rPr>
                <w:rFonts w:ascii="Book Antiqua" w:hAnsi="Book Antiqua" w:eastAsia="等线" w:cs="宋体"/>
                <w:b/>
                <w:color w:val="000000"/>
                <w:lang w:eastAsia="zh-CN"/>
              </w:rPr>
            </w:pPr>
            <w:r>
              <w:rPr>
                <w:rFonts w:ascii="Book Antiqua" w:hAnsi="Book Antiqua" w:eastAsia="等线" w:cs="宋体"/>
                <w:b/>
                <w:color w:val="000000"/>
                <w:lang w:eastAsia="zh-CN"/>
              </w:rPr>
              <w:t>Diagnosis</w:t>
            </w:r>
          </w:p>
        </w:tc>
        <w:tc>
          <w:tcPr>
            <w:tcW w:w="4253" w:type="dxa"/>
            <w:tcBorders>
              <w:top w:val="single" w:color="auto" w:sz="4" w:space="0"/>
              <w:left w:val="nil"/>
              <w:bottom w:val="single" w:color="auto" w:sz="4" w:space="0"/>
              <w:right w:val="nil"/>
            </w:tcBorders>
            <w:shd w:val="clear" w:color="auto" w:fill="auto"/>
            <w:vAlign w:val="center"/>
          </w:tcPr>
          <w:p>
            <w:pPr>
              <w:spacing w:line="360" w:lineRule="auto"/>
              <w:jc w:val="both"/>
              <w:rPr>
                <w:rFonts w:ascii="Book Antiqua" w:hAnsi="Book Antiqua" w:eastAsia="等线" w:cs="宋体"/>
                <w:b/>
                <w:color w:val="000000"/>
                <w:lang w:eastAsia="zh-CN"/>
              </w:rPr>
            </w:pPr>
            <w:r>
              <w:rPr>
                <w:rFonts w:ascii="Book Antiqua" w:hAnsi="Book Antiqua" w:eastAsia="等线" w:cs="宋体"/>
                <w:b/>
                <w:color w:val="000000"/>
                <w:lang w:eastAsia="zh-CN"/>
              </w:rPr>
              <w:t>Treatment</w:t>
            </w:r>
          </w:p>
        </w:tc>
      </w:tr>
      <w:tr>
        <w:tblPrEx>
          <w:tblCellMar>
            <w:top w:w="0" w:type="dxa"/>
            <w:left w:w="108" w:type="dxa"/>
            <w:bottom w:w="0" w:type="dxa"/>
            <w:right w:w="108" w:type="dxa"/>
          </w:tblCellMar>
        </w:tblPrEx>
        <w:trPr>
          <w:trHeight w:val="48" w:hRule="atLeast"/>
        </w:trPr>
        <w:tc>
          <w:tcPr>
            <w:tcW w:w="1843" w:type="dxa"/>
            <w:tcBorders>
              <w:top w:val="single" w:color="auto" w:sz="4" w:space="0"/>
              <w:left w:val="nil"/>
              <w:bottom w:val="nil"/>
              <w:right w:val="nil"/>
            </w:tcBorders>
            <w:shd w:val="clear" w:color="auto" w:fill="auto"/>
            <w:vAlign w:val="center"/>
          </w:tcPr>
          <w:p>
            <w:pPr>
              <w:spacing w:line="360" w:lineRule="auto"/>
              <w:jc w:val="both"/>
              <w:rPr>
                <w:rFonts w:ascii="Book Antiqua" w:hAnsi="Book Antiqua" w:eastAsia="等线" w:cs="宋体"/>
                <w:color w:val="000000"/>
                <w:lang w:eastAsia="zh-CN"/>
              </w:rPr>
            </w:pPr>
            <w:r>
              <w:rPr>
                <w:rFonts w:ascii="Book Antiqua" w:hAnsi="Book Antiqua" w:eastAsia="等线" w:cs="宋体"/>
                <w:color w:val="000000"/>
                <w:lang w:eastAsia="zh-CN"/>
              </w:rPr>
              <w:t>November 17</w:t>
            </w:r>
          </w:p>
        </w:tc>
        <w:tc>
          <w:tcPr>
            <w:tcW w:w="3260" w:type="dxa"/>
            <w:tcBorders>
              <w:top w:val="single" w:color="auto" w:sz="4" w:space="0"/>
              <w:left w:val="nil"/>
              <w:bottom w:val="nil"/>
              <w:right w:val="nil"/>
            </w:tcBorders>
            <w:shd w:val="clear" w:color="auto" w:fill="auto"/>
            <w:vAlign w:val="center"/>
          </w:tcPr>
          <w:p>
            <w:pPr>
              <w:spacing w:line="360" w:lineRule="auto"/>
              <w:jc w:val="both"/>
              <w:rPr>
                <w:rFonts w:ascii="Book Antiqua" w:hAnsi="Book Antiqua" w:eastAsia="等线" w:cs="宋体"/>
                <w:color w:val="000000"/>
                <w:lang w:eastAsia="zh-CN"/>
              </w:rPr>
            </w:pPr>
            <w:r>
              <w:rPr>
                <w:rFonts w:ascii="Book Antiqua" w:hAnsi="Book Antiqua" w:eastAsia="等线" w:cs="宋体"/>
                <w:color w:val="000000"/>
                <w:lang w:eastAsia="zh-CN"/>
              </w:rPr>
              <w:t>Right femoral fracture</w:t>
            </w:r>
          </w:p>
        </w:tc>
        <w:tc>
          <w:tcPr>
            <w:tcW w:w="4253" w:type="dxa"/>
            <w:tcBorders>
              <w:top w:val="single" w:color="auto" w:sz="4" w:space="0"/>
              <w:left w:val="nil"/>
              <w:bottom w:val="nil"/>
              <w:right w:val="nil"/>
            </w:tcBorders>
            <w:shd w:val="clear" w:color="auto" w:fill="auto"/>
            <w:vAlign w:val="center"/>
          </w:tcPr>
          <w:p>
            <w:pPr>
              <w:spacing w:line="360" w:lineRule="auto"/>
              <w:jc w:val="both"/>
              <w:rPr>
                <w:rFonts w:ascii="Book Antiqua" w:hAnsi="Book Antiqua" w:eastAsia="等线" w:cs="宋体"/>
                <w:color w:val="000000"/>
                <w:lang w:eastAsia="zh-CN"/>
              </w:rPr>
            </w:pPr>
            <w:r>
              <w:rPr>
                <w:rFonts w:ascii="Book Antiqua" w:hAnsi="Book Antiqua" w:eastAsia="等线" w:cs="宋体"/>
                <w:color w:val="000000"/>
                <w:lang w:eastAsia="zh-CN"/>
              </w:rPr>
              <w:t>ORIF</w:t>
            </w:r>
          </w:p>
        </w:tc>
      </w:tr>
      <w:tr>
        <w:tblPrEx>
          <w:tblCellMar>
            <w:top w:w="0" w:type="dxa"/>
            <w:left w:w="108" w:type="dxa"/>
            <w:bottom w:w="0" w:type="dxa"/>
            <w:right w:w="108" w:type="dxa"/>
          </w:tblCellMar>
        </w:tblPrEx>
        <w:trPr>
          <w:trHeight w:val="355" w:hRule="atLeast"/>
        </w:trPr>
        <w:tc>
          <w:tcPr>
            <w:tcW w:w="1843" w:type="dxa"/>
            <w:tcBorders>
              <w:top w:val="nil"/>
              <w:left w:val="nil"/>
              <w:bottom w:val="nil"/>
              <w:right w:val="nil"/>
            </w:tcBorders>
            <w:shd w:val="clear" w:color="auto" w:fill="auto"/>
            <w:vAlign w:val="center"/>
          </w:tcPr>
          <w:p>
            <w:pPr>
              <w:spacing w:line="360" w:lineRule="auto"/>
              <w:jc w:val="both"/>
              <w:rPr>
                <w:rFonts w:ascii="Book Antiqua" w:hAnsi="Book Antiqua" w:eastAsia="等线" w:cs="宋体"/>
                <w:color w:val="000000"/>
                <w:lang w:eastAsia="zh-CN"/>
              </w:rPr>
            </w:pPr>
            <w:r>
              <w:rPr>
                <w:rFonts w:ascii="Book Antiqua" w:hAnsi="Book Antiqua" w:eastAsia="等线" w:cs="宋体"/>
                <w:color w:val="000000"/>
                <w:lang w:eastAsia="zh-CN"/>
              </w:rPr>
              <w:t>December 18</w:t>
            </w:r>
          </w:p>
        </w:tc>
        <w:tc>
          <w:tcPr>
            <w:tcW w:w="3260" w:type="dxa"/>
            <w:tcBorders>
              <w:top w:val="nil"/>
              <w:left w:val="nil"/>
              <w:bottom w:val="nil"/>
              <w:right w:val="nil"/>
            </w:tcBorders>
            <w:shd w:val="clear" w:color="auto" w:fill="auto"/>
            <w:vAlign w:val="center"/>
          </w:tcPr>
          <w:p>
            <w:pPr>
              <w:spacing w:line="360" w:lineRule="auto"/>
              <w:jc w:val="both"/>
              <w:rPr>
                <w:rFonts w:ascii="Book Antiqua" w:hAnsi="Book Antiqua" w:eastAsia="等线" w:cs="宋体"/>
                <w:color w:val="000000"/>
                <w:lang w:eastAsia="zh-CN"/>
              </w:rPr>
            </w:pPr>
            <w:r>
              <w:rPr>
                <w:rFonts w:ascii="Book Antiqua" w:hAnsi="Book Antiqua" w:eastAsia="等线" w:cs="宋体"/>
                <w:color w:val="000000"/>
                <w:lang w:eastAsia="zh-CN"/>
              </w:rPr>
              <w:t>Posttraumatic osteoarthritis of right knee</w:t>
            </w:r>
          </w:p>
        </w:tc>
        <w:tc>
          <w:tcPr>
            <w:tcW w:w="4253" w:type="dxa"/>
            <w:tcBorders>
              <w:top w:val="nil"/>
              <w:left w:val="nil"/>
              <w:bottom w:val="nil"/>
              <w:right w:val="nil"/>
            </w:tcBorders>
            <w:shd w:val="clear" w:color="auto" w:fill="auto"/>
            <w:vAlign w:val="center"/>
          </w:tcPr>
          <w:p>
            <w:pPr>
              <w:spacing w:line="360" w:lineRule="auto"/>
              <w:jc w:val="both"/>
              <w:rPr>
                <w:rFonts w:ascii="Book Antiqua" w:hAnsi="Book Antiqua" w:eastAsia="等线" w:cs="宋体"/>
                <w:color w:val="000000"/>
                <w:lang w:eastAsia="zh-CN"/>
              </w:rPr>
            </w:pPr>
            <w:r>
              <w:rPr>
                <w:rFonts w:ascii="Book Antiqua" w:hAnsi="Book Antiqua" w:eastAsia="等线" w:cs="宋体"/>
                <w:color w:val="000000"/>
                <w:lang w:eastAsia="zh-CN"/>
              </w:rPr>
              <w:t>Removal of internal fixation and TKA</w:t>
            </w:r>
          </w:p>
        </w:tc>
      </w:tr>
      <w:tr>
        <w:tblPrEx>
          <w:tblCellMar>
            <w:top w:w="0" w:type="dxa"/>
            <w:left w:w="108" w:type="dxa"/>
            <w:bottom w:w="0" w:type="dxa"/>
            <w:right w:w="108" w:type="dxa"/>
          </w:tblCellMar>
        </w:tblPrEx>
        <w:trPr>
          <w:trHeight w:val="68" w:hRule="atLeast"/>
        </w:trPr>
        <w:tc>
          <w:tcPr>
            <w:tcW w:w="1843" w:type="dxa"/>
            <w:tcBorders>
              <w:top w:val="nil"/>
              <w:left w:val="nil"/>
              <w:bottom w:val="nil"/>
              <w:right w:val="nil"/>
            </w:tcBorders>
            <w:shd w:val="clear" w:color="auto" w:fill="auto"/>
            <w:vAlign w:val="center"/>
          </w:tcPr>
          <w:p>
            <w:pPr>
              <w:spacing w:line="360" w:lineRule="auto"/>
              <w:jc w:val="both"/>
              <w:rPr>
                <w:rFonts w:ascii="Book Antiqua" w:hAnsi="Book Antiqua" w:eastAsia="等线" w:cs="宋体"/>
                <w:color w:val="000000"/>
                <w:lang w:eastAsia="zh-CN"/>
              </w:rPr>
            </w:pPr>
            <w:r>
              <w:rPr>
                <w:rFonts w:ascii="Book Antiqua" w:hAnsi="Book Antiqua" w:eastAsia="等线" w:cs="宋体"/>
                <w:color w:val="000000"/>
                <w:lang w:eastAsia="zh-CN"/>
              </w:rPr>
              <w:t>April 19</w:t>
            </w:r>
          </w:p>
        </w:tc>
        <w:tc>
          <w:tcPr>
            <w:tcW w:w="3260" w:type="dxa"/>
            <w:tcBorders>
              <w:top w:val="nil"/>
              <w:left w:val="nil"/>
              <w:bottom w:val="nil"/>
              <w:right w:val="nil"/>
            </w:tcBorders>
            <w:shd w:val="clear" w:color="auto" w:fill="auto"/>
            <w:vAlign w:val="center"/>
          </w:tcPr>
          <w:p>
            <w:pPr>
              <w:spacing w:line="360" w:lineRule="auto"/>
              <w:jc w:val="both"/>
              <w:rPr>
                <w:rFonts w:ascii="Book Antiqua" w:hAnsi="Book Antiqua" w:eastAsia="等线" w:cs="宋体"/>
                <w:color w:val="000000"/>
                <w:lang w:eastAsia="zh-CN"/>
              </w:rPr>
            </w:pPr>
            <w:r>
              <w:rPr>
                <w:rFonts w:ascii="Book Antiqua" w:hAnsi="Book Antiqua" w:eastAsia="等线" w:cs="宋体"/>
                <w:color w:val="000000"/>
                <w:lang w:eastAsia="zh-CN"/>
              </w:rPr>
              <w:t>PJI</w:t>
            </w:r>
          </w:p>
        </w:tc>
        <w:tc>
          <w:tcPr>
            <w:tcW w:w="4253" w:type="dxa"/>
            <w:tcBorders>
              <w:top w:val="nil"/>
              <w:left w:val="nil"/>
              <w:bottom w:val="nil"/>
              <w:right w:val="nil"/>
            </w:tcBorders>
            <w:shd w:val="clear" w:color="auto" w:fill="auto"/>
            <w:vAlign w:val="center"/>
          </w:tcPr>
          <w:p>
            <w:pPr>
              <w:spacing w:line="360" w:lineRule="auto"/>
              <w:jc w:val="both"/>
              <w:rPr>
                <w:rFonts w:ascii="Book Antiqua" w:hAnsi="Book Antiqua" w:eastAsia="等线" w:cs="宋体"/>
                <w:color w:val="000000"/>
                <w:lang w:eastAsia="zh-CN"/>
              </w:rPr>
            </w:pPr>
            <w:r>
              <w:rPr>
                <w:rFonts w:ascii="Book Antiqua" w:hAnsi="Book Antiqua" w:eastAsia="等线" w:cs="宋体"/>
                <w:color w:val="000000"/>
                <w:lang w:eastAsia="zh-CN"/>
              </w:rPr>
              <w:t>Antibiotic suppression</w:t>
            </w:r>
          </w:p>
        </w:tc>
      </w:tr>
      <w:tr>
        <w:tblPrEx>
          <w:tblCellMar>
            <w:top w:w="0" w:type="dxa"/>
            <w:left w:w="108" w:type="dxa"/>
            <w:bottom w:w="0" w:type="dxa"/>
            <w:right w:w="108" w:type="dxa"/>
          </w:tblCellMar>
        </w:tblPrEx>
        <w:trPr>
          <w:trHeight w:val="169" w:hRule="atLeast"/>
        </w:trPr>
        <w:tc>
          <w:tcPr>
            <w:tcW w:w="1843" w:type="dxa"/>
            <w:tcBorders>
              <w:top w:val="nil"/>
              <w:left w:val="nil"/>
              <w:right w:val="nil"/>
            </w:tcBorders>
            <w:shd w:val="clear" w:color="auto" w:fill="auto"/>
            <w:vAlign w:val="center"/>
          </w:tcPr>
          <w:p>
            <w:pPr>
              <w:spacing w:line="360" w:lineRule="auto"/>
              <w:jc w:val="both"/>
              <w:rPr>
                <w:rFonts w:ascii="Book Antiqua" w:hAnsi="Book Antiqua" w:eastAsia="等线" w:cs="宋体"/>
                <w:color w:val="000000"/>
                <w:lang w:eastAsia="zh-CN"/>
              </w:rPr>
            </w:pPr>
            <w:r>
              <w:rPr>
                <w:rFonts w:ascii="Book Antiqua" w:hAnsi="Book Antiqua" w:eastAsia="等线" w:cs="宋体"/>
                <w:color w:val="000000"/>
                <w:lang w:eastAsia="zh-CN"/>
              </w:rPr>
              <w:t>July 19</w:t>
            </w:r>
          </w:p>
        </w:tc>
        <w:tc>
          <w:tcPr>
            <w:tcW w:w="3260" w:type="dxa"/>
            <w:tcBorders>
              <w:top w:val="nil"/>
              <w:left w:val="nil"/>
              <w:right w:val="nil"/>
            </w:tcBorders>
            <w:shd w:val="clear" w:color="auto" w:fill="auto"/>
            <w:vAlign w:val="center"/>
          </w:tcPr>
          <w:p>
            <w:pPr>
              <w:spacing w:line="360" w:lineRule="auto"/>
              <w:jc w:val="both"/>
              <w:rPr>
                <w:rFonts w:ascii="Book Antiqua" w:hAnsi="Book Antiqua" w:eastAsia="等线" w:cs="宋体"/>
                <w:color w:val="000000"/>
                <w:lang w:eastAsia="zh-CN"/>
              </w:rPr>
            </w:pPr>
            <w:r>
              <w:rPr>
                <w:rFonts w:ascii="Book Antiqua" w:hAnsi="Book Antiqua" w:eastAsia="等线" w:cs="宋体"/>
                <w:color w:val="000000"/>
                <w:lang w:eastAsia="zh-CN"/>
              </w:rPr>
              <w:t>PJI and PPF</w:t>
            </w:r>
          </w:p>
        </w:tc>
        <w:tc>
          <w:tcPr>
            <w:tcW w:w="4253" w:type="dxa"/>
            <w:tcBorders>
              <w:top w:val="nil"/>
              <w:left w:val="nil"/>
              <w:right w:val="nil"/>
            </w:tcBorders>
            <w:shd w:val="clear" w:color="auto" w:fill="auto"/>
            <w:vAlign w:val="center"/>
          </w:tcPr>
          <w:p>
            <w:pPr>
              <w:spacing w:line="360" w:lineRule="auto"/>
              <w:jc w:val="both"/>
              <w:rPr>
                <w:rFonts w:ascii="Book Antiqua" w:hAnsi="Book Antiqua" w:eastAsia="等线" w:cs="宋体"/>
                <w:color w:val="000000"/>
                <w:lang w:eastAsia="zh-CN"/>
              </w:rPr>
            </w:pPr>
            <w:r>
              <w:rPr>
                <w:rFonts w:ascii="Book Antiqua" w:hAnsi="Book Antiqua" w:eastAsia="等线" w:cs="宋体"/>
                <w:color w:val="000000"/>
                <w:lang w:eastAsia="zh-CN"/>
              </w:rPr>
              <w:t>Resection of prosthesis with placement of antibiotic spacer and fixation of fracture</w:t>
            </w:r>
          </w:p>
        </w:tc>
      </w:tr>
      <w:tr>
        <w:tblPrEx>
          <w:tblCellMar>
            <w:top w:w="0" w:type="dxa"/>
            <w:left w:w="108" w:type="dxa"/>
            <w:bottom w:w="0" w:type="dxa"/>
            <w:right w:w="108" w:type="dxa"/>
          </w:tblCellMar>
        </w:tblPrEx>
        <w:trPr>
          <w:trHeight w:val="68" w:hRule="atLeast"/>
        </w:trPr>
        <w:tc>
          <w:tcPr>
            <w:tcW w:w="1843" w:type="dxa"/>
            <w:tcBorders>
              <w:top w:val="nil"/>
              <w:left w:val="nil"/>
              <w:bottom w:val="single" w:color="auto" w:sz="4" w:space="0"/>
              <w:right w:val="nil"/>
            </w:tcBorders>
            <w:shd w:val="clear" w:color="auto" w:fill="auto"/>
            <w:vAlign w:val="center"/>
          </w:tcPr>
          <w:p>
            <w:pPr>
              <w:spacing w:line="360" w:lineRule="auto"/>
              <w:jc w:val="both"/>
              <w:rPr>
                <w:rFonts w:ascii="Book Antiqua" w:hAnsi="Book Antiqua" w:eastAsia="等线" w:cs="宋体"/>
                <w:color w:val="000000"/>
                <w:lang w:eastAsia="zh-CN"/>
              </w:rPr>
            </w:pPr>
            <w:r>
              <w:rPr>
                <w:rFonts w:ascii="Book Antiqua" w:hAnsi="Book Antiqua" w:eastAsia="等线" w:cs="宋体"/>
                <w:color w:val="000000"/>
                <w:lang w:eastAsia="zh-CN"/>
              </w:rPr>
              <w:t>May 20</w:t>
            </w:r>
          </w:p>
        </w:tc>
        <w:tc>
          <w:tcPr>
            <w:tcW w:w="3260" w:type="dxa"/>
            <w:tcBorders>
              <w:top w:val="nil"/>
              <w:left w:val="nil"/>
              <w:bottom w:val="single" w:color="auto" w:sz="4" w:space="0"/>
              <w:right w:val="nil"/>
            </w:tcBorders>
            <w:shd w:val="clear" w:color="auto" w:fill="auto"/>
            <w:vAlign w:val="center"/>
          </w:tcPr>
          <w:p>
            <w:pPr>
              <w:spacing w:line="360" w:lineRule="auto"/>
              <w:jc w:val="both"/>
              <w:rPr>
                <w:rFonts w:ascii="Book Antiqua" w:hAnsi="Book Antiqua" w:eastAsia="等线" w:cs="宋体"/>
                <w:color w:val="000000"/>
                <w:lang w:eastAsia="zh-CN"/>
              </w:rPr>
            </w:pPr>
            <w:r>
              <w:rPr>
                <w:rFonts w:ascii="Book Antiqua" w:hAnsi="Book Antiqua" w:eastAsia="等线" w:cs="宋体"/>
                <w:color w:val="000000"/>
                <w:lang w:eastAsia="zh-CN"/>
              </w:rPr>
              <w:t>Post-operation of prosthesis removal</w:t>
            </w:r>
          </w:p>
        </w:tc>
        <w:tc>
          <w:tcPr>
            <w:tcW w:w="4253" w:type="dxa"/>
            <w:tcBorders>
              <w:top w:val="nil"/>
              <w:left w:val="nil"/>
              <w:bottom w:val="single" w:color="auto" w:sz="4" w:space="0"/>
              <w:right w:val="nil"/>
            </w:tcBorders>
            <w:shd w:val="clear" w:color="auto" w:fill="auto"/>
            <w:vAlign w:val="center"/>
          </w:tcPr>
          <w:p>
            <w:pPr>
              <w:spacing w:line="360" w:lineRule="auto"/>
              <w:jc w:val="both"/>
              <w:rPr>
                <w:rFonts w:ascii="Book Antiqua" w:hAnsi="Book Antiqua" w:eastAsia="等线" w:cs="宋体"/>
                <w:color w:val="000000"/>
                <w:lang w:eastAsia="zh-CN"/>
              </w:rPr>
            </w:pPr>
            <w:r>
              <w:rPr>
                <w:rFonts w:ascii="Book Antiqua" w:hAnsi="Book Antiqua" w:eastAsia="等线" w:cs="宋体"/>
                <w:color w:val="000000"/>
                <w:lang w:eastAsia="zh-CN"/>
              </w:rPr>
              <w:t>Revision knee arthroplasty and fixation of right PPF</w:t>
            </w:r>
          </w:p>
        </w:tc>
      </w:tr>
    </w:tbl>
    <w:p>
      <w:pPr>
        <w:autoSpaceDE w:val="0"/>
        <w:autoSpaceDN w:val="0"/>
        <w:adjustRightInd w:val="0"/>
        <w:spacing w:line="360" w:lineRule="auto"/>
        <w:jc w:val="both"/>
        <w:rPr>
          <w:rFonts w:ascii="Book Antiqua" w:hAnsi="Book Antiqua" w:eastAsia="宋体"/>
        </w:rPr>
      </w:pPr>
      <w:r>
        <w:rPr>
          <w:rFonts w:ascii="Book Antiqua" w:hAnsi="Book Antiqua" w:eastAsia="宋体"/>
        </w:rPr>
        <w:t>ORIF: Open reduction and internal fixation; TKA: Total knee arthroplasty; PJI: Periprosthetic joint infection; PPF: Periprosthetic fracture.</w:t>
      </w:r>
    </w:p>
    <w:p>
      <w:pPr>
        <w:rPr>
          <w:rFonts w:ascii="Book Antiqua" w:hAnsi="Book Antiqua"/>
        </w:rPr>
      </w:pPr>
      <w:r>
        <w:rPr>
          <w:rFonts w:ascii="Book Antiqua" w:hAnsi="Book Antiqua"/>
        </w:rPr>
        <w:br w:type="page"/>
      </w:r>
    </w:p>
    <w:p>
      <w:pPr>
        <w:snapToGrid w:val="0"/>
        <w:ind w:left="240" w:leftChars="100"/>
        <w:jc w:val="center"/>
        <w:rPr>
          <w:rFonts w:ascii="Book Antiqua" w:hAnsi="Book Antiqua"/>
        </w:rPr>
      </w:pPr>
    </w:p>
    <w:p>
      <w:pPr>
        <w:snapToGrid w:val="0"/>
        <w:ind w:left="240" w:leftChars="100"/>
        <w:jc w:val="center"/>
        <w:rPr>
          <w:rFonts w:ascii="Book Antiqua" w:hAnsi="Book Antiqua"/>
        </w:rPr>
      </w:pPr>
    </w:p>
    <w:p>
      <w:pPr>
        <w:snapToGrid w:val="0"/>
        <w:ind w:left="240" w:leftChars="100"/>
        <w:jc w:val="center"/>
        <w:rPr>
          <w:rFonts w:ascii="Book Antiqua" w:hAnsi="Book Antiqua"/>
        </w:rPr>
      </w:pPr>
    </w:p>
    <w:p>
      <w:pPr>
        <w:snapToGrid w:val="0"/>
        <w:ind w:left="240" w:leftChars="100"/>
        <w:jc w:val="center"/>
        <w:rPr>
          <w:rFonts w:ascii="Book Antiqua" w:hAnsi="Book Antiqua"/>
        </w:rPr>
      </w:pPr>
    </w:p>
    <w:p>
      <w:pPr>
        <w:snapToGrid w:val="0"/>
        <w:ind w:left="240" w:leftChars="100"/>
        <w:jc w:val="center"/>
        <w:rPr>
          <w:rFonts w:ascii="Book Antiqua" w:hAnsi="Book Antiqua"/>
        </w:rPr>
      </w:pPr>
      <w:r>
        <w:rPr>
          <w:rFonts w:ascii="Book Antiqua" w:hAnsi="Book Antiqua"/>
        </w:rPr>
        <w:drawing>
          <wp:inline distT="0" distB="0" distL="0" distR="0">
            <wp:extent cx="2499360" cy="1440180"/>
            <wp:effectExtent l="0" t="0" r="0" b="7620"/>
            <wp:docPr id="2" name="图片 2"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18810513029\Desktop\logo.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pPr>
        <w:snapToGrid w:val="0"/>
        <w:ind w:left="240" w:leftChars="100"/>
        <w:jc w:val="center"/>
        <w:rPr>
          <w:rFonts w:ascii="Book Antiqua" w:hAnsi="Book Antiqua"/>
        </w:rPr>
      </w:pPr>
    </w:p>
    <w:p>
      <w:pPr>
        <w:autoSpaceDE w:val="0"/>
        <w:autoSpaceDN w:val="0"/>
        <w:adjustRightInd w:val="0"/>
        <w:snapToGrid w:val="0"/>
        <w:spacing w:line="240" w:lineRule="atLeast"/>
        <w:ind w:left="240" w:leftChars="100"/>
        <w:jc w:val="center"/>
        <w:rPr>
          <w:rFonts w:ascii="Book Antiqua" w:hAnsi="Book Antiqua" w:eastAsia="Garamond-Bold" w:cs="Garamond-Bold"/>
          <w:b/>
          <w:bCs/>
          <w:color w:val="000000"/>
          <w:sz w:val="28"/>
          <w:szCs w:val="28"/>
        </w:rPr>
      </w:pPr>
      <w:r>
        <w:rPr>
          <w:rFonts w:ascii="Book Antiqua" w:hAnsi="Book Antiqua" w:eastAsia="TimesNewRomanPSMT" w:cs="TimesNewRomanPSMT"/>
          <w:color w:val="000000"/>
          <w:sz w:val="28"/>
          <w:szCs w:val="28"/>
        </w:rPr>
        <w:t xml:space="preserve">Published by </w:t>
      </w:r>
      <w:r>
        <w:rPr>
          <w:rFonts w:ascii="Book Antiqua" w:hAnsi="Book Antiqua" w:eastAsia="Garamond-Bold" w:cs="Garamond-Bold"/>
          <w:b/>
          <w:bCs/>
          <w:color w:val="000000"/>
          <w:sz w:val="28"/>
          <w:szCs w:val="28"/>
        </w:rPr>
        <w:t>Baishideng Publishing Group Inc</w:t>
      </w:r>
    </w:p>
    <w:p>
      <w:pPr>
        <w:autoSpaceDE w:val="0"/>
        <w:autoSpaceDN w:val="0"/>
        <w:adjustRightInd w:val="0"/>
        <w:snapToGrid w:val="0"/>
        <w:ind w:left="240" w:leftChars="100"/>
        <w:jc w:val="center"/>
        <w:rPr>
          <w:rFonts w:ascii="Book Antiqua" w:hAnsi="Book Antiqua" w:eastAsia="TimesNewRomanPSMT" w:cs="Garamond"/>
          <w:color w:val="000000"/>
          <w:sz w:val="28"/>
          <w:szCs w:val="28"/>
        </w:rPr>
      </w:pPr>
      <w:r>
        <w:rPr>
          <w:rFonts w:ascii="Book Antiqua" w:hAnsi="Book Antiqua" w:eastAsia="TimesNewRomanPSMT" w:cs="Garamond"/>
          <w:color w:val="000000"/>
          <w:sz w:val="28"/>
          <w:szCs w:val="28"/>
        </w:rPr>
        <w:t>7041 Koll Center Parkway, Suite 160, Pleasanton, CA 94566, USA</w:t>
      </w:r>
    </w:p>
    <w:p>
      <w:pPr>
        <w:autoSpaceDE w:val="0"/>
        <w:autoSpaceDN w:val="0"/>
        <w:adjustRightInd w:val="0"/>
        <w:snapToGrid w:val="0"/>
        <w:ind w:left="240" w:leftChars="100"/>
        <w:jc w:val="center"/>
        <w:rPr>
          <w:rFonts w:ascii="Book Antiqua" w:hAnsi="Book Antiqua" w:eastAsia="TimesNewRomanPSMT" w:cs="Garamond"/>
          <w:color w:val="000000"/>
          <w:sz w:val="28"/>
          <w:szCs w:val="28"/>
        </w:rPr>
      </w:pPr>
      <w:r>
        <w:rPr>
          <w:rFonts w:ascii="Book Antiqua" w:hAnsi="Book Antiqua" w:eastAsia="Garamond-Bold" w:cs="Garamond-Bold"/>
          <w:b/>
          <w:bCs/>
          <w:color w:val="000000"/>
          <w:sz w:val="28"/>
          <w:szCs w:val="28"/>
        </w:rPr>
        <w:t xml:space="preserve">Telephone: </w:t>
      </w:r>
      <w:r>
        <w:rPr>
          <w:rFonts w:ascii="Book Antiqua" w:hAnsi="Book Antiqua" w:eastAsia="TimesNewRomanPSMT" w:cs="Garamond"/>
          <w:color w:val="000000"/>
          <w:sz w:val="28"/>
          <w:szCs w:val="28"/>
        </w:rPr>
        <w:t>+1-925-3991568</w:t>
      </w:r>
    </w:p>
    <w:p>
      <w:pPr>
        <w:autoSpaceDE w:val="0"/>
        <w:autoSpaceDN w:val="0"/>
        <w:adjustRightInd w:val="0"/>
        <w:snapToGrid w:val="0"/>
        <w:ind w:left="240" w:leftChars="100"/>
        <w:jc w:val="center"/>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E-mail: </w:t>
      </w:r>
      <w:r>
        <w:rPr>
          <w:rFonts w:ascii="Book Antiqua" w:hAnsi="Book Antiqua" w:eastAsia="TimesNewRomanPSMT" w:cs="Garamond"/>
          <w:color w:val="D56400"/>
          <w:sz w:val="28"/>
          <w:szCs w:val="28"/>
        </w:rPr>
        <w:t>bpgoffice@wjgnet.com</w:t>
      </w:r>
    </w:p>
    <w:p>
      <w:pPr>
        <w:autoSpaceDE w:val="0"/>
        <w:autoSpaceDN w:val="0"/>
        <w:adjustRightInd w:val="0"/>
        <w:snapToGrid w:val="0"/>
        <w:ind w:left="240" w:leftChars="100"/>
        <w:jc w:val="center"/>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Help Desk: </w:t>
      </w:r>
      <w:r>
        <w:rPr>
          <w:rFonts w:ascii="Book Antiqua" w:hAnsi="Book Antiqua" w:eastAsia="TimesNewRomanPSMT" w:cs="Garamond"/>
          <w:color w:val="D56400"/>
          <w:sz w:val="28"/>
          <w:szCs w:val="28"/>
        </w:rPr>
        <w:t>https://www.f6publishing.com/helpdesk</w:t>
      </w:r>
    </w:p>
    <w:p>
      <w:pPr>
        <w:snapToGrid w:val="0"/>
        <w:ind w:left="240" w:leftChars="100"/>
        <w:jc w:val="center"/>
        <w:rPr>
          <w:rFonts w:ascii="Book Antiqua" w:hAnsi="Book Antiqua"/>
        </w:rPr>
      </w:pPr>
      <w:r>
        <w:rPr>
          <w:rFonts w:ascii="Book Antiqua" w:hAnsi="Book Antiqua" w:eastAsia="TimesNewRomanPSMT" w:cs="Garamond"/>
          <w:color w:val="D56400"/>
          <w:sz w:val="28"/>
          <w:szCs w:val="28"/>
        </w:rPr>
        <w:t>https://www.wjgnet.com</w:t>
      </w:r>
    </w:p>
    <w:p>
      <w:pPr>
        <w:snapToGrid w:val="0"/>
        <w:ind w:left="240" w:leftChars="100"/>
        <w:jc w:val="center"/>
        <w:rPr>
          <w:rFonts w:ascii="Book Antiqua" w:hAnsi="Book Antiqua"/>
        </w:rPr>
      </w:pPr>
    </w:p>
    <w:p>
      <w:pPr>
        <w:snapToGrid w:val="0"/>
        <w:ind w:left="240" w:leftChars="100"/>
        <w:jc w:val="center"/>
        <w:rPr>
          <w:rFonts w:ascii="Book Antiqua" w:hAnsi="Book Antiqua"/>
        </w:rPr>
      </w:pPr>
    </w:p>
    <w:p>
      <w:pPr>
        <w:snapToGrid w:val="0"/>
        <w:ind w:left="240" w:leftChars="100"/>
        <w:jc w:val="center"/>
        <w:rPr>
          <w:rFonts w:ascii="Book Antiqua" w:hAnsi="Book Antiqua"/>
        </w:rPr>
      </w:pPr>
    </w:p>
    <w:p>
      <w:pPr>
        <w:snapToGrid w:val="0"/>
        <w:ind w:left="240" w:leftChars="100"/>
        <w:jc w:val="center"/>
        <w:rPr>
          <w:rFonts w:ascii="Book Antiqua" w:hAnsi="Book Antiqua"/>
        </w:rPr>
      </w:pPr>
      <w:r>
        <w:rPr>
          <w:rFonts w:ascii="Book Antiqua" w:hAnsi="Book Antiqua"/>
        </w:rPr>
        <w:drawing>
          <wp:inline distT="0" distB="0" distL="0" distR="0">
            <wp:extent cx="1447800" cy="1440180"/>
            <wp:effectExtent l="0" t="0" r="0" b="7620"/>
            <wp:docPr id="3" name="图片 3"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18810513029\Desktop\二维码.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pPr>
        <w:snapToGrid w:val="0"/>
        <w:ind w:left="240" w:leftChars="100"/>
        <w:jc w:val="center"/>
        <w:rPr>
          <w:rFonts w:ascii="Book Antiqua" w:hAnsi="Book Antiqua"/>
        </w:rPr>
      </w:pPr>
    </w:p>
    <w:p>
      <w:pPr>
        <w:snapToGrid w:val="0"/>
        <w:ind w:left="240" w:leftChars="100"/>
        <w:jc w:val="center"/>
        <w:rPr>
          <w:rFonts w:ascii="Book Antiqua" w:hAnsi="Book Antiqua"/>
        </w:rPr>
      </w:pPr>
    </w:p>
    <w:p>
      <w:pPr>
        <w:snapToGrid w:val="0"/>
        <w:ind w:left="240" w:leftChars="100"/>
        <w:jc w:val="center"/>
        <w:rPr>
          <w:rFonts w:ascii="Book Antiqua" w:hAnsi="Book Antiqua"/>
        </w:rPr>
      </w:pPr>
    </w:p>
    <w:p>
      <w:pPr>
        <w:snapToGrid w:val="0"/>
        <w:ind w:left="240" w:leftChars="100"/>
        <w:jc w:val="center"/>
        <w:rPr>
          <w:rFonts w:ascii="Book Antiqua" w:hAnsi="Book Antiqua"/>
        </w:rPr>
      </w:pPr>
    </w:p>
    <w:p>
      <w:pPr>
        <w:snapToGrid w:val="0"/>
        <w:ind w:left="240" w:leftChars="100"/>
        <w:jc w:val="center"/>
        <w:rPr>
          <w:rFonts w:ascii="Book Antiqua" w:hAnsi="Book Antiqua"/>
        </w:rPr>
      </w:pPr>
    </w:p>
    <w:p>
      <w:pPr>
        <w:snapToGrid w:val="0"/>
        <w:ind w:left="240" w:leftChars="100"/>
        <w:jc w:val="center"/>
        <w:rPr>
          <w:rFonts w:ascii="Book Antiqua" w:hAnsi="Book Antiqua"/>
        </w:rPr>
      </w:pPr>
    </w:p>
    <w:p>
      <w:pPr>
        <w:snapToGrid w:val="0"/>
        <w:ind w:left="240" w:leftChars="100"/>
        <w:jc w:val="center"/>
        <w:rPr>
          <w:rFonts w:ascii="Book Antiqua" w:hAnsi="Book Antiqua"/>
        </w:rPr>
      </w:pPr>
    </w:p>
    <w:p>
      <w:pPr>
        <w:snapToGrid w:val="0"/>
        <w:ind w:left="240" w:leftChars="100"/>
        <w:jc w:val="center"/>
        <w:rPr>
          <w:rFonts w:ascii="Book Antiqua" w:hAnsi="Book Antiqua"/>
        </w:rPr>
      </w:pPr>
    </w:p>
    <w:p>
      <w:pPr>
        <w:snapToGrid w:val="0"/>
        <w:ind w:left="240" w:leftChars="100"/>
        <w:jc w:val="center"/>
        <w:rPr>
          <w:rFonts w:ascii="Book Antiqua" w:hAnsi="Book Antiqua"/>
        </w:rPr>
      </w:pPr>
    </w:p>
    <w:p>
      <w:pPr>
        <w:snapToGrid w:val="0"/>
        <w:ind w:left="240" w:leftChars="100"/>
        <w:jc w:val="right"/>
        <w:rPr>
          <w:rFonts w:ascii="Book Antiqua" w:hAnsi="Book Antiqua"/>
          <w:color w:val="000000" w:themeColor="text1"/>
          <w14:textFill>
            <w14:solidFill>
              <w14:schemeClr w14:val="tx1"/>
            </w14:solidFill>
          </w14:textFill>
        </w:rPr>
      </w:pPr>
    </w:p>
    <w:p>
      <w:pPr>
        <w:snapToGrid w:val="0"/>
        <w:jc w:val="center"/>
        <w:rPr>
          <w:rFonts w:ascii="Book Antiqua" w:hAnsi="Book Antiqua"/>
          <w:shd w:val="clear" w:color="auto" w:fill="FFFFFF"/>
        </w:rPr>
      </w:pPr>
      <w:r>
        <w:rPr>
          <w:rFonts w:ascii="Book Antiqua" w:hAnsi="Book Antiqua" w:eastAsia="BookAntiqua-Bold" w:cs="BookAntiqua-Bold"/>
          <w:b/>
          <w:bCs/>
          <w:color w:val="000000" w:themeColor="text1"/>
          <w14:textFill>
            <w14:solidFill>
              <w14:schemeClr w14:val="tx1"/>
            </w14:solidFill>
          </w14:textFill>
        </w:rPr>
        <w:t>© 202</w:t>
      </w:r>
      <w:r>
        <w:rPr>
          <w:rFonts w:ascii="Book Antiqua" w:hAnsi="Book Antiqua" w:cs="BookAntiqua-Bold"/>
          <w:b/>
          <w:bCs/>
          <w:color w:val="000000" w:themeColor="text1"/>
          <w14:textFill>
            <w14:solidFill>
              <w14:schemeClr w14:val="tx1"/>
            </w14:solidFill>
          </w14:textFill>
        </w:rPr>
        <w:t>3</w:t>
      </w:r>
      <w:r>
        <w:rPr>
          <w:rFonts w:ascii="Book Antiqua" w:hAnsi="Book Antiqua" w:eastAsia="BookAntiqua-Bold" w:cs="BookAntiqua-Bold"/>
          <w:b/>
          <w:bCs/>
          <w:color w:val="000000" w:themeColor="text1"/>
          <w14:textFill>
            <w14:solidFill>
              <w14:schemeClr w14:val="tx1"/>
            </w14:solidFill>
          </w14:textFill>
        </w:rPr>
        <w:t xml:space="preserve"> Baishideng Publishing Group Inc. All rights reserved.</w:t>
      </w:r>
    </w:p>
    <w:p>
      <w:pPr>
        <w:rPr>
          <w:rFonts w:ascii="Book Antiqua" w:hAnsi="Book Antiqua" w:cs="Book Antiqua"/>
          <w:b/>
          <w:bCs/>
          <w:color w:val="000000"/>
        </w:rPr>
      </w:pPr>
    </w:p>
    <w:p>
      <w:pPr>
        <w:spacing w:line="360" w:lineRule="auto"/>
        <w:jc w:val="both"/>
        <w:rPr>
          <w:rFonts w:ascii="Book Antiqua" w:hAnsi="Book Antiqua"/>
        </w:rPr>
      </w:pPr>
    </w:p>
    <w:sectPr>
      <w:pgSz w:w="12240" w:h="15840"/>
      <w:pgMar w:top="1440" w:right="1440" w:bottom="1440" w:left="1440" w:header="720" w:footer="720"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Book Antiqua">
    <w:panose1 w:val="02040602050305030304"/>
    <w:charset w:val="00"/>
    <w:family w:val="roman"/>
    <w:pitch w:val="default"/>
    <w:sig w:usb0="00000287" w:usb1="00000000" w:usb2="00000000" w:usb3="00000000" w:csb0="2000009F" w:csb1="DFD70000"/>
  </w:font>
  <w:font w:name="WarnockPro-Regular">
    <w:altName w:val="宋体"/>
    <w:panose1 w:val="00000000000000000000"/>
    <w:charset w:val="86"/>
    <w:family w:val="roman"/>
    <w:pitch w:val="default"/>
    <w:sig w:usb0="00000000" w:usb1="00000000" w:usb2="00000010" w:usb3="00000000" w:csb0="00040008" w:csb1="00000000"/>
  </w:font>
  <w:font w:name="等线">
    <w:panose1 w:val="02010600030101010101"/>
    <w:charset w:val="86"/>
    <w:family w:val="auto"/>
    <w:pitch w:val="default"/>
    <w:sig w:usb0="A00002BF" w:usb1="38CF7CFA" w:usb2="00000016" w:usb3="00000000" w:csb0="0004000F" w:csb1="00000000"/>
  </w:font>
  <w:font w:name="Garamond-Bold">
    <w:altName w:val="Segoe Print"/>
    <w:panose1 w:val="00000000000000000000"/>
    <w:charset w:val="00"/>
    <w:family w:val="auto"/>
    <w:pitch w:val="default"/>
    <w:sig w:usb0="00000000" w:usb1="00000000" w:usb2="00000000" w:usb3="00000000" w:csb0="0000009F" w:csb1="00000000"/>
  </w:font>
  <w:font w:name="TimesNewRomanPSMT">
    <w:altName w:val="宋体"/>
    <w:panose1 w:val="00000000000000000000"/>
    <w:charset w:val="86"/>
    <w:family w:val="auto"/>
    <w:pitch w:val="default"/>
    <w:sig w:usb0="00000000" w:usb1="00000000" w:usb2="00000010" w:usb3="00000000" w:csb0="00060002" w:csb1="00000000"/>
  </w:font>
  <w:font w:name="Garamond">
    <w:panose1 w:val="02020404030301010803"/>
    <w:charset w:val="00"/>
    <w:family w:val="roman"/>
    <w:pitch w:val="default"/>
    <w:sig w:usb0="00000287" w:usb1="00000000" w:usb2="00000000" w:usb3="00000000" w:csb0="0000009F" w:csb1="DFD70000"/>
  </w:font>
  <w:font w:name="BookAntiqua-Bold">
    <w:altName w:val="宋体"/>
    <w:panose1 w:val="00000000000000000000"/>
    <w:charset w:val="86"/>
    <w:family w:val="auto"/>
    <w:pitch w:val="default"/>
    <w:sig w:usb0="00000000" w:usb1="00000000" w:usb2="00000010" w:usb3="00000000" w:csb0="0004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83200790"/>
    </w:sdtPr>
    <w:sdtEndPr>
      <w:rPr>
        <w:rFonts w:ascii="Book Antiqua" w:hAnsi="Book Antiqua"/>
        <w:sz w:val="24"/>
        <w:szCs w:val="24"/>
      </w:rPr>
    </w:sdtEndPr>
    <w:sdtContent>
      <w:sdt>
        <w:sdtPr>
          <w:id w:val="-1769616900"/>
        </w:sdtPr>
        <w:sdtEndPr>
          <w:rPr>
            <w:rFonts w:ascii="Book Antiqua" w:hAnsi="Book Antiqua"/>
            <w:sz w:val="24"/>
            <w:szCs w:val="24"/>
          </w:rPr>
        </w:sdtEndPr>
        <w:sdtContent>
          <w:p>
            <w:pPr>
              <w:pStyle w:val="3"/>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b/>
                <w:bCs/>
                <w:sz w:val="24"/>
                <w:szCs w:val="24"/>
              </w:rPr>
              <w:fldChar w:fldCharType="begin"/>
            </w:r>
            <w:r>
              <w:rPr>
                <w:rFonts w:ascii="Book Antiqua" w:hAnsi="Book Antiqua"/>
                <w:b/>
                <w:bCs/>
                <w:sz w:val="24"/>
                <w:szCs w:val="24"/>
              </w:rPr>
              <w:instrText xml:space="preserve">PAGE</w:instrText>
            </w:r>
            <w:r>
              <w:rPr>
                <w:rFonts w:ascii="Book Antiqua" w:hAnsi="Book Antiqua"/>
                <w:b/>
                <w:bCs/>
                <w:sz w:val="24"/>
                <w:szCs w:val="24"/>
              </w:rPr>
              <w:fldChar w:fldCharType="separate"/>
            </w:r>
            <w:r>
              <w:rPr>
                <w:rFonts w:ascii="Book Antiqua" w:hAnsi="Book Antiqua"/>
                <w:b/>
                <w:bCs/>
                <w:sz w:val="24"/>
                <w:szCs w:val="24"/>
              </w:rPr>
              <w:t>2</w:t>
            </w:r>
            <w:r>
              <w:rPr>
                <w:rFonts w:ascii="Book Antiqua" w:hAnsi="Book Antiqua"/>
                <w:b/>
                <w:bCs/>
                <w:sz w:val="24"/>
                <w:szCs w:val="24"/>
              </w:rPr>
              <w:fldChar w:fldCharType="end"/>
            </w:r>
            <w:r>
              <w:rPr>
                <w:rFonts w:ascii="Book Antiqua" w:hAnsi="Book Antiqua"/>
                <w:sz w:val="24"/>
                <w:szCs w:val="24"/>
                <w:lang w:val="zh-CN" w:eastAsia="zh-CN"/>
              </w:rPr>
              <w:t xml:space="preserve"> / </w:t>
            </w:r>
            <w:r>
              <w:rPr>
                <w:rFonts w:ascii="Book Antiqua" w:hAnsi="Book Antiqua"/>
                <w:b/>
                <w:bCs/>
                <w:sz w:val="24"/>
                <w:szCs w:val="24"/>
              </w:rPr>
              <w:fldChar w:fldCharType="begin"/>
            </w:r>
            <w:r>
              <w:rPr>
                <w:rFonts w:ascii="Book Antiqua" w:hAnsi="Book Antiqua"/>
                <w:b/>
                <w:bCs/>
                <w:sz w:val="24"/>
                <w:szCs w:val="24"/>
              </w:rPr>
              <w:instrText xml:space="preserve">NUMPAGES</w:instrText>
            </w:r>
            <w:r>
              <w:rPr>
                <w:rFonts w:ascii="Book Antiqua" w:hAnsi="Book Antiqua"/>
                <w:b/>
                <w:bCs/>
                <w:sz w:val="24"/>
                <w:szCs w:val="24"/>
              </w:rPr>
              <w:fldChar w:fldCharType="separate"/>
            </w:r>
            <w:r>
              <w:rPr>
                <w:rFonts w:ascii="Book Antiqua" w:hAnsi="Book Antiqua"/>
                <w:b/>
                <w:bCs/>
                <w:sz w:val="24"/>
                <w:szCs w:val="24"/>
              </w:rPr>
              <w:t>23</w:t>
            </w:r>
            <w:r>
              <w:rPr>
                <w:rFonts w:ascii="Book Antiqua" w:hAnsi="Book Antiqua"/>
                <w:b/>
                <w:bCs/>
                <w:sz w:val="24"/>
                <w:szCs w:val="24"/>
              </w:rPr>
              <w:fldChar w:fldCharType="end"/>
            </w:r>
          </w:p>
        </w:sdtContent>
      </w:sdt>
    </w:sdtContent>
  </w:sdt>
  <w:p>
    <w:pPr>
      <w:pStyle w:val="3"/>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720"/>
  <w:noPunctuationKerning w:val="1"/>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DMwOTNhZGQxZDZlY2ViN2VkMzIzMzdmMGEyYzNiMGUifQ=="/>
  </w:docVars>
  <w:rsids>
    <w:rsidRoot w:val="00A77B3E"/>
    <w:rsid w:val="00011F2D"/>
    <w:rsid w:val="000425F9"/>
    <w:rsid w:val="00046671"/>
    <w:rsid w:val="00052FEB"/>
    <w:rsid w:val="00053447"/>
    <w:rsid w:val="00092761"/>
    <w:rsid w:val="000E2BC3"/>
    <w:rsid w:val="000F1502"/>
    <w:rsid w:val="001122F4"/>
    <w:rsid w:val="00113C92"/>
    <w:rsid w:val="0012560C"/>
    <w:rsid w:val="00147668"/>
    <w:rsid w:val="001A4C33"/>
    <w:rsid w:val="001B4460"/>
    <w:rsid w:val="001D490E"/>
    <w:rsid w:val="001E014A"/>
    <w:rsid w:val="001E6496"/>
    <w:rsid w:val="00212B33"/>
    <w:rsid w:val="00215C60"/>
    <w:rsid w:val="00217F73"/>
    <w:rsid w:val="00234E5D"/>
    <w:rsid w:val="00252179"/>
    <w:rsid w:val="00257673"/>
    <w:rsid w:val="0026023E"/>
    <w:rsid w:val="00281B28"/>
    <w:rsid w:val="00297398"/>
    <w:rsid w:val="002A3344"/>
    <w:rsid w:val="002B351A"/>
    <w:rsid w:val="002B59E4"/>
    <w:rsid w:val="002C27AC"/>
    <w:rsid w:val="002C7FDD"/>
    <w:rsid w:val="002D5F1F"/>
    <w:rsid w:val="002F7A3C"/>
    <w:rsid w:val="00300C32"/>
    <w:rsid w:val="00302DC1"/>
    <w:rsid w:val="00327AA5"/>
    <w:rsid w:val="00342A58"/>
    <w:rsid w:val="00355E0B"/>
    <w:rsid w:val="0035714E"/>
    <w:rsid w:val="00357204"/>
    <w:rsid w:val="003621DE"/>
    <w:rsid w:val="003A352F"/>
    <w:rsid w:val="003B3CD6"/>
    <w:rsid w:val="003B6B56"/>
    <w:rsid w:val="0042071E"/>
    <w:rsid w:val="00423935"/>
    <w:rsid w:val="00447BC1"/>
    <w:rsid w:val="004514DE"/>
    <w:rsid w:val="004A3DBA"/>
    <w:rsid w:val="004B0B5E"/>
    <w:rsid w:val="004C0934"/>
    <w:rsid w:val="00511B51"/>
    <w:rsid w:val="005304FC"/>
    <w:rsid w:val="00593EF1"/>
    <w:rsid w:val="005C4F3A"/>
    <w:rsid w:val="005E5B36"/>
    <w:rsid w:val="005E60D8"/>
    <w:rsid w:val="006025D6"/>
    <w:rsid w:val="00607AD5"/>
    <w:rsid w:val="006314C0"/>
    <w:rsid w:val="00641A61"/>
    <w:rsid w:val="0064449A"/>
    <w:rsid w:val="006649EA"/>
    <w:rsid w:val="00667D17"/>
    <w:rsid w:val="00674F78"/>
    <w:rsid w:val="006C503A"/>
    <w:rsid w:val="00703ECC"/>
    <w:rsid w:val="00716621"/>
    <w:rsid w:val="00721501"/>
    <w:rsid w:val="0072363F"/>
    <w:rsid w:val="00733A7F"/>
    <w:rsid w:val="00741C48"/>
    <w:rsid w:val="007519E0"/>
    <w:rsid w:val="00770298"/>
    <w:rsid w:val="00775B39"/>
    <w:rsid w:val="00790723"/>
    <w:rsid w:val="007A347F"/>
    <w:rsid w:val="007C356F"/>
    <w:rsid w:val="007E38B6"/>
    <w:rsid w:val="00802CD0"/>
    <w:rsid w:val="008150A6"/>
    <w:rsid w:val="00825D69"/>
    <w:rsid w:val="0082707A"/>
    <w:rsid w:val="00830E76"/>
    <w:rsid w:val="00837E88"/>
    <w:rsid w:val="00840DB4"/>
    <w:rsid w:val="008462F1"/>
    <w:rsid w:val="00850DA0"/>
    <w:rsid w:val="00867F4A"/>
    <w:rsid w:val="00870E4B"/>
    <w:rsid w:val="008804AB"/>
    <w:rsid w:val="008B1682"/>
    <w:rsid w:val="008C4608"/>
    <w:rsid w:val="008E2039"/>
    <w:rsid w:val="009407D5"/>
    <w:rsid w:val="00944D30"/>
    <w:rsid w:val="00976F72"/>
    <w:rsid w:val="00982CFA"/>
    <w:rsid w:val="00994F36"/>
    <w:rsid w:val="009A330B"/>
    <w:rsid w:val="009B39E5"/>
    <w:rsid w:val="009D55A2"/>
    <w:rsid w:val="009D591C"/>
    <w:rsid w:val="009E2C05"/>
    <w:rsid w:val="009F515A"/>
    <w:rsid w:val="00A06D9A"/>
    <w:rsid w:val="00A13DD6"/>
    <w:rsid w:val="00A32A3D"/>
    <w:rsid w:val="00A41129"/>
    <w:rsid w:val="00A43136"/>
    <w:rsid w:val="00A71683"/>
    <w:rsid w:val="00A77115"/>
    <w:rsid w:val="00A77B3E"/>
    <w:rsid w:val="00A80CF0"/>
    <w:rsid w:val="00A90CE9"/>
    <w:rsid w:val="00A9145A"/>
    <w:rsid w:val="00AA185C"/>
    <w:rsid w:val="00AB2023"/>
    <w:rsid w:val="00AB723A"/>
    <w:rsid w:val="00AE64A9"/>
    <w:rsid w:val="00B05580"/>
    <w:rsid w:val="00B06078"/>
    <w:rsid w:val="00B1290D"/>
    <w:rsid w:val="00B166CB"/>
    <w:rsid w:val="00B35BF4"/>
    <w:rsid w:val="00B36E68"/>
    <w:rsid w:val="00B423D3"/>
    <w:rsid w:val="00B47AAB"/>
    <w:rsid w:val="00B52D3F"/>
    <w:rsid w:val="00B85F7D"/>
    <w:rsid w:val="00B96595"/>
    <w:rsid w:val="00B965BD"/>
    <w:rsid w:val="00BA0244"/>
    <w:rsid w:val="00BD3DA6"/>
    <w:rsid w:val="00C011AF"/>
    <w:rsid w:val="00C01592"/>
    <w:rsid w:val="00C23FC2"/>
    <w:rsid w:val="00C30AAD"/>
    <w:rsid w:val="00C3615C"/>
    <w:rsid w:val="00C66856"/>
    <w:rsid w:val="00C95459"/>
    <w:rsid w:val="00CA2A55"/>
    <w:rsid w:val="00CC787A"/>
    <w:rsid w:val="00CD6499"/>
    <w:rsid w:val="00CD649E"/>
    <w:rsid w:val="00CD6D61"/>
    <w:rsid w:val="00CE73D8"/>
    <w:rsid w:val="00D0595B"/>
    <w:rsid w:val="00D15061"/>
    <w:rsid w:val="00D150AE"/>
    <w:rsid w:val="00D16969"/>
    <w:rsid w:val="00D41230"/>
    <w:rsid w:val="00D46030"/>
    <w:rsid w:val="00D56A8D"/>
    <w:rsid w:val="00D61FDD"/>
    <w:rsid w:val="00D648B7"/>
    <w:rsid w:val="00D64D90"/>
    <w:rsid w:val="00D67F03"/>
    <w:rsid w:val="00D7687D"/>
    <w:rsid w:val="00DA19A1"/>
    <w:rsid w:val="00DA767B"/>
    <w:rsid w:val="00DB1879"/>
    <w:rsid w:val="00DF041C"/>
    <w:rsid w:val="00E01B06"/>
    <w:rsid w:val="00E16B00"/>
    <w:rsid w:val="00E25B1C"/>
    <w:rsid w:val="00E66146"/>
    <w:rsid w:val="00E82D01"/>
    <w:rsid w:val="00EA6B0F"/>
    <w:rsid w:val="00EB37CC"/>
    <w:rsid w:val="00F07308"/>
    <w:rsid w:val="00F13EFE"/>
    <w:rsid w:val="00F20573"/>
    <w:rsid w:val="00F3161D"/>
    <w:rsid w:val="00F44378"/>
    <w:rsid w:val="00F535CF"/>
    <w:rsid w:val="00F57219"/>
    <w:rsid w:val="00F72279"/>
    <w:rsid w:val="00FB63EA"/>
    <w:rsid w:val="00FE6C3F"/>
    <w:rsid w:val="178C2E2A"/>
    <w:rsid w:val="23EC5AD3"/>
    <w:rsid w:val="25272D7B"/>
    <w:rsid w:val="2C3F1133"/>
    <w:rsid w:val="5C2157B2"/>
    <w:rsid w:val="5F4E1A5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Theme="minorEastAsia"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qFormat="1" w:uiPriority="0" w:semiHidden="0" w:name="header"/>
    <w:lsdException w:qFormat="1"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qFormat="1"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99" w:name="Hyperlink"/>
    <w:lsdException w:uiPriority="0" w:name="FollowedHyperlink"/>
    <w:lsdException w:qFormat="1" w:unhideWhenUsed="0" w:uiPriority="0" w:semiHidden="0" w:name="Strong"/>
    <w:lsdException w:qFormat="1" w:unhideWhenUsed="0" w:uiPriority="20" w:semiHidden="0" w:name="Emphasis"/>
    <w:lsdException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nhideWhenUsed="0" w:uiPriority="0" w:semiHidden="0" w:name="Table Subtle 1"/>
    <w:lsdException w:uiPriority="0" w:name="Table Subtle 2"/>
    <w:lsdException w:uiPriority="0" w:name="Table Web 1"/>
    <w:lsdException w:unhideWhenUsed="0" w:uiPriority="0" w:semiHidden="0" w:name="Table Web 2"/>
    <w:lsdException w:unhideWhenUsed="0" w:uiPriority="0" w:semiHidden="0" w:name="Table Web 3"/>
    <w:lsdException w:qFormat="1" w:uiPriority="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cs="Times New Roman" w:eastAsiaTheme="minorEastAsia"/>
      <w:sz w:val="24"/>
      <w:szCs w:val="24"/>
      <w:lang w:val="en-US" w:eastAsia="en-US" w:bidi="ar-SA"/>
    </w:rPr>
  </w:style>
  <w:style w:type="character" w:default="1" w:styleId="6">
    <w:name w:val="Default Paragraph Font"/>
    <w:semiHidden/>
    <w:unhideWhenUsed/>
    <w:uiPriority w:val="1"/>
  </w:style>
  <w:style w:type="table" w:default="1" w:styleId="5">
    <w:name w:val="Normal Table"/>
    <w:semiHidden/>
    <w:unhideWhenUsed/>
    <w:uiPriority w:val="99"/>
    <w:tblPr>
      <w:tblCellMar>
        <w:top w:w="0" w:type="dxa"/>
        <w:left w:w="108" w:type="dxa"/>
        <w:bottom w:w="0" w:type="dxa"/>
        <w:right w:w="108" w:type="dxa"/>
      </w:tblCellMar>
    </w:tblPr>
  </w:style>
  <w:style w:type="paragraph" w:styleId="2">
    <w:name w:val="Balloon Text"/>
    <w:basedOn w:val="1"/>
    <w:link w:val="12"/>
    <w:semiHidden/>
    <w:unhideWhenUsed/>
    <w:qFormat/>
    <w:uiPriority w:val="0"/>
    <w:rPr>
      <w:sz w:val="18"/>
      <w:szCs w:val="18"/>
    </w:rPr>
  </w:style>
  <w:style w:type="paragraph" w:styleId="3">
    <w:name w:val="footer"/>
    <w:basedOn w:val="1"/>
    <w:link w:val="11"/>
    <w:unhideWhenUsed/>
    <w:qFormat/>
    <w:uiPriority w:val="99"/>
    <w:pPr>
      <w:tabs>
        <w:tab w:val="center" w:pos="4153"/>
        <w:tab w:val="right" w:pos="8306"/>
      </w:tabs>
      <w:snapToGrid w:val="0"/>
    </w:pPr>
    <w:rPr>
      <w:sz w:val="18"/>
      <w:szCs w:val="18"/>
    </w:rPr>
  </w:style>
  <w:style w:type="paragraph" w:styleId="4">
    <w:name w:val="header"/>
    <w:basedOn w:val="1"/>
    <w:link w:val="10"/>
    <w:unhideWhenUsed/>
    <w:qFormat/>
    <w:uiPriority w:val="0"/>
    <w:pPr>
      <w:pBdr>
        <w:bottom w:val="single" w:color="auto" w:sz="6" w:space="1"/>
      </w:pBdr>
      <w:tabs>
        <w:tab w:val="center" w:pos="4153"/>
        <w:tab w:val="right" w:pos="8306"/>
      </w:tabs>
      <w:snapToGrid w:val="0"/>
      <w:jc w:val="center"/>
    </w:pPr>
    <w:rPr>
      <w:sz w:val="18"/>
      <w:szCs w:val="18"/>
    </w:rPr>
  </w:style>
  <w:style w:type="character" w:styleId="7">
    <w:name w:val="Emphasis"/>
    <w:basedOn w:val="6"/>
    <w:qFormat/>
    <w:uiPriority w:val="20"/>
    <w:rPr>
      <w:i/>
      <w:iCs/>
    </w:rPr>
  </w:style>
  <w:style w:type="character" w:styleId="8">
    <w:name w:val="line number"/>
    <w:basedOn w:val="6"/>
    <w:semiHidden/>
    <w:unhideWhenUsed/>
    <w:qFormat/>
    <w:uiPriority w:val="0"/>
  </w:style>
  <w:style w:type="character" w:styleId="9">
    <w:name w:val="Hyperlink"/>
    <w:basedOn w:val="6"/>
    <w:semiHidden/>
    <w:unhideWhenUsed/>
    <w:qFormat/>
    <w:uiPriority w:val="99"/>
    <w:rPr>
      <w:color w:val="0000FF"/>
      <w:u w:val="single"/>
    </w:rPr>
  </w:style>
  <w:style w:type="character" w:customStyle="1" w:styleId="10">
    <w:name w:val="页眉 Char"/>
    <w:basedOn w:val="6"/>
    <w:link w:val="4"/>
    <w:qFormat/>
    <w:uiPriority w:val="0"/>
    <w:rPr>
      <w:sz w:val="18"/>
      <w:szCs w:val="18"/>
    </w:rPr>
  </w:style>
  <w:style w:type="character" w:customStyle="1" w:styleId="11">
    <w:name w:val="页脚 Char"/>
    <w:basedOn w:val="6"/>
    <w:link w:val="3"/>
    <w:qFormat/>
    <w:uiPriority w:val="99"/>
    <w:rPr>
      <w:sz w:val="18"/>
      <w:szCs w:val="18"/>
    </w:rPr>
  </w:style>
  <w:style w:type="character" w:customStyle="1" w:styleId="12">
    <w:name w:val="批注框文本 Char"/>
    <w:basedOn w:val="6"/>
    <w:link w:val="2"/>
    <w:semiHidden/>
    <w:qFormat/>
    <w:uiPriority w:val="0"/>
    <w:rPr>
      <w:sz w:val="18"/>
      <w:szCs w:val="18"/>
    </w:rPr>
  </w:style>
  <w:style w:type="character" w:customStyle="1" w:styleId="13">
    <w:name w:val="tran"/>
    <w:basedOn w:val="6"/>
    <w:qFormat/>
    <w:uiPriority w:val="0"/>
  </w:style>
  <w:style w:type="character" w:customStyle="1" w:styleId="14">
    <w:name w:val="ref-count-nolink"/>
    <w:basedOn w:val="6"/>
    <w:qFormat/>
    <w:uiPriority w:val="0"/>
  </w:style>
  <w:style w:type="paragraph" w:customStyle="1" w:styleId="15">
    <w:name w:val="Revision"/>
    <w:hidden/>
    <w:semiHidden/>
    <w:qFormat/>
    <w:uiPriority w:val="99"/>
    <w:rPr>
      <w:rFonts w:ascii="Times New Roman" w:hAnsi="Times New Roman" w:cs="Times New Roman" w:eastAsiaTheme="minorEastAsia"/>
      <w:sz w:val="24"/>
      <w:szCs w:val="24"/>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1.xml"/><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B95589-59CA-4A78-8160-B8D1ADC5A230}">
  <ds:schemaRefs/>
</ds:datastoreItem>
</file>

<file path=docProps/app.xml><?xml version="1.0" encoding="utf-8"?>
<Properties xmlns="http://schemas.openxmlformats.org/officeDocument/2006/extended-properties" xmlns:vt="http://schemas.openxmlformats.org/officeDocument/2006/docPropsVTypes">
  <Template>Normal</Template>
  <Company>HP</Company>
  <Pages>23</Pages>
  <Words>4474</Words>
  <Characters>26170</Characters>
  <Lines>218</Lines>
  <Paragraphs>61</Paragraphs>
  <TotalTime>1</TotalTime>
  <ScaleCrop>false</ScaleCrop>
  <LinksUpToDate>false</LinksUpToDate>
  <CharactersWithSpaces>30508</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2023-02-20T08:15:00Z</dcterms:created>
  <dc:creator>baden</dc:creator>
  <cp:lastModifiedBy>晓晨</cp:lastModifiedBy>
  <dcterms:modified xsi:type="dcterms:W3CDTF">2023-03-30T06:40:21Z</dcterms:modified>
  <cp:revision>202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FF22345A6919485993353409BD10A26D</vt:lpwstr>
  </property>
</Properties>
</file>