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E45F" w14:textId="77777777" w:rsidR="00A77B3E" w:rsidRPr="00B75E15" w:rsidRDefault="00000000" w:rsidP="00B75E15">
      <w:pPr>
        <w:spacing w:line="360" w:lineRule="auto"/>
        <w:jc w:val="both"/>
        <w:rPr>
          <w:rFonts w:ascii="Book Antiqua" w:hAnsi="Book Antiqua"/>
        </w:rPr>
      </w:pPr>
      <w:bookmarkStart w:id="0" w:name="OLE_LINK5234"/>
      <w:bookmarkStart w:id="1" w:name="OLE_LINK5235"/>
      <w:r w:rsidRPr="00B75E15">
        <w:rPr>
          <w:rFonts w:ascii="Book Antiqua" w:eastAsia="Book Antiqua" w:hAnsi="Book Antiqua" w:cs="Book Antiqua"/>
          <w:b/>
          <w:color w:val="000000"/>
        </w:rPr>
        <w:t xml:space="preserve">Name of Journal: </w:t>
      </w:r>
      <w:r w:rsidRPr="00B75E15">
        <w:rPr>
          <w:rFonts w:ascii="Book Antiqua" w:eastAsia="Book Antiqua" w:hAnsi="Book Antiqua" w:cs="Book Antiqua"/>
          <w:i/>
          <w:color w:val="000000"/>
        </w:rPr>
        <w:t>World Journal of Stem Cells</w:t>
      </w:r>
    </w:p>
    <w:p w14:paraId="6259D64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Manuscript NO: </w:t>
      </w:r>
      <w:r w:rsidRPr="00B75E15">
        <w:rPr>
          <w:rFonts w:ascii="Book Antiqua" w:eastAsia="Book Antiqua" w:hAnsi="Book Antiqua" w:cs="Book Antiqua"/>
          <w:color w:val="000000"/>
        </w:rPr>
        <w:t>82365</w:t>
      </w:r>
    </w:p>
    <w:p w14:paraId="2B7DF30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Manuscript Type: </w:t>
      </w:r>
      <w:r w:rsidRPr="00B75E15">
        <w:rPr>
          <w:rFonts w:ascii="Book Antiqua" w:eastAsia="Book Antiqua" w:hAnsi="Book Antiqua" w:cs="Book Antiqua"/>
          <w:color w:val="000000"/>
        </w:rPr>
        <w:t>MINIREVIEWS</w:t>
      </w:r>
    </w:p>
    <w:p w14:paraId="19E124D8" w14:textId="0FF2DFD7" w:rsidR="00A77B3E" w:rsidRPr="00B75E15" w:rsidRDefault="00A77B3E" w:rsidP="00B75E15">
      <w:pPr>
        <w:tabs>
          <w:tab w:val="left" w:pos="1829"/>
        </w:tabs>
        <w:spacing w:line="360" w:lineRule="auto"/>
        <w:jc w:val="both"/>
        <w:rPr>
          <w:rFonts w:ascii="Book Antiqua" w:hAnsi="Book Antiqua"/>
        </w:rPr>
      </w:pPr>
    </w:p>
    <w:p w14:paraId="6D4F2904" w14:textId="77777777" w:rsidR="00A77B3E" w:rsidRPr="00B75E15" w:rsidRDefault="00000000" w:rsidP="00B75E15">
      <w:pPr>
        <w:spacing w:line="360" w:lineRule="auto"/>
        <w:jc w:val="both"/>
        <w:rPr>
          <w:rFonts w:ascii="Book Antiqua" w:hAnsi="Book Antiqua"/>
        </w:rPr>
      </w:pPr>
      <w:bookmarkStart w:id="2" w:name="OLE_LINK3917"/>
      <w:bookmarkStart w:id="3" w:name="OLE_LINK3918"/>
      <w:bookmarkStart w:id="4" w:name="OLE_LINK5052"/>
      <w:r w:rsidRPr="00B75E15">
        <w:rPr>
          <w:rFonts w:ascii="Book Antiqua" w:eastAsia="Book Antiqua" w:hAnsi="Book Antiqua" w:cs="Book Antiqua"/>
          <w:b/>
          <w:color w:val="000000"/>
        </w:rPr>
        <w:t>Disease modeling of desmosome-related cardiomyopathy using induced pluripotent stem cell-derived cardiomyocytes</w:t>
      </w:r>
    </w:p>
    <w:bookmarkEnd w:id="2"/>
    <w:bookmarkEnd w:id="3"/>
    <w:bookmarkEnd w:id="4"/>
    <w:p w14:paraId="10E56149" w14:textId="77777777" w:rsidR="00A77B3E" w:rsidRPr="00B75E15" w:rsidRDefault="00A77B3E" w:rsidP="00B75E15">
      <w:pPr>
        <w:spacing w:line="360" w:lineRule="auto"/>
        <w:jc w:val="both"/>
        <w:rPr>
          <w:rFonts w:ascii="Book Antiqua" w:hAnsi="Book Antiqua"/>
          <w:lang w:eastAsia="zh-CN"/>
        </w:rPr>
      </w:pPr>
    </w:p>
    <w:p w14:paraId="4AD1F779" w14:textId="77B80E90" w:rsidR="00A77B3E" w:rsidRPr="00B75E15" w:rsidRDefault="005E4353" w:rsidP="00B75E15">
      <w:pPr>
        <w:spacing w:line="360" w:lineRule="auto"/>
        <w:jc w:val="both"/>
        <w:rPr>
          <w:rFonts w:ascii="Book Antiqua" w:hAnsi="Book Antiqua"/>
        </w:rPr>
      </w:pPr>
      <w:r w:rsidRPr="00B75E15">
        <w:rPr>
          <w:rFonts w:ascii="Book Antiqua" w:eastAsia="Book Antiqua" w:hAnsi="Book Antiqua" w:cs="Book Antiqua"/>
          <w:color w:val="000000"/>
          <w:lang w:eastAsia="zh-CN"/>
        </w:rPr>
        <w:t xml:space="preserve">Higo S. </w:t>
      </w:r>
      <w:bookmarkStart w:id="5" w:name="OLE_LINK3919"/>
      <w:bookmarkStart w:id="6" w:name="OLE_LINK3920"/>
      <w:bookmarkStart w:id="7" w:name="OLE_LINK5053"/>
      <w:r w:rsidRPr="00B75E15">
        <w:rPr>
          <w:rFonts w:ascii="Book Antiqua" w:eastAsia="Book Antiqua" w:hAnsi="Book Antiqua" w:cs="Book Antiqua"/>
          <w:color w:val="000000"/>
        </w:rPr>
        <w:t>Disease modeling of desmosome-related cardiomyopathy</w:t>
      </w:r>
      <w:bookmarkEnd w:id="5"/>
      <w:bookmarkEnd w:id="6"/>
      <w:bookmarkEnd w:id="7"/>
    </w:p>
    <w:p w14:paraId="740FC182" w14:textId="77777777" w:rsidR="00A77B3E" w:rsidRPr="00B75E15" w:rsidRDefault="00A77B3E" w:rsidP="00B75E15">
      <w:pPr>
        <w:spacing w:line="360" w:lineRule="auto"/>
        <w:jc w:val="both"/>
        <w:rPr>
          <w:rFonts w:ascii="Book Antiqua" w:hAnsi="Book Antiqua"/>
        </w:rPr>
      </w:pPr>
    </w:p>
    <w:p w14:paraId="1B7F8F4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Shuichiro Higo</w:t>
      </w:r>
    </w:p>
    <w:p w14:paraId="07A8D57D" w14:textId="77777777" w:rsidR="00A77B3E" w:rsidRPr="00B75E15" w:rsidRDefault="00A77B3E" w:rsidP="00B75E15">
      <w:pPr>
        <w:spacing w:line="360" w:lineRule="auto"/>
        <w:jc w:val="both"/>
        <w:rPr>
          <w:rFonts w:ascii="Book Antiqua" w:hAnsi="Book Antiqua"/>
        </w:rPr>
      </w:pPr>
    </w:p>
    <w:p w14:paraId="7312DA73" w14:textId="30EF10E8"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Shuichiro Higo, </w:t>
      </w:r>
      <w:bookmarkStart w:id="8" w:name="OLE_LINK5164"/>
      <w:bookmarkStart w:id="9" w:name="OLE_LINK5165"/>
      <w:r w:rsidR="00FD5541" w:rsidRPr="00686D03">
        <w:rPr>
          <w:rFonts w:ascii="Book Antiqua" w:eastAsia="Book Antiqua" w:hAnsi="Book Antiqua" w:cs="Book Antiqua"/>
          <w:color w:val="000000"/>
        </w:rPr>
        <w:t>Department of Medical Therapeutics for Heart Failure</w:t>
      </w:r>
      <w:r w:rsidRPr="00686D03">
        <w:rPr>
          <w:rFonts w:ascii="Book Antiqua" w:eastAsia="Book Antiqua" w:hAnsi="Book Antiqua" w:cs="Book Antiqua"/>
          <w:color w:val="000000"/>
        </w:rPr>
        <w:t>,</w:t>
      </w:r>
      <w:r w:rsidRPr="00B75E15">
        <w:rPr>
          <w:rFonts w:ascii="Book Antiqua" w:eastAsia="Book Antiqua" w:hAnsi="Book Antiqua" w:cs="Book Antiqua"/>
          <w:color w:val="000000"/>
        </w:rPr>
        <w:t xml:space="preserve"> Osaka University Graduate School of Medicine, Suita 565-0871, Japan</w:t>
      </w:r>
      <w:bookmarkEnd w:id="8"/>
      <w:bookmarkEnd w:id="9"/>
    </w:p>
    <w:p w14:paraId="355356E7" w14:textId="77777777" w:rsidR="00A77B3E" w:rsidRPr="00B75E15" w:rsidRDefault="00A77B3E" w:rsidP="00B75E15">
      <w:pPr>
        <w:spacing w:line="360" w:lineRule="auto"/>
        <w:jc w:val="both"/>
        <w:rPr>
          <w:rFonts w:ascii="Book Antiqua" w:hAnsi="Book Antiqua"/>
        </w:rPr>
      </w:pPr>
    </w:p>
    <w:p w14:paraId="5939AFC3" w14:textId="73908A20"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Author contributions: </w:t>
      </w:r>
      <w:r w:rsidRPr="00B75E15">
        <w:rPr>
          <w:rFonts w:ascii="Book Antiqua" w:eastAsia="Book Antiqua" w:hAnsi="Book Antiqua" w:cs="Book Antiqua"/>
          <w:color w:val="000000"/>
        </w:rPr>
        <w:t xml:space="preserve">Higo </w:t>
      </w:r>
      <w:r w:rsidR="005E4353" w:rsidRPr="00B75E15">
        <w:rPr>
          <w:rFonts w:ascii="Book Antiqua" w:eastAsia="Book Antiqua" w:hAnsi="Book Antiqua" w:cs="Book Antiqua"/>
          <w:color w:val="000000"/>
        </w:rPr>
        <w:t>S</w:t>
      </w:r>
      <w:r w:rsidR="005E4353" w:rsidRPr="00B75E15">
        <w:rPr>
          <w:rFonts w:ascii="Book Antiqua" w:eastAsia="Book Antiqua" w:hAnsi="Book Antiqua" w:cs="Book Antiqua"/>
          <w:color w:val="000000"/>
          <w:lang w:eastAsia="zh-CN"/>
        </w:rPr>
        <w:t xml:space="preserve"> </w:t>
      </w:r>
      <w:r w:rsidRPr="00B75E15">
        <w:rPr>
          <w:rFonts w:ascii="Book Antiqua" w:eastAsia="Book Antiqua" w:hAnsi="Book Antiqua" w:cs="Book Antiqua"/>
          <w:color w:val="000000"/>
        </w:rPr>
        <w:t>wrote the manuscript</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t</w:t>
      </w:r>
      <w:r w:rsidRPr="00B75E15">
        <w:rPr>
          <w:rFonts w:ascii="Book Antiqua" w:eastAsia="Book Antiqua" w:hAnsi="Book Antiqua" w:cs="Book Antiqua"/>
          <w:color w:val="000000"/>
        </w:rPr>
        <w:t>he author has read and approved the final manuscript.</w:t>
      </w:r>
    </w:p>
    <w:p w14:paraId="1518AF7F" w14:textId="77777777" w:rsidR="00A77B3E" w:rsidRPr="00B75E15" w:rsidRDefault="00A77B3E" w:rsidP="00B75E15">
      <w:pPr>
        <w:spacing w:line="360" w:lineRule="auto"/>
        <w:jc w:val="both"/>
        <w:rPr>
          <w:rFonts w:ascii="Book Antiqua" w:hAnsi="Book Antiqua"/>
        </w:rPr>
      </w:pPr>
    </w:p>
    <w:p w14:paraId="6F1164F0" w14:textId="46149B68" w:rsidR="00A77B3E" w:rsidRPr="00B75E15" w:rsidRDefault="00000000" w:rsidP="00B75E15">
      <w:pPr>
        <w:spacing w:line="360" w:lineRule="auto"/>
        <w:jc w:val="both"/>
        <w:rPr>
          <w:rFonts w:ascii="Book Antiqua" w:hAnsi="Book Antiqua"/>
        </w:rPr>
      </w:pPr>
      <w:bookmarkStart w:id="10" w:name="OLE_LINK3939"/>
      <w:bookmarkStart w:id="11" w:name="OLE_LINK3940"/>
      <w:r w:rsidRPr="00B75E15">
        <w:rPr>
          <w:rFonts w:ascii="Book Antiqua" w:eastAsia="Book Antiqua" w:hAnsi="Book Antiqua" w:cs="Book Antiqua"/>
          <w:b/>
          <w:bCs/>
          <w:color w:val="000000"/>
        </w:rPr>
        <w:t xml:space="preserve">Supported by </w:t>
      </w:r>
      <w:r w:rsidRPr="00B75E15">
        <w:rPr>
          <w:rFonts w:ascii="Book Antiqua" w:eastAsia="Book Antiqua" w:hAnsi="Book Antiqua" w:cs="Book Antiqua"/>
          <w:color w:val="000000"/>
        </w:rPr>
        <w:t>JSPS KAKENHI</w:t>
      </w:r>
      <w:r w:rsidR="005E4353" w:rsidRPr="00B75E15">
        <w:rPr>
          <w:rFonts w:ascii="Book Antiqua" w:eastAsia="Book Antiqua" w:hAnsi="Book Antiqua" w:cs="Book Antiqua"/>
          <w:color w:val="000000"/>
        </w:rPr>
        <w:t xml:space="preserve">, </w:t>
      </w:r>
      <w:r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rPr>
        <w:t>o.</w:t>
      </w:r>
      <w:r w:rsidRPr="00B75E15">
        <w:rPr>
          <w:rFonts w:ascii="Book Antiqua" w:eastAsia="Book Antiqua" w:hAnsi="Book Antiqua" w:cs="Book Antiqua"/>
          <w:color w:val="000000"/>
        </w:rPr>
        <w:t xml:space="preserve"> 20K21602, </w:t>
      </w:r>
      <w:r w:rsidR="005E4353"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 xml:space="preserve">21H02915, and </w:t>
      </w:r>
      <w:r w:rsidR="005E4353"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22K19526</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bookmarkStart w:id="12" w:name="OLE_LINK3921"/>
      <w:bookmarkStart w:id="13" w:name="OLE_LINK3922"/>
      <w:r w:rsidRPr="00B75E15">
        <w:rPr>
          <w:rFonts w:ascii="Book Antiqua" w:eastAsia="Book Antiqua" w:hAnsi="Book Antiqua" w:cs="Book Antiqua"/>
          <w:color w:val="000000"/>
        </w:rPr>
        <w:t xml:space="preserve">the Japan </w:t>
      </w:r>
      <w:r w:rsidR="005E4353" w:rsidRPr="00B75E15">
        <w:rPr>
          <w:rFonts w:ascii="Book Antiqua" w:eastAsia="Book Antiqua" w:hAnsi="Book Antiqua" w:cs="Book Antiqua"/>
          <w:color w:val="000000"/>
        </w:rPr>
        <w:t>Agency for Medical Research and Development</w:t>
      </w:r>
      <w:bookmarkEnd w:id="12"/>
      <w:bookmarkEnd w:id="13"/>
      <w:r w:rsidR="005E4353" w:rsidRPr="00B75E15">
        <w:rPr>
          <w:rFonts w:ascii="Book Antiqua" w:eastAsia="Book Antiqua" w:hAnsi="Book Antiqua" w:cs="Book Antiqua"/>
          <w:color w:val="000000"/>
        </w:rPr>
        <w:t>, 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21bm0804008h0005</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the Cell Science Research Foundation</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the Grant for Basic Research of the Japanese Circulation Society (2018)</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 xml:space="preserve">and </w:t>
      </w:r>
      <w:r w:rsidRPr="00B75E15">
        <w:rPr>
          <w:rFonts w:ascii="Book Antiqua" w:eastAsia="Book Antiqua" w:hAnsi="Book Antiqua" w:cs="Book Antiqua"/>
          <w:color w:val="000000"/>
        </w:rPr>
        <w:t>SENSHIN Medical Research Foundation.</w:t>
      </w:r>
    </w:p>
    <w:bookmarkEnd w:id="10"/>
    <w:bookmarkEnd w:id="11"/>
    <w:p w14:paraId="095A482C" w14:textId="77777777" w:rsidR="00A77B3E" w:rsidRPr="00B75E15" w:rsidRDefault="00A77B3E" w:rsidP="00B75E15">
      <w:pPr>
        <w:spacing w:line="360" w:lineRule="auto"/>
        <w:jc w:val="both"/>
        <w:rPr>
          <w:rFonts w:ascii="Book Antiqua" w:hAnsi="Book Antiqua"/>
        </w:rPr>
      </w:pPr>
    </w:p>
    <w:p w14:paraId="678F728F" w14:textId="741E708F" w:rsidR="00A77B3E" w:rsidRPr="00B75E15" w:rsidRDefault="00000000" w:rsidP="00B75E15">
      <w:pPr>
        <w:spacing w:line="360" w:lineRule="auto"/>
        <w:jc w:val="both"/>
        <w:rPr>
          <w:rFonts w:ascii="Book Antiqua" w:eastAsia="Book Antiqua" w:hAnsi="Book Antiqua" w:cs="Book Antiqua"/>
          <w:b/>
          <w:bCs/>
          <w:color w:val="000000"/>
        </w:rPr>
      </w:pPr>
      <w:r w:rsidRPr="00B75E15">
        <w:rPr>
          <w:rFonts w:ascii="Book Antiqua" w:eastAsia="Book Antiqua" w:hAnsi="Book Antiqua" w:cs="Book Antiqua"/>
          <w:b/>
          <w:bCs/>
          <w:color w:val="000000"/>
        </w:rPr>
        <w:t xml:space="preserve">Corresponding author: Shuichiro Higo, MD, PhD, </w:t>
      </w:r>
      <w:r w:rsidR="00B40C17" w:rsidRPr="00762B62">
        <w:rPr>
          <w:rFonts w:ascii="Book Antiqua" w:hAnsi="Book Antiqua"/>
          <w:b/>
          <w:bCs/>
        </w:rPr>
        <w:t>Specially Appointed</w:t>
      </w:r>
      <w:r w:rsidR="00B40C17" w:rsidRPr="00B75E15">
        <w:rPr>
          <w:rFonts w:ascii="Book Antiqua" w:eastAsia="Book Antiqua" w:hAnsi="Book Antiqua" w:cs="Book Antiqua"/>
          <w:b/>
          <w:bCs/>
          <w:color w:val="000000"/>
        </w:rPr>
        <w:t xml:space="preserve"> </w:t>
      </w:r>
      <w:r w:rsidRPr="00B75E15">
        <w:rPr>
          <w:rFonts w:ascii="Book Antiqua" w:eastAsia="Book Antiqua" w:hAnsi="Book Antiqua" w:cs="Book Antiqua"/>
          <w:b/>
          <w:bCs/>
          <w:color w:val="000000"/>
        </w:rPr>
        <w:t xml:space="preserve">Associate Professor, </w:t>
      </w:r>
      <w:bookmarkStart w:id="14" w:name="OLE_LINK5075"/>
      <w:bookmarkStart w:id="15" w:name="OLE_LINK5076"/>
      <w:r w:rsidR="00FD5541" w:rsidRPr="00686D03">
        <w:rPr>
          <w:rFonts w:ascii="Book Antiqua" w:eastAsia="Book Antiqua" w:hAnsi="Book Antiqua" w:cs="Book Antiqua"/>
          <w:color w:val="000000"/>
        </w:rPr>
        <w:t>Department of Medical Therapeutics for Heart Failure</w:t>
      </w:r>
      <w:bookmarkEnd w:id="14"/>
      <w:bookmarkEnd w:id="15"/>
      <w:r w:rsidR="005E4353" w:rsidRPr="00686D03">
        <w:rPr>
          <w:rFonts w:ascii="Book Antiqua" w:eastAsia="Book Antiqua" w:hAnsi="Book Antiqua" w:cs="Book Antiqua"/>
          <w:color w:val="000000"/>
        </w:rPr>
        <w:t>,</w:t>
      </w:r>
      <w:r w:rsidR="005E4353" w:rsidRPr="00B75E15">
        <w:rPr>
          <w:rFonts w:ascii="Book Antiqua" w:eastAsia="Book Antiqua" w:hAnsi="Book Antiqua" w:cs="Book Antiqua"/>
          <w:color w:val="000000"/>
        </w:rPr>
        <w:t xml:space="preserve"> </w:t>
      </w:r>
      <w:bookmarkStart w:id="16" w:name="OLE_LINK5077"/>
      <w:bookmarkStart w:id="17" w:name="OLE_LINK5078"/>
      <w:r w:rsidR="005E4353" w:rsidRPr="00B75E15">
        <w:rPr>
          <w:rFonts w:ascii="Book Antiqua" w:eastAsia="Book Antiqua" w:hAnsi="Book Antiqua" w:cs="Book Antiqua"/>
          <w:color w:val="000000"/>
        </w:rPr>
        <w:t>Osaka University Graduate School of Medicine</w:t>
      </w:r>
      <w:bookmarkEnd w:id="16"/>
      <w:bookmarkEnd w:id="17"/>
      <w:r w:rsidR="005E4353" w:rsidRPr="00B75E15">
        <w:rPr>
          <w:rFonts w:ascii="Book Antiqua" w:eastAsia="Book Antiqua" w:hAnsi="Book Antiqua" w:cs="Book Antiqua"/>
          <w:color w:val="000000"/>
        </w:rPr>
        <w:t xml:space="preserve">, </w:t>
      </w:r>
      <w:bookmarkStart w:id="18" w:name="OLE_LINK5079"/>
      <w:bookmarkStart w:id="19" w:name="OLE_LINK5080"/>
      <w:r w:rsidR="00B40C17" w:rsidRPr="00762B62">
        <w:rPr>
          <w:rFonts w:ascii="Book Antiqua" w:hAnsi="Book Antiqua"/>
        </w:rPr>
        <w:t>2-2 Yamadaoka</w:t>
      </w:r>
      <w:bookmarkEnd w:id="18"/>
      <w:bookmarkEnd w:id="19"/>
      <w:r w:rsidR="005E4353" w:rsidRPr="00B75E15">
        <w:rPr>
          <w:rFonts w:ascii="Book Antiqua" w:eastAsia="Book Antiqua" w:hAnsi="Book Antiqua" w:cs="Book Antiqua"/>
          <w:color w:val="000000"/>
        </w:rPr>
        <w:t xml:space="preserve">, Suita 565-0871, Japan. </w:t>
      </w:r>
      <w:r w:rsidRPr="00B75E15">
        <w:rPr>
          <w:rFonts w:ascii="Book Antiqua" w:eastAsia="Book Antiqua" w:hAnsi="Book Antiqua" w:cs="Book Antiqua"/>
          <w:color w:val="000000"/>
        </w:rPr>
        <w:t>higo-s@cardiology.med.osaka-u.ac.jp</w:t>
      </w:r>
    </w:p>
    <w:p w14:paraId="052AC918" w14:textId="77777777" w:rsidR="00A77B3E" w:rsidRPr="00B75E15" w:rsidRDefault="00A77B3E" w:rsidP="00B75E15">
      <w:pPr>
        <w:spacing w:line="360" w:lineRule="auto"/>
        <w:jc w:val="both"/>
        <w:rPr>
          <w:rFonts w:ascii="Book Antiqua" w:hAnsi="Book Antiqua"/>
        </w:rPr>
      </w:pPr>
    </w:p>
    <w:p w14:paraId="55715BD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Received: </w:t>
      </w:r>
      <w:r w:rsidRPr="00B75E15">
        <w:rPr>
          <w:rFonts w:ascii="Book Antiqua" w:eastAsia="Book Antiqua" w:hAnsi="Book Antiqua" w:cs="Book Antiqua"/>
          <w:color w:val="000000"/>
        </w:rPr>
        <w:t>December 16, 2022</w:t>
      </w:r>
    </w:p>
    <w:p w14:paraId="78DCEA78" w14:textId="55FEAE0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Revised: </w:t>
      </w:r>
      <w:r w:rsidR="00B33405" w:rsidRPr="00B33405">
        <w:rPr>
          <w:rFonts w:ascii="Book Antiqua" w:eastAsia="Book Antiqua" w:hAnsi="Book Antiqua" w:cs="Book Antiqua"/>
          <w:color w:val="000000"/>
          <w:lang w:eastAsia="zh-CN"/>
        </w:rPr>
        <w:t>February 10, 2023</w:t>
      </w:r>
    </w:p>
    <w:p w14:paraId="4E1BF39B" w14:textId="25B8B0D4"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Accepted: </w:t>
      </w:r>
      <w:r w:rsidR="00A84CBB" w:rsidRPr="00590967">
        <w:rPr>
          <w:rFonts w:ascii="Book Antiqua" w:eastAsia="Book Antiqua" w:hAnsi="Book Antiqua" w:cs="Book Antiqua"/>
          <w:color w:val="000000"/>
        </w:rPr>
        <w:t>March 15, 2023</w:t>
      </w:r>
    </w:p>
    <w:p w14:paraId="215D5E72" w14:textId="7C48F488"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lastRenderedPageBreak/>
        <w:t xml:space="preserve">Published online: </w:t>
      </w:r>
      <w:r w:rsidR="00590967" w:rsidRPr="00590967">
        <w:rPr>
          <w:rFonts w:ascii="Book Antiqua" w:eastAsia="Book Antiqua" w:hAnsi="Book Antiqua" w:cs="Book Antiqua"/>
          <w:color w:val="000000"/>
        </w:rPr>
        <w:t>March 26, 2023</w:t>
      </w:r>
    </w:p>
    <w:p w14:paraId="15FD0CCA" w14:textId="77777777" w:rsidR="00A77B3E" w:rsidRPr="00B75E15" w:rsidRDefault="00A77B3E" w:rsidP="00B75E15">
      <w:pPr>
        <w:spacing w:line="360" w:lineRule="auto"/>
        <w:jc w:val="both"/>
        <w:rPr>
          <w:rFonts w:ascii="Book Antiqua" w:hAnsi="Book Antiqua"/>
        </w:rPr>
        <w:sectPr w:rsidR="00A77B3E" w:rsidRPr="00B75E15">
          <w:footerReference w:type="default" r:id="rId6"/>
          <w:pgSz w:w="12240" w:h="15840"/>
          <w:pgMar w:top="1440" w:right="1440" w:bottom="1440" w:left="1440" w:header="720" w:footer="720" w:gutter="0"/>
          <w:cols w:space="720"/>
          <w:docGrid w:linePitch="360"/>
        </w:sectPr>
      </w:pPr>
    </w:p>
    <w:p w14:paraId="27E05EE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lastRenderedPageBreak/>
        <w:t>Abstract</w:t>
      </w:r>
    </w:p>
    <w:p w14:paraId="65A57C4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Cardiomyopathy is a pathological condition characterized by cardiac pump failure due to myocardial dysfunction and the major cause of advanced heart failure requiring heart transplantation. Although optimized medical therapies have been developed for heart failure during the last few decades, some patients with cardiomyopathy exhibit advanced heart failure and are refractory to medical therapies. Desmosome, which is a dynamic cell-to-cell junctional component, maintains the structural integrity of heart tissues. Genetic mutations in desmosomal genes cause </w:t>
      </w:r>
      <w:bookmarkStart w:id="20" w:name="OLE_LINK5166"/>
      <w:bookmarkStart w:id="21" w:name="OLE_LINK5167"/>
      <w:bookmarkStart w:id="22" w:name="OLE_LINK5215"/>
      <w:r w:rsidRPr="00B75E15">
        <w:rPr>
          <w:rFonts w:ascii="Book Antiqua" w:eastAsia="Book Antiqua" w:hAnsi="Book Antiqua" w:cs="Book Antiqua"/>
          <w:color w:val="000000"/>
        </w:rPr>
        <w:t>arrhythmogenic cardiomyopathy</w:t>
      </w:r>
      <w:bookmarkEnd w:id="20"/>
      <w:bookmarkEnd w:id="21"/>
      <w:bookmarkEnd w:id="22"/>
      <w:r w:rsidRPr="00B75E15">
        <w:rPr>
          <w:rFonts w:ascii="Book Antiqua" w:eastAsia="Book Antiqua" w:hAnsi="Book Antiqua" w:cs="Book Antiqua"/>
          <w:color w:val="000000"/>
        </w:rPr>
        <w:t xml:space="preserve"> (AC), a rare inheritable disease, and predispose patients to sudden cardiac death and heart failure. Recent advances in sequencing technologies have elucidated the genetic basis of cardiomyopathies and revealed that desmosome-related cardiomyopathy is concealed in broad cardiomyopathies. Among desmosomal genes,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(which encodes PKP2) are most frequently identified in patients with AC.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causes various pathological cardiac phenotypes. Human cardiomyocytes differentiated from patient-derived </w:t>
      </w:r>
      <w:bookmarkStart w:id="23" w:name="OLE_LINK5168"/>
      <w:bookmarkStart w:id="24" w:name="OLE_LINK5169"/>
      <w:bookmarkStart w:id="25" w:name="OLE_LINK5178"/>
      <w:bookmarkStart w:id="26" w:name="OLE_LINK5179"/>
      <w:r w:rsidRPr="00B75E15">
        <w:rPr>
          <w:rFonts w:ascii="Book Antiqua" w:eastAsia="Book Antiqua" w:hAnsi="Book Antiqua" w:cs="Book Antiqua"/>
          <w:color w:val="000000"/>
        </w:rPr>
        <w:t>induced pluripotent stem cel</w:t>
      </w:r>
      <w:bookmarkEnd w:id="23"/>
      <w:bookmarkEnd w:id="24"/>
      <w:r w:rsidRPr="00B75E15">
        <w:rPr>
          <w:rFonts w:ascii="Book Antiqua" w:eastAsia="Book Antiqua" w:hAnsi="Book Antiqua" w:cs="Book Antiqua"/>
          <w:color w:val="000000"/>
        </w:rPr>
        <w:t>ls</w:t>
      </w:r>
      <w:bookmarkEnd w:id="25"/>
      <w:bookmarkEnd w:id="26"/>
      <w:r w:rsidRPr="00B75E15">
        <w:rPr>
          <w:rFonts w:ascii="Book Antiqua" w:eastAsia="Book Antiqua" w:hAnsi="Book Antiqua" w:cs="Book Antiqua"/>
          <w:color w:val="000000"/>
        </w:rPr>
        <w:t xml:space="preserve"> (iPSCs) in combination with genome editing, which allows the precise arrangement of the targeted genome, are powerful experimental tools for studying disease. This review summarizes the current issues associated with practical medicine for advanced heart failure and the recent advances in disease modeling using iPSC-derived cardiomyocytes targeting desmosome-related cardiomyopathy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w:t>
      </w:r>
    </w:p>
    <w:p w14:paraId="189D06F6" w14:textId="77777777" w:rsidR="00A77B3E" w:rsidRPr="00B75E15" w:rsidRDefault="00A77B3E" w:rsidP="00B75E15">
      <w:pPr>
        <w:spacing w:line="360" w:lineRule="auto"/>
        <w:jc w:val="both"/>
        <w:rPr>
          <w:rFonts w:ascii="Book Antiqua" w:hAnsi="Book Antiqua"/>
        </w:rPr>
      </w:pPr>
    </w:p>
    <w:p w14:paraId="5B20BF1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Key Words: </w:t>
      </w:r>
      <w:bookmarkStart w:id="27" w:name="OLE_LINK5054"/>
      <w:bookmarkStart w:id="28" w:name="OLE_LINK5055"/>
      <w:r w:rsidRPr="00B75E15">
        <w:rPr>
          <w:rFonts w:ascii="Book Antiqua" w:eastAsia="Book Antiqua" w:hAnsi="Book Antiqua" w:cs="Book Antiqua"/>
          <w:color w:val="000000"/>
        </w:rPr>
        <w:t>Cardiomyopathy; Advanced heart failure; Induced pluripotent stem cell-derived cardiomyocytes; Desmosome; Genome editing; Gene therapy</w:t>
      </w:r>
      <w:bookmarkEnd w:id="27"/>
      <w:bookmarkEnd w:id="28"/>
    </w:p>
    <w:p w14:paraId="124ED5C1" w14:textId="77777777" w:rsidR="00A77B3E" w:rsidRDefault="00A77B3E" w:rsidP="00B75E15">
      <w:pPr>
        <w:spacing w:line="360" w:lineRule="auto"/>
        <w:jc w:val="both"/>
        <w:rPr>
          <w:rFonts w:ascii="Book Antiqua" w:hAnsi="Book Antiqua"/>
        </w:rPr>
      </w:pPr>
    </w:p>
    <w:p w14:paraId="754106D2" w14:textId="77777777" w:rsidR="00E12BE9" w:rsidRDefault="00E12BE9" w:rsidP="00E12BE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7BBA8A0" w14:textId="77777777" w:rsidR="00E12BE9" w:rsidRPr="00B75E15" w:rsidRDefault="00E12BE9" w:rsidP="00B75E15">
      <w:pPr>
        <w:spacing w:line="360" w:lineRule="auto"/>
        <w:jc w:val="both"/>
        <w:rPr>
          <w:rFonts w:ascii="Book Antiqua" w:hAnsi="Book Antiqua"/>
        </w:rPr>
      </w:pPr>
    </w:p>
    <w:p w14:paraId="416476F6" w14:textId="1F7A8271" w:rsidR="00590967" w:rsidRPr="00590967" w:rsidRDefault="00E12BE9" w:rsidP="00590967">
      <w:pPr>
        <w:spacing w:line="360" w:lineRule="auto"/>
        <w:jc w:val="both"/>
        <w:rPr>
          <w:rFonts w:ascii="Book Antiqua" w:eastAsia="Book Antiqua" w:hAnsi="Book Antiqua" w:cs="Book Antiqua"/>
          <w:color w:val="000000"/>
        </w:rPr>
      </w:pPr>
      <w:bookmarkStart w:id="29" w:name="OLE_LINK5056"/>
      <w:bookmarkStart w:id="30" w:name="OLE_LINK5057"/>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B75E15">
        <w:rPr>
          <w:rFonts w:ascii="Book Antiqua" w:eastAsia="Book Antiqua" w:hAnsi="Book Antiqua" w:cs="Book Antiqua"/>
          <w:color w:val="000000"/>
        </w:rPr>
        <w:t xml:space="preserve">Higo S. Disease modeling of desmosome-related cardiomyopathy using induced pluripotent stem cell-derived cardiomyocytes. </w:t>
      </w:r>
      <w:r w:rsidRPr="00B75E15">
        <w:rPr>
          <w:rFonts w:ascii="Book Antiqua" w:eastAsia="Book Antiqua" w:hAnsi="Book Antiqua" w:cs="Book Antiqua"/>
          <w:i/>
          <w:iCs/>
          <w:color w:val="000000"/>
        </w:rPr>
        <w:t>World J Stem Cells</w:t>
      </w:r>
      <w:r w:rsidRPr="00B75E15">
        <w:rPr>
          <w:rFonts w:ascii="Book Antiqua" w:eastAsia="Book Antiqua" w:hAnsi="Book Antiqua" w:cs="Book Antiqua"/>
          <w:color w:val="000000"/>
        </w:rPr>
        <w:t xml:space="preserve"> 2023; </w:t>
      </w:r>
      <w:r w:rsidR="00590967" w:rsidRPr="00590967">
        <w:rPr>
          <w:rFonts w:ascii="Book Antiqua" w:eastAsia="Book Antiqua" w:hAnsi="Book Antiqua" w:cs="Book Antiqua"/>
          <w:color w:val="000000"/>
        </w:rPr>
        <w:t xml:space="preserve">15(3): </w:t>
      </w:r>
      <w:r>
        <w:rPr>
          <w:rFonts w:ascii="Book Antiqua" w:hAnsi="Book Antiqua" w:hint="eastAsia"/>
          <w:color w:val="000000" w:themeColor="text1"/>
        </w:rPr>
        <w:t>7</w:t>
      </w:r>
      <w:r>
        <w:rPr>
          <w:rFonts w:ascii="Book Antiqua" w:hAnsi="Book Antiqua"/>
          <w:color w:val="000000" w:themeColor="text1"/>
        </w:rPr>
        <w:t>1</w:t>
      </w:r>
      <w:r w:rsidR="00590967" w:rsidRPr="00590967">
        <w:rPr>
          <w:rFonts w:ascii="Book Antiqua" w:eastAsia="Book Antiqua" w:hAnsi="Book Antiqua" w:cs="Book Antiqua"/>
          <w:color w:val="000000"/>
        </w:rPr>
        <w:t>-</w:t>
      </w:r>
      <w:r>
        <w:rPr>
          <w:rFonts w:ascii="Book Antiqua" w:eastAsia="Book Antiqua" w:hAnsi="Book Antiqua" w:cs="Book Antiqua"/>
          <w:color w:val="000000"/>
        </w:rPr>
        <w:t>82</w:t>
      </w:r>
    </w:p>
    <w:p w14:paraId="46348971" w14:textId="021818D9" w:rsidR="00590967" w:rsidRPr="00590967" w:rsidRDefault="00590967" w:rsidP="00590967">
      <w:pPr>
        <w:spacing w:line="360" w:lineRule="auto"/>
        <w:jc w:val="both"/>
        <w:rPr>
          <w:rFonts w:ascii="Book Antiqua" w:eastAsia="Book Antiqua" w:hAnsi="Book Antiqua" w:cs="Book Antiqua"/>
          <w:color w:val="000000"/>
        </w:rPr>
      </w:pPr>
      <w:r w:rsidRPr="00590967">
        <w:rPr>
          <w:rFonts w:ascii="Book Antiqua" w:eastAsia="Book Antiqua" w:hAnsi="Book Antiqua" w:cs="Book Antiqua"/>
          <w:b/>
          <w:bCs/>
          <w:color w:val="000000"/>
        </w:rPr>
        <w:lastRenderedPageBreak/>
        <w:t>URL</w:t>
      </w:r>
      <w:r w:rsidRPr="00590967">
        <w:rPr>
          <w:rFonts w:ascii="Book Antiqua" w:eastAsia="Book Antiqua" w:hAnsi="Book Antiqua" w:cs="Book Antiqua"/>
          <w:color w:val="000000"/>
        </w:rPr>
        <w:t>: https://www.wjgnet.com/1948-0210/full/v15/i3/</w:t>
      </w:r>
      <w:r w:rsidR="00E12BE9">
        <w:rPr>
          <w:rFonts w:ascii="Book Antiqua" w:hAnsi="Book Antiqua" w:hint="eastAsia"/>
          <w:color w:val="000000" w:themeColor="text1"/>
        </w:rPr>
        <w:t>7</w:t>
      </w:r>
      <w:r w:rsidR="00E12BE9">
        <w:rPr>
          <w:rFonts w:ascii="Book Antiqua" w:hAnsi="Book Antiqua"/>
          <w:color w:val="000000" w:themeColor="text1"/>
        </w:rPr>
        <w:t>1</w:t>
      </w:r>
      <w:r w:rsidRPr="00590967">
        <w:rPr>
          <w:rFonts w:ascii="Book Antiqua" w:eastAsia="Book Antiqua" w:hAnsi="Book Antiqua" w:cs="Book Antiqua"/>
          <w:color w:val="000000"/>
        </w:rPr>
        <w:t>.htm</w:t>
      </w:r>
    </w:p>
    <w:p w14:paraId="756B1A23" w14:textId="058F9A66" w:rsidR="00A77B3E" w:rsidRPr="00B75E15" w:rsidRDefault="00590967" w:rsidP="00590967">
      <w:pPr>
        <w:spacing w:line="360" w:lineRule="auto"/>
        <w:jc w:val="both"/>
        <w:rPr>
          <w:rFonts w:ascii="Book Antiqua" w:hAnsi="Book Antiqua"/>
        </w:rPr>
      </w:pPr>
      <w:r w:rsidRPr="00590967">
        <w:rPr>
          <w:rFonts w:ascii="Book Antiqua" w:eastAsia="Book Antiqua" w:hAnsi="Book Antiqua" w:cs="Book Antiqua"/>
          <w:b/>
          <w:bCs/>
          <w:color w:val="000000"/>
        </w:rPr>
        <w:t>DOI</w:t>
      </w:r>
      <w:r w:rsidRPr="00590967">
        <w:rPr>
          <w:rFonts w:ascii="Book Antiqua" w:eastAsia="Book Antiqua" w:hAnsi="Book Antiqua" w:cs="Book Antiqua"/>
          <w:color w:val="000000"/>
        </w:rPr>
        <w:t>: https://dx.doi.org/10.4252/wjsc.v15.i3.</w:t>
      </w:r>
      <w:r w:rsidR="00E12BE9">
        <w:rPr>
          <w:rFonts w:ascii="Book Antiqua" w:hAnsi="Book Antiqua" w:hint="eastAsia"/>
          <w:color w:val="000000" w:themeColor="text1"/>
        </w:rPr>
        <w:t>7</w:t>
      </w:r>
      <w:r w:rsidR="00E12BE9">
        <w:rPr>
          <w:rFonts w:ascii="Book Antiqua" w:hAnsi="Book Antiqua"/>
          <w:color w:val="000000" w:themeColor="text1"/>
        </w:rPr>
        <w:t>1</w:t>
      </w:r>
    </w:p>
    <w:bookmarkEnd w:id="29"/>
    <w:bookmarkEnd w:id="30"/>
    <w:p w14:paraId="28D6A66E" w14:textId="77777777" w:rsidR="00A77B3E" w:rsidRPr="00B75E15" w:rsidRDefault="00A77B3E" w:rsidP="00B75E15">
      <w:pPr>
        <w:spacing w:line="360" w:lineRule="auto"/>
        <w:jc w:val="both"/>
        <w:rPr>
          <w:rFonts w:ascii="Book Antiqua" w:hAnsi="Book Antiqua"/>
        </w:rPr>
      </w:pPr>
    </w:p>
    <w:p w14:paraId="4DBB8B3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Core Tip: </w:t>
      </w:r>
      <w:bookmarkStart w:id="31" w:name="OLE_LINK5058"/>
      <w:bookmarkStart w:id="32" w:name="OLE_LINK5059"/>
      <w:r w:rsidRPr="00B75E15">
        <w:rPr>
          <w:rFonts w:ascii="Book Antiqua" w:eastAsia="Book Antiqua" w:hAnsi="Book Antiqua" w:cs="Book Antiqua"/>
          <w:color w:val="000000"/>
        </w:rPr>
        <w:t xml:space="preserve">Prevention of advanced heart failure caused by cardiomyopathy is an urgent unmet need in the field of cardiovascular medicine. Desmosome, a cell-to-cell junctional component, maintains the structural integrity of heart tissues. Genetic mutations in desmosomal genes cause desmosome-related cardiomyopathy, an intractable disease refractory to standard medical therapies. This review introduces the recent advances in disease modeling of desmosome-related cardiomyopathy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using induced pluripotent stem cell-derived cardiomyocytes.</w:t>
      </w:r>
    </w:p>
    <w:bookmarkEnd w:id="31"/>
    <w:bookmarkEnd w:id="32"/>
    <w:p w14:paraId="2ED8EB91" w14:textId="323E7546" w:rsidR="00A77B3E" w:rsidRPr="00B75E15" w:rsidRDefault="00A77B3E" w:rsidP="00B75E15">
      <w:pPr>
        <w:spacing w:line="360" w:lineRule="auto"/>
        <w:jc w:val="both"/>
        <w:rPr>
          <w:rFonts w:ascii="Book Antiqua" w:hAnsi="Book Antiqua"/>
        </w:rPr>
      </w:pPr>
    </w:p>
    <w:p w14:paraId="2125DBA5" w14:textId="77777777" w:rsidR="005E4353" w:rsidRPr="00B75E15" w:rsidRDefault="005E4353" w:rsidP="00B75E15">
      <w:pPr>
        <w:spacing w:line="360" w:lineRule="auto"/>
        <w:jc w:val="both"/>
        <w:rPr>
          <w:rFonts w:ascii="Book Antiqua" w:hAnsi="Book Antiqua"/>
        </w:rPr>
      </w:pPr>
    </w:p>
    <w:p w14:paraId="52D1D5B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INTRODUCTION</w:t>
      </w:r>
    </w:p>
    <w:p w14:paraId="56FFD418" w14:textId="165FC519"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Heart failure is a clinical syndrome characterized by dyspnea, malaise, swelling, and/or decreased exercise capacity owing to impaired cardiac pumping function</w:t>
      </w:r>
      <w:r w:rsidRPr="00B75E15">
        <w:rPr>
          <w:rFonts w:ascii="Book Antiqua" w:eastAsia="Book Antiqua" w:hAnsi="Book Antiqua" w:cs="Book Antiqua"/>
          <w:color w:val="000000"/>
          <w:vertAlign w:val="superscript"/>
        </w:rPr>
        <w:t>[1]</w:t>
      </w:r>
      <w:r w:rsidRPr="00B75E15">
        <w:rPr>
          <w:rFonts w:ascii="Book Antiqua" w:eastAsia="Book Antiqua" w:hAnsi="Book Antiqua" w:cs="Book Antiqua"/>
          <w:color w:val="000000"/>
        </w:rPr>
        <w:t>. The established optimal medical therapies for heart failure have increased the survival rates of patients in the last few decades</w:t>
      </w:r>
      <w:r w:rsidRPr="00B75E15">
        <w:rPr>
          <w:rFonts w:ascii="Book Antiqua" w:eastAsia="Book Antiqua" w:hAnsi="Book Antiqua" w:cs="Book Antiqua"/>
          <w:color w:val="000000"/>
          <w:vertAlign w:val="superscript"/>
        </w:rPr>
        <w:t>[2-4]</w:t>
      </w:r>
      <w:r w:rsidRPr="00B75E15">
        <w:rPr>
          <w:rFonts w:ascii="Book Antiqua" w:eastAsia="Book Antiqua" w:hAnsi="Book Antiqua" w:cs="Book Antiqua"/>
          <w:color w:val="000000"/>
        </w:rPr>
        <w:t>. However, some patients are refractory to medical therapies and develop symptoms that are diagnosed as advanced heart failure. Currently, the therapeutic strategies available for these patients are heart transplantation and implantation of the ventricular assisting device</w:t>
      </w:r>
      <w:r w:rsidRPr="00B75E15">
        <w:rPr>
          <w:rFonts w:ascii="Book Antiqua" w:eastAsia="Book Antiqua" w:hAnsi="Book Antiqua" w:cs="Book Antiqua"/>
          <w:color w:val="000000"/>
          <w:vertAlign w:val="superscript"/>
        </w:rPr>
        <w:t>[1,5]</w:t>
      </w:r>
      <w:r w:rsidRPr="00B75E15">
        <w:rPr>
          <w:rFonts w:ascii="Book Antiqua" w:eastAsia="Book Antiqua" w:hAnsi="Book Antiqua" w:cs="Book Antiqua"/>
          <w:color w:val="000000"/>
        </w:rPr>
        <w:t>. Cardiomyopathy is a disease of cardiac pump failure due to myocardial dysfunction and is the major cause of advanced heart failure requiring heart transplantation</w:t>
      </w:r>
      <w:r w:rsidRPr="00B75E15">
        <w:rPr>
          <w:rFonts w:ascii="Book Antiqua" w:eastAsia="Book Antiqua" w:hAnsi="Book Antiqua" w:cs="Book Antiqua"/>
          <w:color w:val="000000"/>
          <w:vertAlign w:val="superscript"/>
        </w:rPr>
        <w:t>[6-11]</w:t>
      </w:r>
      <w:r w:rsidRPr="00B75E15">
        <w:rPr>
          <w:rFonts w:ascii="Book Antiqua" w:eastAsia="Book Antiqua" w:hAnsi="Book Antiqua" w:cs="Book Antiqua"/>
          <w:color w:val="000000"/>
        </w:rPr>
        <w:t xml:space="preserve">. Cardiomyopathies are differentially diagnosed mainly by using imaging modalities, including echocardiography, scintigraphy, computed tomography, magnetic resonance imaging, and cardiac catheterization. Based on the findings of these modalities, cardiomyopathies are classified into </w:t>
      </w:r>
      <w:bookmarkStart w:id="33" w:name="OLE_LINK5170"/>
      <w:bookmarkStart w:id="34" w:name="OLE_LINK5171"/>
      <w:r w:rsidRPr="00B75E15">
        <w:rPr>
          <w:rFonts w:ascii="Book Antiqua" w:eastAsia="Book Antiqua" w:hAnsi="Book Antiqua" w:cs="Book Antiqua"/>
          <w:color w:val="000000"/>
        </w:rPr>
        <w:t>dilated cardiomyopathy</w:t>
      </w:r>
      <w:bookmarkEnd w:id="33"/>
      <w:bookmarkEnd w:id="34"/>
      <w:r w:rsidRPr="00B75E15">
        <w:rPr>
          <w:rFonts w:ascii="Book Antiqua" w:eastAsia="Book Antiqua" w:hAnsi="Book Antiqua" w:cs="Book Antiqua"/>
          <w:color w:val="000000"/>
        </w:rPr>
        <w:t xml:space="preserve"> (DCM), </w:t>
      </w:r>
      <w:bookmarkStart w:id="35" w:name="OLE_LINK5174"/>
      <w:bookmarkStart w:id="36" w:name="OLE_LINK5175"/>
      <w:r w:rsidRPr="00B75E15">
        <w:rPr>
          <w:rFonts w:ascii="Book Antiqua" w:eastAsia="Book Antiqua" w:hAnsi="Book Antiqua" w:cs="Book Antiqua"/>
          <w:color w:val="000000"/>
        </w:rPr>
        <w:t>hypertrophic cardiomyopathy</w:t>
      </w:r>
      <w:bookmarkEnd w:id="35"/>
      <w:bookmarkEnd w:id="36"/>
      <w:r w:rsidRPr="00B75E15">
        <w:rPr>
          <w:rFonts w:ascii="Book Antiqua" w:eastAsia="Book Antiqua" w:hAnsi="Book Antiqua" w:cs="Book Antiqua"/>
          <w:color w:val="000000"/>
        </w:rPr>
        <w:t xml:space="preserve"> (HCM), </w:t>
      </w:r>
      <w:bookmarkStart w:id="37" w:name="OLE_LINK5172"/>
      <w:bookmarkStart w:id="38" w:name="OLE_LINK5173"/>
      <w:r w:rsidRPr="00B75E15">
        <w:rPr>
          <w:rFonts w:ascii="Book Antiqua" w:eastAsia="Book Antiqua" w:hAnsi="Book Antiqua" w:cs="Book Antiqua"/>
          <w:color w:val="000000"/>
        </w:rPr>
        <w:t>restrictive cardiomyopathy</w:t>
      </w:r>
      <w:bookmarkEnd w:id="37"/>
      <w:bookmarkEnd w:id="38"/>
      <w:r w:rsidRPr="00B75E15">
        <w:rPr>
          <w:rFonts w:ascii="Book Antiqua" w:eastAsia="Book Antiqua" w:hAnsi="Book Antiqua" w:cs="Book Antiqua"/>
          <w:color w:val="000000"/>
        </w:rPr>
        <w:t xml:space="preserve"> (RCM), or other rare cardiomyopathies, such as </w:t>
      </w:r>
      <w:bookmarkStart w:id="39" w:name="OLE_LINK5176"/>
      <w:bookmarkStart w:id="40" w:name="OLE_LINK5177"/>
      <w:r w:rsidRPr="00B75E15">
        <w:rPr>
          <w:rFonts w:ascii="Book Antiqua" w:eastAsia="Book Antiqua" w:hAnsi="Book Antiqua" w:cs="Book Antiqua"/>
          <w:color w:val="000000"/>
        </w:rPr>
        <w:t>arrhythmogenic right ventricular cardiomyopathy</w:t>
      </w:r>
      <w:bookmarkEnd w:id="39"/>
      <w:bookmarkEnd w:id="40"/>
      <w:r w:rsidRPr="00B75E15">
        <w:rPr>
          <w:rFonts w:ascii="Book Antiqua" w:eastAsia="Book Antiqua" w:hAnsi="Book Antiqua" w:cs="Book Antiqua"/>
          <w:color w:val="000000"/>
        </w:rPr>
        <w:t xml:space="preserve"> (ARVC)</w:t>
      </w:r>
      <w:r w:rsidRPr="00B75E15">
        <w:rPr>
          <w:rFonts w:ascii="Book Antiqua" w:eastAsia="Book Antiqua" w:hAnsi="Book Antiqua" w:cs="Book Antiqua"/>
          <w:color w:val="000000"/>
          <w:vertAlign w:val="superscript"/>
        </w:rPr>
        <w:t>[12]</w:t>
      </w:r>
      <w:r w:rsidRPr="00B75E15">
        <w:rPr>
          <w:rFonts w:ascii="Book Antiqua" w:eastAsia="Book Antiqua" w:hAnsi="Book Antiqua" w:cs="Book Antiqua"/>
          <w:color w:val="000000"/>
        </w:rPr>
        <w:t xml:space="preserve">. Among 36,883 heart transplantation recipients registered in the International Society for Heart and Lung Transplantation Thoracic Organ Transplant Registry between 2010 and 2018, the major primary diagnoses were </w:t>
      </w:r>
      <w:r w:rsidRPr="00B75E15">
        <w:rPr>
          <w:rFonts w:ascii="Book Antiqua" w:eastAsia="Book Antiqua" w:hAnsi="Book Antiqua" w:cs="Book Antiqua"/>
          <w:color w:val="000000"/>
        </w:rPr>
        <w:lastRenderedPageBreak/>
        <w:t>non-ischemic DCM (50.8%), ischemic cardiomyopathy (ICM) (32.4%) with coronary artery disease, RCM (3.5%), and HCM (3.4%)</w:t>
      </w:r>
      <w:r w:rsidRPr="00B75E15">
        <w:rPr>
          <w:rFonts w:ascii="Book Antiqua" w:eastAsia="Book Antiqua" w:hAnsi="Book Antiqua" w:cs="Book Antiqua"/>
          <w:color w:val="000000"/>
          <w:vertAlign w:val="superscript"/>
        </w:rPr>
        <w:t>[13]</w:t>
      </w:r>
      <w:r w:rsidRPr="00B75E15">
        <w:rPr>
          <w:rFonts w:ascii="Book Antiqua" w:eastAsia="Book Antiqua" w:hAnsi="Book Antiqua" w:cs="Book Antiqua"/>
          <w:color w:val="000000"/>
        </w:rPr>
        <w:t xml:space="preserve">. In Japan, cardiomyopathies </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DCM (64%), end-stage HCM with left ventricular systolic dysfunction (12%), and ICM (9%)</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account for more than three-quarters of underlying diseases among heart transplant recipients</w:t>
      </w:r>
      <w:r w:rsidRPr="00B75E15">
        <w:rPr>
          <w:rFonts w:ascii="Book Antiqua" w:eastAsia="Book Antiqua" w:hAnsi="Book Antiqua" w:cs="Book Antiqua"/>
          <w:color w:val="000000"/>
          <w:vertAlign w:val="superscript"/>
        </w:rPr>
        <w:t>[14]</w:t>
      </w:r>
      <w:r w:rsidRPr="00B75E15">
        <w:rPr>
          <w:rFonts w:ascii="Book Antiqua" w:eastAsia="Book Antiqua" w:hAnsi="Book Antiqua" w:cs="Book Antiqua"/>
          <w:color w:val="000000"/>
        </w:rPr>
        <w:t>. ARVC, a rare inherited disease, is characterized by the risk of life-threatening arrhythmias, myocardial dysfunction, and fibrofatty replacement of myocardial tissue, predisposing the patients to sudden cardiac death and heart failure</w:t>
      </w:r>
      <w:r w:rsidRPr="00B75E15">
        <w:rPr>
          <w:rFonts w:ascii="Book Antiqua" w:eastAsia="Book Antiqua" w:hAnsi="Book Antiqua" w:cs="Book Antiqua"/>
          <w:color w:val="000000"/>
          <w:vertAlign w:val="superscript"/>
        </w:rPr>
        <w:t>[9,11]</w:t>
      </w:r>
      <w:r w:rsidRPr="00B75E15">
        <w:rPr>
          <w:rFonts w:ascii="Book Antiqua" w:eastAsia="Book Antiqua" w:hAnsi="Book Antiqua" w:cs="Book Antiqua"/>
          <w:color w:val="000000"/>
        </w:rPr>
        <w:t>. The prevalence of ARVC among the registrants for heart transplantation is rare (0.3% and 1</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2% in the United Network for Organ Sharing registry</w:t>
      </w:r>
      <w:r w:rsidRPr="00B75E15">
        <w:rPr>
          <w:rFonts w:ascii="Book Antiqua" w:eastAsia="Book Antiqua" w:hAnsi="Book Antiqua" w:cs="Book Antiqua"/>
          <w:color w:val="000000"/>
          <w:vertAlign w:val="superscript"/>
        </w:rPr>
        <w:t>[15]</w:t>
      </w:r>
      <w:r w:rsidRPr="00B75E15">
        <w:rPr>
          <w:rFonts w:ascii="Book Antiqua" w:eastAsia="Book Antiqua" w:hAnsi="Book Antiqua" w:cs="Book Antiqua"/>
          <w:color w:val="000000"/>
        </w:rPr>
        <w:t xml:space="preserve"> and Japan Organ Transplant Network</w:t>
      </w:r>
      <w:r w:rsidRPr="00B75E15">
        <w:rPr>
          <w:rFonts w:ascii="Book Antiqua" w:eastAsia="Book Antiqua" w:hAnsi="Book Antiqua" w:cs="Book Antiqua"/>
          <w:color w:val="000000"/>
          <w:vertAlign w:val="superscript"/>
        </w:rPr>
        <w:t>[14]</w:t>
      </w:r>
      <w:r w:rsidRPr="00B75E15">
        <w:rPr>
          <w:rFonts w:ascii="Book Antiqua" w:eastAsia="Book Antiqua" w:hAnsi="Book Antiqua" w:cs="Book Antiqua"/>
          <w:color w:val="000000"/>
        </w:rPr>
        <w:t>, respectively).</w:t>
      </w:r>
    </w:p>
    <w:p w14:paraId="2F789308" w14:textId="77777777" w:rsidR="00A77B3E" w:rsidRPr="00B75E15" w:rsidRDefault="00A77B3E" w:rsidP="00B75E15">
      <w:pPr>
        <w:spacing w:line="360" w:lineRule="auto"/>
        <w:jc w:val="both"/>
        <w:rPr>
          <w:rFonts w:ascii="Book Antiqua" w:hAnsi="Book Antiqua"/>
        </w:rPr>
      </w:pPr>
    </w:p>
    <w:p w14:paraId="3FAD6C7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DESMOSOME-RELATED CARDIOMYOPATHY IS CONCEALED IN ADVANCED HEART FAILURE</w:t>
      </w:r>
    </w:p>
    <w:p w14:paraId="7B27649A" w14:textId="1CB3F0D8"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Recent clinical studies utilizing high-throughput sequencing technologies have elucidated the genetic basis of cardiomyopathies, identified various causative genetic variants, and revealed the correlation between genetic factors and clinical phenotypes or cardiac morphologies in patients with cardiomyopathies</w:t>
      </w:r>
      <w:r w:rsidRPr="00B75E15">
        <w:rPr>
          <w:rFonts w:ascii="Book Antiqua" w:eastAsia="Book Antiqua" w:hAnsi="Book Antiqua" w:cs="Book Antiqua"/>
          <w:color w:val="000000"/>
          <w:vertAlign w:val="superscript"/>
        </w:rPr>
        <w:t>[16-20]</w:t>
      </w:r>
      <w:r w:rsidRPr="00B75E15">
        <w:rPr>
          <w:rFonts w:ascii="Book Antiqua" w:eastAsia="Book Antiqua" w:hAnsi="Book Antiqua" w:cs="Book Antiqua"/>
          <w:color w:val="000000"/>
        </w:rPr>
        <w:t>. ARVC is an inherited disease caused by mutations in desmosomal genes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JUP</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DSC2</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and </w:t>
      </w:r>
      <w:r w:rsidRPr="00B75E15">
        <w:rPr>
          <w:rFonts w:ascii="Book Antiqua" w:eastAsia="Book Antiqua" w:hAnsi="Book Antiqua" w:cs="Book Antiqua"/>
          <w:i/>
          <w:iCs/>
          <w:color w:val="000000"/>
        </w:rPr>
        <w:t>DSP</w:t>
      </w:r>
      <w:r w:rsidRPr="00B75E15">
        <w:rPr>
          <w:rFonts w:ascii="Book Antiqua" w:eastAsia="Book Antiqua" w:hAnsi="Book Antiqua" w:cs="Book Antiqua"/>
          <w:color w:val="000000"/>
        </w:rPr>
        <w:t>) (Figure 1)</w:t>
      </w:r>
      <w:r w:rsidRPr="00B75E15">
        <w:rPr>
          <w:rFonts w:ascii="Book Antiqua" w:eastAsia="Book Antiqua" w:hAnsi="Book Antiqua" w:cs="Book Antiqua"/>
          <w:color w:val="000000"/>
          <w:vertAlign w:val="superscript"/>
        </w:rPr>
        <w:t>[11,21,22]</w:t>
      </w:r>
      <w:r w:rsidRPr="00B75E15">
        <w:rPr>
          <w:rFonts w:ascii="Book Antiqua" w:eastAsia="Book Antiqua" w:hAnsi="Book Antiqua" w:cs="Book Antiqua"/>
          <w:color w:val="000000"/>
        </w:rPr>
        <w:t>. These genes encode the structural components of the desmosome, a dynamic junction between cells that maintain the structural integrity of heart tissues</w:t>
      </w:r>
      <w:r w:rsidRPr="00B75E15">
        <w:rPr>
          <w:rFonts w:ascii="Book Antiqua" w:eastAsia="Book Antiqua" w:hAnsi="Book Antiqua" w:cs="Book Antiqua"/>
          <w:color w:val="000000"/>
          <w:vertAlign w:val="superscript"/>
        </w:rPr>
        <w:t>[23,24]</w:t>
      </w:r>
      <w:r w:rsidRPr="00B75E15">
        <w:rPr>
          <w:rFonts w:ascii="Book Antiqua" w:eastAsia="Book Antiqua" w:hAnsi="Book Antiqua" w:cs="Book Antiqua"/>
          <w:color w:val="000000"/>
        </w:rPr>
        <w:t xml:space="preserve">. The original disease phenotypes of ARVC are characterized by predominant right ventricular enlargement and contractile dysfunction. However, recent studies have reported left ventricular or biventricular involvement in patients with ARVC, resulting in the use of a broad phrase </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arrhythmogenic cardiomyopathy (AC)</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vertAlign w:val="superscript"/>
        </w:rPr>
        <w:t>[9,11]</w:t>
      </w:r>
      <w:r w:rsidRPr="00B75E15">
        <w:rPr>
          <w:rFonts w:ascii="Book Antiqua" w:eastAsia="Book Antiqua" w:hAnsi="Book Antiqua" w:cs="Book Antiqua"/>
          <w:color w:val="000000"/>
        </w:rPr>
        <w:t>. Although the prevalence of AC in patients with advanced heart failure is rare, recent genetic analyses in large cohorts have demonstrated an increased incidence of desmosomal gene mutations in patients with DCM</w:t>
      </w:r>
      <w:r w:rsidRPr="00B75E15">
        <w:rPr>
          <w:rFonts w:ascii="Book Antiqua" w:eastAsia="Book Antiqua" w:hAnsi="Book Antiqua" w:cs="Book Antiqua"/>
          <w:color w:val="000000"/>
          <w:vertAlign w:val="superscript"/>
        </w:rPr>
        <w:t>[18,25,26]</w:t>
      </w:r>
      <w:r w:rsidRPr="00B75E15">
        <w:rPr>
          <w:rFonts w:ascii="Book Antiqua" w:eastAsia="Book Antiqua" w:hAnsi="Book Antiqua" w:cs="Book Antiqua"/>
          <w:color w:val="000000"/>
        </w:rPr>
        <w:t>, which is the most frequent basal disease among heart transplantation registrants. Furthermore, homozygosity and compound or digenic heterozygosity of desmosomal genes are not rare, and patients with combined mutations exhibit a severe phenotype</w:t>
      </w:r>
      <w:r w:rsidRPr="00B75E15">
        <w:rPr>
          <w:rFonts w:ascii="Book Antiqua" w:eastAsia="Book Antiqua" w:hAnsi="Book Antiqua" w:cs="Book Antiqua"/>
          <w:color w:val="000000"/>
          <w:vertAlign w:val="superscript"/>
        </w:rPr>
        <w:t>[27-30]</w:t>
      </w:r>
      <w:r w:rsidRPr="00B75E15">
        <w:rPr>
          <w:rFonts w:ascii="Book Antiqua" w:eastAsia="Book Antiqua" w:hAnsi="Book Antiqua" w:cs="Book Antiqua"/>
          <w:color w:val="000000"/>
        </w:rPr>
        <w:t xml:space="preserve">. Recently, we identified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-deficient cardiomyopathy </w:t>
      </w:r>
      <w:r w:rsidRPr="00B75E15">
        <w:rPr>
          <w:rFonts w:ascii="Book Antiqua" w:eastAsia="Book Antiqua" w:hAnsi="Book Antiqua" w:cs="Book Antiqua"/>
          <w:color w:val="000000"/>
        </w:rPr>
        <w:lastRenderedPageBreak/>
        <w:t>caused by a rare homozygous stop-gain mutation in a patient initially diagnosed with idiopathic sporadic DCM</w:t>
      </w:r>
      <w:r w:rsidRPr="00B75E15">
        <w:rPr>
          <w:rFonts w:ascii="Book Antiqua" w:eastAsia="Book Antiqua" w:hAnsi="Book Antiqua" w:cs="Book Antiqua"/>
          <w:color w:val="000000"/>
          <w:vertAlign w:val="superscript"/>
        </w:rPr>
        <w:t>[30]</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deficiency is associated with embryonic lethality in mice. Additionally,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-depleted embryonic stem cells do not proliferate</w:t>
      </w:r>
      <w:r w:rsidRPr="00B75E15">
        <w:rPr>
          <w:rFonts w:ascii="Book Antiqua" w:eastAsia="Book Antiqua" w:hAnsi="Book Antiqua" w:cs="Book Antiqua"/>
          <w:color w:val="000000"/>
          <w:vertAlign w:val="superscript"/>
        </w:rPr>
        <w:t>[31]</w:t>
      </w:r>
      <w:r w:rsidRPr="00B75E15">
        <w:rPr>
          <w:rFonts w:ascii="Book Antiqua" w:eastAsia="Book Antiqua" w:hAnsi="Book Antiqua" w:cs="Book Antiqua"/>
          <w:color w:val="000000"/>
        </w:rPr>
        <w:t xml:space="preserve">. However, a human male patient with a complete lack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expression did not exhibit pathological phenotypes at birth but developed advanced heart failure during the teenage years. Immunohistochemical and transmission electron microscopy analyses of left ventricular heart tissues revealed that the loss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l</w:t>
      </w:r>
      <w:r w:rsidRPr="00B75E15">
        <w:rPr>
          <w:rFonts w:ascii="Book Antiqua" w:eastAsia="Book Antiqua" w:hAnsi="Book Antiqua" w:cs="Book Antiqua"/>
          <w:color w:val="000000"/>
        </w:rPr>
        <w:t xml:space="preserve">eads to aberrant deposition of desmosomal proteins and disruption of intercalated discs in cardiomyocytes. These findings suggest that desmosome-related cardiomyopathy is concealed in patients with advanced heart failure who are diagnosed with idiopathic DCM. As desmosome impairment is the most upstream molecular change in these patients, experimental studies must focus on elucidating the molecular mechanisms underlying the instability of cell-to-cell junctions to overcome advanced heart failure caused by desmosome-related cardiomyopathy. For disease modeling, patient-derived </w:t>
      </w:r>
      <w:r w:rsidR="005E4353"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in combination with genome editing, which allows precise genomic modification of the targeted mutations, are powerful experimental tools to recapitulate pathological phenotypes based on the molecular factors of inherited cardiomyopathies</w:t>
      </w:r>
      <w:r w:rsidRPr="00B75E15">
        <w:rPr>
          <w:rFonts w:ascii="Book Antiqua" w:eastAsia="Book Antiqua" w:hAnsi="Book Antiqua" w:cs="Book Antiqua"/>
          <w:color w:val="000000"/>
          <w:vertAlign w:val="superscript"/>
        </w:rPr>
        <w:t>[30,32-35]</w:t>
      </w:r>
      <w:r w:rsidRPr="00B75E15">
        <w:rPr>
          <w:rFonts w:ascii="Book Antiqua" w:eastAsia="Book Antiqua" w:hAnsi="Book Antiqua" w:cs="Book Antiqua"/>
          <w:color w:val="000000"/>
        </w:rPr>
        <w:t>.</w:t>
      </w:r>
    </w:p>
    <w:p w14:paraId="314B5172" w14:textId="77777777" w:rsidR="00A77B3E" w:rsidRPr="00B75E15" w:rsidRDefault="00A77B3E" w:rsidP="00B75E15">
      <w:pPr>
        <w:spacing w:line="360" w:lineRule="auto"/>
        <w:jc w:val="both"/>
        <w:rPr>
          <w:rFonts w:ascii="Book Antiqua" w:hAnsi="Book Antiqua"/>
        </w:rPr>
      </w:pPr>
    </w:p>
    <w:p w14:paraId="318052A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PHENOTYPIC RECAPITULATION OF CARDIOMYOPATHY CAUSED BY PKP2 DEFICIENCY USING PATIENT-DERIVED iPSC-CMs</w:t>
      </w:r>
    </w:p>
    <w:p w14:paraId="22F00BD7" w14:textId="474DC39D"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PKP2, which is encoded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is a desmosomal protein localized to the outer dense plaque and functions as a scaffold for the other desmosome proteins DSG2, DSC2, JUP, and DSP</w:t>
      </w:r>
      <w:r w:rsidRPr="00B75E15">
        <w:rPr>
          <w:rFonts w:ascii="Book Antiqua" w:eastAsia="Book Antiqua" w:hAnsi="Book Antiqua" w:cs="Book Antiqua"/>
          <w:color w:val="000000"/>
          <w:vertAlign w:val="superscript"/>
        </w:rPr>
        <w:t>[23,36]</w:t>
      </w:r>
      <w:r w:rsidRPr="00B75E15">
        <w:rPr>
          <w:rFonts w:ascii="Book Antiqua" w:eastAsia="Book Antiqua" w:hAnsi="Book Antiqua" w:cs="Book Antiqua"/>
          <w:color w:val="000000"/>
        </w:rPr>
        <w:t xml:space="preserve"> (Figure 1). Among the desmosomal genes,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most frequently identified in patients with AC</w:t>
      </w:r>
      <w:r w:rsidRPr="00B75E15">
        <w:rPr>
          <w:rFonts w:ascii="Book Antiqua" w:eastAsia="Book Antiqua" w:hAnsi="Book Antiqua" w:cs="Book Antiqua"/>
          <w:color w:val="000000"/>
          <w:vertAlign w:val="superscript"/>
        </w:rPr>
        <w:t>[11,37-39]</w:t>
      </w:r>
      <w:r w:rsidRPr="00B75E15">
        <w:rPr>
          <w:rFonts w:ascii="Book Antiqua" w:eastAsia="Book Antiqua" w:hAnsi="Book Antiqua" w:cs="Book Antiqua"/>
          <w:color w:val="000000"/>
        </w:rPr>
        <w:t>, and have been extensively studied using patient-derived iPSC-CMs compared to other desmosomal genes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vertAlign w:val="superscript"/>
        </w:rPr>
        <w:t>[30,40,41]</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DSP</w:t>
      </w:r>
      <w:r w:rsidRPr="00B75E15">
        <w:rPr>
          <w:rFonts w:ascii="Book Antiqua" w:eastAsia="Book Antiqua" w:hAnsi="Book Antiqua" w:cs="Book Antiqua"/>
          <w:color w:val="000000"/>
          <w:vertAlign w:val="superscript"/>
        </w:rPr>
        <w:t>[42,43]</w:t>
      </w:r>
      <w:r w:rsidRPr="00B75E15">
        <w:rPr>
          <w:rFonts w:ascii="Book Antiqua" w:eastAsia="Book Antiqua" w:hAnsi="Book Antiqua" w:cs="Book Antiqua"/>
          <w:color w:val="000000"/>
        </w:rPr>
        <w:t xml:space="preserve">, and </w:t>
      </w:r>
      <w:r w:rsidRPr="00B75E15">
        <w:rPr>
          <w:rFonts w:ascii="Book Antiqua" w:eastAsia="Book Antiqua" w:hAnsi="Book Antiqua" w:cs="Book Antiqua"/>
          <w:i/>
          <w:iCs/>
          <w:color w:val="000000"/>
        </w:rPr>
        <w:t>DSC2</w:t>
      </w:r>
      <w:r w:rsidRPr="00B75E15">
        <w:rPr>
          <w:rFonts w:ascii="Book Antiqua" w:eastAsia="Book Antiqua" w:hAnsi="Book Antiqua" w:cs="Book Antiqua"/>
          <w:color w:val="000000"/>
          <w:vertAlign w:val="superscript"/>
        </w:rPr>
        <w:t>[44,45]</w:t>
      </w:r>
      <w:r w:rsidRPr="00B75E15">
        <w:rPr>
          <w:rFonts w:ascii="Book Antiqua" w:eastAsia="Book Antiqua" w:hAnsi="Book Antiqua" w:cs="Book Antiqua"/>
          <w:color w:val="000000"/>
        </w:rPr>
        <w:t xml:space="preserve">). Various clinical phenotypes and pathological characteristics observed in patients with AC harboring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downregulated desmosomal protein expression, upregulated lipogenesis, and increased apoptosis in heart tissues have been recapitulated using genetically engineered mouse models</w:t>
      </w:r>
      <w:r w:rsidRPr="00B75E15">
        <w:rPr>
          <w:rFonts w:ascii="Book Antiqua" w:eastAsia="Book Antiqua" w:hAnsi="Book Antiqua" w:cs="Book Antiqua"/>
          <w:color w:val="000000"/>
          <w:vertAlign w:val="superscript"/>
        </w:rPr>
        <w:t>[11]</w:t>
      </w:r>
      <w:r w:rsidRPr="00B75E15">
        <w:rPr>
          <w:rFonts w:ascii="Book Antiqua" w:eastAsia="Book Antiqua" w:hAnsi="Book Antiqua" w:cs="Book Antiqua"/>
          <w:color w:val="000000"/>
        </w:rPr>
        <w:t xml:space="preserve"> and human cardiomyocytes differentiated from iPSCs</w:t>
      </w:r>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xml:space="preserve"> (</w:t>
      </w:r>
      <w:bookmarkStart w:id="41" w:name="OLE_LINK5238"/>
      <w:bookmarkStart w:id="42" w:name="OLE_LINK5239"/>
      <w:r w:rsidRPr="00B75E15">
        <w:rPr>
          <w:rFonts w:ascii="Book Antiqua" w:eastAsia="Book Antiqua" w:hAnsi="Book Antiqua" w:cs="Book Antiqua"/>
          <w:color w:val="000000"/>
        </w:rPr>
        <w:t>Table</w:t>
      </w:r>
      <w:bookmarkEnd w:id="41"/>
      <w:bookmarkEnd w:id="42"/>
      <w:r w:rsidRPr="00B75E15">
        <w:rPr>
          <w:rFonts w:ascii="Book Antiqua" w:eastAsia="Book Antiqua" w:hAnsi="Book Antiqua" w:cs="Book Antiqua"/>
          <w:color w:val="000000"/>
        </w:rPr>
        <w:t xml:space="preserve"> 1). Most known mutations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w:t>
      </w:r>
      <w:r w:rsidRPr="00B75E15">
        <w:rPr>
          <w:rFonts w:ascii="Book Antiqua" w:eastAsia="Book Antiqua" w:hAnsi="Book Antiqua" w:cs="Book Antiqua"/>
          <w:color w:val="000000"/>
        </w:rPr>
        <w:lastRenderedPageBreak/>
        <w:t xml:space="preserve">heterozygous and are missense, nonsense, and frameshift mutations. Studies on patient-derived iPSCs have identified that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variants are heterozygous missense</w:t>
      </w:r>
      <w:r w:rsidRPr="00B75E15">
        <w:rPr>
          <w:rFonts w:ascii="Book Antiqua" w:eastAsia="Book Antiqua" w:hAnsi="Book Antiqua" w:cs="Book Antiqua"/>
          <w:color w:val="000000"/>
          <w:vertAlign w:val="superscript"/>
        </w:rPr>
        <w:t>[48]</w:t>
      </w:r>
      <w:r w:rsidRPr="00B75E15">
        <w:rPr>
          <w:rFonts w:ascii="Book Antiqua" w:eastAsia="Book Antiqua" w:hAnsi="Book Antiqua" w:cs="Book Antiqua"/>
          <w:color w:val="000000"/>
        </w:rPr>
        <w:t>, heterozygous frameshift</w:t>
      </w:r>
      <w:r w:rsidRPr="00B75E15">
        <w:rPr>
          <w:rFonts w:ascii="Book Antiqua" w:eastAsia="Book Antiqua" w:hAnsi="Book Antiqua" w:cs="Book Antiqua"/>
          <w:color w:val="000000"/>
          <w:vertAlign w:val="superscript"/>
        </w:rPr>
        <w:t>[46,47,49,50,54]</w:t>
      </w:r>
      <w:r w:rsidRPr="00B75E15">
        <w:rPr>
          <w:rFonts w:ascii="Book Antiqua" w:eastAsia="Book Antiqua" w:hAnsi="Book Antiqua" w:cs="Book Antiqua"/>
          <w:color w:val="000000"/>
        </w:rPr>
        <w:t>, homozygous frameshift</w:t>
      </w:r>
      <w:r w:rsidRPr="00B75E15">
        <w:rPr>
          <w:rFonts w:ascii="Book Antiqua" w:eastAsia="Book Antiqua" w:hAnsi="Book Antiqua" w:cs="Book Antiqua"/>
          <w:color w:val="000000"/>
          <w:vertAlign w:val="superscript"/>
        </w:rPr>
        <w:t>[47,51]</w:t>
      </w:r>
      <w:r w:rsidRPr="00B75E15">
        <w:rPr>
          <w:rFonts w:ascii="Book Antiqua" w:eastAsia="Book Antiqua" w:hAnsi="Book Antiqua" w:cs="Book Antiqua"/>
          <w:color w:val="000000"/>
        </w:rPr>
        <w:t>, compound heterozygous, and frameshift</w:t>
      </w:r>
      <w:r w:rsidRPr="00B75E15">
        <w:rPr>
          <w:rFonts w:ascii="Book Antiqua" w:eastAsia="Book Antiqua" w:hAnsi="Book Antiqua" w:cs="Book Antiqua"/>
          <w:color w:val="000000"/>
          <w:vertAlign w:val="superscript"/>
        </w:rPr>
        <w:t>[52]</w:t>
      </w:r>
      <w:r w:rsidRPr="00B75E15">
        <w:rPr>
          <w:rFonts w:ascii="Book Antiqua" w:eastAsia="Book Antiqua" w:hAnsi="Book Antiqua" w:cs="Book Antiqua"/>
          <w:color w:val="000000"/>
        </w:rPr>
        <w:t xml:space="preserve"> mutations. Disease-specific iPSCs are generated from fibroblasts</w:t>
      </w:r>
      <w:r w:rsidRPr="00B75E15">
        <w:rPr>
          <w:rFonts w:ascii="Book Antiqua" w:eastAsia="Book Antiqua" w:hAnsi="Book Antiqua" w:cs="Book Antiqua"/>
          <w:color w:val="000000"/>
          <w:vertAlign w:val="superscript"/>
        </w:rPr>
        <w:t>[46-48,51]</w:t>
      </w:r>
      <w:r w:rsidRPr="00B75E15">
        <w:rPr>
          <w:rFonts w:ascii="Book Antiqua" w:eastAsia="Book Antiqua" w:hAnsi="Book Antiqua" w:cs="Book Antiqua"/>
          <w:color w:val="000000"/>
        </w:rPr>
        <w:t>, keratinocytes</w:t>
      </w:r>
      <w:r w:rsidRPr="00B75E15">
        <w:rPr>
          <w:rFonts w:ascii="Book Antiqua" w:eastAsia="Book Antiqua" w:hAnsi="Book Antiqua" w:cs="Book Antiqua"/>
          <w:color w:val="000000"/>
          <w:vertAlign w:val="superscript"/>
        </w:rPr>
        <w:t>[49]</w:t>
      </w:r>
      <w:r w:rsidRPr="00B75E15">
        <w:rPr>
          <w:rFonts w:ascii="Book Antiqua" w:eastAsia="Book Antiqua" w:hAnsi="Book Antiqua" w:cs="Book Antiqua"/>
          <w:color w:val="000000"/>
        </w:rPr>
        <w:t>, adipose tissue-derived stromal cells</w:t>
      </w:r>
      <w:r w:rsidRPr="00B75E15">
        <w:rPr>
          <w:rFonts w:ascii="Book Antiqua" w:eastAsia="Book Antiqua" w:hAnsi="Book Antiqua" w:cs="Book Antiqua"/>
          <w:color w:val="000000"/>
          <w:vertAlign w:val="superscript"/>
        </w:rPr>
        <w:t>[52]</w:t>
      </w:r>
      <w:r w:rsidRPr="00B75E15">
        <w:rPr>
          <w:rFonts w:ascii="Book Antiqua" w:eastAsia="Book Antiqua" w:hAnsi="Book Antiqua" w:cs="Book Antiqua"/>
          <w:color w:val="000000"/>
        </w:rPr>
        <w:t>, and peripheral blood mononuclear cells</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whereas control iPSCs are generated from healthy subjects</w:t>
      </w:r>
      <w:r w:rsidRPr="00B75E15">
        <w:rPr>
          <w:rFonts w:ascii="Book Antiqua" w:eastAsia="Book Antiqua" w:hAnsi="Book Antiqua" w:cs="Book Antiqua"/>
          <w:color w:val="000000"/>
          <w:vertAlign w:val="superscript"/>
        </w:rPr>
        <w:t>[46-49,51,52]</w:t>
      </w:r>
      <w:r w:rsidRPr="00B75E15">
        <w:rPr>
          <w:rFonts w:ascii="Book Antiqua" w:eastAsia="Book Antiqua" w:hAnsi="Book Antiqua" w:cs="Book Antiqua"/>
          <w:color w:val="000000"/>
        </w:rPr>
        <w:t>, human embryonic stem cells</w:t>
      </w:r>
      <w:r w:rsidRPr="00B75E15">
        <w:rPr>
          <w:rFonts w:ascii="Book Antiqua" w:eastAsia="Book Antiqua" w:hAnsi="Book Antiqua" w:cs="Book Antiqua"/>
          <w:color w:val="000000"/>
          <w:vertAlign w:val="superscript"/>
        </w:rPr>
        <w:t>[50]</w:t>
      </w:r>
      <w:r w:rsidRPr="00B75E15">
        <w:rPr>
          <w:rFonts w:ascii="Book Antiqua" w:eastAsia="Book Antiqua" w:hAnsi="Book Antiqua" w:cs="Book Antiqua"/>
          <w:color w:val="000000"/>
        </w:rPr>
        <w:t>, or isogenic cells engineered from patient-derived iPSCs using genome editing</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Genome editing allows disease modeling by introducing heterozygous and homozygous frameshift mutations in wild-type iPSC lines</w:t>
      </w:r>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Decreased expression of desmosomal proteins, aberrant lipogenesis, and apoptosis of cardiomyocytes are observed in the heart tissues of patients with AC</w:t>
      </w:r>
      <w:r w:rsidRPr="00B75E15">
        <w:rPr>
          <w:rFonts w:ascii="Book Antiqua" w:eastAsia="Book Antiqua" w:hAnsi="Book Antiqua" w:cs="Book Antiqua"/>
          <w:color w:val="000000"/>
          <w:vertAlign w:val="superscript"/>
        </w:rPr>
        <w:t>[9,55,56]</w:t>
      </w:r>
      <w:r w:rsidRPr="00B75E15">
        <w:rPr>
          <w:rFonts w:ascii="Book Antiqua" w:eastAsia="Book Antiqua" w:hAnsi="Book Antiqua" w:cs="Book Antiqua"/>
          <w:color w:val="000000"/>
        </w:rPr>
        <w:t xml:space="preserve">. These pathological phenotypes are recapitulated in iPSC-CMs with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as determined using immunostaining</w:t>
      </w:r>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lipid staining</w:t>
      </w:r>
      <w:r w:rsidRPr="00B75E15">
        <w:rPr>
          <w:rFonts w:ascii="Book Antiqua" w:eastAsia="Book Antiqua" w:hAnsi="Book Antiqua" w:cs="Book Antiqua"/>
          <w:color w:val="000000"/>
          <w:vertAlign w:val="superscript"/>
        </w:rPr>
        <w:t>[47-50]</w:t>
      </w:r>
      <w:r w:rsidRPr="00B75E15">
        <w:rPr>
          <w:rFonts w:ascii="Book Antiqua" w:eastAsia="Book Antiqua" w:hAnsi="Book Antiqua" w:cs="Book Antiqua"/>
          <w:color w:val="000000"/>
        </w:rPr>
        <w:t>, electron microscopy</w:t>
      </w:r>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terminal transferase dUTP nick end labeling staining</w:t>
      </w:r>
      <w:r w:rsidRPr="00B75E15">
        <w:rPr>
          <w:rFonts w:ascii="Book Antiqua" w:eastAsia="Book Antiqua" w:hAnsi="Book Antiqua" w:cs="Book Antiqua"/>
          <w:color w:val="000000"/>
          <w:vertAlign w:val="superscript"/>
        </w:rPr>
        <w:t>[46,47]</w:t>
      </w:r>
      <w:r w:rsidRPr="00B75E15">
        <w:rPr>
          <w:rFonts w:ascii="Book Antiqua" w:eastAsia="Book Antiqua" w:hAnsi="Book Antiqua" w:cs="Book Antiqua"/>
          <w:color w:val="000000"/>
        </w:rPr>
        <w:t>, and cleaved-CASP3 expression analysis</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Lethal arrhythmia is a hallmark of patients with AC. Arrhythmia phenotypes are recapitulated using iPSC-CMs with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as evidenced by the results of patch-clamp</w:t>
      </w:r>
      <w:r w:rsidRPr="00B75E15">
        <w:rPr>
          <w:rFonts w:ascii="Book Antiqua" w:eastAsia="Book Antiqua" w:hAnsi="Book Antiqua" w:cs="Book Antiqua"/>
          <w:color w:val="000000"/>
          <w:vertAlign w:val="superscript"/>
        </w:rPr>
        <w:t>[48,52]</w:t>
      </w:r>
      <w:r w:rsidRPr="00B75E15">
        <w:rPr>
          <w:rFonts w:ascii="Book Antiqua" w:eastAsia="Book Antiqua" w:hAnsi="Book Antiqua" w:cs="Book Antiqua"/>
          <w:color w:val="000000"/>
        </w:rPr>
        <w:t>, multielectrode array</w:t>
      </w:r>
      <w:r w:rsidRPr="00B75E15">
        <w:rPr>
          <w:rFonts w:ascii="Book Antiqua" w:eastAsia="Book Antiqua" w:hAnsi="Book Antiqua" w:cs="Book Antiqua"/>
          <w:color w:val="000000"/>
          <w:vertAlign w:val="superscript"/>
        </w:rPr>
        <w:t>[46]</w:t>
      </w:r>
      <w:r w:rsidRPr="00B75E15">
        <w:rPr>
          <w:rFonts w:ascii="Book Antiqua" w:eastAsia="Book Antiqua" w:hAnsi="Book Antiqua" w:cs="Book Antiqua"/>
          <w:color w:val="000000"/>
        </w:rPr>
        <w:t>, calcium imaging</w:t>
      </w:r>
      <w:r w:rsidRPr="00B75E15">
        <w:rPr>
          <w:rFonts w:ascii="Book Antiqua" w:eastAsia="Book Antiqua" w:hAnsi="Book Antiqua" w:cs="Book Antiqua"/>
          <w:color w:val="000000"/>
          <w:vertAlign w:val="superscript"/>
        </w:rPr>
        <w:t>[47]</w:t>
      </w:r>
      <w:r w:rsidRPr="00B75E15">
        <w:rPr>
          <w:rFonts w:ascii="Book Antiqua" w:eastAsia="Book Antiqua" w:hAnsi="Book Antiqua" w:cs="Book Antiqua"/>
          <w:color w:val="000000"/>
        </w:rPr>
        <w:t>, and optical voltage recording</w:t>
      </w:r>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In clinical settings, global or regional ventricular contractile dysfunction is defined as a major criterion for the diagnosis of ARVC in modified Task Force criteria</w:t>
      </w:r>
      <w:r w:rsidRPr="00B75E15">
        <w:rPr>
          <w:rFonts w:ascii="Book Antiqua" w:eastAsia="Book Antiqua" w:hAnsi="Book Antiqua" w:cs="Book Antiqua"/>
          <w:color w:val="000000"/>
          <w:vertAlign w:val="superscript"/>
        </w:rPr>
        <w:t>[21]</w:t>
      </w:r>
      <w:r w:rsidRPr="00B75E15">
        <w:rPr>
          <w:rFonts w:ascii="Book Antiqua" w:eastAsia="Book Antiqua" w:hAnsi="Book Antiqua" w:cs="Book Antiqua"/>
          <w:color w:val="000000"/>
        </w:rPr>
        <w:t xml:space="preserve"> and Padua criteria</w:t>
      </w:r>
      <w:r w:rsidRPr="00B75E15">
        <w:rPr>
          <w:rFonts w:ascii="Book Antiqua" w:eastAsia="Book Antiqua" w:hAnsi="Book Antiqua" w:cs="Book Antiqua"/>
          <w:color w:val="000000"/>
          <w:vertAlign w:val="superscript"/>
        </w:rPr>
        <w:t>[57]</w:t>
      </w:r>
      <w:r w:rsidRPr="00B75E15">
        <w:rPr>
          <w:rFonts w:ascii="Book Antiqua" w:eastAsia="Book Antiqua" w:hAnsi="Book Antiqua" w:cs="Book Antiqua"/>
          <w:color w:val="000000"/>
        </w:rPr>
        <w:t xml:space="preserve">. However, the functional consequence in cardiomyocyte contractility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has not been fully studied in human iPSC-CMs.</w:t>
      </w:r>
    </w:p>
    <w:p w14:paraId="6E0306E7" w14:textId="77777777" w:rsidR="00A77B3E" w:rsidRPr="00B75E15" w:rsidRDefault="00A77B3E" w:rsidP="00B75E15">
      <w:pPr>
        <w:spacing w:line="360" w:lineRule="auto"/>
        <w:jc w:val="both"/>
        <w:rPr>
          <w:rFonts w:ascii="Book Antiqua" w:hAnsi="Book Antiqua"/>
        </w:rPr>
      </w:pPr>
    </w:p>
    <w:p w14:paraId="052CB6E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PKP2 DEFICIENCY AND CONTRACTILE DYSFUNCTION</w:t>
      </w:r>
    </w:p>
    <w:p w14:paraId="1F721789" w14:textId="3B78B15E"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We established iPSCs from a patient with AC harboring a heterozygous frameshift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 (c.1228dupG, p.D410fsX425) and generated an isogenic set of iPSC clones harboring three genotypes </w:t>
      </w:r>
      <w:r w:rsidR="005E4353" w:rsidRPr="00B75E15">
        <w:rPr>
          <w:rFonts w:ascii="Book Antiqua" w:eastAsia="Book Antiqua" w:hAnsi="Book Antiqua" w:cs="Book Antiqua"/>
          <w:color w:val="000000"/>
        </w:rPr>
        <w:t>[</w:t>
      </w:r>
      <w:bookmarkStart w:id="43" w:name="OLE_LINK5242"/>
      <w:bookmarkStart w:id="44" w:name="OLE_LINK5243"/>
      <w:r w:rsidRPr="00B75E15">
        <w:rPr>
          <w:rFonts w:ascii="Book Antiqua" w:eastAsia="Book Antiqua" w:hAnsi="Book Antiqua" w:cs="Book Antiqua"/>
          <w:color w:val="000000"/>
        </w:rPr>
        <w:t>heterozygous mutation</w:t>
      </w:r>
      <w:bookmarkEnd w:id="43"/>
      <w:bookmarkEnd w:id="44"/>
      <w:r w:rsidRPr="00B75E15">
        <w:rPr>
          <w:rFonts w:ascii="Book Antiqua" w:eastAsia="Book Antiqua" w:hAnsi="Book Antiqua" w:cs="Book Antiqua"/>
          <w:color w:val="000000"/>
        </w:rPr>
        <w:t xml:space="preserve"> (Hetero), homozygously corrected with homology-directed repair (HDR), and homozygously introduced frameshift mutations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non-homologous end joining (NHEJ)</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using genome editing</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(Figure 1). These isogenic sets of iPSCs comprise patient-derived Hetero-iPSCs, HDR-iPSCs with two-fold higher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relative to Hetero-iPSCs, and NHEJ-iPSCs, which do </w:t>
      </w:r>
      <w:r w:rsidRPr="00B75E15">
        <w:rPr>
          <w:rFonts w:ascii="Book Antiqua" w:eastAsia="Book Antiqua" w:hAnsi="Book Antiqua" w:cs="Book Antiqua"/>
          <w:color w:val="000000"/>
        </w:rPr>
        <w:lastRenderedPageBreak/>
        <w:t xml:space="preserve">not express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recapitulating both haploinsufficiency and complete loss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After cardiomyocyte differentiation using the monolayer protocol with chemically defined medium</w:t>
      </w:r>
      <w:r w:rsidRPr="00B75E15">
        <w:rPr>
          <w:rFonts w:ascii="Book Antiqua" w:eastAsia="Book Antiqua" w:hAnsi="Book Antiqua" w:cs="Book Antiqua"/>
          <w:color w:val="000000"/>
          <w:vertAlign w:val="superscript"/>
        </w:rPr>
        <w:t>[58]</w:t>
      </w:r>
      <w:r w:rsidRPr="00B75E15">
        <w:rPr>
          <w:rFonts w:ascii="Book Antiqua" w:eastAsia="Book Antiqua" w:hAnsi="Book Antiqua" w:cs="Book Antiqua"/>
          <w:color w:val="000000"/>
        </w:rPr>
        <w:t xml:space="preserve">, NHEJ-iPSC-CMs lacking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exhibit lipid droplet accumulation, increased apoptosis, and decreased propagation rate (Table 1). However, patient-derived Hetero-iPSC-CMs with half-dose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do not exhibit these pathological phenotypes, suggesting that the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is not sufficient to induce the above pathological phenotypes within 28 days after differentiation. In contrast,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decreased contractility, which was evaluated using motion vector analysis, within 14 days of differentiation. As the monolayer protocol confers strong contraction to iPSC-CMs on culture plates immediately after differentiation</w:t>
      </w:r>
      <w:r w:rsidRPr="00B75E15">
        <w:rPr>
          <w:rFonts w:ascii="Book Antiqua" w:eastAsia="Book Antiqua" w:hAnsi="Book Antiqua" w:cs="Book Antiqua"/>
          <w:color w:val="000000"/>
          <w:vertAlign w:val="superscript"/>
        </w:rPr>
        <w:t>[58,59]</w:t>
      </w:r>
      <w:r w:rsidRPr="00B75E15">
        <w:rPr>
          <w:rFonts w:ascii="Book Antiqua" w:eastAsia="Book Antiqua" w:hAnsi="Book Antiqua" w:cs="Book Antiqua"/>
          <w:color w:val="000000"/>
        </w:rPr>
        <w:t>, continuous tensile overload may facilitate the contractile phenotype among isogenic iPSC-CMs. A recent study used isogenic iPSC-CMs in which heterozygous or homozygous frameshift mutation was introduced into wild-type iPSC-CMs</w:t>
      </w:r>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xml:space="preserve">. The authors reported that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decreased systolic force in three-dimensional cardiac microtissues. This further supported the functional relationship between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and contractile dysfunction. An experimental study using cardiac tissue-specific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knockout mice demonstrated that the loss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increased the distance between the cell periphery and DES, an intermediate filament protein in cardiomyocytes</w:t>
      </w:r>
      <w:r w:rsidRPr="00B75E15">
        <w:rPr>
          <w:rFonts w:ascii="Book Antiqua" w:eastAsia="Book Antiqua" w:hAnsi="Book Antiqua" w:cs="Book Antiqua"/>
          <w:color w:val="000000"/>
          <w:vertAlign w:val="superscript"/>
        </w:rPr>
        <w:t>[60]</w:t>
      </w:r>
      <w:r w:rsidRPr="00B75E15">
        <w:rPr>
          <w:rFonts w:ascii="Book Antiqua" w:eastAsia="Book Antiqua" w:hAnsi="Book Antiqua" w:cs="Book Antiqua"/>
          <w:color w:val="000000"/>
        </w:rPr>
        <w:t>. As DES connects Z-discs of sarcomeres to sarcolemmal costameres, desmosomes, and nuclear envelope</w:t>
      </w:r>
      <w:r w:rsidRPr="00B75E15">
        <w:rPr>
          <w:rFonts w:ascii="Book Antiqua" w:eastAsia="Book Antiqua" w:hAnsi="Book Antiqua" w:cs="Book Antiqua"/>
          <w:color w:val="000000"/>
          <w:vertAlign w:val="superscript"/>
        </w:rPr>
        <w:t>[11,61]</w:t>
      </w:r>
      <w:r w:rsidRPr="00B75E15">
        <w:rPr>
          <w:rFonts w:ascii="Book Antiqua" w:eastAsia="Book Antiqua" w:hAnsi="Book Antiqua" w:cs="Book Antiqua"/>
          <w:color w:val="000000"/>
        </w:rPr>
        <w:t xml:space="preserve">, further experimental studies focusing on these cellular networks are required to elucidate the pathogenesis of desmosome-related cardiomyopathy. </w:t>
      </w:r>
    </w:p>
    <w:p w14:paraId="76FDA527" w14:textId="77777777" w:rsidR="00A77B3E" w:rsidRPr="00B75E15" w:rsidRDefault="00A77B3E" w:rsidP="00B75E15">
      <w:pPr>
        <w:spacing w:line="360" w:lineRule="auto"/>
        <w:jc w:val="both"/>
        <w:rPr>
          <w:rFonts w:ascii="Book Antiqua" w:hAnsi="Book Antiqua"/>
        </w:rPr>
      </w:pPr>
    </w:p>
    <w:p w14:paraId="7BB5C6D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DESMOSOME IMAGING USING THE ISOGENIC iPSC-CMs AND AAV-MEDIATED GENE REPLACEMENT</w:t>
      </w:r>
    </w:p>
    <w:p w14:paraId="079957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In the isogenic background, the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did not affect the localization or expression levels of desmosomal proteins in iPSC-CMs as evidenced by the results of immunostaining or western blotting analyses. However, the desmosome area represented by dot distribution on the cell periphery in Hetero-iPSC-CMs was significantly lower than that in HDR-iPSC-CMs</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suggesting that desmosome assembly </w:t>
      </w:r>
      <w:r w:rsidRPr="00B75E15">
        <w:rPr>
          <w:rFonts w:ascii="Book Antiqua" w:eastAsia="Book Antiqua" w:hAnsi="Book Antiqua" w:cs="Book Antiqua"/>
          <w:color w:val="000000"/>
        </w:rPr>
        <w:lastRenderedPageBreak/>
        <w:t xml:space="preserve">is impaired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haploinsufficiency. The impaired assembly of desmosomal proteins in human iPSC-CMs is supported by another study using isogenic iPSC-CMs. Fluorescence recovery after photobleaching experiments combined with lentivirus-mediated expression of fluorescent protein-tagged N-cadherin provided evidence that molecular stability of junctional N-cadherin is impaired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w:t>
      </w:r>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To trace the molecular behavior of endogenous proteins in cardiomyocytes, fluorescent tagging of the structural proteins through genome editing is a powerful tool</w:t>
      </w:r>
      <w:r w:rsidRPr="00B75E15">
        <w:rPr>
          <w:rFonts w:ascii="Book Antiqua" w:eastAsia="Book Antiqua" w:hAnsi="Book Antiqua" w:cs="Book Antiqua"/>
          <w:color w:val="000000"/>
          <w:vertAlign w:val="superscript"/>
        </w:rPr>
        <w:t>[62,63]</w:t>
      </w:r>
      <w:r w:rsidRPr="00B75E15">
        <w:rPr>
          <w:rFonts w:ascii="Book Antiqua" w:eastAsia="Book Antiqua" w:hAnsi="Book Antiqua" w:cs="Book Antiqua"/>
          <w:color w:val="000000"/>
        </w:rPr>
        <w:t xml:space="preserve">. However, fluorescent tagging of endogenous desmosomal genes might affect desmosome structures or cell-to-cell integrity in iPSCs or iPSC-CMs. We previously identified a patient with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-deficient cardiomyopathy due to a rare homozygous stop-gain mutation and demonstrated that complete loss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in human iPSCs does not affect the differentiation or cellular morphology in iPSC-CMs</w:t>
      </w:r>
      <w:r w:rsidRPr="00B75E15">
        <w:rPr>
          <w:rFonts w:ascii="Book Antiqua" w:eastAsia="Book Antiqua" w:hAnsi="Book Antiqua" w:cs="Book Antiqua"/>
          <w:color w:val="000000"/>
          <w:vertAlign w:val="superscript"/>
        </w:rPr>
        <w:t>[30]</w:t>
      </w:r>
      <w:r w:rsidRPr="00B75E15">
        <w:rPr>
          <w:rFonts w:ascii="Book Antiqua" w:eastAsia="Book Antiqua" w:hAnsi="Book Antiqua" w:cs="Book Antiqua"/>
          <w:color w:val="000000"/>
        </w:rPr>
        <w:t xml:space="preserve">. These findings prompted us to use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as the target of endogenous tagging by fluorescent protein to trace desmosome dynamics in live human iPSC-CMs. Genome editing targeting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was performed to establish the isogenic iPSC-CMs harboring identical two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comprising intact and knocked-in tdTomato alleles under the adjusted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levels (Figure 2). The desmosome area (represented by desmoglein-2-tdTomato fusion protein) was significantly downregulated due to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haploinsufficiency. Adeno-associated virus (AAV), a small, nonenveloped virus with a linear, single-stranded DNA, is widely used for gene therapy targeting human diseases, including heart failure</w:t>
      </w:r>
      <w:r w:rsidRPr="00B75E15">
        <w:rPr>
          <w:rFonts w:ascii="Book Antiqua" w:eastAsia="Book Antiqua" w:hAnsi="Book Antiqua" w:cs="Book Antiqua"/>
          <w:color w:val="000000"/>
          <w:vertAlign w:val="superscript"/>
        </w:rPr>
        <w:t>[64,65]</w:t>
      </w:r>
      <w:r w:rsidRPr="00B75E15">
        <w:rPr>
          <w:rFonts w:ascii="Book Antiqua" w:eastAsia="Book Antiqua" w:hAnsi="Book Antiqua" w:cs="Book Antiqua"/>
          <w:color w:val="000000"/>
        </w:rPr>
        <w:t xml:space="preserve">. AAV-mediated gene replacement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significantly restored the decreased contractility in Hetero-iPSC-CMs and NEHJ-iPSC-CMs, demonstrating the proof-of-concept for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gene therapy in human cells. Furthermore, time-lapse imaging using NHEJ-iPSC-CMs captured the recovery of desmosomes, which gradually assembled at the cell periphery after AAV-mediated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replacement (Figure 2). The established isogenic iPSCs harboring knocked-in tdTomato alleles allowed desmosome-imaging in living cells and provided distinct readouts for therapeutic development.</w:t>
      </w:r>
    </w:p>
    <w:p w14:paraId="20C49B21" w14:textId="77777777" w:rsidR="00A77B3E" w:rsidRPr="00B75E15" w:rsidRDefault="00A77B3E" w:rsidP="00B75E15">
      <w:pPr>
        <w:spacing w:line="360" w:lineRule="auto"/>
        <w:jc w:val="both"/>
        <w:rPr>
          <w:rFonts w:ascii="Book Antiqua" w:hAnsi="Book Antiqua"/>
        </w:rPr>
      </w:pPr>
    </w:p>
    <w:p w14:paraId="3180055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GENE REPLACEMENT THERAPY TARGETING HEART FAILURE</w:t>
      </w:r>
    </w:p>
    <w:p w14:paraId="17590DC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Several clinical trials using AAV-mediated gene replacement have been designed targeting cardiovascular disease</w:t>
      </w:r>
      <w:r w:rsidRPr="00B75E15">
        <w:rPr>
          <w:rFonts w:ascii="Book Antiqua" w:eastAsia="Book Antiqua" w:hAnsi="Book Antiqua" w:cs="Book Antiqua"/>
          <w:color w:val="000000"/>
          <w:vertAlign w:val="superscript"/>
        </w:rPr>
        <w:t>[65,66]</w:t>
      </w:r>
      <w:r w:rsidRPr="00B75E15">
        <w:rPr>
          <w:rFonts w:ascii="Book Antiqua" w:eastAsia="Book Antiqua" w:hAnsi="Book Antiqua" w:cs="Book Antiqua"/>
          <w:color w:val="000000"/>
        </w:rPr>
        <w:t>. A large-scale clinical trial was conducted as a randomized, multinational, double-blind, placebo-controlled phase 2 study targeting up to 250 patients with moderate-to-severe heart failure and reduced contractile function (CUPID2 trial)</w:t>
      </w:r>
      <w:r w:rsidRPr="00B75E15">
        <w:rPr>
          <w:rFonts w:ascii="Book Antiqua" w:eastAsia="Book Antiqua" w:hAnsi="Book Antiqua" w:cs="Book Antiqua"/>
          <w:color w:val="000000"/>
          <w:vertAlign w:val="superscript"/>
        </w:rPr>
        <w:t>[67]</w:t>
      </w:r>
      <w:r w:rsidRPr="00B75E15">
        <w:rPr>
          <w:rFonts w:ascii="Book Antiqua" w:eastAsia="Book Antiqua" w:hAnsi="Book Antiqua" w:cs="Book Antiqua"/>
          <w:color w:val="000000"/>
        </w:rPr>
        <w:t>. The study aimed to deliver sarcoplasmic reticulum Ca²</w:t>
      </w:r>
      <w:r w:rsidRPr="00B75E15">
        <w:rPr>
          <w:rFonts w:ascii="Book Antiqua" w:eastAsia="Book Antiqua" w:hAnsi="Book Antiqua" w:cs="Book Antiqua"/>
          <w:color w:val="000000"/>
          <w:vertAlign w:val="superscript"/>
        </w:rPr>
        <w:t>+</w:t>
      </w:r>
      <w:r w:rsidRPr="00B75E15">
        <w:rPr>
          <w:rFonts w:ascii="Book Antiqua" w:eastAsia="Book Antiqua" w:hAnsi="Book Antiqua" w:cs="Book Antiqua"/>
          <w:color w:val="000000"/>
        </w:rPr>
        <w:t xml:space="preserve">-ATPase (SERCA2a) into heart tissues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intracoronary injection. SERCA2a regulates cardiomyocyte contraction and relaxation by transporting Ca²</w:t>
      </w:r>
      <w:r w:rsidRPr="00B75E15">
        <w:rPr>
          <w:rFonts w:ascii="Book Antiqua" w:eastAsia="Book Antiqua" w:hAnsi="Book Antiqua" w:cs="Book Antiqua"/>
          <w:color w:val="000000"/>
          <w:vertAlign w:val="superscript"/>
        </w:rPr>
        <w:t>+</w:t>
      </w:r>
      <w:r w:rsidRPr="00B75E15">
        <w:rPr>
          <w:rFonts w:ascii="Book Antiqua" w:eastAsia="Book Antiqua" w:hAnsi="Book Antiqua" w:cs="Book Antiqua"/>
          <w:color w:val="000000"/>
        </w:rPr>
        <w:t xml:space="preserve"> from the cytosol into the sarcoplasmic reticulum during diastole</w:t>
      </w:r>
      <w:r w:rsidRPr="00B75E15">
        <w:rPr>
          <w:rFonts w:ascii="Book Antiqua" w:eastAsia="Book Antiqua" w:hAnsi="Book Antiqua" w:cs="Book Antiqua"/>
          <w:color w:val="000000"/>
          <w:vertAlign w:val="superscript"/>
        </w:rPr>
        <w:t>[68]</w:t>
      </w:r>
      <w:r w:rsidRPr="00B75E15">
        <w:rPr>
          <w:rFonts w:ascii="Book Antiqua" w:eastAsia="Book Antiqua" w:hAnsi="Book Antiqua" w:cs="Book Antiqua"/>
          <w:color w:val="000000"/>
        </w:rPr>
        <w:t>. The deficiency of SERCA2a is associated with heart failure progression</w:t>
      </w:r>
      <w:r w:rsidRPr="00B75E15">
        <w:rPr>
          <w:rFonts w:ascii="Book Antiqua" w:eastAsia="Book Antiqua" w:hAnsi="Book Antiqua" w:cs="Book Antiqua"/>
          <w:color w:val="000000"/>
          <w:vertAlign w:val="superscript"/>
        </w:rPr>
        <w:t>[69,70]</w:t>
      </w:r>
      <w:r w:rsidRPr="00B75E15">
        <w:rPr>
          <w:rFonts w:ascii="Book Antiqua" w:eastAsia="Book Antiqua" w:hAnsi="Book Antiqua" w:cs="Book Antiqua"/>
          <w:color w:val="000000"/>
        </w:rPr>
        <w:t>. Although promising results were achieved in preceding preclinical and clinical studies</w:t>
      </w:r>
      <w:r w:rsidRPr="00B75E15">
        <w:rPr>
          <w:rFonts w:ascii="Book Antiqua" w:eastAsia="Book Antiqua" w:hAnsi="Book Antiqua" w:cs="Book Antiqua"/>
          <w:color w:val="000000"/>
          <w:vertAlign w:val="superscript"/>
        </w:rPr>
        <w:t>[71-73]</w:t>
      </w:r>
      <w:r w:rsidRPr="00B75E15">
        <w:rPr>
          <w:rFonts w:ascii="Book Antiqua" w:eastAsia="Book Antiqua" w:hAnsi="Book Antiqua" w:cs="Book Antiqua"/>
          <w:color w:val="000000"/>
        </w:rPr>
        <w:t>, gene replacement of SERCA2a did not improve the clinical course of patients with heart failure</w:t>
      </w:r>
      <w:r w:rsidRPr="00B75E15">
        <w:rPr>
          <w:rFonts w:ascii="Book Antiqua" w:eastAsia="Book Antiqua" w:hAnsi="Book Antiqua" w:cs="Book Antiqua"/>
          <w:color w:val="000000"/>
          <w:vertAlign w:val="superscript"/>
        </w:rPr>
        <w:t>[74]</w:t>
      </w:r>
      <w:r w:rsidRPr="00B75E15">
        <w:rPr>
          <w:rFonts w:ascii="Book Antiqua" w:eastAsia="Book Antiqua" w:hAnsi="Book Antiqua" w:cs="Book Antiqua"/>
          <w:color w:val="000000"/>
        </w:rPr>
        <w:t>. The two clinical trials of gene therapy targeting patients with heart failure conducted in the same period (AGENT-HF</w:t>
      </w:r>
      <w:r w:rsidRPr="00B75E15">
        <w:rPr>
          <w:rFonts w:ascii="Book Antiqua" w:eastAsia="Book Antiqua" w:hAnsi="Book Antiqua" w:cs="Book Antiqua"/>
          <w:color w:val="000000"/>
          <w:vertAlign w:val="superscript"/>
        </w:rPr>
        <w:t>[75]</w:t>
      </w:r>
      <w:r w:rsidRPr="00B75E15">
        <w:rPr>
          <w:rFonts w:ascii="Book Antiqua" w:eastAsia="Book Antiqua" w:hAnsi="Book Antiqua" w:cs="Book Antiqua"/>
          <w:color w:val="000000"/>
        </w:rPr>
        <w:t xml:space="preserve"> and SERCA-LVAD</w:t>
      </w:r>
      <w:r w:rsidRPr="00B75E15">
        <w:rPr>
          <w:rFonts w:ascii="Book Antiqua" w:eastAsia="Book Antiqua" w:hAnsi="Book Antiqua" w:cs="Book Antiqua"/>
          <w:color w:val="000000"/>
          <w:vertAlign w:val="superscript"/>
        </w:rPr>
        <w:t>[76]</w:t>
      </w:r>
      <w:r w:rsidRPr="00B75E15">
        <w:rPr>
          <w:rFonts w:ascii="Book Antiqua" w:eastAsia="Book Antiqua" w:hAnsi="Book Antiqua" w:cs="Book Antiqua"/>
          <w:color w:val="000000"/>
        </w:rPr>
        <w:t>) were terminated due to the neutral result of the CUPID2 trial and the lack of functional benefit. The amount of vector DNA in heart tissues obtained from patients who received gene therapy and subsequently underwent heart transplantation or mechanical circulatory support device implantation was low, suggesting that only a small proportion of cardiomyocytes expressed AAV-delivered SERCA2a in the myocardium. Although these clinical trials demonstrate the difficulty of gene delivery targeting human heart tissues, they provide the evidence for the safety of cardiac gene therapy and a basis for the design of future gene therapy trials. Recent genetic analysis clarified a large number of genetic mutations that cause cardiomyopathies with advanced heart failure in a loss-of-function manner and can be targeted by specific gene replacement therapy</w:t>
      </w:r>
      <w:r w:rsidRPr="00B75E15">
        <w:rPr>
          <w:rFonts w:ascii="Book Antiqua" w:eastAsia="Book Antiqua" w:hAnsi="Book Antiqua" w:cs="Book Antiqua"/>
          <w:color w:val="000000"/>
          <w:vertAlign w:val="superscript"/>
        </w:rPr>
        <w:t>[77,78]</w:t>
      </w:r>
      <w:r w:rsidRPr="00B75E15">
        <w:rPr>
          <w:rFonts w:ascii="Book Antiqua" w:eastAsia="Book Antiqua" w:hAnsi="Book Antiqua" w:cs="Book Antiqua"/>
          <w:color w:val="000000"/>
        </w:rPr>
        <w:t xml:space="preserve">. In desmosome-related cardiomyopathy, most of the identified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heterozygous</w:t>
      </w:r>
      <w:r w:rsidRPr="00B75E15">
        <w:rPr>
          <w:rFonts w:ascii="Book Antiqua" w:eastAsia="Book Antiqua" w:hAnsi="Book Antiqua" w:cs="Book Antiqua"/>
          <w:color w:val="000000"/>
          <w:vertAlign w:val="superscript"/>
        </w:rPr>
        <w:t>[22,37,79,80]</w:t>
      </w:r>
      <w:r w:rsidRPr="00B75E15">
        <w:rPr>
          <w:rFonts w:ascii="Book Antiqua" w:eastAsia="Book Antiqua" w:hAnsi="Book Antiqua" w:cs="Book Antiqua"/>
          <w:color w:val="000000"/>
        </w:rPr>
        <w:t>. However, in extremely rare cases, homozygous mutations of</w:t>
      </w:r>
      <w:r w:rsidRPr="00B75E15">
        <w:rPr>
          <w:rFonts w:ascii="Book Antiqua" w:eastAsia="Book Antiqua" w:hAnsi="Book Antiqua" w:cs="Book Antiqua"/>
          <w:i/>
          <w:iCs/>
          <w:color w:val="000000"/>
        </w:rPr>
        <w:t xml:space="preserve"> PKP2</w:t>
      </w:r>
      <w:r w:rsidRPr="00B75E15">
        <w:rPr>
          <w:rFonts w:ascii="Book Antiqua" w:eastAsia="Book Antiqua" w:hAnsi="Book Antiqua" w:cs="Book Antiqua"/>
          <w:color w:val="000000"/>
        </w:rPr>
        <w:t xml:space="preserve"> cause lethal infantile heart failure with left ventricular non-compaction or hypoplastic left heart syndrome</w:t>
      </w:r>
      <w:r w:rsidRPr="00B75E15">
        <w:rPr>
          <w:rFonts w:ascii="Book Antiqua" w:eastAsia="Book Antiqua" w:hAnsi="Book Antiqua" w:cs="Book Antiqua"/>
          <w:color w:val="000000"/>
          <w:vertAlign w:val="superscript"/>
        </w:rPr>
        <w:t>[81-83]</w:t>
      </w:r>
      <w:r w:rsidRPr="00B75E15">
        <w:rPr>
          <w:rFonts w:ascii="Book Antiqua" w:eastAsia="Book Antiqua" w:hAnsi="Book Antiqua" w:cs="Book Antiqua"/>
          <w:color w:val="000000"/>
        </w:rPr>
        <w:t xml:space="preserve">. No effective therapies are available for these patients who require a novel therapeutic approach for desmosome-related cardiomyopathy. Proof-of-concept studies for structural and functional recovery using both human iPSC-CM models and </w:t>
      </w:r>
      <w:r w:rsidRPr="00B75E15">
        <w:rPr>
          <w:rFonts w:ascii="Book Antiqua" w:eastAsia="Book Antiqua" w:hAnsi="Book Antiqua" w:cs="Book Antiqua"/>
          <w:i/>
          <w:iCs/>
          <w:color w:val="000000"/>
        </w:rPr>
        <w:t>in vivo</w:t>
      </w:r>
      <w:r w:rsidRPr="00B75E15">
        <w:rPr>
          <w:rFonts w:ascii="Book Antiqua" w:eastAsia="Book Antiqua" w:hAnsi="Book Antiqua" w:cs="Book Antiqua"/>
          <w:color w:val="000000"/>
        </w:rPr>
        <w:t xml:space="preserve"> models are required for future clinical application.</w:t>
      </w:r>
    </w:p>
    <w:p w14:paraId="4E736AB5" w14:textId="77777777" w:rsidR="00A77B3E" w:rsidRPr="00B75E15" w:rsidRDefault="00A77B3E" w:rsidP="00B75E15">
      <w:pPr>
        <w:spacing w:line="360" w:lineRule="auto"/>
        <w:jc w:val="both"/>
        <w:rPr>
          <w:rFonts w:ascii="Book Antiqua" w:hAnsi="Book Antiqua"/>
        </w:rPr>
      </w:pPr>
    </w:p>
    <w:p w14:paraId="3CD177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CONCLUSION</w:t>
      </w:r>
    </w:p>
    <w:p w14:paraId="4AE40EE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Although human iPSC-CMs are immature and do not fully recapitulate </w:t>
      </w:r>
      <w:r w:rsidRPr="00B75E15">
        <w:rPr>
          <w:rFonts w:ascii="Book Antiqua" w:eastAsia="Book Antiqua" w:hAnsi="Book Antiqua" w:cs="Book Antiqua"/>
          <w:i/>
          <w:iCs/>
          <w:color w:val="000000"/>
        </w:rPr>
        <w:t>in vivo</w:t>
      </w:r>
      <w:r w:rsidRPr="00B75E15">
        <w:rPr>
          <w:rFonts w:ascii="Book Antiqua" w:eastAsia="Book Antiqua" w:hAnsi="Book Antiqua" w:cs="Book Antiqua"/>
          <w:color w:val="000000"/>
        </w:rPr>
        <w:t xml:space="preserve"> heart tissues</w:t>
      </w:r>
      <w:r w:rsidRPr="00B75E15">
        <w:rPr>
          <w:rFonts w:ascii="Book Antiqua" w:eastAsia="Book Antiqua" w:hAnsi="Book Antiqua" w:cs="Book Antiqua"/>
          <w:color w:val="000000"/>
          <w:vertAlign w:val="superscript"/>
        </w:rPr>
        <w:t>[59]</w:t>
      </w:r>
      <w:r w:rsidRPr="00B75E15">
        <w:rPr>
          <w:rFonts w:ascii="Book Antiqua" w:eastAsia="Book Antiqua" w:hAnsi="Book Antiqua" w:cs="Book Antiqua"/>
          <w:color w:val="000000"/>
        </w:rPr>
        <w:t>, tissue engineering approaches</w:t>
      </w:r>
      <w:r w:rsidRPr="00B75E15">
        <w:rPr>
          <w:rFonts w:ascii="Book Antiqua" w:eastAsia="Book Antiqua" w:hAnsi="Book Antiqua" w:cs="Book Antiqua"/>
          <w:color w:val="000000"/>
          <w:vertAlign w:val="superscript"/>
        </w:rPr>
        <w:t>[84,85]</w:t>
      </w:r>
      <w:r w:rsidRPr="00B75E15">
        <w:rPr>
          <w:rFonts w:ascii="Book Antiqua" w:eastAsia="Book Antiqua" w:hAnsi="Book Antiqua" w:cs="Book Antiqua"/>
          <w:color w:val="000000"/>
        </w:rPr>
        <w:t xml:space="preserve"> will promote the maturation of iPSC-CMs and provide a useful tool in combination with genome editing. The isogenic iPSC-CMs that we established represent a human disease model that recapitulates reduced contractility and impaired desmosome assembly and provides a convenient cellular platform for therapeutic screening to examine upstream molecular targets of desmosome-related cardiomyopathy.</w:t>
      </w:r>
    </w:p>
    <w:p w14:paraId="2A1B7920" w14:textId="77777777" w:rsidR="00A77B3E" w:rsidRPr="00B75E15" w:rsidRDefault="00A77B3E" w:rsidP="00B75E15">
      <w:pPr>
        <w:spacing w:line="360" w:lineRule="auto"/>
        <w:jc w:val="both"/>
        <w:rPr>
          <w:rFonts w:ascii="Book Antiqua" w:hAnsi="Book Antiqua"/>
        </w:rPr>
      </w:pPr>
    </w:p>
    <w:p w14:paraId="7B027A9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ACKNOWLEDGEMENTS</w:t>
      </w:r>
    </w:p>
    <w:p w14:paraId="2926EFDE" w14:textId="1B52AAA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The Department of Medical Therapeutics for Heart Failure was an endowment department supported by Actelion Pharmaceuticals Japan (2015–2020).</w:t>
      </w:r>
    </w:p>
    <w:p w14:paraId="55CCE3D9" w14:textId="77777777" w:rsidR="00A77B3E" w:rsidRPr="00B75E15" w:rsidRDefault="00A77B3E" w:rsidP="00B75E15">
      <w:pPr>
        <w:spacing w:line="360" w:lineRule="auto"/>
        <w:jc w:val="both"/>
        <w:rPr>
          <w:rFonts w:ascii="Book Antiqua" w:hAnsi="Book Antiqua"/>
        </w:rPr>
      </w:pPr>
    </w:p>
    <w:p w14:paraId="304DF19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REFERENCES</w:t>
      </w:r>
    </w:p>
    <w:p w14:paraId="393B28EB" w14:textId="77777777" w:rsidR="00A77B3E" w:rsidRPr="00B75E15" w:rsidRDefault="00000000" w:rsidP="00B75E15">
      <w:pPr>
        <w:spacing w:line="360" w:lineRule="auto"/>
        <w:jc w:val="both"/>
        <w:rPr>
          <w:rFonts w:ascii="Book Antiqua" w:hAnsi="Book Antiqua"/>
        </w:rPr>
      </w:pPr>
      <w:bookmarkStart w:id="45" w:name="OLE_LINK3936"/>
      <w:bookmarkStart w:id="46" w:name="OLE_LINK3937"/>
      <w:bookmarkStart w:id="47" w:name="OLE_LINK5180"/>
      <w:bookmarkStart w:id="48" w:name="OLE_LINK5181"/>
      <w:r w:rsidRPr="00B75E15">
        <w:rPr>
          <w:rFonts w:ascii="Book Antiqua" w:eastAsia="Book Antiqua" w:hAnsi="Book Antiqua" w:cs="Book Antiqua"/>
          <w:color w:val="000000"/>
        </w:rPr>
        <w:t xml:space="preserve">1 </w:t>
      </w:r>
      <w:r w:rsidRPr="00B75E15">
        <w:rPr>
          <w:rFonts w:ascii="Book Antiqua" w:eastAsia="Book Antiqua" w:hAnsi="Book Antiqua" w:cs="Book Antiqua"/>
          <w:b/>
          <w:bCs/>
          <w:color w:val="000000"/>
        </w:rPr>
        <w:t>Tsutsui H</w:t>
      </w:r>
      <w:r w:rsidRPr="00B75E15">
        <w:rPr>
          <w:rFonts w:ascii="Book Antiqua" w:eastAsia="Book Antiqua" w:hAnsi="Book Antiqua" w:cs="Book Antiqua"/>
          <w:color w:val="000000"/>
        </w:rPr>
        <w:t xml:space="preserve">, Ide T, Ito H, Kihara Y, Kinugawa K, Kinugawa S, Makaya M, Murohara T, Node K, Saito Y, Sakata Y, Shimizu W, Yamamoto K, Bando Y, Iwasaki YK, Kinugasa Y, Mizote I, Nakagawa H, Oishi S, Okada A, Tanaka A, Akasaka T, Ono M, Kimura T, Kosaka S, Kosuge M, Momomura SI. JCS/JHFS 2021 Guideline Focused Update on Diagnosis and Treatment of Acute and Chronic Heart Failure. </w:t>
      </w:r>
      <w:r w:rsidRPr="00B75E15">
        <w:rPr>
          <w:rFonts w:ascii="Book Antiqua" w:eastAsia="Book Antiqua" w:hAnsi="Book Antiqua" w:cs="Book Antiqua"/>
          <w:i/>
          <w:iCs/>
          <w:color w:val="000000"/>
        </w:rPr>
        <w:t>J Card Fail</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27</w:t>
      </w:r>
      <w:r w:rsidRPr="00B75E15">
        <w:rPr>
          <w:rFonts w:ascii="Book Antiqua" w:eastAsia="Book Antiqua" w:hAnsi="Book Antiqua" w:cs="Book Antiqua"/>
          <w:color w:val="000000"/>
        </w:rPr>
        <w:t>: 1404-1444 [PMID: 34600838 DOI: 10.1016/j.cardfail.2021.04.023]</w:t>
      </w:r>
    </w:p>
    <w:p w14:paraId="2D9D962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 </w:t>
      </w:r>
      <w:r w:rsidRPr="00B75E15">
        <w:rPr>
          <w:rFonts w:ascii="Book Antiqua" w:eastAsia="Book Antiqua" w:hAnsi="Book Antiqua" w:cs="Book Antiqua"/>
          <w:b/>
          <w:bCs/>
          <w:color w:val="000000"/>
        </w:rPr>
        <w:t>Levy D</w:t>
      </w:r>
      <w:r w:rsidRPr="00B75E15">
        <w:rPr>
          <w:rFonts w:ascii="Book Antiqua" w:eastAsia="Book Antiqua" w:hAnsi="Book Antiqua" w:cs="Book Antiqua"/>
          <w:color w:val="000000"/>
        </w:rPr>
        <w:t xml:space="preserve">, Kenchaiah S, Larson MG, Benjamin EJ, Kupka MJ, Ho KK, Murabito JM, Vasan RS. Long-term trends in the incidence of and survival with heart failure. </w:t>
      </w:r>
      <w:r w:rsidRPr="00B75E15">
        <w:rPr>
          <w:rFonts w:ascii="Book Antiqua" w:eastAsia="Book Antiqua" w:hAnsi="Book Antiqua" w:cs="Book Antiqua"/>
          <w:i/>
          <w:iCs/>
          <w:color w:val="000000"/>
        </w:rPr>
        <w:t>N Engl J Med</w:t>
      </w:r>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347</w:t>
      </w:r>
      <w:r w:rsidRPr="00B75E15">
        <w:rPr>
          <w:rFonts w:ascii="Book Antiqua" w:eastAsia="Book Antiqua" w:hAnsi="Book Antiqua" w:cs="Book Antiqua"/>
          <w:color w:val="000000"/>
        </w:rPr>
        <w:t>: 1397-1402 [PMID: 12409541 DOI: 10.1056/NEJMoa020265]</w:t>
      </w:r>
    </w:p>
    <w:p w14:paraId="1195A39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 </w:t>
      </w:r>
      <w:r w:rsidRPr="00B75E15">
        <w:rPr>
          <w:rFonts w:ascii="Book Antiqua" w:eastAsia="Book Antiqua" w:hAnsi="Book Antiqua" w:cs="Book Antiqua"/>
          <w:b/>
          <w:bCs/>
          <w:color w:val="000000"/>
        </w:rPr>
        <w:t>Roger VL</w:t>
      </w:r>
      <w:r w:rsidRPr="00B75E15">
        <w:rPr>
          <w:rFonts w:ascii="Book Antiqua" w:eastAsia="Book Antiqua" w:hAnsi="Book Antiqua" w:cs="Book Antiqua"/>
          <w:color w:val="000000"/>
        </w:rPr>
        <w:t xml:space="preserve">, Weston SA, Redfield MM, Hellermann-Homan JP, Killian J, Yawn BP, Jacobsen SJ. Trends in heart failure incidence and survival in a community-based population. </w:t>
      </w:r>
      <w:r w:rsidRPr="00B75E15">
        <w:rPr>
          <w:rFonts w:ascii="Book Antiqua" w:eastAsia="Book Antiqua" w:hAnsi="Book Antiqua" w:cs="Book Antiqua"/>
          <w:i/>
          <w:iCs/>
          <w:color w:val="000000"/>
        </w:rPr>
        <w:t>JAMA</w:t>
      </w:r>
      <w:r w:rsidRPr="00B75E15">
        <w:rPr>
          <w:rFonts w:ascii="Book Antiqua" w:eastAsia="Book Antiqua" w:hAnsi="Book Antiqua" w:cs="Book Antiqua"/>
          <w:color w:val="000000"/>
        </w:rPr>
        <w:t xml:space="preserve"> 2004; </w:t>
      </w:r>
      <w:r w:rsidRPr="00B75E15">
        <w:rPr>
          <w:rFonts w:ascii="Book Antiqua" w:eastAsia="Book Antiqua" w:hAnsi="Book Antiqua" w:cs="Book Antiqua"/>
          <w:b/>
          <w:bCs/>
          <w:color w:val="000000"/>
        </w:rPr>
        <w:t>292</w:t>
      </w:r>
      <w:r w:rsidRPr="00B75E15">
        <w:rPr>
          <w:rFonts w:ascii="Book Antiqua" w:eastAsia="Book Antiqua" w:hAnsi="Book Antiqua" w:cs="Book Antiqua"/>
          <w:color w:val="000000"/>
        </w:rPr>
        <w:t>: 344-350 [PMID: 15265849 DOI: 10.1001/jama.292.3.344]</w:t>
      </w:r>
    </w:p>
    <w:p w14:paraId="34B1C0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 </w:t>
      </w:r>
      <w:r w:rsidRPr="00B75E15">
        <w:rPr>
          <w:rFonts w:ascii="Book Antiqua" w:eastAsia="Book Antiqua" w:hAnsi="Book Antiqua" w:cs="Book Antiqua"/>
          <w:b/>
          <w:bCs/>
          <w:color w:val="000000"/>
        </w:rPr>
        <w:t>Jones NR</w:t>
      </w:r>
      <w:r w:rsidRPr="00B75E15">
        <w:rPr>
          <w:rFonts w:ascii="Book Antiqua" w:eastAsia="Book Antiqua" w:hAnsi="Book Antiqua" w:cs="Book Antiqua"/>
          <w:color w:val="000000"/>
        </w:rPr>
        <w:t xml:space="preserve">, Roalfe AK, Adoki I, Hobbs FDR, Taylor CJ. Survival of patients with chronic heart failure in the community: a systematic review and meta-analysis. </w:t>
      </w:r>
      <w:r w:rsidRPr="00B75E15">
        <w:rPr>
          <w:rFonts w:ascii="Book Antiqua" w:eastAsia="Book Antiqua" w:hAnsi="Book Antiqua" w:cs="Book Antiqua"/>
          <w:i/>
          <w:iCs/>
          <w:color w:val="000000"/>
        </w:rPr>
        <w:t>Eur J Heart Fail</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21</w:t>
      </w:r>
      <w:r w:rsidRPr="00B75E15">
        <w:rPr>
          <w:rFonts w:ascii="Book Antiqua" w:eastAsia="Book Antiqua" w:hAnsi="Book Antiqua" w:cs="Book Antiqua"/>
          <w:color w:val="000000"/>
        </w:rPr>
        <w:t>: 1306-1325 [PMID: 31523902 DOI: 10.1002/ejhf.1594]</w:t>
      </w:r>
    </w:p>
    <w:p w14:paraId="223C915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5 </w:t>
      </w:r>
      <w:r w:rsidRPr="00B75E15">
        <w:rPr>
          <w:rFonts w:ascii="Book Antiqua" w:eastAsia="Book Antiqua" w:hAnsi="Book Antiqua" w:cs="Book Antiqua"/>
          <w:b/>
          <w:bCs/>
          <w:color w:val="000000"/>
        </w:rPr>
        <w:t>Ono M</w:t>
      </w:r>
      <w:r w:rsidRPr="00B75E15">
        <w:rPr>
          <w:rFonts w:ascii="Book Antiqua" w:eastAsia="Book Antiqua" w:hAnsi="Book Antiqua" w:cs="Book Antiqua"/>
          <w:color w:val="000000"/>
        </w:rPr>
        <w:t xml:space="preserve">, Yamaguchi O, Ohtani T, Kinugawa K, Saiki Y, Sawa Y, Shiose A, Tsutsui H, Fukushima N, Matsumiya G, Yanase M, Yamazaki K, Yamamoto K, Akiyama M, Imamura T, Iwasaki K, Endo M, Ohnishi Y, Okumura T, Kashiwa K, Kinoshita O, Kubota K, Seguchi O, Toda K, Nishioka H, Nishinaka T, Nishimura T, Hashimoto T, Hatano M, Higashi H, Higo T, Fujino T, Hori Y, Miyoshi T, Yamanaka M, Ohno T, Kimura T, Kyo S, Sakata Y, Nakatani T; JCS/JSCVS/JATS/JSVS Joint Working Group. JCS/JSCVS/JATS/JSVS 2021 Guideline on Implantable Left Ventricular Assist Device for Patients With Advanced Heart Failure.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86</w:t>
      </w:r>
      <w:r w:rsidRPr="00B75E15">
        <w:rPr>
          <w:rFonts w:ascii="Book Antiqua" w:eastAsia="Book Antiqua" w:hAnsi="Book Antiqua" w:cs="Book Antiqua"/>
          <w:color w:val="000000"/>
        </w:rPr>
        <w:t>: 1024-1058 [PMID: 35387921 DOI: 10.1253/circj.CJ-21-0880]</w:t>
      </w:r>
    </w:p>
    <w:p w14:paraId="08A09F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 </w:t>
      </w:r>
      <w:r w:rsidRPr="00B75E15">
        <w:rPr>
          <w:rFonts w:ascii="Book Antiqua" w:eastAsia="Book Antiqua" w:hAnsi="Book Antiqua" w:cs="Book Antiqua"/>
          <w:b/>
          <w:bCs/>
          <w:color w:val="000000"/>
        </w:rPr>
        <w:t>Rosenbaum AN</w:t>
      </w:r>
      <w:r w:rsidRPr="00B75E15">
        <w:rPr>
          <w:rFonts w:ascii="Book Antiqua" w:eastAsia="Book Antiqua" w:hAnsi="Book Antiqua" w:cs="Book Antiqua"/>
          <w:color w:val="000000"/>
        </w:rPr>
        <w:t xml:space="preserve">, Agre KE, Pereira NL. Genetics of dilated cardiomyopathy: practical implications for heart failure management. </w:t>
      </w:r>
      <w:r w:rsidRPr="00B75E15">
        <w:rPr>
          <w:rFonts w:ascii="Book Antiqua" w:eastAsia="Book Antiqua" w:hAnsi="Book Antiqua" w:cs="Book Antiqua"/>
          <w:i/>
          <w:iCs/>
          <w:color w:val="000000"/>
        </w:rPr>
        <w:t>Nat Rev Cardiol</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17</w:t>
      </w:r>
      <w:r w:rsidRPr="00B75E15">
        <w:rPr>
          <w:rFonts w:ascii="Book Antiqua" w:eastAsia="Book Antiqua" w:hAnsi="Book Antiqua" w:cs="Book Antiqua"/>
          <w:color w:val="000000"/>
        </w:rPr>
        <w:t>: 286-297 [PMID: 31605094 DOI: 10.1038/s41569-019-0284-0]</w:t>
      </w:r>
    </w:p>
    <w:p w14:paraId="1519BCD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 </w:t>
      </w:r>
      <w:r w:rsidRPr="00B75E15">
        <w:rPr>
          <w:rFonts w:ascii="Book Antiqua" w:eastAsia="Book Antiqua" w:hAnsi="Book Antiqua" w:cs="Book Antiqua"/>
          <w:b/>
          <w:bCs/>
          <w:color w:val="000000"/>
        </w:rPr>
        <w:t>Marian AJ</w:t>
      </w:r>
      <w:r w:rsidRPr="00B75E15">
        <w:rPr>
          <w:rFonts w:ascii="Book Antiqua" w:eastAsia="Book Antiqua" w:hAnsi="Book Antiqua" w:cs="Book Antiqua"/>
          <w:color w:val="000000"/>
        </w:rPr>
        <w:t xml:space="preserve">, Braunwald E. Hypertrophic Cardiomyopathy: Genetics, Pathogenesis, Clinical Manifestations, Diagnosis, and Therapy.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749-770 [PMID: 28912181 DOI: 10.1161/CIRCRESAHA.117.311059]</w:t>
      </w:r>
    </w:p>
    <w:p w14:paraId="176E183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 </w:t>
      </w:r>
      <w:r w:rsidRPr="00B75E15">
        <w:rPr>
          <w:rFonts w:ascii="Book Antiqua" w:eastAsia="Book Antiqua" w:hAnsi="Book Antiqua" w:cs="Book Antiqua"/>
          <w:b/>
          <w:bCs/>
          <w:color w:val="000000"/>
        </w:rPr>
        <w:t>McNally EM</w:t>
      </w:r>
      <w:r w:rsidRPr="00B75E15">
        <w:rPr>
          <w:rFonts w:ascii="Book Antiqua" w:eastAsia="Book Antiqua" w:hAnsi="Book Antiqua" w:cs="Book Antiqua"/>
          <w:color w:val="000000"/>
        </w:rPr>
        <w:t xml:space="preserve">, Mestroni L. Dilated Cardiomyopathy: Genetic Determinants and Mechanisms.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731-748 [PMID: 28912180 DOI: 10.1161/CIRCRESAHA.116.309396]</w:t>
      </w:r>
    </w:p>
    <w:p w14:paraId="75A2B6F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9 </w:t>
      </w:r>
      <w:r w:rsidRPr="00B75E15">
        <w:rPr>
          <w:rFonts w:ascii="Book Antiqua" w:eastAsia="Book Antiqua" w:hAnsi="Book Antiqua" w:cs="Book Antiqua"/>
          <w:b/>
          <w:bCs/>
          <w:color w:val="000000"/>
        </w:rPr>
        <w:t>Corrado D</w:t>
      </w:r>
      <w:r w:rsidRPr="00B75E15">
        <w:rPr>
          <w:rFonts w:ascii="Book Antiqua" w:eastAsia="Book Antiqua" w:hAnsi="Book Antiqua" w:cs="Book Antiqua"/>
          <w:color w:val="000000"/>
        </w:rPr>
        <w:t xml:space="preserve">, Basso C, Judge DP. Arrhythmogenic Cardiomyopathy.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784-802 [PMID: 28912183 DOI: 10.1161/CIRCRESAHA.117.309345]</w:t>
      </w:r>
    </w:p>
    <w:p w14:paraId="7E52E1A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10 </w:t>
      </w:r>
      <w:r w:rsidRPr="00B75E15">
        <w:rPr>
          <w:rFonts w:ascii="Book Antiqua" w:eastAsia="Book Antiqua" w:hAnsi="Book Antiqua" w:cs="Book Antiqua"/>
          <w:b/>
          <w:bCs/>
          <w:color w:val="000000"/>
        </w:rPr>
        <w:t>Watkins H</w:t>
      </w:r>
      <w:r w:rsidRPr="00B75E15">
        <w:rPr>
          <w:rFonts w:ascii="Book Antiqua" w:eastAsia="Book Antiqua" w:hAnsi="Book Antiqua" w:cs="Book Antiqua"/>
          <w:color w:val="000000"/>
        </w:rPr>
        <w:t xml:space="preserve">, Ashrafian H, Redwood C. Inherited cardiomyopathies. </w:t>
      </w:r>
      <w:r w:rsidRPr="00B75E15">
        <w:rPr>
          <w:rFonts w:ascii="Book Antiqua" w:eastAsia="Book Antiqua" w:hAnsi="Book Antiqua" w:cs="Book Antiqua"/>
          <w:i/>
          <w:iCs/>
          <w:color w:val="000000"/>
        </w:rPr>
        <w:t>N Engl J Med</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364</w:t>
      </w:r>
      <w:r w:rsidRPr="00B75E15">
        <w:rPr>
          <w:rFonts w:ascii="Book Antiqua" w:eastAsia="Book Antiqua" w:hAnsi="Book Antiqua" w:cs="Book Antiqua"/>
          <w:color w:val="000000"/>
        </w:rPr>
        <w:t>: 1643-1656 [PMID: 21524215 DOI: 10.1056/NEJMra0902923]</w:t>
      </w:r>
    </w:p>
    <w:p w14:paraId="4CA874B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11 </w:t>
      </w:r>
      <w:r w:rsidRPr="00B75E15">
        <w:rPr>
          <w:rFonts w:ascii="Book Antiqua" w:eastAsia="Book Antiqua" w:hAnsi="Book Antiqua" w:cs="Book Antiqua"/>
          <w:b/>
          <w:bCs/>
          <w:color w:val="000000"/>
        </w:rPr>
        <w:t>Austin KM</w:t>
      </w:r>
      <w:r w:rsidRPr="00B75E15">
        <w:rPr>
          <w:rFonts w:ascii="Book Antiqua" w:eastAsia="Book Antiqua" w:hAnsi="Book Antiqua" w:cs="Book Antiqua"/>
          <w:color w:val="000000"/>
        </w:rPr>
        <w:t xml:space="preserve">, Trembley MA, Chandler SF, Sanders SP, Saffitz JE, Abrams DJ, Pu WT. Molecular mechanisms of arrhythmogenic cardiomyopathy. </w:t>
      </w:r>
      <w:r w:rsidRPr="00B75E15">
        <w:rPr>
          <w:rFonts w:ascii="Book Antiqua" w:eastAsia="Book Antiqua" w:hAnsi="Book Antiqua" w:cs="Book Antiqua"/>
          <w:i/>
          <w:iCs/>
          <w:color w:val="000000"/>
        </w:rPr>
        <w:t>Nat Rev Cardiol</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519-537 [PMID: 31028357 DOI: 10.1038/s41569-019-0200-7]</w:t>
      </w:r>
    </w:p>
    <w:p w14:paraId="7591E2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12 </w:t>
      </w:r>
      <w:r w:rsidRPr="00B75E15">
        <w:rPr>
          <w:rFonts w:ascii="Book Antiqua" w:eastAsia="Book Antiqua" w:hAnsi="Book Antiqua" w:cs="Book Antiqua"/>
          <w:b/>
          <w:bCs/>
          <w:color w:val="000000"/>
        </w:rPr>
        <w:t>Kitaoka H</w:t>
      </w:r>
      <w:r w:rsidRPr="00B75E15">
        <w:rPr>
          <w:rFonts w:ascii="Book Antiqua" w:eastAsia="Book Antiqua" w:hAnsi="Book Antiqua" w:cs="Book Antiqua"/>
          <w:color w:val="000000"/>
        </w:rPr>
        <w:t xml:space="preserve">, Tsutsui H, Kubo T, Ide T, Chikamori T, Fukuda K, Fujino N, Higo T, Isobe M, Kamiya C, Kato S, Kihara Y, Kinugawa K, Kinugawa S, Kogaki S, Komuro I, Hagiwara N, Ono M, Maekawa Y, Makita S, Matsui Y, Matsushima S, Sakata Y, Sawa Y, Shimizu W, Teraoka K, Tsuchihashi-Makaya M, Ishibashi-Ueda H, Watanabe M, Yoshimura M, Fukusima A, Hida S, Hikoso S, Imamura T, Ishida H, Kawai M, Kitagawa T, Kohno T, </w:t>
      </w:r>
      <w:r w:rsidRPr="00B75E15">
        <w:rPr>
          <w:rFonts w:ascii="Book Antiqua" w:eastAsia="Book Antiqua" w:hAnsi="Book Antiqua" w:cs="Book Antiqua"/>
          <w:color w:val="000000"/>
        </w:rPr>
        <w:lastRenderedPageBreak/>
        <w:t xml:space="preserve">Kurisu S, Nagata Y, Nakamura M, Morita H, Takano H, Shiga T, Takei Y, Yuasa S, Yamamoto T, Watanabe T, Akasaka T, Doi Y, Kimura T, Kitakaze M, Kosuge M, Takayama M, Tomoike H; Japanese Circulation Society Joint Working Group. JCS/JHFS 2018 Guideline on the Diagnosis and Treatment of Cardiomyopathies.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85</w:t>
      </w:r>
      <w:r w:rsidRPr="00B75E15">
        <w:rPr>
          <w:rFonts w:ascii="Book Antiqua" w:eastAsia="Book Antiqua" w:hAnsi="Book Antiqua" w:cs="Book Antiqua"/>
          <w:color w:val="000000"/>
        </w:rPr>
        <w:t>: 1590-1689 [PMID: 34305070 DOI: 10.1253/circj.CJ-20-0910]</w:t>
      </w:r>
    </w:p>
    <w:p w14:paraId="78AD07C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13 </w:t>
      </w:r>
      <w:r w:rsidRPr="00B75E15">
        <w:rPr>
          <w:rFonts w:ascii="Book Antiqua" w:eastAsia="Book Antiqua" w:hAnsi="Book Antiqua" w:cs="Book Antiqua"/>
          <w:b/>
          <w:bCs/>
          <w:color w:val="000000"/>
        </w:rPr>
        <w:t>Khush KK</w:t>
      </w:r>
      <w:r w:rsidRPr="00B75E15">
        <w:rPr>
          <w:rFonts w:ascii="Book Antiqua" w:eastAsia="Book Antiqua" w:hAnsi="Book Antiqua" w:cs="Book Antiqua"/>
          <w:color w:val="000000"/>
        </w:rPr>
        <w:t xml:space="preserve">, Cherikh WS, Chambers DC, Harhay MO, Hayes D Jr, Hsich E, Meiser B, Potena L, Robinson A, Rossano JW, Sadavarte A, Singh TP, Zuckermann A, Stehlik J; International Society for Heart and Lung Transplantation. The International Thoracic Organ Transplant Registry of the International Society for Heart and Lung Transplantation: Thirty-sixth adult heart transplantation report - 2019; focus theme: Donor and recipient size match. </w:t>
      </w:r>
      <w:r w:rsidRPr="00B75E15">
        <w:rPr>
          <w:rFonts w:ascii="Book Antiqua" w:eastAsia="Book Antiqua" w:hAnsi="Book Antiqua" w:cs="Book Antiqua"/>
          <w:i/>
          <w:iCs/>
          <w:color w:val="000000"/>
        </w:rPr>
        <w:t>J Heart Lung Transplant</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38</w:t>
      </w:r>
      <w:r w:rsidRPr="00B75E15">
        <w:rPr>
          <w:rFonts w:ascii="Book Antiqua" w:eastAsia="Book Antiqua" w:hAnsi="Book Antiqua" w:cs="Book Antiqua"/>
          <w:color w:val="000000"/>
        </w:rPr>
        <w:t>: 1056-1066 [PMID: 31548031 DOI: 10.1016/j.healun.2019.08.004]</w:t>
      </w:r>
    </w:p>
    <w:p w14:paraId="21110F8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14 </w:t>
      </w:r>
      <w:r w:rsidRPr="00B75E15">
        <w:rPr>
          <w:rFonts w:ascii="Book Antiqua" w:eastAsia="Book Antiqua" w:hAnsi="Book Antiqua" w:cs="Book Antiqua"/>
          <w:b/>
          <w:bCs/>
          <w:color w:val="000000"/>
        </w:rPr>
        <w:t>Nakatani T</w:t>
      </w:r>
      <w:r w:rsidRPr="00B75E15">
        <w:rPr>
          <w:rFonts w:ascii="Book Antiqua" w:eastAsia="Book Antiqua" w:hAnsi="Book Antiqua" w:cs="Book Antiqua"/>
          <w:color w:val="000000"/>
        </w:rPr>
        <w:t xml:space="preserve">, Fukushima N, Ono M, Saiki Y, Matsuda H, Nunoda S, Sawa Y, Isobe M. The Registry Report of Heart Transplantation in Japan (1999-2014).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80</w:t>
      </w:r>
      <w:r w:rsidRPr="00B75E15">
        <w:rPr>
          <w:rFonts w:ascii="Book Antiqua" w:eastAsia="Book Antiqua" w:hAnsi="Book Antiqua" w:cs="Book Antiqua"/>
          <w:color w:val="000000"/>
        </w:rPr>
        <w:t>: 44-50 [PMID: 26638870 DOI: 10.1253/circj.CJ-15-0975]</w:t>
      </w:r>
    </w:p>
    <w:p w14:paraId="268D6F9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15 </w:t>
      </w:r>
      <w:r w:rsidRPr="00B75E15">
        <w:rPr>
          <w:rFonts w:ascii="Book Antiqua" w:eastAsia="Book Antiqua" w:hAnsi="Book Antiqua" w:cs="Book Antiqua"/>
          <w:b/>
          <w:bCs/>
          <w:color w:val="000000"/>
        </w:rPr>
        <w:t>Giuliano K</w:t>
      </w:r>
      <w:r w:rsidRPr="00B75E15">
        <w:rPr>
          <w:rFonts w:ascii="Book Antiqua" w:eastAsia="Book Antiqua" w:hAnsi="Book Antiqua" w:cs="Book Antiqua"/>
          <w:color w:val="000000"/>
        </w:rPr>
        <w:t xml:space="preserve">, Scheel P 3rd, Etchill E, Fraser CD 3rd, Suarez-Pierre A, Hsu S, Wittstein IS, Kasper EK, Florido R, Tandri H, Calkins H, Choi CW, Sharma K, Kilic A, Gilotra NA. Heart transplantation outcomes in arrhythmogenic right ventricular cardiomyopathy: a contemporary national analysis. </w:t>
      </w:r>
      <w:r w:rsidRPr="00B75E15">
        <w:rPr>
          <w:rFonts w:ascii="Book Antiqua" w:eastAsia="Book Antiqua" w:hAnsi="Book Antiqua" w:cs="Book Antiqua"/>
          <w:i/>
          <w:iCs/>
          <w:color w:val="000000"/>
        </w:rPr>
        <w:t>ESC Heart Fail</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988-997 [PMID: 35132806 DOI: 10.1002/ehf2.13687]</w:t>
      </w:r>
    </w:p>
    <w:p w14:paraId="1AFF64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16 </w:t>
      </w:r>
      <w:r w:rsidRPr="00B75E15">
        <w:rPr>
          <w:rFonts w:ascii="Book Antiqua" w:eastAsia="Book Antiqua" w:hAnsi="Book Antiqua" w:cs="Book Antiqua"/>
          <w:b/>
          <w:bCs/>
          <w:color w:val="000000"/>
        </w:rPr>
        <w:t>Coppini R</w:t>
      </w:r>
      <w:r w:rsidRPr="00B75E15">
        <w:rPr>
          <w:rFonts w:ascii="Book Antiqua" w:eastAsia="Book Antiqua" w:hAnsi="Book Antiqua" w:cs="Book Antiqua"/>
          <w:color w:val="000000"/>
        </w:rPr>
        <w:t xml:space="preserve">, Ho CY, Ashley E, Day S, Ferrantini C, Girolami F, Tomberli B, Bardi S, Torricelli F, Cecchi F, Mugelli A, Poggesi C, Tardiff J, Olivotto I. Clinical phenotype and outcome of hypertrophic cardiomyopathy associated with thin-filament gene mutations. </w:t>
      </w:r>
      <w:r w:rsidRPr="00B75E15">
        <w:rPr>
          <w:rFonts w:ascii="Book Antiqua" w:eastAsia="Book Antiqua" w:hAnsi="Book Antiqua" w:cs="Book Antiqua"/>
          <w:i/>
          <w:iCs/>
          <w:color w:val="000000"/>
        </w:rPr>
        <w:t>J Am Coll Cardiol</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64</w:t>
      </w:r>
      <w:r w:rsidRPr="00B75E15">
        <w:rPr>
          <w:rFonts w:ascii="Book Antiqua" w:eastAsia="Book Antiqua" w:hAnsi="Book Antiqua" w:cs="Book Antiqua"/>
          <w:color w:val="000000"/>
        </w:rPr>
        <w:t>: 2589-2600 [PMID: 25524337 DOI: 10.1016/j.jacc.2014.09.059]</w:t>
      </w:r>
    </w:p>
    <w:p w14:paraId="52C612B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17 </w:t>
      </w:r>
      <w:r w:rsidRPr="00B75E15">
        <w:rPr>
          <w:rFonts w:ascii="Book Antiqua" w:eastAsia="Book Antiqua" w:hAnsi="Book Antiqua" w:cs="Book Antiqua"/>
          <w:b/>
          <w:bCs/>
          <w:color w:val="000000"/>
        </w:rPr>
        <w:t>Marstrand P</w:t>
      </w:r>
      <w:r w:rsidRPr="00B75E15">
        <w:rPr>
          <w:rFonts w:ascii="Book Antiqua" w:eastAsia="Book Antiqua" w:hAnsi="Book Antiqua" w:cs="Book Antiqua"/>
          <w:color w:val="000000"/>
        </w:rPr>
        <w:t xml:space="preserve">, Han L, Day SM, Olivotto I, Ashley EA, Michels M, Pereira AC, Wittekind SG, Helms A, Saberi S, Jacoby D, Ware JS, Colan SD, Semsarian C, Ingles J, Lakdawala NK, Ho CY; SHaRe Investigators. Hypertrophic Cardiomyopathy With Left Ventricular Systolic Dysfunction: Insights From the SHaRe Registry.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141</w:t>
      </w:r>
      <w:r w:rsidRPr="00B75E15">
        <w:rPr>
          <w:rFonts w:ascii="Book Antiqua" w:eastAsia="Book Antiqua" w:hAnsi="Book Antiqua" w:cs="Book Antiqua"/>
          <w:color w:val="000000"/>
        </w:rPr>
        <w:t>: 1371-1383 [PMID: 32228044 DOI: 10.1161/CIRCULATIONAHA.119.044366]</w:t>
      </w:r>
    </w:p>
    <w:p w14:paraId="13C9F15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18 </w:t>
      </w:r>
      <w:r w:rsidRPr="00B75E15">
        <w:rPr>
          <w:rFonts w:ascii="Book Antiqua" w:eastAsia="Book Antiqua" w:hAnsi="Book Antiqua" w:cs="Book Antiqua"/>
          <w:b/>
          <w:bCs/>
          <w:color w:val="000000"/>
        </w:rPr>
        <w:t>Haas J</w:t>
      </w:r>
      <w:r w:rsidRPr="00B75E15">
        <w:rPr>
          <w:rFonts w:ascii="Book Antiqua" w:eastAsia="Book Antiqua" w:hAnsi="Book Antiqua" w:cs="Book Antiqua"/>
          <w:color w:val="000000"/>
        </w:rPr>
        <w:t xml:space="preserve">, Frese KS, Peil B, Kloos W, Keller A, Nietsch R, Feng Z, Müller S, Kayvanpour E, Vogel B, Sedaghat-Hamedani F, Lim WK, Zhao X, Fradkin D, Köhler D, Fischer S, Franke J, Marquart S, Barb I, Li DT, Amr A, Ehlermann P, Mereles D, Weis T, Hassel S, Kremer A, King V, Wirsz E, Isnard R, Komajda M, Serio A, Grasso M, Syrris P, Wicks E, Plagnol V, Lopes L, Gadgaard T, Eiskjær H, Jørgensen M, Garcia-Giustiniani D, Ortiz-Genga M, Crespo-Leiro MG, Deprez RH, Christiaans I, van Rijsingen IA, Wilde AA, Waldenstrom A, Bolognesi M, Bellazzi R, Mörner S, Bermejo JL, Monserrat L, Villard E, Mogensen J, Pinto YM, Charron P, Elliott P, Arbustini E, Katus HA, Meder B. Atlas of the clinical genetics of human dilated cardiomyopathy. </w:t>
      </w:r>
      <w:r w:rsidRPr="00B75E15">
        <w:rPr>
          <w:rFonts w:ascii="Book Antiqua" w:eastAsia="Book Antiqua" w:hAnsi="Book Antiqua" w:cs="Book Antiqua"/>
          <w:i/>
          <w:iCs/>
          <w:color w:val="000000"/>
        </w:rPr>
        <w:t>Eur Heart J</w:t>
      </w:r>
      <w:r w:rsidRPr="00B75E15">
        <w:rPr>
          <w:rFonts w:ascii="Book Antiqua" w:eastAsia="Book Antiqua" w:hAnsi="Book Antiqua" w:cs="Book Antiqua"/>
          <w:color w:val="000000"/>
        </w:rPr>
        <w:t xml:space="preserve"> 2015; </w:t>
      </w:r>
      <w:r w:rsidRPr="00B75E15">
        <w:rPr>
          <w:rFonts w:ascii="Book Antiqua" w:eastAsia="Book Antiqua" w:hAnsi="Book Antiqua" w:cs="Book Antiqua"/>
          <w:b/>
          <w:bCs/>
          <w:color w:val="000000"/>
        </w:rPr>
        <w:t>36</w:t>
      </w:r>
      <w:r w:rsidRPr="00B75E15">
        <w:rPr>
          <w:rFonts w:ascii="Book Antiqua" w:eastAsia="Book Antiqua" w:hAnsi="Book Antiqua" w:cs="Book Antiqua"/>
          <w:color w:val="000000"/>
        </w:rPr>
        <w:t>: 1123-135a [PMID: 25163546 DOI: 10.1093/eurheartj/ehu301]</w:t>
      </w:r>
    </w:p>
    <w:p w14:paraId="453B98A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19 </w:t>
      </w:r>
      <w:r w:rsidRPr="00B75E15">
        <w:rPr>
          <w:rFonts w:ascii="Book Antiqua" w:eastAsia="Book Antiqua" w:hAnsi="Book Antiqua" w:cs="Book Antiqua"/>
          <w:b/>
          <w:bCs/>
          <w:color w:val="000000"/>
        </w:rPr>
        <w:t>Suwa Y</w:t>
      </w:r>
      <w:r w:rsidRPr="00B75E15">
        <w:rPr>
          <w:rFonts w:ascii="Book Antiqua" w:eastAsia="Book Antiqua" w:hAnsi="Book Antiqua" w:cs="Book Antiqua"/>
          <w:color w:val="000000"/>
        </w:rPr>
        <w:t xml:space="preserve">, Higo S, Nakamoto K, Sera F, Kunimatsu S, Masumura Y, Kanzaki M, Mizote I, Mizuno H, Fujio Y, Hikoso S, Sakata Y. Old-Age Onset Progressive Cardiac Contractile Dysfunction in a Patient with Polycystic Kidney Disease Harboring a PKD1 Frameshift Mutation. </w:t>
      </w:r>
      <w:r w:rsidRPr="00B75E15">
        <w:rPr>
          <w:rFonts w:ascii="Book Antiqua" w:eastAsia="Book Antiqua" w:hAnsi="Book Antiqua" w:cs="Book Antiqua"/>
          <w:i/>
          <w:iCs/>
          <w:color w:val="000000"/>
        </w:rPr>
        <w:t>Int Heart J</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60</w:t>
      </w:r>
      <w:r w:rsidRPr="00B75E15">
        <w:rPr>
          <w:rFonts w:ascii="Book Antiqua" w:eastAsia="Book Antiqua" w:hAnsi="Book Antiqua" w:cs="Book Antiqua"/>
          <w:color w:val="000000"/>
        </w:rPr>
        <w:t>: 220-225 [PMID: 30464138 DOI: 10.1536/ihj.18-184]</w:t>
      </w:r>
    </w:p>
    <w:p w14:paraId="1A5C0B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20 </w:t>
      </w:r>
      <w:r w:rsidRPr="00B75E15">
        <w:rPr>
          <w:rFonts w:ascii="Book Antiqua" w:eastAsia="Book Antiqua" w:hAnsi="Book Antiqua" w:cs="Book Antiqua"/>
          <w:b/>
          <w:bCs/>
          <w:color w:val="000000"/>
        </w:rPr>
        <w:t>Tobita T</w:t>
      </w:r>
      <w:r w:rsidRPr="00B75E15">
        <w:rPr>
          <w:rFonts w:ascii="Book Antiqua" w:eastAsia="Book Antiqua" w:hAnsi="Book Antiqua" w:cs="Book Antiqua"/>
          <w:color w:val="000000"/>
        </w:rPr>
        <w:t xml:space="preserve">, Nomura S, Fujita T, Morita H, Asano Y, Onoue K, Ito M, Imai Y, Suzuki A, Ko T, Satoh M, Fujita K, Naito AT, Furutani Y, Toko H, Harada M, Amiya E, Hatano M, Takimoto E, Shiga T, Nakanishi T, Sakata Y, Ono M, Saito Y, Takashima S, Hagiwara N, Aburatani H, Komuro I. Genetic basis of cardiomyopathy and the genotypes involved in prognosis and left ventricular reverse remodeling.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8</w:t>
      </w:r>
      <w:r w:rsidRPr="00B75E15">
        <w:rPr>
          <w:rFonts w:ascii="Book Antiqua" w:eastAsia="Book Antiqua" w:hAnsi="Book Antiqua" w:cs="Book Antiqua"/>
          <w:color w:val="000000"/>
        </w:rPr>
        <w:t>: 1998 [PMID: 29386531 DOI: 10.1038/s41598-018-20114-9]</w:t>
      </w:r>
    </w:p>
    <w:p w14:paraId="5833BB4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21 </w:t>
      </w:r>
      <w:r w:rsidRPr="00B75E15">
        <w:rPr>
          <w:rFonts w:ascii="Book Antiqua" w:eastAsia="Book Antiqua" w:hAnsi="Book Antiqua" w:cs="Book Antiqua"/>
          <w:b/>
          <w:bCs/>
          <w:color w:val="000000"/>
        </w:rPr>
        <w:t>Towbin JA</w:t>
      </w:r>
      <w:r w:rsidRPr="00B75E15">
        <w:rPr>
          <w:rFonts w:ascii="Book Antiqua" w:eastAsia="Book Antiqua" w:hAnsi="Book Antiqua" w:cs="Book Antiqua"/>
          <w:color w:val="000000"/>
        </w:rPr>
        <w:t xml:space="preserve">, McKenna WJ, Abrams DJ, Ackerman MJ, Calkins H, Darrieux FCC, Daubert JP, de Chillou C, DePasquale EC, Desai MY, Estes NAM 3rd, Hua W, Indik JH, Ingles J, James CA, John RM, Judge DP, Keegan R, Krahn AD, Link MS, Marcus FI, McLeod CJ, Mestroni L, Priori SG, Saffitz JE, Sanatani S, Shimizu W, van Tintelen JP, Wilde AAM, Zareba W. 2019 HRS expert consensus statement on evaluation, risk stratification, and management of arrhythmogenic cardiomyopathy. </w:t>
      </w:r>
      <w:r w:rsidRPr="00B75E15">
        <w:rPr>
          <w:rFonts w:ascii="Book Antiqua" w:eastAsia="Book Antiqua" w:hAnsi="Book Antiqua" w:cs="Book Antiqua"/>
          <w:i/>
          <w:iCs/>
          <w:color w:val="000000"/>
        </w:rPr>
        <w:t>Heart Rhythm</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e301-e372 [PMID: 31078652 DOI: 10.1016/j.hrthm.2019.05.007]</w:t>
      </w:r>
    </w:p>
    <w:p w14:paraId="53A435D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22 </w:t>
      </w:r>
      <w:r w:rsidRPr="00B75E15">
        <w:rPr>
          <w:rFonts w:ascii="Book Antiqua" w:eastAsia="Book Antiqua" w:hAnsi="Book Antiqua" w:cs="Book Antiqua"/>
          <w:b/>
          <w:bCs/>
          <w:color w:val="000000"/>
        </w:rPr>
        <w:t>Awad MM</w:t>
      </w:r>
      <w:r w:rsidRPr="00B75E15">
        <w:rPr>
          <w:rFonts w:ascii="Book Antiqua" w:eastAsia="Book Antiqua" w:hAnsi="Book Antiqua" w:cs="Book Antiqua"/>
          <w:color w:val="000000"/>
        </w:rPr>
        <w:t xml:space="preserve">, Calkins H, Judge DP. Mechanisms of disease: molecular genetics of arrhythmogenic right ventricular dysplasia/cardiomyopathy. </w:t>
      </w:r>
      <w:r w:rsidRPr="00B75E15">
        <w:rPr>
          <w:rFonts w:ascii="Book Antiqua" w:eastAsia="Book Antiqua" w:hAnsi="Book Antiqua" w:cs="Book Antiqua"/>
          <w:i/>
          <w:iCs/>
          <w:color w:val="000000"/>
        </w:rPr>
        <w:t>Nat Clin Pract Cardiovasc Med</w:t>
      </w:r>
      <w:r w:rsidRPr="00B75E15">
        <w:rPr>
          <w:rFonts w:ascii="Book Antiqua" w:eastAsia="Book Antiqua" w:hAnsi="Book Antiqua" w:cs="Book Antiqua"/>
          <w:color w:val="000000"/>
        </w:rPr>
        <w:t xml:space="preserve"> 2008;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258-267 [PMID: 18382419 DOI: 10.1038/ncpcardio1182]</w:t>
      </w:r>
    </w:p>
    <w:p w14:paraId="5DB3130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23 </w:t>
      </w:r>
      <w:r w:rsidRPr="00B75E15">
        <w:rPr>
          <w:rFonts w:ascii="Book Antiqua" w:eastAsia="Book Antiqua" w:hAnsi="Book Antiqua" w:cs="Book Antiqua"/>
          <w:b/>
          <w:bCs/>
          <w:color w:val="000000"/>
        </w:rPr>
        <w:t>Al-Jassar C</w:t>
      </w:r>
      <w:r w:rsidRPr="00B75E15">
        <w:rPr>
          <w:rFonts w:ascii="Book Antiqua" w:eastAsia="Book Antiqua" w:hAnsi="Book Antiqua" w:cs="Book Antiqua"/>
          <w:color w:val="000000"/>
        </w:rPr>
        <w:t xml:space="preserve">, Bikker H, Overduin M, Chidgey M. Mechanistic basis of desmosome-targeted diseases. </w:t>
      </w:r>
      <w:r w:rsidRPr="00B75E15">
        <w:rPr>
          <w:rFonts w:ascii="Book Antiqua" w:eastAsia="Book Antiqua" w:hAnsi="Book Antiqua" w:cs="Book Antiqua"/>
          <w:i/>
          <w:iCs/>
          <w:color w:val="000000"/>
        </w:rPr>
        <w:t>J Mol Biol</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425</w:t>
      </w:r>
      <w:r w:rsidRPr="00B75E15">
        <w:rPr>
          <w:rFonts w:ascii="Book Antiqua" w:eastAsia="Book Antiqua" w:hAnsi="Book Antiqua" w:cs="Book Antiqua"/>
          <w:color w:val="000000"/>
        </w:rPr>
        <w:t>: 4006-4022 [PMID: 23911551 DOI: 10.1016/j.jmb.2013.07.035]</w:t>
      </w:r>
    </w:p>
    <w:p w14:paraId="39EF13F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24 </w:t>
      </w:r>
      <w:r w:rsidRPr="00B75E15">
        <w:rPr>
          <w:rFonts w:ascii="Book Antiqua" w:eastAsia="Book Antiqua" w:hAnsi="Book Antiqua" w:cs="Book Antiqua"/>
          <w:b/>
          <w:bCs/>
          <w:color w:val="000000"/>
        </w:rPr>
        <w:t>Delmar M</w:t>
      </w:r>
      <w:r w:rsidRPr="00B75E15">
        <w:rPr>
          <w:rFonts w:ascii="Book Antiqua" w:eastAsia="Book Antiqua" w:hAnsi="Book Antiqua" w:cs="Book Antiqua"/>
          <w:color w:val="000000"/>
        </w:rPr>
        <w:t xml:space="preserve">, McKenna WJ. The cardiac desmosome and arrhythmogenic cardiomyopathies: from gene to disease.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2010; </w:t>
      </w:r>
      <w:r w:rsidRPr="00B75E15">
        <w:rPr>
          <w:rFonts w:ascii="Book Antiqua" w:eastAsia="Book Antiqua" w:hAnsi="Book Antiqua" w:cs="Book Antiqua"/>
          <w:b/>
          <w:bCs/>
          <w:color w:val="000000"/>
        </w:rPr>
        <w:t>107</w:t>
      </w:r>
      <w:r w:rsidRPr="00B75E15">
        <w:rPr>
          <w:rFonts w:ascii="Book Antiqua" w:eastAsia="Book Antiqua" w:hAnsi="Book Antiqua" w:cs="Book Antiqua"/>
          <w:color w:val="000000"/>
        </w:rPr>
        <w:t>: 700-714 [PMID: 20847325 DOI: 10.1161/CIRCRESAHA.110.223412]</w:t>
      </w:r>
    </w:p>
    <w:p w14:paraId="23DEE68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25 </w:t>
      </w:r>
      <w:r w:rsidRPr="00B75E15">
        <w:rPr>
          <w:rFonts w:ascii="Book Antiqua" w:eastAsia="Book Antiqua" w:hAnsi="Book Antiqua" w:cs="Book Antiqua"/>
          <w:b/>
          <w:bCs/>
          <w:color w:val="000000"/>
        </w:rPr>
        <w:t>Pugh TJ</w:t>
      </w:r>
      <w:r w:rsidRPr="00B75E15">
        <w:rPr>
          <w:rFonts w:ascii="Book Antiqua" w:eastAsia="Book Antiqua" w:hAnsi="Book Antiqua" w:cs="Book Antiqua"/>
          <w:color w:val="000000"/>
        </w:rPr>
        <w:t xml:space="preserve">, Kelly MA, Gowrisankar S, Hynes E, Seidman MA, Baxter SM, Bowser M, Harrison B, Aaron D, Mahanta LM, Lakdawala NK, McDermott G, White ET, Rehm HL, Lebo M, Funke BH. The landscape of genetic variation in dilated cardiomyopathy as surveyed by clinical DNA sequencing. </w:t>
      </w:r>
      <w:r w:rsidRPr="00B75E15">
        <w:rPr>
          <w:rFonts w:ascii="Book Antiqua" w:eastAsia="Book Antiqua" w:hAnsi="Book Antiqua" w:cs="Book Antiqua"/>
          <w:i/>
          <w:iCs/>
          <w:color w:val="000000"/>
        </w:rPr>
        <w:t>Genet Med</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601-608 [PMID: 24503780 DOI: 10.1038/gim.2013.204]</w:t>
      </w:r>
    </w:p>
    <w:p w14:paraId="393F323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26 </w:t>
      </w:r>
      <w:r w:rsidRPr="00B75E15">
        <w:rPr>
          <w:rFonts w:ascii="Book Antiqua" w:eastAsia="Book Antiqua" w:hAnsi="Book Antiqua" w:cs="Book Antiqua"/>
          <w:b/>
          <w:bCs/>
          <w:color w:val="000000"/>
        </w:rPr>
        <w:t>Garcia-Pavia P</w:t>
      </w:r>
      <w:r w:rsidRPr="00B75E15">
        <w:rPr>
          <w:rFonts w:ascii="Book Antiqua" w:eastAsia="Book Antiqua" w:hAnsi="Book Antiqua" w:cs="Book Antiqua"/>
          <w:color w:val="000000"/>
        </w:rPr>
        <w:t xml:space="preserve">, Syrris P, Salas C, Evans A, Mirelis JG, Cobo-Marcos M, Vilches C, Bornstein B, Segovia J, Alonso-Pulpon L, Elliott PM. Desmosomal protein gene mutations in patients with idiopathic dilated cardiomyopathy undergoing cardiac transplantation: a clinicopathological study. </w:t>
      </w:r>
      <w:r w:rsidRPr="00B75E15">
        <w:rPr>
          <w:rFonts w:ascii="Book Antiqua" w:eastAsia="Book Antiqua" w:hAnsi="Book Antiqua" w:cs="Book Antiqua"/>
          <w:i/>
          <w:iCs/>
          <w:color w:val="000000"/>
        </w:rPr>
        <w:t>Heart</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97</w:t>
      </w:r>
      <w:r w:rsidRPr="00B75E15">
        <w:rPr>
          <w:rFonts w:ascii="Book Antiqua" w:eastAsia="Book Antiqua" w:hAnsi="Book Antiqua" w:cs="Book Antiqua"/>
          <w:color w:val="000000"/>
        </w:rPr>
        <w:t>: 1744-1752 [PMID: 21859740 DOI: 10.1136/hrt.2011.227967]</w:t>
      </w:r>
    </w:p>
    <w:p w14:paraId="4876725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27 </w:t>
      </w:r>
      <w:r w:rsidRPr="00B75E15">
        <w:rPr>
          <w:rFonts w:ascii="Book Antiqua" w:eastAsia="Book Antiqua" w:hAnsi="Book Antiqua" w:cs="Book Antiqua"/>
          <w:b/>
          <w:bCs/>
          <w:color w:val="000000"/>
        </w:rPr>
        <w:t>Rigato I</w:t>
      </w:r>
      <w:r w:rsidRPr="00B75E15">
        <w:rPr>
          <w:rFonts w:ascii="Book Antiqua" w:eastAsia="Book Antiqua" w:hAnsi="Book Antiqua" w:cs="Book Antiqua"/>
          <w:color w:val="000000"/>
        </w:rPr>
        <w:t xml:space="preserve">, Bauce B, Rampazzo A, Zorzi A, Pilichou K, Mazzotti E, Migliore F, Marra MP, Lorenzon A, De Bortoli M, Calore M, Nava A, Daliento L, Gregori D, Iliceto S, Thiene G, Basso C, Corrado D. Compound and digenic heterozygosity predicts lifetime arrhythmic outcome and sudden cardiac death in desmosomal gene-related arrhythmogenic right ventricular cardiomyopathy.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6</w:t>
      </w:r>
      <w:r w:rsidRPr="00B75E15">
        <w:rPr>
          <w:rFonts w:ascii="Book Antiqua" w:eastAsia="Book Antiqua" w:hAnsi="Book Antiqua" w:cs="Book Antiqua"/>
          <w:color w:val="000000"/>
        </w:rPr>
        <w:t>: 533-542 [PMID: 24070718 DOI: 10.1161/CIRCGENETICS.113.000288]</w:t>
      </w:r>
    </w:p>
    <w:p w14:paraId="030E932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28 </w:t>
      </w:r>
      <w:r w:rsidRPr="00B75E15">
        <w:rPr>
          <w:rFonts w:ascii="Book Antiqua" w:eastAsia="Book Antiqua" w:hAnsi="Book Antiqua" w:cs="Book Antiqua"/>
          <w:b/>
          <w:bCs/>
          <w:color w:val="000000"/>
        </w:rPr>
        <w:t>Gandjbakhch E</w:t>
      </w:r>
      <w:r w:rsidRPr="00B75E15">
        <w:rPr>
          <w:rFonts w:ascii="Book Antiqua" w:eastAsia="Book Antiqua" w:hAnsi="Book Antiqua" w:cs="Book Antiqua"/>
          <w:color w:val="000000"/>
        </w:rPr>
        <w:t xml:space="preserve">, Redheuil A, Pousset F, Charron P, Frank R. Clinical Diagnosis, Imaging, and Genetics of Arrhythmogenic Right Ventricular Cardiomyopathy/Dysplasia: JACC State-of-the-Art Review. </w:t>
      </w:r>
      <w:r w:rsidRPr="00B75E15">
        <w:rPr>
          <w:rFonts w:ascii="Book Antiqua" w:eastAsia="Book Antiqua" w:hAnsi="Book Antiqua" w:cs="Book Antiqua"/>
          <w:i/>
          <w:iCs/>
          <w:color w:val="000000"/>
        </w:rPr>
        <w:t>J Am Coll Cardiol</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72</w:t>
      </w:r>
      <w:r w:rsidRPr="00B75E15">
        <w:rPr>
          <w:rFonts w:ascii="Book Antiqua" w:eastAsia="Book Antiqua" w:hAnsi="Book Antiqua" w:cs="Book Antiqua"/>
          <w:color w:val="000000"/>
        </w:rPr>
        <w:t>: 784-804 [PMID: 30092956 DOI: 10.1016/j.jacc.2018.05.065]</w:t>
      </w:r>
    </w:p>
    <w:p w14:paraId="61304DE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29 </w:t>
      </w:r>
      <w:r w:rsidRPr="00B75E15">
        <w:rPr>
          <w:rFonts w:ascii="Book Antiqua" w:eastAsia="Book Antiqua" w:hAnsi="Book Antiqua" w:cs="Book Antiqua"/>
          <w:b/>
          <w:bCs/>
          <w:color w:val="000000"/>
        </w:rPr>
        <w:t>Chen K</w:t>
      </w:r>
      <w:r w:rsidRPr="00B75E15">
        <w:rPr>
          <w:rFonts w:ascii="Book Antiqua" w:eastAsia="Book Antiqua" w:hAnsi="Book Antiqua" w:cs="Book Antiqua"/>
          <w:color w:val="000000"/>
        </w:rPr>
        <w:t xml:space="preserve">, Rao M, Guo G, Duru F, Chen L, Chen X, Song J, Hu S. Recessive variants in plakophilin-2 contributes to early-onset arrhythmogenic cardiomyopathy with severe heart failure. </w:t>
      </w:r>
      <w:r w:rsidRPr="00B75E15">
        <w:rPr>
          <w:rFonts w:ascii="Book Antiqua" w:eastAsia="Book Antiqua" w:hAnsi="Book Antiqua" w:cs="Book Antiqua"/>
          <w:i/>
          <w:iCs/>
          <w:color w:val="000000"/>
        </w:rPr>
        <w:t>Europace</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21</w:t>
      </w:r>
      <w:r w:rsidRPr="00B75E15">
        <w:rPr>
          <w:rFonts w:ascii="Book Antiqua" w:eastAsia="Book Antiqua" w:hAnsi="Book Antiqua" w:cs="Book Antiqua"/>
          <w:color w:val="000000"/>
        </w:rPr>
        <w:t>: 970-977 [PMID: 30830208 DOI: 10.1093/europace/euz026]</w:t>
      </w:r>
    </w:p>
    <w:p w14:paraId="1529981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30 </w:t>
      </w:r>
      <w:r w:rsidRPr="00B75E15">
        <w:rPr>
          <w:rFonts w:ascii="Book Antiqua" w:eastAsia="Book Antiqua" w:hAnsi="Book Antiqua" w:cs="Book Antiqua"/>
          <w:b/>
          <w:bCs/>
          <w:color w:val="000000"/>
        </w:rPr>
        <w:t>Shiba M</w:t>
      </w:r>
      <w:r w:rsidRPr="00B75E15">
        <w:rPr>
          <w:rFonts w:ascii="Book Antiqua" w:eastAsia="Book Antiqua" w:hAnsi="Book Antiqua" w:cs="Book Antiqua"/>
          <w:color w:val="000000"/>
        </w:rPr>
        <w:t xml:space="preserve">, Higo S, Kondo T, Li J, Liu L, Ikeda Y, Kohama Y, Kameda S, Tabata T, Inoue H, Nakamura S, Takeda M, Ito E, Takashima S, Miyagawa S, Sawa Y, Hikoso S, Sakata Y. Phenotypic recapitulation and correction of desmoglein-2-deficient cardiomyopathy using human-induced pluripotent stem cell-derived cardiomyocytes. </w:t>
      </w:r>
      <w:r w:rsidRPr="00B75E15">
        <w:rPr>
          <w:rFonts w:ascii="Book Antiqua" w:eastAsia="Book Antiqua" w:hAnsi="Book Antiqua" w:cs="Book Antiqua"/>
          <w:i/>
          <w:iCs/>
          <w:color w:val="000000"/>
        </w:rPr>
        <w:t>Hum Mol Genet</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30</w:t>
      </w:r>
      <w:r w:rsidRPr="00B75E15">
        <w:rPr>
          <w:rFonts w:ascii="Book Antiqua" w:eastAsia="Book Antiqua" w:hAnsi="Book Antiqua" w:cs="Book Antiqua"/>
          <w:color w:val="000000"/>
        </w:rPr>
        <w:t>: 1384-1397 [PMID: 33949662 DOI: 10.1093/hmg/ddab127]</w:t>
      </w:r>
    </w:p>
    <w:p w14:paraId="77BCC74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31 </w:t>
      </w:r>
      <w:r w:rsidRPr="00B75E15">
        <w:rPr>
          <w:rFonts w:ascii="Book Antiqua" w:eastAsia="Book Antiqua" w:hAnsi="Book Antiqua" w:cs="Book Antiqua"/>
          <w:b/>
          <w:bCs/>
          <w:color w:val="000000"/>
        </w:rPr>
        <w:t>Eshkind L</w:t>
      </w:r>
      <w:r w:rsidRPr="00B75E15">
        <w:rPr>
          <w:rFonts w:ascii="Book Antiqua" w:eastAsia="Book Antiqua" w:hAnsi="Book Antiqua" w:cs="Book Antiqua"/>
          <w:color w:val="000000"/>
        </w:rPr>
        <w:t xml:space="preserve">, Tian Q, Schmidt A, Franke WW, Windoffer R, Leube RE. Loss of desmoglein 2 suggests essential functions for early embryonic development and proliferation of embryonal stem cells. </w:t>
      </w:r>
      <w:r w:rsidRPr="00B75E15">
        <w:rPr>
          <w:rFonts w:ascii="Book Antiqua" w:eastAsia="Book Antiqua" w:hAnsi="Book Antiqua" w:cs="Book Antiqua"/>
          <w:i/>
          <w:iCs/>
          <w:color w:val="000000"/>
        </w:rPr>
        <w:t>Eur J Cell Biol</w:t>
      </w:r>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81</w:t>
      </w:r>
      <w:r w:rsidRPr="00B75E15">
        <w:rPr>
          <w:rFonts w:ascii="Book Antiqua" w:eastAsia="Book Antiqua" w:hAnsi="Book Antiqua" w:cs="Book Antiqua"/>
          <w:color w:val="000000"/>
        </w:rPr>
        <w:t>: 592-598 [PMID: 12494996 DOI: 10.1078/0171-9335-00278]</w:t>
      </w:r>
    </w:p>
    <w:p w14:paraId="2034F01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32 </w:t>
      </w:r>
      <w:r w:rsidRPr="00B75E15">
        <w:rPr>
          <w:rFonts w:ascii="Book Antiqua" w:eastAsia="Book Antiqua" w:hAnsi="Book Antiqua" w:cs="Book Antiqua"/>
          <w:b/>
          <w:bCs/>
          <w:color w:val="000000"/>
        </w:rPr>
        <w:t>Sayed N</w:t>
      </w:r>
      <w:r w:rsidRPr="00B75E15">
        <w:rPr>
          <w:rFonts w:ascii="Book Antiqua" w:eastAsia="Book Antiqua" w:hAnsi="Book Antiqua" w:cs="Book Antiqua"/>
          <w:color w:val="000000"/>
        </w:rPr>
        <w:t xml:space="preserve">, Liu C, Wu JC. Translation of Human-Induced Pluripotent Stem Cells: From Clinical Trial in a Dish to Precision Medicine. </w:t>
      </w:r>
      <w:r w:rsidRPr="00B75E15">
        <w:rPr>
          <w:rFonts w:ascii="Book Antiqua" w:eastAsia="Book Antiqua" w:hAnsi="Book Antiqua" w:cs="Book Antiqua"/>
          <w:i/>
          <w:iCs/>
          <w:color w:val="000000"/>
        </w:rPr>
        <w:t>J Am Coll Cardiol</w:t>
      </w:r>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67</w:t>
      </w:r>
      <w:r w:rsidRPr="00B75E15">
        <w:rPr>
          <w:rFonts w:ascii="Book Antiqua" w:eastAsia="Book Antiqua" w:hAnsi="Book Antiqua" w:cs="Book Antiqua"/>
          <w:color w:val="000000"/>
        </w:rPr>
        <w:t>: 2161-2176 [PMID: 27151349 DOI: 10.1016/j.jacc.2016.01.083]</w:t>
      </w:r>
    </w:p>
    <w:p w14:paraId="29EB765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33 </w:t>
      </w:r>
      <w:r w:rsidRPr="00B75E15">
        <w:rPr>
          <w:rFonts w:ascii="Book Antiqua" w:eastAsia="Book Antiqua" w:hAnsi="Book Antiqua" w:cs="Book Antiqua"/>
          <w:b/>
          <w:bCs/>
          <w:color w:val="000000"/>
        </w:rPr>
        <w:t>Kondo T</w:t>
      </w:r>
      <w:r w:rsidRPr="00B75E15">
        <w:rPr>
          <w:rFonts w:ascii="Book Antiqua" w:eastAsia="Book Antiqua" w:hAnsi="Book Antiqua" w:cs="Book Antiqua"/>
          <w:color w:val="000000"/>
        </w:rPr>
        <w:t xml:space="preserve">, Higo S, Shiba M, Kohama Y, Kameda S, Tabata T, Inoue H, Okuno S, Ogawa S, Nakamura S, Takeda M, Ito E, Li J, Liu L, Kuramoto Y, Lee JK, Takashima S, Miyagawa S, Sawa Y, Hikoso S, Sakata Y. Human-Induced Pluripotent Stem Cell-Derived Cardiomyocyte Model for TNNT2 Δ160E-Induced Cardiomyopathy. </w:t>
      </w:r>
      <w:r w:rsidRPr="00B75E15">
        <w:rPr>
          <w:rFonts w:ascii="Book Antiqua" w:eastAsia="Book Antiqua" w:hAnsi="Book Antiqua" w:cs="Book Antiqua"/>
          <w:i/>
          <w:iCs/>
          <w:color w:val="000000"/>
        </w:rPr>
        <w:t>Circ Genom Precis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15</w:t>
      </w:r>
      <w:r w:rsidRPr="00B75E15">
        <w:rPr>
          <w:rFonts w:ascii="Book Antiqua" w:eastAsia="Book Antiqua" w:hAnsi="Book Antiqua" w:cs="Book Antiqua"/>
          <w:color w:val="000000"/>
        </w:rPr>
        <w:t>: e003522 [PMID: 35861968 DOI: 10.1161/CIRCGEN.121.003522]</w:t>
      </w:r>
    </w:p>
    <w:p w14:paraId="492825E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34 </w:t>
      </w:r>
      <w:r w:rsidRPr="00B75E15">
        <w:rPr>
          <w:rFonts w:ascii="Book Antiqua" w:eastAsia="Book Antiqua" w:hAnsi="Book Antiqua" w:cs="Book Antiqua"/>
          <w:b/>
          <w:bCs/>
          <w:color w:val="000000"/>
        </w:rPr>
        <w:t>Tabata T</w:t>
      </w:r>
      <w:r w:rsidRPr="00B75E15">
        <w:rPr>
          <w:rFonts w:ascii="Book Antiqua" w:eastAsia="Book Antiqua" w:hAnsi="Book Antiqua" w:cs="Book Antiqua"/>
          <w:color w:val="000000"/>
        </w:rPr>
        <w:t xml:space="preserve">, Masumura Y, Higo S, Kunimatsu S, Kameda S, Inoue H, Okuno S, Ogawa S, Takashima S, Watanabe M, Miyagawa S, Hikoso S, Sakata Y. Multiplexed measurement of cell type-specific calcium kinetics using high-content image analysis combined with targeted gene disruption. </w:t>
      </w:r>
      <w:r w:rsidRPr="00B75E15">
        <w:rPr>
          <w:rFonts w:ascii="Book Antiqua" w:eastAsia="Book Antiqua" w:hAnsi="Book Antiqua" w:cs="Book Antiqua"/>
          <w:i/>
          <w:iCs/>
          <w:color w:val="000000"/>
        </w:rPr>
        <w:t>Biochem Biophys Res Commun</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637</w:t>
      </w:r>
      <w:r w:rsidRPr="00B75E15">
        <w:rPr>
          <w:rFonts w:ascii="Book Antiqua" w:eastAsia="Book Antiqua" w:hAnsi="Book Antiqua" w:cs="Book Antiqua"/>
          <w:color w:val="000000"/>
        </w:rPr>
        <w:t>: 40-49 [PMID: 36375249 DOI: 10.1016/j.bbrc.2022.10.088]</w:t>
      </w:r>
    </w:p>
    <w:p w14:paraId="2443B6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35 </w:t>
      </w:r>
      <w:r w:rsidRPr="00B75E15">
        <w:rPr>
          <w:rFonts w:ascii="Book Antiqua" w:eastAsia="Book Antiqua" w:hAnsi="Book Antiqua" w:cs="Book Antiqua"/>
          <w:b/>
          <w:bCs/>
          <w:color w:val="000000"/>
        </w:rPr>
        <w:t>Higo S</w:t>
      </w:r>
      <w:r w:rsidRPr="00B75E15">
        <w:rPr>
          <w:rFonts w:ascii="Book Antiqua" w:eastAsia="Book Antiqua" w:hAnsi="Book Antiqua" w:cs="Book Antiqua"/>
          <w:color w:val="000000"/>
        </w:rPr>
        <w:t xml:space="preserve">, Hikoso S, Miyagawa S, Sakata Y. Genome Editing in Human Induced Pluripotent Stem Cells (hiPSCs). </w:t>
      </w:r>
      <w:r w:rsidRPr="00B75E15">
        <w:rPr>
          <w:rFonts w:ascii="Book Antiqua" w:eastAsia="Book Antiqua" w:hAnsi="Book Antiqua" w:cs="Book Antiqua"/>
          <w:i/>
          <w:iCs/>
          <w:color w:val="000000"/>
        </w:rPr>
        <w:t>Methods Mol Biol</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2320</w:t>
      </w:r>
      <w:r w:rsidRPr="00B75E15">
        <w:rPr>
          <w:rFonts w:ascii="Book Antiqua" w:eastAsia="Book Antiqua" w:hAnsi="Book Antiqua" w:cs="Book Antiqua"/>
          <w:color w:val="000000"/>
        </w:rPr>
        <w:t>: 235-245 [PMID: 34302662 DOI: 10.1007/978-1-0716-1484-6_21]</w:t>
      </w:r>
    </w:p>
    <w:p w14:paraId="54C348C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36 </w:t>
      </w:r>
      <w:r w:rsidRPr="00B75E15">
        <w:rPr>
          <w:rFonts w:ascii="Book Antiqua" w:eastAsia="Book Antiqua" w:hAnsi="Book Antiqua" w:cs="Book Antiqua"/>
          <w:b/>
          <w:bCs/>
          <w:color w:val="000000"/>
        </w:rPr>
        <w:t>Padrón-Barthe L</w:t>
      </w:r>
      <w:r w:rsidRPr="00B75E15">
        <w:rPr>
          <w:rFonts w:ascii="Book Antiqua" w:eastAsia="Book Antiqua" w:hAnsi="Book Antiqua" w:cs="Book Antiqua"/>
          <w:color w:val="000000"/>
        </w:rPr>
        <w:t xml:space="preserve">, Domínguez F, Garcia-Pavia P, Lara-Pezzi E. Animal models of arrhythmogenic right ventricular cardiomyopathy: what have we learned and where do we go? Insight for therapeutics. </w:t>
      </w:r>
      <w:r w:rsidRPr="00B75E15">
        <w:rPr>
          <w:rFonts w:ascii="Book Antiqua" w:eastAsia="Book Antiqua" w:hAnsi="Book Antiqua" w:cs="Book Antiqua"/>
          <w:i/>
          <w:iCs/>
          <w:color w:val="000000"/>
        </w:rPr>
        <w:t>Basic Res Cardiol</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112</w:t>
      </w:r>
      <w:r w:rsidRPr="00B75E15">
        <w:rPr>
          <w:rFonts w:ascii="Book Antiqua" w:eastAsia="Book Antiqua" w:hAnsi="Book Antiqua" w:cs="Book Antiqua"/>
          <w:color w:val="000000"/>
        </w:rPr>
        <w:t>: 50 [PMID: 28688053 DOI: 10.1007/s00395-017-0640-3]</w:t>
      </w:r>
    </w:p>
    <w:p w14:paraId="62CB32B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37 </w:t>
      </w:r>
      <w:r w:rsidRPr="00B75E15">
        <w:rPr>
          <w:rFonts w:ascii="Book Antiqua" w:eastAsia="Book Antiqua" w:hAnsi="Book Antiqua" w:cs="Book Antiqua"/>
          <w:b/>
          <w:bCs/>
          <w:color w:val="000000"/>
        </w:rPr>
        <w:t>Ohno S</w:t>
      </w:r>
      <w:r w:rsidRPr="00B75E15">
        <w:rPr>
          <w:rFonts w:ascii="Book Antiqua" w:eastAsia="Book Antiqua" w:hAnsi="Book Antiqua" w:cs="Book Antiqua"/>
          <w:color w:val="000000"/>
        </w:rPr>
        <w:t xml:space="preserve">, Nagaoka I, Fukuyama M, Kimura H, Itoh H, Makiyama T, Shimizu A, Horie M. Age-dependent clinical and genetic characteristics in Japanese patients with arrhythmogenic right ventricular cardiomyopathy/dysplasia.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77</w:t>
      </w:r>
      <w:r w:rsidRPr="00B75E15">
        <w:rPr>
          <w:rFonts w:ascii="Book Antiqua" w:eastAsia="Book Antiqua" w:hAnsi="Book Antiqua" w:cs="Book Antiqua"/>
          <w:color w:val="000000"/>
        </w:rPr>
        <w:t>: 1534-1542 [PMID: 23514727 DOI: 10.1253/circj.cj-12-1446]</w:t>
      </w:r>
    </w:p>
    <w:p w14:paraId="2866449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38 </w:t>
      </w:r>
      <w:r w:rsidRPr="00B75E15">
        <w:rPr>
          <w:rFonts w:ascii="Book Antiqua" w:eastAsia="Book Antiqua" w:hAnsi="Book Antiqua" w:cs="Book Antiqua"/>
          <w:b/>
          <w:bCs/>
          <w:color w:val="000000"/>
        </w:rPr>
        <w:t>Groeneweg JA</w:t>
      </w:r>
      <w:r w:rsidRPr="00B75E15">
        <w:rPr>
          <w:rFonts w:ascii="Book Antiqua" w:eastAsia="Book Antiqua" w:hAnsi="Book Antiqua" w:cs="Book Antiqua"/>
          <w:color w:val="000000"/>
        </w:rPr>
        <w:t xml:space="preserve">, Bhonsale A, James CA, te Riele AS, Dooijes D, Tichnell C, Murray B, Wiesfeld AC, Sawant AC, Kassamali B, Atsma DE, Volders PG, de Groot NM, de Boer K, Zimmerman SL, Kamel IR, van der Heijden JF, Russell SD, Jan Cramer M, Tedford RJ, Doevendans PA, van Veen TA, Tandri H, Wilde AA, Judge DP, van Tintelen JP, Hauer RN, Calkins H. Clinical Presentation, Long-Term Follow-Up, and Outcomes of 1001 Arrhythmogenic Right Ventricular Dysplasia/Cardiomyopathy Patients and Family Members.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2015; </w:t>
      </w:r>
      <w:r w:rsidRPr="00B75E15">
        <w:rPr>
          <w:rFonts w:ascii="Book Antiqua" w:eastAsia="Book Antiqua" w:hAnsi="Book Antiqua" w:cs="Book Antiqua"/>
          <w:b/>
          <w:bCs/>
          <w:color w:val="000000"/>
        </w:rPr>
        <w:t>8</w:t>
      </w:r>
      <w:r w:rsidRPr="00B75E15">
        <w:rPr>
          <w:rFonts w:ascii="Book Antiqua" w:eastAsia="Book Antiqua" w:hAnsi="Book Antiqua" w:cs="Book Antiqua"/>
          <w:color w:val="000000"/>
        </w:rPr>
        <w:t>: 437-446 [PMID: 25820315 DOI: 10.1161/CIRCGENETICS.114.001003]</w:t>
      </w:r>
    </w:p>
    <w:p w14:paraId="76623D1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39 </w:t>
      </w:r>
      <w:r w:rsidRPr="00B75E15">
        <w:rPr>
          <w:rFonts w:ascii="Book Antiqua" w:eastAsia="Book Antiqua" w:hAnsi="Book Antiqua" w:cs="Book Antiqua"/>
          <w:b/>
          <w:bCs/>
          <w:color w:val="000000"/>
        </w:rPr>
        <w:t>Novelli V</w:t>
      </w:r>
      <w:r w:rsidRPr="00B75E15">
        <w:rPr>
          <w:rFonts w:ascii="Book Antiqua" w:eastAsia="Book Antiqua" w:hAnsi="Book Antiqua" w:cs="Book Antiqua"/>
          <w:color w:val="000000"/>
        </w:rPr>
        <w:t xml:space="preserve">, Malkani K, Cerrone M. Pleiotropic Phenotypes Associated With PKP2 Variants. </w:t>
      </w:r>
      <w:r w:rsidRPr="00B75E15">
        <w:rPr>
          <w:rFonts w:ascii="Book Antiqua" w:eastAsia="Book Antiqua" w:hAnsi="Book Antiqua" w:cs="Book Antiqua"/>
          <w:i/>
          <w:iCs/>
          <w:color w:val="000000"/>
        </w:rPr>
        <w:t>Front Cardiovasc Med</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184 [PMID: 30619891 DOI: 10.3389/fcvm.2018.00184]</w:t>
      </w:r>
    </w:p>
    <w:p w14:paraId="31CE1B8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40 </w:t>
      </w:r>
      <w:r w:rsidRPr="00B75E15">
        <w:rPr>
          <w:rFonts w:ascii="Book Antiqua" w:eastAsia="Book Antiqua" w:hAnsi="Book Antiqua" w:cs="Book Antiqua"/>
          <w:b/>
          <w:bCs/>
          <w:color w:val="000000"/>
        </w:rPr>
        <w:t>El-Battrawy I</w:t>
      </w:r>
      <w:r w:rsidRPr="00B75E15">
        <w:rPr>
          <w:rFonts w:ascii="Book Antiqua" w:eastAsia="Book Antiqua" w:hAnsi="Book Antiqua" w:cs="Book Antiqua"/>
          <w:color w:val="000000"/>
        </w:rPr>
        <w:t xml:space="preserve">, Zhao Z, Lan H, Cyganek L, Tombers C, Li X, Buljubasic F, Lang S, Tiburcy M, Zimmermann WH, Utikal J, Wieland T, Borggrefe M, Zhou XB, Akin I. Electrical dysfunctions in human-induced pluripotent stem cell-derived cardiomyocytes from a patient with an arrhythmogenic right ventricular cardiomyopathy. </w:t>
      </w:r>
      <w:r w:rsidRPr="00B75E15">
        <w:rPr>
          <w:rFonts w:ascii="Book Antiqua" w:eastAsia="Book Antiqua" w:hAnsi="Book Antiqua" w:cs="Book Antiqua"/>
          <w:i/>
          <w:iCs/>
          <w:color w:val="000000"/>
        </w:rPr>
        <w:t>Europace</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20</w:t>
      </w:r>
      <w:r w:rsidRPr="00B75E15">
        <w:rPr>
          <w:rFonts w:ascii="Book Antiqua" w:eastAsia="Book Antiqua" w:hAnsi="Book Antiqua" w:cs="Book Antiqua"/>
          <w:color w:val="000000"/>
        </w:rPr>
        <w:t>: f46-f56 [PMID: 29566126 DOI: 10.1093/europace/euy042]</w:t>
      </w:r>
    </w:p>
    <w:p w14:paraId="4B020BC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41 </w:t>
      </w:r>
      <w:r w:rsidRPr="00B75E15">
        <w:rPr>
          <w:rFonts w:ascii="Book Antiqua" w:eastAsia="Book Antiqua" w:hAnsi="Book Antiqua" w:cs="Book Antiqua"/>
          <w:b/>
          <w:bCs/>
          <w:color w:val="000000"/>
        </w:rPr>
        <w:t>Buljubasic F</w:t>
      </w:r>
      <w:r w:rsidRPr="00B75E15">
        <w:rPr>
          <w:rFonts w:ascii="Book Antiqua" w:eastAsia="Book Antiqua" w:hAnsi="Book Antiqua" w:cs="Book Antiqua"/>
          <w:color w:val="000000"/>
        </w:rPr>
        <w:t xml:space="preserve">, El-Battrawy I, Lan H, Lomada SK, Chatterjee A, Zhao Z, Li X, Zhong R, Xu Q, Huang M, Liao Z, Lang S, Cyganek L, Zhou X, Wieland T, Borggrefe M, Akin I. Nucleoside Diphosphate Kinase B Contributes to Arrhythmogenesis in Human-Induced Pluripotent Stem Cell-Derived Cardiomyocytes from a Patient with Arrhythmogenic Right Ventricular Cardiomyopathy. </w:t>
      </w:r>
      <w:r w:rsidRPr="00B75E15">
        <w:rPr>
          <w:rFonts w:ascii="Book Antiqua" w:eastAsia="Book Antiqua" w:hAnsi="Book Antiqua" w:cs="Book Antiqua"/>
          <w:i/>
          <w:iCs/>
          <w:color w:val="000000"/>
        </w:rPr>
        <w:t>J Clin Med</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xml:space="preserve"> [PMID: 32050722 DOI: 10.3390/jcm9020486]</w:t>
      </w:r>
    </w:p>
    <w:p w14:paraId="288B1BC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42 </w:t>
      </w:r>
      <w:r w:rsidRPr="00B75E15">
        <w:rPr>
          <w:rFonts w:ascii="Book Antiqua" w:eastAsia="Book Antiqua" w:hAnsi="Book Antiqua" w:cs="Book Antiqua"/>
          <w:b/>
          <w:bCs/>
          <w:color w:val="000000"/>
        </w:rPr>
        <w:t>Ng R</w:t>
      </w:r>
      <w:r w:rsidRPr="00B75E15">
        <w:rPr>
          <w:rFonts w:ascii="Book Antiqua" w:eastAsia="Book Antiqua" w:hAnsi="Book Antiqua" w:cs="Book Antiqua"/>
          <w:color w:val="000000"/>
        </w:rPr>
        <w:t xml:space="preserve">, Manring H, Papoutsidakis N, Albertelli T, Tsai N, See CJ, Li X, Park J, Stevens TL, Bobbili PJ, Riaz M, Ren Y, Stoddard CE, Janssen PM, Bunch TJ, Hall SP, Lo YC, Jacoby DL, Qyang Y, Wright N, Ackermann MA, Campbell SG. Patient mutations linked to </w:t>
      </w:r>
      <w:r w:rsidRPr="00B75E15">
        <w:rPr>
          <w:rFonts w:ascii="Book Antiqua" w:eastAsia="Book Antiqua" w:hAnsi="Book Antiqua" w:cs="Book Antiqua"/>
          <w:color w:val="000000"/>
        </w:rPr>
        <w:lastRenderedPageBreak/>
        <w:t xml:space="preserve">arrhythmogenic cardiomyopathy enhance calpain-mediated desmoplakin degradation. </w:t>
      </w:r>
      <w:r w:rsidRPr="00B75E15">
        <w:rPr>
          <w:rFonts w:ascii="Book Antiqua" w:eastAsia="Book Antiqua" w:hAnsi="Book Antiqua" w:cs="Book Antiqua"/>
          <w:i/>
          <w:iCs/>
          <w:color w:val="000000"/>
        </w:rPr>
        <w:t>JCI Insight</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xml:space="preserve"> [PMID: 31194698 DOI: 10.1172/jci.insight.128643]</w:t>
      </w:r>
    </w:p>
    <w:p w14:paraId="7BB466A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43 </w:t>
      </w:r>
      <w:r w:rsidRPr="00B75E15">
        <w:rPr>
          <w:rFonts w:ascii="Book Antiqua" w:eastAsia="Book Antiqua" w:hAnsi="Book Antiqua" w:cs="Book Antiqua"/>
          <w:b/>
          <w:bCs/>
          <w:color w:val="000000"/>
        </w:rPr>
        <w:t>Xia S</w:t>
      </w:r>
      <w:r w:rsidRPr="00B75E15">
        <w:rPr>
          <w:rFonts w:ascii="Book Antiqua" w:eastAsia="Book Antiqua" w:hAnsi="Book Antiqua" w:cs="Book Antiqua"/>
          <w:color w:val="000000"/>
        </w:rPr>
        <w:t xml:space="preserve">, Wang X, Yue P, Li Y, Zhang D. Establishment of induced pluripotent stem cell lines from a family of an ARVC patient receiving heart transplantation in infant age carrying compound heterozygous mutations in DSP gene. </w:t>
      </w:r>
      <w:r w:rsidRPr="00B75E15">
        <w:rPr>
          <w:rFonts w:ascii="Book Antiqua" w:eastAsia="Book Antiqua" w:hAnsi="Book Antiqua" w:cs="Book Antiqua"/>
          <w:i/>
          <w:iCs/>
          <w:color w:val="000000"/>
        </w:rPr>
        <w:t>Stem Cell Res</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48</w:t>
      </w:r>
      <w:r w:rsidRPr="00B75E15">
        <w:rPr>
          <w:rFonts w:ascii="Book Antiqua" w:eastAsia="Book Antiqua" w:hAnsi="Book Antiqua" w:cs="Book Antiqua"/>
          <w:color w:val="000000"/>
        </w:rPr>
        <w:t>: 101977 [PMID: 32942234 DOI: 10.1016/j.scr.2020.101977]</w:t>
      </w:r>
    </w:p>
    <w:p w14:paraId="52D2B63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44 </w:t>
      </w:r>
      <w:r w:rsidRPr="00B75E15">
        <w:rPr>
          <w:rFonts w:ascii="Book Antiqua" w:eastAsia="Book Antiqua" w:hAnsi="Book Antiqua" w:cs="Book Antiqua"/>
          <w:b/>
          <w:bCs/>
          <w:color w:val="000000"/>
        </w:rPr>
        <w:t>Moreau A</w:t>
      </w:r>
      <w:r w:rsidRPr="00B75E15">
        <w:rPr>
          <w:rFonts w:ascii="Book Antiqua" w:eastAsia="Book Antiqua" w:hAnsi="Book Antiqua" w:cs="Book Antiqua"/>
          <w:color w:val="000000"/>
        </w:rPr>
        <w:t xml:space="preserve">, Reisqs JB, Delanoe-Ayari H, Pierre M, Janin A, Deliniere A, Bessière F, Meli AC, Charrabi A, Lafont E, Valla C, Bauer D, Morel E, Gache V, Millat G, Nissan X, Faucherre A, Jopling C, Richard S, Mejat A, Chevalier P. Deciphering DSC2 arrhythmogenic cardiomyopathy electrical instability: From ion channels to ECG and tailored drug therapy. </w:t>
      </w:r>
      <w:r w:rsidRPr="00B75E15">
        <w:rPr>
          <w:rFonts w:ascii="Book Antiqua" w:eastAsia="Book Antiqua" w:hAnsi="Book Antiqua" w:cs="Book Antiqua"/>
          <w:i/>
          <w:iCs/>
          <w:color w:val="000000"/>
        </w:rPr>
        <w:t>Clin Transl Med</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e319 [PMID: 33784018 DOI: 10.1002/ctm</w:t>
      </w:r>
      <w:r w:rsidRPr="00B75E15">
        <w:rPr>
          <w:rFonts w:ascii="Book Antiqua" w:eastAsia="Book Antiqua" w:hAnsi="Book Antiqua" w:cs="Book Antiqua"/>
          <w:color w:val="000000"/>
          <w:vertAlign w:val="superscript"/>
        </w:rPr>
        <w:t>2</w:t>
      </w:r>
      <w:r w:rsidRPr="00B75E15">
        <w:rPr>
          <w:rFonts w:ascii="Book Antiqua" w:eastAsia="Book Antiqua" w:hAnsi="Book Antiqua" w:cs="Book Antiqua"/>
          <w:color w:val="000000"/>
        </w:rPr>
        <w:t>.319]</w:t>
      </w:r>
    </w:p>
    <w:p w14:paraId="78A6040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45 </w:t>
      </w:r>
      <w:r w:rsidRPr="00B75E15">
        <w:rPr>
          <w:rFonts w:ascii="Book Antiqua" w:eastAsia="Book Antiqua" w:hAnsi="Book Antiqua" w:cs="Book Antiqua"/>
          <w:b/>
          <w:bCs/>
          <w:color w:val="000000"/>
        </w:rPr>
        <w:t>Reisqs JB</w:t>
      </w:r>
      <w:r w:rsidRPr="00B75E15">
        <w:rPr>
          <w:rFonts w:ascii="Book Antiqua" w:eastAsia="Book Antiqua" w:hAnsi="Book Antiqua" w:cs="Book Antiqua"/>
          <w:color w:val="000000"/>
        </w:rPr>
        <w:t xml:space="preserve">, Moreau A, Charrabi A, Sleiman Y, Meli AC, Millat G, Briand V, Beauverger P, Richard S, Chevalier P. The PPARγ pathway determines electrophysiological remodelling and arrhythmia risks in DSC2 arrhythmogenic cardiomyopathy. </w:t>
      </w:r>
      <w:r w:rsidRPr="00B75E15">
        <w:rPr>
          <w:rFonts w:ascii="Book Antiqua" w:eastAsia="Book Antiqua" w:hAnsi="Book Antiqua" w:cs="Book Antiqua"/>
          <w:i/>
          <w:iCs/>
          <w:color w:val="000000"/>
        </w:rPr>
        <w:t>Clin Transl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12</w:t>
      </w:r>
      <w:r w:rsidRPr="00B75E15">
        <w:rPr>
          <w:rFonts w:ascii="Book Antiqua" w:eastAsia="Book Antiqua" w:hAnsi="Book Antiqua" w:cs="Book Antiqua"/>
          <w:color w:val="000000"/>
        </w:rPr>
        <w:t>: e748 [PMID: 35297182 DOI: 10.1002/ctm</w:t>
      </w:r>
      <w:r w:rsidRPr="00B75E15">
        <w:rPr>
          <w:rFonts w:ascii="Book Antiqua" w:eastAsia="Book Antiqua" w:hAnsi="Book Antiqua" w:cs="Book Antiqua"/>
          <w:color w:val="000000"/>
          <w:vertAlign w:val="superscript"/>
        </w:rPr>
        <w:t>2</w:t>
      </w:r>
      <w:r w:rsidRPr="00B75E15">
        <w:rPr>
          <w:rFonts w:ascii="Book Antiqua" w:eastAsia="Book Antiqua" w:hAnsi="Book Antiqua" w:cs="Book Antiqua"/>
          <w:color w:val="000000"/>
        </w:rPr>
        <w:t>.748]</w:t>
      </w:r>
    </w:p>
    <w:p w14:paraId="13F5270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46 </w:t>
      </w:r>
      <w:r w:rsidRPr="00B75E15">
        <w:rPr>
          <w:rFonts w:ascii="Book Antiqua" w:eastAsia="Book Antiqua" w:hAnsi="Book Antiqua" w:cs="Book Antiqua"/>
          <w:b/>
          <w:bCs/>
          <w:color w:val="000000"/>
        </w:rPr>
        <w:t>Caspi O</w:t>
      </w:r>
      <w:r w:rsidRPr="00B75E15">
        <w:rPr>
          <w:rFonts w:ascii="Book Antiqua" w:eastAsia="Book Antiqua" w:hAnsi="Book Antiqua" w:cs="Book Antiqua"/>
          <w:color w:val="000000"/>
        </w:rPr>
        <w:t xml:space="preserve">, Huber I, Gepstein A, Arbel G, Maizels L, Boulos M, Gepstein L. Modeling of arrhythmogenic right ventricular cardiomyopathy with human induced pluripotent stem cells.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6</w:t>
      </w:r>
      <w:r w:rsidRPr="00B75E15">
        <w:rPr>
          <w:rFonts w:ascii="Book Antiqua" w:eastAsia="Book Antiqua" w:hAnsi="Book Antiqua" w:cs="Book Antiqua"/>
          <w:color w:val="000000"/>
        </w:rPr>
        <w:t>: 557-568 [PMID: 24200905 DOI: 10.1161/CIRCGENETICS.113.000188]</w:t>
      </w:r>
    </w:p>
    <w:p w14:paraId="3EE82C0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47 </w:t>
      </w:r>
      <w:r w:rsidRPr="00B75E15">
        <w:rPr>
          <w:rFonts w:ascii="Book Antiqua" w:eastAsia="Book Antiqua" w:hAnsi="Book Antiqua" w:cs="Book Antiqua"/>
          <w:b/>
          <w:bCs/>
          <w:color w:val="000000"/>
        </w:rPr>
        <w:t>Kim C</w:t>
      </w:r>
      <w:r w:rsidRPr="00B75E15">
        <w:rPr>
          <w:rFonts w:ascii="Book Antiqua" w:eastAsia="Book Antiqua" w:hAnsi="Book Antiqua" w:cs="Book Antiqua"/>
          <w:color w:val="000000"/>
        </w:rPr>
        <w:t xml:space="preserve">, Wong J, Wen J, Wang S, Wang C, Spiering S, Kan NG, Forcales S, Puri PL, Leone TC, Marine JE, Calkins H, Kelly DP, Judge DP, Chen HS. Studying arrhythmogenic right ventricular dysplasia with patient-specific iPSCs. </w:t>
      </w:r>
      <w:r w:rsidRPr="00B75E15">
        <w:rPr>
          <w:rFonts w:ascii="Book Antiqua" w:eastAsia="Book Antiqua" w:hAnsi="Book Antiqua" w:cs="Book Antiqua"/>
          <w:i/>
          <w:iCs/>
          <w:color w:val="000000"/>
        </w:rPr>
        <w:t>Nature</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494</w:t>
      </w:r>
      <w:r w:rsidRPr="00B75E15">
        <w:rPr>
          <w:rFonts w:ascii="Book Antiqua" w:eastAsia="Book Antiqua" w:hAnsi="Book Antiqua" w:cs="Book Antiqua"/>
          <w:color w:val="000000"/>
        </w:rPr>
        <w:t>: 105-110 [PMID: 23354045 DOI: 10.1038/nature11799]</w:t>
      </w:r>
    </w:p>
    <w:p w14:paraId="6BED467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48 </w:t>
      </w:r>
      <w:r w:rsidRPr="00B75E15">
        <w:rPr>
          <w:rFonts w:ascii="Book Antiqua" w:eastAsia="Book Antiqua" w:hAnsi="Book Antiqua" w:cs="Book Antiqua"/>
          <w:b/>
          <w:bCs/>
          <w:color w:val="000000"/>
        </w:rPr>
        <w:t>Ma D</w:t>
      </w:r>
      <w:r w:rsidRPr="00B75E15">
        <w:rPr>
          <w:rFonts w:ascii="Book Antiqua" w:eastAsia="Book Antiqua" w:hAnsi="Book Antiqua" w:cs="Book Antiqua"/>
          <w:color w:val="000000"/>
        </w:rPr>
        <w:t xml:space="preserve">, Wei H, Lu J, Ho S, Zhang G, Sun X, Oh Y, Tan SH, Ng ML, Shim W, Wong P, Liew R. Generation of patient-specific induced pluripotent stem cell-derived cardiomyocytes as a cellular model of arrhythmogenic right ventricular cardiomyopathy. </w:t>
      </w:r>
      <w:r w:rsidRPr="00B75E15">
        <w:rPr>
          <w:rFonts w:ascii="Book Antiqua" w:eastAsia="Book Antiqua" w:hAnsi="Book Antiqua" w:cs="Book Antiqua"/>
          <w:i/>
          <w:iCs/>
          <w:color w:val="000000"/>
        </w:rPr>
        <w:t>Eur Heart J</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34</w:t>
      </w:r>
      <w:r w:rsidRPr="00B75E15">
        <w:rPr>
          <w:rFonts w:ascii="Book Antiqua" w:eastAsia="Book Antiqua" w:hAnsi="Book Antiqua" w:cs="Book Antiqua"/>
          <w:color w:val="000000"/>
        </w:rPr>
        <w:t>: 1122-1133 [PMID: 22798562 DOI: 10.1093/eurheartj/ehs226]</w:t>
      </w:r>
    </w:p>
    <w:p w14:paraId="08B4C86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49 </w:t>
      </w:r>
      <w:r w:rsidRPr="00B75E15">
        <w:rPr>
          <w:rFonts w:ascii="Book Antiqua" w:eastAsia="Book Antiqua" w:hAnsi="Book Antiqua" w:cs="Book Antiqua"/>
          <w:b/>
          <w:bCs/>
          <w:color w:val="000000"/>
        </w:rPr>
        <w:t>Dorn T</w:t>
      </w:r>
      <w:r w:rsidRPr="00B75E15">
        <w:rPr>
          <w:rFonts w:ascii="Book Antiqua" w:eastAsia="Book Antiqua" w:hAnsi="Book Antiqua" w:cs="Book Antiqua"/>
          <w:color w:val="000000"/>
        </w:rPr>
        <w:t xml:space="preserve">, Kornherr J, Parrotta EI, Zawada D, Ayetey H, Santamaria G, Iop L, Mastantuono E, Sinnecker D, Goedel A, Dirschinger RJ, My I, Laue S, Bozoglu T, Baarlink </w:t>
      </w:r>
      <w:r w:rsidRPr="00B75E15">
        <w:rPr>
          <w:rFonts w:ascii="Book Antiqua" w:eastAsia="Book Antiqua" w:hAnsi="Book Antiqua" w:cs="Book Antiqua"/>
          <w:color w:val="000000"/>
        </w:rPr>
        <w:lastRenderedPageBreak/>
        <w:t xml:space="preserve">C, Ziegler T, Graf E, Hinkel R, Cuda G, Kääb S, Grace AA, Grosse R, Kupatt C, Meitinger T, Smith AG, Laugwitz KL, Moretti A. Interplay of cell-cell contacts and RhoA/MRTF-A signaling regulates cardiomyocyte identity. </w:t>
      </w:r>
      <w:r w:rsidRPr="00B75E15">
        <w:rPr>
          <w:rFonts w:ascii="Book Antiqua" w:eastAsia="Book Antiqua" w:hAnsi="Book Antiqua" w:cs="Book Antiqua"/>
          <w:i/>
          <w:iCs/>
          <w:color w:val="000000"/>
        </w:rPr>
        <w:t>EMBO J</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37</w:t>
      </w:r>
      <w:r w:rsidRPr="00B75E15">
        <w:rPr>
          <w:rFonts w:ascii="Book Antiqua" w:eastAsia="Book Antiqua" w:hAnsi="Book Antiqua" w:cs="Book Antiqua"/>
          <w:color w:val="000000"/>
        </w:rPr>
        <w:t xml:space="preserve"> [PMID: 29764980 DOI: 10.15252/embj.201798133]</w:t>
      </w:r>
    </w:p>
    <w:p w14:paraId="1A78DF6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50 </w:t>
      </w:r>
      <w:r w:rsidRPr="00B75E15">
        <w:rPr>
          <w:rFonts w:ascii="Book Antiqua" w:eastAsia="Book Antiqua" w:hAnsi="Book Antiqua" w:cs="Book Antiqua"/>
          <w:b/>
          <w:bCs/>
          <w:color w:val="000000"/>
        </w:rPr>
        <w:t>Blazeski A</w:t>
      </w:r>
      <w:r w:rsidRPr="00B75E15">
        <w:rPr>
          <w:rFonts w:ascii="Book Antiqua" w:eastAsia="Book Antiqua" w:hAnsi="Book Antiqua" w:cs="Book Antiqua"/>
          <w:color w:val="000000"/>
        </w:rPr>
        <w:t xml:space="preserve">, Lowenthal J, Wang Y, Teuben R, Zhu R, Gerecht S, Tomaselli G, Tung L. Engineered Heart Slice Model of Arrhythmogenic Cardiomyopathy Using Plakophilin-2 Mutant Myocytes. </w:t>
      </w:r>
      <w:r w:rsidRPr="00B75E15">
        <w:rPr>
          <w:rFonts w:ascii="Book Antiqua" w:eastAsia="Book Antiqua" w:hAnsi="Book Antiqua" w:cs="Book Antiqua"/>
          <w:i/>
          <w:iCs/>
          <w:color w:val="000000"/>
        </w:rPr>
        <w:t>Tissue Eng Part A</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25</w:t>
      </w:r>
      <w:r w:rsidRPr="00B75E15">
        <w:rPr>
          <w:rFonts w:ascii="Book Antiqua" w:eastAsia="Book Antiqua" w:hAnsi="Book Antiqua" w:cs="Book Antiqua"/>
          <w:color w:val="000000"/>
        </w:rPr>
        <w:t>: 725-735 [PMID: 30520705 DOI: 10.1089/ten.TEA.2018.0272]</w:t>
      </w:r>
    </w:p>
    <w:p w14:paraId="2A20216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51 </w:t>
      </w:r>
      <w:r w:rsidRPr="00B75E15">
        <w:rPr>
          <w:rFonts w:ascii="Book Antiqua" w:eastAsia="Book Antiqua" w:hAnsi="Book Antiqua" w:cs="Book Antiqua"/>
          <w:b/>
          <w:bCs/>
          <w:color w:val="000000"/>
        </w:rPr>
        <w:t>Martewicz S</w:t>
      </w:r>
      <w:r w:rsidRPr="00B75E15">
        <w:rPr>
          <w:rFonts w:ascii="Book Antiqua" w:eastAsia="Book Antiqua" w:hAnsi="Book Antiqua" w:cs="Book Antiqua"/>
          <w:color w:val="000000"/>
        </w:rPr>
        <w:t xml:space="preserve">, Luni C, Serena E, Pavan P, Chen HV, Rampazzo A, Elvassore N. Transcriptomic Characterization of a Human In Vitro Model of Arrhythmogenic Cardiomyopathy Under Topological and Mechanical Stimuli. </w:t>
      </w:r>
      <w:r w:rsidRPr="00B75E15">
        <w:rPr>
          <w:rFonts w:ascii="Book Antiqua" w:eastAsia="Book Antiqua" w:hAnsi="Book Antiqua" w:cs="Book Antiqua"/>
          <w:i/>
          <w:iCs/>
          <w:color w:val="000000"/>
        </w:rPr>
        <w:t>Ann Biomed Eng</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47</w:t>
      </w:r>
      <w:r w:rsidRPr="00B75E15">
        <w:rPr>
          <w:rFonts w:ascii="Book Antiqua" w:eastAsia="Book Antiqua" w:hAnsi="Book Antiqua" w:cs="Book Antiqua"/>
          <w:color w:val="000000"/>
        </w:rPr>
        <w:t>: 852-865 [PMID: 30569242 DOI: 10.1007/s10439-018-02134-8]</w:t>
      </w:r>
    </w:p>
    <w:p w14:paraId="2DAF41B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52 </w:t>
      </w:r>
      <w:r w:rsidRPr="00B75E15">
        <w:rPr>
          <w:rFonts w:ascii="Book Antiqua" w:eastAsia="Book Antiqua" w:hAnsi="Book Antiqua" w:cs="Book Antiqua"/>
          <w:b/>
          <w:bCs/>
          <w:color w:val="000000"/>
        </w:rPr>
        <w:t>Khudiakov A</w:t>
      </w:r>
      <w:r w:rsidRPr="00B75E15">
        <w:rPr>
          <w:rFonts w:ascii="Book Antiqua" w:eastAsia="Book Antiqua" w:hAnsi="Book Antiqua" w:cs="Book Antiqua"/>
          <w:color w:val="000000"/>
        </w:rPr>
        <w:t xml:space="preserve">, Zaytseva A, Perepelina K, Smolina N, Pervunina T, Vasichkina E, Karpushev A, Tomilin A, Malashicheva A, Kostareva A. Sodium current abnormalities and deregulation of Wnt/β-catenin signaling in iPSC-derived cardiomyocytes generated from patient with arrhythmogenic cardiomyopathy harboring compound genetic variants in plakophilin 2 gene. </w:t>
      </w:r>
      <w:r w:rsidRPr="00B75E15">
        <w:rPr>
          <w:rFonts w:ascii="Book Antiqua" w:eastAsia="Book Antiqua" w:hAnsi="Book Antiqua" w:cs="Book Antiqua"/>
          <w:i/>
          <w:iCs/>
          <w:color w:val="000000"/>
        </w:rPr>
        <w:t>Biochim Biophys Acta Mol Basis Dis</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1866</w:t>
      </w:r>
      <w:r w:rsidRPr="00B75E15">
        <w:rPr>
          <w:rFonts w:ascii="Book Antiqua" w:eastAsia="Book Antiqua" w:hAnsi="Book Antiqua" w:cs="Book Antiqua"/>
          <w:color w:val="000000"/>
        </w:rPr>
        <w:t>: 165915 [PMID: 32768677 DOI: 10.1016/j.bbadis.2020.165915]</w:t>
      </w:r>
    </w:p>
    <w:p w14:paraId="3778F1A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53 </w:t>
      </w:r>
      <w:r w:rsidRPr="00B75E15">
        <w:rPr>
          <w:rFonts w:ascii="Book Antiqua" w:eastAsia="Book Antiqua" w:hAnsi="Book Antiqua" w:cs="Book Antiqua"/>
          <w:b/>
          <w:bCs/>
          <w:color w:val="000000"/>
        </w:rPr>
        <w:t>Zhang K</w:t>
      </w:r>
      <w:r w:rsidRPr="00B75E15">
        <w:rPr>
          <w:rFonts w:ascii="Book Antiqua" w:eastAsia="Book Antiqua" w:hAnsi="Book Antiqua" w:cs="Book Antiqua"/>
          <w:color w:val="000000"/>
        </w:rPr>
        <w:t xml:space="preserve">, Cloonan PE, Sundaram S, Liu F, Das SL, Ewoldt JK, Bays JL, Tomp S, Toepfer CN, Marsiglia JDC, Gorham J, Reichart D, Eyckmans J, Seidman JG, Seidman CE, Chen CS. Plakophilin-2 truncating variants impair cardiac contractility by disrupting sarcomere stability and organization. </w:t>
      </w:r>
      <w:r w:rsidRPr="00B75E15">
        <w:rPr>
          <w:rFonts w:ascii="Book Antiqua" w:eastAsia="Book Antiqua" w:hAnsi="Book Antiqua" w:cs="Book Antiqua"/>
          <w:i/>
          <w:iCs/>
          <w:color w:val="000000"/>
        </w:rPr>
        <w:t>Sci Adv</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eabh3995 [PMID: 34652945 DOI: 10.1126/sciadv.abh3995]</w:t>
      </w:r>
    </w:p>
    <w:p w14:paraId="35DA99C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54 </w:t>
      </w:r>
      <w:r w:rsidRPr="00B75E15">
        <w:rPr>
          <w:rFonts w:ascii="Book Antiqua" w:eastAsia="Book Antiqua" w:hAnsi="Book Antiqua" w:cs="Book Antiqua"/>
          <w:b/>
          <w:bCs/>
          <w:color w:val="000000"/>
        </w:rPr>
        <w:t>Inoue H</w:t>
      </w:r>
      <w:r w:rsidRPr="00B75E15">
        <w:rPr>
          <w:rFonts w:ascii="Book Antiqua" w:eastAsia="Book Antiqua" w:hAnsi="Book Antiqua" w:cs="Book Antiqua"/>
          <w:color w:val="000000"/>
        </w:rPr>
        <w:t xml:space="preserve">, Nakamura S, Higo S, Shiba M, Kohama Y, Kondo T, Kameda S, Tabata T, Okuno S, Ikeda Y, Li J, Liu L, Yamazaki S, Takeda M, Ito E, Takashima S, Miyagawa S, Sawa Y, Hikoso S, Sakata Y. Modeling reduced contractility and impaired desmosome assembly due to plakophilin-2 deficiency using isogenic iPS cell-derived cardiomyocytes. </w:t>
      </w:r>
      <w:r w:rsidRPr="00B75E15">
        <w:rPr>
          <w:rFonts w:ascii="Book Antiqua" w:eastAsia="Book Antiqua" w:hAnsi="Book Antiqua" w:cs="Book Antiqua"/>
          <w:i/>
          <w:iCs/>
          <w:color w:val="000000"/>
        </w:rPr>
        <w:t>Stem Cell Reports</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17</w:t>
      </w:r>
      <w:r w:rsidRPr="00B75E15">
        <w:rPr>
          <w:rFonts w:ascii="Book Antiqua" w:eastAsia="Book Antiqua" w:hAnsi="Book Antiqua" w:cs="Book Antiqua"/>
          <w:color w:val="000000"/>
        </w:rPr>
        <w:t>: 337-351 [PMID: 35063130 DOI: 10.1016/j.stemcr.2021.12.016]</w:t>
      </w:r>
    </w:p>
    <w:p w14:paraId="1E49936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55 </w:t>
      </w:r>
      <w:r w:rsidRPr="00B75E15">
        <w:rPr>
          <w:rFonts w:ascii="Book Antiqua" w:eastAsia="Book Antiqua" w:hAnsi="Book Antiqua" w:cs="Book Antiqua"/>
          <w:b/>
          <w:bCs/>
          <w:color w:val="000000"/>
        </w:rPr>
        <w:t>Kirchner F</w:t>
      </w:r>
      <w:r w:rsidRPr="00B75E15">
        <w:rPr>
          <w:rFonts w:ascii="Book Antiqua" w:eastAsia="Book Antiqua" w:hAnsi="Book Antiqua" w:cs="Book Antiqua"/>
          <w:color w:val="000000"/>
        </w:rPr>
        <w:t xml:space="preserve">, Schuetz A, Boldt LH, Martens K, Dittmar G, Haverkamp W, Thierfelder L, Heinemann U, Gerull B. Molecular insights into arrhythmogenic right ventricular </w:t>
      </w:r>
      <w:r w:rsidRPr="00B75E15">
        <w:rPr>
          <w:rFonts w:ascii="Book Antiqua" w:eastAsia="Book Antiqua" w:hAnsi="Book Antiqua" w:cs="Book Antiqua"/>
          <w:color w:val="000000"/>
        </w:rPr>
        <w:lastRenderedPageBreak/>
        <w:t xml:space="preserve">cardiomyopathy caused by plakophilin-2 missense mutations.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400-411 [PMID: 22781308 DOI: 10.1161/CIRCGENETICS.111.961854]</w:t>
      </w:r>
    </w:p>
    <w:p w14:paraId="07A792E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56 </w:t>
      </w:r>
      <w:r w:rsidRPr="00B75E15">
        <w:rPr>
          <w:rFonts w:ascii="Book Antiqua" w:eastAsia="Book Antiqua" w:hAnsi="Book Antiqua" w:cs="Book Antiqua"/>
          <w:b/>
          <w:bCs/>
          <w:color w:val="000000"/>
        </w:rPr>
        <w:t>Rasmussen TB</w:t>
      </w:r>
      <w:r w:rsidRPr="00B75E15">
        <w:rPr>
          <w:rFonts w:ascii="Book Antiqua" w:eastAsia="Book Antiqua" w:hAnsi="Book Antiqua" w:cs="Book Antiqua"/>
          <w:color w:val="000000"/>
        </w:rPr>
        <w:t xml:space="preserve">, Nissen PH, Palmfeldt J, Gehmlich K, Dalager S, Jensen UB, Kim WY, Heickendorff L, Mølgaard H, Jensen HK, Baandrup UT, Bross P, Mogensen J. Truncating plakophilin-2 mutations in arrhythmogenic cardiomyopathy are associated with protein haploinsufficiency in both myocardium and epidermis.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230-240 [PMID: 24704780 DOI: 10.1161/CIRCGENETICS.113.000338]</w:t>
      </w:r>
    </w:p>
    <w:p w14:paraId="42BC921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57 </w:t>
      </w:r>
      <w:r w:rsidRPr="00B75E15">
        <w:rPr>
          <w:rFonts w:ascii="Book Antiqua" w:eastAsia="Book Antiqua" w:hAnsi="Book Antiqua" w:cs="Book Antiqua"/>
          <w:b/>
          <w:bCs/>
          <w:color w:val="000000"/>
        </w:rPr>
        <w:t>Corrado D</w:t>
      </w:r>
      <w:r w:rsidRPr="00B75E15">
        <w:rPr>
          <w:rFonts w:ascii="Book Antiqua" w:eastAsia="Book Antiqua" w:hAnsi="Book Antiqua" w:cs="Book Antiqua"/>
          <w:color w:val="000000"/>
        </w:rPr>
        <w:t xml:space="preserve">, Perazzolo Marra M, Zorzi A, Beffagna G, Cipriani A, Lazzari M, Migliore F, Pilichou K, Rampazzo A, Rigato I, Rizzo S, Thiene G, Anastasakis A, Asimaki A, Bucciarelli-Ducci C, Haugaa KH, Marchlinski FE, Mazzanti A, McKenna WJ, Pantazis A, Pelliccia A, Schmied C, Sharma S, Wichter T, Bauce B, Basso C. Diagnosis of arrhythmogenic cardiomyopathy: The Padua criteria. </w:t>
      </w:r>
      <w:r w:rsidRPr="00B75E15">
        <w:rPr>
          <w:rFonts w:ascii="Book Antiqua" w:eastAsia="Book Antiqua" w:hAnsi="Book Antiqua" w:cs="Book Antiqua"/>
          <w:i/>
          <w:iCs/>
          <w:color w:val="000000"/>
        </w:rPr>
        <w:t>Int J Cardiol</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319</w:t>
      </w:r>
      <w:r w:rsidRPr="00B75E15">
        <w:rPr>
          <w:rFonts w:ascii="Book Antiqua" w:eastAsia="Book Antiqua" w:hAnsi="Book Antiqua" w:cs="Book Antiqua"/>
          <w:color w:val="000000"/>
        </w:rPr>
        <w:t>: 106-114 [PMID: 32561223 DOI: 10.1016/j.ijcard.2020.06.005]</w:t>
      </w:r>
    </w:p>
    <w:p w14:paraId="573E8B0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58 </w:t>
      </w:r>
      <w:r w:rsidRPr="00B75E15">
        <w:rPr>
          <w:rFonts w:ascii="Book Antiqua" w:eastAsia="Book Antiqua" w:hAnsi="Book Antiqua" w:cs="Book Antiqua"/>
          <w:b/>
          <w:bCs/>
          <w:color w:val="000000"/>
        </w:rPr>
        <w:t>Burridge PW</w:t>
      </w:r>
      <w:r w:rsidRPr="00B75E15">
        <w:rPr>
          <w:rFonts w:ascii="Book Antiqua" w:eastAsia="Book Antiqua" w:hAnsi="Book Antiqua" w:cs="Book Antiqua"/>
          <w:color w:val="000000"/>
        </w:rPr>
        <w:t xml:space="preserve">, Matsa E, Shukla P, Lin ZC, Churko JM, Ebert AD, Lan F, Diecke S, Huber B, Mordwinkin NM, Plews JR, Abilez OJ, Cui B, Gold JD, Wu JC. Chemically defined generation of human cardiomyocytes. </w:t>
      </w:r>
      <w:r w:rsidRPr="00B75E15">
        <w:rPr>
          <w:rFonts w:ascii="Book Antiqua" w:eastAsia="Book Antiqua" w:hAnsi="Book Antiqua" w:cs="Book Antiqua"/>
          <w:i/>
          <w:iCs/>
          <w:color w:val="000000"/>
        </w:rPr>
        <w:t>Nat Methods</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855-860 [PMID: 24930130 DOI: 10.1038/nmeth.2999]</w:t>
      </w:r>
    </w:p>
    <w:p w14:paraId="156938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59 </w:t>
      </w:r>
      <w:r w:rsidRPr="00B75E15">
        <w:rPr>
          <w:rFonts w:ascii="Book Antiqua" w:eastAsia="Book Antiqua" w:hAnsi="Book Antiqua" w:cs="Book Antiqua"/>
          <w:b/>
          <w:bCs/>
          <w:color w:val="000000"/>
        </w:rPr>
        <w:t>Gintant G</w:t>
      </w:r>
      <w:r w:rsidRPr="00B75E15">
        <w:rPr>
          <w:rFonts w:ascii="Book Antiqua" w:eastAsia="Book Antiqua" w:hAnsi="Book Antiqua" w:cs="Book Antiqua"/>
          <w:color w:val="000000"/>
        </w:rPr>
        <w:t xml:space="preserve">, Burridge P, Gepstein L, Harding S, Herron T, Hong C, Jalife J, Wu JC. Use of Human Induced Pluripotent Stem Cell-Derived Cardiomyocytes in Preclinical Cancer Drug Cardiotoxicity Testing: A Scientific Statement From the American Heart Association.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125</w:t>
      </w:r>
      <w:r w:rsidRPr="00B75E15">
        <w:rPr>
          <w:rFonts w:ascii="Book Antiqua" w:eastAsia="Book Antiqua" w:hAnsi="Book Antiqua" w:cs="Book Antiqua"/>
          <w:color w:val="000000"/>
        </w:rPr>
        <w:t>: e75-e92 [PMID: 31533542 DOI: 10.1161/RES.0000000000000291]</w:t>
      </w:r>
    </w:p>
    <w:p w14:paraId="00B3257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60 </w:t>
      </w:r>
      <w:r w:rsidRPr="00B75E15">
        <w:rPr>
          <w:rFonts w:ascii="Book Antiqua" w:eastAsia="Book Antiqua" w:hAnsi="Book Antiqua" w:cs="Book Antiqua"/>
          <w:b/>
          <w:bCs/>
          <w:color w:val="000000"/>
        </w:rPr>
        <w:t>Pérez-Hernández M</w:t>
      </w:r>
      <w:r w:rsidRPr="00B75E15">
        <w:rPr>
          <w:rFonts w:ascii="Book Antiqua" w:eastAsia="Book Antiqua" w:hAnsi="Book Antiqua" w:cs="Book Antiqua"/>
          <w:color w:val="000000"/>
        </w:rPr>
        <w:t xml:space="preserve">, van Opbergen CJM, Bagwan N, Vissing CR, Marrón-Liñares GM, Zhang M, Torres Vega E, Sorrentino A, Drici L, Sulek K, Zhai R, Hansen FB, Christensen AH, Boesgaard S, Gustafsson F, Rossing K, Small EM, Davies MJ, Rothenberg E, Sato PY, Cerrone M, Jensen THL, Qvortrup K, Bundgaard H, Delmar M, Lundby A. Loss of Nuclear Envelope Integrity and Increased Oxidant Production Cause DNA Damage in Adult Hearts Deficient in PKP2: A Molecular Substrate of ARVC.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146</w:t>
      </w:r>
      <w:r w:rsidRPr="00B75E15">
        <w:rPr>
          <w:rFonts w:ascii="Book Antiqua" w:eastAsia="Book Antiqua" w:hAnsi="Book Antiqua" w:cs="Book Antiqua"/>
          <w:color w:val="000000"/>
        </w:rPr>
        <w:t>: 851-867 [PMID: 35959657 DOI: 10.1161/CIRCULATIONAHA.122.060454]</w:t>
      </w:r>
    </w:p>
    <w:p w14:paraId="73B05E6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61 </w:t>
      </w:r>
      <w:r w:rsidRPr="00B75E15">
        <w:rPr>
          <w:rFonts w:ascii="Book Antiqua" w:eastAsia="Book Antiqua" w:hAnsi="Book Antiqua" w:cs="Book Antiqua"/>
          <w:b/>
          <w:bCs/>
          <w:color w:val="000000"/>
        </w:rPr>
        <w:t>Stroud MJ</w:t>
      </w:r>
      <w:r w:rsidRPr="00B75E15">
        <w:rPr>
          <w:rFonts w:ascii="Book Antiqua" w:eastAsia="Book Antiqua" w:hAnsi="Book Antiqua" w:cs="Book Antiqua"/>
          <w:color w:val="000000"/>
        </w:rPr>
        <w:t xml:space="preserve">. Linker of nucleoskeleton and cytoskeleton complex proteins in cardiomyopathy. </w:t>
      </w:r>
      <w:r w:rsidRPr="00B75E15">
        <w:rPr>
          <w:rFonts w:ascii="Book Antiqua" w:eastAsia="Book Antiqua" w:hAnsi="Book Antiqua" w:cs="Book Antiqua"/>
          <w:i/>
          <w:iCs/>
          <w:color w:val="000000"/>
        </w:rPr>
        <w:t>Biophys Rev</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10</w:t>
      </w:r>
      <w:r w:rsidRPr="00B75E15">
        <w:rPr>
          <w:rFonts w:ascii="Book Antiqua" w:eastAsia="Book Antiqua" w:hAnsi="Book Antiqua" w:cs="Book Antiqua"/>
          <w:color w:val="000000"/>
        </w:rPr>
        <w:t>: 1033-1051 [PMID: 29869195 DOI: 10.1007/s12551-018-0431-6]</w:t>
      </w:r>
    </w:p>
    <w:p w14:paraId="5021928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62 </w:t>
      </w:r>
      <w:r w:rsidRPr="00B75E15">
        <w:rPr>
          <w:rFonts w:ascii="Book Antiqua" w:eastAsia="Book Antiqua" w:hAnsi="Book Antiqua" w:cs="Book Antiqua"/>
          <w:b/>
          <w:bCs/>
          <w:color w:val="000000"/>
        </w:rPr>
        <w:t>Ishizu T</w:t>
      </w:r>
      <w:r w:rsidRPr="00B75E15">
        <w:rPr>
          <w:rFonts w:ascii="Book Antiqua" w:eastAsia="Book Antiqua" w:hAnsi="Book Antiqua" w:cs="Book Antiqua"/>
          <w:color w:val="000000"/>
        </w:rPr>
        <w:t xml:space="preserve">, Higo S, Masumura Y, Kohama Y, Shiba M, Higo T, Shibamoto M, Nakagawa A, Morimoto S, Takashima S, Hikoso S, Sakata Y. Targeted Genome Replacement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Homology-directed Repair in Non-dividing Cardiomyocytes.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9363 [PMID: 28839205 DOI: 10.1038/s41598-017-09716-x]</w:t>
      </w:r>
    </w:p>
    <w:p w14:paraId="32FED14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63 </w:t>
      </w:r>
      <w:r w:rsidRPr="00B75E15">
        <w:rPr>
          <w:rFonts w:ascii="Book Antiqua" w:eastAsia="Book Antiqua" w:hAnsi="Book Antiqua" w:cs="Book Antiqua"/>
          <w:b/>
          <w:bCs/>
          <w:color w:val="000000"/>
        </w:rPr>
        <w:t>Kohama Y</w:t>
      </w:r>
      <w:r w:rsidRPr="00B75E15">
        <w:rPr>
          <w:rFonts w:ascii="Book Antiqua" w:eastAsia="Book Antiqua" w:hAnsi="Book Antiqua" w:cs="Book Antiqua"/>
          <w:color w:val="000000"/>
        </w:rPr>
        <w:t xml:space="preserve">, Higo S, Masumura Y, Shiba M, Kondo T, Ishizu T, Higo T, Nakamura S, Kameda S, Tabata T, Inoue H, Motooka D, Okuzaki D, Takashima S, Miyagawa S, Sawa Y, Hikoso S, Sakata Y. Adeno-associated virus-mediated gene delivery promotes S-phase entry-independent precise targeted integration in cardiomyocytes.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10</w:t>
      </w:r>
      <w:r w:rsidRPr="00B75E15">
        <w:rPr>
          <w:rFonts w:ascii="Book Antiqua" w:eastAsia="Book Antiqua" w:hAnsi="Book Antiqua" w:cs="Book Antiqua"/>
          <w:color w:val="000000"/>
        </w:rPr>
        <w:t>: 15348 [PMID: 32948788 DOI: 10.1038/s41598-020-72216-y]</w:t>
      </w:r>
    </w:p>
    <w:p w14:paraId="74AE9BC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64 </w:t>
      </w:r>
      <w:r w:rsidRPr="00B75E15">
        <w:rPr>
          <w:rFonts w:ascii="Book Antiqua" w:eastAsia="Book Antiqua" w:hAnsi="Book Antiqua" w:cs="Book Antiqua"/>
          <w:b/>
          <w:bCs/>
          <w:color w:val="000000"/>
        </w:rPr>
        <w:t>Tilemann L</w:t>
      </w:r>
      <w:r w:rsidRPr="00B75E15">
        <w:rPr>
          <w:rFonts w:ascii="Book Antiqua" w:eastAsia="Book Antiqua" w:hAnsi="Book Antiqua" w:cs="Book Antiqua"/>
          <w:color w:val="000000"/>
        </w:rPr>
        <w:t xml:space="preserve">, Ishikawa K, Weber T, Hajjar RJ. Gene therapy for heart failure.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110</w:t>
      </w:r>
      <w:r w:rsidRPr="00B75E15">
        <w:rPr>
          <w:rFonts w:ascii="Book Antiqua" w:eastAsia="Book Antiqua" w:hAnsi="Book Antiqua" w:cs="Book Antiqua"/>
          <w:color w:val="000000"/>
        </w:rPr>
        <w:t>: 777-793 [PMID: 22383712 DOI: 10.1161/CIRCRESAHA.111.252981]</w:t>
      </w:r>
    </w:p>
    <w:p w14:paraId="699A1F9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65 </w:t>
      </w:r>
      <w:r w:rsidRPr="00B75E15">
        <w:rPr>
          <w:rFonts w:ascii="Book Antiqua" w:eastAsia="Book Antiqua" w:hAnsi="Book Antiqua" w:cs="Book Antiqua"/>
          <w:b/>
          <w:bCs/>
          <w:color w:val="000000"/>
        </w:rPr>
        <w:t>Ishikawa K</w:t>
      </w:r>
      <w:r w:rsidRPr="00B75E15">
        <w:rPr>
          <w:rFonts w:ascii="Book Antiqua" w:eastAsia="Book Antiqua" w:hAnsi="Book Antiqua" w:cs="Book Antiqua"/>
          <w:color w:val="000000"/>
        </w:rPr>
        <w:t xml:space="preserve">, Weber T, Hajjar RJ. Human Cardiac Gene Therapy.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123</w:t>
      </w:r>
      <w:r w:rsidRPr="00B75E15">
        <w:rPr>
          <w:rFonts w:ascii="Book Antiqua" w:eastAsia="Book Antiqua" w:hAnsi="Book Antiqua" w:cs="Book Antiqua"/>
          <w:color w:val="000000"/>
        </w:rPr>
        <w:t>: 601-613 [PMID: 30355138 DOI: 10.1161/CIRCRESAHA.118.311587]</w:t>
      </w:r>
    </w:p>
    <w:p w14:paraId="58BAD40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66 </w:t>
      </w:r>
      <w:r w:rsidRPr="00B75E15">
        <w:rPr>
          <w:rFonts w:ascii="Book Antiqua" w:eastAsia="Book Antiqua" w:hAnsi="Book Antiqua" w:cs="Book Antiqua"/>
          <w:b/>
          <w:bCs/>
          <w:color w:val="000000"/>
        </w:rPr>
        <w:t>Chamberlain K</w:t>
      </w:r>
      <w:r w:rsidRPr="00B75E15">
        <w:rPr>
          <w:rFonts w:ascii="Book Antiqua" w:eastAsia="Book Antiqua" w:hAnsi="Book Antiqua" w:cs="Book Antiqua"/>
          <w:color w:val="000000"/>
        </w:rPr>
        <w:t xml:space="preserve">, Riyad JM, Weber T. Cardiac gene therapy with adeno-associated virus-based vectors. </w:t>
      </w:r>
      <w:r w:rsidRPr="00B75E15">
        <w:rPr>
          <w:rFonts w:ascii="Book Antiqua" w:eastAsia="Book Antiqua" w:hAnsi="Book Antiqua" w:cs="Book Antiqua"/>
          <w:i/>
          <w:iCs/>
          <w:color w:val="000000"/>
        </w:rPr>
        <w:t>Curr Opin Cardiol</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32</w:t>
      </w:r>
      <w:r w:rsidRPr="00B75E15">
        <w:rPr>
          <w:rFonts w:ascii="Book Antiqua" w:eastAsia="Book Antiqua" w:hAnsi="Book Antiqua" w:cs="Book Antiqua"/>
          <w:color w:val="000000"/>
        </w:rPr>
        <w:t>: 275-282 [PMID: 28169951 DOI: 10.1097/HCO.0000000000000386]</w:t>
      </w:r>
    </w:p>
    <w:p w14:paraId="1264C0C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67 </w:t>
      </w:r>
      <w:r w:rsidRPr="00B75E15">
        <w:rPr>
          <w:rFonts w:ascii="Book Antiqua" w:eastAsia="Book Antiqua" w:hAnsi="Book Antiqua" w:cs="Book Antiqua"/>
          <w:b/>
          <w:bCs/>
          <w:color w:val="000000"/>
        </w:rPr>
        <w:t>Greenberg B</w:t>
      </w:r>
      <w:r w:rsidRPr="00B75E15">
        <w:rPr>
          <w:rFonts w:ascii="Book Antiqua" w:eastAsia="Book Antiqua" w:hAnsi="Book Antiqua" w:cs="Book Antiqua"/>
          <w:color w:val="000000"/>
        </w:rPr>
        <w:t xml:space="preserve">, Yaroshinsky A, Zsebo KM, Butler J, Felker GM, Voors AA, Rudy JJ, Wagner K, Hajjar RJ. Design of a phase 2b trial of intracoronary administration of AAV1/SERCA2a in patients with advanced heart failure: the CUPID 2 trial (calcium up-regulation by percutaneous administration of gene therapy in cardiac disease phase 2b). </w:t>
      </w:r>
      <w:r w:rsidRPr="00B75E15">
        <w:rPr>
          <w:rFonts w:ascii="Book Antiqua" w:eastAsia="Book Antiqua" w:hAnsi="Book Antiqua" w:cs="Book Antiqua"/>
          <w:i/>
          <w:iCs/>
          <w:color w:val="000000"/>
        </w:rPr>
        <w:t>JACC Heart Fail</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2</w:t>
      </w:r>
      <w:r w:rsidRPr="00B75E15">
        <w:rPr>
          <w:rFonts w:ascii="Book Antiqua" w:eastAsia="Book Antiqua" w:hAnsi="Book Antiqua" w:cs="Book Antiqua"/>
          <w:color w:val="000000"/>
        </w:rPr>
        <w:t>: 84-92 [PMID: 24622121 DOI: 10.1016/j.jchf.2013.09.008]</w:t>
      </w:r>
    </w:p>
    <w:p w14:paraId="3E452B0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68 </w:t>
      </w:r>
      <w:r w:rsidRPr="00B75E15">
        <w:rPr>
          <w:rFonts w:ascii="Book Antiqua" w:eastAsia="Book Antiqua" w:hAnsi="Book Antiqua" w:cs="Book Antiqua"/>
          <w:b/>
          <w:bCs/>
          <w:color w:val="000000"/>
        </w:rPr>
        <w:t>Hasenfuss G</w:t>
      </w:r>
      <w:r w:rsidRPr="00B75E15">
        <w:rPr>
          <w:rFonts w:ascii="Book Antiqua" w:eastAsia="Book Antiqua" w:hAnsi="Book Antiqua" w:cs="Book Antiqua"/>
          <w:color w:val="000000"/>
        </w:rPr>
        <w:t xml:space="preserve">, Pieske B. Calcium cycling in congestive heart failure. </w:t>
      </w:r>
      <w:r w:rsidRPr="00B75E15">
        <w:rPr>
          <w:rFonts w:ascii="Book Antiqua" w:eastAsia="Book Antiqua" w:hAnsi="Book Antiqua" w:cs="Book Antiqua"/>
          <w:i/>
          <w:iCs/>
          <w:color w:val="000000"/>
        </w:rPr>
        <w:t>J Mol Cell Cardiol</w:t>
      </w:r>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34</w:t>
      </w:r>
      <w:r w:rsidRPr="00B75E15">
        <w:rPr>
          <w:rFonts w:ascii="Book Antiqua" w:eastAsia="Book Antiqua" w:hAnsi="Book Antiqua" w:cs="Book Antiqua"/>
          <w:color w:val="000000"/>
        </w:rPr>
        <w:t>: 951-969 [PMID: 12234765 DOI: 10.1006/jmcc.2002.2037]</w:t>
      </w:r>
    </w:p>
    <w:p w14:paraId="7E915C7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69 </w:t>
      </w:r>
      <w:r w:rsidRPr="00B75E15">
        <w:rPr>
          <w:rFonts w:ascii="Book Antiqua" w:eastAsia="Book Antiqua" w:hAnsi="Book Antiqua" w:cs="Book Antiqua"/>
          <w:b/>
          <w:bCs/>
          <w:color w:val="000000"/>
        </w:rPr>
        <w:t>Kho C</w:t>
      </w:r>
      <w:r w:rsidRPr="00B75E15">
        <w:rPr>
          <w:rFonts w:ascii="Book Antiqua" w:eastAsia="Book Antiqua" w:hAnsi="Book Antiqua" w:cs="Book Antiqua"/>
          <w:color w:val="000000"/>
        </w:rPr>
        <w:t xml:space="preserve">, Lee A, Hajjar RJ. Altered sarcoplasmic reticulum calcium cycling--targets for heart failure therapy. </w:t>
      </w:r>
      <w:r w:rsidRPr="00B75E15">
        <w:rPr>
          <w:rFonts w:ascii="Book Antiqua" w:eastAsia="Book Antiqua" w:hAnsi="Book Antiqua" w:cs="Book Antiqua"/>
          <w:i/>
          <w:iCs/>
          <w:color w:val="000000"/>
        </w:rPr>
        <w:t>Nat Rev Cardiol</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717-733 [PMID: 23090087 DOI: 10.1038/nrcardio.2012.145]</w:t>
      </w:r>
    </w:p>
    <w:p w14:paraId="29967E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70 </w:t>
      </w:r>
      <w:r w:rsidRPr="00B75E15">
        <w:rPr>
          <w:rFonts w:ascii="Book Antiqua" w:eastAsia="Book Antiqua" w:hAnsi="Book Antiqua" w:cs="Book Antiqua"/>
          <w:b/>
          <w:bCs/>
          <w:color w:val="000000"/>
        </w:rPr>
        <w:t>Eisner D</w:t>
      </w:r>
      <w:r w:rsidRPr="00B75E15">
        <w:rPr>
          <w:rFonts w:ascii="Book Antiqua" w:eastAsia="Book Antiqua" w:hAnsi="Book Antiqua" w:cs="Book Antiqua"/>
          <w:color w:val="000000"/>
        </w:rPr>
        <w:t xml:space="preserve">, Caldwell J, Trafford A. Sarcoplasmic reticulum Ca-ATPase and heart failure 20 years later.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113</w:t>
      </w:r>
      <w:r w:rsidRPr="00B75E15">
        <w:rPr>
          <w:rFonts w:ascii="Book Antiqua" w:eastAsia="Book Antiqua" w:hAnsi="Book Antiqua" w:cs="Book Antiqua"/>
          <w:color w:val="000000"/>
        </w:rPr>
        <w:t>: 958-961 [PMID: 24071456 DOI: 10.1161/CIRCRESAHA.113.302187]</w:t>
      </w:r>
    </w:p>
    <w:p w14:paraId="0D922CF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71 </w:t>
      </w:r>
      <w:r w:rsidRPr="00B75E15">
        <w:rPr>
          <w:rFonts w:ascii="Book Antiqua" w:eastAsia="Book Antiqua" w:hAnsi="Book Antiqua" w:cs="Book Antiqua"/>
          <w:b/>
          <w:bCs/>
          <w:color w:val="000000"/>
        </w:rPr>
        <w:t>del Monte F</w:t>
      </w:r>
      <w:r w:rsidRPr="00B75E15">
        <w:rPr>
          <w:rFonts w:ascii="Book Antiqua" w:eastAsia="Book Antiqua" w:hAnsi="Book Antiqua" w:cs="Book Antiqua"/>
          <w:color w:val="000000"/>
        </w:rPr>
        <w:t xml:space="preserve">, Williams E, Lebeche D, Schmidt U, Rosenzweig A, Gwathmey JK, Lewandowski ED, Hajjar RJ. Improvement in survival and cardiac metabolism after gene transfer of sarcoplasmic reticulum Ca(2+)-ATPase in a rat model of heart failure.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2001; </w:t>
      </w:r>
      <w:r w:rsidRPr="00B75E15">
        <w:rPr>
          <w:rFonts w:ascii="Book Antiqua" w:eastAsia="Book Antiqua" w:hAnsi="Book Antiqua" w:cs="Book Antiqua"/>
          <w:b/>
          <w:bCs/>
          <w:color w:val="000000"/>
        </w:rPr>
        <w:t>104</w:t>
      </w:r>
      <w:r w:rsidRPr="00B75E15">
        <w:rPr>
          <w:rFonts w:ascii="Book Antiqua" w:eastAsia="Book Antiqua" w:hAnsi="Book Antiqua" w:cs="Book Antiqua"/>
          <w:color w:val="000000"/>
        </w:rPr>
        <w:t>: 1424-1429 [PMID: 11560860 DOI: 10.1161/hc3601.095574]</w:t>
      </w:r>
    </w:p>
    <w:p w14:paraId="3BD4BC8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72 </w:t>
      </w:r>
      <w:r w:rsidRPr="00B75E15">
        <w:rPr>
          <w:rFonts w:ascii="Book Antiqua" w:eastAsia="Book Antiqua" w:hAnsi="Book Antiqua" w:cs="Book Antiqua"/>
          <w:b/>
          <w:bCs/>
          <w:color w:val="000000"/>
        </w:rPr>
        <w:t>Jessup M</w:t>
      </w:r>
      <w:r w:rsidRPr="00B75E15">
        <w:rPr>
          <w:rFonts w:ascii="Book Antiqua" w:eastAsia="Book Antiqua" w:hAnsi="Book Antiqua" w:cs="Book Antiqua"/>
          <w:color w:val="000000"/>
        </w:rPr>
        <w:t xml:space="preserve">, Greenberg B, Mancini D, Cappola T, Pauly DF, Jaski B, Yaroshinsky A, Zsebo KM, Dittrich H, Hajjar RJ; Calcium Upregulation by Percutaneous Administration of Gene Therapy in Cardiac Disease (CUPID) Investigators. Calcium Upregulation by Percutaneous Administration of Gene Therapy in Cardiac Disease (CUPID): a phase 2 trial of intracoronary gene therapy of sarcoplasmic reticulum Ca2+-ATPase in patients with advanced heart failure.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124</w:t>
      </w:r>
      <w:r w:rsidRPr="00B75E15">
        <w:rPr>
          <w:rFonts w:ascii="Book Antiqua" w:eastAsia="Book Antiqua" w:hAnsi="Book Antiqua" w:cs="Book Antiqua"/>
          <w:color w:val="000000"/>
        </w:rPr>
        <w:t>: 304-313 [PMID: 21709064 DOI: 10.1161/CIRCULATIONAHA.111.022889]</w:t>
      </w:r>
    </w:p>
    <w:p w14:paraId="6B515F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73 </w:t>
      </w:r>
      <w:r w:rsidRPr="00B75E15">
        <w:rPr>
          <w:rFonts w:ascii="Book Antiqua" w:eastAsia="Book Antiqua" w:hAnsi="Book Antiqua" w:cs="Book Antiqua"/>
          <w:b/>
          <w:bCs/>
          <w:color w:val="000000"/>
        </w:rPr>
        <w:t>Cutler MJ</w:t>
      </w:r>
      <w:r w:rsidRPr="00B75E15">
        <w:rPr>
          <w:rFonts w:ascii="Book Antiqua" w:eastAsia="Book Antiqua" w:hAnsi="Book Antiqua" w:cs="Book Antiqua"/>
          <w:color w:val="000000"/>
        </w:rPr>
        <w:t xml:space="preserve">, Wan X, Plummer BN, Liu H, Deschenes I, Laurita KR, Hajjar RJ, Rosenbaum DS. Targeted sarcoplasmic reticulum Ca2+ ATPase 2a gene delivery to restore electrical stability in the failing heart.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126</w:t>
      </w:r>
      <w:r w:rsidRPr="00B75E15">
        <w:rPr>
          <w:rFonts w:ascii="Book Antiqua" w:eastAsia="Book Antiqua" w:hAnsi="Book Antiqua" w:cs="Book Antiqua"/>
          <w:color w:val="000000"/>
        </w:rPr>
        <w:t>: 2095-2104 [PMID: 23019291 DOI: 10.1161/CIRCULATIONAHA.111.071480]</w:t>
      </w:r>
    </w:p>
    <w:p w14:paraId="2BDC1154" w14:textId="3B4BA792" w:rsidR="00A77B3E" w:rsidRPr="00B75E15" w:rsidRDefault="00000000" w:rsidP="00B75E15">
      <w:pPr>
        <w:spacing w:line="360" w:lineRule="auto"/>
        <w:jc w:val="both"/>
        <w:rPr>
          <w:rFonts w:ascii="Book Antiqua" w:eastAsia="Book Antiqua" w:hAnsi="Book Antiqua" w:cs="Book Antiqua"/>
          <w:color w:val="000000"/>
        </w:rPr>
      </w:pPr>
      <w:r w:rsidRPr="00B75E15">
        <w:rPr>
          <w:rFonts w:ascii="Book Antiqua" w:eastAsia="Book Antiqua" w:hAnsi="Book Antiqua" w:cs="Book Antiqua"/>
          <w:color w:val="000000"/>
        </w:rPr>
        <w:t xml:space="preserve">74 </w:t>
      </w:r>
      <w:r w:rsidRPr="00B75E15">
        <w:rPr>
          <w:rFonts w:ascii="Book Antiqua" w:eastAsia="Book Antiqua" w:hAnsi="Book Antiqua" w:cs="Book Antiqua"/>
          <w:b/>
          <w:bCs/>
          <w:color w:val="000000"/>
        </w:rPr>
        <w:t>Greenberg B</w:t>
      </w:r>
      <w:r w:rsidRPr="00B75E15">
        <w:rPr>
          <w:rFonts w:ascii="Book Antiqua" w:eastAsia="Book Antiqua" w:hAnsi="Book Antiqua" w:cs="Book Antiqua"/>
          <w:color w:val="000000"/>
        </w:rPr>
        <w:t xml:space="preserve">, Butler J, Felker GM, Ponikowski P, Voors AA, Desai AS, Barnard D, Bouchard A, Jaski B, Lyon AR, Pogoda JM, Rudy JJ, Zsebo KM. Calcium upregulation by percutaneous administration of gene therapy in patients with cardiac disease (CUPID 2): a randomised, multinational, double-blind, placebo-controlled, phase 2b trial. </w:t>
      </w:r>
      <w:r w:rsidRPr="00B75E15">
        <w:rPr>
          <w:rFonts w:ascii="Book Antiqua" w:eastAsia="Book Antiqua" w:hAnsi="Book Antiqua" w:cs="Book Antiqua"/>
          <w:i/>
          <w:iCs/>
          <w:color w:val="000000"/>
        </w:rPr>
        <w:t>Lancet</w:t>
      </w:r>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387</w:t>
      </w:r>
      <w:r w:rsidRPr="00B75E15">
        <w:rPr>
          <w:rFonts w:ascii="Book Antiqua" w:eastAsia="Book Antiqua" w:hAnsi="Book Antiqua" w:cs="Book Antiqua"/>
          <w:color w:val="000000"/>
        </w:rPr>
        <w:t>: 1178-1186 [PMID: 26803443 DOI: 10.1016/S0140-6736(16)00082-9]</w:t>
      </w:r>
    </w:p>
    <w:p w14:paraId="60686979" w14:textId="17EDF619" w:rsidR="007620E8" w:rsidRPr="00B75E15" w:rsidRDefault="007620E8" w:rsidP="00B75E15">
      <w:pPr>
        <w:spacing w:line="360" w:lineRule="auto"/>
        <w:jc w:val="both"/>
        <w:rPr>
          <w:rFonts w:ascii="Book Antiqua" w:hAnsi="Book Antiqua"/>
        </w:rPr>
      </w:pPr>
      <w:r w:rsidRPr="00B75E15">
        <w:rPr>
          <w:rFonts w:ascii="Book Antiqua" w:eastAsia="Book Antiqua" w:hAnsi="Book Antiqua" w:cs="Book Antiqua"/>
          <w:color w:val="000000"/>
        </w:rPr>
        <w:t xml:space="preserve">75 </w:t>
      </w:r>
      <w:r w:rsidRPr="00B75E15">
        <w:rPr>
          <w:rFonts w:ascii="Book Antiqua" w:eastAsia="Book Antiqua" w:hAnsi="Book Antiqua" w:cs="Book Antiqua"/>
          <w:b/>
          <w:bCs/>
          <w:color w:val="000000"/>
        </w:rPr>
        <w:t>Hulot JS</w:t>
      </w:r>
      <w:r w:rsidRPr="00B75E15">
        <w:rPr>
          <w:rFonts w:ascii="Book Antiqua" w:eastAsia="Book Antiqua" w:hAnsi="Book Antiqua" w:cs="Book Antiqua"/>
          <w:color w:val="000000"/>
        </w:rPr>
        <w:t xml:space="preserve">, Salem JE, Redheuil A, Collet JP, Varnous S, Jourdain P, Logeart D, Gandjbakhch E, Bernard C, Hatem SN, Isnard R, Cluzel P, Le Feuvre C, Leprince P, Hammoudi N, Lemoine FM, Klatzmann D, Vicaut E, Komajda M, Montalescot G, Lompré AM, Hajjar RJ; AGENT-HF Investigators. Effect of intracoronary administration of AAV1/SERCA2a on ventricular remodelling in patients with advanced systolic heart failure: results from the AGENT-HF randomized phase 2 trial. </w:t>
      </w:r>
      <w:r w:rsidRPr="00B75E15">
        <w:rPr>
          <w:rFonts w:ascii="Book Antiqua" w:eastAsia="Book Antiqua" w:hAnsi="Book Antiqua" w:cs="Book Antiqua"/>
          <w:i/>
          <w:iCs/>
          <w:color w:val="000000"/>
        </w:rPr>
        <w:t>Eur J Heart Fail</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19</w:t>
      </w:r>
      <w:r w:rsidRPr="00B75E15">
        <w:rPr>
          <w:rFonts w:ascii="Book Antiqua" w:eastAsia="Book Antiqua" w:hAnsi="Book Antiqua" w:cs="Book Antiqua"/>
          <w:color w:val="000000"/>
        </w:rPr>
        <w:t>: 1534-1541 [PMID: 28393439 DOI: 10.1002/ejhf.826]</w:t>
      </w:r>
    </w:p>
    <w:p w14:paraId="4D2CAD5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76 </w:t>
      </w:r>
      <w:r w:rsidRPr="00B75E15">
        <w:rPr>
          <w:rFonts w:ascii="Book Antiqua" w:eastAsia="Book Antiqua" w:hAnsi="Book Antiqua" w:cs="Book Antiqua"/>
          <w:b/>
          <w:bCs/>
          <w:color w:val="000000"/>
        </w:rPr>
        <w:t>Lyon AR</w:t>
      </w:r>
      <w:r w:rsidRPr="00B75E15">
        <w:rPr>
          <w:rFonts w:ascii="Book Antiqua" w:eastAsia="Book Antiqua" w:hAnsi="Book Antiqua" w:cs="Book Antiqua"/>
          <w:color w:val="000000"/>
        </w:rPr>
        <w:t xml:space="preserve">, Babalis D, Morley-Smith AC, Hedger M, Suarez Barrientos A, Foldes G, Couch LS, Chowdhury RA, Tzortzis KN, Peters NS, Rog-Zielinska EA, Yang HY, Welch S, Bowles CT, Rahman Haley S, Bell AR, Rice A, Sasikaran T, Johnson NA, Falaschetti E, Parameshwar J, Lewis C, Tsui S, Simon A, Pepper J, Rudy JJ, Zsebo KM, Macleod KT, Terracciano CM, Hajjar RJ, Banner N, Harding SE. Investigation of the safety and feasibility of AAV1/SERCA2a gene transfer in patients with chronic heart failure supported with a left ventricular assist device - the SERCA-LVAD TRIAL. </w:t>
      </w:r>
      <w:r w:rsidRPr="00B75E15">
        <w:rPr>
          <w:rFonts w:ascii="Book Antiqua" w:eastAsia="Book Antiqua" w:hAnsi="Book Antiqua" w:cs="Book Antiqua"/>
          <w:i/>
          <w:iCs/>
          <w:color w:val="000000"/>
        </w:rPr>
        <w:t>Gene Ther</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27</w:t>
      </w:r>
      <w:r w:rsidRPr="00B75E15">
        <w:rPr>
          <w:rFonts w:ascii="Book Antiqua" w:eastAsia="Book Antiqua" w:hAnsi="Book Antiqua" w:cs="Book Antiqua"/>
          <w:color w:val="000000"/>
        </w:rPr>
        <w:t>: 579-590 [PMID: 32669717 DOI: 10.1038/s41434-020-0171-7]</w:t>
      </w:r>
    </w:p>
    <w:p w14:paraId="4602108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77 </w:t>
      </w:r>
      <w:r w:rsidRPr="00B75E15">
        <w:rPr>
          <w:rFonts w:ascii="Book Antiqua" w:eastAsia="Book Antiqua" w:hAnsi="Book Antiqua" w:cs="Book Antiqua"/>
          <w:b/>
          <w:bCs/>
          <w:color w:val="000000"/>
        </w:rPr>
        <w:t>Repetti GG</w:t>
      </w:r>
      <w:r w:rsidRPr="00B75E15">
        <w:rPr>
          <w:rFonts w:ascii="Book Antiqua" w:eastAsia="Book Antiqua" w:hAnsi="Book Antiqua" w:cs="Book Antiqua"/>
          <w:color w:val="000000"/>
        </w:rPr>
        <w:t xml:space="preserve">, Toepfer CN, Seidman JG, Seidman CE. Novel Therapies for Prevention and Early Treatment of Cardiomyopathies.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124</w:t>
      </w:r>
      <w:r w:rsidRPr="00B75E15">
        <w:rPr>
          <w:rFonts w:ascii="Book Antiqua" w:eastAsia="Book Antiqua" w:hAnsi="Book Antiqua" w:cs="Book Antiqua"/>
          <w:color w:val="000000"/>
        </w:rPr>
        <w:t>: 1536-1550 [PMID: 31120825 DOI: 10.1161/CIRCRESAHA.119.313569]</w:t>
      </w:r>
    </w:p>
    <w:p w14:paraId="58421B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78 </w:t>
      </w:r>
      <w:r w:rsidRPr="00B75E15">
        <w:rPr>
          <w:rFonts w:ascii="Book Antiqua" w:eastAsia="Book Antiqua" w:hAnsi="Book Antiqua" w:cs="Book Antiqua"/>
          <w:b/>
          <w:bCs/>
          <w:color w:val="000000"/>
        </w:rPr>
        <w:t>Hakui H</w:t>
      </w:r>
      <w:r w:rsidRPr="00B75E15">
        <w:rPr>
          <w:rFonts w:ascii="Book Antiqua" w:eastAsia="Book Antiqua" w:hAnsi="Book Antiqua" w:cs="Book Antiqua"/>
          <w:color w:val="000000"/>
        </w:rPr>
        <w:t xml:space="preserve">, Kioka H, Miyashita Y, Nishimura S, Matsuoka K, Kato H, Tsukamoto O, Kuramoto Y, Takuwa A, Takahashi Y, Saito S, Ohta K, Asanuma H, Fu HY, Shinomiya H, Yamada N, Ohtani T, Sawa Y, Kitakaze M, Takashima S, Sakata Y, Asano Y. Loss-of-function mutations in the co-chaperone protein BAG5 cause dilated cardiomyopathy requiring heart transplantation. </w:t>
      </w:r>
      <w:r w:rsidRPr="00B75E15">
        <w:rPr>
          <w:rFonts w:ascii="Book Antiqua" w:eastAsia="Book Antiqua" w:hAnsi="Book Antiqua" w:cs="Book Antiqua"/>
          <w:i/>
          <w:iCs/>
          <w:color w:val="000000"/>
        </w:rPr>
        <w:t>Sci Transl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14</w:t>
      </w:r>
      <w:r w:rsidRPr="00B75E15">
        <w:rPr>
          <w:rFonts w:ascii="Book Antiqua" w:eastAsia="Book Antiqua" w:hAnsi="Book Antiqua" w:cs="Book Antiqua"/>
          <w:color w:val="000000"/>
        </w:rPr>
        <w:t>: eabf3274 [PMID: 35044787 DOI: 10.1126/scitranslmed.abf3274]</w:t>
      </w:r>
    </w:p>
    <w:p w14:paraId="7B2FCB3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79 </w:t>
      </w:r>
      <w:r w:rsidRPr="00B75E15">
        <w:rPr>
          <w:rFonts w:ascii="Book Antiqua" w:eastAsia="Book Antiqua" w:hAnsi="Book Antiqua" w:cs="Book Antiqua"/>
          <w:b/>
          <w:bCs/>
          <w:color w:val="000000"/>
        </w:rPr>
        <w:t>Calkins H</w:t>
      </w:r>
      <w:r w:rsidRPr="00B75E15">
        <w:rPr>
          <w:rFonts w:ascii="Book Antiqua" w:eastAsia="Book Antiqua" w:hAnsi="Book Antiqua" w:cs="Book Antiqua"/>
          <w:color w:val="000000"/>
        </w:rPr>
        <w:t xml:space="preserve">, Corrado D, Marcus F. Risk Stratification in Arrhythmogenic Right Ventricular Cardiomyopathy.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136</w:t>
      </w:r>
      <w:r w:rsidRPr="00B75E15">
        <w:rPr>
          <w:rFonts w:ascii="Book Antiqua" w:eastAsia="Book Antiqua" w:hAnsi="Book Antiqua" w:cs="Book Antiqua"/>
          <w:color w:val="000000"/>
        </w:rPr>
        <w:t>: 2068-2082 [PMID: 29158215 DOI: 10.1161/CIRCULATIONAHA.117.030792]</w:t>
      </w:r>
    </w:p>
    <w:p w14:paraId="739348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80 </w:t>
      </w:r>
      <w:r w:rsidRPr="00B75E15">
        <w:rPr>
          <w:rFonts w:ascii="Book Antiqua" w:eastAsia="Book Antiqua" w:hAnsi="Book Antiqua" w:cs="Book Antiqua"/>
          <w:b/>
          <w:bCs/>
          <w:color w:val="000000"/>
        </w:rPr>
        <w:t>van Tintelen JP</w:t>
      </w:r>
      <w:r w:rsidRPr="00B75E15">
        <w:rPr>
          <w:rFonts w:ascii="Book Antiqua" w:eastAsia="Book Antiqua" w:hAnsi="Book Antiqua" w:cs="Book Antiqua"/>
          <w:color w:val="000000"/>
        </w:rPr>
        <w:t xml:space="preserve">, Entius MM, Bhuiyan ZA, Jongbloed R, Wiesfeld AC, Wilde AA, van der Smagt J, Boven LG, Mannens MM, van Langen IM, Hofstra RM, Otterspoor LC, Doevendans PA, Rodriguez LM, van Gelder IC, Hauer RN. Plakophilin-2 mutations are the major determinant of familial arrhythmogenic right ventricular dysplasia/cardiomyopathy.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2006; </w:t>
      </w:r>
      <w:r w:rsidRPr="00B75E15">
        <w:rPr>
          <w:rFonts w:ascii="Book Antiqua" w:eastAsia="Book Antiqua" w:hAnsi="Book Antiqua" w:cs="Book Antiqua"/>
          <w:b/>
          <w:bCs/>
          <w:color w:val="000000"/>
        </w:rPr>
        <w:t>113</w:t>
      </w:r>
      <w:r w:rsidRPr="00B75E15">
        <w:rPr>
          <w:rFonts w:ascii="Book Antiqua" w:eastAsia="Book Antiqua" w:hAnsi="Book Antiqua" w:cs="Book Antiqua"/>
          <w:color w:val="000000"/>
        </w:rPr>
        <w:t>: 1650-1658 [PMID: 16567567 DOI: 10.1161/CIRCULATIONAHA.105.609719]</w:t>
      </w:r>
    </w:p>
    <w:p w14:paraId="74581D7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81 </w:t>
      </w:r>
      <w:r w:rsidRPr="00B75E15">
        <w:rPr>
          <w:rFonts w:ascii="Book Antiqua" w:eastAsia="Book Antiqua" w:hAnsi="Book Antiqua" w:cs="Book Antiqua"/>
          <w:b/>
          <w:bCs/>
          <w:color w:val="000000"/>
        </w:rPr>
        <w:t>Ramond F</w:t>
      </w:r>
      <w:r w:rsidRPr="00B75E15">
        <w:rPr>
          <w:rFonts w:ascii="Book Antiqua" w:eastAsia="Book Antiqua" w:hAnsi="Book Antiqua" w:cs="Book Antiqua"/>
          <w:color w:val="000000"/>
        </w:rPr>
        <w:t xml:space="preserve">, Janin A, Di Filippo S, Chanavat V, Chalabreysse L, Roux-Buisson N, Sanlaville D, Touraine R, Millat G. Homozygous PKP2 deletion associated with neonatal left ventricle noncompaction. </w:t>
      </w:r>
      <w:r w:rsidRPr="00B75E15">
        <w:rPr>
          <w:rFonts w:ascii="Book Antiqua" w:eastAsia="Book Antiqua" w:hAnsi="Book Antiqua" w:cs="Book Antiqua"/>
          <w:i/>
          <w:iCs/>
          <w:color w:val="000000"/>
        </w:rPr>
        <w:t>Clin Genet</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91</w:t>
      </w:r>
      <w:r w:rsidRPr="00B75E15">
        <w:rPr>
          <w:rFonts w:ascii="Book Antiqua" w:eastAsia="Book Antiqua" w:hAnsi="Book Antiqua" w:cs="Book Antiqua"/>
          <w:color w:val="000000"/>
        </w:rPr>
        <w:t>: 126-130 [PMID: 27030002 DOI: 10.1111/cge.12780]</w:t>
      </w:r>
    </w:p>
    <w:p w14:paraId="736E56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82 </w:t>
      </w:r>
      <w:r w:rsidRPr="00B75E15">
        <w:rPr>
          <w:rFonts w:ascii="Book Antiqua" w:eastAsia="Book Antiqua" w:hAnsi="Book Antiqua" w:cs="Book Antiqua"/>
          <w:b/>
          <w:bCs/>
          <w:color w:val="000000"/>
        </w:rPr>
        <w:t>Katanyuwong P</w:t>
      </w:r>
      <w:r w:rsidRPr="00B75E15">
        <w:rPr>
          <w:rFonts w:ascii="Book Antiqua" w:eastAsia="Book Antiqua" w:hAnsi="Book Antiqua" w:cs="Book Antiqua"/>
          <w:color w:val="000000"/>
        </w:rPr>
        <w:t xml:space="preserve">, Khongkraparn A, Wattanasirichaigoon D. A Novel Homozygous PKP2 Variant in Severe Neonatal Non-compaction and Concomitant Ventricular Septal Defect: A Case Report. </w:t>
      </w:r>
      <w:r w:rsidRPr="00B75E15">
        <w:rPr>
          <w:rFonts w:ascii="Book Antiqua" w:eastAsia="Book Antiqua" w:hAnsi="Book Antiqua" w:cs="Book Antiqua"/>
          <w:i/>
          <w:iCs/>
          <w:color w:val="000000"/>
        </w:rPr>
        <w:t>Front Pediatr</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801491 [PMID: 35059364 DOI: 10.3389/fped.2021.801491]</w:t>
      </w:r>
    </w:p>
    <w:p w14:paraId="6B0BE0C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83 </w:t>
      </w:r>
      <w:r w:rsidRPr="00B75E15">
        <w:rPr>
          <w:rFonts w:ascii="Book Antiqua" w:eastAsia="Book Antiqua" w:hAnsi="Book Antiqua" w:cs="Book Antiqua"/>
          <w:b/>
          <w:bCs/>
          <w:color w:val="000000"/>
        </w:rPr>
        <w:t>Verhagen JMA</w:t>
      </w:r>
      <w:r w:rsidRPr="00B75E15">
        <w:rPr>
          <w:rFonts w:ascii="Book Antiqua" w:eastAsia="Book Antiqua" w:hAnsi="Book Antiqua" w:cs="Book Antiqua"/>
          <w:color w:val="000000"/>
        </w:rPr>
        <w:t xml:space="preserve">, van den Born M, Kurul S, Asimaki A, van de Laar IMBH, Frohn-Mulder IME, Kammeraad JAE, Yap SC, Bartelings MM, van Slegtenhorst MA, von der Thüsen JH, Wessels MW. Homozygous Truncating Variant in PKP2 Causes Hypoplastic Left Heart Syndrome. </w:t>
      </w:r>
      <w:r w:rsidRPr="00B75E15">
        <w:rPr>
          <w:rFonts w:ascii="Book Antiqua" w:eastAsia="Book Antiqua" w:hAnsi="Book Antiqua" w:cs="Book Antiqua"/>
          <w:i/>
          <w:iCs/>
          <w:color w:val="000000"/>
        </w:rPr>
        <w:t>Circ Genom Precis Med</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e002397 [PMID: 30562116 DOI: 10.1161/CIRCGEN.118.002397]</w:t>
      </w:r>
    </w:p>
    <w:p w14:paraId="41BB2D6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84 </w:t>
      </w:r>
      <w:r w:rsidRPr="00B75E15">
        <w:rPr>
          <w:rFonts w:ascii="Book Antiqua" w:eastAsia="Book Antiqua" w:hAnsi="Book Antiqua" w:cs="Book Antiqua"/>
          <w:b/>
          <w:bCs/>
          <w:color w:val="000000"/>
        </w:rPr>
        <w:t>Li J</w:t>
      </w:r>
      <w:r w:rsidRPr="00B75E15">
        <w:rPr>
          <w:rFonts w:ascii="Book Antiqua" w:eastAsia="Book Antiqua" w:hAnsi="Book Antiqua" w:cs="Book Antiqua"/>
          <w:color w:val="000000"/>
        </w:rPr>
        <w:t xml:space="preserve">, Zhang L, Yu L, Minami I, Miyagawa S, Hörning M, Dong J, Qiao J, Qu X, Hua Y, Fujimoto N, Shiba Y, Zhao Y, Tang F, Chen Y, Sawa Y, Tang C, Liu L. Circulating re-entrant waves promote maturation of hiPSC-derived cardiomyocytes in self-organized tissue ring. </w:t>
      </w:r>
      <w:r w:rsidRPr="00B75E15">
        <w:rPr>
          <w:rFonts w:ascii="Book Antiqua" w:eastAsia="Book Antiqua" w:hAnsi="Book Antiqua" w:cs="Book Antiqua"/>
          <w:i/>
          <w:iCs/>
          <w:color w:val="000000"/>
        </w:rPr>
        <w:t>Commun Biol</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3</w:t>
      </w:r>
      <w:r w:rsidRPr="00B75E15">
        <w:rPr>
          <w:rFonts w:ascii="Book Antiqua" w:eastAsia="Book Antiqua" w:hAnsi="Book Antiqua" w:cs="Book Antiqua"/>
          <w:color w:val="000000"/>
        </w:rPr>
        <w:t>: 122 [PMID: 32170165 DOI: 10.1038/s42003-020-0853-0]</w:t>
      </w:r>
    </w:p>
    <w:p w14:paraId="44C98C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85 </w:t>
      </w:r>
      <w:r w:rsidRPr="00B75E15">
        <w:rPr>
          <w:rFonts w:ascii="Book Antiqua" w:eastAsia="Book Antiqua" w:hAnsi="Book Antiqua" w:cs="Book Antiqua"/>
          <w:b/>
          <w:bCs/>
          <w:color w:val="000000"/>
        </w:rPr>
        <w:t>Li J</w:t>
      </w:r>
      <w:r w:rsidRPr="00B75E15">
        <w:rPr>
          <w:rFonts w:ascii="Book Antiqua" w:eastAsia="Book Antiqua" w:hAnsi="Book Antiqua" w:cs="Book Antiqua"/>
          <w:color w:val="000000"/>
        </w:rPr>
        <w:t xml:space="preserve">, Minami I, Shiozaki M, Yu L, Yajima S, Miyagawa S, Shiba Y, Morone N, Fukushima S, Yoshioka M, Li S, Qiao J, Li X, Wang L, Kotera H, Nakatsuji N, Sawa Y, Chen Y, Liu L. Human Pluripotent Stem Cell-Derived Cardiac Tissue-like Constructs for Repairing the Infarcted Myocardium. </w:t>
      </w:r>
      <w:r w:rsidRPr="00B75E15">
        <w:rPr>
          <w:rFonts w:ascii="Book Antiqua" w:eastAsia="Book Antiqua" w:hAnsi="Book Antiqua" w:cs="Book Antiqua"/>
          <w:i/>
          <w:iCs/>
          <w:color w:val="000000"/>
        </w:rPr>
        <w:t>Stem Cell Reports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1546-1559 [PMID: 29107590 DOI: 10.1016/j.stemcr.2017.09.007]</w:t>
      </w:r>
      <w:bookmarkEnd w:id="45"/>
      <w:bookmarkEnd w:id="46"/>
    </w:p>
    <w:bookmarkEnd w:id="47"/>
    <w:bookmarkEnd w:id="48"/>
    <w:p w14:paraId="0326B4E6" w14:textId="77777777" w:rsidR="00A77B3E" w:rsidRPr="00B75E15" w:rsidRDefault="00A77B3E" w:rsidP="00B75E15">
      <w:pPr>
        <w:spacing w:line="360" w:lineRule="auto"/>
        <w:jc w:val="both"/>
        <w:rPr>
          <w:rFonts w:ascii="Book Antiqua" w:hAnsi="Book Antiqua"/>
        </w:rPr>
        <w:sectPr w:rsidR="00A77B3E" w:rsidRPr="00B75E15">
          <w:pgSz w:w="12240" w:h="15840"/>
          <w:pgMar w:top="1440" w:right="1440" w:bottom="1440" w:left="1440" w:header="720" w:footer="720" w:gutter="0"/>
          <w:cols w:space="720"/>
          <w:docGrid w:linePitch="360"/>
        </w:sectPr>
      </w:pPr>
    </w:p>
    <w:p w14:paraId="7EF68C2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lastRenderedPageBreak/>
        <w:t>Footnotes</w:t>
      </w:r>
    </w:p>
    <w:p w14:paraId="536CBC7E" w14:textId="27DF1E9E"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Conflict-of-interest statement: </w:t>
      </w:r>
      <w:bookmarkStart w:id="49" w:name="OLE_LINK5186"/>
      <w:bookmarkStart w:id="50" w:name="OLE_LINK5187"/>
      <w:r w:rsidRPr="00B75E15">
        <w:rPr>
          <w:rFonts w:ascii="Book Antiqua" w:eastAsia="Book Antiqua" w:hAnsi="Book Antiqua" w:cs="Book Antiqua"/>
          <w:color w:val="000000"/>
        </w:rPr>
        <w:t>Department of Medical Therapeutics for Heart Failure is a Joint Research Department with TOA EIYO Pharmaceutical Company.</w:t>
      </w:r>
      <w:r w:rsidR="007620E8" w:rsidRPr="00B75E15">
        <w:rPr>
          <w:rFonts w:ascii="Book Antiqua" w:eastAsia="Book Antiqua" w:hAnsi="Book Antiqua" w:cs="Book Antiqua"/>
          <w:color w:val="000000"/>
        </w:rPr>
        <w:t xml:space="preserve"> Dr. Higo reports grants from TOA EIYO Pharmaceutical Company, during the conduct of the study.</w:t>
      </w:r>
    </w:p>
    <w:bookmarkEnd w:id="49"/>
    <w:bookmarkEnd w:id="50"/>
    <w:p w14:paraId="0D882164" w14:textId="77777777" w:rsidR="00A77B3E" w:rsidRPr="00B75E15" w:rsidRDefault="00A77B3E" w:rsidP="00B75E15">
      <w:pPr>
        <w:spacing w:line="360" w:lineRule="auto"/>
        <w:jc w:val="both"/>
        <w:rPr>
          <w:rFonts w:ascii="Book Antiqua" w:hAnsi="Book Antiqua"/>
          <w:lang w:eastAsia="zh-CN"/>
        </w:rPr>
      </w:pPr>
    </w:p>
    <w:p w14:paraId="3A75B73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Open-Access: </w:t>
      </w:r>
      <w:r w:rsidRPr="00B75E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02BA88" w14:textId="77777777" w:rsidR="00A77B3E" w:rsidRPr="00B75E15" w:rsidRDefault="00A77B3E" w:rsidP="00B75E15">
      <w:pPr>
        <w:spacing w:line="360" w:lineRule="auto"/>
        <w:jc w:val="both"/>
        <w:rPr>
          <w:rFonts w:ascii="Book Antiqua" w:hAnsi="Book Antiqua"/>
        </w:rPr>
      </w:pPr>
    </w:p>
    <w:p w14:paraId="70BACF6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Provenance and peer review: </w:t>
      </w:r>
      <w:r w:rsidRPr="00B75E15">
        <w:rPr>
          <w:rFonts w:ascii="Book Antiqua" w:eastAsia="Book Antiqua" w:hAnsi="Book Antiqua" w:cs="Book Antiqua"/>
          <w:color w:val="000000"/>
        </w:rPr>
        <w:t>Invited article; Externally peer reviewed.</w:t>
      </w:r>
    </w:p>
    <w:p w14:paraId="49B417C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Peer-review model: </w:t>
      </w:r>
      <w:r w:rsidRPr="00B75E15">
        <w:rPr>
          <w:rFonts w:ascii="Book Antiqua" w:eastAsia="Book Antiqua" w:hAnsi="Book Antiqua" w:cs="Book Antiqua"/>
          <w:color w:val="000000"/>
        </w:rPr>
        <w:t>Single blind</w:t>
      </w:r>
    </w:p>
    <w:p w14:paraId="1D02353F" w14:textId="77777777" w:rsidR="00A77B3E" w:rsidRPr="00B75E15" w:rsidRDefault="00A77B3E" w:rsidP="00B75E15">
      <w:pPr>
        <w:spacing w:line="360" w:lineRule="auto"/>
        <w:jc w:val="both"/>
        <w:rPr>
          <w:rFonts w:ascii="Book Antiqua" w:hAnsi="Book Antiqua"/>
        </w:rPr>
      </w:pPr>
    </w:p>
    <w:p w14:paraId="78C16B9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Peer-review started: </w:t>
      </w:r>
      <w:r w:rsidRPr="00B75E15">
        <w:rPr>
          <w:rFonts w:ascii="Book Antiqua" w:eastAsia="Book Antiqua" w:hAnsi="Book Antiqua" w:cs="Book Antiqua"/>
          <w:color w:val="000000"/>
        </w:rPr>
        <w:t>December 16, 2022</w:t>
      </w:r>
    </w:p>
    <w:p w14:paraId="2F4907B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First decision: </w:t>
      </w:r>
      <w:r w:rsidRPr="00B75E15">
        <w:rPr>
          <w:rFonts w:ascii="Book Antiqua" w:eastAsia="Book Antiqua" w:hAnsi="Book Antiqua" w:cs="Book Antiqua"/>
          <w:color w:val="000000"/>
        </w:rPr>
        <w:t>February 3, 2023</w:t>
      </w:r>
    </w:p>
    <w:p w14:paraId="1FBA20E5" w14:textId="3F035AF4"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Article in press: </w:t>
      </w:r>
      <w:r w:rsidR="00590967" w:rsidRPr="00590967">
        <w:rPr>
          <w:rFonts w:ascii="Book Antiqua" w:eastAsia="Book Antiqua" w:hAnsi="Book Antiqua" w:cs="Book Antiqua"/>
          <w:color w:val="000000"/>
        </w:rPr>
        <w:t>March 15, 2023</w:t>
      </w:r>
    </w:p>
    <w:p w14:paraId="428CBF1E" w14:textId="77777777" w:rsidR="00A77B3E" w:rsidRPr="00B75E15" w:rsidRDefault="00A77B3E" w:rsidP="00B75E15">
      <w:pPr>
        <w:spacing w:line="360" w:lineRule="auto"/>
        <w:jc w:val="both"/>
        <w:rPr>
          <w:rFonts w:ascii="Book Antiqua" w:hAnsi="Book Antiqua"/>
        </w:rPr>
      </w:pPr>
    </w:p>
    <w:p w14:paraId="2C8CB824" w14:textId="33BBDF5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Specialty type: </w:t>
      </w:r>
      <w:r w:rsidRPr="00B75E15">
        <w:rPr>
          <w:rFonts w:ascii="Book Antiqua" w:eastAsia="Book Antiqua" w:hAnsi="Book Antiqua" w:cs="Book Antiqua"/>
          <w:color w:val="000000"/>
        </w:rPr>
        <w:t xml:space="preserve">Cardiac and </w:t>
      </w:r>
      <w:r w:rsidR="00F819D8" w:rsidRPr="00B75E15">
        <w:rPr>
          <w:rFonts w:ascii="Book Antiqua" w:eastAsia="Book Antiqua" w:hAnsi="Book Antiqua" w:cs="Book Antiqua"/>
          <w:color w:val="000000"/>
        </w:rPr>
        <w:t>cardiovascular systems</w:t>
      </w:r>
    </w:p>
    <w:p w14:paraId="2D81198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Country/Territory of origin: </w:t>
      </w:r>
      <w:r w:rsidRPr="00B75E15">
        <w:rPr>
          <w:rFonts w:ascii="Book Antiqua" w:eastAsia="Book Antiqua" w:hAnsi="Book Antiqua" w:cs="Book Antiqua"/>
          <w:color w:val="000000"/>
        </w:rPr>
        <w:t>Japan</w:t>
      </w:r>
    </w:p>
    <w:p w14:paraId="4CBDA28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Peer-review report’s scientific quality classification</w:t>
      </w:r>
    </w:p>
    <w:p w14:paraId="22108490" w14:textId="205B63D2" w:rsidR="00A77B3E" w:rsidRPr="00155208" w:rsidRDefault="00000000" w:rsidP="00B75E15">
      <w:pPr>
        <w:spacing w:line="360" w:lineRule="auto"/>
        <w:jc w:val="both"/>
        <w:rPr>
          <w:rFonts w:ascii="宋体" w:eastAsia="宋体" w:hAnsi="宋体" w:cs="宋体"/>
          <w:lang w:eastAsia="zh-CN"/>
        </w:rPr>
      </w:pPr>
      <w:r w:rsidRPr="00B75E15">
        <w:rPr>
          <w:rFonts w:ascii="Book Antiqua" w:eastAsia="Book Antiqua" w:hAnsi="Book Antiqua" w:cs="Book Antiqua"/>
          <w:color w:val="000000"/>
        </w:rPr>
        <w:t>Grade A (Excellent): A</w:t>
      </w:r>
      <w:r w:rsidR="00155208">
        <w:rPr>
          <w:rFonts w:ascii="Book Antiqua" w:eastAsia="Book Antiqua" w:hAnsi="Book Antiqua" w:cs="Book Antiqua"/>
          <w:color w:val="000000"/>
        </w:rPr>
        <w:t>, A</w:t>
      </w:r>
    </w:p>
    <w:p w14:paraId="6EBA3D4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B (Very good): 0</w:t>
      </w:r>
    </w:p>
    <w:p w14:paraId="79CE0377" w14:textId="77777777" w:rsidR="00A77B3E" w:rsidRPr="00B75E15" w:rsidRDefault="00000000" w:rsidP="00B75E15">
      <w:pPr>
        <w:spacing w:line="360" w:lineRule="auto"/>
        <w:jc w:val="both"/>
        <w:rPr>
          <w:rFonts w:ascii="Book Antiqua" w:hAnsi="Book Antiqua"/>
          <w:lang w:eastAsia="zh-CN"/>
        </w:rPr>
      </w:pPr>
      <w:r w:rsidRPr="00B75E15">
        <w:rPr>
          <w:rFonts w:ascii="Book Antiqua" w:eastAsia="Book Antiqua" w:hAnsi="Book Antiqua" w:cs="Book Antiqua"/>
          <w:color w:val="000000"/>
        </w:rPr>
        <w:t>Grade C (Good): C</w:t>
      </w:r>
    </w:p>
    <w:p w14:paraId="6F67E67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D (Fair): 0</w:t>
      </w:r>
    </w:p>
    <w:p w14:paraId="00003A6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E (Poor): 0</w:t>
      </w:r>
    </w:p>
    <w:p w14:paraId="23CDEBB9" w14:textId="77777777" w:rsidR="00A77B3E" w:rsidRPr="00B75E15" w:rsidRDefault="00A77B3E" w:rsidP="00B75E15">
      <w:pPr>
        <w:spacing w:line="360" w:lineRule="auto"/>
        <w:jc w:val="both"/>
        <w:rPr>
          <w:rFonts w:ascii="Book Antiqua" w:hAnsi="Book Antiqua"/>
        </w:rPr>
      </w:pPr>
    </w:p>
    <w:p w14:paraId="52F95C78" w14:textId="20BA98CF" w:rsidR="00A77B3E" w:rsidRPr="00B75E15" w:rsidRDefault="00000000" w:rsidP="00B75E15">
      <w:pPr>
        <w:spacing w:line="360" w:lineRule="auto"/>
        <w:jc w:val="both"/>
        <w:rPr>
          <w:rFonts w:ascii="Book Antiqua" w:eastAsia="Book Antiqua" w:hAnsi="Book Antiqua" w:cs="Book Antiqua"/>
          <w:bCs/>
          <w:color w:val="000000"/>
        </w:rPr>
      </w:pPr>
      <w:r w:rsidRPr="00B75E15">
        <w:rPr>
          <w:rFonts w:ascii="Book Antiqua" w:eastAsia="Book Antiqua" w:hAnsi="Book Antiqua" w:cs="Book Antiqua"/>
          <w:b/>
          <w:color w:val="000000"/>
        </w:rPr>
        <w:t xml:space="preserve">P-Reviewer: </w:t>
      </w:r>
      <w:r w:rsidRPr="00B75E15">
        <w:rPr>
          <w:rFonts w:ascii="Book Antiqua" w:eastAsia="Book Antiqua" w:hAnsi="Book Antiqua" w:cs="Book Antiqua"/>
          <w:color w:val="000000"/>
        </w:rPr>
        <w:t xml:space="preserve">Campuzano O, Spain; </w:t>
      </w:r>
      <w:bookmarkStart w:id="51" w:name="OLE_LINK4197"/>
      <w:bookmarkStart w:id="52" w:name="OLE_LINK4198"/>
      <w:r w:rsidR="00155208">
        <w:rPr>
          <w:rFonts w:ascii="Book Antiqua" w:eastAsia="Book Antiqua" w:hAnsi="Book Antiqua" w:cs="Book Antiqua"/>
          <w:color w:val="000000"/>
          <w:lang w:eastAsia="zh-CN"/>
        </w:rPr>
        <w:t>L</w:t>
      </w:r>
      <w:r w:rsidR="00155208">
        <w:rPr>
          <w:rFonts w:ascii="Book Antiqua" w:eastAsia="Book Antiqua" w:hAnsi="Book Antiqua" w:cs="Book Antiqua" w:hint="eastAsia"/>
          <w:color w:val="000000"/>
          <w:lang w:eastAsia="zh-CN"/>
        </w:rPr>
        <w:t>i</w:t>
      </w:r>
      <w:r w:rsidR="00155208">
        <w:rPr>
          <w:rFonts w:ascii="Book Antiqua" w:eastAsia="Book Antiqua" w:hAnsi="Book Antiqua" w:cs="Book Antiqua"/>
          <w:color w:val="000000"/>
          <w:lang w:eastAsia="zh-CN"/>
        </w:rPr>
        <w:t xml:space="preserve"> SC, United S</w:t>
      </w:r>
      <w:r w:rsidR="00155208">
        <w:rPr>
          <w:rFonts w:ascii="Book Antiqua" w:eastAsia="Book Antiqua" w:hAnsi="Book Antiqua" w:cs="Book Antiqua" w:hint="eastAsia"/>
          <w:color w:val="000000"/>
          <w:lang w:eastAsia="zh-CN"/>
        </w:rPr>
        <w:t>t</w:t>
      </w:r>
      <w:r w:rsidR="00155208">
        <w:rPr>
          <w:rFonts w:ascii="Book Antiqua" w:eastAsia="Book Antiqua" w:hAnsi="Book Antiqua" w:cs="Book Antiqua"/>
          <w:color w:val="000000"/>
          <w:lang w:eastAsia="zh-CN"/>
        </w:rPr>
        <w:t>ates;</w:t>
      </w:r>
      <w:bookmarkEnd w:id="51"/>
      <w:bookmarkEnd w:id="52"/>
      <w:r w:rsidR="00155208">
        <w:rPr>
          <w:rFonts w:ascii="Book Antiqua" w:eastAsia="Book Antiqua" w:hAnsi="Book Antiqua" w:cs="Book Antiqua"/>
          <w:color w:val="000000"/>
          <w:lang w:eastAsia="zh-CN"/>
        </w:rPr>
        <w:t xml:space="preserve"> </w:t>
      </w:r>
      <w:r w:rsidRPr="00B75E15">
        <w:rPr>
          <w:rFonts w:ascii="Book Antiqua" w:eastAsia="Book Antiqua" w:hAnsi="Book Antiqua" w:cs="Book Antiqua"/>
          <w:color w:val="000000"/>
        </w:rPr>
        <w:t>Wang T, China</w:t>
      </w:r>
      <w:r w:rsidRPr="00B75E15">
        <w:rPr>
          <w:rFonts w:ascii="Book Antiqua" w:eastAsia="Book Antiqua" w:hAnsi="Book Antiqua" w:cs="Book Antiqua"/>
          <w:b/>
          <w:color w:val="000000"/>
        </w:rPr>
        <w:t xml:space="preserve"> S-Editor: </w:t>
      </w:r>
      <w:r w:rsidR="00F819D8" w:rsidRPr="00B75E15">
        <w:rPr>
          <w:rFonts w:ascii="Book Antiqua" w:eastAsia="Book Antiqua" w:hAnsi="Book Antiqua" w:cs="Book Antiqua"/>
          <w:bCs/>
          <w:color w:val="000000"/>
        </w:rPr>
        <w:t>Yan JP</w:t>
      </w:r>
      <w:r w:rsidRPr="00B75E15">
        <w:rPr>
          <w:rFonts w:ascii="Book Antiqua" w:eastAsia="Book Antiqua" w:hAnsi="Book Antiqua" w:cs="Book Antiqua"/>
          <w:b/>
          <w:color w:val="000000"/>
        </w:rPr>
        <w:t xml:space="preserve"> L-Editor: </w:t>
      </w:r>
      <w:r w:rsidR="00F819D8" w:rsidRPr="00B75E15">
        <w:rPr>
          <w:rFonts w:ascii="Book Antiqua" w:eastAsia="Book Antiqua" w:hAnsi="Book Antiqua" w:cs="Book Antiqua"/>
          <w:bCs/>
          <w:color w:val="000000"/>
        </w:rPr>
        <w:t>A</w:t>
      </w:r>
      <w:r w:rsidRPr="00B75E15">
        <w:rPr>
          <w:rFonts w:ascii="Book Antiqua" w:eastAsia="Book Antiqua" w:hAnsi="Book Antiqua" w:cs="Book Antiqua"/>
          <w:b/>
          <w:color w:val="000000"/>
        </w:rPr>
        <w:t xml:space="preserve"> P-Editor: </w:t>
      </w:r>
      <w:r w:rsidR="00F819D8" w:rsidRPr="00B75E15">
        <w:rPr>
          <w:rFonts w:ascii="Book Antiqua" w:eastAsia="Book Antiqua" w:hAnsi="Book Antiqua" w:cs="Book Antiqua"/>
          <w:bCs/>
          <w:color w:val="000000"/>
        </w:rPr>
        <w:t>Yan JP</w:t>
      </w:r>
    </w:p>
    <w:p w14:paraId="2DD8CB50" w14:textId="6E5E9191" w:rsidR="00F819D8" w:rsidRPr="00B75E15" w:rsidRDefault="00F819D8" w:rsidP="00B75E15">
      <w:pPr>
        <w:spacing w:line="360" w:lineRule="auto"/>
        <w:jc w:val="both"/>
        <w:rPr>
          <w:rFonts w:ascii="Book Antiqua" w:hAnsi="Book Antiqua"/>
          <w:lang w:eastAsia="zh-CN"/>
        </w:rPr>
        <w:sectPr w:rsidR="00F819D8" w:rsidRPr="00B75E15">
          <w:pgSz w:w="12240" w:h="15840"/>
          <w:pgMar w:top="1440" w:right="1440" w:bottom="1440" w:left="1440" w:header="720" w:footer="720" w:gutter="0"/>
          <w:cols w:space="720"/>
          <w:docGrid w:linePitch="360"/>
        </w:sectPr>
      </w:pPr>
    </w:p>
    <w:p w14:paraId="70FC78AD" w14:textId="6628F0D3" w:rsidR="00A77B3E" w:rsidRPr="00B75E15" w:rsidRDefault="00000000" w:rsidP="00B75E15">
      <w:pPr>
        <w:spacing w:line="360" w:lineRule="auto"/>
        <w:jc w:val="both"/>
        <w:rPr>
          <w:rFonts w:ascii="Book Antiqua" w:eastAsia="Book Antiqua" w:hAnsi="Book Antiqua" w:cs="Book Antiqua"/>
          <w:b/>
          <w:color w:val="000000"/>
        </w:rPr>
      </w:pPr>
      <w:r w:rsidRPr="00B75E15">
        <w:rPr>
          <w:rFonts w:ascii="Book Antiqua" w:eastAsia="Book Antiqua" w:hAnsi="Book Antiqua" w:cs="Book Antiqua"/>
          <w:b/>
          <w:color w:val="000000"/>
        </w:rPr>
        <w:lastRenderedPageBreak/>
        <w:t>Figure Legends</w:t>
      </w:r>
    </w:p>
    <w:p w14:paraId="4BABB41B" w14:textId="241D6060" w:rsidR="00F819D8" w:rsidRPr="00B75E15" w:rsidRDefault="006F0352" w:rsidP="00B75E1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6070A96" wp14:editId="05BEAF25">
            <wp:extent cx="4038600" cy="30226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0" cy="3022600"/>
                    </a:xfrm>
                    <a:prstGeom prst="rect">
                      <a:avLst/>
                    </a:prstGeom>
                  </pic:spPr>
                </pic:pic>
              </a:graphicData>
            </a:graphic>
          </wp:inline>
        </w:drawing>
      </w:r>
    </w:p>
    <w:p w14:paraId="4CD3879E" w14:textId="5CF74E1B" w:rsidR="003C03F4" w:rsidRPr="00B75E15" w:rsidRDefault="003C03F4" w:rsidP="00B75E15">
      <w:pPr>
        <w:spacing w:line="360" w:lineRule="auto"/>
        <w:jc w:val="both"/>
        <w:rPr>
          <w:rFonts w:ascii="Book Antiqua" w:hAnsi="Book Antiqua"/>
        </w:rPr>
      </w:pPr>
    </w:p>
    <w:p w14:paraId="61E578E2" w14:textId="44D251B1" w:rsidR="00A77B3E" w:rsidRPr="00930273" w:rsidRDefault="00000000" w:rsidP="00B75E15">
      <w:pPr>
        <w:spacing w:line="360" w:lineRule="auto"/>
        <w:jc w:val="both"/>
        <w:rPr>
          <w:rFonts w:ascii="宋体" w:eastAsia="宋体" w:hAnsi="宋体" w:cs="宋体"/>
          <w:lang w:eastAsia="zh-CN"/>
        </w:rPr>
      </w:pPr>
      <w:r w:rsidRPr="00B75E15">
        <w:rPr>
          <w:rFonts w:ascii="Book Antiqua" w:eastAsia="Book Antiqua" w:hAnsi="Book Antiqua" w:cs="Book Antiqua"/>
          <w:b/>
          <w:bCs/>
          <w:color w:val="000000"/>
        </w:rPr>
        <w:t xml:space="preserve">Figure 1 Modeling impaired desmosome assembly and reduced contractility using isogenic </w:t>
      </w:r>
      <w:bookmarkStart w:id="53" w:name="OLE_LINK5188"/>
      <w:bookmarkStart w:id="54" w:name="OLE_LINK5189"/>
      <w:r w:rsidRPr="00B75E15">
        <w:rPr>
          <w:rFonts w:ascii="Book Antiqua" w:eastAsia="Book Antiqua" w:hAnsi="Book Antiqua" w:cs="Book Antiqua"/>
          <w:b/>
          <w:bCs/>
          <w:color w:val="000000"/>
        </w:rPr>
        <w:t>induced pluripotent stem cell</w:t>
      </w:r>
      <w:bookmarkEnd w:id="53"/>
      <w:bookmarkEnd w:id="54"/>
      <w:r w:rsidRPr="00B75E15">
        <w:rPr>
          <w:rFonts w:ascii="Book Antiqua" w:eastAsia="Book Antiqua" w:hAnsi="Book Antiqua" w:cs="Book Antiqua"/>
          <w:b/>
          <w:bCs/>
          <w:color w:val="000000"/>
        </w:rPr>
        <w:t>-</w:t>
      </w:r>
      <w:bookmarkStart w:id="55" w:name="OLE_LINK5190"/>
      <w:bookmarkStart w:id="56" w:name="OLE_LINK5191"/>
      <w:r w:rsidRPr="00B75E15">
        <w:rPr>
          <w:rFonts w:ascii="Book Antiqua" w:eastAsia="Book Antiqua" w:hAnsi="Book Antiqua" w:cs="Book Antiqua"/>
          <w:b/>
          <w:bCs/>
          <w:color w:val="000000"/>
        </w:rPr>
        <w:t>derived cardiomyocytes</w:t>
      </w:r>
      <w:bookmarkEnd w:id="55"/>
      <w:bookmarkEnd w:id="56"/>
      <w:r w:rsidRPr="00B75E15">
        <w:rPr>
          <w:rFonts w:ascii="Book Antiqua" w:eastAsia="Book Antiqua" w:hAnsi="Book Antiqua" w:cs="Book Antiqua"/>
          <w:b/>
          <w:bCs/>
          <w:color w:val="000000"/>
        </w:rPr>
        <w:t xml:space="preserve"> with the precisely adjusted dose of </w:t>
      </w:r>
      <w:r w:rsidRPr="00B75E15">
        <w:rPr>
          <w:rFonts w:ascii="Book Antiqua" w:eastAsia="Book Antiqua" w:hAnsi="Book Antiqua" w:cs="Book Antiqua"/>
          <w:b/>
          <w:bCs/>
          <w:i/>
          <w:iCs/>
          <w:color w:val="000000"/>
        </w:rPr>
        <w:t>PKP2</w:t>
      </w:r>
      <w:r w:rsidRPr="00B75E15">
        <w:rPr>
          <w:rFonts w:ascii="Book Antiqua" w:eastAsia="Book Antiqua" w:hAnsi="Book Antiqua" w:cs="Book Antiqua"/>
          <w:b/>
          <w:bCs/>
          <w:color w:val="000000"/>
        </w:rPr>
        <w:t>.</w:t>
      </w:r>
      <w:r w:rsidR="00F819D8" w:rsidRPr="00B75E15">
        <w:rPr>
          <w:rFonts w:ascii="Book Antiqua" w:hAnsi="Book Antiqua"/>
          <w:lang w:eastAsia="zh-CN"/>
        </w:rPr>
        <w:t xml:space="preserve"> </w:t>
      </w:r>
      <w:r w:rsidRPr="00B75E15">
        <w:rPr>
          <w:rFonts w:ascii="Book Antiqua" w:eastAsia="Book Antiqua" w:hAnsi="Book Antiqua" w:cs="Book Antiqua"/>
          <w:color w:val="000000"/>
        </w:rPr>
        <w:t xml:space="preserve">Heterozygous frameshift mutation in patient-derived </w:t>
      </w:r>
      <w:r w:rsidR="00F819D8"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F819D8"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was repaired through </w:t>
      </w:r>
      <w:bookmarkStart w:id="57" w:name="OLE_LINK5198"/>
      <w:bookmarkStart w:id="58" w:name="OLE_LINK5199"/>
      <w:r w:rsidRPr="00B75E15">
        <w:rPr>
          <w:rFonts w:ascii="Book Antiqua" w:eastAsia="Book Antiqua" w:hAnsi="Book Antiqua" w:cs="Book Antiqua"/>
          <w:color w:val="000000"/>
        </w:rPr>
        <w:t>homology-directed repair</w:t>
      </w:r>
      <w:bookmarkEnd w:id="57"/>
      <w:bookmarkEnd w:id="58"/>
      <w:r w:rsidRPr="00B75E15">
        <w:rPr>
          <w:rFonts w:ascii="Book Antiqua" w:eastAsia="Book Antiqua" w:hAnsi="Book Antiqua" w:cs="Book Antiqua"/>
          <w:color w:val="000000"/>
        </w:rPr>
        <w:t xml:space="preserve">. Homozygous frameshift mutations were introduced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through </w:t>
      </w:r>
      <w:bookmarkStart w:id="59" w:name="OLE_LINK5200"/>
      <w:bookmarkStart w:id="60" w:name="OLE_LINK5201"/>
      <w:r w:rsidRPr="00B75E15">
        <w:rPr>
          <w:rFonts w:ascii="Book Antiqua" w:eastAsia="Book Antiqua" w:hAnsi="Book Antiqua" w:cs="Book Antiqua"/>
          <w:color w:val="000000"/>
        </w:rPr>
        <w:t>non-homologous end joining</w:t>
      </w:r>
      <w:bookmarkEnd w:id="59"/>
      <w:bookmarkEnd w:id="60"/>
      <w:r w:rsidRPr="00B75E15">
        <w:rPr>
          <w:rFonts w:ascii="Book Antiqua" w:eastAsia="Book Antiqua" w:hAnsi="Book Antiqua" w:cs="Book Antiqua"/>
          <w:color w:val="000000"/>
        </w:rPr>
        <w:t xml:space="preserve"> in patient-derived iPSCs. The generated isogenic iPSC-</w:t>
      </w:r>
      <w:bookmarkStart w:id="61" w:name="OLE_LINK5196"/>
      <w:bookmarkStart w:id="62" w:name="OLE_LINK5197"/>
      <w:r w:rsidR="00F819D8" w:rsidRPr="00B75E15">
        <w:rPr>
          <w:rFonts w:ascii="Book Antiqua" w:eastAsia="Book Antiqua" w:hAnsi="Book Antiqua" w:cs="Book Antiqua"/>
          <w:color w:val="000000"/>
        </w:rPr>
        <w:t>derived cardiomyocytes</w:t>
      </w:r>
      <w:bookmarkEnd w:id="61"/>
      <w:bookmarkEnd w:id="62"/>
      <w:r w:rsidRPr="00B75E15">
        <w:rPr>
          <w:rFonts w:ascii="Book Antiqua" w:eastAsia="Book Antiqua" w:hAnsi="Book Antiqua" w:cs="Book Antiqua"/>
          <w:color w:val="000000"/>
        </w:rPr>
        <w:t xml:space="preserve"> with the precisely adjusted expression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recapitulated impaired desmosome assembly and reduced contractility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Desmosomal cadherin proteins (DSG2 and DSC2) form homo-dimers and hetero-dimers. PKP2 is a scaffold protein for desmosomal cadherins, JUP, and DSP. Desmosomes are linked to sarcomere structure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the intermediate filament protein DES that targets both desmosome and Z disc structure.</w:t>
      </w:r>
      <w:r w:rsidR="003C03F4" w:rsidRPr="00B75E15">
        <w:rPr>
          <w:rFonts w:ascii="Book Antiqua" w:eastAsia="Book Antiqua" w:hAnsi="Book Antiqua" w:cs="Book Antiqua"/>
          <w:color w:val="000000"/>
        </w:rPr>
        <w:t xml:space="preserve"> </w:t>
      </w:r>
      <w:bookmarkStart w:id="63" w:name="OLE_LINK5202"/>
      <w:bookmarkStart w:id="64" w:name="OLE_LINK5203"/>
      <w:r w:rsidR="003C03F4" w:rsidRPr="00B75E15">
        <w:rPr>
          <w:rFonts w:ascii="Book Antiqua" w:eastAsia="Book Antiqua" w:hAnsi="Book Antiqua" w:cs="Book Antiqua"/>
          <w:color w:val="000000"/>
        </w:rPr>
        <w:t>HDR: Homology-directed repair; NEHJ: Non-homologous end joining</w:t>
      </w:r>
      <w:r w:rsidR="00930273">
        <w:rPr>
          <w:rFonts w:ascii="Book Antiqua" w:eastAsia="Book Antiqua" w:hAnsi="Book Antiqua" w:cs="Book Antiqua"/>
          <w:color w:val="000000"/>
        </w:rPr>
        <w:t xml:space="preserve">; </w:t>
      </w:r>
      <w:bookmarkStart w:id="65" w:name="OLE_LINK5240"/>
      <w:bookmarkStart w:id="66" w:name="OLE_LINK5241"/>
      <w:bookmarkStart w:id="67" w:name="OLE_LINK5244"/>
      <w:bookmarkStart w:id="68" w:name="OLE_LINK5245"/>
      <w:r w:rsidR="00930273">
        <w:rPr>
          <w:rFonts w:ascii="Book Antiqua" w:eastAsia="Book Antiqua" w:hAnsi="Book Antiqua" w:cs="Book Antiqua"/>
          <w:color w:val="000000"/>
        </w:rPr>
        <w:t>H</w:t>
      </w:r>
      <w:r w:rsidR="00930273">
        <w:rPr>
          <w:rFonts w:ascii="Book Antiqua" w:eastAsia="Book Antiqua" w:hAnsi="Book Antiqua" w:cs="Book Antiqua" w:hint="eastAsia"/>
          <w:color w:val="000000"/>
          <w:lang w:eastAsia="zh-CN"/>
        </w:rPr>
        <w:t>e</w:t>
      </w:r>
      <w:r w:rsidR="00930273">
        <w:rPr>
          <w:rFonts w:ascii="Book Antiqua" w:eastAsia="Book Antiqua" w:hAnsi="Book Antiqua" w:cs="Book Antiqua"/>
          <w:color w:val="000000"/>
          <w:lang w:eastAsia="zh-CN"/>
        </w:rPr>
        <w:t>tero</w:t>
      </w:r>
      <w:bookmarkEnd w:id="65"/>
      <w:bookmarkEnd w:id="66"/>
      <w:r w:rsidR="00930273">
        <w:rPr>
          <w:rFonts w:ascii="Book Antiqua" w:eastAsia="Book Antiqua" w:hAnsi="Book Antiqua" w:cs="Book Antiqua"/>
          <w:color w:val="000000"/>
          <w:lang w:eastAsia="zh-CN"/>
        </w:rPr>
        <w:t xml:space="preserve">: </w:t>
      </w:r>
      <w:r w:rsidR="00930273">
        <w:rPr>
          <w:rFonts w:ascii="Book Antiqua" w:eastAsia="Book Antiqua" w:hAnsi="Book Antiqua" w:cs="Book Antiqua"/>
          <w:color w:val="000000"/>
        </w:rPr>
        <w:t>H</w:t>
      </w:r>
      <w:r w:rsidR="00930273" w:rsidRPr="00B75E15">
        <w:rPr>
          <w:rFonts w:ascii="Book Antiqua" w:eastAsia="Book Antiqua" w:hAnsi="Book Antiqua" w:cs="Book Antiqua"/>
          <w:color w:val="000000"/>
        </w:rPr>
        <w:t>eterozygous mutation</w:t>
      </w:r>
      <w:r w:rsidR="00930273">
        <w:rPr>
          <w:rFonts w:ascii="Book Antiqua" w:eastAsia="Book Antiqua" w:hAnsi="Book Antiqua" w:cs="Book Antiqua"/>
          <w:color w:val="000000"/>
        </w:rPr>
        <w:t>.</w:t>
      </w:r>
    </w:p>
    <w:bookmarkEnd w:id="63"/>
    <w:bookmarkEnd w:id="64"/>
    <w:bookmarkEnd w:id="67"/>
    <w:bookmarkEnd w:id="68"/>
    <w:p w14:paraId="740325E0" w14:textId="77777777" w:rsidR="00F819D8" w:rsidRPr="00B75E15" w:rsidRDefault="00F819D8" w:rsidP="00B75E15">
      <w:pPr>
        <w:spacing w:line="360" w:lineRule="auto"/>
        <w:jc w:val="both"/>
        <w:rPr>
          <w:rFonts w:ascii="Book Antiqua" w:hAnsi="Book Antiqua"/>
          <w:lang w:eastAsia="zh-CN"/>
        </w:rPr>
        <w:sectPr w:rsidR="00F819D8" w:rsidRPr="00B75E15">
          <w:pgSz w:w="12240" w:h="15840"/>
          <w:pgMar w:top="1440" w:right="1440" w:bottom="1440" w:left="1440" w:header="720" w:footer="720" w:gutter="0"/>
          <w:cols w:space="720"/>
          <w:docGrid w:linePitch="360"/>
        </w:sectPr>
      </w:pPr>
    </w:p>
    <w:p w14:paraId="3B5B7209" w14:textId="68D850B7" w:rsidR="00A77B3E" w:rsidRPr="00B75E15" w:rsidRDefault="006F0352" w:rsidP="00B75E1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D9D6E4C" wp14:editId="40F8B8FB">
            <wp:extent cx="3949700" cy="22733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0" cy="2273300"/>
                    </a:xfrm>
                    <a:prstGeom prst="rect">
                      <a:avLst/>
                    </a:prstGeom>
                  </pic:spPr>
                </pic:pic>
              </a:graphicData>
            </a:graphic>
          </wp:inline>
        </w:drawing>
      </w:r>
    </w:p>
    <w:p w14:paraId="4ED997DD" w14:textId="77777777" w:rsidR="00930273" w:rsidRPr="00930273" w:rsidRDefault="00000000" w:rsidP="00930273">
      <w:pPr>
        <w:spacing w:line="360" w:lineRule="auto"/>
        <w:jc w:val="both"/>
        <w:rPr>
          <w:rFonts w:ascii="宋体" w:eastAsia="宋体" w:hAnsi="宋体" w:cs="宋体"/>
          <w:lang w:eastAsia="zh-CN"/>
        </w:rPr>
      </w:pPr>
      <w:r w:rsidRPr="00B75E15">
        <w:rPr>
          <w:rFonts w:ascii="Book Antiqua" w:eastAsia="Book Antiqua" w:hAnsi="Book Antiqua" w:cs="Book Antiqua"/>
          <w:b/>
          <w:bCs/>
          <w:color w:val="000000"/>
        </w:rPr>
        <w:t xml:space="preserve">Figure 2 Allele-specific fluorescent labeling of </w:t>
      </w:r>
      <w:r w:rsidRPr="00B75E15">
        <w:rPr>
          <w:rFonts w:ascii="Book Antiqua" w:eastAsia="Book Antiqua" w:hAnsi="Book Antiqua" w:cs="Book Antiqua"/>
          <w:b/>
          <w:bCs/>
          <w:i/>
          <w:iCs/>
          <w:color w:val="000000"/>
        </w:rPr>
        <w:t>DSG2</w:t>
      </w:r>
      <w:r w:rsidRPr="00B75E15">
        <w:rPr>
          <w:rFonts w:ascii="Book Antiqua" w:eastAsia="Book Antiqua" w:hAnsi="Book Antiqua" w:cs="Book Antiqua"/>
          <w:b/>
          <w:bCs/>
          <w:color w:val="000000"/>
        </w:rPr>
        <w:t xml:space="preserve"> captures desmosome dynamics in isogenic </w:t>
      </w:r>
      <w:bookmarkStart w:id="69" w:name="OLE_LINK5194"/>
      <w:bookmarkStart w:id="70" w:name="OLE_LINK5195"/>
      <w:bookmarkStart w:id="71" w:name="OLE_LINK5213"/>
      <w:bookmarkStart w:id="72" w:name="OLE_LINK5214"/>
      <w:r w:rsidRPr="00B75E15">
        <w:rPr>
          <w:rFonts w:ascii="Book Antiqua" w:eastAsia="Book Antiqua" w:hAnsi="Book Antiqua" w:cs="Book Antiqua"/>
          <w:b/>
          <w:bCs/>
          <w:color w:val="000000"/>
        </w:rPr>
        <w:t>induced pluripotent stem cell</w:t>
      </w:r>
      <w:bookmarkEnd w:id="69"/>
      <w:bookmarkEnd w:id="70"/>
      <w:r w:rsidRPr="00B75E15">
        <w:rPr>
          <w:rFonts w:ascii="Book Antiqua" w:eastAsia="Book Antiqua" w:hAnsi="Book Antiqua" w:cs="Book Antiqua"/>
          <w:b/>
          <w:bCs/>
          <w:color w:val="000000"/>
        </w:rPr>
        <w:t>-derived cardiomyocytes</w:t>
      </w:r>
      <w:bookmarkEnd w:id="71"/>
      <w:bookmarkEnd w:id="72"/>
      <w:r w:rsidRPr="00B75E15">
        <w:rPr>
          <w:rFonts w:ascii="Book Antiqua" w:eastAsia="Book Antiqua" w:hAnsi="Book Antiqua" w:cs="Book Antiqua"/>
          <w:b/>
          <w:bCs/>
          <w:color w:val="000000"/>
        </w:rPr>
        <w:t>.</w:t>
      </w:r>
      <w:r w:rsidR="00F819D8" w:rsidRPr="00B75E15">
        <w:rPr>
          <w:rFonts w:ascii="Book Antiqua" w:hAnsi="Book Antiqua"/>
        </w:rPr>
        <w:t xml:space="preserve"> </w:t>
      </w:r>
      <w:r w:rsidRPr="00B75E15">
        <w:rPr>
          <w:rFonts w:ascii="Book Antiqua" w:eastAsia="Book Antiqua" w:hAnsi="Book Antiqua" w:cs="Book Antiqua"/>
          <w:color w:val="000000"/>
        </w:rPr>
        <w:t>To establish a model for desmosome imaging, th</w:t>
      </w:r>
      <w:bookmarkStart w:id="73" w:name="OLE_LINK5192"/>
      <w:bookmarkStart w:id="74" w:name="OLE_LINK5193"/>
      <w:r w:rsidRPr="00B75E15">
        <w:rPr>
          <w:rFonts w:ascii="Book Antiqua" w:eastAsia="Book Antiqua" w:hAnsi="Book Antiqua" w:cs="Book Antiqua"/>
          <w:color w:val="000000"/>
        </w:rPr>
        <w:t xml:space="preserve">e tdTomato </w:t>
      </w:r>
      <w:bookmarkEnd w:id="73"/>
      <w:bookmarkEnd w:id="74"/>
      <w:r w:rsidRPr="00B75E15">
        <w:rPr>
          <w:rFonts w:ascii="Book Antiqua" w:eastAsia="Book Antiqua" w:hAnsi="Book Antiqua" w:cs="Book Antiqua"/>
          <w:color w:val="000000"/>
        </w:rPr>
        <w:t xml:space="preserve">fluorescent reporter was knocked-in at the 3′-terminus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in the three established isogenic </w:t>
      </w:r>
      <w:r w:rsidR="00F819D8"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F819D8"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using genome editing. These isogenic iPSCs carried identical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comprising intact and knocked-in alleles distinguished by a synonymous single nucleotide variant (indicated as blue line). These iPSC-</w:t>
      </w:r>
      <w:r w:rsidR="00F819D8" w:rsidRPr="00B75E15">
        <w:rPr>
          <w:rFonts w:ascii="Book Antiqua" w:eastAsia="Book Antiqua" w:hAnsi="Book Antiqua" w:cs="Book Antiqua"/>
          <w:color w:val="000000"/>
        </w:rPr>
        <w:t xml:space="preserve">derived cardiomyocytes </w:t>
      </w:r>
      <w:r w:rsidRPr="00B75E15">
        <w:rPr>
          <w:rFonts w:ascii="Book Antiqua" w:eastAsia="Book Antiqua" w:hAnsi="Book Antiqua" w:cs="Book Antiqua"/>
          <w:color w:val="000000"/>
        </w:rPr>
        <w:t xml:space="preserve">enable desmosome imaging and capturing desmosome recovery after </w:t>
      </w:r>
      <w:bookmarkStart w:id="75" w:name="OLE_LINK5204"/>
      <w:bookmarkStart w:id="76" w:name="OLE_LINK5205"/>
      <w:r w:rsidRPr="00B75E15">
        <w:rPr>
          <w:rFonts w:ascii="Book Antiqua" w:eastAsia="Book Antiqua" w:hAnsi="Book Antiqua" w:cs="Book Antiqua"/>
          <w:color w:val="000000"/>
        </w:rPr>
        <w:t>adeno-associated virus</w:t>
      </w:r>
      <w:bookmarkEnd w:id="75"/>
      <w:bookmarkEnd w:id="76"/>
      <w:r w:rsidRPr="00B75E15">
        <w:rPr>
          <w:rFonts w:ascii="Book Antiqua" w:eastAsia="Book Antiqua" w:hAnsi="Book Antiqua" w:cs="Book Antiqua"/>
          <w:color w:val="000000"/>
        </w:rPr>
        <w:t xml:space="preserve">-mediated replacement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w:t>
      </w:r>
      <w:r w:rsidR="003C03F4" w:rsidRPr="00B75E15">
        <w:rPr>
          <w:rFonts w:ascii="Book Antiqua" w:eastAsia="Book Antiqua" w:hAnsi="Book Antiqua" w:cs="Book Antiqua"/>
          <w:color w:val="000000"/>
        </w:rPr>
        <w:t xml:space="preserve"> HDR: Homology-directed repair; NEHJ: Non-homologous end joining; AAV: Adeno-associated virus</w:t>
      </w:r>
      <w:r w:rsidR="00930273">
        <w:rPr>
          <w:rFonts w:ascii="Book Antiqua" w:eastAsia="Book Antiqua" w:hAnsi="Book Antiqua" w:cs="Book Antiqua"/>
          <w:color w:val="000000"/>
        </w:rPr>
        <w:t>; H</w:t>
      </w:r>
      <w:r w:rsidR="00930273">
        <w:rPr>
          <w:rFonts w:ascii="Book Antiqua" w:eastAsia="Book Antiqua" w:hAnsi="Book Antiqua" w:cs="Book Antiqua" w:hint="eastAsia"/>
          <w:color w:val="000000"/>
          <w:lang w:eastAsia="zh-CN"/>
        </w:rPr>
        <w:t>e</w:t>
      </w:r>
      <w:r w:rsidR="00930273">
        <w:rPr>
          <w:rFonts w:ascii="Book Antiqua" w:eastAsia="Book Antiqua" w:hAnsi="Book Antiqua" w:cs="Book Antiqua"/>
          <w:color w:val="000000"/>
          <w:lang w:eastAsia="zh-CN"/>
        </w:rPr>
        <w:t xml:space="preserve">tero: </w:t>
      </w:r>
      <w:r w:rsidR="00930273">
        <w:rPr>
          <w:rFonts w:ascii="Book Antiqua" w:eastAsia="Book Antiqua" w:hAnsi="Book Antiqua" w:cs="Book Antiqua"/>
          <w:color w:val="000000"/>
        </w:rPr>
        <w:t>H</w:t>
      </w:r>
      <w:r w:rsidR="00930273" w:rsidRPr="00B75E15">
        <w:rPr>
          <w:rFonts w:ascii="Book Antiqua" w:eastAsia="Book Antiqua" w:hAnsi="Book Antiqua" w:cs="Book Antiqua"/>
          <w:color w:val="000000"/>
        </w:rPr>
        <w:t>eterozygous mutation</w:t>
      </w:r>
      <w:r w:rsidR="00930273">
        <w:rPr>
          <w:rFonts w:ascii="Book Antiqua" w:eastAsia="Book Antiqua" w:hAnsi="Book Antiqua" w:cs="Book Antiqua"/>
          <w:color w:val="000000"/>
        </w:rPr>
        <w:t>.</w:t>
      </w:r>
    </w:p>
    <w:p w14:paraId="6F5931D6" w14:textId="0CA3D959" w:rsidR="003C03F4" w:rsidRPr="00B75E15" w:rsidRDefault="003C03F4" w:rsidP="00B75E15">
      <w:pPr>
        <w:spacing w:line="360" w:lineRule="auto"/>
        <w:jc w:val="both"/>
        <w:rPr>
          <w:rFonts w:ascii="Book Antiqua" w:hAnsi="Book Antiqua"/>
        </w:rPr>
      </w:pPr>
    </w:p>
    <w:p w14:paraId="3A7AE040" w14:textId="77777777" w:rsidR="003C03F4" w:rsidRPr="00B75E15" w:rsidRDefault="003C03F4" w:rsidP="00B75E15">
      <w:pPr>
        <w:spacing w:line="360" w:lineRule="auto"/>
        <w:jc w:val="both"/>
        <w:rPr>
          <w:rFonts w:ascii="Book Antiqua" w:hAnsi="Book Antiqua"/>
        </w:rPr>
        <w:sectPr w:rsidR="003C03F4" w:rsidRPr="00B75E15">
          <w:pgSz w:w="12240" w:h="15840"/>
          <w:pgMar w:top="1440" w:right="1440" w:bottom="1440" w:left="1440" w:header="720" w:footer="720" w:gutter="0"/>
          <w:cols w:space="720"/>
          <w:docGrid w:linePitch="360"/>
        </w:sectPr>
      </w:pPr>
    </w:p>
    <w:p w14:paraId="5D695922" w14:textId="6AF25DE3" w:rsidR="003C03F4" w:rsidRPr="00B75E15" w:rsidRDefault="003C03F4" w:rsidP="00B75E15">
      <w:pPr>
        <w:spacing w:line="360" w:lineRule="auto"/>
        <w:jc w:val="both"/>
        <w:rPr>
          <w:rFonts w:ascii="Book Antiqua" w:eastAsia="Book Antiqua" w:hAnsi="Book Antiqua" w:cs="Book Antiqua"/>
          <w:b/>
          <w:bCs/>
          <w:color w:val="000000"/>
        </w:rPr>
      </w:pPr>
      <w:r w:rsidRPr="00B75E15">
        <w:rPr>
          <w:rFonts w:ascii="Book Antiqua" w:hAnsi="Book Antiqua"/>
          <w:b/>
          <w:bCs/>
        </w:rPr>
        <w:lastRenderedPageBreak/>
        <w:t xml:space="preserve">Table 1 Human disease model of </w:t>
      </w:r>
      <w:r w:rsidRPr="00B75E15">
        <w:rPr>
          <w:rFonts w:ascii="Book Antiqua" w:hAnsi="Book Antiqua"/>
          <w:b/>
          <w:bCs/>
          <w:i/>
          <w:iCs/>
        </w:rPr>
        <w:t>PKP2</w:t>
      </w:r>
      <w:r w:rsidRPr="00B75E15">
        <w:rPr>
          <w:rFonts w:ascii="Book Antiqua" w:hAnsi="Book Antiqua"/>
          <w:b/>
          <w:bCs/>
        </w:rPr>
        <w:t xml:space="preserve"> deficiency using </w:t>
      </w:r>
      <w:r w:rsidRPr="00B75E15">
        <w:rPr>
          <w:rFonts w:ascii="Book Antiqua" w:eastAsia="Book Antiqua" w:hAnsi="Book Antiqua" w:cs="Book Antiqua"/>
          <w:b/>
          <w:bCs/>
          <w:color w:val="000000"/>
        </w:rPr>
        <w:t>induced pluripotent stem cell-derived cardiomyocytes</w:t>
      </w:r>
      <w:r w:rsidRPr="00B75E15">
        <w:rPr>
          <w:rFonts w:ascii="Book Antiqua" w:hAnsi="Book Antiqua"/>
          <w:b/>
          <w:bCs/>
        </w:rPr>
        <w:t xml:space="preserve"> and experimental pathological phenotypes of </w:t>
      </w:r>
      <w:r w:rsidRPr="00B75E15">
        <w:rPr>
          <w:rFonts w:ascii="Book Antiqua" w:eastAsia="Book Antiqua" w:hAnsi="Book Antiqua" w:cs="Book Antiqua"/>
          <w:b/>
          <w:bCs/>
          <w:color w:val="000000"/>
        </w:rPr>
        <w:t>arrhythmogenic cardiomyopathy</w:t>
      </w:r>
    </w:p>
    <w:tbl>
      <w:tblPr>
        <w:tblW w:w="14727" w:type="dxa"/>
        <w:tblInd w:w="-444" w:type="dxa"/>
        <w:tblLayout w:type="fixed"/>
        <w:tblLook w:val="04A0" w:firstRow="1" w:lastRow="0" w:firstColumn="1" w:lastColumn="0" w:noHBand="0" w:noVBand="1"/>
      </w:tblPr>
      <w:tblGrid>
        <w:gridCol w:w="1418"/>
        <w:gridCol w:w="1134"/>
        <w:gridCol w:w="1559"/>
        <w:gridCol w:w="1843"/>
        <w:gridCol w:w="1701"/>
        <w:gridCol w:w="1134"/>
        <w:gridCol w:w="1559"/>
        <w:gridCol w:w="1134"/>
        <w:gridCol w:w="977"/>
        <w:gridCol w:w="1008"/>
        <w:gridCol w:w="1260"/>
      </w:tblGrid>
      <w:tr w:rsidR="00B75E15" w:rsidRPr="00B75E15" w14:paraId="44F3E029" w14:textId="77777777" w:rsidTr="00B75E15">
        <w:tc>
          <w:tcPr>
            <w:tcW w:w="1418" w:type="dxa"/>
            <w:tcBorders>
              <w:top w:val="single" w:sz="8" w:space="0" w:color="auto"/>
              <w:left w:val="nil"/>
              <w:bottom w:val="single" w:sz="8" w:space="0" w:color="auto"/>
              <w:right w:val="nil"/>
            </w:tcBorders>
            <w:shd w:val="clear" w:color="auto" w:fill="auto"/>
            <w:vAlign w:val="center"/>
            <w:hideMark/>
          </w:tcPr>
          <w:p w14:paraId="676D37F2"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Genetic mutation</w:t>
            </w:r>
          </w:p>
        </w:tc>
        <w:tc>
          <w:tcPr>
            <w:tcW w:w="1134" w:type="dxa"/>
            <w:tcBorders>
              <w:top w:val="single" w:sz="8" w:space="0" w:color="auto"/>
              <w:left w:val="nil"/>
              <w:bottom w:val="single" w:sz="8" w:space="0" w:color="auto"/>
              <w:right w:val="nil"/>
            </w:tcBorders>
            <w:shd w:val="clear" w:color="auto" w:fill="auto"/>
            <w:vAlign w:val="center"/>
            <w:hideMark/>
          </w:tcPr>
          <w:p w14:paraId="64082B2F"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Origin of disease-specific iPSC</w:t>
            </w:r>
          </w:p>
        </w:tc>
        <w:tc>
          <w:tcPr>
            <w:tcW w:w="1559" w:type="dxa"/>
            <w:tcBorders>
              <w:top w:val="single" w:sz="8" w:space="0" w:color="auto"/>
              <w:left w:val="nil"/>
              <w:bottom w:val="single" w:sz="8" w:space="0" w:color="auto"/>
              <w:right w:val="nil"/>
            </w:tcBorders>
            <w:shd w:val="clear" w:color="auto" w:fill="auto"/>
            <w:vAlign w:val="center"/>
            <w:hideMark/>
          </w:tcPr>
          <w:p w14:paraId="286D95F9"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Experimental control</w:t>
            </w:r>
          </w:p>
        </w:tc>
        <w:tc>
          <w:tcPr>
            <w:tcW w:w="1843" w:type="dxa"/>
            <w:tcBorders>
              <w:top w:val="single" w:sz="8" w:space="0" w:color="auto"/>
              <w:left w:val="nil"/>
              <w:bottom w:val="single" w:sz="8" w:space="0" w:color="auto"/>
              <w:right w:val="nil"/>
            </w:tcBorders>
            <w:shd w:val="clear" w:color="auto" w:fill="auto"/>
            <w:vAlign w:val="center"/>
            <w:hideMark/>
          </w:tcPr>
          <w:p w14:paraId="0F1F3A84"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Desmosome proteins</w:t>
            </w:r>
          </w:p>
        </w:tc>
        <w:tc>
          <w:tcPr>
            <w:tcW w:w="1701" w:type="dxa"/>
            <w:tcBorders>
              <w:top w:val="single" w:sz="8" w:space="0" w:color="auto"/>
              <w:left w:val="nil"/>
              <w:bottom w:val="single" w:sz="8" w:space="0" w:color="auto"/>
              <w:right w:val="nil"/>
            </w:tcBorders>
            <w:shd w:val="clear" w:color="auto" w:fill="auto"/>
            <w:vAlign w:val="center"/>
            <w:hideMark/>
          </w:tcPr>
          <w:p w14:paraId="3C149140"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Lipid accumulation</w:t>
            </w:r>
          </w:p>
        </w:tc>
        <w:tc>
          <w:tcPr>
            <w:tcW w:w="1134" w:type="dxa"/>
            <w:tcBorders>
              <w:top w:val="single" w:sz="8" w:space="0" w:color="auto"/>
              <w:left w:val="nil"/>
              <w:bottom w:val="single" w:sz="8" w:space="0" w:color="auto"/>
              <w:right w:val="nil"/>
            </w:tcBorders>
            <w:shd w:val="clear" w:color="auto" w:fill="auto"/>
            <w:vAlign w:val="center"/>
            <w:hideMark/>
          </w:tcPr>
          <w:p w14:paraId="7C152009"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Apoptosis</w:t>
            </w:r>
          </w:p>
        </w:tc>
        <w:tc>
          <w:tcPr>
            <w:tcW w:w="1559" w:type="dxa"/>
            <w:tcBorders>
              <w:top w:val="single" w:sz="8" w:space="0" w:color="auto"/>
              <w:left w:val="nil"/>
              <w:bottom w:val="single" w:sz="8" w:space="0" w:color="auto"/>
              <w:right w:val="nil"/>
            </w:tcBorders>
            <w:shd w:val="clear" w:color="auto" w:fill="auto"/>
            <w:vAlign w:val="center"/>
            <w:hideMark/>
          </w:tcPr>
          <w:p w14:paraId="517AE6AA"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Electrophysiology</w:t>
            </w:r>
          </w:p>
        </w:tc>
        <w:tc>
          <w:tcPr>
            <w:tcW w:w="1134" w:type="dxa"/>
            <w:tcBorders>
              <w:top w:val="single" w:sz="8" w:space="0" w:color="auto"/>
              <w:left w:val="nil"/>
              <w:bottom w:val="single" w:sz="8" w:space="0" w:color="auto"/>
              <w:right w:val="nil"/>
            </w:tcBorders>
            <w:shd w:val="clear" w:color="auto" w:fill="auto"/>
            <w:vAlign w:val="center"/>
            <w:hideMark/>
          </w:tcPr>
          <w:p w14:paraId="72EFE916"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Ultrastructure of desmosome</w:t>
            </w:r>
          </w:p>
        </w:tc>
        <w:tc>
          <w:tcPr>
            <w:tcW w:w="977" w:type="dxa"/>
            <w:tcBorders>
              <w:top w:val="single" w:sz="8" w:space="0" w:color="auto"/>
              <w:left w:val="nil"/>
              <w:bottom w:val="single" w:sz="8" w:space="0" w:color="auto"/>
              <w:right w:val="nil"/>
            </w:tcBorders>
            <w:shd w:val="clear" w:color="auto" w:fill="auto"/>
            <w:vAlign w:val="center"/>
            <w:hideMark/>
          </w:tcPr>
          <w:p w14:paraId="78CDEF51"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Contractility</w:t>
            </w:r>
          </w:p>
        </w:tc>
        <w:tc>
          <w:tcPr>
            <w:tcW w:w="1008" w:type="dxa"/>
            <w:tcBorders>
              <w:top w:val="single" w:sz="8" w:space="0" w:color="auto"/>
              <w:left w:val="nil"/>
              <w:bottom w:val="single" w:sz="8" w:space="0" w:color="auto"/>
              <w:right w:val="nil"/>
            </w:tcBorders>
            <w:shd w:val="clear" w:color="auto" w:fill="auto"/>
            <w:vAlign w:val="center"/>
            <w:hideMark/>
          </w:tcPr>
          <w:p w14:paraId="0F630039" w14:textId="77777777"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Phenotypic rescue by gene replacement</w:t>
            </w:r>
          </w:p>
        </w:tc>
        <w:tc>
          <w:tcPr>
            <w:tcW w:w="1260" w:type="dxa"/>
            <w:tcBorders>
              <w:top w:val="single" w:sz="8" w:space="0" w:color="auto"/>
              <w:left w:val="nil"/>
              <w:bottom w:val="single" w:sz="8" w:space="0" w:color="auto"/>
              <w:right w:val="nil"/>
            </w:tcBorders>
            <w:shd w:val="clear" w:color="auto" w:fill="auto"/>
            <w:vAlign w:val="center"/>
            <w:hideMark/>
          </w:tcPr>
          <w:p w14:paraId="640C3FAE" w14:textId="6BC58978" w:rsidR="00B75E15" w:rsidRPr="00B75E15" w:rsidRDefault="00B75E15" w:rsidP="00B75E15">
            <w:pPr>
              <w:spacing w:line="360" w:lineRule="auto"/>
              <w:jc w:val="both"/>
              <w:rPr>
                <w:rFonts w:ascii="Book Antiqua" w:eastAsia="DengXian" w:hAnsi="Book Antiqua" w:cs="宋体"/>
                <w:b/>
                <w:bCs/>
                <w:color w:val="000000"/>
                <w:lang w:eastAsia="zh-CN"/>
              </w:rPr>
            </w:pPr>
            <w:r w:rsidRPr="00B75E15">
              <w:rPr>
                <w:rFonts w:ascii="Book Antiqua" w:eastAsia="DengXian" w:hAnsi="Book Antiqua" w:cs="宋体"/>
                <w:b/>
                <w:bCs/>
                <w:color w:val="000000"/>
                <w:lang w:eastAsia="zh-CN"/>
              </w:rPr>
              <w:t>Ref.</w:t>
            </w:r>
          </w:p>
        </w:tc>
      </w:tr>
      <w:tr w:rsidR="00B75E15" w:rsidRPr="00B75E15" w14:paraId="6D5B2C81" w14:textId="77777777" w:rsidTr="00B75E15">
        <w:tc>
          <w:tcPr>
            <w:tcW w:w="1418" w:type="dxa"/>
            <w:tcBorders>
              <w:top w:val="nil"/>
              <w:left w:val="nil"/>
              <w:bottom w:val="single" w:sz="8" w:space="0" w:color="auto"/>
              <w:right w:val="nil"/>
            </w:tcBorders>
            <w:shd w:val="clear" w:color="auto" w:fill="auto"/>
            <w:vAlign w:val="center"/>
            <w:hideMark/>
          </w:tcPr>
          <w:p w14:paraId="5AEB5897"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Heterozygous missense (c.1841T&gt;C, p.L614P)</w:t>
            </w:r>
          </w:p>
        </w:tc>
        <w:tc>
          <w:tcPr>
            <w:tcW w:w="1134" w:type="dxa"/>
            <w:tcBorders>
              <w:top w:val="nil"/>
              <w:left w:val="nil"/>
              <w:bottom w:val="single" w:sz="8" w:space="0" w:color="auto"/>
              <w:right w:val="nil"/>
            </w:tcBorders>
            <w:shd w:val="clear" w:color="auto" w:fill="auto"/>
            <w:vAlign w:val="center"/>
            <w:hideMark/>
          </w:tcPr>
          <w:p w14:paraId="11B26E9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Dermal fibroblasts from a 30-yr-old male patient with AC</w:t>
            </w:r>
          </w:p>
        </w:tc>
        <w:tc>
          <w:tcPr>
            <w:tcW w:w="1559" w:type="dxa"/>
            <w:tcBorders>
              <w:top w:val="nil"/>
              <w:left w:val="nil"/>
              <w:bottom w:val="single" w:sz="8" w:space="0" w:color="auto"/>
              <w:right w:val="nil"/>
            </w:tcBorders>
            <w:shd w:val="clear" w:color="auto" w:fill="auto"/>
            <w:vAlign w:val="center"/>
            <w:hideMark/>
          </w:tcPr>
          <w:p w14:paraId="0548CF7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iPSCs from a 32-yr-old healthy male donor</w:t>
            </w:r>
          </w:p>
        </w:tc>
        <w:tc>
          <w:tcPr>
            <w:tcW w:w="1843" w:type="dxa"/>
            <w:tcBorders>
              <w:top w:val="nil"/>
              <w:left w:val="nil"/>
              <w:bottom w:val="single" w:sz="8" w:space="0" w:color="auto"/>
              <w:right w:val="nil"/>
            </w:tcBorders>
            <w:shd w:val="clear" w:color="auto" w:fill="auto"/>
            <w:vAlign w:val="center"/>
            <w:hideMark/>
          </w:tcPr>
          <w:p w14:paraId="554B44A5"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JUP; No change in DSP, CDH2, and GJA1 (immunofluorescence staining at weeks 4-5)</w:t>
            </w:r>
          </w:p>
        </w:tc>
        <w:tc>
          <w:tcPr>
            <w:tcW w:w="1701" w:type="dxa"/>
            <w:tcBorders>
              <w:top w:val="nil"/>
              <w:left w:val="nil"/>
              <w:bottom w:val="single" w:sz="8" w:space="0" w:color="auto"/>
              <w:right w:val="nil"/>
            </w:tcBorders>
            <w:shd w:val="clear" w:color="auto" w:fill="auto"/>
            <w:vAlign w:val="center"/>
            <w:hideMark/>
          </w:tcPr>
          <w:p w14:paraId="43954DE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oil red O staining after exposure to adipogenic differentiation medium for 2 wk (oil red O staining)</w:t>
            </w:r>
          </w:p>
        </w:tc>
        <w:tc>
          <w:tcPr>
            <w:tcW w:w="1134" w:type="dxa"/>
            <w:tcBorders>
              <w:top w:val="nil"/>
              <w:left w:val="nil"/>
              <w:bottom w:val="single" w:sz="8" w:space="0" w:color="auto"/>
              <w:right w:val="nil"/>
            </w:tcBorders>
            <w:shd w:val="clear" w:color="auto" w:fill="auto"/>
            <w:vAlign w:val="center"/>
            <w:hideMark/>
          </w:tcPr>
          <w:p w14:paraId="51DB4AB9"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64CE7BF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Ventricular-like action potential profile (single-cell patch-clamp recording (without control))</w:t>
            </w:r>
          </w:p>
        </w:tc>
        <w:tc>
          <w:tcPr>
            <w:tcW w:w="1134" w:type="dxa"/>
            <w:tcBorders>
              <w:top w:val="nil"/>
              <w:left w:val="nil"/>
              <w:bottom w:val="single" w:sz="8" w:space="0" w:color="auto"/>
              <w:right w:val="nil"/>
            </w:tcBorders>
            <w:shd w:val="clear" w:color="auto" w:fill="auto"/>
            <w:vAlign w:val="center"/>
            <w:hideMark/>
          </w:tcPr>
          <w:p w14:paraId="60759322"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cell width (TEM at weeks 4-5)</w:t>
            </w:r>
          </w:p>
        </w:tc>
        <w:tc>
          <w:tcPr>
            <w:tcW w:w="977" w:type="dxa"/>
            <w:tcBorders>
              <w:top w:val="nil"/>
              <w:left w:val="nil"/>
              <w:bottom w:val="single" w:sz="8" w:space="0" w:color="auto"/>
              <w:right w:val="nil"/>
            </w:tcBorders>
            <w:shd w:val="clear" w:color="auto" w:fill="auto"/>
            <w:vAlign w:val="center"/>
            <w:hideMark/>
          </w:tcPr>
          <w:p w14:paraId="199A5D3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51F7B77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27471772" w14:textId="7EBD0D52"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Ma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[48]</w:t>
            </w:r>
          </w:p>
        </w:tc>
      </w:tr>
      <w:tr w:rsidR="00B75E15" w:rsidRPr="00B75E15" w14:paraId="41A58913" w14:textId="77777777" w:rsidTr="00B75E15">
        <w:tc>
          <w:tcPr>
            <w:tcW w:w="1418" w:type="dxa"/>
            <w:tcBorders>
              <w:top w:val="nil"/>
              <w:left w:val="nil"/>
              <w:bottom w:val="single" w:sz="8" w:space="0" w:color="auto"/>
              <w:right w:val="nil"/>
            </w:tcBorders>
            <w:shd w:val="clear" w:color="auto" w:fill="auto"/>
            <w:vAlign w:val="center"/>
            <w:hideMark/>
          </w:tcPr>
          <w:p w14:paraId="5DC744A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Heterozygous frameshift (c.971_972ins, pA324fs335X); Heterozygous frameshift </w:t>
            </w:r>
            <w:r w:rsidRPr="00B75E15">
              <w:rPr>
                <w:rFonts w:ascii="Book Antiqua" w:eastAsia="DengXian" w:hAnsi="Book Antiqua" w:cs="宋体"/>
                <w:color w:val="000000"/>
                <w:lang w:eastAsia="zh-CN"/>
              </w:rPr>
              <w:lastRenderedPageBreak/>
              <w:t>(c.148_151delACAG, p.T50SfsX110)</w:t>
            </w:r>
          </w:p>
        </w:tc>
        <w:tc>
          <w:tcPr>
            <w:tcW w:w="1134" w:type="dxa"/>
            <w:tcBorders>
              <w:top w:val="nil"/>
              <w:left w:val="nil"/>
              <w:bottom w:val="single" w:sz="8" w:space="0" w:color="auto"/>
              <w:right w:val="nil"/>
            </w:tcBorders>
            <w:shd w:val="clear" w:color="auto" w:fill="auto"/>
            <w:vAlign w:val="center"/>
            <w:hideMark/>
          </w:tcPr>
          <w:p w14:paraId="40A0A06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Dermal fibroblasts from a 30-yr-old male patient with AC</w:t>
            </w:r>
          </w:p>
        </w:tc>
        <w:tc>
          <w:tcPr>
            <w:tcW w:w="1559" w:type="dxa"/>
            <w:tcBorders>
              <w:top w:val="nil"/>
              <w:left w:val="nil"/>
              <w:bottom w:val="single" w:sz="8" w:space="0" w:color="auto"/>
              <w:right w:val="nil"/>
            </w:tcBorders>
            <w:shd w:val="clear" w:color="auto" w:fill="auto"/>
            <w:vAlign w:val="center"/>
            <w:hideMark/>
          </w:tcPr>
          <w:p w14:paraId="6D35F63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iPSCs from a healthy control</w:t>
            </w:r>
          </w:p>
        </w:tc>
        <w:tc>
          <w:tcPr>
            <w:tcW w:w="1843" w:type="dxa"/>
            <w:tcBorders>
              <w:top w:val="nil"/>
              <w:left w:val="nil"/>
              <w:bottom w:val="single" w:sz="8" w:space="0" w:color="auto"/>
              <w:right w:val="nil"/>
            </w:tcBorders>
            <w:shd w:val="clear" w:color="auto" w:fill="auto"/>
            <w:vAlign w:val="center"/>
            <w:hideMark/>
          </w:tcPr>
          <w:p w14:paraId="4A34812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JUP and GJA1 (immunofluorescence staining)</w:t>
            </w:r>
          </w:p>
        </w:tc>
        <w:tc>
          <w:tcPr>
            <w:tcW w:w="1701" w:type="dxa"/>
            <w:tcBorders>
              <w:top w:val="nil"/>
              <w:left w:val="nil"/>
              <w:bottom w:val="single" w:sz="8" w:space="0" w:color="auto"/>
              <w:right w:val="nil"/>
            </w:tcBorders>
            <w:shd w:val="clear" w:color="auto" w:fill="auto"/>
            <w:vAlign w:val="center"/>
            <w:hideMark/>
          </w:tcPr>
          <w:p w14:paraId="5B4BFD9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Lipid droplet accumulation (TEM on day 40)</w:t>
            </w:r>
          </w:p>
        </w:tc>
        <w:tc>
          <w:tcPr>
            <w:tcW w:w="1134" w:type="dxa"/>
            <w:tcBorders>
              <w:top w:val="nil"/>
              <w:left w:val="nil"/>
              <w:bottom w:val="single" w:sz="8" w:space="0" w:color="auto"/>
              <w:right w:val="nil"/>
            </w:tcBorders>
            <w:shd w:val="clear" w:color="auto" w:fill="auto"/>
            <w:vAlign w:val="center"/>
            <w:hideMark/>
          </w:tcPr>
          <w:p w14:paraId="0D4CD28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apoptosis after serum starvation (TUNEL)</w:t>
            </w:r>
          </w:p>
        </w:tc>
        <w:tc>
          <w:tcPr>
            <w:tcW w:w="1559" w:type="dxa"/>
            <w:tcBorders>
              <w:top w:val="nil"/>
              <w:left w:val="nil"/>
              <w:bottom w:val="single" w:sz="8" w:space="0" w:color="auto"/>
              <w:right w:val="nil"/>
            </w:tcBorders>
            <w:shd w:val="clear" w:color="auto" w:fill="auto"/>
            <w:vAlign w:val="center"/>
            <w:hideMark/>
          </w:tcPr>
          <w:p w14:paraId="5734D61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Prolonged field potential rise time (multielectrode array)</w:t>
            </w:r>
          </w:p>
        </w:tc>
        <w:tc>
          <w:tcPr>
            <w:tcW w:w="1134" w:type="dxa"/>
            <w:tcBorders>
              <w:top w:val="nil"/>
              <w:left w:val="nil"/>
              <w:bottom w:val="single" w:sz="8" w:space="0" w:color="auto"/>
              <w:right w:val="nil"/>
            </w:tcBorders>
            <w:shd w:val="clear" w:color="auto" w:fill="auto"/>
            <w:vAlign w:val="center"/>
            <w:hideMark/>
          </w:tcPr>
          <w:p w14:paraId="210501E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Widened and distorted desmosomes (TEM on day 40)</w:t>
            </w:r>
          </w:p>
        </w:tc>
        <w:tc>
          <w:tcPr>
            <w:tcW w:w="977" w:type="dxa"/>
            <w:tcBorders>
              <w:top w:val="nil"/>
              <w:left w:val="nil"/>
              <w:bottom w:val="single" w:sz="8" w:space="0" w:color="auto"/>
              <w:right w:val="nil"/>
            </w:tcBorders>
            <w:shd w:val="clear" w:color="auto" w:fill="auto"/>
            <w:vAlign w:val="center"/>
            <w:hideMark/>
          </w:tcPr>
          <w:p w14:paraId="582799F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024A93C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0213836C" w14:textId="7AAD7882"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Caspi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[46]</w:t>
            </w:r>
          </w:p>
        </w:tc>
      </w:tr>
      <w:tr w:rsidR="00B75E15" w:rsidRPr="00B75E15" w14:paraId="7BF7CC1A" w14:textId="77777777" w:rsidTr="00B75E15">
        <w:tc>
          <w:tcPr>
            <w:tcW w:w="1418" w:type="dxa"/>
            <w:tcBorders>
              <w:top w:val="nil"/>
              <w:left w:val="nil"/>
              <w:bottom w:val="single" w:sz="8" w:space="0" w:color="auto"/>
              <w:right w:val="nil"/>
            </w:tcBorders>
            <w:shd w:val="clear" w:color="auto" w:fill="auto"/>
            <w:vAlign w:val="center"/>
            <w:hideMark/>
          </w:tcPr>
          <w:p w14:paraId="0688694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Homozygous frameshift (c.2484C&gt;T leading to cryptic splicing); Heterozygous frameshift (c.2013delC, p.Lys672ArgfsX12)</w:t>
            </w:r>
          </w:p>
        </w:tc>
        <w:tc>
          <w:tcPr>
            <w:tcW w:w="1134" w:type="dxa"/>
            <w:tcBorders>
              <w:top w:val="nil"/>
              <w:left w:val="nil"/>
              <w:bottom w:val="single" w:sz="8" w:space="0" w:color="auto"/>
              <w:right w:val="nil"/>
            </w:tcBorders>
            <w:shd w:val="clear" w:color="auto" w:fill="auto"/>
            <w:vAlign w:val="center"/>
            <w:hideMark/>
          </w:tcPr>
          <w:p w14:paraId="3A3B90A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Fibroblasts from a female patient with AC; Fibroblasts from a patient with AC</w:t>
            </w:r>
          </w:p>
        </w:tc>
        <w:tc>
          <w:tcPr>
            <w:tcW w:w="1559" w:type="dxa"/>
            <w:tcBorders>
              <w:top w:val="nil"/>
              <w:left w:val="nil"/>
              <w:bottom w:val="single" w:sz="8" w:space="0" w:color="auto"/>
              <w:right w:val="nil"/>
            </w:tcBorders>
            <w:shd w:val="clear" w:color="auto" w:fill="auto"/>
            <w:vAlign w:val="center"/>
            <w:hideMark/>
          </w:tcPr>
          <w:p w14:paraId="1A29119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H9 human embryonic stem cell; iPSCs from cardiac fibroblasts of aborted fetus without a family history of AC</w:t>
            </w:r>
          </w:p>
        </w:tc>
        <w:tc>
          <w:tcPr>
            <w:tcW w:w="1843" w:type="dxa"/>
            <w:tcBorders>
              <w:top w:val="nil"/>
              <w:left w:val="nil"/>
              <w:bottom w:val="single" w:sz="8" w:space="0" w:color="auto"/>
              <w:right w:val="nil"/>
            </w:tcBorders>
            <w:shd w:val="clear" w:color="auto" w:fill="auto"/>
            <w:vAlign w:val="center"/>
            <w:hideMark/>
          </w:tcPr>
          <w:p w14:paraId="3493925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Nuclear translocation of JUP (immunofluorescence staining)</w:t>
            </w:r>
          </w:p>
        </w:tc>
        <w:tc>
          <w:tcPr>
            <w:tcW w:w="1701" w:type="dxa"/>
            <w:tcBorders>
              <w:top w:val="nil"/>
              <w:left w:val="nil"/>
              <w:bottom w:val="single" w:sz="8" w:space="0" w:color="auto"/>
              <w:right w:val="nil"/>
            </w:tcBorders>
            <w:shd w:val="clear" w:color="auto" w:fill="auto"/>
            <w:vAlign w:val="center"/>
            <w:hideMark/>
          </w:tcPr>
          <w:p w14:paraId="1C60C81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lipogenesis after adipogenic stimulation for 4-5 wk (Nile red staining)</w:t>
            </w:r>
          </w:p>
        </w:tc>
        <w:tc>
          <w:tcPr>
            <w:tcW w:w="1134" w:type="dxa"/>
            <w:tcBorders>
              <w:top w:val="nil"/>
              <w:left w:val="nil"/>
              <w:bottom w:val="single" w:sz="8" w:space="0" w:color="auto"/>
              <w:right w:val="nil"/>
            </w:tcBorders>
            <w:shd w:val="clear" w:color="auto" w:fill="auto"/>
            <w:vAlign w:val="center"/>
            <w:hideMark/>
          </w:tcPr>
          <w:p w14:paraId="47E95A6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apoptosis after adipogenic stimulation for 4-5 wk (TUNEL)</w:t>
            </w:r>
          </w:p>
        </w:tc>
        <w:tc>
          <w:tcPr>
            <w:tcW w:w="1559" w:type="dxa"/>
            <w:tcBorders>
              <w:top w:val="nil"/>
              <w:left w:val="nil"/>
              <w:bottom w:val="single" w:sz="8" w:space="0" w:color="auto"/>
              <w:right w:val="nil"/>
            </w:tcBorders>
            <w:shd w:val="clear" w:color="auto" w:fill="auto"/>
            <w:vAlign w:val="center"/>
            <w:hideMark/>
          </w:tcPr>
          <w:p w14:paraId="5E3DC36F"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Slow intracellular calcium relaxation; Prolonged relaxation time (calcium imaging using Fura-2 acetoxymethyl on day 60)</w:t>
            </w:r>
          </w:p>
        </w:tc>
        <w:tc>
          <w:tcPr>
            <w:tcW w:w="1134" w:type="dxa"/>
            <w:tcBorders>
              <w:top w:val="nil"/>
              <w:left w:val="nil"/>
              <w:bottom w:val="single" w:sz="8" w:space="0" w:color="auto"/>
              <w:right w:val="nil"/>
            </w:tcBorders>
            <w:shd w:val="clear" w:color="auto" w:fill="auto"/>
            <w:vAlign w:val="center"/>
            <w:hideMark/>
          </w:tcPr>
          <w:p w14:paraId="027F650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6C52652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2FFF4CD5"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703352AE" w14:textId="6CE79045"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Kim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[47]</w:t>
            </w:r>
          </w:p>
        </w:tc>
      </w:tr>
      <w:tr w:rsidR="00B75E15" w:rsidRPr="00B75E15" w14:paraId="03C419B5" w14:textId="77777777" w:rsidTr="00B75E15">
        <w:tc>
          <w:tcPr>
            <w:tcW w:w="1418" w:type="dxa"/>
            <w:tcBorders>
              <w:top w:val="nil"/>
              <w:left w:val="nil"/>
              <w:bottom w:val="single" w:sz="8" w:space="0" w:color="auto"/>
              <w:right w:val="nil"/>
            </w:tcBorders>
            <w:shd w:val="clear" w:color="auto" w:fill="auto"/>
            <w:vAlign w:val="center"/>
            <w:hideMark/>
          </w:tcPr>
          <w:p w14:paraId="6C5DFB0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Heterozygous frameshift (c.1760delT, p.V587Afsx655)</w:t>
            </w:r>
          </w:p>
        </w:tc>
        <w:tc>
          <w:tcPr>
            <w:tcW w:w="1134" w:type="dxa"/>
            <w:tcBorders>
              <w:top w:val="nil"/>
              <w:left w:val="nil"/>
              <w:bottom w:val="single" w:sz="8" w:space="0" w:color="auto"/>
              <w:right w:val="nil"/>
            </w:tcBorders>
            <w:shd w:val="clear" w:color="auto" w:fill="auto"/>
            <w:vAlign w:val="center"/>
            <w:hideMark/>
          </w:tcPr>
          <w:p w14:paraId="6C751A6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Dermal keratinocytes from a male patient with AC</w:t>
            </w:r>
          </w:p>
        </w:tc>
        <w:tc>
          <w:tcPr>
            <w:tcW w:w="1559" w:type="dxa"/>
            <w:tcBorders>
              <w:top w:val="nil"/>
              <w:left w:val="nil"/>
              <w:bottom w:val="single" w:sz="8" w:space="0" w:color="auto"/>
              <w:right w:val="nil"/>
            </w:tcBorders>
            <w:shd w:val="clear" w:color="auto" w:fill="auto"/>
            <w:vAlign w:val="center"/>
            <w:hideMark/>
          </w:tcPr>
          <w:p w14:paraId="6383DFC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iPSCs from dermal keratinocytes of a healthy control</w:t>
            </w:r>
          </w:p>
        </w:tc>
        <w:tc>
          <w:tcPr>
            <w:tcW w:w="1843" w:type="dxa"/>
            <w:tcBorders>
              <w:top w:val="nil"/>
              <w:left w:val="nil"/>
              <w:bottom w:val="single" w:sz="8" w:space="0" w:color="auto"/>
              <w:right w:val="nil"/>
            </w:tcBorders>
            <w:shd w:val="clear" w:color="auto" w:fill="auto"/>
            <w:vAlign w:val="center"/>
            <w:hideMark/>
          </w:tcPr>
          <w:p w14:paraId="552CABD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Interrupted expression of DSP (immunofluorescence staining)</w:t>
            </w:r>
          </w:p>
        </w:tc>
        <w:tc>
          <w:tcPr>
            <w:tcW w:w="1701" w:type="dxa"/>
            <w:tcBorders>
              <w:top w:val="nil"/>
              <w:left w:val="nil"/>
              <w:bottom w:val="single" w:sz="8" w:space="0" w:color="auto"/>
              <w:right w:val="nil"/>
            </w:tcBorders>
            <w:shd w:val="clear" w:color="auto" w:fill="auto"/>
            <w:vAlign w:val="center"/>
            <w:hideMark/>
          </w:tcPr>
          <w:p w14:paraId="2DC902B7"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Lipid droplet accumulation after adipogenic stimulation for 4 wk (oil red O staining at months 3-4)</w:t>
            </w:r>
          </w:p>
        </w:tc>
        <w:tc>
          <w:tcPr>
            <w:tcW w:w="1134" w:type="dxa"/>
            <w:tcBorders>
              <w:top w:val="nil"/>
              <w:left w:val="nil"/>
              <w:bottom w:val="single" w:sz="8" w:space="0" w:color="auto"/>
              <w:right w:val="nil"/>
            </w:tcBorders>
            <w:shd w:val="clear" w:color="auto" w:fill="auto"/>
            <w:vAlign w:val="center"/>
            <w:hideMark/>
          </w:tcPr>
          <w:p w14:paraId="1379F562"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Genes associated with apoptosis remained unchanged (quantitative real-</w:t>
            </w:r>
            <w:r w:rsidRPr="00B75E15">
              <w:rPr>
                <w:rFonts w:ascii="Book Antiqua" w:eastAsia="DengXian" w:hAnsi="Book Antiqua" w:cs="宋体"/>
                <w:color w:val="000000"/>
                <w:lang w:eastAsia="zh-CN"/>
              </w:rPr>
              <w:lastRenderedPageBreak/>
              <w:t>time PCR)</w:t>
            </w:r>
          </w:p>
        </w:tc>
        <w:tc>
          <w:tcPr>
            <w:tcW w:w="1559" w:type="dxa"/>
            <w:tcBorders>
              <w:top w:val="nil"/>
              <w:left w:val="nil"/>
              <w:bottom w:val="single" w:sz="8" w:space="0" w:color="auto"/>
              <w:right w:val="nil"/>
            </w:tcBorders>
            <w:shd w:val="clear" w:color="auto" w:fill="auto"/>
            <w:vAlign w:val="center"/>
            <w:hideMark/>
          </w:tcPr>
          <w:p w14:paraId="48C76E5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NA</w:t>
            </w:r>
          </w:p>
        </w:tc>
        <w:tc>
          <w:tcPr>
            <w:tcW w:w="1134" w:type="dxa"/>
            <w:tcBorders>
              <w:top w:val="nil"/>
              <w:left w:val="nil"/>
              <w:bottom w:val="single" w:sz="8" w:space="0" w:color="auto"/>
              <w:right w:val="nil"/>
            </w:tcBorders>
            <w:shd w:val="clear" w:color="auto" w:fill="auto"/>
            <w:vAlign w:val="center"/>
            <w:hideMark/>
          </w:tcPr>
          <w:p w14:paraId="25E0F339"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41DF8F99"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3894BBC5"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3CF45094" w14:textId="09A7D761"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Dorn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[49]</w:t>
            </w:r>
          </w:p>
        </w:tc>
      </w:tr>
      <w:tr w:rsidR="00B75E15" w:rsidRPr="00B75E15" w14:paraId="024C2BB1" w14:textId="77777777" w:rsidTr="00B75E15">
        <w:tc>
          <w:tcPr>
            <w:tcW w:w="1418" w:type="dxa"/>
            <w:tcBorders>
              <w:top w:val="nil"/>
              <w:left w:val="nil"/>
              <w:bottom w:val="single" w:sz="8" w:space="0" w:color="auto"/>
              <w:right w:val="nil"/>
            </w:tcBorders>
            <w:shd w:val="clear" w:color="auto" w:fill="auto"/>
            <w:vAlign w:val="center"/>
            <w:hideMark/>
          </w:tcPr>
          <w:p w14:paraId="151AE35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Homozygous frameshift (c.2484C&gt;T leading to cryptic splicing)</w:t>
            </w:r>
          </w:p>
        </w:tc>
        <w:tc>
          <w:tcPr>
            <w:tcW w:w="1134" w:type="dxa"/>
            <w:tcBorders>
              <w:top w:val="nil"/>
              <w:left w:val="nil"/>
              <w:bottom w:val="single" w:sz="8" w:space="0" w:color="auto"/>
              <w:right w:val="nil"/>
            </w:tcBorders>
            <w:shd w:val="clear" w:color="auto" w:fill="auto"/>
            <w:vAlign w:val="center"/>
            <w:hideMark/>
          </w:tcPr>
          <w:p w14:paraId="43911983"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Fibroblasts from a female patient with AC</w:t>
            </w:r>
          </w:p>
        </w:tc>
        <w:tc>
          <w:tcPr>
            <w:tcW w:w="1559" w:type="dxa"/>
            <w:tcBorders>
              <w:top w:val="nil"/>
              <w:left w:val="nil"/>
              <w:bottom w:val="single" w:sz="8" w:space="0" w:color="auto"/>
              <w:right w:val="nil"/>
            </w:tcBorders>
            <w:shd w:val="clear" w:color="auto" w:fill="auto"/>
            <w:vAlign w:val="center"/>
            <w:hideMark/>
          </w:tcPr>
          <w:p w14:paraId="308C8F4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iPSCs from a healthy control</w:t>
            </w:r>
          </w:p>
        </w:tc>
        <w:tc>
          <w:tcPr>
            <w:tcW w:w="1843" w:type="dxa"/>
            <w:tcBorders>
              <w:top w:val="nil"/>
              <w:left w:val="nil"/>
              <w:bottom w:val="single" w:sz="8" w:space="0" w:color="auto"/>
              <w:right w:val="nil"/>
            </w:tcBorders>
            <w:shd w:val="clear" w:color="auto" w:fill="auto"/>
            <w:vAlign w:val="center"/>
            <w:hideMark/>
          </w:tcPr>
          <w:p w14:paraId="1B627F93"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Reduced JUP (immunofluorescence staining)</w:t>
            </w:r>
          </w:p>
        </w:tc>
        <w:tc>
          <w:tcPr>
            <w:tcW w:w="1701" w:type="dxa"/>
            <w:tcBorders>
              <w:top w:val="nil"/>
              <w:left w:val="nil"/>
              <w:bottom w:val="single" w:sz="8" w:space="0" w:color="auto"/>
              <w:right w:val="nil"/>
            </w:tcBorders>
            <w:shd w:val="clear" w:color="auto" w:fill="auto"/>
            <w:vAlign w:val="center"/>
            <w:hideMark/>
          </w:tcPr>
          <w:p w14:paraId="2CC4F4E2"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134" w:type="dxa"/>
            <w:tcBorders>
              <w:top w:val="nil"/>
              <w:left w:val="nil"/>
              <w:bottom w:val="single" w:sz="8" w:space="0" w:color="auto"/>
              <w:right w:val="nil"/>
            </w:tcBorders>
            <w:shd w:val="clear" w:color="auto" w:fill="auto"/>
            <w:vAlign w:val="center"/>
            <w:hideMark/>
          </w:tcPr>
          <w:p w14:paraId="1AF34AB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0285DBF9"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 (decreased co-localization of NaV1.5 with PKP2)</w:t>
            </w:r>
          </w:p>
        </w:tc>
        <w:tc>
          <w:tcPr>
            <w:tcW w:w="1134" w:type="dxa"/>
            <w:tcBorders>
              <w:top w:val="nil"/>
              <w:left w:val="nil"/>
              <w:bottom w:val="single" w:sz="8" w:space="0" w:color="auto"/>
              <w:right w:val="nil"/>
            </w:tcBorders>
            <w:shd w:val="clear" w:color="auto" w:fill="auto"/>
            <w:vAlign w:val="center"/>
            <w:hideMark/>
          </w:tcPr>
          <w:p w14:paraId="6454873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19D540A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 (increased pro-fibrotic gene expression after stretch)</w:t>
            </w:r>
          </w:p>
        </w:tc>
        <w:tc>
          <w:tcPr>
            <w:tcW w:w="1008" w:type="dxa"/>
            <w:tcBorders>
              <w:top w:val="nil"/>
              <w:left w:val="nil"/>
              <w:bottom w:val="single" w:sz="8" w:space="0" w:color="auto"/>
              <w:right w:val="nil"/>
            </w:tcBorders>
            <w:shd w:val="clear" w:color="auto" w:fill="auto"/>
            <w:vAlign w:val="center"/>
            <w:hideMark/>
          </w:tcPr>
          <w:p w14:paraId="251EED9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2E8D6AEF" w14:textId="7CB1B390"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Martewicz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[51]</w:t>
            </w:r>
          </w:p>
        </w:tc>
      </w:tr>
      <w:tr w:rsidR="00B75E15" w:rsidRPr="00B75E15" w14:paraId="24E6AD3E" w14:textId="77777777" w:rsidTr="00B75E15">
        <w:tc>
          <w:tcPr>
            <w:tcW w:w="1418" w:type="dxa"/>
            <w:tcBorders>
              <w:top w:val="nil"/>
              <w:left w:val="nil"/>
              <w:bottom w:val="single" w:sz="8" w:space="0" w:color="auto"/>
              <w:right w:val="nil"/>
            </w:tcBorders>
            <w:shd w:val="clear" w:color="auto" w:fill="auto"/>
            <w:vAlign w:val="center"/>
            <w:hideMark/>
          </w:tcPr>
          <w:p w14:paraId="3F34E91C"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Heterozygous frameshift (c.971_972InsT, p.A324fs335X)</w:t>
            </w:r>
          </w:p>
        </w:tc>
        <w:tc>
          <w:tcPr>
            <w:tcW w:w="1134" w:type="dxa"/>
            <w:tcBorders>
              <w:top w:val="nil"/>
              <w:left w:val="nil"/>
              <w:bottom w:val="single" w:sz="8" w:space="0" w:color="auto"/>
              <w:right w:val="nil"/>
            </w:tcBorders>
            <w:shd w:val="clear" w:color="auto" w:fill="auto"/>
            <w:vAlign w:val="center"/>
            <w:hideMark/>
          </w:tcPr>
          <w:p w14:paraId="6BDFBFC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A patient with AC</w:t>
            </w:r>
          </w:p>
        </w:tc>
        <w:tc>
          <w:tcPr>
            <w:tcW w:w="1559" w:type="dxa"/>
            <w:tcBorders>
              <w:top w:val="nil"/>
              <w:left w:val="nil"/>
              <w:bottom w:val="single" w:sz="8" w:space="0" w:color="auto"/>
              <w:right w:val="nil"/>
            </w:tcBorders>
            <w:shd w:val="clear" w:color="auto" w:fill="auto"/>
            <w:vAlign w:val="center"/>
            <w:hideMark/>
          </w:tcPr>
          <w:p w14:paraId="01CCEF4B"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H9 human embryonic stem cells</w:t>
            </w:r>
          </w:p>
        </w:tc>
        <w:tc>
          <w:tcPr>
            <w:tcW w:w="1843" w:type="dxa"/>
            <w:tcBorders>
              <w:top w:val="nil"/>
              <w:left w:val="nil"/>
              <w:bottom w:val="single" w:sz="8" w:space="0" w:color="auto"/>
              <w:right w:val="nil"/>
            </w:tcBorders>
            <w:shd w:val="clear" w:color="auto" w:fill="auto"/>
            <w:vAlign w:val="center"/>
            <w:hideMark/>
          </w:tcPr>
          <w:p w14:paraId="2E04B423"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membrane-localized JUP (immunofluorescence staining on day 34)</w:t>
            </w:r>
          </w:p>
        </w:tc>
        <w:tc>
          <w:tcPr>
            <w:tcW w:w="1701" w:type="dxa"/>
            <w:tcBorders>
              <w:top w:val="nil"/>
              <w:left w:val="nil"/>
              <w:bottom w:val="single" w:sz="8" w:space="0" w:color="auto"/>
              <w:right w:val="nil"/>
            </w:tcBorders>
            <w:shd w:val="clear" w:color="auto" w:fill="auto"/>
            <w:vAlign w:val="center"/>
            <w:hideMark/>
          </w:tcPr>
          <w:p w14:paraId="057F7CC9"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lipid content (Nile red staining on day 34)</w:t>
            </w:r>
          </w:p>
        </w:tc>
        <w:tc>
          <w:tcPr>
            <w:tcW w:w="1134" w:type="dxa"/>
            <w:tcBorders>
              <w:top w:val="nil"/>
              <w:left w:val="nil"/>
              <w:bottom w:val="single" w:sz="8" w:space="0" w:color="auto"/>
              <w:right w:val="nil"/>
            </w:tcBorders>
            <w:shd w:val="clear" w:color="auto" w:fill="auto"/>
            <w:vAlign w:val="center"/>
            <w:hideMark/>
          </w:tcPr>
          <w:p w14:paraId="06E2DBE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4819E456"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Short action potential and slow spontaneous beat rate in engineered heart slices [optical mapping (relative to monolayer cardiomyocytes)]</w:t>
            </w:r>
          </w:p>
        </w:tc>
        <w:tc>
          <w:tcPr>
            <w:tcW w:w="1134" w:type="dxa"/>
            <w:tcBorders>
              <w:top w:val="nil"/>
              <w:left w:val="nil"/>
              <w:bottom w:val="single" w:sz="8" w:space="0" w:color="auto"/>
              <w:right w:val="nil"/>
            </w:tcBorders>
            <w:shd w:val="clear" w:color="auto" w:fill="auto"/>
            <w:vAlign w:val="center"/>
            <w:hideMark/>
          </w:tcPr>
          <w:p w14:paraId="2459876B"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19ACD4F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16739B7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6C200EDA" w14:textId="51ACD14F"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Blazeski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[50]</w:t>
            </w:r>
          </w:p>
        </w:tc>
      </w:tr>
      <w:tr w:rsidR="00B75E15" w:rsidRPr="00B75E15" w14:paraId="30E9195F" w14:textId="77777777" w:rsidTr="00B75E15">
        <w:tc>
          <w:tcPr>
            <w:tcW w:w="1418" w:type="dxa"/>
            <w:tcBorders>
              <w:top w:val="nil"/>
              <w:left w:val="nil"/>
              <w:bottom w:val="single" w:sz="8" w:space="0" w:color="auto"/>
              <w:right w:val="nil"/>
            </w:tcBorders>
            <w:shd w:val="clear" w:color="auto" w:fill="auto"/>
            <w:vAlign w:val="center"/>
            <w:hideMark/>
          </w:tcPr>
          <w:p w14:paraId="4090FAA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Compound heterozygous </w:t>
            </w:r>
            <w:r w:rsidRPr="00B75E15">
              <w:rPr>
                <w:rFonts w:ascii="Book Antiqua" w:eastAsia="DengXian" w:hAnsi="Book Antiqua" w:cs="宋体"/>
                <w:color w:val="000000"/>
                <w:lang w:eastAsia="zh-CN"/>
              </w:rPr>
              <w:lastRenderedPageBreak/>
              <w:t>frameshift and missense (c.354delT, p.Y119MfsX23 and p.K859R)</w:t>
            </w:r>
          </w:p>
        </w:tc>
        <w:tc>
          <w:tcPr>
            <w:tcW w:w="1134" w:type="dxa"/>
            <w:tcBorders>
              <w:top w:val="nil"/>
              <w:left w:val="nil"/>
              <w:bottom w:val="single" w:sz="8" w:space="0" w:color="auto"/>
              <w:right w:val="nil"/>
            </w:tcBorders>
            <w:shd w:val="clear" w:color="auto" w:fill="auto"/>
            <w:vAlign w:val="center"/>
            <w:hideMark/>
          </w:tcPr>
          <w:p w14:paraId="14ED2F1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Adipose tissue-derived mesenc</w:t>
            </w:r>
            <w:r w:rsidRPr="00B75E15">
              <w:rPr>
                <w:rFonts w:ascii="Book Antiqua" w:eastAsia="DengXian" w:hAnsi="Book Antiqua" w:cs="宋体"/>
                <w:color w:val="000000"/>
                <w:lang w:eastAsia="zh-CN"/>
              </w:rPr>
              <w:lastRenderedPageBreak/>
              <w:t>hymal multipotent stromal cells from a 14-yr-old female patient with AC</w:t>
            </w:r>
          </w:p>
        </w:tc>
        <w:tc>
          <w:tcPr>
            <w:tcW w:w="1559" w:type="dxa"/>
            <w:tcBorders>
              <w:top w:val="nil"/>
              <w:left w:val="nil"/>
              <w:bottom w:val="single" w:sz="8" w:space="0" w:color="auto"/>
              <w:right w:val="nil"/>
            </w:tcBorders>
            <w:shd w:val="clear" w:color="auto" w:fill="auto"/>
            <w:vAlign w:val="center"/>
            <w:hideMark/>
          </w:tcPr>
          <w:p w14:paraId="6A353FD4"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Gender-matched healthy donor</w:t>
            </w:r>
          </w:p>
        </w:tc>
        <w:tc>
          <w:tcPr>
            <w:tcW w:w="1843" w:type="dxa"/>
            <w:tcBorders>
              <w:top w:val="nil"/>
              <w:left w:val="nil"/>
              <w:bottom w:val="single" w:sz="8" w:space="0" w:color="auto"/>
              <w:right w:val="nil"/>
            </w:tcBorders>
            <w:shd w:val="clear" w:color="auto" w:fill="auto"/>
            <w:vAlign w:val="center"/>
            <w:hideMark/>
          </w:tcPr>
          <w:p w14:paraId="17DE8F1F"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Increased cytoplasmic and nuclear JUP levels </w:t>
            </w:r>
            <w:r w:rsidRPr="00B75E15">
              <w:rPr>
                <w:rFonts w:ascii="Book Antiqua" w:eastAsia="DengXian" w:hAnsi="Book Antiqua" w:cs="宋体"/>
                <w:color w:val="000000"/>
                <w:lang w:eastAsia="zh-CN"/>
              </w:rPr>
              <w:lastRenderedPageBreak/>
              <w:t>(immunofluorescence staining on days 24-30)</w:t>
            </w:r>
          </w:p>
        </w:tc>
        <w:tc>
          <w:tcPr>
            <w:tcW w:w="1701" w:type="dxa"/>
            <w:tcBorders>
              <w:top w:val="nil"/>
              <w:left w:val="nil"/>
              <w:bottom w:val="single" w:sz="8" w:space="0" w:color="auto"/>
              <w:right w:val="nil"/>
            </w:tcBorders>
            <w:shd w:val="clear" w:color="auto" w:fill="auto"/>
            <w:vAlign w:val="center"/>
            <w:hideMark/>
          </w:tcPr>
          <w:p w14:paraId="50254957"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 xml:space="preserve">No presence of lipid droplets (oil red O </w:t>
            </w:r>
            <w:r w:rsidRPr="00B75E15">
              <w:rPr>
                <w:rFonts w:ascii="Book Antiqua" w:eastAsia="DengXian" w:hAnsi="Book Antiqua" w:cs="宋体"/>
                <w:color w:val="000000"/>
                <w:lang w:eastAsia="zh-CN"/>
              </w:rPr>
              <w:lastRenderedPageBreak/>
              <w:t>staining on day 24)</w:t>
            </w:r>
          </w:p>
        </w:tc>
        <w:tc>
          <w:tcPr>
            <w:tcW w:w="1134" w:type="dxa"/>
            <w:tcBorders>
              <w:top w:val="nil"/>
              <w:left w:val="nil"/>
              <w:bottom w:val="single" w:sz="8" w:space="0" w:color="auto"/>
              <w:right w:val="nil"/>
            </w:tcBorders>
            <w:shd w:val="clear" w:color="auto" w:fill="auto"/>
            <w:vAlign w:val="center"/>
            <w:hideMark/>
          </w:tcPr>
          <w:p w14:paraId="417B677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 xml:space="preserve">Not increased (PI staining </w:t>
            </w:r>
            <w:r w:rsidRPr="00B75E15">
              <w:rPr>
                <w:rFonts w:ascii="Book Antiqua" w:eastAsia="DengXian" w:hAnsi="Book Antiqua" w:cs="宋体"/>
                <w:color w:val="000000"/>
                <w:lang w:eastAsia="zh-CN"/>
              </w:rPr>
              <w:lastRenderedPageBreak/>
              <w:t>at day 24-30)</w:t>
            </w:r>
          </w:p>
        </w:tc>
        <w:tc>
          <w:tcPr>
            <w:tcW w:w="1559" w:type="dxa"/>
            <w:tcBorders>
              <w:top w:val="nil"/>
              <w:left w:val="nil"/>
              <w:bottom w:val="single" w:sz="8" w:space="0" w:color="auto"/>
              <w:right w:val="nil"/>
            </w:tcBorders>
            <w:shd w:val="clear" w:color="auto" w:fill="auto"/>
            <w:vAlign w:val="center"/>
            <w:hideMark/>
          </w:tcPr>
          <w:p w14:paraId="363D50C5"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 xml:space="preserve">Reduced sodium current density; </w:t>
            </w:r>
            <w:r w:rsidRPr="00B75E15">
              <w:rPr>
                <w:rFonts w:ascii="Book Antiqua" w:eastAsia="DengXian" w:hAnsi="Book Antiqua" w:cs="宋体"/>
                <w:color w:val="000000"/>
                <w:lang w:eastAsia="zh-CN"/>
              </w:rPr>
              <w:lastRenderedPageBreak/>
              <w:t>Decreased action potential upstroke velocity (whole-cell patch-clamp and microelectrodes on days 24-30)</w:t>
            </w:r>
          </w:p>
        </w:tc>
        <w:tc>
          <w:tcPr>
            <w:tcW w:w="1134" w:type="dxa"/>
            <w:tcBorders>
              <w:top w:val="nil"/>
              <w:left w:val="nil"/>
              <w:bottom w:val="single" w:sz="8" w:space="0" w:color="auto"/>
              <w:right w:val="nil"/>
            </w:tcBorders>
            <w:shd w:val="clear" w:color="auto" w:fill="auto"/>
            <w:vAlign w:val="center"/>
            <w:hideMark/>
          </w:tcPr>
          <w:p w14:paraId="695057C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NA</w:t>
            </w:r>
          </w:p>
        </w:tc>
        <w:tc>
          <w:tcPr>
            <w:tcW w:w="977" w:type="dxa"/>
            <w:tcBorders>
              <w:top w:val="nil"/>
              <w:left w:val="nil"/>
              <w:bottom w:val="single" w:sz="8" w:space="0" w:color="auto"/>
              <w:right w:val="nil"/>
            </w:tcBorders>
            <w:shd w:val="clear" w:color="auto" w:fill="auto"/>
            <w:vAlign w:val="center"/>
            <w:hideMark/>
          </w:tcPr>
          <w:p w14:paraId="4A454331"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5E2F81F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Restored sodium </w:t>
            </w:r>
            <w:r w:rsidRPr="00B75E15">
              <w:rPr>
                <w:rFonts w:ascii="Book Antiqua" w:eastAsia="DengXian" w:hAnsi="Book Antiqua" w:cs="宋体"/>
                <w:color w:val="000000"/>
                <w:lang w:eastAsia="zh-CN"/>
              </w:rPr>
              <w:lastRenderedPageBreak/>
              <w:t xml:space="preserve">current after lentiviral transduction of </w:t>
            </w:r>
            <w:r w:rsidRPr="00B75E15">
              <w:rPr>
                <w:rFonts w:ascii="Book Antiqua" w:eastAsia="DengXian" w:hAnsi="Book Antiqua" w:cs="宋体"/>
                <w:i/>
                <w:iCs/>
                <w:color w:val="000000"/>
                <w:lang w:eastAsia="zh-CN"/>
              </w:rPr>
              <w:t>PKP2</w:t>
            </w:r>
          </w:p>
        </w:tc>
        <w:tc>
          <w:tcPr>
            <w:tcW w:w="1260" w:type="dxa"/>
            <w:tcBorders>
              <w:top w:val="nil"/>
              <w:left w:val="nil"/>
              <w:bottom w:val="single" w:sz="8" w:space="0" w:color="auto"/>
              <w:right w:val="nil"/>
            </w:tcBorders>
            <w:shd w:val="clear" w:color="auto" w:fill="auto"/>
            <w:vAlign w:val="center"/>
            <w:hideMark/>
          </w:tcPr>
          <w:p w14:paraId="5F99F8C2" w14:textId="4BBD2B1A"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 xml:space="preserve">Khudiakov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[52]</w:t>
            </w:r>
          </w:p>
        </w:tc>
      </w:tr>
      <w:tr w:rsidR="00B75E15" w:rsidRPr="00B75E15" w14:paraId="687FCA63" w14:textId="77777777" w:rsidTr="00B75E15">
        <w:tc>
          <w:tcPr>
            <w:tcW w:w="1418" w:type="dxa"/>
            <w:tcBorders>
              <w:top w:val="nil"/>
              <w:left w:val="nil"/>
              <w:bottom w:val="single" w:sz="8" w:space="0" w:color="auto"/>
              <w:right w:val="nil"/>
            </w:tcBorders>
            <w:shd w:val="clear" w:color="auto" w:fill="auto"/>
            <w:vAlign w:val="center"/>
            <w:hideMark/>
          </w:tcPr>
          <w:p w14:paraId="797F24C1"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Heterozygous and homozygous frameshift mutation (p.D109AfsX10, introduced mutation </w:t>
            </w:r>
            <w:r w:rsidRPr="00B75E15">
              <w:rPr>
                <w:rFonts w:ascii="Book Antiqua" w:eastAsia="DengXian" w:hAnsi="Book Antiqua" w:cs="宋体"/>
                <w:i/>
                <w:iCs/>
                <w:color w:val="000000"/>
                <w:lang w:eastAsia="zh-CN"/>
              </w:rPr>
              <w:t>via</w:t>
            </w:r>
            <w:r w:rsidRPr="00B75E15">
              <w:rPr>
                <w:rFonts w:ascii="Book Antiqua" w:eastAsia="DengXian" w:hAnsi="Book Antiqua" w:cs="宋体"/>
                <w:color w:val="000000"/>
                <w:lang w:eastAsia="zh-CN"/>
              </w:rPr>
              <w:t xml:space="preserve"> genome editing)</w:t>
            </w:r>
          </w:p>
        </w:tc>
        <w:tc>
          <w:tcPr>
            <w:tcW w:w="1134" w:type="dxa"/>
            <w:tcBorders>
              <w:top w:val="nil"/>
              <w:left w:val="nil"/>
              <w:bottom w:val="single" w:sz="8" w:space="0" w:color="auto"/>
              <w:right w:val="nil"/>
            </w:tcBorders>
            <w:shd w:val="clear" w:color="auto" w:fill="auto"/>
            <w:vAlign w:val="center"/>
            <w:hideMark/>
          </w:tcPr>
          <w:p w14:paraId="1DB1F8C0"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Wild-type iPSC lines from two different donors with introduced heterozygous and homozygous frameshift </w:t>
            </w:r>
            <w:r w:rsidRPr="00B75E15">
              <w:rPr>
                <w:rFonts w:ascii="Book Antiqua" w:eastAsia="DengXian" w:hAnsi="Book Antiqua" w:cs="宋体"/>
                <w:color w:val="000000"/>
                <w:lang w:eastAsia="zh-CN"/>
              </w:rPr>
              <w:lastRenderedPageBreak/>
              <w:t>mutations</w:t>
            </w:r>
          </w:p>
        </w:tc>
        <w:tc>
          <w:tcPr>
            <w:tcW w:w="1559" w:type="dxa"/>
            <w:tcBorders>
              <w:top w:val="nil"/>
              <w:left w:val="nil"/>
              <w:bottom w:val="single" w:sz="8" w:space="0" w:color="auto"/>
              <w:right w:val="nil"/>
            </w:tcBorders>
            <w:shd w:val="clear" w:color="auto" w:fill="auto"/>
            <w:vAlign w:val="center"/>
            <w:hideMark/>
          </w:tcPr>
          <w:p w14:paraId="4FA0A24F"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lastRenderedPageBreak/>
              <w:t>Isogenic wild-type iPSCs</w:t>
            </w:r>
          </w:p>
        </w:tc>
        <w:tc>
          <w:tcPr>
            <w:tcW w:w="1843" w:type="dxa"/>
            <w:tcBorders>
              <w:top w:val="nil"/>
              <w:left w:val="nil"/>
              <w:bottom w:val="single" w:sz="8" w:space="0" w:color="auto"/>
              <w:right w:val="nil"/>
            </w:tcBorders>
            <w:shd w:val="clear" w:color="auto" w:fill="auto"/>
            <w:vAlign w:val="center"/>
            <w:hideMark/>
          </w:tcPr>
          <w:p w14:paraId="607F9241"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junctional localization of DSP and GJA1 (immunofluorescence staining); Impaired stability of junctional CDH2 (fluorescence recovery after photobleaching)</w:t>
            </w:r>
          </w:p>
        </w:tc>
        <w:tc>
          <w:tcPr>
            <w:tcW w:w="1701" w:type="dxa"/>
            <w:tcBorders>
              <w:top w:val="nil"/>
              <w:left w:val="nil"/>
              <w:bottom w:val="single" w:sz="8" w:space="0" w:color="auto"/>
              <w:right w:val="nil"/>
            </w:tcBorders>
            <w:shd w:val="clear" w:color="auto" w:fill="auto"/>
            <w:vAlign w:val="center"/>
            <w:hideMark/>
          </w:tcPr>
          <w:p w14:paraId="191AB47D"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134" w:type="dxa"/>
            <w:tcBorders>
              <w:top w:val="nil"/>
              <w:left w:val="nil"/>
              <w:bottom w:val="single" w:sz="8" w:space="0" w:color="auto"/>
              <w:right w:val="nil"/>
            </w:tcBorders>
            <w:shd w:val="clear" w:color="auto" w:fill="auto"/>
            <w:vAlign w:val="center"/>
            <w:hideMark/>
          </w:tcPr>
          <w:p w14:paraId="308ACFF7"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5859052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Prolonged action potential duration (optical voltage recording on day 30)</w:t>
            </w:r>
          </w:p>
        </w:tc>
        <w:tc>
          <w:tcPr>
            <w:tcW w:w="1134" w:type="dxa"/>
            <w:tcBorders>
              <w:top w:val="nil"/>
              <w:left w:val="nil"/>
              <w:bottom w:val="single" w:sz="8" w:space="0" w:color="auto"/>
              <w:right w:val="nil"/>
            </w:tcBorders>
            <w:shd w:val="clear" w:color="auto" w:fill="auto"/>
            <w:vAlign w:val="center"/>
            <w:hideMark/>
          </w:tcPr>
          <w:p w14:paraId="6A28965E"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321D7A21"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systolic force (three-dimensional cardiac microtissues on day 40)</w:t>
            </w:r>
          </w:p>
        </w:tc>
        <w:tc>
          <w:tcPr>
            <w:tcW w:w="1008" w:type="dxa"/>
            <w:tcBorders>
              <w:top w:val="nil"/>
              <w:left w:val="nil"/>
              <w:bottom w:val="single" w:sz="8" w:space="0" w:color="auto"/>
              <w:right w:val="nil"/>
            </w:tcBorders>
            <w:shd w:val="clear" w:color="auto" w:fill="auto"/>
            <w:vAlign w:val="center"/>
            <w:hideMark/>
          </w:tcPr>
          <w:p w14:paraId="2FE2FFA2"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3275B3CF" w14:textId="1BB52BDD"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Zhang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[53]</w:t>
            </w:r>
          </w:p>
        </w:tc>
      </w:tr>
      <w:tr w:rsidR="00B75E15" w:rsidRPr="00B75E15" w14:paraId="5A8E31DC" w14:textId="77777777" w:rsidTr="00B75E15">
        <w:tc>
          <w:tcPr>
            <w:tcW w:w="1418" w:type="dxa"/>
            <w:tcBorders>
              <w:top w:val="nil"/>
              <w:left w:val="nil"/>
              <w:bottom w:val="single" w:sz="8" w:space="0" w:color="auto"/>
              <w:right w:val="nil"/>
            </w:tcBorders>
            <w:shd w:val="clear" w:color="auto" w:fill="auto"/>
            <w:vAlign w:val="center"/>
            <w:hideMark/>
          </w:tcPr>
          <w:p w14:paraId="09842F08"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Heterozygous frameshift mutation (c.1228dupG, p.D410fsX425)</w:t>
            </w:r>
          </w:p>
        </w:tc>
        <w:tc>
          <w:tcPr>
            <w:tcW w:w="1134" w:type="dxa"/>
            <w:tcBorders>
              <w:top w:val="nil"/>
              <w:left w:val="nil"/>
              <w:bottom w:val="single" w:sz="8" w:space="0" w:color="auto"/>
              <w:right w:val="nil"/>
            </w:tcBorders>
            <w:shd w:val="clear" w:color="auto" w:fill="auto"/>
            <w:vAlign w:val="center"/>
            <w:hideMark/>
          </w:tcPr>
          <w:p w14:paraId="2F0CEB12"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Peripheral blood mononuclear cells from a female patient with AC</w:t>
            </w:r>
          </w:p>
        </w:tc>
        <w:tc>
          <w:tcPr>
            <w:tcW w:w="1559" w:type="dxa"/>
            <w:tcBorders>
              <w:top w:val="nil"/>
              <w:left w:val="nil"/>
              <w:bottom w:val="single" w:sz="8" w:space="0" w:color="auto"/>
              <w:right w:val="nil"/>
            </w:tcBorders>
            <w:shd w:val="clear" w:color="auto" w:fill="auto"/>
            <w:vAlign w:val="center"/>
            <w:hideMark/>
          </w:tcPr>
          <w:p w14:paraId="1DA2EEF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Isogenic iPSCs with corrected mutation (wild-type) and introduced homozygous frameshift mutations</w:t>
            </w:r>
          </w:p>
        </w:tc>
        <w:tc>
          <w:tcPr>
            <w:tcW w:w="1843" w:type="dxa"/>
            <w:tcBorders>
              <w:top w:val="nil"/>
              <w:left w:val="nil"/>
              <w:bottom w:val="single" w:sz="8" w:space="0" w:color="auto"/>
              <w:right w:val="nil"/>
            </w:tcBorders>
            <w:shd w:val="clear" w:color="auto" w:fill="auto"/>
            <w:vAlign w:val="center"/>
            <w:hideMark/>
          </w:tcPr>
          <w:p w14:paraId="0EB6B3B5"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area of desmosomes (DSG2, DSC2, and DSP) (immunofluorescence staining on day 14)</w:t>
            </w:r>
          </w:p>
        </w:tc>
        <w:tc>
          <w:tcPr>
            <w:tcW w:w="1701" w:type="dxa"/>
            <w:tcBorders>
              <w:top w:val="nil"/>
              <w:left w:val="nil"/>
              <w:bottom w:val="single" w:sz="8" w:space="0" w:color="auto"/>
              <w:right w:val="nil"/>
            </w:tcBorders>
            <w:shd w:val="clear" w:color="auto" w:fill="auto"/>
            <w:vAlign w:val="center"/>
            <w:hideMark/>
          </w:tcPr>
          <w:p w14:paraId="1218D3C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Lipid droplet accumulation in iPSC-CMs with homozygous frameshift mutations (TEM on day 28)</w:t>
            </w:r>
          </w:p>
        </w:tc>
        <w:tc>
          <w:tcPr>
            <w:tcW w:w="1134" w:type="dxa"/>
            <w:tcBorders>
              <w:top w:val="nil"/>
              <w:left w:val="nil"/>
              <w:bottom w:val="single" w:sz="8" w:space="0" w:color="auto"/>
              <w:right w:val="nil"/>
            </w:tcBorders>
            <w:shd w:val="clear" w:color="auto" w:fill="auto"/>
            <w:vAlign w:val="center"/>
            <w:hideMark/>
          </w:tcPr>
          <w:p w14:paraId="5D81A63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apoptosis in iPSC-CMs with homozygous frameshift mutations (cleaved CASP3 expression on day 28)</w:t>
            </w:r>
          </w:p>
        </w:tc>
        <w:tc>
          <w:tcPr>
            <w:tcW w:w="1559" w:type="dxa"/>
            <w:tcBorders>
              <w:top w:val="nil"/>
              <w:left w:val="nil"/>
              <w:bottom w:val="single" w:sz="8" w:space="0" w:color="auto"/>
              <w:right w:val="nil"/>
            </w:tcBorders>
            <w:shd w:val="clear" w:color="auto" w:fill="auto"/>
            <w:vAlign w:val="center"/>
            <w:hideMark/>
          </w:tcPr>
          <w:p w14:paraId="51D2E19A"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propagation speed in iPSC-CMs with homozygous frameshift mutations (motion vector analysis on day 28)</w:t>
            </w:r>
          </w:p>
        </w:tc>
        <w:tc>
          <w:tcPr>
            <w:tcW w:w="1134" w:type="dxa"/>
            <w:tcBorders>
              <w:top w:val="nil"/>
              <w:left w:val="nil"/>
              <w:bottom w:val="single" w:sz="8" w:space="0" w:color="auto"/>
              <w:right w:val="nil"/>
            </w:tcBorders>
            <w:shd w:val="clear" w:color="auto" w:fill="auto"/>
            <w:vAlign w:val="center"/>
            <w:hideMark/>
          </w:tcPr>
          <w:p w14:paraId="2225A551"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Increased desmosome gap width (TEM on day 28)</w:t>
            </w:r>
          </w:p>
        </w:tc>
        <w:tc>
          <w:tcPr>
            <w:tcW w:w="977" w:type="dxa"/>
            <w:tcBorders>
              <w:top w:val="nil"/>
              <w:left w:val="nil"/>
              <w:bottom w:val="single" w:sz="8" w:space="0" w:color="auto"/>
              <w:right w:val="nil"/>
            </w:tcBorders>
            <w:shd w:val="clear" w:color="auto" w:fill="auto"/>
            <w:vAlign w:val="center"/>
            <w:hideMark/>
          </w:tcPr>
          <w:p w14:paraId="1943DC23"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Decreased contractility (contraction velocity and deformation distance evaluated using motion vector analysis on days 14 and 28)</w:t>
            </w:r>
          </w:p>
        </w:tc>
        <w:tc>
          <w:tcPr>
            <w:tcW w:w="1008" w:type="dxa"/>
            <w:tcBorders>
              <w:top w:val="nil"/>
              <w:left w:val="nil"/>
              <w:bottom w:val="single" w:sz="8" w:space="0" w:color="auto"/>
              <w:right w:val="nil"/>
            </w:tcBorders>
            <w:shd w:val="clear" w:color="auto" w:fill="auto"/>
            <w:vAlign w:val="center"/>
            <w:hideMark/>
          </w:tcPr>
          <w:p w14:paraId="5B60D7AC" w14:textId="77777777"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Recovered contractility and desmosome assembly </w:t>
            </w:r>
            <w:r w:rsidRPr="00B75E15">
              <w:rPr>
                <w:rFonts w:ascii="Book Antiqua" w:eastAsia="DengXian" w:hAnsi="Book Antiqua" w:cs="宋体"/>
                <w:i/>
                <w:iCs/>
                <w:color w:val="000000"/>
                <w:lang w:eastAsia="zh-CN"/>
              </w:rPr>
              <w:t>via</w:t>
            </w:r>
            <w:r w:rsidRPr="00B75E15">
              <w:rPr>
                <w:rFonts w:ascii="Book Antiqua" w:eastAsia="DengXian" w:hAnsi="Book Antiqua" w:cs="宋体"/>
                <w:color w:val="000000"/>
                <w:lang w:eastAsia="zh-CN"/>
              </w:rPr>
              <w:t xml:space="preserve"> AAV-mediated </w:t>
            </w:r>
            <w:r w:rsidRPr="00B75E15">
              <w:rPr>
                <w:rFonts w:ascii="Book Antiqua" w:eastAsia="DengXian" w:hAnsi="Book Antiqua" w:cs="宋体"/>
                <w:i/>
                <w:iCs/>
                <w:color w:val="000000"/>
                <w:lang w:eastAsia="zh-CN"/>
              </w:rPr>
              <w:t xml:space="preserve">PKP2 </w:t>
            </w:r>
            <w:r w:rsidRPr="00B75E15">
              <w:rPr>
                <w:rFonts w:ascii="Book Antiqua" w:eastAsia="DengXian" w:hAnsi="Book Antiqua" w:cs="宋体"/>
                <w:color w:val="000000"/>
                <w:lang w:eastAsia="zh-CN"/>
              </w:rPr>
              <w:t>delivery</w:t>
            </w:r>
          </w:p>
        </w:tc>
        <w:tc>
          <w:tcPr>
            <w:tcW w:w="1260" w:type="dxa"/>
            <w:tcBorders>
              <w:top w:val="nil"/>
              <w:left w:val="nil"/>
              <w:bottom w:val="single" w:sz="8" w:space="0" w:color="auto"/>
              <w:right w:val="nil"/>
            </w:tcBorders>
            <w:shd w:val="clear" w:color="auto" w:fill="auto"/>
            <w:vAlign w:val="center"/>
            <w:hideMark/>
          </w:tcPr>
          <w:p w14:paraId="2D3EBABA" w14:textId="1D33F36F" w:rsidR="00B75E15" w:rsidRPr="00B75E15" w:rsidRDefault="00B75E15" w:rsidP="00B75E15">
            <w:pPr>
              <w:spacing w:line="360" w:lineRule="auto"/>
              <w:jc w:val="both"/>
              <w:rPr>
                <w:rFonts w:ascii="Book Antiqua" w:eastAsia="DengXian" w:hAnsi="Book Antiqua" w:cs="宋体"/>
                <w:color w:val="000000"/>
                <w:lang w:eastAsia="zh-CN"/>
              </w:rPr>
            </w:pPr>
            <w:r w:rsidRPr="00B75E15">
              <w:rPr>
                <w:rFonts w:ascii="Book Antiqua" w:eastAsia="DengXian" w:hAnsi="Book Antiqua" w:cs="宋体"/>
                <w:color w:val="000000"/>
                <w:lang w:eastAsia="zh-CN"/>
              </w:rPr>
              <w:t xml:space="preserve">Inoue </w:t>
            </w:r>
            <w:r w:rsidRPr="00B75E15">
              <w:rPr>
                <w:rFonts w:ascii="Book Antiqua" w:eastAsia="DengXian" w:hAnsi="Book Antiqua" w:cs="宋体"/>
                <w:i/>
                <w:iCs/>
                <w:color w:val="000000"/>
                <w:lang w:eastAsia="zh-CN"/>
              </w:rPr>
              <w:t>et al</w:t>
            </w:r>
            <w:r w:rsidRPr="00B75E15">
              <w:rPr>
                <w:rFonts w:ascii="Book Antiqua" w:eastAsia="DengXian" w:hAnsi="Book Antiqua" w:cs="宋体"/>
                <w:color w:val="000000"/>
                <w:vertAlign w:val="superscript"/>
                <w:lang w:eastAsia="zh-CN"/>
              </w:rPr>
              <w:t>[54]</w:t>
            </w:r>
          </w:p>
        </w:tc>
      </w:tr>
    </w:tbl>
    <w:p w14:paraId="33807259" w14:textId="37290267" w:rsidR="00E12BE9" w:rsidRDefault="003C03F4" w:rsidP="00B75E15">
      <w:pPr>
        <w:spacing w:line="360" w:lineRule="auto"/>
        <w:jc w:val="both"/>
        <w:rPr>
          <w:rFonts w:ascii="Book Antiqua" w:hAnsi="Book Antiqua"/>
          <w:color w:val="000000" w:themeColor="text1"/>
        </w:rPr>
      </w:pPr>
      <w:bookmarkStart w:id="77" w:name="OLE_LINK5210"/>
      <w:bookmarkStart w:id="78" w:name="OLE_LINK5211"/>
      <w:r w:rsidRPr="00B75E15">
        <w:rPr>
          <w:rFonts w:ascii="Book Antiqua" w:hAnsi="Book Antiqua"/>
        </w:rPr>
        <w:t>Gender of the patient or control donor is indicated if specified. Analytical methods along with time post-cardiomyocyte differentiation (if specified) are indicated. AAV</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A</w:t>
      </w:r>
      <w:r w:rsidRPr="00B75E15">
        <w:rPr>
          <w:rFonts w:ascii="Book Antiqua" w:hAnsi="Book Antiqua"/>
        </w:rPr>
        <w:t>deno-associated virus; iPSC</w:t>
      </w:r>
      <w:r w:rsidR="00B75E15">
        <w:rPr>
          <w:rFonts w:ascii="Book Antiqua" w:hAnsi="Book Antiqua"/>
        </w:rPr>
        <w:t>:</w:t>
      </w:r>
      <w:r w:rsidR="00B75E15" w:rsidRPr="00B75E15">
        <w:rPr>
          <w:rFonts w:ascii="Book Antiqua" w:hAnsi="Book Antiqua"/>
        </w:rPr>
        <w:t xml:space="preserve"> </w:t>
      </w:r>
      <w:bookmarkStart w:id="79" w:name="OLE_LINK5236"/>
      <w:bookmarkStart w:id="80" w:name="OLE_LINK5237"/>
      <w:r w:rsidR="00B75E15" w:rsidRPr="00B75E15">
        <w:rPr>
          <w:rFonts w:ascii="Book Antiqua" w:hAnsi="Book Antiqua"/>
        </w:rPr>
        <w:t>I</w:t>
      </w:r>
      <w:r w:rsidRPr="00B75E15">
        <w:rPr>
          <w:rFonts w:ascii="Book Antiqua" w:hAnsi="Book Antiqua"/>
        </w:rPr>
        <w:t>nduced pluripotent stem cell</w:t>
      </w:r>
      <w:bookmarkEnd w:id="79"/>
      <w:bookmarkEnd w:id="80"/>
      <w:r w:rsidRPr="00B75E15">
        <w:rPr>
          <w:rFonts w:ascii="Book Antiqua" w:hAnsi="Book Antiqua"/>
        </w:rPr>
        <w:t>; iPSC-CMs</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Induced pluripotent stem cell</w:t>
      </w:r>
      <w:r w:rsidR="00B75E15">
        <w:rPr>
          <w:rFonts w:ascii="Book Antiqua" w:hAnsi="Book Antiqua"/>
        </w:rPr>
        <w:t>s</w:t>
      </w:r>
      <w:r w:rsidRPr="00B75E15">
        <w:rPr>
          <w:rFonts w:ascii="Book Antiqua" w:hAnsi="Book Antiqua"/>
        </w:rPr>
        <w:t>-derived cardiomyocytes; PI</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lastRenderedPageBreak/>
        <w:t>P</w:t>
      </w:r>
      <w:r w:rsidRPr="00B75E15">
        <w:rPr>
          <w:rFonts w:ascii="Book Antiqua" w:hAnsi="Book Antiqua"/>
        </w:rPr>
        <w:t>ropidium iodide; TEM</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T</w:t>
      </w:r>
      <w:r w:rsidRPr="00B75E15">
        <w:rPr>
          <w:rFonts w:ascii="Book Antiqua" w:hAnsi="Book Antiqua"/>
        </w:rPr>
        <w:t>ransmission electron microscopy; NA</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N</w:t>
      </w:r>
      <w:r w:rsidRPr="00B75E15">
        <w:rPr>
          <w:rFonts w:ascii="Book Antiqua" w:hAnsi="Book Antiqua"/>
        </w:rPr>
        <w:t>ot applicable; AC</w:t>
      </w:r>
      <w:r w:rsidR="00B75E15">
        <w:rPr>
          <w:rFonts w:ascii="Book Antiqua" w:hAnsi="Book Antiqua"/>
        </w:rPr>
        <w:t>:</w:t>
      </w:r>
      <w:r w:rsidRPr="00B75E15">
        <w:rPr>
          <w:rFonts w:ascii="Book Antiqua" w:hAnsi="Book Antiqua"/>
        </w:rPr>
        <w:t xml:space="preserve"> </w:t>
      </w:r>
      <w:r w:rsidR="00B75E15" w:rsidRPr="00B75E15">
        <w:rPr>
          <w:rFonts w:ascii="Book Antiqua" w:hAnsi="Book Antiqua"/>
          <w:color w:val="000000" w:themeColor="text1"/>
        </w:rPr>
        <w:t>A</w:t>
      </w:r>
      <w:r w:rsidRPr="00B75E15">
        <w:rPr>
          <w:rFonts w:ascii="Book Antiqua" w:hAnsi="Book Antiqua"/>
          <w:color w:val="000000" w:themeColor="text1"/>
        </w:rPr>
        <w:t>rrhythmogenic cardiomyopathy.</w:t>
      </w:r>
      <w:bookmarkEnd w:id="0"/>
      <w:bookmarkEnd w:id="1"/>
      <w:bookmarkEnd w:id="77"/>
      <w:bookmarkEnd w:id="78"/>
    </w:p>
    <w:p w14:paraId="3B4DE97B" w14:textId="77777777" w:rsidR="00E12BE9" w:rsidRDefault="00E12BE9">
      <w:pPr>
        <w:rPr>
          <w:rFonts w:ascii="Book Antiqua" w:hAnsi="Book Antiqua"/>
          <w:color w:val="000000" w:themeColor="text1"/>
        </w:rPr>
      </w:pPr>
      <w:r>
        <w:rPr>
          <w:rFonts w:ascii="Book Antiqua" w:hAnsi="Book Antiqua"/>
          <w:color w:val="000000" w:themeColor="text1"/>
        </w:rPr>
        <w:br w:type="page"/>
      </w:r>
    </w:p>
    <w:p w14:paraId="3702F923" w14:textId="77777777" w:rsidR="00E12BE9" w:rsidRDefault="00E12BE9" w:rsidP="00E12BE9">
      <w:pPr>
        <w:snapToGrid w:val="0"/>
        <w:ind w:leftChars="100" w:left="240"/>
        <w:jc w:val="center"/>
        <w:rPr>
          <w:rFonts w:ascii="Book Antiqua" w:hAnsi="Book Antiqua"/>
        </w:rPr>
      </w:pPr>
    </w:p>
    <w:p w14:paraId="081C8B4F" w14:textId="77777777" w:rsidR="00E12BE9" w:rsidRDefault="00E12BE9" w:rsidP="00E12BE9">
      <w:pPr>
        <w:snapToGrid w:val="0"/>
        <w:ind w:leftChars="100" w:left="240"/>
        <w:jc w:val="center"/>
        <w:rPr>
          <w:rFonts w:ascii="Book Antiqua" w:hAnsi="Book Antiqua"/>
        </w:rPr>
      </w:pPr>
    </w:p>
    <w:p w14:paraId="4A191623" w14:textId="77777777" w:rsidR="00E12BE9" w:rsidRDefault="00E12BE9" w:rsidP="00E12BE9">
      <w:pPr>
        <w:snapToGrid w:val="0"/>
        <w:ind w:leftChars="100" w:left="240"/>
        <w:jc w:val="center"/>
        <w:rPr>
          <w:rFonts w:ascii="Book Antiqua" w:hAnsi="Book Antiqua"/>
        </w:rPr>
      </w:pPr>
    </w:p>
    <w:p w14:paraId="3F731EA5" w14:textId="77777777" w:rsidR="00E12BE9" w:rsidRDefault="00E12BE9" w:rsidP="00E12BE9">
      <w:pPr>
        <w:snapToGrid w:val="0"/>
        <w:ind w:leftChars="100" w:left="240"/>
        <w:jc w:val="center"/>
        <w:rPr>
          <w:rFonts w:ascii="Book Antiqua" w:hAnsi="Book Antiqua"/>
        </w:rPr>
      </w:pPr>
    </w:p>
    <w:p w14:paraId="3E6B894A" w14:textId="77777777" w:rsidR="00E12BE9" w:rsidRDefault="00E12BE9" w:rsidP="00E12BE9">
      <w:pPr>
        <w:snapToGrid w:val="0"/>
        <w:ind w:leftChars="100" w:left="240"/>
        <w:jc w:val="center"/>
        <w:rPr>
          <w:rFonts w:ascii="Book Antiqua" w:hAnsi="Book Antiqua"/>
        </w:rPr>
      </w:pPr>
      <w:r>
        <w:rPr>
          <w:rFonts w:ascii="Book Antiqua" w:hAnsi="Book Antiqua"/>
          <w:noProof/>
        </w:rPr>
        <w:drawing>
          <wp:inline distT="0" distB="0" distL="0" distR="0" wp14:anchorId="14FDB7D6" wp14:editId="64825A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7EC48F" w14:textId="77777777" w:rsidR="00E12BE9" w:rsidRDefault="00E12BE9" w:rsidP="00E12BE9">
      <w:pPr>
        <w:snapToGrid w:val="0"/>
        <w:ind w:leftChars="100" w:left="240"/>
        <w:jc w:val="center"/>
        <w:rPr>
          <w:rFonts w:ascii="Book Antiqua" w:hAnsi="Book Antiqua"/>
        </w:rPr>
      </w:pPr>
    </w:p>
    <w:p w14:paraId="20477246" w14:textId="77777777" w:rsidR="00E12BE9" w:rsidRDefault="00E12BE9" w:rsidP="00E12B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F7B67A" w14:textId="77777777" w:rsidR="00E12BE9" w:rsidRDefault="00E12BE9" w:rsidP="00E12B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20585D" w14:textId="77777777" w:rsidR="00E12BE9" w:rsidRDefault="00E12BE9" w:rsidP="00E12B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EAACF2" w14:textId="77777777" w:rsidR="00E12BE9" w:rsidRDefault="00E12BE9" w:rsidP="00E12B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F98C7E" w14:textId="77777777" w:rsidR="00E12BE9" w:rsidRDefault="00E12BE9" w:rsidP="00E12B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8F89AE" w14:textId="77777777" w:rsidR="00E12BE9" w:rsidRDefault="00E12BE9" w:rsidP="00E12B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6A18BC3" w14:textId="77777777" w:rsidR="00E12BE9" w:rsidRDefault="00E12BE9" w:rsidP="00E12BE9">
      <w:pPr>
        <w:snapToGrid w:val="0"/>
        <w:ind w:leftChars="100" w:left="240"/>
        <w:jc w:val="center"/>
        <w:rPr>
          <w:rFonts w:ascii="Book Antiqua" w:hAnsi="Book Antiqua"/>
        </w:rPr>
      </w:pPr>
    </w:p>
    <w:p w14:paraId="1E7B907B" w14:textId="77777777" w:rsidR="00E12BE9" w:rsidRDefault="00E12BE9" w:rsidP="00E12BE9">
      <w:pPr>
        <w:snapToGrid w:val="0"/>
        <w:ind w:leftChars="100" w:left="240"/>
        <w:jc w:val="center"/>
        <w:rPr>
          <w:rFonts w:ascii="Book Antiqua" w:hAnsi="Book Antiqua"/>
        </w:rPr>
      </w:pPr>
    </w:p>
    <w:p w14:paraId="056293F5" w14:textId="77777777" w:rsidR="00E12BE9" w:rsidRDefault="00E12BE9" w:rsidP="00E12BE9">
      <w:pPr>
        <w:snapToGrid w:val="0"/>
        <w:ind w:leftChars="100" w:left="240"/>
        <w:jc w:val="center"/>
        <w:rPr>
          <w:rFonts w:ascii="Book Antiqua" w:hAnsi="Book Antiqua"/>
        </w:rPr>
      </w:pPr>
    </w:p>
    <w:p w14:paraId="31D2C63E" w14:textId="77777777" w:rsidR="00E12BE9" w:rsidRDefault="00E12BE9" w:rsidP="00E12BE9">
      <w:pPr>
        <w:snapToGrid w:val="0"/>
        <w:ind w:leftChars="100" w:left="240"/>
        <w:jc w:val="center"/>
        <w:rPr>
          <w:rFonts w:ascii="Book Antiqua" w:hAnsi="Book Antiqua"/>
        </w:rPr>
      </w:pPr>
      <w:r>
        <w:rPr>
          <w:rFonts w:ascii="Book Antiqua" w:hAnsi="Book Antiqua"/>
          <w:noProof/>
        </w:rPr>
        <w:drawing>
          <wp:inline distT="0" distB="0" distL="0" distR="0" wp14:anchorId="77E5C7F9" wp14:editId="453591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0C00C0" w14:textId="77777777" w:rsidR="00E12BE9" w:rsidRDefault="00E12BE9" w:rsidP="00E12BE9">
      <w:pPr>
        <w:snapToGrid w:val="0"/>
        <w:ind w:leftChars="100" w:left="240"/>
        <w:jc w:val="center"/>
        <w:rPr>
          <w:rFonts w:ascii="Book Antiqua" w:hAnsi="Book Antiqua"/>
        </w:rPr>
      </w:pPr>
    </w:p>
    <w:p w14:paraId="2D85C9DA" w14:textId="77777777" w:rsidR="00E12BE9" w:rsidRDefault="00E12BE9" w:rsidP="00E12BE9">
      <w:pPr>
        <w:snapToGrid w:val="0"/>
        <w:ind w:leftChars="100" w:left="240"/>
        <w:jc w:val="center"/>
        <w:rPr>
          <w:rFonts w:ascii="Book Antiqua" w:hAnsi="Book Antiqua"/>
        </w:rPr>
      </w:pPr>
    </w:p>
    <w:p w14:paraId="009D6CAB" w14:textId="77777777" w:rsidR="00E12BE9" w:rsidRDefault="00E12BE9" w:rsidP="00E12BE9">
      <w:pPr>
        <w:snapToGrid w:val="0"/>
        <w:ind w:leftChars="100" w:left="240"/>
        <w:jc w:val="center"/>
        <w:rPr>
          <w:rFonts w:ascii="Book Antiqua" w:hAnsi="Book Antiqua"/>
        </w:rPr>
      </w:pPr>
    </w:p>
    <w:p w14:paraId="325E7FA3" w14:textId="77777777" w:rsidR="00E12BE9" w:rsidRDefault="00E12BE9" w:rsidP="00E12BE9">
      <w:pPr>
        <w:snapToGrid w:val="0"/>
        <w:ind w:leftChars="100" w:left="240"/>
        <w:jc w:val="center"/>
        <w:rPr>
          <w:rFonts w:ascii="Book Antiqua" w:hAnsi="Book Antiqua"/>
        </w:rPr>
      </w:pPr>
    </w:p>
    <w:p w14:paraId="6E536DCD" w14:textId="77777777" w:rsidR="00E12BE9" w:rsidRDefault="00E12BE9" w:rsidP="00E12BE9">
      <w:pPr>
        <w:snapToGrid w:val="0"/>
        <w:ind w:leftChars="100" w:left="240"/>
        <w:jc w:val="center"/>
        <w:rPr>
          <w:rFonts w:ascii="Book Antiqua" w:hAnsi="Book Antiqua"/>
        </w:rPr>
      </w:pPr>
    </w:p>
    <w:p w14:paraId="11A831CC" w14:textId="77777777" w:rsidR="00E12BE9" w:rsidRDefault="00E12BE9" w:rsidP="00E12BE9">
      <w:pPr>
        <w:snapToGrid w:val="0"/>
        <w:ind w:leftChars="100" w:left="240"/>
        <w:jc w:val="center"/>
        <w:rPr>
          <w:rFonts w:ascii="Book Antiqua" w:hAnsi="Book Antiqua"/>
        </w:rPr>
      </w:pPr>
    </w:p>
    <w:p w14:paraId="7C8B1295" w14:textId="77777777" w:rsidR="00E12BE9" w:rsidRDefault="00E12BE9" w:rsidP="00E12BE9">
      <w:pPr>
        <w:snapToGrid w:val="0"/>
        <w:ind w:leftChars="100" w:left="240"/>
        <w:jc w:val="center"/>
        <w:rPr>
          <w:rFonts w:ascii="Book Antiqua" w:hAnsi="Book Antiqua"/>
        </w:rPr>
      </w:pPr>
    </w:p>
    <w:p w14:paraId="7E54D629" w14:textId="77777777" w:rsidR="00E12BE9" w:rsidRDefault="00E12BE9" w:rsidP="00E12BE9">
      <w:pPr>
        <w:snapToGrid w:val="0"/>
        <w:ind w:leftChars="100" w:left="240"/>
        <w:jc w:val="center"/>
        <w:rPr>
          <w:rFonts w:ascii="Book Antiqua" w:hAnsi="Book Antiqua"/>
        </w:rPr>
      </w:pPr>
    </w:p>
    <w:p w14:paraId="17A8E2CD" w14:textId="77777777" w:rsidR="00E12BE9" w:rsidRDefault="00E12BE9" w:rsidP="00E12BE9">
      <w:pPr>
        <w:snapToGrid w:val="0"/>
        <w:ind w:leftChars="100" w:left="240"/>
        <w:jc w:val="center"/>
        <w:rPr>
          <w:rFonts w:ascii="Book Antiqua" w:hAnsi="Book Antiqua"/>
        </w:rPr>
      </w:pPr>
    </w:p>
    <w:p w14:paraId="45118859" w14:textId="77777777" w:rsidR="00E12BE9" w:rsidRDefault="00E12BE9" w:rsidP="00E12BE9">
      <w:pPr>
        <w:snapToGrid w:val="0"/>
        <w:ind w:leftChars="100" w:left="240"/>
        <w:jc w:val="right"/>
        <w:rPr>
          <w:rFonts w:ascii="Book Antiqua" w:hAnsi="Book Antiqua"/>
          <w:color w:val="000000" w:themeColor="text1"/>
        </w:rPr>
      </w:pPr>
    </w:p>
    <w:p w14:paraId="4CA888CF" w14:textId="77777777" w:rsidR="00E12BE9" w:rsidRDefault="00E12BE9" w:rsidP="00E12B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8955C2A" w14:textId="77777777" w:rsidR="00E12BE9" w:rsidRDefault="00E12BE9" w:rsidP="00E12BE9">
      <w:pPr>
        <w:rPr>
          <w:rFonts w:ascii="Book Antiqua" w:hAnsi="Book Antiqua" w:cs="Book Antiqua"/>
          <w:b/>
          <w:bCs/>
          <w:color w:val="000000"/>
        </w:rPr>
      </w:pPr>
    </w:p>
    <w:p w14:paraId="7EB31491" w14:textId="77777777" w:rsidR="00A77B3E" w:rsidRPr="00B75E15" w:rsidRDefault="00A77B3E" w:rsidP="00B75E15">
      <w:pPr>
        <w:spacing w:line="360" w:lineRule="auto"/>
        <w:jc w:val="both"/>
        <w:rPr>
          <w:rFonts w:ascii="Book Antiqua" w:hAnsi="Book Antiqua"/>
        </w:rPr>
      </w:pPr>
    </w:p>
    <w:sectPr w:rsidR="00A77B3E" w:rsidRPr="00B75E15" w:rsidSect="00E12BE9">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BFD1" w14:textId="77777777" w:rsidR="00886083" w:rsidRDefault="00886083" w:rsidP="005E4353">
      <w:r>
        <w:separator/>
      </w:r>
    </w:p>
  </w:endnote>
  <w:endnote w:type="continuationSeparator" w:id="0">
    <w:p w14:paraId="1D3CBA68" w14:textId="77777777" w:rsidR="00886083" w:rsidRDefault="00886083" w:rsidP="005E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B4FD" w14:textId="77777777" w:rsidR="005E4353" w:rsidRPr="005E4353" w:rsidRDefault="005E4353" w:rsidP="005E4353">
    <w:pPr>
      <w:pStyle w:val="aa"/>
      <w:jc w:val="right"/>
      <w:rPr>
        <w:rFonts w:ascii="Book Antiqua" w:hAnsi="Book Antiqua"/>
        <w:color w:val="000000" w:themeColor="text1"/>
        <w:sz w:val="24"/>
        <w:szCs w:val="24"/>
      </w:rPr>
    </w:pPr>
    <w:r w:rsidRPr="005E4353">
      <w:rPr>
        <w:rFonts w:ascii="Book Antiqua" w:hAnsi="Book Antiqua"/>
        <w:color w:val="000000" w:themeColor="text1"/>
        <w:sz w:val="24"/>
        <w:szCs w:val="24"/>
        <w:lang w:val="zh-CN"/>
      </w:rPr>
      <w:t xml:space="preserve"> </w:t>
    </w:r>
    <w:r w:rsidRPr="005E4353">
      <w:rPr>
        <w:rFonts w:ascii="Book Antiqua" w:hAnsi="Book Antiqua"/>
        <w:color w:val="000000" w:themeColor="text1"/>
        <w:sz w:val="24"/>
        <w:szCs w:val="24"/>
      </w:rPr>
      <w:fldChar w:fldCharType="begin"/>
    </w:r>
    <w:r w:rsidRPr="005E4353">
      <w:rPr>
        <w:rFonts w:ascii="Book Antiqua" w:hAnsi="Book Antiqua"/>
        <w:color w:val="000000" w:themeColor="text1"/>
        <w:sz w:val="24"/>
        <w:szCs w:val="24"/>
      </w:rPr>
      <w:instrText>PAGE  \* Arabic  \* MERGEFORMAT</w:instrText>
    </w:r>
    <w:r w:rsidRPr="005E4353">
      <w:rPr>
        <w:rFonts w:ascii="Book Antiqua" w:hAnsi="Book Antiqua"/>
        <w:color w:val="000000" w:themeColor="text1"/>
        <w:sz w:val="24"/>
        <w:szCs w:val="24"/>
      </w:rPr>
      <w:fldChar w:fldCharType="separate"/>
    </w:r>
    <w:r w:rsidRPr="005E4353">
      <w:rPr>
        <w:rFonts w:ascii="Book Antiqua" w:hAnsi="Book Antiqua"/>
        <w:color w:val="000000" w:themeColor="text1"/>
        <w:sz w:val="24"/>
        <w:szCs w:val="24"/>
        <w:lang w:val="zh-CN"/>
      </w:rPr>
      <w:t>2</w:t>
    </w:r>
    <w:r w:rsidRPr="005E4353">
      <w:rPr>
        <w:rFonts w:ascii="Book Antiqua" w:hAnsi="Book Antiqua"/>
        <w:color w:val="000000" w:themeColor="text1"/>
        <w:sz w:val="24"/>
        <w:szCs w:val="24"/>
      </w:rPr>
      <w:fldChar w:fldCharType="end"/>
    </w:r>
    <w:r w:rsidRPr="005E4353">
      <w:rPr>
        <w:rFonts w:ascii="Book Antiqua" w:hAnsi="Book Antiqua"/>
        <w:color w:val="000000" w:themeColor="text1"/>
        <w:sz w:val="24"/>
        <w:szCs w:val="24"/>
        <w:lang w:val="zh-CN"/>
      </w:rPr>
      <w:t xml:space="preserve"> / </w:t>
    </w:r>
    <w:r w:rsidRPr="005E4353">
      <w:rPr>
        <w:rFonts w:ascii="Book Antiqua" w:hAnsi="Book Antiqua"/>
        <w:color w:val="000000" w:themeColor="text1"/>
        <w:sz w:val="24"/>
        <w:szCs w:val="24"/>
      </w:rPr>
      <w:fldChar w:fldCharType="begin"/>
    </w:r>
    <w:r w:rsidRPr="005E4353">
      <w:rPr>
        <w:rFonts w:ascii="Book Antiqua" w:hAnsi="Book Antiqua"/>
        <w:color w:val="000000" w:themeColor="text1"/>
        <w:sz w:val="24"/>
        <w:szCs w:val="24"/>
      </w:rPr>
      <w:instrText>NUMPAGES  \* Arabic  \* MERGEFORMAT</w:instrText>
    </w:r>
    <w:r w:rsidRPr="005E4353">
      <w:rPr>
        <w:rFonts w:ascii="Book Antiqua" w:hAnsi="Book Antiqua"/>
        <w:color w:val="000000" w:themeColor="text1"/>
        <w:sz w:val="24"/>
        <w:szCs w:val="24"/>
      </w:rPr>
      <w:fldChar w:fldCharType="separate"/>
    </w:r>
    <w:r w:rsidRPr="005E4353">
      <w:rPr>
        <w:rFonts w:ascii="Book Antiqua" w:hAnsi="Book Antiqua"/>
        <w:color w:val="000000" w:themeColor="text1"/>
        <w:sz w:val="24"/>
        <w:szCs w:val="24"/>
        <w:lang w:val="zh-CN"/>
      </w:rPr>
      <w:t>2</w:t>
    </w:r>
    <w:r w:rsidRPr="005E4353">
      <w:rPr>
        <w:rFonts w:ascii="Book Antiqua" w:hAnsi="Book Antiqua"/>
        <w:color w:val="000000" w:themeColor="text1"/>
        <w:sz w:val="24"/>
        <w:szCs w:val="24"/>
      </w:rPr>
      <w:fldChar w:fldCharType="end"/>
    </w:r>
  </w:p>
  <w:p w14:paraId="231E821D" w14:textId="77777777" w:rsidR="005E4353" w:rsidRDefault="005E43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AB9" w14:textId="77777777" w:rsidR="00B75E15" w:rsidRPr="00B75E15" w:rsidRDefault="00B75E15" w:rsidP="00B75E15">
    <w:pPr>
      <w:pStyle w:val="aa"/>
      <w:jc w:val="right"/>
      <w:rPr>
        <w:rFonts w:ascii="Book Antiqua" w:hAnsi="Book Antiqua"/>
        <w:color w:val="000000" w:themeColor="text1"/>
        <w:sz w:val="24"/>
        <w:szCs w:val="24"/>
      </w:rPr>
    </w:pPr>
    <w:r w:rsidRPr="00B75E15">
      <w:rPr>
        <w:rFonts w:ascii="Book Antiqua" w:hAnsi="Book Antiqua"/>
        <w:color w:val="000000" w:themeColor="text1"/>
        <w:sz w:val="24"/>
        <w:szCs w:val="24"/>
        <w:lang w:val="zh-CN"/>
      </w:rPr>
      <w:t xml:space="preserve"> </w:t>
    </w:r>
    <w:r w:rsidRPr="00B75E15">
      <w:rPr>
        <w:rFonts w:ascii="Book Antiqua" w:hAnsi="Book Antiqua"/>
        <w:color w:val="000000" w:themeColor="text1"/>
        <w:sz w:val="24"/>
        <w:szCs w:val="24"/>
      </w:rPr>
      <w:fldChar w:fldCharType="begin"/>
    </w:r>
    <w:r w:rsidRPr="00B75E15">
      <w:rPr>
        <w:rFonts w:ascii="Book Antiqua" w:hAnsi="Book Antiqua"/>
        <w:color w:val="000000" w:themeColor="text1"/>
        <w:sz w:val="24"/>
        <w:szCs w:val="24"/>
      </w:rPr>
      <w:instrText>PAGE  \* Arabic  \* MERGEFORMAT</w:instrText>
    </w:r>
    <w:r w:rsidRPr="00B75E15">
      <w:rPr>
        <w:rFonts w:ascii="Book Antiqua" w:hAnsi="Book Antiqua"/>
        <w:color w:val="000000" w:themeColor="text1"/>
        <w:sz w:val="24"/>
        <w:szCs w:val="24"/>
      </w:rPr>
      <w:fldChar w:fldCharType="separate"/>
    </w:r>
    <w:r w:rsidRPr="00B75E15">
      <w:rPr>
        <w:rFonts w:ascii="Book Antiqua" w:hAnsi="Book Antiqua"/>
        <w:color w:val="000000" w:themeColor="text1"/>
        <w:sz w:val="24"/>
        <w:szCs w:val="24"/>
        <w:lang w:val="zh-CN"/>
      </w:rPr>
      <w:t>2</w:t>
    </w:r>
    <w:r w:rsidRPr="00B75E15">
      <w:rPr>
        <w:rFonts w:ascii="Book Antiqua" w:hAnsi="Book Antiqua"/>
        <w:color w:val="000000" w:themeColor="text1"/>
        <w:sz w:val="24"/>
        <w:szCs w:val="24"/>
      </w:rPr>
      <w:fldChar w:fldCharType="end"/>
    </w:r>
    <w:r w:rsidRPr="00B75E15">
      <w:rPr>
        <w:rFonts w:ascii="Book Antiqua" w:hAnsi="Book Antiqua"/>
        <w:color w:val="000000" w:themeColor="text1"/>
        <w:sz w:val="24"/>
        <w:szCs w:val="24"/>
        <w:lang w:val="zh-CN"/>
      </w:rPr>
      <w:t xml:space="preserve"> / </w:t>
    </w:r>
    <w:r w:rsidRPr="00B75E15">
      <w:rPr>
        <w:rFonts w:ascii="Book Antiqua" w:hAnsi="Book Antiqua"/>
        <w:color w:val="000000" w:themeColor="text1"/>
        <w:sz w:val="24"/>
        <w:szCs w:val="24"/>
      </w:rPr>
      <w:fldChar w:fldCharType="begin"/>
    </w:r>
    <w:r w:rsidRPr="00B75E15">
      <w:rPr>
        <w:rFonts w:ascii="Book Antiqua" w:hAnsi="Book Antiqua"/>
        <w:color w:val="000000" w:themeColor="text1"/>
        <w:sz w:val="24"/>
        <w:szCs w:val="24"/>
      </w:rPr>
      <w:instrText>NUMPAGES  \* Arabic  \* MERGEFORMAT</w:instrText>
    </w:r>
    <w:r w:rsidRPr="00B75E15">
      <w:rPr>
        <w:rFonts w:ascii="Book Antiqua" w:hAnsi="Book Antiqua"/>
        <w:color w:val="000000" w:themeColor="text1"/>
        <w:sz w:val="24"/>
        <w:szCs w:val="24"/>
      </w:rPr>
      <w:fldChar w:fldCharType="separate"/>
    </w:r>
    <w:r w:rsidRPr="00B75E15">
      <w:rPr>
        <w:rFonts w:ascii="Book Antiqua" w:hAnsi="Book Antiqua"/>
        <w:color w:val="000000" w:themeColor="text1"/>
        <w:sz w:val="24"/>
        <w:szCs w:val="24"/>
        <w:lang w:val="zh-CN"/>
      </w:rPr>
      <w:t>2</w:t>
    </w:r>
    <w:r w:rsidRPr="00B75E15">
      <w:rPr>
        <w:rFonts w:ascii="Book Antiqua" w:hAnsi="Book Antiqua"/>
        <w:color w:val="000000" w:themeColor="text1"/>
        <w:sz w:val="24"/>
        <w:szCs w:val="24"/>
      </w:rPr>
      <w:fldChar w:fldCharType="end"/>
    </w:r>
  </w:p>
  <w:p w14:paraId="6D2E77C4" w14:textId="77777777" w:rsidR="001C5B25"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5D22" w14:textId="77777777" w:rsidR="00886083" w:rsidRDefault="00886083" w:rsidP="005E4353">
      <w:r>
        <w:separator/>
      </w:r>
    </w:p>
  </w:footnote>
  <w:footnote w:type="continuationSeparator" w:id="0">
    <w:p w14:paraId="2C4075C2" w14:textId="77777777" w:rsidR="00886083" w:rsidRDefault="00886083" w:rsidP="005E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C96" w14:textId="77777777" w:rsidR="00B75E15" w:rsidRDefault="00B75E1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C5"/>
    <w:rsid w:val="00025254"/>
    <w:rsid w:val="0003101A"/>
    <w:rsid w:val="000A53C1"/>
    <w:rsid w:val="001274F9"/>
    <w:rsid w:val="00155208"/>
    <w:rsid w:val="001E6785"/>
    <w:rsid w:val="00262E84"/>
    <w:rsid w:val="002709B2"/>
    <w:rsid w:val="002768AF"/>
    <w:rsid w:val="00313D6B"/>
    <w:rsid w:val="003441AB"/>
    <w:rsid w:val="003941D3"/>
    <w:rsid w:val="003B003B"/>
    <w:rsid w:val="003B1BB1"/>
    <w:rsid w:val="003C03F4"/>
    <w:rsid w:val="00404761"/>
    <w:rsid w:val="004133A1"/>
    <w:rsid w:val="00590967"/>
    <w:rsid w:val="005E4353"/>
    <w:rsid w:val="006513B9"/>
    <w:rsid w:val="00686D03"/>
    <w:rsid w:val="006B648F"/>
    <w:rsid w:val="006C6E33"/>
    <w:rsid w:val="006F0352"/>
    <w:rsid w:val="007112A8"/>
    <w:rsid w:val="007620E8"/>
    <w:rsid w:val="00882BFE"/>
    <w:rsid w:val="00886083"/>
    <w:rsid w:val="008C07EE"/>
    <w:rsid w:val="0090722D"/>
    <w:rsid w:val="00930273"/>
    <w:rsid w:val="00964394"/>
    <w:rsid w:val="009B2332"/>
    <w:rsid w:val="00A172EC"/>
    <w:rsid w:val="00A77B3E"/>
    <w:rsid w:val="00A84CBB"/>
    <w:rsid w:val="00B03BC6"/>
    <w:rsid w:val="00B11392"/>
    <w:rsid w:val="00B33405"/>
    <w:rsid w:val="00B40C17"/>
    <w:rsid w:val="00B75E15"/>
    <w:rsid w:val="00BA778B"/>
    <w:rsid w:val="00BE07F4"/>
    <w:rsid w:val="00C95F5B"/>
    <w:rsid w:val="00CA2A55"/>
    <w:rsid w:val="00CA31F4"/>
    <w:rsid w:val="00E12BE9"/>
    <w:rsid w:val="00E334B7"/>
    <w:rsid w:val="00EB6A9D"/>
    <w:rsid w:val="00F537F9"/>
    <w:rsid w:val="00F819D8"/>
    <w:rsid w:val="00F81AB6"/>
    <w:rsid w:val="00F840FC"/>
    <w:rsid w:val="00FD5541"/>
    <w:rsid w:val="00FF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895259"/>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E4353"/>
    <w:rPr>
      <w:sz w:val="21"/>
      <w:szCs w:val="21"/>
    </w:rPr>
  </w:style>
  <w:style w:type="paragraph" w:styleId="a4">
    <w:name w:val="annotation text"/>
    <w:basedOn w:val="a"/>
    <w:link w:val="a5"/>
    <w:unhideWhenUsed/>
    <w:rsid w:val="005E4353"/>
  </w:style>
  <w:style w:type="character" w:customStyle="1" w:styleId="a5">
    <w:name w:val="批注文字 字符"/>
    <w:basedOn w:val="a0"/>
    <w:link w:val="a4"/>
    <w:rsid w:val="005E4353"/>
    <w:rPr>
      <w:sz w:val="24"/>
      <w:szCs w:val="24"/>
    </w:rPr>
  </w:style>
  <w:style w:type="paragraph" w:styleId="a6">
    <w:name w:val="annotation subject"/>
    <w:basedOn w:val="a4"/>
    <w:next w:val="a4"/>
    <w:link w:val="a7"/>
    <w:semiHidden/>
    <w:unhideWhenUsed/>
    <w:rsid w:val="005E4353"/>
    <w:rPr>
      <w:b/>
      <w:bCs/>
    </w:rPr>
  </w:style>
  <w:style w:type="character" w:customStyle="1" w:styleId="a7">
    <w:name w:val="批注主题 字符"/>
    <w:basedOn w:val="a5"/>
    <w:link w:val="a6"/>
    <w:semiHidden/>
    <w:rsid w:val="005E4353"/>
    <w:rPr>
      <w:b/>
      <w:bCs/>
      <w:sz w:val="24"/>
      <w:szCs w:val="24"/>
    </w:rPr>
  </w:style>
  <w:style w:type="paragraph" w:styleId="a8">
    <w:name w:val="header"/>
    <w:basedOn w:val="a"/>
    <w:link w:val="a9"/>
    <w:unhideWhenUsed/>
    <w:rsid w:val="005E435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E4353"/>
    <w:rPr>
      <w:sz w:val="18"/>
      <w:szCs w:val="18"/>
    </w:rPr>
  </w:style>
  <w:style w:type="paragraph" w:styleId="aa">
    <w:name w:val="footer"/>
    <w:basedOn w:val="a"/>
    <w:link w:val="ab"/>
    <w:uiPriority w:val="99"/>
    <w:unhideWhenUsed/>
    <w:rsid w:val="005E4353"/>
    <w:pPr>
      <w:tabs>
        <w:tab w:val="center" w:pos="4153"/>
        <w:tab w:val="right" w:pos="8306"/>
      </w:tabs>
      <w:snapToGrid w:val="0"/>
    </w:pPr>
    <w:rPr>
      <w:sz w:val="18"/>
      <w:szCs w:val="18"/>
    </w:rPr>
  </w:style>
  <w:style w:type="character" w:customStyle="1" w:styleId="ab">
    <w:name w:val="页脚 字符"/>
    <w:basedOn w:val="a0"/>
    <w:link w:val="aa"/>
    <w:uiPriority w:val="99"/>
    <w:rsid w:val="005E4353"/>
    <w:rPr>
      <w:sz w:val="18"/>
      <w:szCs w:val="18"/>
    </w:rPr>
  </w:style>
  <w:style w:type="table" w:styleId="ac">
    <w:name w:val="Table Grid"/>
    <w:basedOn w:val="a1"/>
    <w:uiPriority w:val="39"/>
    <w:rsid w:val="003C03F4"/>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B1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34</Pages>
  <Words>8692</Words>
  <Characters>49546</Characters>
  <Application>Microsoft Office Word</Application>
  <DocSecurity>0</DocSecurity>
  <Lines>412</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shuichiro_higo</dc:creator>
  <cp:lastModifiedBy>M18955</cp:lastModifiedBy>
  <cp:revision>6</cp:revision>
  <dcterms:created xsi:type="dcterms:W3CDTF">2023-03-16T17:30:00Z</dcterms:created>
  <dcterms:modified xsi:type="dcterms:W3CDTF">2023-03-20T12:42:00Z</dcterms:modified>
</cp:coreProperties>
</file>