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82489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Coexisting cytomegalovirus colitis in an immunocompetent patient with </w:t>
      </w:r>
      <w:r>
        <w:rPr>
          <w:rFonts w:ascii="Book Antiqua" w:hAnsi="Book Antiqua" w:eastAsia="Book Antiqua" w:cs="Book Antiqua"/>
          <w:b/>
          <w:bCs/>
          <w:i/>
          <w:iCs/>
          <w:color w:val="000000"/>
        </w:rPr>
        <w:t>Clostridioides difficile</w:t>
      </w:r>
      <w:r>
        <w:rPr>
          <w:rFonts w:ascii="Book Antiqua" w:hAnsi="Book Antiqua" w:eastAsia="Book Antiqua" w:cs="Book Antiqua"/>
          <w:b/>
          <w:bCs/>
          <w:color w:val="000000"/>
        </w:rPr>
        <w:t xml:space="preserve"> colitis: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Kim </w:t>
      </w:r>
      <w:r>
        <w:rPr>
          <w:rFonts w:ascii="Book Antiqua" w:hAnsi="Book Antiqua" w:eastAsia="宋体" w:cs="Book Antiqua"/>
          <w:color w:val="000000"/>
          <w:lang w:eastAsia="zh-CN"/>
        </w:rPr>
        <w:t xml:space="preserve">JH </w:t>
      </w:r>
      <w:r>
        <w:rPr>
          <w:rFonts w:ascii="Book Antiqua" w:hAnsi="Book Antiqua" w:eastAsia="Book Antiqua" w:cs="Book Antiqua"/>
          <w:i/>
          <w:iCs/>
          <w:color w:val="000000"/>
        </w:rPr>
        <w:t>et al</w:t>
      </w:r>
      <w:r>
        <w:rPr>
          <w:rFonts w:ascii="Book Antiqua" w:hAnsi="Book Antiqua" w:eastAsia="Book Antiqua" w:cs="Book Antiqua"/>
          <w:color w:val="000000"/>
        </w:rPr>
        <w:t xml:space="preserve">. CMV colitis in </w:t>
      </w:r>
      <w:r>
        <w:rPr>
          <w:rFonts w:ascii="Book Antiqua" w:hAnsi="Book Antiqua" w:eastAsia="Book Antiqua" w:cs="Book Antiqua"/>
          <w:i/>
          <w:iCs/>
          <w:color w:val="000000"/>
        </w:rPr>
        <w:t>Clostridioides difficile</w:t>
      </w:r>
      <w:r>
        <w:rPr>
          <w:rFonts w:ascii="Book Antiqua" w:hAnsi="Book Antiqua" w:eastAsia="Book Antiqua" w:cs="Book Antiqua"/>
          <w:color w:val="000000"/>
        </w:rPr>
        <w:t xml:space="preserve"> colitis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Jun Hyoung Kim, Hee-Sung Kim, Hye Won Jeong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Jun Hyoung Kim, Hee-Sung Kim, Hye Won Jeong, </w:t>
      </w:r>
      <w:r>
        <w:rPr>
          <w:rFonts w:ascii="Book Antiqua" w:hAnsi="Book Antiqua" w:eastAsia="宋体" w:cs="Book Antiqua"/>
          <w:bCs/>
          <w:color w:val="000000"/>
          <w:lang w:eastAsia="zh-CN"/>
        </w:rPr>
        <w:t xml:space="preserve">Department of </w:t>
      </w:r>
      <w:r>
        <w:rPr>
          <w:rFonts w:ascii="Book Antiqua" w:hAnsi="Book Antiqua" w:eastAsia="Book Antiqua" w:cs="Book Antiqua"/>
          <w:color w:val="000000"/>
        </w:rPr>
        <w:t>Internal Medicine, Chungbuk National University Hospital, Cheongju 28644, Chungbuk,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Hee-Sung Kim, Hye Won Jeong, </w:t>
      </w:r>
      <w:r>
        <w:rPr>
          <w:rFonts w:ascii="Book Antiqua" w:hAnsi="Book Antiqua" w:eastAsia="宋体" w:cs="Book Antiqua"/>
          <w:bCs/>
          <w:color w:val="000000"/>
          <w:lang w:eastAsia="zh-CN"/>
        </w:rPr>
        <w:t xml:space="preserve">Department of </w:t>
      </w:r>
      <w:r>
        <w:rPr>
          <w:rFonts w:ascii="Book Antiqua" w:hAnsi="Book Antiqua" w:eastAsia="Book Antiqua" w:cs="Book Antiqua"/>
          <w:color w:val="000000"/>
        </w:rPr>
        <w:t>Internal Medicine, Chungbuk National University College of Medicine, Cheongju 28644, Chungbuk,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Kim JH contributed to manuscript writing and editing; Kim HS and </w:t>
      </w:r>
      <w:r>
        <w:rPr>
          <w:rFonts w:ascii="Book Antiqua" w:hAnsi="Book Antiqua" w:eastAsia="Book Antiqua" w:cs="Book Antiqua"/>
          <w:bCs/>
          <w:color w:val="000000"/>
        </w:rPr>
        <w:t>Jeong</w:t>
      </w:r>
      <w:r>
        <w:rPr>
          <w:rFonts w:ascii="Book Antiqua" w:hAnsi="Book Antiqua" w:eastAsia="Book Antiqua" w:cs="Book Antiqua"/>
          <w:color w:val="000000"/>
        </w:rPr>
        <w:t xml:space="preserve"> HW supervised the study; </w:t>
      </w:r>
      <w:r>
        <w:rPr>
          <w:rFonts w:ascii="Book Antiqua" w:hAnsi="Book Antiqua" w:eastAsia="Book Antiqua" w:cs="Book Antiqua"/>
          <w:bCs/>
          <w:color w:val="000000"/>
        </w:rPr>
        <w:t>Jeong</w:t>
      </w:r>
      <w:r>
        <w:rPr>
          <w:rFonts w:ascii="Book Antiqua" w:hAnsi="Book Antiqua" w:eastAsia="Book Antiqua" w:cs="Book Antiqua"/>
          <w:color w:val="000000"/>
        </w:rPr>
        <w:t xml:space="preserve"> HW conceived the study;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Hye Won Jeong, MD, PhD, Professor, </w:t>
      </w:r>
      <w:r>
        <w:rPr>
          <w:rFonts w:ascii="Book Antiqua" w:hAnsi="Book Antiqua" w:eastAsia="宋体" w:cs="Book Antiqua"/>
          <w:bCs/>
          <w:color w:val="000000"/>
          <w:lang w:eastAsia="zh-CN"/>
        </w:rPr>
        <w:t xml:space="preserve">Department of </w:t>
      </w:r>
      <w:r>
        <w:rPr>
          <w:rFonts w:ascii="Book Antiqua" w:hAnsi="Book Antiqua" w:eastAsia="Book Antiqua" w:cs="Book Antiqua"/>
          <w:color w:val="000000"/>
        </w:rPr>
        <w:t xml:space="preserve">Internal Medicine, Chungbuk National University College of Medicine, </w:t>
      </w:r>
      <w:r>
        <w:rPr>
          <w:rFonts w:ascii="Book Antiqua" w:hAnsi="Book Antiqua" w:eastAsia="宋体" w:cs="Book Antiqua"/>
          <w:color w:val="000000"/>
          <w:lang w:eastAsia="zh-CN"/>
        </w:rPr>
        <w:t xml:space="preserve">No. </w:t>
      </w:r>
      <w:r>
        <w:rPr>
          <w:rFonts w:ascii="Book Antiqua" w:hAnsi="Book Antiqua" w:eastAsia="Book Antiqua" w:cs="Book Antiqua"/>
          <w:color w:val="000000"/>
        </w:rPr>
        <w:t>1</w:t>
      </w:r>
      <w:r>
        <w:rPr>
          <w:rFonts w:ascii="Book Antiqua" w:hAnsi="Book Antiqua" w:eastAsia="宋体" w:cs="Book Antiqua"/>
          <w:color w:val="000000"/>
          <w:lang w:eastAsia="zh-CN"/>
        </w:rPr>
        <w:t xml:space="preserve"> </w:t>
      </w:r>
      <w:r>
        <w:rPr>
          <w:rFonts w:ascii="Book Antiqua" w:hAnsi="Book Antiqua" w:eastAsia="Book Antiqua" w:cs="Book Antiqua"/>
          <w:color w:val="000000"/>
        </w:rPr>
        <w:t>Chungdae-ro, Seowon-gu, Cheongju 28644, Chungbuk, South Korea. hwjeong@chungbuk.ac.kr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21,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rPr>
        <w:t>January 12, 2023</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March 6, 2023</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April 6,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i/>
          <w:iCs/>
          <w:color w:val="000000"/>
        </w:rPr>
        <w:t>Clostridioides difficile</w:t>
      </w:r>
      <w:r>
        <w:rPr>
          <w:rFonts w:ascii="Book Antiqua" w:hAnsi="Book Antiqua" w:eastAsia="Book Antiqua" w:cs="Book Antiqua"/>
          <w:color w:val="000000"/>
        </w:rPr>
        <w:t xml:space="preserve"> </w:t>
      </w:r>
      <w:r>
        <w:rPr>
          <w:rFonts w:ascii="Book Antiqua" w:hAnsi="Book Antiqua" w:eastAsia="宋体" w:cs="Book Antiqua"/>
          <w:color w:val="000000"/>
          <w:lang w:eastAsia="zh-CN"/>
        </w:rPr>
        <w:t>(</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colitis is one of the most common infections in hospitalized patients, characterized by fever and diarrhea. It usually improves after appropriate antibiotic treatment; if not, comorbidities should be considered. Cytomegalovirus (CMV) colitis is a possible co-existing diagnosis in patients with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with poor treatment response. However, compared with immunocompromised patients, CMV colitis in immunocompetent patients is not well studied.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We present an unusual case of co-existing CMV colitis in an immunocompetent patient with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An 80-year-old female patient was referred to the infectious disease department due to diarrhea, abdominal discomfort, and fever for 1 wk during her hospitalization for surgery.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Book Antiqua" w:cs="Book Antiqua"/>
          <w:color w:val="000000"/>
        </w:rPr>
        <w:t xml:space="preserve"> toxin B polymerase chain reaction on stool samples was positive. After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was diagnosed, oral vancomycin treatment was administered. Her symptoms including diarrhea, fever and abdominal discomfort improved for ten days. Unfortunately, the symptoms worsened again with bloody diarrhea and fever. Therefore, a sigmoidoscopy was performed for evaluation, showing a longitudinal ulcer on the sigmoid colon. Endoscopic biopsy confirmed CMV colitis, and the clinical symptoms improved after using ganciclovir.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Co-existing CMV colitis should be considered in patients with aggravated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on appropriate treatment, even in immunocompetent hosts.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Cytomegalovirus; </w:t>
      </w:r>
      <w:r>
        <w:rPr>
          <w:rFonts w:ascii="Book Antiqua" w:hAnsi="Book Antiqua" w:eastAsia="Book Antiqua" w:cs="Book Antiqua"/>
          <w:i/>
          <w:iCs/>
          <w:color w:val="000000"/>
        </w:rPr>
        <w:t>Clostridioides difficile</w:t>
      </w:r>
      <w:r>
        <w:rPr>
          <w:rFonts w:ascii="Book Antiqua" w:hAnsi="Book Antiqua" w:eastAsia="Book Antiqua" w:cs="Book Antiqua"/>
          <w:color w:val="000000"/>
        </w:rPr>
        <w:t>; Coinfection; Colitis; Immunocompetent; Case report</w:t>
      </w:r>
    </w:p>
    <w:p>
      <w:pPr>
        <w:spacing w:line="360" w:lineRule="auto"/>
        <w:jc w:val="both"/>
        <w:rPr>
          <w:rFonts w:ascii="Book Antiqua" w:hAnsi="Book Antiqua" w:eastAsia="宋体"/>
          <w:lang w:eastAsia="zh-CN"/>
        </w:rPr>
      </w:pPr>
    </w:p>
    <w:p>
      <w:pPr>
        <w:spacing w:line="360" w:lineRule="auto"/>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rPr>
        <w:t>3</w:t>
      </w:r>
      <w:r>
        <w:rPr>
          <w:rFonts w:ascii="Book Antiqua" w:hAnsi="Book Antiqua" w:eastAsia="Book Antiqua" w:cs="Book Antiqua"/>
          <w:b/>
          <w:color w:val="000000"/>
        </w:rPr>
        <w:t xml:space="preserve">. </w:t>
      </w:r>
      <w:r>
        <w:rPr>
          <w:rFonts w:ascii="Book Antiqua" w:hAnsi="Book Antiqua" w:eastAsia="Book Antiqua" w:cs="Book Antiqua"/>
          <w:color w:val="000000"/>
        </w:rPr>
        <w:t xml:space="preserve">Published by Baishideng Publishing Group Inc. All rights reserved. </w:t>
      </w:r>
    </w:p>
    <w:p>
      <w:pPr>
        <w:spacing w:line="360" w:lineRule="auto"/>
        <w:jc w:val="both"/>
        <w:rPr>
          <w:rFonts w:ascii="Book Antiqua" w:hAnsi="Book Antiqua" w:eastAsia="宋体"/>
          <w:lang w:eastAsia="zh-CN"/>
        </w:rPr>
      </w:pPr>
    </w:p>
    <w:p>
      <w:pPr>
        <w:spacing w:line="360" w:lineRule="auto"/>
        <w:jc w:val="both"/>
        <w:rPr>
          <w:rFonts w:ascii="Book Antiqua" w:hAnsi="Book Antiqua" w:cs="Book Antiqua"/>
          <w:lang w:eastAsia="zh-CN"/>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Kim JH, Kim HS, Jeong HW. Coexisting cytomegalovirus colitis in an immunocompetent patient with </w:t>
      </w:r>
      <w:r>
        <w:rPr>
          <w:rFonts w:ascii="Book Antiqua" w:hAnsi="Book Antiqua" w:eastAsia="Book Antiqua" w:cs="Book Antiqua"/>
          <w:i/>
          <w:color w:val="000000"/>
        </w:rPr>
        <w:t>Clostridioides difficile</w:t>
      </w:r>
      <w:r>
        <w:rPr>
          <w:rFonts w:ascii="Book Antiqua" w:hAnsi="Book Antiqua" w:eastAsia="Book Antiqua" w:cs="Book Antiqua"/>
          <w:color w:val="000000"/>
        </w:rPr>
        <w:t xml:space="preserve"> colitis: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2023;</w:t>
      </w:r>
      <w:r>
        <w:rPr>
          <w:rFonts w:ascii="Book Antiqua" w:hAnsi="Book Antiqua" w:eastAsia="Book Antiqua" w:cs="Book Antiqua"/>
        </w:rPr>
        <w:t xml:space="preserve"> 11(</w:t>
      </w:r>
      <w:r>
        <w:rPr>
          <w:rFonts w:hint="eastAsia" w:ascii="Book Antiqua" w:hAnsi="Book Antiqua" w:cs="Book Antiqua"/>
          <w:lang w:eastAsia="zh-CN"/>
        </w:rPr>
        <w:t>10</w:t>
      </w:r>
      <w:r>
        <w:rPr>
          <w:rFonts w:ascii="Book Antiqua" w:hAnsi="Book Antiqua" w:eastAsia="Book Antiqua" w:cs="Book Antiqua"/>
        </w:rPr>
        <w:t xml:space="preserve">): </w:t>
      </w:r>
      <w:r>
        <w:rPr>
          <w:rFonts w:hint="default" w:ascii="Book Antiqua" w:hAnsi="Book Antiqua" w:eastAsia="Book Antiqua" w:cs="Book Antiqua"/>
          <w:i w:val="0"/>
          <w:iCs w:val="0"/>
          <w:color w:val="000000"/>
          <w:kern w:val="0"/>
          <w:sz w:val="24"/>
          <w:szCs w:val="24"/>
          <w:u w:val="none"/>
          <w:lang w:val="en-US" w:eastAsia="zh-CN" w:bidi="ar"/>
        </w:rPr>
        <w:t>2343-2348</w:t>
      </w:r>
    </w:p>
    <w:p>
      <w:pPr>
        <w:spacing w:line="360" w:lineRule="auto"/>
        <w:jc w:val="both"/>
        <w:rPr>
          <w:rFonts w:ascii="Book Antiqua" w:hAnsi="Book Antiqua" w:cs="Book Antiqua"/>
          <w:lang w:eastAsia="zh-CN"/>
        </w:rPr>
      </w:pPr>
      <w:r>
        <w:rPr>
          <w:rFonts w:ascii="Book Antiqua" w:hAnsi="Book Antiqua" w:eastAsia="Book Antiqua" w:cs="Book Antiqua"/>
          <w:b/>
        </w:rPr>
        <w:t xml:space="preserve">URL: </w:t>
      </w:r>
      <w:r>
        <w:rPr>
          <w:rFonts w:ascii="Book Antiqua" w:hAnsi="Book Antiqua" w:eastAsia="Book Antiqua" w:cs="Book Antiqua"/>
        </w:rPr>
        <w:t>https://www.wjgnet.com/2307-8960/full/v11/i</w:t>
      </w:r>
      <w:r>
        <w:rPr>
          <w:rFonts w:hint="eastAsia" w:ascii="Book Antiqua" w:hAnsi="Book Antiqua" w:cs="Book Antiqua"/>
          <w:lang w:eastAsia="zh-CN"/>
        </w:rPr>
        <w:t>10</w:t>
      </w:r>
      <w:r>
        <w:rPr>
          <w:rFonts w:ascii="Book Antiqua" w:hAnsi="Book Antiqua" w:eastAsia="Book Antiqua" w:cs="Book Antiqua"/>
        </w:rPr>
        <w:t>/</w:t>
      </w:r>
      <w:r>
        <w:rPr>
          <w:rFonts w:hint="default" w:ascii="Book Antiqua" w:hAnsi="Book Antiqua" w:eastAsia="Book Antiqua" w:cs="Book Antiqua"/>
          <w:i w:val="0"/>
          <w:iCs w:val="0"/>
          <w:color w:val="000000"/>
          <w:kern w:val="0"/>
          <w:sz w:val="24"/>
          <w:szCs w:val="24"/>
          <w:u w:val="none"/>
          <w:lang w:val="en-US" w:eastAsia="zh-CN" w:bidi="ar"/>
        </w:rPr>
        <w:t>2343</w:t>
      </w:r>
      <w:r>
        <w:rPr>
          <w:rFonts w:ascii="Book Antiqua" w:hAnsi="Book Antiqua" w:eastAsia="Book Antiqua" w:cs="Book Antiqua"/>
        </w:rPr>
        <w:t>.htm</w:t>
      </w:r>
    </w:p>
    <w:p>
      <w:pPr>
        <w:spacing w:line="360" w:lineRule="auto"/>
        <w:jc w:val="both"/>
        <w:rPr>
          <w:rFonts w:ascii="Book Antiqua" w:hAnsi="Book Antiqua" w:eastAsia="宋体"/>
          <w:lang w:eastAsia="zh-CN"/>
        </w:rPr>
      </w:pPr>
      <w:r>
        <w:rPr>
          <w:rFonts w:ascii="Book Antiqua" w:hAnsi="Book Antiqua" w:eastAsia="Book Antiqua" w:cs="Book Antiqua"/>
          <w:b/>
        </w:rPr>
        <w:t xml:space="preserve">DOI: </w:t>
      </w:r>
      <w:r>
        <w:rPr>
          <w:rFonts w:ascii="Book Antiqua" w:hAnsi="Book Antiqua" w:eastAsia="Book Antiqua" w:cs="Book Antiqua"/>
        </w:rPr>
        <w:t>https://dx.doi.org/10.12998/wjcc.v11.i</w:t>
      </w:r>
      <w:r>
        <w:rPr>
          <w:rFonts w:hint="eastAsia" w:ascii="Book Antiqua" w:hAnsi="Book Antiqua" w:cs="Book Antiqua"/>
          <w:lang w:eastAsia="zh-CN"/>
        </w:rPr>
        <w:t>10</w:t>
      </w:r>
      <w:r>
        <w:rPr>
          <w:rFonts w:ascii="Book Antiqua" w:hAnsi="Book Antiqua" w:eastAsia="Book Antiqua" w:cs="Book Antiqua"/>
        </w:rPr>
        <w:t>.</w:t>
      </w:r>
      <w:r>
        <w:rPr>
          <w:rFonts w:hint="default" w:ascii="Book Antiqua" w:hAnsi="Book Antiqua" w:eastAsia="Book Antiqua" w:cs="Book Antiqua"/>
          <w:i w:val="0"/>
          <w:iCs w:val="0"/>
          <w:color w:val="000000"/>
          <w:kern w:val="0"/>
          <w:sz w:val="24"/>
          <w:szCs w:val="24"/>
          <w:u w:val="none"/>
          <w:lang w:val="en-US" w:eastAsia="zh-CN" w:bidi="ar"/>
        </w:rPr>
        <w:t>2343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Cytomegalovirus (CMV) colitis is rare in immunocompetent patients, but colitis is the main clinical manifestation. The </w:t>
      </w:r>
      <w:r>
        <w:rPr>
          <w:rFonts w:ascii="Book Antiqua" w:hAnsi="Book Antiqua" w:eastAsia="Book Antiqua" w:cs="Book Antiqua"/>
          <w:i/>
          <w:iCs/>
          <w:color w:val="000000"/>
        </w:rPr>
        <w:t>Clostridioides difficile</w:t>
      </w:r>
      <w:r>
        <w:rPr>
          <w:rFonts w:ascii="Book Antiqua" w:hAnsi="Book Antiqua" w:eastAsia="Book Antiqua" w:cs="Book Antiqua"/>
          <w:color w:val="000000"/>
        </w:rPr>
        <w:t xml:space="preserve"> </w:t>
      </w:r>
      <w:r>
        <w:rPr>
          <w:rFonts w:ascii="Book Antiqua" w:hAnsi="Book Antiqua" w:eastAsia="宋体" w:cs="Book Antiqua"/>
          <w:color w:val="000000"/>
          <w:lang w:eastAsia="zh-CN"/>
        </w:rPr>
        <w:t>(</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and CMV colitis symptoms might be indistinguishable clinically. Therefore, it is difficult to consider their co-existence in patients suspected of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If a patient treated with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does not show clinical improvement, the possibility of co-existing CMV colitis should be considered as one of the differential diagnoses. Sigmoidoscopy with biopsy is crucial in diagnosing co-existing CMV and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colitis. </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Cytomegalovirus (CMV) is a member of the herpesvirus family and forms latent infection after the resolution of the primary infection</w:t>
      </w:r>
      <w:r>
        <w:rPr>
          <w:rFonts w:ascii="Book Antiqua" w:hAnsi="Book Antiqua" w:eastAsia="Book Antiqua" w:cs="Book Antiqua"/>
          <w:color w:val="000000"/>
          <w:vertAlign w:val="superscript"/>
        </w:rPr>
        <w:t>[1]</w:t>
      </w:r>
      <w:r>
        <w:rPr>
          <w:rFonts w:ascii="Book Antiqua" w:hAnsi="Book Antiqua" w:eastAsia="Book Antiqua" w:cs="Book Antiqua"/>
          <w:color w:val="000000"/>
        </w:rPr>
        <w:t>. CMV primary infection can cause mononucleosis-like symptoms in immunocompetent adults</w:t>
      </w:r>
      <w:r>
        <w:rPr>
          <w:rFonts w:ascii="Book Antiqua" w:hAnsi="Book Antiqua" w:eastAsia="Book Antiqua" w:cs="Book Antiqua"/>
          <w:color w:val="000000"/>
          <w:vertAlign w:val="superscript"/>
        </w:rPr>
        <w:t>[1]</w:t>
      </w:r>
      <w:r>
        <w:rPr>
          <w:rFonts w:ascii="Book Antiqua" w:hAnsi="Book Antiqua" w:eastAsia="Book Antiqua" w:cs="Book Antiqua"/>
          <w:color w:val="000000"/>
        </w:rPr>
        <w:t>. After the primary CMV infection, CMV remains in host cells and CMV replication is controlled by the immune system in immunocompetent patients</w:t>
      </w:r>
      <w:r>
        <w:rPr>
          <w:rFonts w:ascii="Book Antiqua" w:hAnsi="Book Antiqua" w:eastAsia="Book Antiqua" w:cs="Book Antiqua"/>
          <w:color w:val="000000"/>
          <w:vertAlign w:val="superscript"/>
        </w:rPr>
        <w:t>[1]</w:t>
      </w:r>
      <w:r>
        <w:rPr>
          <w:rFonts w:ascii="Book Antiqua" w:hAnsi="Book Antiqua" w:eastAsia="Book Antiqua" w:cs="Book Antiqua"/>
          <w:color w:val="000000"/>
        </w:rPr>
        <w:t>. Immunodeficiency is the leading risk factor for invasive CMV diseases</w:t>
      </w:r>
      <w:r>
        <w:rPr>
          <w:rFonts w:ascii="Book Antiqua" w:hAnsi="Book Antiqua" w:eastAsia="Book Antiqua" w:cs="Book Antiqua"/>
          <w:color w:val="000000"/>
          <w:vertAlign w:val="superscript"/>
        </w:rPr>
        <w:t>[2]</w:t>
      </w:r>
      <w:r>
        <w:rPr>
          <w:rFonts w:ascii="Book Antiqua" w:hAnsi="Book Antiqua" w:eastAsia="Book Antiqua" w:cs="Book Antiqua"/>
          <w:color w:val="000000"/>
        </w:rPr>
        <w:t>. Invasive CMV diseases can occur in immunocompromised patients, including transplant recipients or patients with HIV, by primary infection or reactivation and could have significant morbidity and mortality</w:t>
      </w:r>
      <w:r>
        <w:rPr>
          <w:rFonts w:ascii="Book Antiqua" w:hAnsi="Book Antiqua" w:eastAsia="Book Antiqua" w:cs="Book Antiqua"/>
          <w:color w:val="000000"/>
          <w:vertAlign w:val="superscript"/>
        </w:rPr>
        <w:t>[3]</w:t>
      </w:r>
      <w:r>
        <w:rPr>
          <w:rFonts w:ascii="Book Antiqua" w:hAnsi="Book Antiqua" w:eastAsia="Book Antiqua" w:cs="Book Antiqua"/>
          <w:color w:val="000000"/>
        </w:rPr>
        <w:t>. This mostly affects the gastrointestinal tract, comprising 30% of tissue-invasive CMV diseases in immunocompromised patients</w:t>
      </w:r>
      <w:r>
        <w:rPr>
          <w:rFonts w:ascii="Book Antiqua" w:hAnsi="Book Antiqua" w:eastAsia="Book Antiqua" w:cs="Book Antiqua"/>
          <w:color w:val="000000"/>
          <w:vertAlign w:val="superscript"/>
        </w:rPr>
        <w:t>[4]</w:t>
      </w:r>
      <w:r>
        <w:rPr>
          <w:rFonts w:ascii="Book Antiqua" w:hAnsi="Book Antiqua" w:eastAsia="Book Antiqua" w:cs="Book Antiqua"/>
          <w:color w:val="000000"/>
        </w:rPr>
        <w:t>. Clinical manifestation of CMV colitis in immunocompromised patients varies and depends on the site of involvement which could cause odynophagia, abdominal pain, hematochezia, and fever</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CMV colitis in immunocompetent patients was previously considered very rare. However, there has been an increasing number of case reports in immunocompetent patients</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The </w:t>
      </w:r>
      <w:r>
        <w:rPr>
          <w:rFonts w:ascii="Book Antiqua" w:hAnsi="Book Antiqua" w:eastAsia="宋体" w:cs="Book Antiqua"/>
          <w:color w:val="000000"/>
          <w:lang w:eastAsia="zh-CN"/>
        </w:rPr>
        <w:t>s</w:t>
      </w:r>
      <w:r>
        <w:rPr>
          <w:rFonts w:ascii="Book Antiqua" w:hAnsi="Book Antiqua" w:eastAsia="Book Antiqua" w:cs="Book Antiqua"/>
          <w:color w:val="000000"/>
        </w:rPr>
        <w:t>ymptoms of CMV colitis in immunocompetent patients also present odynophagia, abdominal pain, hematochezia, and fever</w:t>
      </w:r>
      <w:r>
        <w:rPr>
          <w:rFonts w:ascii="Book Antiqua" w:hAnsi="Book Antiqua" w:eastAsia="Book Antiqua" w:cs="Book Antiqua"/>
          <w:color w:val="000000"/>
          <w:vertAlign w:val="superscript"/>
        </w:rPr>
        <w:t>[5,6]</w:t>
      </w:r>
      <w:r>
        <w:rPr>
          <w:rFonts w:ascii="Book Antiqua" w:hAnsi="Book Antiqua" w:eastAsia="Book Antiqua" w:cs="Book Antiqua"/>
          <w:color w:val="000000"/>
        </w:rPr>
        <w:t>. However, its epidemiology, clinical features, and outcomes in immunocompetent patients are not completely understood</w:t>
      </w:r>
      <w:r>
        <w:rPr>
          <w:rFonts w:ascii="Book Antiqua" w:hAnsi="Book Antiqua" w:eastAsia="Book Antiqua" w:cs="Book Antiqua"/>
          <w:color w:val="000000"/>
          <w:vertAlign w:val="superscript"/>
        </w:rPr>
        <w:t>[4-8]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i/>
          <w:iCs/>
          <w:color w:val="000000"/>
        </w:rPr>
        <w:t>Clostridioides difficile</w:t>
      </w:r>
      <w:r>
        <w:rPr>
          <w:rFonts w:ascii="Book Antiqua" w:hAnsi="Book Antiqua" w:eastAsia="Book Antiqua" w:cs="Book Antiqua"/>
          <w:color w:val="000000"/>
        </w:rPr>
        <w:t xml:space="preserve">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Book Antiqua" w:cs="Book Antiqua"/>
          <w:color w:val="000000"/>
        </w:rPr>
        <w:t>)</w:t>
      </w:r>
      <w:r>
        <w:rPr>
          <w:rFonts w:ascii="Book Antiqua" w:hAnsi="Book Antiqua" w:eastAsia="宋体" w:cs="Book Antiqua"/>
          <w:color w:val="000000"/>
          <w:lang w:eastAsia="zh-CN"/>
        </w:rPr>
        <w:t xml:space="preserve"> </w:t>
      </w:r>
      <w:r>
        <w:rPr>
          <w:rFonts w:ascii="Book Antiqua" w:hAnsi="Book Antiqua" w:eastAsia="Book Antiqua" w:cs="Book Antiqua"/>
          <w:color w:val="000000"/>
        </w:rPr>
        <w:t>colitis is a cause of diarrhea in hospitalized patients and is one of the most common causes of nosocomial infections</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is usually suspected when hospitalized patients develop diarrhea and fever</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CMV colitis symptoms are clinically indistinguishable from those of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Therefore, if the immunocompromised status of patients who develop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does not improve even with appropriate treatment, accompanying CMV colitis should be considered. However, this may not be considered in immunocompromised patients because cases of co-existing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and CMV colitis are rare in immunocompetent patients. We report an unusual case of CMV colitis in an immunocompetent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patient with literature 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An 80-year-old female patient was referred for an infectious disease (ID) consult due to diarrhea, abdominal discomfort, and fever for 1 wk during her rehabilitation treatment after spinal stenosis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She underwent spinal stenosis surgery three weeks ago for back pain. She took methylprednisolone 250</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mg per day for a week from the time of surgery due to paralysis of the lower extremities associated with spinal stenosis. She was treated with piperacillin/tazobactam for 7 d and cefixime for 4 d for a urinary tract infection before ID consultation. She had diarrhea, abdominal discomfort, and fever for 1 wk.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Book Antiqua" w:cs="Book Antiqua"/>
          <w:color w:val="000000"/>
        </w:rPr>
        <w:t xml:space="preserve"> toxin A, B polymerase chain reaction (PCR) tests were performed on stool samples.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Book Antiqua" w:cs="Book Antiqua"/>
          <w:color w:val="000000"/>
        </w:rPr>
        <w:t xml:space="preserve"> toxin B PCR was positive. Computed tomography (CT) of the abdomen/pelvis showed diffuse wall thickening in the rectum with mild perirectal infiltration in the upstream colon. The patient was treated with oral vancomycin 250</w:t>
      </w:r>
      <w:r>
        <w:rPr>
          <w:rFonts w:ascii="Book Antiqua" w:hAnsi="Book Antiqua" w:eastAsia="宋体" w:cs="Book Antiqua"/>
          <w:color w:val="000000"/>
          <w:lang w:eastAsia="zh-CN"/>
        </w:rPr>
        <w:t xml:space="preserve"> </w:t>
      </w:r>
      <w:r>
        <w:rPr>
          <w:rFonts w:ascii="Book Antiqua" w:hAnsi="Book Antiqua" w:eastAsia="Book Antiqua" w:cs="Book Antiqua"/>
          <w:color w:val="000000"/>
        </w:rPr>
        <w:t>mg every 6 h for 10 d, after which fever and diarrhea improved for ten days. However, the symptoms worsened again with bloody diarrhea and fever.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She had a medical history of hypertension and diabetes.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no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Vital signs were a temperature of 37.8 °C, blood pressure of 110/60 mmHg, pulse rate of 84 beats/min, respiratory rate of 18 breaths/min on the consultation day. The patient’s Glasgow Coma Scale score was 15. She had hyperactive bowel sounds, no tenderness or rebound tenderness, no abdominal distension.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eastAsia="宋体"/>
          <w:lang w:eastAsia="zh-CN"/>
        </w:rPr>
      </w:pPr>
      <w:r>
        <w:rPr>
          <w:rFonts w:ascii="Book Antiqua" w:hAnsi="Book Antiqua" w:eastAsia="Book Antiqua" w:cs="Book Antiqua"/>
          <w:color w:val="000000"/>
        </w:rPr>
        <w:t>On the consultation day, laboratory evaluation revealed anemia (Hb = 9.5 g/dL), an increased level of C-reactive protein (7.3 mg/dL), and an increased erythrocyte sedimentation rate (61 mm/h) with a normal white blood cell counts of 9730 cell/mm</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(neutrophils = 80%, lymphocyte = 15%). Stool culture for </w:t>
      </w:r>
      <w:r>
        <w:rPr>
          <w:rFonts w:ascii="Book Antiqua" w:hAnsi="Book Antiqua" w:eastAsia="Book Antiqua" w:cs="Book Antiqua"/>
          <w:i/>
          <w:iCs/>
          <w:color w:val="000000"/>
        </w:rPr>
        <w:t xml:space="preserve">Salmonella </w:t>
      </w:r>
      <w:r>
        <w:rPr>
          <w:rFonts w:ascii="Book Antiqua" w:hAnsi="Book Antiqua" w:eastAsia="Book Antiqua" w:cs="Book Antiqua"/>
          <w:color w:val="000000"/>
        </w:rPr>
        <w:t xml:space="preserve">spp., </w:t>
      </w:r>
      <w:r>
        <w:rPr>
          <w:rFonts w:ascii="Book Antiqua" w:hAnsi="Book Antiqua" w:eastAsia="Book Antiqua" w:cs="Book Antiqua"/>
          <w:i/>
          <w:iCs/>
          <w:color w:val="000000"/>
        </w:rPr>
        <w:t>Shigella</w:t>
      </w:r>
      <w:r>
        <w:rPr>
          <w:rFonts w:ascii="Book Antiqua" w:hAnsi="Book Antiqua" w:eastAsia="Book Antiqua" w:cs="Book Antiqua"/>
          <w:color w:val="000000"/>
        </w:rPr>
        <w:t xml:space="preserve"> spp., </w:t>
      </w:r>
      <w:r>
        <w:rPr>
          <w:rFonts w:ascii="Book Antiqua" w:hAnsi="Book Antiqua" w:eastAsia="Book Antiqua" w:cs="Book Antiqua"/>
          <w:i/>
          <w:iCs/>
          <w:color w:val="000000"/>
        </w:rPr>
        <w:t>Campylobacter</w:t>
      </w:r>
      <w:r>
        <w:rPr>
          <w:rFonts w:ascii="Book Antiqua" w:hAnsi="Book Antiqua" w:eastAsia="Book Antiqua" w:cs="Book Antiqua"/>
          <w:color w:val="000000"/>
        </w:rPr>
        <w:t xml:space="preserve"> spp., and </w:t>
      </w:r>
      <w:r>
        <w:rPr>
          <w:rFonts w:ascii="Book Antiqua" w:hAnsi="Book Antiqua" w:eastAsia="Book Antiqua" w:cs="Book Antiqua"/>
          <w:i/>
          <w:iCs/>
          <w:color w:val="000000"/>
        </w:rPr>
        <w:t>Escherichia coli</w:t>
      </w:r>
      <w:r>
        <w:rPr>
          <w:rFonts w:ascii="Book Antiqua" w:hAnsi="Book Antiqua" w:eastAsia="Book Antiqua" w:cs="Book Antiqua"/>
          <w:color w:val="000000"/>
        </w:rPr>
        <w:t xml:space="preserve"> O-157:H7 was negative. In routine stool examination, there is no helminth or protozoa, and stool white blood cell counts are 1</w:t>
      </w:r>
      <w:r>
        <w:rPr>
          <w:rFonts w:ascii="Book Antiqua" w:hAnsi="Book Antiqua" w:eastAsia="宋体" w:cs="Book Antiqua"/>
          <w:color w:val="000000"/>
          <w:lang w:eastAsia="zh-CN"/>
        </w:rPr>
        <w:t>-</w:t>
      </w:r>
      <w:r>
        <w:rPr>
          <w:rFonts w:ascii="Book Antiqua" w:hAnsi="Book Antiqua" w:eastAsia="Book Antiqua" w:cs="Book Antiqua"/>
          <w:color w:val="000000"/>
        </w:rPr>
        <w:t>5 cell/high power field.</w:t>
      </w:r>
      <w:r>
        <w:rPr>
          <w:rFonts w:ascii="Book Antiqua" w:hAnsi="Book Antiqua" w:eastAsia="宋体" w:cs="Book Antiqua"/>
          <w:color w:val="000000"/>
          <w:lang w:eastAsia="zh-CN"/>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eastAsia="宋体"/>
          <w:lang w:eastAsia="zh-CN"/>
        </w:rPr>
      </w:pPr>
      <w:r>
        <w:rPr>
          <w:rFonts w:ascii="Book Antiqua" w:hAnsi="Book Antiqua" w:eastAsia="Book Antiqua" w:cs="Book Antiqua"/>
          <w:color w:val="000000"/>
        </w:rPr>
        <w:t>Flexible sigmoidoscopy showed a longitudinal ulcer from the anal verge (AV) to 12 cm above the AV (Figure 1). The biopsy was performed on the ulcer site. Cells with basophilic intranuclear inclusion body surrounded by a clear halo on hematoxylin and eosin stain and positive immunohistochemistry for CMV (Figure 2).</w:t>
      </w:r>
    </w:p>
    <w:p>
      <w:pPr>
        <w:spacing w:line="360" w:lineRule="auto"/>
        <w:jc w:val="both"/>
        <w:rPr>
          <w:rFonts w:ascii="Book Antiqua" w:hAnsi="Book Antiqua" w:eastAsia="宋体"/>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eastAsia="宋体"/>
          <w:lang w:eastAsia="zh-CN"/>
        </w:rPr>
      </w:pPr>
      <w:r>
        <w:rPr>
          <w:rFonts w:ascii="Book Antiqua" w:hAnsi="Book Antiqua" w:eastAsia="Book Antiqua" w:cs="Book Antiqua"/>
          <w:color w:val="000000"/>
        </w:rPr>
        <w:t xml:space="preserve">Co-existing CMV colitis with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Book Antiqua" w:cs="Book Antiqua"/>
          <w:color w:val="000000"/>
        </w:rPr>
        <w:t xml:space="preserve"> colitis</w:t>
      </w:r>
      <w:r>
        <w:rPr>
          <w:rFonts w:ascii="Book Antiqua" w:hAnsi="Book Antiqua" w:eastAsia="宋体"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Antiviral treatment with intravenous ganciclovir (10 mg/kg/day) was initiated. Fever and bloody diarrhea improved after 5 d of using ganciclovir, and the treatment was continued for 3 wk.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A sigmoidoscopy performed after the treatment showed an improvement in the ulcer lesion, and a biopsy performed 1 mo after the treatment showed negative findings. The patient was discharged to a nursing home after successful treatment with improved symptoms.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Although CMV infection in immunocompetent hosts has been considered rare, one review article retrieved 89 articles reporting on severe CMV infection in immunocompetent adults from 1950 to 2007</w:t>
      </w:r>
      <w:r>
        <w:rPr>
          <w:rFonts w:ascii="Book Antiqua" w:hAnsi="Book Antiqua" w:eastAsia="Book Antiqua" w:cs="Book Antiqua"/>
          <w:color w:val="000000"/>
          <w:vertAlign w:val="superscript"/>
        </w:rPr>
        <w:t>[10]</w:t>
      </w:r>
      <w:r>
        <w:rPr>
          <w:rFonts w:ascii="Book Antiqua" w:hAnsi="Book Antiqua" w:eastAsia="Book Antiqua" w:cs="Book Antiqua"/>
          <w:color w:val="000000"/>
        </w:rPr>
        <w:t>. They were mainly gastrointestinal and central nervous system diseases. Symptoms of CMV infection in immunocompetent patients are not well documented; however, severe life-threatening CMV infections in immunocompetent hosts might not be such a rare condition as was previously thought</w:t>
      </w:r>
      <w:r>
        <w:rPr>
          <w:rFonts w:ascii="Book Antiqua" w:hAnsi="Book Antiqua" w:eastAsia="Book Antiqua" w:cs="Book Antiqua"/>
          <w:color w:val="000000"/>
          <w:vertAlign w:val="superscript"/>
        </w:rPr>
        <w:t>[10]</w:t>
      </w:r>
      <w:r>
        <w:rPr>
          <w:rFonts w:ascii="Book Antiqua" w:hAnsi="Book Antiqua" w:eastAsia="Book Antiqua" w:cs="Book Antiqua"/>
          <w:color w:val="000000"/>
        </w:rPr>
        <w:t>. Currently, a rapidly rising number of literature cases worldwide indicate that CMV infections can also be observed in immunocompetent patients with altered immune status such as steroid use</w:t>
      </w:r>
      <w:r>
        <w:rPr>
          <w:rFonts w:ascii="Book Antiqua" w:hAnsi="Book Antiqua" w:eastAsia="Book Antiqua" w:cs="Book Antiqua"/>
          <w:color w:val="000000"/>
          <w:vertAlign w:val="superscript"/>
        </w:rPr>
        <w:t>[8,11]</w:t>
      </w:r>
      <w:r>
        <w:rPr>
          <w:rFonts w:ascii="Book Antiqua" w:hAnsi="Book Antiqua" w:eastAsia="Book Antiqua" w:cs="Book Antiqua"/>
          <w:color w:val="000000"/>
        </w:rPr>
        <w:t>. A total of 51 immunocompetent patients were diagnosed with CMV colitis between January 1995 and February 2014 at a tertiary care university hospital in South Korea, with 36 cases diagnosed after 2008, suggesting the growing number of immunocompetent CMV patients</w:t>
      </w:r>
      <w:r>
        <w:rPr>
          <w:rFonts w:ascii="Book Antiqua" w:hAnsi="Book Antiqua" w:eastAsia="Book Antiqua" w:cs="Book Antiqua"/>
          <w:color w:val="000000"/>
          <w:vertAlign w:val="superscript"/>
        </w:rPr>
        <w:t>[8]</w:t>
      </w:r>
      <w:r>
        <w:rPr>
          <w:rFonts w:ascii="Book Antiqua" w:hAnsi="Book Antiqua" w:eastAsia="Book Antiqua" w:cs="Book Antiqua"/>
          <w:color w:val="000000"/>
        </w:rPr>
        <w:t>. Similarly, 42 immunocompetent patients were diagnosed between April 2002 and December 2016 at a hospital in Taiwan</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Ko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ascii="Book Antiqua" w:hAnsi="Book Antiqua" w:eastAsia="宋体" w:cs="Book Antiqua"/>
          <w:color w:val="000000"/>
          <w:vertAlign w:val="superscript"/>
          <w:lang w:eastAsia="zh-CN"/>
        </w:rPr>
        <w:t>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reported that risk factors of CMV colitis in immunocompetent patients were steroid use and RBC transfusion within 1 mo. Our patient also received steroid treatment, and this could be the risk factor of CMV colitis. Wetwittayakhlang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compared clinical features and endoscopic findings of gastrointestinal CMV diseases between immunocompetent and immunocompromised patients and found that immunocompetent patients were older and had more GI bleeding and shorter symptom period than immunocompromised patients</w:t>
      </w:r>
      <w:r>
        <w:rPr>
          <w:rFonts w:ascii="Book Antiqua" w:hAnsi="Book Antiqua" w:eastAsia="Book Antiqua" w:cs="Book Antiqua"/>
          <w:color w:val="000000"/>
          <w:vertAlign w:val="superscript"/>
        </w:rPr>
        <w:t>[5]</w:t>
      </w:r>
      <w:r>
        <w:rPr>
          <w:rFonts w:ascii="Book Antiqua" w:hAnsi="Book Antiqua" w:eastAsia="Book Antiqua" w:cs="Book Antiqua"/>
          <w:color w:val="000000"/>
        </w:rPr>
        <w:t>. Small bowel involvement was more frequent in the immunocompetent group</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Chaemsupaphan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also reported that most immunocompetent patients presented with gastrointestinal bleeding compared to immunocompromised patients</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In another study by Yoon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CMV gastroenterocolitis of immunocompetent patients occurred in older patients with comorbidities and had various endoscopic features such as discrete ulcer type and diffuse edematous type with no association with clinical outcomes</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is a common cause of colitis in hospitalized patients. Although there are variations according to region and year by year</w:t>
      </w:r>
      <w:r>
        <w:rPr>
          <w:rFonts w:ascii="Book Antiqua" w:hAnsi="Book Antiqua" w:eastAsia="Book Antiqua" w:cs="Book Antiqua"/>
          <w:i/>
          <w:iCs/>
          <w:color w:val="000000"/>
        </w:rPr>
        <w:t>, 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w:t>
      </w:r>
      <w:r>
        <w:rPr>
          <w:rFonts w:ascii="Book Antiqua" w:hAnsi="Book Antiqua" w:eastAsia="Book Antiqua" w:cs="Book Antiqua"/>
          <w:i/>
          <w:iCs/>
          <w:color w:val="000000"/>
        </w:rPr>
        <w:t xml:space="preserve"> </w:t>
      </w:r>
      <w:r>
        <w:rPr>
          <w:rFonts w:ascii="Book Antiqua" w:hAnsi="Book Antiqua" w:eastAsia="Book Antiqua" w:cs="Book Antiqua"/>
          <w:color w:val="000000"/>
        </w:rPr>
        <w:t>occurs in approximately 10 cases per 1000 hospitalization days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Clinical manifestations of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vary from mild diarrhea to life-threatening conditions such as toxic megacolon and bowel perforation</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Patients with mild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often recovered 5 to 10 d after stopping antibiotics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However, fulminant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could occur in approximately 1% to 3% of patients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Generally, patients with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are known to recover after 10</w:t>
      </w:r>
      <w:r>
        <w:rPr>
          <w:rFonts w:ascii="Book Antiqua" w:hAnsi="Book Antiqua" w:eastAsia="宋体" w:cs="Book Antiqua"/>
          <w:color w:val="000000"/>
          <w:lang w:eastAsia="zh-CN"/>
        </w:rPr>
        <w:t>-</w:t>
      </w:r>
      <w:r>
        <w:rPr>
          <w:rFonts w:ascii="Book Antiqua" w:hAnsi="Book Antiqua" w:eastAsia="Book Antiqua" w:cs="Book Antiqua"/>
          <w:color w:val="000000"/>
        </w:rPr>
        <w:t>14 d of treatment</w:t>
      </w:r>
      <w:r>
        <w:rPr>
          <w:rFonts w:ascii="Book Antiqua" w:hAnsi="Book Antiqua" w:eastAsia="Book Antiqua" w:cs="Book Antiqua"/>
          <w:color w:val="000000"/>
          <w:vertAlign w:val="superscript"/>
        </w:rPr>
        <w:t>[13,14]</w:t>
      </w:r>
      <w:r>
        <w:rPr>
          <w:rFonts w:ascii="Book Antiqua" w:hAnsi="Book Antiqua" w:eastAsia="Book Antiqua" w:cs="Book Antiqua"/>
          <w:color w:val="000000"/>
        </w:rPr>
        <w:t xml:space="preserve">. Currently, the diagnosis of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is based on detection of </w:t>
      </w:r>
      <w:r>
        <w:rPr>
          <w:rFonts w:ascii="Book Antiqua" w:hAnsi="Book Antiqua" w:eastAsia="Book Antiqua" w:cs="Book Antiqua"/>
          <w:i/>
          <w:iCs/>
          <w:color w:val="000000"/>
        </w:rPr>
        <w:t>C. difficile</w:t>
      </w:r>
      <w:r>
        <w:rPr>
          <w:rFonts w:ascii="Book Antiqua" w:hAnsi="Book Antiqua" w:eastAsia="Book Antiqua" w:cs="Book Antiqua"/>
          <w:color w:val="000000"/>
        </w:rPr>
        <w:t xml:space="preserve"> toxins and glutamate dehydrogenase with enzyme immunoassay or nucleic acid amplification test</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Endoscopy is not recommended in patients with typical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confirmed by laboratory tests and clinical features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However, endoscopic evaluation is recommended if diagnostic problems occur such as clinically suspected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with negative laboratory test, if there was no response to treatment, or when an alternative diagnosis is suspected</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Our patient underwent endoscopy because of worsening symptoms gained after the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treatment for 10 d. As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and CMV colitis have similar symptoms, it is difficult to differentiate them simply based on the symptoms. However, severe watery diarrhea is more characteristic of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 and bloody diarrhea or sometimes massive bleeding in CMV colitis</w:t>
      </w:r>
      <w:r>
        <w:rPr>
          <w:rFonts w:ascii="Book Antiqua" w:hAnsi="Book Antiqua" w:eastAsia="Book Antiqua" w:cs="Book Antiqua"/>
          <w:color w:val="000000"/>
          <w:vertAlign w:val="superscript"/>
        </w:rPr>
        <w:t>[15]</w:t>
      </w:r>
      <w:r>
        <w:rPr>
          <w:rFonts w:ascii="Book Antiqua" w:hAnsi="Book Antiqua" w:eastAsia="Book Antiqua" w:cs="Book Antiqua"/>
          <w:color w:val="000000"/>
        </w:rPr>
        <w:t>. In our case, the patient developed worsening bloody diarrhea with fever; we performed endoscopy and the biopsy confirmed CMV colitis.</w:t>
      </w:r>
    </w:p>
    <w:p>
      <w:pPr>
        <w:spacing w:line="360" w:lineRule="auto"/>
        <w:ind w:firstLine="1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Clinicians should be aware of the possibility of co-existing CMV colitis in patients with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even in those with immunocompetent status, especially if patients do not respond to the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treatment. Early endoscopy could help diagnose the possible co-existing CMV colitis in patients with refractory </w:t>
      </w:r>
      <w:r>
        <w:rPr>
          <w:rFonts w:ascii="Book Antiqua" w:hAnsi="Book Antiqua" w:eastAsia="Book Antiqua" w:cs="Book Antiqua"/>
          <w:i/>
          <w:iCs/>
          <w:color w:val="000000"/>
        </w:rPr>
        <w:t>C</w:t>
      </w:r>
      <w:r>
        <w:rPr>
          <w:rFonts w:ascii="Book Antiqua" w:hAnsi="Book Antiqua" w:eastAsia="宋体" w:cs="Book Antiqua"/>
          <w:i/>
          <w:iCs/>
          <w:color w:val="000000"/>
          <w:lang w:eastAsia="zh-CN"/>
        </w:rPr>
        <w:t>.</w:t>
      </w:r>
      <w:r>
        <w:rPr>
          <w:rFonts w:ascii="Book Antiqua" w:hAnsi="Book Antiqua" w:eastAsia="Book Antiqua" w:cs="Book Antiqua"/>
          <w:i/>
          <w:iCs/>
          <w:color w:val="000000"/>
        </w:rPr>
        <w:t xml:space="preserve"> difficile</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infection.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Picarda G</w:t>
      </w:r>
      <w:r>
        <w:rPr>
          <w:rFonts w:ascii="Book Antiqua" w:hAnsi="Book Antiqua"/>
        </w:rPr>
        <w:t xml:space="preserve">, Benedict CA. Cytomegalovirus: Shape-Shifting the Immune System. </w:t>
      </w:r>
      <w:r>
        <w:rPr>
          <w:rFonts w:ascii="Book Antiqua" w:hAnsi="Book Antiqua"/>
          <w:i/>
          <w:iCs/>
        </w:rPr>
        <w:t>J Immunol</w:t>
      </w:r>
      <w:r>
        <w:rPr>
          <w:rFonts w:ascii="Book Antiqua" w:hAnsi="Book Antiqua"/>
        </w:rPr>
        <w:t xml:space="preserve"> 2018; </w:t>
      </w:r>
      <w:r>
        <w:rPr>
          <w:rFonts w:ascii="Book Antiqua" w:hAnsi="Book Antiqua"/>
          <w:b/>
          <w:bCs/>
        </w:rPr>
        <w:t>200</w:t>
      </w:r>
      <w:r>
        <w:rPr>
          <w:rFonts w:ascii="Book Antiqua" w:hAnsi="Book Antiqua"/>
        </w:rPr>
        <w:t>: 3881-3889 [PMID: 29866770 DOI: 10.4049/jimmunol.1800171]</w:t>
      </w:r>
    </w:p>
    <w:p>
      <w:pPr>
        <w:spacing w:line="360" w:lineRule="auto"/>
        <w:jc w:val="both"/>
        <w:rPr>
          <w:rFonts w:ascii="Book Antiqua" w:hAnsi="Book Antiqua"/>
        </w:rPr>
      </w:pPr>
      <w:r>
        <w:rPr>
          <w:rFonts w:ascii="Book Antiqua" w:hAnsi="Book Antiqua"/>
        </w:rPr>
        <w:t xml:space="preserve">2 </w:t>
      </w:r>
      <w:r>
        <w:rPr>
          <w:rFonts w:ascii="Book Antiqua" w:hAnsi="Book Antiqua"/>
          <w:b/>
          <w:bCs/>
        </w:rPr>
        <w:t>Yerushalmy-Feler A</w:t>
      </w:r>
      <w:r>
        <w:rPr>
          <w:rFonts w:ascii="Book Antiqua" w:hAnsi="Book Antiqua"/>
        </w:rPr>
        <w:t xml:space="preserve">, Padlipsky J, Cohen S. Diagnosis and Management of CMV Colitis. </w:t>
      </w:r>
      <w:r>
        <w:rPr>
          <w:rFonts w:ascii="Book Antiqua" w:hAnsi="Book Antiqua"/>
          <w:i/>
          <w:iCs/>
        </w:rPr>
        <w:t>Curr Infect Dis Rep</w:t>
      </w:r>
      <w:r>
        <w:rPr>
          <w:rFonts w:ascii="Book Antiqua" w:hAnsi="Book Antiqua"/>
        </w:rPr>
        <w:t xml:space="preserve"> 2019; </w:t>
      </w:r>
      <w:r>
        <w:rPr>
          <w:rFonts w:ascii="Book Antiqua" w:hAnsi="Book Antiqua"/>
          <w:b/>
          <w:bCs/>
        </w:rPr>
        <w:t>21</w:t>
      </w:r>
      <w:r>
        <w:rPr>
          <w:rFonts w:ascii="Book Antiqua" w:hAnsi="Book Antiqua"/>
        </w:rPr>
        <w:t>: 5 [PMID: 30771028 DOI: 10.1007/s11908-019-0664-y]</w:t>
      </w:r>
    </w:p>
    <w:p>
      <w:pPr>
        <w:spacing w:line="360" w:lineRule="auto"/>
        <w:jc w:val="both"/>
        <w:rPr>
          <w:rFonts w:ascii="Book Antiqua" w:hAnsi="Book Antiqua"/>
        </w:rPr>
      </w:pPr>
      <w:r>
        <w:rPr>
          <w:rFonts w:ascii="Book Antiqua" w:hAnsi="Book Antiqua"/>
        </w:rPr>
        <w:t xml:space="preserve">3 </w:t>
      </w:r>
      <w:r>
        <w:rPr>
          <w:rFonts w:ascii="Book Antiqua" w:hAnsi="Book Antiqua"/>
          <w:b/>
          <w:bCs/>
        </w:rPr>
        <w:t>Griffiths P</w:t>
      </w:r>
      <w:r>
        <w:rPr>
          <w:rFonts w:ascii="Book Antiqua" w:hAnsi="Book Antiqua"/>
        </w:rPr>
        <w:t xml:space="preserve">, Reeves M. Pathogenesis of human cytomegalovirus in the immunocompromised host. </w:t>
      </w:r>
      <w:r>
        <w:rPr>
          <w:rFonts w:ascii="Book Antiqua" w:hAnsi="Book Antiqua"/>
          <w:i/>
          <w:iCs/>
        </w:rPr>
        <w:t>Nat Rev Microbiol</w:t>
      </w:r>
      <w:r>
        <w:rPr>
          <w:rFonts w:ascii="Book Antiqua" w:hAnsi="Book Antiqua"/>
        </w:rPr>
        <w:t xml:space="preserve"> 2021; </w:t>
      </w:r>
      <w:r>
        <w:rPr>
          <w:rFonts w:ascii="Book Antiqua" w:hAnsi="Book Antiqua"/>
          <w:b/>
          <w:bCs/>
        </w:rPr>
        <w:t>19</w:t>
      </w:r>
      <w:r>
        <w:rPr>
          <w:rFonts w:ascii="Book Antiqua" w:hAnsi="Book Antiqua"/>
        </w:rPr>
        <w:t>: 759-773 [PMID: 34168328 DOI: 10.1038/s41579-021-00582-z]</w:t>
      </w:r>
    </w:p>
    <w:p>
      <w:pPr>
        <w:spacing w:line="360" w:lineRule="auto"/>
        <w:jc w:val="both"/>
        <w:rPr>
          <w:rFonts w:ascii="Book Antiqua" w:hAnsi="Book Antiqua"/>
        </w:rPr>
      </w:pPr>
      <w:r>
        <w:rPr>
          <w:rFonts w:ascii="Book Antiqua" w:hAnsi="Book Antiqua"/>
        </w:rPr>
        <w:t xml:space="preserve">4 </w:t>
      </w:r>
      <w:r>
        <w:rPr>
          <w:rFonts w:ascii="Book Antiqua" w:hAnsi="Book Antiqua"/>
          <w:b/>
          <w:bCs/>
        </w:rPr>
        <w:t>Fakhreddine AY</w:t>
      </w:r>
      <w:r>
        <w:rPr>
          <w:rFonts w:ascii="Book Antiqua" w:hAnsi="Book Antiqua"/>
        </w:rPr>
        <w:t xml:space="preserve">, Frenette CT, Konijeti GG. A Practical Review of Cytomegalovirus in Gastroenterology and Hepatology. </w:t>
      </w:r>
      <w:r>
        <w:rPr>
          <w:rFonts w:ascii="Book Antiqua" w:hAnsi="Book Antiqua"/>
          <w:i/>
          <w:iCs/>
        </w:rPr>
        <w:t>Gastroenterol Res Pract</w:t>
      </w:r>
      <w:r>
        <w:rPr>
          <w:rFonts w:ascii="Book Antiqua" w:hAnsi="Book Antiqua"/>
        </w:rPr>
        <w:t xml:space="preserve"> 2019; </w:t>
      </w:r>
      <w:r>
        <w:rPr>
          <w:rFonts w:ascii="Book Antiqua" w:hAnsi="Book Antiqua"/>
          <w:b/>
          <w:bCs/>
        </w:rPr>
        <w:t>2019</w:t>
      </w:r>
      <w:r>
        <w:rPr>
          <w:rFonts w:ascii="Book Antiqua" w:hAnsi="Book Antiqua"/>
        </w:rPr>
        <w:t>: 6156581 [PMID: 30984257 DOI: 10.1155/2019/6156581]</w:t>
      </w:r>
    </w:p>
    <w:p>
      <w:pPr>
        <w:spacing w:line="360" w:lineRule="auto"/>
        <w:jc w:val="both"/>
        <w:rPr>
          <w:rFonts w:ascii="Book Antiqua" w:hAnsi="Book Antiqua"/>
        </w:rPr>
      </w:pPr>
      <w:r>
        <w:rPr>
          <w:rFonts w:ascii="Book Antiqua" w:hAnsi="Book Antiqua"/>
        </w:rPr>
        <w:t xml:space="preserve">5 </w:t>
      </w:r>
      <w:r>
        <w:rPr>
          <w:rFonts w:ascii="Book Antiqua" w:hAnsi="Book Antiqua"/>
          <w:b/>
          <w:bCs/>
        </w:rPr>
        <w:t>Wetwittayakhlang P</w:t>
      </w:r>
      <w:r>
        <w:rPr>
          <w:rFonts w:ascii="Book Antiqua" w:hAnsi="Book Antiqua"/>
        </w:rPr>
        <w:t xml:space="preserve">, Rujeerapaiboon N, Wetwittayakhlung P, Sripongpun P, Pruphetkaew N, Jandee S, Chamroonkul N, Piratvisuth T. Clinical Features, Endoscopic Findings, and Predictive Factors for Mortality in Tissue-Invasive Gastrointestinal Cytomegalovirus Disease between Immunocompetent and Immunocompromised Patients. </w:t>
      </w:r>
      <w:r>
        <w:rPr>
          <w:rFonts w:ascii="Book Antiqua" w:hAnsi="Book Antiqua"/>
          <w:i/>
          <w:iCs/>
        </w:rPr>
        <w:t>Gastroenterol Res Pract</w:t>
      </w:r>
      <w:r>
        <w:rPr>
          <w:rFonts w:ascii="Book Antiqua" w:hAnsi="Book Antiqua"/>
        </w:rPr>
        <w:t xml:space="preserve"> 2021; </w:t>
      </w:r>
      <w:r>
        <w:rPr>
          <w:rFonts w:ascii="Book Antiqua" w:hAnsi="Book Antiqua"/>
          <w:b/>
          <w:bCs/>
        </w:rPr>
        <w:t>2021</w:t>
      </w:r>
      <w:r>
        <w:rPr>
          <w:rFonts w:ascii="Book Antiqua" w:hAnsi="Book Antiqua"/>
        </w:rPr>
        <w:t>: 8886525 [PMID: 33897776 DOI: 10.1155/2021/8886525]</w:t>
      </w:r>
    </w:p>
    <w:p>
      <w:pPr>
        <w:spacing w:line="360" w:lineRule="auto"/>
        <w:jc w:val="both"/>
        <w:rPr>
          <w:rFonts w:ascii="Book Antiqua" w:hAnsi="Book Antiqua"/>
        </w:rPr>
      </w:pPr>
      <w:r>
        <w:rPr>
          <w:rFonts w:ascii="Book Antiqua" w:hAnsi="Book Antiqua"/>
        </w:rPr>
        <w:t xml:space="preserve">6 </w:t>
      </w:r>
      <w:r>
        <w:rPr>
          <w:rFonts w:ascii="Book Antiqua" w:hAnsi="Book Antiqua"/>
          <w:b/>
          <w:bCs/>
        </w:rPr>
        <w:t>Chaemsupaphan T</w:t>
      </w:r>
      <w:r>
        <w:rPr>
          <w:rFonts w:ascii="Book Antiqua" w:hAnsi="Book Antiqua"/>
        </w:rPr>
        <w:t xml:space="preserve">, Limsrivilai J, Thongdee C, Sudcharoen A, Pongpaibul A, Pausawasdi N, Charatcharoenwitthaya P. Patient characteristics, clinical manifestations, prognosis, and factors associated with gastrointestinal cytomegalovirus infection in immunocompetent patients. </w:t>
      </w:r>
      <w:r>
        <w:rPr>
          <w:rFonts w:ascii="Book Antiqua" w:hAnsi="Book Antiqua"/>
          <w:i/>
          <w:iCs/>
        </w:rPr>
        <w:t>BMC Gastroenterol</w:t>
      </w:r>
      <w:r>
        <w:rPr>
          <w:rFonts w:ascii="Book Antiqua" w:hAnsi="Book Antiqua"/>
        </w:rPr>
        <w:t xml:space="preserve"> 2020; </w:t>
      </w:r>
      <w:r>
        <w:rPr>
          <w:rFonts w:ascii="Book Antiqua" w:hAnsi="Book Antiqua"/>
          <w:b/>
          <w:bCs/>
        </w:rPr>
        <w:t>20</w:t>
      </w:r>
      <w:r>
        <w:rPr>
          <w:rFonts w:ascii="Book Antiqua" w:hAnsi="Book Antiqua"/>
        </w:rPr>
        <w:t>: 22 [PMID: 32000707 DOI: 10.1186/s12876-020-1174-y]</w:t>
      </w:r>
    </w:p>
    <w:p>
      <w:pPr>
        <w:spacing w:line="360" w:lineRule="auto"/>
        <w:jc w:val="both"/>
        <w:rPr>
          <w:rFonts w:ascii="Book Antiqua" w:hAnsi="Book Antiqua"/>
        </w:rPr>
      </w:pPr>
      <w:r>
        <w:rPr>
          <w:rFonts w:ascii="Book Antiqua" w:hAnsi="Book Antiqua"/>
        </w:rPr>
        <w:t xml:space="preserve">7 </w:t>
      </w:r>
      <w:r>
        <w:rPr>
          <w:rFonts w:ascii="Book Antiqua" w:hAnsi="Book Antiqua"/>
          <w:b/>
          <w:bCs/>
        </w:rPr>
        <w:t>Y</w:t>
      </w:r>
      <w:r>
        <w:rPr>
          <w:rFonts w:ascii="Book Antiqua" w:hAnsi="Book Antiqua" w:eastAsia="宋体"/>
          <w:b/>
          <w:bCs/>
          <w:lang w:eastAsia="zh-CN"/>
        </w:rPr>
        <w:t>oon</w:t>
      </w:r>
      <w:r>
        <w:rPr>
          <w:rFonts w:ascii="Book Antiqua" w:hAnsi="Book Antiqua"/>
          <w:b/>
          <w:bCs/>
        </w:rPr>
        <w:t xml:space="preserve"> J</w:t>
      </w:r>
      <w:r>
        <w:rPr>
          <w:rFonts w:ascii="Book Antiqua" w:hAnsi="Book Antiqua"/>
        </w:rPr>
        <w:t>, L</w:t>
      </w:r>
      <w:r>
        <w:rPr>
          <w:rFonts w:ascii="Book Antiqua" w:hAnsi="Book Antiqua" w:eastAsia="宋体"/>
          <w:lang w:eastAsia="zh-CN"/>
        </w:rPr>
        <w:t>ee</w:t>
      </w:r>
      <w:r>
        <w:rPr>
          <w:rFonts w:ascii="Book Antiqua" w:hAnsi="Book Antiqua"/>
        </w:rPr>
        <w:t xml:space="preserve"> J, Kim DS, Lee JW, Hong SW, Hwang HW, Hwang SW, Park SH, Yang DH, Ye BD, Myung SJ, Jung HY, Yang SK, Byeon JS. Endoscopic features and clinical outcomes of cytomegalovirus gastroenterocolitis in immunocompetent patients.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6284 [PMID: 33737711 DOI: 10.1038/s41598-021-85845-8]</w:t>
      </w:r>
    </w:p>
    <w:p>
      <w:pPr>
        <w:spacing w:line="360" w:lineRule="auto"/>
        <w:jc w:val="both"/>
        <w:rPr>
          <w:rFonts w:ascii="Book Antiqua" w:hAnsi="Book Antiqua"/>
        </w:rPr>
      </w:pPr>
      <w:r>
        <w:rPr>
          <w:rFonts w:ascii="Book Antiqua" w:hAnsi="Book Antiqua"/>
        </w:rPr>
        <w:t xml:space="preserve">8 </w:t>
      </w:r>
      <w:r>
        <w:rPr>
          <w:rFonts w:ascii="Book Antiqua" w:hAnsi="Book Antiqua"/>
          <w:b/>
          <w:bCs/>
        </w:rPr>
        <w:t>Ko JH</w:t>
      </w:r>
      <w:r>
        <w:rPr>
          <w:rFonts w:ascii="Book Antiqua" w:hAnsi="Book Antiqua"/>
        </w:rPr>
        <w:t xml:space="preserve">, Peck KR, Lee WJ, Lee JY, Cho SY, Ha YE, Kang CI, Chung DR, Kim YH, Lee NY, Kim KM, Song JH. Clinical presentation and risk factors for cytomegalovirus colitis in immunocompetent adult patients. </w:t>
      </w:r>
      <w:r>
        <w:rPr>
          <w:rFonts w:ascii="Book Antiqua" w:hAnsi="Book Antiqua"/>
          <w:i/>
          <w:iCs/>
        </w:rPr>
        <w:t>Clin Infect Dis</w:t>
      </w:r>
      <w:r>
        <w:rPr>
          <w:rFonts w:ascii="Book Antiqua" w:hAnsi="Book Antiqua"/>
        </w:rPr>
        <w:t xml:space="preserve"> 2015; </w:t>
      </w:r>
      <w:r>
        <w:rPr>
          <w:rFonts w:ascii="Book Antiqua" w:hAnsi="Book Antiqua"/>
          <w:b/>
          <w:bCs/>
        </w:rPr>
        <w:t>60</w:t>
      </w:r>
      <w:r>
        <w:rPr>
          <w:rFonts w:ascii="Book Antiqua" w:hAnsi="Book Antiqua"/>
        </w:rPr>
        <w:t>: e20-e26 [PMID: 25452594 DOI: 10.1093/cid/ciu969]</w:t>
      </w:r>
    </w:p>
    <w:p>
      <w:pPr>
        <w:spacing w:line="360" w:lineRule="auto"/>
        <w:jc w:val="both"/>
        <w:rPr>
          <w:rFonts w:ascii="Book Antiqua" w:hAnsi="Book Antiqua"/>
        </w:rPr>
      </w:pPr>
      <w:r>
        <w:rPr>
          <w:rFonts w:ascii="Book Antiqua" w:hAnsi="Book Antiqua"/>
        </w:rPr>
        <w:t xml:space="preserve">9 </w:t>
      </w:r>
      <w:r>
        <w:rPr>
          <w:rFonts w:ascii="Book Antiqua" w:hAnsi="Book Antiqua"/>
          <w:b/>
          <w:bCs/>
        </w:rPr>
        <w:t>Balsells E</w:t>
      </w:r>
      <w:r>
        <w:rPr>
          <w:rFonts w:ascii="Book Antiqua" w:hAnsi="Book Antiqua"/>
        </w:rPr>
        <w:t xml:space="preserve">, Shi T, Leese C, Lyell I, Burrows J, Wiuff C, Campbell H, Kyaw MH, Nair H. Global burden of Clostridium difficile infections: a systematic review and meta-analysis. </w:t>
      </w:r>
      <w:r>
        <w:rPr>
          <w:rFonts w:ascii="Book Antiqua" w:hAnsi="Book Antiqua"/>
          <w:i/>
          <w:iCs/>
        </w:rPr>
        <w:t>J Glob Health</w:t>
      </w:r>
      <w:r>
        <w:rPr>
          <w:rFonts w:ascii="Book Antiqua" w:hAnsi="Book Antiqua"/>
        </w:rPr>
        <w:t xml:space="preserve"> 2019; </w:t>
      </w:r>
      <w:r>
        <w:rPr>
          <w:rFonts w:ascii="Book Antiqua" w:hAnsi="Book Antiqua"/>
          <w:b/>
          <w:bCs/>
        </w:rPr>
        <w:t>9</w:t>
      </w:r>
      <w:r>
        <w:rPr>
          <w:rFonts w:ascii="Book Antiqua" w:hAnsi="Book Antiqua"/>
        </w:rPr>
        <w:t>: 010407 [PMID: 30603078 DOI: 10.7189/jogh.09.010407]</w:t>
      </w:r>
    </w:p>
    <w:p>
      <w:pPr>
        <w:spacing w:line="360" w:lineRule="auto"/>
        <w:jc w:val="both"/>
        <w:rPr>
          <w:rFonts w:ascii="Book Antiqua" w:hAnsi="Book Antiqua"/>
        </w:rPr>
      </w:pPr>
      <w:r>
        <w:rPr>
          <w:rFonts w:ascii="Book Antiqua" w:hAnsi="Book Antiqua"/>
        </w:rPr>
        <w:t xml:space="preserve">10 </w:t>
      </w:r>
      <w:r>
        <w:rPr>
          <w:rFonts w:ascii="Book Antiqua" w:hAnsi="Book Antiqua"/>
          <w:b/>
          <w:bCs/>
        </w:rPr>
        <w:t>Rafailidis PI</w:t>
      </w:r>
      <w:r>
        <w:rPr>
          <w:rFonts w:ascii="Book Antiqua" w:hAnsi="Book Antiqua"/>
        </w:rPr>
        <w:t xml:space="preserve">, Mourtzoukou EG, Varbobitis IC, Falagas ME. Severe cytomegalovirus infection in apparently immunocompetent patients: a systematic review. </w:t>
      </w:r>
      <w:r>
        <w:rPr>
          <w:rFonts w:ascii="Book Antiqua" w:hAnsi="Book Antiqua"/>
          <w:i/>
          <w:iCs/>
        </w:rPr>
        <w:t>Virol J</w:t>
      </w:r>
      <w:r>
        <w:rPr>
          <w:rFonts w:ascii="Book Antiqua" w:hAnsi="Book Antiqua"/>
        </w:rPr>
        <w:t xml:space="preserve"> 2008; </w:t>
      </w:r>
      <w:r>
        <w:rPr>
          <w:rFonts w:ascii="Book Antiqua" w:hAnsi="Book Antiqua"/>
          <w:b/>
          <w:bCs/>
        </w:rPr>
        <w:t>5</w:t>
      </w:r>
      <w:r>
        <w:rPr>
          <w:rFonts w:ascii="Book Antiqua" w:hAnsi="Book Antiqua"/>
        </w:rPr>
        <w:t>: 47 [PMID: 18371229 DOI: 10.1186/1743-422X-5-47]</w:t>
      </w:r>
    </w:p>
    <w:p>
      <w:pPr>
        <w:spacing w:line="360" w:lineRule="auto"/>
        <w:jc w:val="both"/>
        <w:rPr>
          <w:rFonts w:ascii="Book Antiqua" w:hAnsi="Book Antiqua"/>
        </w:rPr>
      </w:pPr>
      <w:r>
        <w:rPr>
          <w:rFonts w:ascii="Book Antiqua" w:hAnsi="Book Antiqua"/>
        </w:rPr>
        <w:t xml:space="preserve">11 </w:t>
      </w:r>
      <w:r>
        <w:rPr>
          <w:rFonts w:ascii="Book Antiqua" w:hAnsi="Book Antiqua"/>
          <w:b/>
          <w:bCs/>
        </w:rPr>
        <w:t>Chan KS</w:t>
      </w:r>
      <w:r>
        <w:rPr>
          <w:rFonts w:ascii="Book Antiqua" w:hAnsi="Book Antiqua"/>
        </w:rPr>
        <w:t xml:space="preserve">, Yang CC, Chen CM, Yang HH, Lee CC, Chuang YC, Yu WL. Cytomegalovirus colitis in intensive care unit patients: difficulties in clinical diagnosis. </w:t>
      </w:r>
      <w:r>
        <w:rPr>
          <w:rFonts w:ascii="Book Antiqua" w:hAnsi="Book Antiqua"/>
          <w:i/>
          <w:iCs/>
        </w:rPr>
        <w:t>J Crit Care</w:t>
      </w:r>
      <w:r>
        <w:rPr>
          <w:rFonts w:ascii="Book Antiqua" w:hAnsi="Book Antiqua"/>
        </w:rPr>
        <w:t xml:space="preserve"> 2014; </w:t>
      </w:r>
      <w:r>
        <w:rPr>
          <w:rFonts w:ascii="Book Antiqua" w:hAnsi="Book Antiqua"/>
          <w:b/>
          <w:bCs/>
        </w:rPr>
        <w:t>29</w:t>
      </w:r>
      <w:r>
        <w:rPr>
          <w:rFonts w:ascii="Book Antiqua" w:hAnsi="Book Antiqua"/>
        </w:rPr>
        <w:t>: 474.e1-474.e6 [PMID: 24556151 DOI: 10.1016/j.jcrc.2014.01.003]</w:t>
      </w:r>
    </w:p>
    <w:p>
      <w:pPr>
        <w:spacing w:line="360" w:lineRule="auto"/>
        <w:jc w:val="both"/>
        <w:rPr>
          <w:rFonts w:ascii="Book Antiqua" w:hAnsi="Book Antiqua"/>
        </w:rPr>
      </w:pPr>
      <w:r>
        <w:rPr>
          <w:rFonts w:ascii="Book Antiqua" w:hAnsi="Book Antiqua"/>
        </w:rPr>
        <w:t xml:space="preserve">12 </w:t>
      </w:r>
      <w:r>
        <w:rPr>
          <w:rFonts w:ascii="Book Antiqua" w:hAnsi="Book Antiqua"/>
          <w:b/>
          <w:bCs/>
        </w:rPr>
        <w:t>Turner NA</w:t>
      </w:r>
      <w:r>
        <w:rPr>
          <w:rFonts w:ascii="Book Antiqua" w:hAnsi="Book Antiqua"/>
        </w:rPr>
        <w:t xml:space="preserve">, Grambow SC, Woods CW, Fowler VG Jr, Moehring RW, Anderson DJ, Lewis SS. Epidemiologic Trends in Clostridioides difficile Infections in a Regional Community Hospital Network. </w:t>
      </w:r>
      <w:r>
        <w:rPr>
          <w:rFonts w:ascii="Book Antiqua" w:hAnsi="Book Antiqua"/>
          <w:i/>
          <w:iCs/>
        </w:rPr>
        <w:t>JAMA Netw Open</w:t>
      </w:r>
      <w:r>
        <w:rPr>
          <w:rFonts w:ascii="Book Antiqua" w:hAnsi="Book Antiqua"/>
        </w:rPr>
        <w:t xml:space="preserve"> 2019; </w:t>
      </w:r>
      <w:r>
        <w:rPr>
          <w:rFonts w:ascii="Book Antiqua" w:hAnsi="Book Antiqua"/>
          <w:b/>
          <w:bCs/>
        </w:rPr>
        <w:t>2</w:t>
      </w:r>
      <w:r>
        <w:rPr>
          <w:rFonts w:ascii="Book Antiqua" w:hAnsi="Book Antiqua"/>
        </w:rPr>
        <w:t>: e1914149 [PMID: 31664443 DOI: 10.1001/jamanetworkopen.2019.14149]</w:t>
      </w:r>
    </w:p>
    <w:p>
      <w:pPr>
        <w:spacing w:line="360" w:lineRule="auto"/>
        <w:jc w:val="both"/>
        <w:rPr>
          <w:rFonts w:ascii="Book Antiqua" w:hAnsi="Book Antiqua"/>
        </w:rPr>
      </w:pPr>
      <w:r>
        <w:rPr>
          <w:rFonts w:ascii="Book Antiqua" w:hAnsi="Book Antiqua"/>
        </w:rPr>
        <w:t xml:space="preserve">13 </w:t>
      </w:r>
      <w:r>
        <w:rPr>
          <w:rFonts w:ascii="Book Antiqua" w:hAnsi="Book Antiqua"/>
          <w:b/>
          <w:bCs/>
        </w:rPr>
        <w:t>Czepiel J</w:t>
      </w:r>
      <w:r>
        <w:rPr>
          <w:rFonts w:ascii="Book Antiqua" w:hAnsi="Book Antiqua"/>
        </w:rPr>
        <w:t xml:space="preserve">, Dróżdż M, Pituch H, Kuijper EJ, Perucki W, Mielimonka A, Goldman S, Wultańska D, Garlicki A, Biesiada G. Clostridium difficile infection: review. </w:t>
      </w:r>
      <w:r>
        <w:rPr>
          <w:rFonts w:ascii="Book Antiqua" w:hAnsi="Book Antiqua"/>
          <w:i/>
          <w:iCs/>
        </w:rPr>
        <w:t>Eur J Clin Microbiol Infect Dis</w:t>
      </w:r>
      <w:r>
        <w:rPr>
          <w:rFonts w:ascii="Book Antiqua" w:hAnsi="Book Antiqua"/>
        </w:rPr>
        <w:t xml:space="preserve"> 2019; </w:t>
      </w:r>
      <w:r>
        <w:rPr>
          <w:rFonts w:ascii="Book Antiqua" w:hAnsi="Book Antiqua"/>
          <w:b/>
          <w:bCs/>
        </w:rPr>
        <w:t>38</w:t>
      </w:r>
      <w:r>
        <w:rPr>
          <w:rFonts w:ascii="Book Antiqua" w:hAnsi="Book Antiqua"/>
        </w:rPr>
        <w:t>: 1211-1221 [PMID: 30945014 DOI: 10.1007/s10096-019-03539-6]</w:t>
      </w:r>
    </w:p>
    <w:p>
      <w:pPr>
        <w:spacing w:line="360" w:lineRule="auto"/>
        <w:jc w:val="both"/>
        <w:rPr>
          <w:rFonts w:ascii="Book Antiqua" w:hAnsi="Book Antiqua"/>
        </w:rPr>
      </w:pPr>
      <w:r>
        <w:rPr>
          <w:rFonts w:ascii="Book Antiqua" w:hAnsi="Book Antiqua"/>
        </w:rPr>
        <w:t xml:space="preserve">14 </w:t>
      </w:r>
      <w:r>
        <w:rPr>
          <w:rFonts w:ascii="Book Antiqua" w:hAnsi="Book Antiqua"/>
          <w:b/>
          <w:bCs/>
        </w:rPr>
        <w:t>Guery B</w:t>
      </w:r>
      <w:r>
        <w:rPr>
          <w:rFonts w:ascii="Book Antiqua" w:hAnsi="Book Antiqua"/>
        </w:rPr>
        <w:t xml:space="preserve">, Galperine T, Barbut F. Clostridioides difficile: diagnosis and treatments. </w:t>
      </w:r>
      <w:r>
        <w:rPr>
          <w:rFonts w:ascii="Book Antiqua" w:hAnsi="Book Antiqua"/>
          <w:i/>
          <w:iCs/>
        </w:rPr>
        <w:t>BMJ</w:t>
      </w:r>
      <w:r>
        <w:rPr>
          <w:rFonts w:ascii="Book Antiqua" w:hAnsi="Book Antiqua"/>
        </w:rPr>
        <w:t xml:space="preserve"> 2019; </w:t>
      </w:r>
      <w:r>
        <w:rPr>
          <w:rFonts w:ascii="Book Antiqua" w:hAnsi="Book Antiqua"/>
          <w:b/>
          <w:bCs/>
        </w:rPr>
        <w:t>366</w:t>
      </w:r>
      <w:r>
        <w:rPr>
          <w:rFonts w:ascii="Book Antiqua" w:hAnsi="Book Antiqua"/>
        </w:rPr>
        <w:t>: l4609 [PMID: 31431428 DOI: 10.1136/bmj.l4609]</w:t>
      </w:r>
    </w:p>
    <w:p>
      <w:pPr>
        <w:spacing w:line="360" w:lineRule="auto"/>
        <w:jc w:val="both"/>
        <w:rPr>
          <w:rFonts w:ascii="Book Antiqua" w:hAnsi="Book Antiqua"/>
        </w:rPr>
      </w:pPr>
      <w:r>
        <w:rPr>
          <w:rFonts w:ascii="Book Antiqua" w:hAnsi="Book Antiqua"/>
        </w:rPr>
        <w:t xml:space="preserve">15 </w:t>
      </w:r>
      <w:r>
        <w:rPr>
          <w:rFonts w:ascii="Book Antiqua" w:hAnsi="Book Antiqua"/>
          <w:b/>
          <w:bCs/>
        </w:rPr>
        <w:t>Chan KS</w:t>
      </w:r>
      <w:r>
        <w:rPr>
          <w:rFonts w:ascii="Book Antiqua" w:hAnsi="Book Antiqua"/>
        </w:rPr>
        <w:t xml:space="preserve">, Lee WY, Yu WL. Coexisting cytomegalovirus infection in immunocompetent patients with Clostridium difficile colitis. </w:t>
      </w:r>
      <w:r>
        <w:rPr>
          <w:rFonts w:ascii="Book Antiqua" w:hAnsi="Book Antiqua"/>
          <w:i/>
          <w:iCs/>
        </w:rPr>
        <w:t>J Microbiol Immunol Infect</w:t>
      </w:r>
      <w:r>
        <w:rPr>
          <w:rFonts w:ascii="Book Antiqua" w:hAnsi="Book Antiqua"/>
        </w:rPr>
        <w:t xml:space="preserve"> 2016; </w:t>
      </w:r>
      <w:r>
        <w:rPr>
          <w:rFonts w:ascii="Book Antiqua" w:hAnsi="Book Antiqua"/>
          <w:b/>
          <w:bCs/>
        </w:rPr>
        <w:t>49</w:t>
      </w:r>
      <w:r>
        <w:rPr>
          <w:rFonts w:ascii="Book Antiqua" w:hAnsi="Book Antiqua"/>
        </w:rPr>
        <w:t>: 829-836 [PMID: 26850320 DOI: 10.1016/j.jmii.2015.12.007]</w:t>
      </w:r>
    </w:p>
    <w:p>
      <w:pPr>
        <w:spacing w:line="360" w:lineRule="auto"/>
        <w:jc w:val="both"/>
        <w:rPr>
          <w:rFonts w:ascii="Book Antiqua" w:hAnsi="Book Antiqua" w:eastAsia="宋体" w:cs="Book Antiqua"/>
          <w:color w:val="000000"/>
          <w:lang w:eastAsia="zh-CN"/>
        </w:rPr>
      </w:pPr>
    </w:p>
    <w:p>
      <w:pPr>
        <w:spacing w:line="360" w:lineRule="auto"/>
        <w:jc w:val="both"/>
        <w:rPr>
          <w:rFonts w:ascii="Book Antiqua" w:hAnsi="Book Antiqua" w:eastAsia="宋体"/>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and her family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hAnsi="Book Antiqua" w:eastAsia="Book Antiqua" w:cs="Book Antiqua"/>
          <w:color w:val="000000"/>
        </w:rPr>
        <w:t xml:space="preserve">uthors </w:t>
      </w:r>
      <w:r>
        <w:rPr>
          <w:rFonts w:ascii="Book Antiqua" w:hAnsi="Book Antiqua" w:cs="Book Antiqua"/>
          <w:color w:val="000000"/>
        </w:rPr>
        <w:t>report</w:t>
      </w:r>
      <w:r>
        <w:rPr>
          <w:rFonts w:ascii="Book Antiqua" w:hAnsi="Book Antiqua" w:eastAsia="Book Antiqua" w:cs="Book Antiqua"/>
          <w:color w:val="000000"/>
        </w:rPr>
        <w:t xml:space="preserve"> no </w:t>
      </w:r>
      <w:r>
        <w:rPr>
          <w:rFonts w:ascii="Book Antiqua" w:hAnsi="Book Antiqua" w:cs="Book Antiqua"/>
          <w:color w:val="000000"/>
        </w:rPr>
        <w:t xml:space="preserve">relevant </w:t>
      </w:r>
      <w:r>
        <w:rPr>
          <w:rFonts w:ascii="Book Antiqua" w:hAnsi="Book Antiqua" w:eastAsia="Book Antiqua" w:cs="Book Antiqua"/>
          <w:color w:val="000000"/>
        </w:rPr>
        <w:t>conflict</w:t>
      </w:r>
      <w:r>
        <w:rPr>
          <w:rFonts w:ascii="Book Antiqua" w:hAnsi="Book Antiqua" w:cs="Book Antiqua"/>
          <w:color w:val="000000"/>
        </w:rPr>
        <w:t>s</w:t>
      </w:r>
      <w:r>
        <w:rPr>
          <w:rFonts w:ascii="Book Antiqua" w:hAnsi="Book Antiqua" w:eastAsia="Book Antiqua" w:cs="Book Antiqua"/>
          <w:color w:val="000000"/>
        </w:rPr>
        <w:t xml:space="preserve">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eastAsia="宋体"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21,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5,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March 6,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OLE_LINK1740"/>
      <w:bookmarkStart w:id="1" w:name="OLE_LINK293"/>
      <w:bookmarkStart w:id="2" w:name="OLE_LINK1890"/>
      <w:bookmarkStart w:id="3" w:name="OLE_LINK1741"/>
      <w:bookmarkStart w:id="4" w:name="OLE_LINK2005"/>
      <w:bookmarkStart w:id="5" w:name="OLE_LINK1988"/>
      <w:bookmarkStart w:id="6" w:name="OLE_LINK1973"/>
      <w:bookmarkStart w:id="7" w:name="OLE_LINK1739"/>
      <w:bookmarkStart w:id="8" w:name="OLE_LINK1762"/>
      <w:r>
        <w:rPr>
          <w:rFonts w:ascii="Book Antiqua" w:hAnsi="Book Antiqua" w:eastAsia="微软雅黑" w:cs="宋体"/>
        </w:rPr>
        <w:t xml:space="preserve">Medicine, </w:t>
      </w:r>
      <w:r>
        <w:rPr>
          <w:rFonts w:ascii="Book Antiqua" w:hAnsi="Book Antiqua" w:eastAsia="微软雅黑" w:cs="宋体"/>
          <w:lang w:eastAsia="zh-CN"/>
        </w:rPr>
        <w:t>r</w:t>
      </w:r>
      <w:r>
        <w:rPr>
          <w:rFonts w:ascii="Book Antiqua" w:hAnsi="Book Antiqua" w:eastAsia="微软雅黑" w:cs="宋体"/>
        </w:rPr>
        <w:t xml:space="preserve">esearch and </w:t>
      </w:r>
      <w:r>
        <w:rPr>
          <w:rFonts w:ascii="Book Antiqua" w:hAnsi="Book Antiqua" w:eastAsia="微软雅黑" w:cs="宋体"/>
          <w:lang w:eastAsia="zh-CN"/>
        </w:rPr>
        <w:t>e</w:t>
      </w:r>
      <w:r>
        <w:rPr>
          <w:rFonts w:ascii="Book Antiqua" w:hAnsi="Book Antiqua" w:eastAsia="微软雅黑" w:cs="宋体"/>
        </w:rPr>
        <w:t>xperimental</w:t>
      </w:r>
      <w:bookmarkEnd w:id="0"/>
      <w:bookmarkEnd w:id="1"/>
      <w:bookmarkEnd w:id="2"/>
      <w:bookmarkEnd w:id="3"/>
      <w:bookmarkEnd w:id="4"/>
      <w:bookmarkEnd w:id="5"/>
      <w:bookmarkEnd w:id="6"/>
      <w:bookmarkEnd w:id="7"/>
      <w:bookmarkEnd w:id="8"/>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South Korea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eastAsia="宋体"/>
          <w:lang w:eastAsia="zh-CN"/>
        </w:rPr>
      </w:pPr>
      <w:r>
        <w:rPr>
          <w:rFonts w:ascii="Book Antiqua" w:hAnsi="Book Antiqua" w:eastAsia="Book Antiqua" w:cs="Book Antiqua"/>
          <w:color w:val="000000"/>
        </w:rPr>
        <w:t>Grade C (Good): C, C</w:t>
      </w:r>
      <w:r>
        <w:rPr>
          <w:rFonts w:ascii="Book Antiqua" w:hAnsi="Book Antiqua" w:eastAsia="宋体" w:cs="Book Antiqua"/>
          <w:color w:val="000000"/>
          <w:lang w:eastAsia="zh-CN"/>
        </w:rPr>
        <w:t>,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宋体"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 xml:space="preserve">Faraji N, Iran; </w:t>
      </w:r>
      <w:r>
        <w:rPr>
          <w:rFonts w:ascii="Book Antiqua" w:hAnsi="Book Antiqua" w:eastAsia="宋体" w:cs="Book Antiqua"/>
          <w:color w:val="000000"/>
          <w:lang w:eastAsia="zh-CN"/>
        </w:rPr>
        <w:t>G</w:t>
      </w:r>
      <w:r>
        <w:rPr>
          <w:rFonts w:ascii="Book Antiqua" w:hAnsi="Book Antiqua" w:eastAsia="Book Antiqua" w:cs="Book Antiqua"/>
          <w:color w:val="000000"/>
        </w:rPr>
        <w:t>ao C, China</w:t>
      </w:r>
      <w:r>
        <w:rPr>
          <w:rFonts w:ascii="Book Antiqua" w:hAnsi="Book Antiqua" w:eastAsia="Book Antiqua" w:cs="Book Antiqua"/>
          <w:b/>
          <w:color w:val="000000"/>
        </w:rPr>
        <w:t xml:space="preserve"> S-Editor: </w:t>
      </w:r>
      <w:r>
        <w:rPr>
          <w:rFonts w:ascii="Book Antiqua" w:hAnsi="Book Antiqua" w:eastAsia="宋体" w:cs="Book Antiqua"/>
          <w:color w:val="000000"/>
          <w:lang w:eastAsia="zh-CN"/>
        </w:rPr>
        <w:t>Fan JR</w:t>
      </w:r>
      <w:r>
        <w:rPr>
          <w:rFonts w:ascii="Book Antiqua" w:hAnsi="Book Antiqua" w:eastAsia="Book Antiqua" w:cs="Book Antiqua"/>
          <w:b/>
          <w:color w:val="000000"/>
        </w:rPr>
        <w:t xml:space="preserve"> L-Editor: </w:t>
      </w:r>
      <w:r>
        <w:rPr>
          <w:rFonts w:hint="eastAsia" w:ascii="Book Antiqua" w:hAnsi="Book Antiqua" w:eastAsia="宋体" w:cs="Book Antiqua"/>
          <w:color w:val="000000"/>
          <w:lang w:eastAsia="zh-CN"/>
        </w:rPr>
        <w:t>A</w:t>
      </w:r>
      <w:r>
        <w:rPr>
          <w:rFonts w:ascii="Book Antiqua" w:hAnsi="Book Antiqua" w:eastAsia="Book Antiqua" w:cs="Book Antiqua"/>
          <w:b/>
          <w:color w:val="000000"/>
        </w:rPr>
        <w:t xml:space="preserve"> P-Editor:</w:t>
      </w:r>
      <w:r>
        <w:rPr>
          <w:rFonts w:ascii="Book Antiqua" w:hAnsi="Book Antiqua" w:eastAsia="宋体" w:cs="Book Antiqua"/>
          <w:b/>
          <w:color w:val="000000"/>
          <w:lang w:eastAsia="zh-CN"/>
        </w:rPr>
        <w:t xml:space="preserve"> </w:t>
      </w:r>
      <w:r>
        <w:rPr>
          <w:rFonts w:ascii="Book Antiqua" w:hAnsi="Book Antiqua" w:eastAsia="宋体" w:cs="Book Antiqua"/>
          <w:color w:val="000000"/>
          <w:lang w:eastAsia="zh-CN"/>
        </w:rPr>
        <w:t>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eastAsia="宋体"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eastAsia="宋体"/>
          <w:lang w:eastAsia="zh-CN"/>
        </w:rPr>
      </w:pPr>
      <w:r>
        <w:rPr>
          <w:rFonts w:ascii="Book Antiqua" w:hAnsi="Book Antiqua" w:eastAsia="宋体"/>
          <w:lang w:eastAsia="zh-CN"/>
        </w:rPr>
        <w:drawing>
          <wp:inline distT="0" distB="0" distL="114300" distR="114300">
            <wp:extent cx="2880360" cy="2642870"/>
            <wp:effectExtent l="0" t="0" r="0" b="8890"/>
            <wp:docPr id="4" name="图片 4" descr="WJCC-11-234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1-2343-g001"/>
                    <pic:cNvPicPr>
                      <a:picLocks noChangeAspect="1"/>
                    </pic:cNvPicPr>
                  </pic:nvPicPr>
                  <pic:blipFill>
                    <a:blip r:embed="rId5"/>
                    <a:stretch>
                      <a:fillRect/>
                    </a:stretch>
                  </pic:blipFill>
                  <pic:spPr>
                    <a:xfrm>
                      <a:off x="0" y="0"/>
                      <a:ext cx="2880360" cy="2642870"/>
                    </a:xfrm>
                    <a:prstGeom prst="rect">
                      <a:avLst/>
                    </a:prstGeom>
                  </pic:spPr>
                </pic:pic>
              </a:graphicData>
            </a:graphic>
          </wp:inline>
        </w:drawing>
      </w:r>
    </w:p>
    <w:p>
      <w:pPr>
        <w:spacing w:line="360" w:lineRule="auto"/>
        <w:jc w:val="both"/>
        <w:rPr>
          <w:rFonts w:ascii="Book Antiqua" w:hAnsi="Book Antiqua" w:eastAsia="宋体" w:cs="Book Antiqua"/>
          <w:color w:val="000000"/>
          <w:lang w:eastAsia="zh-CN"/>
        </w:rPr>
      </w:pPr>
      <w:r>
        <w:rPr>
          <w:rFonts w:ascii="Book Antiqua" w:hAnsi="Book Antiqua" w:eastAsia="Book Antiqua" w:cs="Book Antiqua"/>
          <w:b/>
          <w:bCs/>
          <w:color w:val="000000"/>
        </w:rPr>
        <w:t xml:space="preserve">Figure 1 Sigmoidoscopy image. </w:t>
      </w:r>
      <w:r>
        <w:rPr>
          <w:rFonts w:ascii="Book Antiqua" w:hAnsi="Book Antiqua" w:eastAsia="Book Antiqua" w:cs="Book Antiqua"/>
          <w:color w:val="000000"/>
        </w:rPr>
        <w:t xml:space="preserve">Sigmoidoscopy image shows presenting a longitudinal ulcer from the anal verge (AV) to 12 cm above the AV. </w:t>
      </w:r>
    </w:p>
    <w:p>
      <w:pPr>
        <w:rPr>
          <w:rFonts w:ascii="Book Antiqua" w:hAnsi="Book Antiqua" w:eastAsia="宋体" w:cs="Book Antiqua"/>
          <w:color w:val="000000"/>
          <w:lang w:eastAsia="zh-CN"/>
        </w:rPr>
      </w:pPr>
      <w:r>
        <w:rPr>
          <w:rFonts w:ascii="Book Antiqua" w:hAnsi="Book Antiqua" w:eastAsia="宋体" w:cs="Book Antiqua"/>
          <w:color w:val="000000"/>
          <w:lang w:eastAsia="zh-CN"/>
        </w:rPr>
        <w:br w:type="page"/>
      </w:r>
    </w:p>
    <w:p>
      <w:pPr>
        <w:spacing w:line="360" w:lineRule="auto"/>
        <w:jc w:val="both"/>
        <w:rPr>
          <w:rFonts w:ascii="Book Antiqua" w:hAnsi="Book Antiqua" w:eastAsia="宋体"/>
          <w:lang w:eastAsia="zh-CN"/>
        </w:rPr>
      </w:pPr>
      <w:r>
        <w:rPr>
          <w:rFonts w:ascii="Book Antiqua" w:hAnsi="Book Antiqua"/>
          <w:lang w:eastAsia="zh-CN"/>
        </w:rPr>
        <w:drawing>
          <wp:inline distT="0" distB="0" distL="114300" distR="114300">
            <wp:extent cx="5797550" cy="2334895"/>
            <wp:effectExtent l="0" t="0" r="8890" b="12065"/>
            <wp:docPr id="7" name="图片 7" descr="WJCC-11-234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1-2343-g002"/>
                    <pic:cNvPicPr>
                      <a:picLocks noChangeAspect="1"/>
                    </pic:cNvPicPr>
                  </pic:nvPicPr>
                  <pic:blipFill>
                    <a:blip r:embed="rId6"/>
                    <a:stretch>
                      <a:fillRect/>
                    </a:stretch>
                  </pic:blipFill>
                  <pic:spPr>
                    <a:xfrm>
                      <a:off x="0" y="0"/>
                      <a:ext cx="5797550" cy="2334895"/>
                    </a:xfrm>
                    <a:prstGeom prst="rect">
                      <a:avLst/>
                    </a:prstGeom>
                  </pic:spPr>
                </pic:pic>
              </a:graphicData>
            </a:graphic>
          </wp:inline>
        </w:drawing>
      </w:r>
      <w:r>
        <w:rPr>
          <w:rFonts w:ascii="Book Antiqua" w:hAnsi="Book Antiqua"/>
          <w:lang w:eastAsia="zh-CN"/>
        </w:rPr>
        <w:t xml:space="preserve"> </w:t>
      </w:r>
      <w:bookmarkStart w:id="9" w:name="_GoBack"/>
      <w:bookmarkEnd w:id="9"/>
    </w:p>
    <w:p>
      <w:pPr>
        <w:spacing w:line="360" w:lineRule="auto"/>
        <w:jc w:val="both"/>
        <w:rPr>
          <w:rFonts w:ascii="Book Antiqua" w:hAnsi="Book Antiqua" w:eastAsia="宋体"/>
          <w:lang w:eastAsia="zh-CN"/>
        </w:rPr>
      </w:pPr>
      <w:r>
        <w:rPr>
          <w:rFonts w:ascii="Book Antiqua" w:hAnsi="Book Antiqua" w:eastAsia="Book Antiqua" w:cs="Book Antiqua"/>
          <w:b/>
          <w:bCs/>
          <w:color w:val="000000"/>
        </w:rPr>
        <w:t xml:space="preserve">Figure 2 Pathology findings. </w:t>
      </w:r>
      <w:r>
        <w:rPr>
          <w:rFonts w:ascii="Book Antiqua" w:hAnsi="Book Antiqua" w:eastAsia="Book Antiqua" w:cs="Book Antiqua"/>
          <w:color w:val="000000"/>
        </w:rPr>
        <w:t>A: Red circle shows a cell with a basophilic intranuclear inclusion body surrounded by a clear halo (hematoxylin and eosin stain, 400</w:t>
      </w:r>
      <w:r>
        <w:rPr>
          <w:rFonts w:ascii="Book Antiqua" w:hAnsi="Book Antiqua" w:eastAsia="宋体" w:cs="Book Antiqua"/>
          <w:color w:val="000000"/>
          <w:lang w:eastAsia="zh-CN"/>
        </w:rPr>
        <w:t xml:space="preserve"> </w:t>
      </w:r>
      <w:r>
        <w:rPr>
          <w:rFonts w:ascii="Book Antiqua" w:hAnsi="Book Antiqua" w:eastAsia="Book Antiqua" w:cs="Book Antiqua"/>
          <w:color w:val="000000"/>
        </w:rPr>
        <w:t>×); B: Black circle shows positive immunohistochemistry for cytomegalovirus (immunohistochemical stain, 400</w:t>
      </w:r>
      <w:r>
        <w:rPr>
          <w:rFonts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p>
    <w:p>
      <w:pPr>
        <w:rPr>
          <w:rFonts w:ascii="Book Antiqua" w:hAnsi="Book Antiqua" w:eastAsia="宋体"/>
          <w:lang w:eastAsia="zh-CN"/>
        </w:rPr>
      </w:pPr>
      <w:r>
        <w:rPr>
          <w:rFonts w:ascii="Book Antiqua" w:hAnsi="Book Antiqua" w:eastAsia="宋体"/>
          <w:lang w:eastAsia="zh-CN"/>
        </w:rPr>
        <w:br w:type="page"/>
      </w:r>
    </w:p>
    <w:p>
      <w:pPr>
        <w:jc w:val="center"/>
        <w:rPr>
          <w:rFonts w:ascii="Book Antiqua" w:hAnsi="Book Antiqua"/>
        </w:rPr>
      </w:pPr>
    </w:p>
    <w:p>
      <w:pPr>
        <w:jc w:val="center"/>
        <w:rPr>
          <w:rFonts w:ascii="Book Antiqua" w:hAnsi="Book Antiqua"/>
        </w:rPr>
      </w:pPr>
    </w:p>
    <w:p>
      <w:pPr>
        <w:jc w:val="center"/>
        <w:rPr>
          <w:rFonts w:ascii="Book Antiqua" w:hAnsi="Book Antiqua"/>
        </w:rPr>
      </w:pPr>
    </w:p>
    <w:p>
      <w:pPr>
        <w:jc w:val="center"/>
        <w:rPr>
          <w:rFonts w:ascii="Book Antiqua" w:hAnsi="Book Antiqua"/>
        </w:rPr>
      </w:pPr>
    </w:p>
    <w:p>
      <w:pPr>
        <w:jc w:val="center"/>
        <w:rPr>
          <w:rFonts w:ascii="Book Antiqua" w:hAnsi="Book Antiqua"/>
        </w:rPr>
      </w:pPr>
    </w:p>
    <w:p>
      <w:pPr>
        <w:jc w:val="center"/>
        <w:rPr>
          <w:rFonts w:ascii="Book Antiqua" w:hAnsi="Book Antiqua"/>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jc w:val="center"/>
        <w:rPr>
          <w:rFonts w:ascii="Book Antiqua" w:hAnsi="Book Antiqua"/>
        </w:rPr>
      </w:pPr>
    </w:p>
    <w:p>
      <w:pPr>
        <w:autoSpaceDE w:val="0"/>
        <w:autoSpaceDN w:val="0"/>
        <w:adjustRightInd w:val="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jc w:val="center"/>
        <w:rPr>
          <w:rFonts w:ascii="Book Antiqua" w:hAnsi="Book Antiqua"/>
        </w:rPr>
      </w:pPr>
      <w:r>
        <w:rPr>
          <w:rFonts w:ascii="Book Antiqua" w:hAnsi="Book Antiqua" w:eastAsia="TimesNewRomanPSMT" w:cs="Garamond"/>
          <w:color w:val="D56400"/>
          <w:sz w:val="28"/>
          <w:szCs w:val="28"/>
        </w:rPr>
        <w:t>https://www.wjgnet.com</w:t>
      </w:r>
    </w:p>
    <w:p>
      <w:pPr>
        <w:jc w:val="center"/>
        <w:rPr>
          <w:rFonts w:ascii="Book Antiqua" w:hAnsi="Book Antiqua"/>
        </w:rPr>
      </w:pPr>
    </w:p>
    <w:p>
      <w:pPr>
        <w:jc w:val="center"/>
        <w:rPr>
          <w:rFonts w:ascii="Book Antiqua" w:hAnsi="Book Antiqua"/>
        </w:rPr>
      </w:pPr>
    </w:p>
    <w:p>
      <w:pPr>
        <w:jc w:val="center"/>
        <w:rPr>
          <w:rFonts w:ascii="Book Antiqua" w:hAnsi="Book Antiqua"/>
        </w:rPr>
      </w:pPr>
    </w:p>
    <w:p>
      <w:pPr>
        <w:jc w:val="center"/>
        <w:rPr>
          <w:rFonts w:ascii="Book Antiqua" w:hAnsi="Book Antiqua"/>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jc w:val="center"/>
        <w:rPr>
          <w:rFonts w:ascii="Book Antiqua" w:hAnsi="Book Antiqua"/>
        </w:rPr>
      </w:pPr>
    </w:p>
    <w:p>
      <w:pPr>
        <w:jc w:val="center"/>
        <w:rPr>
          <w:rFonts w:ascii="Book Antiqua" w:hAnsi="Book Antiqua"/>
        </w:rPr>
      </w:pPr>
    </w:p>
    <w:p>
      <w:pPr>
        <w:jc w:val="center"/>
        <w:rPr>
          <w:rFonts w:ascii="Book Antiqua" w:hAnsi="Book Antiqua"/>
        </w:rPr>
      </w:pPr>
    </w:p>
    <w:p>
      <w:pPr>
        <w:jc w:val="center"/>
        <w:rPr>
          <w:rFonts w:ascii="Book Antiqua" w:hAnsi="Book Antiqua"/>
        </w:rPr>
      </w:pPr>
    </w:p>
    <w:p>
      <w:pPr>
        <w:jc w:val="center"/>
        <w:rPr>
          <w:rFonts w:ascii="Book Antiqua" w:hAnsi="Book Antiqua"/>
        </w:rPr>
      </w:pPr>
    </w:p>
    <w:p>
      <w:pPr>
        <w:jc w:val="center"/>
        <w:rPr>
          <w:rFonts w:ascii="Book Antiqua" w:hAnsi="Book Antiqua"/>
        </w:rPr>
      </w:pPr>
    </w:p>
    <w:p>
      <w:pPr>
        <w:jc w:val="center"/>
        <w:rPr>
          <w:rFonts w:ascii="Book Antiqua" w:hAnsi="Book Antiqua"/>
        </w:rPr>
      </w:pPr>
    </w:p>
    <w:p>
      <w:pPr>
        <w:jc w:val="center"/>
        <w:rPr>
          <w:rFonts w:ascii="Book Antiqua" w:hAnsi="Book Antiqua"/>
        </w:rPr>
      </w:pPr>
    </w:p>
    <w:p>
      <w:pPr>
        <w:jc w:val="center"/>
        <w:rPr>
          <w:rFonts w:ascii="Book Antiqua" w:hAnsi="Book Antiqua"/>
        </w:rPr>
      </w:pPr>
    </w:p>
    <w:p>
      <w:pPr>
        <w:jc w:val="right"/>
        <w:rPr>
          <w:rFonts w:ascii="Book Antiqua" w:hAnsi="Book Antiqua"/>
          <w:color w:val="000000" w:themeColor="text1"/>
          <w14:textFill>
            <w14:solidFill>
              <w14:schemeClr w14:val="tx1"/>
            </w14:solidFill>
          </w14:textFill>
        </w:rPr>
      </w:pPr>
    </w:p>
    <w:p>
      <w:pPr>
        <w:jc w:val="center"/>
        <w:rPr>
          <w:rFonts w:ascii="Book Antiqua" w:hAnsi="Book Antiqua"/>
          <w:color w:val="000000" w:themeColor="text1"/>
          <w14:textFill>
            <w14:solidFill>
              <w14:schemeClr w14:val="tx1"/>
            </w14:solidFill>
          </w14:textFill>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eastAsia="BookAntiqua-Bold" w:cs="BookAntiqua-Bold"/>
          <w:b/>
          <w:bCs/>
          <w:color w:val="000000" w:themeColor="text1"/>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r>
        <w:rPr>
          <w:rFonts w:ascii="Book Antiqua" w:hAnsi="Book Antiqua"/>
          <w:color w:val="000000" w:themeColor="text1"/>
          <w14:textFill>
            <w14:solidFill>
              <w14:schemeClr w14:val="tx1"/>
            </w14:solidFill>
          </w14:textFill>
        </w:rPr>
        <w:fldChar w:fldCharType="begin"/>
      </w:r>
      <w:r>
        <w:rPr>
          <w:rFonts w:ascii="Book Antiqua" w:hAnsi="Book Antiqua"/>
          <w:color w:val="000000" w:themeColor="text1"/>
          <w14:textFill>
            <w14:solidFill>
              <w14:schemeClr w14:val="tx1"/>
            </w14:solidFill>
          </w14:textFill>
        </w:rPr>
        <w:instrText xml:space="preserve"> ADDIN EN.REFLIST </w:instrText>
      </w:r>
      <w:r>
        <w:rPr>
          <w:rFonts w:ascii="Book Antiqua" w:hAnsi="Book Antiqua"/>
          <w:color w:val="000000" w:themeColor="text1"/>
          <w14:textFill>
            <w14:solidFill>
              <w14:schemeClr w14:val="tx1"/>
            </w14:solidFill>
          </w14:textFill>
        </w:rPr>
        <w:fldChar w:fldCharType="end"/>
      </w:r>
    </w:p>
    <w:p>
      <w:pPr>
        <w:spacing w:line="360" w:lineRule="auto"/>
        <w:jc w:val="both"/>
        <w:rPr>
          <w:rFonts w:ascii="Book Antiqua" w:hAnsi="Book Antiqua" w:eastAsia="宋体"/>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Segoe Print"/>
    <w:panose1 w:val="00000000000000000000"/>
    <w:charset w:val="00"/>
    <w:family w:val="auto"/>
    <w:pitch w:val="default"/>
    <w:sig w:usb0="00000000" w:usb1="00000000" w:usb2="00000000" w:usb3="00000000" w:csb0="0000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5826571"/>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wOTNhZGQxZDZlY2ViN2VkMzIzMzdmMGEyYzNiMGUifQ=="/>
  </w:docVars>
  <w:rsids>
    <w:rsidRoot w:val="00A77B3E"/>
    <w:rsid w:val="00016F75"/>
    <w:rsid w:val="00027EF7"/>
    <w:rsid w:val="00045BED"/>
    <w:rsid w:val="00047CE4"/>
    <w:rsid w:val="00076050"/>
    <w:rsid w:val="000C2123"/>
    <w:rsid w:val="000C3BE1"/>
    <w:rsid w:val="000C4116"/>
    <w:rsid w:val="000D01A9"/>
    <w:rsid w:val="001174F4"/>
    <w:rsid w:val="00122B51"/>
    <w:rsid w:val="00145CB9"/>
    <w:rsid w:val="00181987"/>
    <w:rsid w:val="00184C4D"/>
    <w:rsid w:val="001A0D01"/>
    <w:rsid w:val="001A3852"/>
    <w:rsid w:val="001C3DFE"/>
    <w:rsid w:val="00204B75"/>
    <w:rsid w:val="002130E1"/>
    <w:rsid w:val="0022055A"/>
    <w:rsid w:val="00240AB5"/>
    <w:rsid w:val="002472BC"/>
    <w:rsid w:val="00256180"/>
    <w:rsid w:val="002849BA"/>
    <w:rsid w:val="002A2399"/>
    <w:rsid w:val="002A3CA4"/>
    <w:rsid w:val="002D6486"/>
    <w:rsid w:val="002E3B8E"/>
    <w:rsid w:val="00353D07"/>
    <w:rsid w:val="003621EB"/>
    <w:rsid w:val="003B22E2"/>
    <w:rsid w:val="003C6578"/>
    <w:rsid w:val="003F3235"/>
    <w:rsid w:val="004614BE"/>
    <w:rsid w:val="00471CC0"/>
    <w:rsid w:val="0048538E"/>
    <w:rsid w:val="004923BD"/>
    <w:rsid w:val="00494CAC"/>
    <w:rsid w:val="004F1C05"/>
    <w:rsid w:val="005112D5"/>
    <w:rsid w:val="00544B5D"/>
    <w:rsid w:val="00596D5F"/>
    <w:rsid w:val="005D2316"/>
    <w:rsid w:val="005F404C"/>
    <w:rsid w:val="005F4FF5"/>
    <w:rsid w:val="00642C53"/>
    <w:rsid w:val="0065270C"/>
    <w:rsid w:val="00662872"/>
    <w:rsid w:val="00664A1F"/>
    <w:rsid w:val="00677861"/>
    <w:rsid w:val="00694172"/>
    <w:rsid w:val="006A6DB4"/>
    <w:rsid w:val="006D10AD"/>
    <w:rsid w:val="006D1319"/>
    <w:rsid w:val="006E1734"/>
    <w:rsid w:val="006F01C2"/>
    <w:rsid w:val="006F060A"/>
    <w:rsid w:val="006F65E0"/>
    <w:rsid w:val="007038D2"/>
    <w:rsid w:val="00711655"/>
    <w:rsid w:val="007652EE"/>
    <w:rsid w:val="00787AC2"/>
    <w:rsid w:val="007A1AC7"/>
    <w:rsid w:val="007B37EF"/>
    <w:rsid w:val="007D270C"/>
    <w:rsid w:val="007E3860"/>
    <w:rsid w:val="007F650B"/>
    <w:rsid w:val="0081357C"/>
    <w:rsid w:val="008314D3"/>
    <w:rsid w:val="00831B50"/>
    <w:rsid w:val="008329CD"/>
    <w:rsid w:val="00860E31"/>
    <w:rsid w:val="00883B50"/>
    <w:rsid w:val="008B2294"/>
    <w:rsid w:val="008B2697"/>
    <w:rsid w:val="008C73BD"/>
    <w:rsid w:val="008F3979"/>
    <w:rsid w:val="008F7649"/>
    <w:rsid w:val="00923F91"/>
    <w:rsid w:val="00925E88"/>
    <w:rsid w:val="00926CCF"/>
    <w:rsid w:val="009445C3"/>
    <w:rsid w:val="009502C9"/>
    <w:rsid w:val="00960397"/>
    <w:rsid w:val="00960552"/>
    <w:rsid w:val="00972F07"/>
    <w:rsid w:val="009A203C"/>
    <w:rsid w:val="009A482E"/>
    <w:rsid w:val="009F3E98"/>
    <w:rsid w:val="009F4F0C"/>
    <w:rsid w:val="00A07F05"/>
    <w:rsid w:val="00A1403B"/>
    <w:rsid w:val="00A14753"/>
    <w:rsid w:val="00A23C22"/>
    <w:rsid w:val="00A5108C"/>
    <w:rsid w:val="00A63710"/>
    <w:rsid w:val="00A73C28"/>
    <w:rsid w:val="00A77B3E"/>
    <w:rsid w:val="00A83589"/>
    <w:rsid w:val="00A85216"/>
    <w:rsid w:val="00A92AED"/>
    <w:rsid w:val="00A9666E"/>
    <w:rsid w:val="00AB28F4"/>
    <w:rsid w:val="00AB7068"/>
    <w:rsid w:val="00AE6961"/>
    <w:rsid w:val="00B0056B"/>
    <w:rsid w:val="00B0517B"/>
    <w:rsid w:val="00BA5B48"/>
    <w:rsid w:val="00BC4E18"/>
    <w:rsid w:val="00BD676E"/>
    <w:rsid w:val="00BF01B9"/>
    <w:rsid w:val="00C243CC"/>
    <w:rsid w:val="00C24684"/>
    <w:rsid w:val="00C37426"/>
    <w:rsid w:val="00C741D8"/>
    <w:rsid w:val="00C94DD8"/>
    <w:rsid w:val="00C9634D"/>
    <w:rsid w:val="00CA2A55"/>
    <w:rsid w:val="00CB2F1A"/>
    <w:rsid w:val="00CB326D"/>
    <w:rsid w:val="00CC28D2"/>
    <w:rsid w:val="00CD5625"/>
    <w:rsid w:val="00CE4867"/>
    <w:rsid w:val="00D1292B"/>
    <w:rsid w:val="00D22046"/>
    <w:rsid w:val="00D3542A"/>
    <w:rsid w:val="00D707F8"/>
    <w:rsid w:val="00D85A5A"/>
    <w:rsid w:val="00D925D6"/>
    <w:rsid w:val="00DA3E94"/>
    <w:rsid w:val="00E55FAB"/>
    <w:rsid w:val="00EA18F3"/>
    <w:rsid w:val="00ED6E6B"/>
    <w:rsid w:val="00EE01D8"/>
    <w:rsid w:val="00F02919"/>
    <w:rsid w:val="00F149DA"/>
    <w:rsid w:val="00F82C7B"/>
    <w:rsid w:val="00FC6773"/>
    <w:rsid w:val="00FE67E1"/>
    <w:rsid w:val="00FF63C0"/>
    <w:rsid w:val="140722DC"/>
    <w:rsid w:val="6C386A6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0"/>
    <w:rPr>
      <w:sz w:val="18"/>
      <w:szCs w:val="18"/>
    </w:rPr>
  </w:style>
  <w:style w:type="paragraph" w:styleId="3">
    <w:name w:val="footer"/>
    <w:basedOn w:val="1"/>
    <w:link w:val="9"/>
    <w:unhideWhenUsed/>
    <w:uiPriority w:val="99"/>
    <w:pPr>
      <w:tabs>
        <w:tab w:val="center" w:pos="4153"/>
        <w:tab w:val="right" w:pos="8306"/>
      </w:tabs>
      <w:snapToGrid w:val="0"/>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Light Shading"/>
    <w:basedOn w:val="5"/>
    <w:uiPriority w:val="60"/>
    <w:rPr>
      <w:rFonts w:asciiTheme="minorHAnsi" w:hAnsiTheme="minorHAnsi" w:cstheme="minorBidi"/>
      <w:color w:val="000000" w:themeColor="text1" w:themeShade="BF"/>
      <w:sz w:val="22"/>
      <w:szCs w:val="22"/>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character" w:customStyle="1" w:styleId="8">
    <w:name w:val="页眉 Char"/>
    <w:basedOn w:val="7"/>
    <w:link w:val="4"/>
    <w:uiPriority w:val="0"/>
    <w:rPr>
      <w:sz w:val="18"/>
      <w:szCs w:val="18"/>
    </w:rPr>
  </w:style>
  <w:style w:type="character" w:customStyle="1" w:styleId="9">
    <w:name w:val="页脚 Char"/>
    <w:basedOn w:val="7"/>
    <w:link w:val="3"/>
    <w:uiPriority w:val="99"/>
    <w:rPr>
      <w:sz w:val="18"/>
      <w:szCs w:val="18"/>
    </w:rPr>
  </w:style>
  <w:style w:type="character" w:customStyle="1" w:styleId="10">
    <w:name w:val="批注框文本 Char"/>
    <w:basedOn w:val="7"/>
    <w:link w:val="2"/>
    <w:semiHidden/>
    <w:qFormat/>
    <w:uiPriority w:val="0"/>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15</Pages>
  <Words>2698</Words>
  <Characters>16662</Characters>
  <Lines>137</Lines>
  <Paragraphs>38</Paragraphs>
  <TotalTime>0</TotalTime>
  <ScaleCrop>false</ScaleCrop>
  <LinksUpToDate>false</LinksUpToDate>
  <CharactersWithSpaces>19267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2023-03-02T08:20:00Z</dcterms:created>
  <dc:creator>Administrator</dc:creator>
  <cp:lastModifiedBy>晓晨</cp:lastModifiedBy>
  <dcterms:modified xsi:type="dcterms:W3CDTF">2023-03-30T06:41:20Z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978b4681133a3c4ec89a36f7ccf838d9ba55387198d3d376922c6f4396efc1e8</vt:lpwstr>
  </property>
  <property fmtid="{D5CDD505-2E9C-101B-9397-08002B2CF9AE}" pid="3" name="KSOProductBuildVer">
    <vt:lpwstr>2052-11.1.0.13703</vt:lpwstr>
  </property>
  <property fmtid="{D5CDD505-2E9C-101B-9397-08002B2CF9AE}" pid="4" name="ICV">
    <vt:lpwstr>8C62878E470C42B7B09152EF366F05EF</vt:lpwstr>
  </property>
</Properties>
</file>