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82585</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Full neurological recovery from severe nonexertional heat stroke with multiple organ dysfunction: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Du F </w:t>
      </w:r>
      <w:r>
        <w:rPr>
          <w:rFonts w:ascii="Book Antiqua" w:hAnsi="Book Antiqua" w:eastAsia="Book Antiqua" w:cs="Book Antiqua"/>
          <w:i/>
          <w:iCs/>
          <w:color w:val="000000"/>
        </w:rPr>
        <w:t xml:space="preserve">et al. </w:t>
      </w:r>
      <w:r>
        <w:rPr>
          <w:rFonts w:ascii="Book Antiqua" w:hAnsi="Book Antiqua" w:eastAsia="Book Antiqua" w:cs="Book Antiqua"/>
          <w:color w:val="000000"/>
        </w:rPr>
        <w:t>Heat stroke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Fang Du, Jun-Wei Zheng, Yan-Bo Zhao, Kai Yang, Hu-Nian Li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Fang Du, Yan-Bo Zhao, Kai Yang, Hu-Nian Li, </w:t>
      </w:r>
      <w:r>
        <w:rPr>
          <w:rFonts w:ascii="Book Antiqua" w:hAnsi="Book Antiqua" w:eastAsia="Book Antiqua" w:cs="Book Antiqua"/>
          <w:color w:val="000000"/>
        </w:rPr>
        <w:t>Emergency and Critical Care Center, Hubei University of Medicine, Renmin Hospital, Shiyan 442000, Hubei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Jun-Wei Zheng,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Anesthesiology, Hubei University of Medicine, Renmin Hospital, Shiyan 442000, Hubei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Du F was a major contributor in writing the original manuscript; Zheng JW, Zhao YB and Yang K provided clinical data, consulted literature, editing, and review; Li HN contributed to project design and operation, data interpretation, supervision, review, and revision of manuscripts; All authors read and approved the final manuscript.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Hu-Nian Li, MM, Associate Chief Physician, Associate Professor, </w:t>
      </w:r>
      <w:r>
        <w:rPr>
          <w:rFonts w:ascii="Book Antiqua" w:hAnsi="Book Antiqua" w:eastAsia="Book Antiqua" w:cs="Book Antiqua"/>
          <w:color w:val="000000"/>
        </w:rPr>
        <w:t>Emergency and Critical Care Center, Hubei University of Medicine, Renmin Hospital, No. 39 Chaoyang Middle Road, Shiyan 442000, Hubei Province, China. 1217209787@qq.com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26,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February 5, 2023</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March 9, 2023</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April 6,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We report a rare case of full neurological recovery from severe nonexertional heat stroke in a 67-year-old woman with an initial Glasgow Coma Scale of 3. This report raises awareness among doctors that when heatstroke is diagnosed, comprehensive treatment should be implemented as soon as possible. Moreover, targeted temperature management, combination therapy with hemodialysis and hemoperfusion, and hyperbaric oxygen therapy may alleviate multiorgan failure and prevent neurological sequelae caused by heatstroke.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previously healthy 67-year-old woman with an initial Glasgow Coma Scale of 3 was found lying prone on the road at noon on a summer day. Laboratory tests revealed multiorgan failure. As soon as heatstroke was diagnosed, comprehensive treatment was implemented. On hospital Day 3, the patient was extubated. Her initial Sequential Organ Failure Assessment score at hospitalization was 14 and decreased to 2 on hospital Day 4. On the seventh day following hospital admission, as the patient’s general condition improved, the levels of laboratory test findings decreased rapidly. Finally, the patient gradually recovered with no other neurological symptoms (the Glasgow Coma Scale at discharge was 15, and her ability to walk independently was restored).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This case demonstrated that targeted temperature management, combination therapy with hemodialysis and hemoperfusion, and hyperbaric oxygen therapy may alleviate multiorgan failure and prevent neurological sequelae caused by heatstroke.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Heat stroke; Multiple organ failure; Neurological; Recovery;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cs="Book Antiqua"/>
          <w:lang w:eastAsia="zh-CN"/>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color w:val="000000"/>
        </w:rPr>
        <w:t xml:space="preserve">Du F, Zheng JW, Zhao YB, Yang K, Li HN. Full neurological recovery from severe nonexertional heat stroke with multiple organ dysfunction: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2023; </w:t>
      </w:r>
      <w:r>
        <w:rPr>
          <w:rFonts w:ascii="Book Antiqua" w:hAnsi="Book Antiqua" w:eastAsia="Book Antiqua" w:cs="Book Antiqua"/>
        </w:rPr>
        <w:t>11(</w:t>
      </w:r>
      <w:r>
        <w:rPr>
          <w:rFonts w:hint="eastAsia" w:ascii="Book Antiqua" w:hAnsi="Book Antiqua" w:cs="Book Antiqua"/>
          <w:lang w:eastAsia="zh-CN"/>
        </w:rPr>
        <w:t>10</w:t>
      </w:r>
      <w:r>
        <w:rPr>
          <w:rFonts w:ascii="Book Antiqua" w:hAnsi="Book Antiqua" w:eastAsia="Book Antiqua" w:cs="Book Antiqua"/>
        </w:rPr>
        <w:t xml:space="preserve">): </w:t>
      </w:r>
      <w:r>
        <w:rPr>
          <w:rFonts w:hint="default" w:ascii="Book Antiqua" w:hAnsi="Book Antiqua" w:eastAsia="Book Antiqua" w:cs="Book Antiqua"/>
          <w:i w:val="0"/>
          <w:iCs w:val="0"/>
          <w:color w:val="000000"/>
          <w:kern w:val="0"/>
          <w:sz w:val="24"/>
          <w:szCs w:val="24"/>
          <w:u w:val="none"/>
          <w:lang w:val="en-US" w:eastAsia="zh-CN" w:bidi="ar"/>
        </w:rPr>
        <w:t>2355-2362</w:t>
      </w:r>
    </w:p>
    <w:p>
      <w:pPr>
        <w:spacing w:line="360" w:lineRule="auto"/>
        <w:jc w:val="both"/>
        <w:rPr>
          <w:rFonts w:ascii="Book Antiqua" w:hAnsi="Book Antiqua" w:cs="Book Antiqua"/>
          <w:lang w:eastAsia="zh-CN"/>
        </w:rPr>
      </w:pPr>
      <w:r>
        <w:rPr>
          <w:rFonts w:ascii="Book Antiqua" w:hAnsi="Book Antiqua" w:eastAsia="Book Antiqua" w:cs="Book Antiqua"/>
          <w:b/>
        </w:rPr>
        <w:t xml:space="preserve">URL: </w:t>
      </w:r>
      <w:r>
        <w:rPr>
          <w:rFonts w:ascii="Book Antiqua" w:hAnsi="Book Antiqua" w:eastAsia="Book Antiqua" w:cs="Book Antiqua"/>
        </w:rPr>
        <w:t>https://www.wjgnet.com/2307-8960/full/v11/i</w:t>
      </w:r>
      <w:r>
        <w:rPr>
          <w:rFonts w:hint="eastAsia" w:ascii="Book Antiqua" w:hAnsi="Book Antiqua" w:cs="Book Antiqua"/>
          <w:lang w:eastAsia="zh-CN"/>
        </w:rPr>
        <w:t>10</w:t>
      </w:r>
      <w:r>
        <w:rPr>
          <w:rFonts w:ascii="Book Antiqua" w:hAnsi="Book Antiqua" w:eastAsia="Book Antiqua" w:cs="Book Antiqua"/>
        </w:rPr>
        <w:t>/</w:t>
      </w:r>
      <w:r>
        <w:rPr>
          <w:rFonts w:hint="default" w:ascii="Book Antiqua" w:hAnsi="Book Antiqua" w:eastAsia="Book Antiqua" w:cs="Book Antiqua"/>
          <w:i w:val="0"/>
          <w:iCs w:val="0"/>
          <w:color w:val="000000"/>
          <w:kern w:val="0"/>
          <w:sz w:val="24"/>
          <w:szCs w:val="24"/>
          <w:u w:val="none"/>
          <w:lang w:val="en-US" w:eastAsia="zh-CN" w:bidi="ar"/>
        </w:rPr>
        <w:t>2355</w:t>
      </w:r>
      <w:r>
        <w:rPr>
          <w:rFonts w:ascii="Book Antiqua" w:hAnsi="Book Antiqua" w:eastAsia="Book Antiqua" w:cs="Book Antiqua"/>
        </w:rPr>
        <w:t>.htm</w:t>
      </w:r>
    </w:p>
    <w:p>
      <w:pPr>
        <w:spacing w:line="360" w:lineRule="auto"/>
        <w:jc w:val="both"/>
        <w:rPr>
          <w:rFonts w:ascii="Book Antiqua" w:hAnsi="Book Antiqua"/>
        </w:rPr>
      </w:pPr>
      <w:r>
        <w:rPr>
          <w:rFonts w:ascii="Book Antiqua" w:hAnsi="Book Antiqua" w:eastAsia="Book Antiqua" w:cs="Book Antiqua"/>
          <w:b/>
        </w:rPr>
        <w:t xml:space="preserve">DOI: </w:t>
      </w:r>
      <w:r>
        <w:rPr>
          <w:rFonts w:ascii="Book Antiqua" w:hAnsi="Book Antiqua" w:eastAsia="Book Antiqua" w:cs="Book Antiqua"/>
        </w:rPr>
        <w:t>https://dx.doi.org/10.12998/wjcc.v11.i</w:t>
      </w:r>
      <w:r>
        <w:rPr>
          <w:rFonts w:hint="eastAsia" w:ascii="Book Antiqua" w:hAnsi="Book Antiqua" w:cs="Book Antiqua"/>
          <w:lang w:eastAsia="zh-CN"/>
        </w:rPr>
        <w:t>10</w:t>
      </w:r>
      <w:r>
        <w:rPr>
          <w:rFonts w:ascii="Book Antiqua" w:hAnsi="Book Antiqua" w:eastAsia="Book Antiqua" w:cs="Book Antiqua"/>
        </w:rPr>
        <w:t>.</w:t>
      </w:r>
      <w:r>
        <w:rPr>
          <w:rFonts w:hint="default" w:ascii="Book Antiqua" w:hAnsi="Book Antiqua" w:eastAsia="Book Antiqua" w:cs="Book Antiqua"/>
          <w:i w:val="0"/>
          <w:iCs w:val="0"/>
          <w:color w:val="000000"/>
          <w:kern w:val="0"/>
          <w:sz w:val="24"/>
          <w:szCs w:val="24"/>
          <w:u w:val="none"/>
          <w:lang w:val="en-US" w:eastAsia="zh-CN" w:bidi="ar"/>
        </w:rPr>
        <w:t>2355</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We report a rare case of full neurological recovery from severe nonexertional heat stroke in a 67-year-old woman. As soon as heatstroke was diagnosed, comprehensive treatment was implemented. Laboratory tests revealed multiorgan failure. However, the patient gradually recovered consciousness with no other neurological symptoms. This case demonstrated that targeted temperature management, combination therapy with hemodialysis and hemoperfusion, and hyperbaric oxygen therapy may alleviate multiorgan failure and prevent neurological sequelae caused by heatstroke.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Among all heat-related illnesses, heatstroke is the most severe and is defined by a condition in which the core body temperature exceeds 40</w:t>
      </w:r>
      <w:r>
        <w:rPr>
          <w:rFonts w:hint="eastAsia" w:ascii="宋体" w:hAnsi="宋体" w:eastAsia="宋体" w:cs="宋体"/>
          <w:color w:val="000000"/>
        </w:rPr>
        <w:t>℃</w:t>
      </w:r>
      <w:r>
        <w:rPr>
          <w:rFonts w:ascii="Book Antiqua" w:hAnsi="Book Antiqua" w:eastAsia="Book Antiqua" w:cs="Book Antiqua"/>
          <w:color w:val="000000"/>
        </w:rPr>
        <w:t xml:space="preserve"> following a tremendous environmental heat load that overrides the body’s heat dissipation efforts</w:t>
      </w:r>
      <w:r>
        <w:rPr>
          <w:rFonts w:ascii="Book Antiqua" w:hAnsi="Book Antiqua" w:eastAsia="Book Antiqua" w:cs="Book Antiqua"/>
          <w:color w:val="000000"/>
          <w:vertAlign w:val="superscript"/>
        </w:rPr>
        <w:t>[1]</w:t>
      </w:r>
      <w:r>
        <w:rPr>
          <w:rFonts w:ascii="Book Antiqua" w:hAnsi="Book Antiqua" w:eastAsia="Book Antiqua" w:cs="Book Antiqua"/>
          <w:color w:val="000000"/>
        </w:rPr>
        <w:t>. It is accompanied by clinical central nervous system dysfunction (such as delirium, convulsions, or coma) and/or multiorgan failure</w:t>
      </w:r>
      <w:r>
        <w:rPr>
          <w:rFonts w:ascii="Book Antiqua" w:hAnsi="Book Antiqua" w:eastAsia="Book Antiqua" w:cs="Book Antiqua"/>
          <w:color w:val="000000"/>
          <w:vertAlign w:val="superscript"/>
        </w:rPr>
        <w:t>[2]</w:t>
      </w:r>
      <w:r>
        <w:rPr>
          <w:rFonts w:ascii="Book Antiqua" w:hAnsi="Book Antiqua" w:eastAsia="Book Antiqua" w:cs="Book Antiqua"/>
          <w:color w:val="000000"/>
        </w:rPr>
        <w:t>. With delayed therapy, the mortality rate can be as high as 70%, especially among elderly patients. Early diagnosis and management with immediate cooling can reduce the mortality rate to 10%</w:t>
      </w:r>
      <w:r>
        <w:rPr>
          <w:rFonts w:ascii="Book Antiqua" w:hAnsi="Book Antiqua" w:eastAsia="Book Antiqua" w:cs="Book Antiqua"/>
          <w:color w:val="000000"/>
          <w:vertAlign w:val="superscript"/>
        </w:rPr>
        <w:t>[3]</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There are no therapeutic strategies to prevent further injury after the rapid cooling of the core body temperature to 39</w:t>
      </w:r>
      <w:r>
        <w:rPr>
          <w:rFonts w:hint="eastAsia" w:ascii="宋体" w:hAnsi="宋体" w:eastAsia="宋体" w:cs="宋体"/>
          <w:color w:val="000000"/>
        </w:rPr>
        <w:t>℃</w:t>
      </w:r>
      <w:r>
        <w:rPr>
          <w:rFonts w:ascii="Book Antiqua" w:hAnsi="Book Antiqua" w:eastAsia="Book Antiqua" w:cs="Book Antiqua"/>
          <w:color w:val="000000"/>
        </w:rPr>
        <w:t xml:space="preserve"> following heat stroke. Studies have demonstrated that early initiation of the targeted temperature management (TTM) technique can reduce free radicals that are produced during the cerebral hypoxia ischemia and reperfusion process, as well as the energy expenditure and metabolic rate of the brain</w:t>
      </w:r>
      <w:r>
        <w:rPr>
          <w:rFonts w:ascii="Book Antiqua" w:hAnsi="Book Antiqua" w:eastAsia="Book Antiqua" w:cs="Book Antiqua"/>
          <w:color w:val="000000"/>
          <w:vertAlign w:val="superscript"/>
        </w:rPr>
        <w:t>[4,5]</w:t>
      </w:r>
      <w:r>
        <w:rPr>
          <w:rFonts w:ascii="Book Antiqua" w:hAnsi="Book Antiqua" w:eastAsia="Book Antiqua" w:cs="Book Antiqua"/>
          <w:color w:val="000000"/>
        </w:rPr>
        <w:t>. Most researchers believe that the target temperature should be set at 32 to 34</w:t>
      </w:r>
      <w:r>
        <w:rPr>
          <w:rFonts w:hint="eastAsia" w:ascii="宋体" w:hAnsi="宋体" w:eastAsia="宋体" w:cs="宋体"/>
          <w:color w:val="000000"/>
        </w:rPr>
        <w:t>℃</w:t>
      </w:r>
      <w:r>
        <w:rPr>
          <w:rFonts w:ascii="Book Antiqua" w:hAnsi="Book Antiqua" w:eastAsia="Book Antiqua" w:cs="Book Antiqua"/>
          <w:color w:val="000000"/>
        </w:rPr>
        <w:t>, and the duration of TTM is usually &lt; 72 h</w:t>
      </w:r>
      <w:r>
        <w:rPr>
          <w:rFonts w:ascii="Book Antiqua" w:hAnsi="Book Antiqua" w:eastAsia="Book Antiqua" w:cs="Book Antiqua"/>
          <w:color w:val="000000"/>
          <w:vertAlign w:val="superscript"/>
        </w:rPr>
        <w:t>[6]</w:t>
      </w:r>
      <w:r>
        <w:rPr>
          <w:rFonts w:ascii="Book Antiqua" w:hAnsi="Book Antiqua" w:eastAsia="Book Antiqua" w:cs="Book Antiqua"/>
          <w:color w:val="000000"/>
        </w:rPr>
        <w:t>. However, there are no standard guidelines or unified management methods for TTM. Thus, the previous cooling method of just falling below 39</w:t>
      </w:r>
      <w:r>
        <w:rPr>
          <w:rFonts w:hint="eastAsia" w:ascii="宋体" w:hAnsi="宋体" w:eastAsia="宋体" w:cs="宋体"/>
          <w:color w:val="000000"/>
        </w:rPr>
        <w:t>℃</w:t>
      </w:r>
      <w:r>
        <w:rPr>
          <w:rFonts w:ascii="Book Antiqua" w:hAnsi="Book Antiqua" w:eastAsia="Book Antiqua" w:cs="Book Antiqua"/>
          <w:color w:val="000000"/>
        </w:rPr>
        <w:t xml:space="preserve"> may not be adequate to treat heatstroke, and more aggressive cooling measures, similar to the TTM (&lt; 36</w:t>
      </w:r>
      <w:r>
        <w:rPr>
          <w:rFonts w:hint="eastAsia" w:ascii="宋体" w:hAnsi="宋体" w:eastAsia="宋体" w:cs="宋体"/>
          <w:color w:val="000000"/>
        </w:rPr>
        <w:t>℃</w:t>
      </w:r>
      <w:r>
        <w:rPr>
          <w:rFonts w:ascii="Book Antiqua" w:hAnsi="Book Antiqua" w:eastAsia="Book Antiqua" w:cs="Book Antiqua"/>
          <w:color w:val="000000"/>
        </w:rPr>
        <w:t xml:space="preserve"> for 24 h) that is routinely administered to patients in postcardiac arrest, are recommended. Continuous renal replacement therapy can effectively lower body temperature, inhibit the inflammatory cascade reaction, and reduce the concentration of toxic metabolites in serum</w:t>
      </w:r>
      <w:r>
        <w:rPr>
          <w:rFonts w:ascii="Book Antiqua" w:hAnsi="Book Antiqua" w:eastAsia="Book Antiqua" w:cs="Book Antiqua"/>
          <w:color w:val="000000"/>
          <w:vertAlign w:val="superscript"/>
        </w:rPr>
        <w:t>[7]</w:t>
      </w:r>
      <w:r>
        <w:rPr>
          <w:rFonts w:ascii="Book Antiqua" w:hAnsi="Book Antiqua" w:eastAsia="Book Antiqua" w:cs="Book Antiqua"/>
          <w:color w:val="000000"/>
        </w:rPr>
        <w:t>. Hyperbaric oxygen therapy utilizes high-pressure oxygen to create a therapeutic effect for ischemia reperfusion injury in cells. Through hyperbaric oxygen therapy, the oxygen content and diffusing capacity of brain tissue are increased</w:t>
      </w:r>
      <w:r>
        <w:rPr>
          <w:rFonts w:ascii="Book Antiqua" w:hAnsi="Book Antiqua" w:eastAsia="Book Antiqua" w:cs="Book Antiqua"/>
          <w:color w:val="000000"/>
          <w:vertAlign w:val="superscript"/>
        </w:rPr>
        <w:t>[8]</w:t>
      </w:r>
      <w:r>
        <w:rPr>
          <w:rFonts w:ascii="Book Antiqua" w:hAnsi="Book Antiqua" w:eastAsia="Book Antiqua" w:cs="Book Antiqua"/>
          <w:color w:val="000000"/>
        </w:rPr>
        <w:t>. Consequently, for the management of heatstroke patients, we propose a method that includes inducing TTM (34</w:t>
      </w:r>
      <w:r>
        <w:rPr>
          <w:rFonts w:hint="eastAsia" w:ascii="宋体" w:hAnsi="宋体" w:eastAsia="宋体" w:cs="宋体"/>
          <w:color w:val="000000"/>
          <w:shd w:val="clear" w:color="auto" w:fill="FFFFFF"/>
        </w:rPr>
        <w:t>℃</w:t>
      </w:r>
      <w:r>
        <w:rPr>
          <w:rFonts w:ascii="Book Antiqua" w:hAnsi="Book Antiqua" w:eastAsia="Book Antiqua" w:cs="Book Antiqua"/>
          <w:color w:val="000000"/>
        </w:rPr>
        <w:t>) for 24 h, hemodialysis in combination with hemoperfusion, and hyperbaric oxygen therapy to prevent neurological sequelae and alleviate multiorgan failure caused by heatstroke. It is possible that patients who suffer from heatstroke would have a better prognosis by implementing this approach.</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 xml:space="preserve">Unconsciousness, accompanied by high fever and convulsions for more than 5 h.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denied a history of present illness.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 xml:space="preserve">The patient denied a history of medical illness.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had no relevant personal or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Upon arrival of the emergency physician, the patient suffered from convulsions and dyspnea; at that time, the axillary temperature was measured at 42</w:t>
      </w:r>
      <w:r>
        <w:rPr>
          <w:rFonts w:hint="eastAsia" w:ascii="宋体" w:hAnsi="宋体" w:eastAsia="宋体" w:cs="宋体"/>
          <w:color w:val="000000"/>
        </w:rPr>
        <w:t>℃</w:t>
      </w:r>
      <w:r>
        <w:rPr>
          <w:rFonts w:ascii="Book Antiqua" w:hAnsi="Book Antiqua" w:eastAsia="Book Antiqua" w:cs="Book Antiqua"/>
          <w:color w:val="000000"/>
        </w:rPr>
        <w:t>. She was immediately transferred to our emergency department (ED) by an ambulance. Physical examination revealed a deep coma with a Glasgow Coma Scale of 3, blood pressure of 91/55 mmHg, heart rate of 120 beats/min, respiratory rate of 28 breaths per minute, and her rectal core temperature was as high as 41</w:t>
      </w:r>
      <w:r>
        <w:rPr>
          <w:rFonts w:hint="eastAsia" w:ascii="宋体" w:hAnsi="宋体" w:eastAsia="宋体" w:cs="宋体"/>
          <w:color w:val="000000"/>
        </w:rPr>
        <w:t>℃</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The initial laboratory test findings are shown in Table </w:t>
      </w:r>
      <w:r>
        <w:rPr>
          <w:rFonts w:ascii="Book Antiqua" w:hAnsi="Book Antiqua" w:eastAsia="Book Antiqua" w:cs="Book Antiqua"/>
          <w:color w:val="000000" w:themeColor="text1"/>
        </w:rPr>
        <w:t>1</w:t>
      </w:r>
      <w:r>
        <w:rPr>
          <w:rFonts w:ascii="Book Antiqua" w:hAnsi="Book Antiqua" w:eastAsia="宋体" w:cs="Book Antiqua"/>
          <w:color w:val="000000" w:themeColor="text1"/>
          <w:lang w:eastAsia="zh-CN"/>
        </w:rPr>
        <w:t xml:space="preserve"> and Figure 1</w:t>
      </w:r>
      <w:r>
        <w:rPr>
          <w:rFonts w:ascii="Book Antiqua" w:hAnsi="Book Antiqua" w:eastAsia="Book Antiqua" w:cs="Book Antiqua"/>
          <w:color w:val="000000" w:themeColor="text1"/>
        </w:rPr>
        <w:t xml:space="preserve">. </w:t>
      </w:r>
      <w:r>
        <w:rPr>
          <w:rFonts w:ascii="Book Antiqua" w:hAnsi="Book Antiqua" w:eastAsia="Book Antiqua" w:cs="Book Antiqua"/>
          <w:color w:val="000000"/>
        </w:rPr>
        <w:t>Abnormal findings included elevated white blood cell count 22.82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serum creatine kinase (CK) 4379 IU/L, as well as elevated creatine-kinase-MB (CK-MB), procalcitonin (PCT), blood urea nitrogen (BUN), and positive troponin-T. Her initial Sequential Organ Failure Assessment score at hospitalization was 14 and decreased to 2 on hospital Day 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Head computed tomography (CT) and magnetic resonance imaging (MRI) scans did not reveal any abnormal findings (Figure 2A and B).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MULTIDISCIPLINARY EXPERT CONSULTATION</w:t>
      </w:r>
    </w:p>
    <w:p>
      <w:pPr>
        <w:spacing w:line="360" w:lineRule="auto"/>
        <w:jc w:val="both"/>
        <w:rPr>
          <w:rFonts w:ascii="Book Antiqua" w:hAnsi="Book Antiqua"/>
        </w:rPr>
      </w:pPr>
      <w:r>
        <w:rPr>
          <w:rFonts w:ascii="Book Antiqua" w:hAnsi="Book Antiqua" w:eastAsia="Book Antiqua" w:cs="Book Antiqua"/>
          <w:color w:val="000000"/>
        </w:rPr>
        <w:t>The patient did not undergo a multidisciplinary consultation.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Heat stroke, multiorgan failure.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She was immediately transferred to our ED by an ambulance. Endotracheal intubation and ventilator-assisted breathing were immediately performed. To decrease body temperature, intravenous cold saline was administered, as well as external cooling by ice packs and water spray. After fluid and norepinephrine administration, her cardiovascular status stabilized.</w:t>
      </w:r>
    </w:p>
    <w:p>
      <w:pPr>
        <w:spacing w:line="360" w:lineRule="auto"/>
        <w:ind w:firstLine="480"/>
        <w:jc w:val="both"/>
        <w:rPr>
          <w:rFonts w:ascii="Book Antiqua" w:hAnsi="Book Antiqua"/>
        </w:rPr>
      </w:pPr>
      <w:r>
        <w:rPr>
          <w:rFonts w:ascii="Book Antiqua" w:hAnsi="Book Antiqua" w:eastAsia="Book Antiqua" w:cs="Book Antiqua"/>
          <w:color w:val="000000"/>
        </w:rPr>
        <w:t>Based on these findings, the patient was admitted to the Emergency Intensive Care Unit (EICU). Initial treatment in the EICU included intravenous fluid, cooling and antibiotic administration. Consciousness disturbance and a Glasgow Coma Scale level of 3 were reported upon clinical evaluation. Her rectal core temperature was 37.8</w:t>
      </w:r>
      <w:r>
        <w:rPr>
          <w:rFonts w:hint="eastAsia" w:ascii="宋体" w:hAnsi="宋体" w:eastAsia="宋体" w:cs="宋体"/>
          <w:color w:val="000000"/>
        </w:rPr>
        <w:t>℃</w:t>
      </w:r>
      <w:r>
        <w:rPr>
          <w:rFonts w:ascii="Book Antiqua" w:hAnsi="Book Antiqua" w:eastAsia="Book Antiqua" w:cs="Book Antiqua"/>
          <w:color w:val="000000"/>
        </w:rPr>
        <w:t xml:space="preserve">. The laboratory test findings, shown in Table 1, </w:t>
      </w:r>
      <w:r>
        <w:rPr>
          <w:rStyle w:val="11"/>
          <w:rFonts w:ascii="Book Antiqua" w:hAnsi="Book Antiqua" w:eastAsia="Book Antiqua" w:cs="Book Antiqua"/>
          <w:color w:val="000000"/>
        </w:rPr>
        <w:t xml:space="preserve">suggested </w:t>
      </w:r>
      <w:r>
        <w:rPr>
          <w:rFonts w:ascii="Book Antiqua" w:hAnsi="Book Antiqua" w:eastAsia="Book Antiqua" w:cs="Book Antiqua"/>
          <w:color w:val="000000"/>
        </w:rPr>
        <w:t>acute hepatic injury, myocardial injury, and rhabdomyolysis, and the patient met the criteria for multiple organ dysfunction syndrome</w:t>
      </w:r>
      <w:r>
        <w:rPr>
          <w:rFonts w:ascii="Book Antiqua" w:hAnsi="Book Antiqua" w:eastAsia="Book Antiqua" w:cs="Book Antiqua"/>
          <w:color w:val="000000"/>
          <w:vertAlign w:val="superscript"/>
        </w:rPr>
        <w:t>[9,10]</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On the first day in the EICU, immediate treatment included intravenous fluid administration, cooling, combination therapy with hemodialysis and hemoperfusion, broad-spectrum antibiotics, tracheal intubation and mechanical ventilation. The TTM protocol for the initial 24 h included monitoring of continuous core temperature with a rectal probe, and cooling measures continued until the target temperature of 34</w:t>
      </w:r>
      <w:r>
        <w:rPr>
          <w:rFonts w:hint="eastAsia" w:ascii="宋体" w:hAnsi="宋体" w:eastAsia="宋体" w:cs="宋体"/>
          <w:color w:val="000000"/>
        </w:rPr>
        <w:t>℃</w:t>
      </w:r>
      <w:r>
        <w:rPr>
          <w:rFonts w:ascii="Book Antiqua" w:hAnsi="Book Antiqua" w:eastAsia="Book Antiqua" w:cs="Book Antiqua"/>
          <w:color w:val="000000"/>
        </w:rPr>
        <w:t xml:space="preserve"> was reached. Therapeutic cooling methods included the use of cooling blankets, cooling caps, ice packs, and bladder irrigation with ice-cold saline. In addition, the patient underwent continuous renal replacement therapy because she showed rhabdomyolysis (hypercreatine kinase emia 18168 IU/L). Simultaneously, continuous renal replacement therapy can effectively lower body temperature. We combined therapy with hemodialysis and hemoperfusion; this involved connecting a perfusion device in series before the dialyzer.</w:t>
      </w:r>
    </w:p>
    <w:p>
      <w:pPr>
        <w:spacing w:line="360" w:lineRule="auto"/>
        <w:ind w:firstLine="480"/>
        <w:jc w:val="both"/>
        <w:rPr>
          <w:rFonts w:ascii="Book Antiqua" w:hAnsi="Book Antiqua"/>
        </w:rPr>
      </w:pPr>
      <w:r>
        <w:rPr>
          <w:rFonts w:ascii="Book Antiqua" w:hAnsi="Book Antiqua" w:eastAsia="Book Antiqua" w:cs="Book Antiqua"/>
          <w:color w:val="000000"/>
        </w:rPr>
        <w:t>On hospital Day 2, the patient was no longer receiving sedation with midazolam. Despite discontinuation, she remained unconscious for the subsequent 24 h, and re-examination of the head MRI and magnetic resonance angiography showed no obvious lesions (Figure 2C and D). At that point, enteral nutrition was administered with nasal feeding of 300 mL short-peptide enteral nutrition and alanyl glutamine and probiotics were added to promote the recovery of gastrointestinal function.</w:t>
      </w:r>
    </w:p>
    <w:p>
      <w:pPr>
        <w:spacing w:line="360" w:lineRule="auto"/>
        <w:ind w:firstLine="480"/>
        <w:jc w:val="both"/>
        <w:rPr>
          <w:rFonts w:ascii="Book Antiqua" w:hAnsi="Book Antiqua"/>
        </w:rPr>
      </w:pPr>
      <w:r>
        <w:rPr>
          <w:rFonts w:ascii="Book Antiqua" w:hAnsi="Book Antiqua" w:eastAsia="Book Antiqua" w:cs="Book Antiqua"/>
          <w:color w:val="000000"/>
        </w:rPr>
        <w:t>On hospital Day 3, the patient’s consciousness improved; however, she showed poor responses to verbal stimuli. Re-examination of the head CT showed no cerebral hemorrhage or brain swelling, and the condition of the lungs was acceptable. The patient was extubated and administered high-flow oxygen. She was lying awake but unresponsive, except for head movements and eye blinking. Cranial nerve examination was normal, with normal limb muscle strength and muscle tone but a positive Babinski sign bilaterally. Sensation was unimpaired. Cerebellar examination was grossly abnormal, with severe dysarthria and ataxic gait, requiring two people to assist wirh ambulation. Next, she was scheduled to undergo hyperbaric oxygen therapy once a day.</w:t>
      </w:r>
    </w:p>
    <w:p>
      <w:pPr>
        <w:spacing w:line="360" w:lineRule="auto"/>
        <w:ind w:firstLine="480"/>
        <w:jc w:val="both"/>
        <w:rPr>
          <w:rFonts w:ascii="Book Antiqua" w:hAnsi="Book Antiqua"/>
        </w:rPr>
      </w:pPr>
      <w:r>
        <w:rPr>
          <w:rFonts w:ascii="Book Antiqua" w:hAnsi="Book Antiqua" w:eastAsia="Book Antiqua" w:cs="Book Antiqua"/>
          <w:color w:val="000000"/>
        </w:rPr>
        <w:t>On hospital Day 8, the elderly patient complained of abdominal pain, and physical examination revealed abdominal distention, abdominal softness, abdominal tenderness, negative shifting dullness, and weak bowel sounds. Whole abdominal CT showed pneumatosis and effusion in the small intestine. She was given a 120 mL glycerin enema (bid), and mosapride (5 mg per tablet, one tablet each time, tid) was administered to promote intestinal peristalsis.</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After 15 d, the patient was discharged and was able to complete activities of daily living and walk independently. She was scheduled for outpatient follow-up at one month following the acute event. At the follow-up assessment, the patient's laboratory parameters were normalized, and the patient was clinically stable.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Heat stroke (HS) is a life-threatening condition characterized by hyperthermia and multiple organ failure. It can result from exposure to high environmental temperatures (classic HS), especially for elderly or chronically ill patients, or from strenuous physical activity (exertional HS). While the mechanisms underlying heatstroke remain largely unknown, a study has shown that high temperatures can directly cause cytotoxicity and trigger sepsis-like inflammatory cascades that lead to systemic complications and neurological sequelae in heatstroke</w:t>
      </w:r>
      <w:r>
        <w:rPr>
          <w:rFonts w:ascii="Book Antiqua" w:hAnsi="Book Antiqua" w:eastAsia="Book Antiqua" w:cs="Book Antiqua"/>
          <w:color w:val="000000"/>
          <w:vertAlign w:val="superscript"/>
        </w:rPr>
        <w:t>[11]</w:t>
      </w:r>
      <w:r>
        <w:rPr>
          <w:rFonts w:ascii="Book Antiqua" w:hAnsi="Book Antiqua" w:eastAsia="Book Antiqua" w:cs="Book Antiqua"/>
          <w:color w:val="000000"/>
        </w:rPr>
        <w:t>. Here, we report a case of an elderly patient with severe heatstroke with multiple organ dysfunction.</w:t>
      </w:r>
    </w:p>
    <w:p>
      <w:pPr>
        <w:spacing w:line="360" w:lineRule="auto"/>
        <w:ind w:firstLine="480"/>
        <w:jc w:val="both"/>
        <w:rPr>
          <w:rFonts w:ascii="Book Antiqua" w:hAnsi="Book Antiqua"/>
        </w:rPr>
      </w:pPr>
      <w:r>
        <w:rPr>
          <w:rFonts w:ascii="Book Antiqua" w:hAnsi="Book Antiqua" w:eastAsia="Book Antiqua" w:cs="Book Antiqua"/>
          <w:color w:val="000000"/>
        </w:rPr>
        <w:t>To maximize the chances of survival after heatstroke, it is critical to rapidly lower the core body temperature, support the central nervous system as well as the pulmonary, cardiovascular, and renal systems, and effectively manage late or postcooling complications</w:t>
      </w:r>
      <w:r>
        <w:rPr>
          <w:rFonts w:ascii="Book Antiqua" w:hAnsi="Book Antiqua" w:eastAsia="Book Antiqua" w:cs="Book Antiqua"/>
          <w:color w:val="000000"/>
          <w:vertAlign w:val="superscript"/>
        </w:rPr>
        <w:t>[12-14]</w:t>
      </w:r>
      <w:r>
        <w:rPr>
          <w:rFonts w:ascii="Book Antiqua" w:hAnsi="Book Antiqua" w:eastAsia="Book Antiqua" w:cs="Book Antiqua"/>
          <w:color w:val="000000"/>
        </w:rPr>
        <w:t>. Prompt cooling is the cornerstone of treatment and seems to be the most important prognostic measure</w:t>
      </w:r>
      <w:r>
        <w:rPr>
          <w:rFonts w:ascii="Book Antiqua" w:hAnsi="Book Antiqua" w:eastAsia="Book Antiqua" w:cs="Book Antiqua"/>
          <w:color w:val="000000"/>
          <w:vertAlign w:val="superscript"/>
        </w:rPr>
        <w:t>[15-17]</w:t>
      </w:r>
      <w:r>
        <w:rPr>
          <w:rFonts w:ascii="Book Antiqua" w:hAnsi="Book Antiqua" w:eastAsia="Book Antiqua" w:cs="Book Antiqua"/>
          <w:color w:val="000000"/>
        </w:rPr>
        <w:t>. The patient’s body temperature dropped to approximately 38</w:t>
      </w:r>
      <w:r>
        <w:rPr>
          <w:rFonts w:hint="eastAsia" w:ascii="宋体" w:hAnsi="宋体" w:eastAsia="宋体" w:cs="宋体"/>
          <w:color w:val="000000"/>
        </w:rPr>
        <w:t>℃</w:t>
      </w:r>
      <w:r>
        <w:rPr>
          <w:rFonts w:ascii="Book Antiqua" w:hAnsi="Book Antiqua" w:eastAsia="Book Antiqua" w:cs="Book Antiqua"/>
          <w:color w:val="000000"/>
        </w:rPr>
        <w:t xml:space="preserve"> 60 min after she was admitted to our ED. Our TTM protocol involves administering cooling measures until the target core temperature of 34</w:t>
      </w:r>
      <w:r>
        <w:rPr>
          <w:rFonts w:hint="eastAsia" w:ascii="宋体" w:hAnsi="宋体" w:eastAsia="宋体" w:cs="宋体"/>
          <w:color w:val="000000"/>
        </w:rPr>
        <w:t>℃</w:t>
      </w:r>
      <w:r>
        <w:rPr>
          <w:rFonts w:ascii="Book Antiqua" w:hAnsi="Book Antiqua" w:eastAsia="Book Antiqua" w:cs="Book Antiqua"/>
          <w:color w:val="000000"/>
        </w:rPr>
        <w:t xml:space="preserve"> is achieved for the subsequent 24 h. Upon completion of this maintenance phase, patients are rewarmed at a rate of 0.25</w:t>
      </w:r>
      <w:r>
        <w:rPr>
          <w:rFonts w:hint="eastAsia" w:ascii="宋体" w:hAnsi="宋体" w:eastAsia="宋体" w:cs="宋体"/>
          <w:color w:val="000000"/>
        </w:rPr>
        <w:t>℃</w:t>
      </w:r>
      <w:r>
        <w:rPr>
          <w:rFonts w:ascii="Book Antiqua" w:hAnsi="Book Antiqua" w:eastAsia="Book Antiqua" w:cs="Book Antiqua"/>
          <w:color w:val="000000"/>
        </w:rPr>
        <w:t>/h with adequate sedation and analgesia for seizure prevention and shivering control.</w:t>
      </w:r>
    </w:p>
    <w:p>
      <w:pPr>
        <w:spacing w:line="360" w:lineRule="auto"/>
        <w:ind w:firstLine="480"/>
        <w:jc w:val="both"/>
        <w:rPr>
          <w:rFonts w:ascii="Book Antiqua" w:hAnsi="Book Antiqua"/>
        </w:rPr>
      </w:pPr>
      <w:r>
        <w:rPr>
          <w:rFonts w:ascii="Book Antiqua" w:hAnsi="Book Antiqua" w:eastAsia="Book Antiqua" w:cs="Book Antiqua"/>
          <w:color w:val="000000"/>
        </w:rPr>
        <w:t>Other mechanisms of heat stroke include heat stress, endotoxemia caused by heat exposure, systemic inflammatory response syndrome, and immune dysfunction. This pathological process is defined as the heat stroke “sepsis-like response”. In this case study, abnormal findings included an elevated white blood cell count of 22.82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a CK level of 4379 IU/L, elevated CK-MB, BUN, PCT, and positive troponin-T. Laboratory investigations showed persistent metabolic acidosis with an increase in CK levels (18168 IU/L). Thus, we administered a combination therapy of hemodialysis and hemoperfusion with a perfusion device connected in series before the dialyzer. Hemodialysis removes small molecular toxins, and the perfusion device removes medium and large molecular toxins, simulating the working principle of the kidney. This approach to therapy can effectively lower body temperature, inhibit the inflammatory cascade reaction, and reduce the concentration of toxic metabolites in serum. On the seventh day following hospital admission, as the patient’s general condition improved, the levels of creatine kinase, aspartate aminotransferase, alanine aminotransferase, lactate dehydrogenase, and white blood cells decreased rapidly.</w:t>
      </w:r>
    </w:p>
    <w:p>
      <w:pPr>
        <w:spacing w:line="360" w:lineRule="auto"/>
        <w:ind w:firstLine="480"/>
        <w:jc w:val="both"/>
        <w:rPr>
          <w:rFonts w:ascii="Book Antiqua" w:hAnsi="Book Antiqua"/>
        </w:rPr>
      </w:pPr>
      <w:r>
        <w:rPr>
          <w:rFonts w:ascii="Book Antiqua" w:hAnsi="Book Antiqua" w:eastAsia="Book Antiqua" w:cs="Book Antiqua"/>
          <w:color w:val="000000"/>
        </w:rPr>
        <w:t>Heat adversely affects almost all organ systems; the central nervous system is particularly vulnerable, and the cerebellum is most susceptible, followed by the cerebral cortex, spinal cord and brainstem</w:t>
      </w:r>
      <w:r>
        <w:rPr>
          <w:rFonts w:ascii="Book Antiqua" w:hAnsi="Book Antiqua" w:eastAsia="Book Antiqua" w:cs="Book Antiqua"/>
          <w:color w:val="000000"/>
          <w:vertAlign w:val="superscript"/>
        </w:rPr>
        <w:t>[18]</w:t>
      </w:r>
      <w:r>
        <w:rPr>
          <w:rFonts w:ascii="Book Antiqua" w:hAnsi="Book Antiqua" w:eastAsia="Book Antiqua" w:cs="Book Antiqua"/>
          <w:color w:val="000000"/>
        </w:rPr>
        <w:t>. It was reported that patients with marked cerebellar dysfunction may be radiologically normal with cerebellar atrophy appearing months or years later on CT or MRI scans</w:t>
      </w:r>
      <w:r>
        <w:rPr>
          <w:rFonts w:ascii="Book Antiqua" w:hAnsi="Book Antiqua" w:eastAsia="Book Antiqua" w:cs="Book Antiqua"/>
          <w:color w:val="000000"/>
          <w:vertAlign w:val="superscript"/>
        </w:rPr>
        <w:t>[19]</w:t>
      </w:r>
      <w:r>
        <w:rPr>
          <w:rFonts w:ascii="Book Antiqua" w:hAnsi="Book Antiqua" w:eastAsia="Book Antiqua" w:cs="Book Antiqua"/>
          <w:color w:val="000000"/>
        </w:rPr>
        <w:t>. In the current case, the duration of exposure to hyperthermia in a 67-year-old woman was not well established, but was characterized by gross cerebellar dysfunction with no acute radiographic changes. After early-stage targeted temperature management and a period of hyperbaric oxygen and nutritional nerve therapy, the patient had normal clinical and laboratory results and was clinically stable at discharge on Day 15, and throughout the remainder of the month following the acute event; this outcome is suggestive of nonprogressive cerebellar damage.</w:t>
      </w:r>
    </w:p>
    <w:p>
      <w:pPr>
        <w:spacing w:line="360" w:lineRule="auto"/>
        <w:ind w:firstLine="480"/>
        <w:jc w:val="both"/>
        <w:rPr>
          <w:rFonts w:ascii="Book Antiqua" w:hAnsi="Book Antiqua"/>
        </w:rPr>
      </w:pPr>
      <w:r>
        <w:rPr>
          <w:rFonts w:ascii="Book Antiqua" w:hAnsi="Book Antiqua" w:eastAsia="Book Antiqua" w:cs="Book Antiqua"/>
          <w:color w:val="000000"/>
        </w:rPr>
        <w:t>Myocardial damage caused by heatstroke has been well documented in the literature</w:t>
      </w:r>
      <w:r>
        <w:rPr>
          <w:rFonts w:ascii="Book Antiqua" w:hAnsi="Book Antiqua" w:eastAsia="Book Antiqua" w:cs="Book Antiqua"/>
          <w:color w:val="000000"/>
          <w:vertAlign w:val="superscript"/>
        </w:rPr>
        <w:t>[3]</w:t>
      </w:r>
      <w:r>
        <w:rPr>
          <w:rFonts w:ascii="Book Antiqua" w:hAnsi="Book Antiqua" w:eastAsia="Book Antiqua" w:cs="Book Antiqua"/>
          <w:color w:val="000000"/>
        </w:rPr>
        <w:t>. In our case, laboratory data showed elevated serum CK, CK-MB, and positive troponin-T (Table 1). Electrocardiogram (ECG) results revealed tachycardia (sinus rhythm). ECG did not reveal significant subthemes (ST) -T wave changes, and the echocardiogram showed normal left ventricular function without obvious structural heart disease. After treatment, CK, CK-MB, and troponin-T levels gradually declined. It was reported that ST elevation and positive troponin-T in heatstroke patients may not necessarily be the result of atherosclerotic heart disease</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However, since most heatstroke patients do not undergo coronary angiography, it is possible that some such patients complicated with atherosclerotic heart disease are not assessed.  </w:t>
      </w:r>
    </w:p>
    <w:p>
      <w:pPr>
        <w:spacing w:line="360" w:lineRule="auto"/>
        <w:ind w:firstLine="480"/>
        <w:jc w:val="both"/>
        <w:rPr>
          <w:rFonts w:ascii="Book Antiqua" w:hAnsi="Book Antiqua"/>
        </w:rPr>
      </w:pPr>
      <w:r>
        <w:rPr>
          <w:rFonts w:ascii="Book Antiqua" w:hAnsi="Book Antiqua" w:eastAsia="Book Antiqua" w:cs="Book Antiqua"/>
          <w:color w:val="000000"/>
        </w:rPr>
        <w:t>Mild to moderate liver injury is relatively familiar and reversible in heat stroke, and liver function usually returns to normal in 2-16 d, but serious acute lung injury and acute liver failure are rare</w:t>
      </w:r>
      <w:r>
        <w:rPr>
          <w:rFonts w:ascii="Book Antiqua" w:hAnsi="Book Antiqua" w:eastAsia="Book Antiqua" w:cs="Book Antiqua"/>
          <w:color w:val="000000"/>
          <w:vertAlign w:val="superscript"/>
        </w:rPr>
        <w:t>[21]</w:t>
      </w:r>
      <w:r>
        <w:rPr>
          <w:rFonts w:ascii="Book Antiqua" w:hAnsi="Book Antiqua" w:eastAsia="Book Antiqua" w:cs="Book Antiqua"/>
          <w:color w:val="000000"/>
        </w:rPr>
        <w:t>. Hepatocellular injury may be delayed, as observed in some patients who presented with nonsuspicious liver function tests on admission</w:t>
      </w:r>
      <w:r>
        <w:rPr>
          <w:rFonts w:ascii="Book Antiqua" w:hAnsi="Book Antiqua" w:eastAsia="Book Antiqua" w:cs="Book Antiqua"/>
          <w:color w:val="000000"/>
          <w:vertAlign w:val="superscript"/>
        </w:rPr>
        <w:t>[22]</w:t>
      </w:r>
      <w:r>
        <w:rPr>
          <w:rFonts w:ascii="Book Antiqua" w:hAnsi="Book Antiqua" w:eastAsia="Book Antiqua" w:cs="Book Antiqua"/>
          <w:color w:val="000000"/>
        </w:rPr>
        <w:t>, similar to our case. During heatstroke, when blood is transferred vigorously from core to peripheral circulation, reduction of splanchnic blood flow causes hypoxic/ischemic injuries in the hepatocellular and gastrointestinal system</w:t>
      </w:r>
      <w:r>
        <w:rPr>
          <w:rFonts w:ascii="Book Antiqua" w:hAnsi="Book Antiqua" w:eastAsia="Book Antiqua" w:cs="Book Antiqua"/>
          <w:color w:val="000000"/>
          <w:vertAlign w:val="superscript"/>
        </w:rPr>
        <w:t>[23]</w:t>
      </w:r>
      <w:r>
        <w:rPr>
          <w:rFonts w:ascii="Book Antiqua" w:hAnsi="Book Antiqua" w:eastAsia="Book Antiqua" w:cs="Book Antiqua"/>
          <w:color w:val="000000"/>
        </w:rPr>
        <w:t>. On hospital Day 8, our patient complained of abdominal pain and abdominal distension, and whole abdominal CT results showed pneumatosis and effusion in the small intestine. Considering the possibility of gastrointestinal function impairment, poor peristalsis, and intestinal obstruction caused by indigestion, the patient was given a 120-mL glycerin enema, and mosapride was administered to promote intestinal peristalsis.</w:t>
      </w:r>
    </w:p>
    <w:p>
      <w:pPr>
        <w:spacing w:line="360" w:lineRule="auto"/>
        <w:ind w:firstLine="480"/>
        <w:jc w:val="both"/>
        <w:rPr>
          <w:rFonts w:ascii="Book Antiqua" w:hAnsi="Book Antiqua"/>
        </w:rPr>
      </w:pPr>
      <w:r>
        <w:rPr>
          <w:rFonts w:ascii="Book Antiqua" w:hAnsi="Book Antiqua" w:eastAsia="Book Antiqua" w:cs="Book Antiqua"/>
          <w:color w:val="000000"/>
          <w:shd w:val="clear" w:color="auto" w:fill="FFFFFF"/>
        </w:rPr>
        <w:t>Similar cases have been reported in the literature. Sagisaka</w:t>
      </w:r>
      <w:r>
        <w:rPr>
          <w:rFonts w:ascii="Book Antiqua" w:hAnsi="Book Antiqua" w:eastAsia="Book Antiqua" w:cs="Book Antiqua"/>
          <w:i/>
          <w:iCs/>
          <w:color w:val="000000"/>
          <w:shd w:val="clear" w:color="auto" w:fill="FFFFFF"/>
        </w:rPr>
        <w:t xml:space="preserve"> et al</w:t>
      </w:r>
      <w:r>
        <w:rPr>
          <w:rFonts w:ascii="Book Antiqua" w:hAnsi="Book Antiqua" w:eastAsia="Book Antiqua" w:cs="Book Antiqua"/>
          <w:color w:val="000000"/>
          <w:vertAlign w:val="superscript"/>
        </w:rPr>
        <w:t>[24]</w:t>
      </w:r>
      <w:r>
        <w:rPr>
          <w:rFonts w:ascii="Book Antiqua" w:hAnsi="Book Antiqua" w:eastAsia="Book Antiqua" w:cs="Book Antiqua"/>
          <w:color w:val="000000"/>
          <w:shd w:val="clear" w:color="auto" w:fill="FFFFFF"/>
        </w:rPr>
        <w:t xml:space="preserve"> demonstrated that the prognosis of patients with heatstroke may be unrelated to poor EEG findings, laboratory data, unknown causes of sympathetic hyperactivity, or poor state of consciousness. </w:t>
      </w:r>
      <w:r>
        <w:rPr>
          <w:rFonts w:ascii="Book Antiqua" w:hAnsi="Book Antiqua" w:eastAsia="Book Antiqua" w:cs="Book Antiqua"/>
          <w:color w:val="000000"/>
        </w:rPr>
        <w:t>Prompt cooling is the cornerstone of treatment and seems to be the most important prognostic measure</w:t>
      </w:r>
      <w:r>
        <w:rPr>
          <w:rFonts w:ascii="Book Antiqua" w:hAnsi="Book Antiqua" w:eastAsia="Book Antiqua" w:cs="Book Antiqua"/>
          <w:color w:val="000000"/>
          <w:vertAlign w:val="superscript"/>
        </w:rPr>
        <w:t>[16]</w:t>
      </w:r>
      <w:r>
        <w:rPr>
          <w:rFonts w:ascii="Book Antiqua" w:hAnsi="Book Antiqua" w:eastAsia="Book Antiqua" w:cs="Book Antiqua"/>
          <w:color w:val="000000"/>
          <w:vertAlign w:val="subscript"/>
        </w:rPr>
        <w:t xml:space="preserve">, </w:t>
      </w:r>
      <w:r>
        <w:rPr>
          <w:rFonts w:ascii="Book Antiqua" w:hAnsi="Book Antiqua" w:eastAsia="Book Antiqua" w:cs="Book Antiqua"/>
          <w:color w:val="000000"/>
          <w:shd w:val="clear" w:color="auto" w:fill="FFFFFF"/>
        </w:rPr>
        <w:t>as it has been shown that the major determinant of outcome in heatstroke is the degree and duration of hyperthermia</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r>
        <w:rPr>
          <w:rFonts w:ascii="Book Antiqua" w:hAnsi="Book Antiqua" w:eastAsia="Book Antiqua" w:cs="Book Antiqua"/>
          <w:color w:val="000000"/>
          <w:shd w:val="clear" w:color="auto" w:fill="FFFFFF"/>
        </w:rPr>
        <w:t xml:space="preserve"> Sagisaka</w:t>
      </w:r>
      <w:r>
        <w:rPr>
          <w:rFonts w:ascii="Book Antiqua" w:hAnsi="Book Antiqua" w:eastAsia="Book Antiqua" w:cs="Book Antiqua"/>
          <w:i/>
          <w:iCs/>
          <w:color w:val="000000"/>
          <w:shd w:val="clear" w:color="auto" w:fill="FFFFFF"/>
        </w:rPr>
        <w:t xml:space="preserve"> et al</w:t>
      </w:r>
      <w:r>
        <w:rPr>
          <w:rFonts w:ascii="Book Antiqua" w:hAnsi="Book Antiqua" w:eastAsia="Book Antiqua" w:cs="Book Antiqua"/>
          <w:color w:val="000000"/>
          <w:vertAlign w:val="superscript"/>
        </w:rPr>
        <w:t>[24]</w:t>
      </w:r>
      <w:r>
        <w:rPr>
          <w:rFonts w:ascii="Book Antiqua" w:hAnsi="Book Antiqua" w:eastAsia="Book Antiqua" w:cs="Book Antiqua"/>
          <w:color w:val="000000"/>
          <w:shd w:val="clear" w:color="auto" w:fill="FFFFFF"/>
        </w:rPr>
        <w:t xml:space="preserve"> initiated immediate cooling and intensive care after detailed examination. </w:t>
      </w:r>
      <w:r>
        <w:rPr>
          <w:rFonts w:ascii="Book Antiqua" w:hAnsi="Book Antiqua" w:eastAsia="Book Antiqua" w:cs="Book Antiqua"/>
          <w:color w:val="000000"/>
        </w:rPr>
        <w:t>In the present cas</w:t>
      </w:r>
      <w:r>
        <w:rPr>
          <w:rFonts w:ascii="Book Antiqua" w:hAnsi="Book Antiqua" w:eastAsia="Book Antiqua" w:cs="Book Antiqua"/>
          <w:color w:val="000000"/>
          <w:shd w:val="clear" w:color="auto" w:fill="FFFFFF"/>
        </w:rPr>
        <w:t>e, although the d</w:t>
      </w:r>
      <w:r>
        <w:rPr>
          <w:rFonts w:ascii="Book Antiqua" w:hAnsi="Book Antiqua" w:eastAsia="Book Antiqua" w:cs="Book Antiqua"/>
          <w:color w:val="000000"/>
        </w:rPr>
        <w:t xml:space="preserve">uration of exposure to hyperthermia in the elderly woman was </w:t>
      </w:r>
      <w:r>
        <w:rPr>
          <w:rFonts w:ascii="Book Antiqua" w:hAnsi="Book Antiqua" w:eastAsia="Book Antiqua" w:cs="Book Antiqua"/>
          <w:color w:val="000000"/>
          <w:shd w:val="clear" w:color="auto" w:fill="FFFFFF"/>
        </w:rPr>
        <w:t>not established, she underwent rapid cooling. In the EICU, her rectal core temperature was 37.8</w:t>
      </w:r>
      <w:r>
        <w:rPr>
          <w:rFonts w:hint="eastAsia" w:ascii="宋体" w:hAnsi="宋体" w:eastAsia="宋体" w:cs="宋体"/>
          <w:color w:val="000000"/>
          <w:shd w:val="clear" w:color="auto" w:fill="FFFFFF"/>
        </w:rPr>
        <w:t>℃</w:t>
      </w:r>
      <w:r>
        <w:rPr>
          <w:rFonts w:ascii="Book Antiqua" w:hAnsi="Book Antiqua" w:eastAsia="Book Antiqua" w:cs="Book Antiqua"/>
          <w:color w:val="000000"/>
          <w:shd w:val="clear" w:color="auto" w:fill="FFFFFF"/>
        </w:rPr>
        <w:t xml:space="preserve">. Therefore, the patient recovered under our </w:t>
      </w:r>
      <w:r>
        <w:rPr>
          <w:rFonts w:ascii="Book Antiqua" w:hAnsi="Book Antiqua" w:eastAsia="Book Antiqua" w:cs="Book Antiqua"/>
          <w:color w:val="000000"/>
        </w:rPr>
        <w:t xml:space="preserve">comprehensive </w:t>
      </w:r>
      <w:r>
        <w:rPr>
          <w:rFonts w:ascii="Book Antiqua" w:hAnsi="Book Antiqua" w:eastAsia="Book Antiqua" w:cs="Book Antiqua"/>
          <w:color w:val="000000"/>
          <w:shd w:val="clear" w:color="auto" w:fill="FFFFFF"/>
        </w:rPr>
        <w:t>management.</w:t>
      </w:r>
    </w:p>
    <w:p>
      <w:pPr>
        <w:spacing w:line="360" w:lineRule="auto"/>
        <w:ind w:firstLine="480"/>
        <w:jc w:val="both"/>
        <w:rPr>
          <w:rFonts w:ascii="Book Antiqua" w:hAnsi="Book Antiqua"/>
        </w:rPr>
      </w:pPr>
      <w:r>
        <w:rPr>
          <w:rFonts w:ascii="Book Antiqua" w:hAnsi="Book Antiqua" w:eastAsia="Book Antiqua" w:cs="Book Antiqua"/>
          <w:color w:val="000000"/>
          <w:shd w:val="clear" w:color="auto" w:fill="FFFFFF"/>
        </w:rPr>
        <w:t>We recognize the limitations of our study. The primary limitation was whether our TTM process could be improved (maintenance phase longer than 24 h and goal temperature lower than 34</w:t>
      </w:r>
      <w:r>
        <w:rPr>
          <w:rFonts w:hint="eastAsia" w:ascii="宋体" w:hAnsi="宋体" w:eastAsia="宋体" w:cs="宋体"/>
          <w:color w:val="000000"/>
          <w:shd w:val="clear" w:color="auto" w:fill="FFFFFF"/>
        </w:rPr>
        <w:t>℃</w:t>
      </w:r>
      <w:r>
        <w:rPr>
          <w:rFonts w:ascii="Book Antiqua" w:hAnsi="Book Antiqua" w:eastAsia="Book Antiqua" w:cs="Book Antiqua"/>
          <w:color w:val="000000"/>
        </w:rPr>
        <w:t>). Th</w:t>
      </w:r>
      <w:r>
        <w:rPr>
          <w:rFonts w:ascii="Book Antiqua" w:hAnsi="Book Antiqua" w:eastAsia="Book Antiqua" w:cs="Book Antiqua"/>
          <w:color w:val="000000"/>
          <w:shd w:val="clear" w:color="auto" w:fill="FFFFFF"/>
        </w:rPr>
        <w:t xml:space="preserve">is requires more clinical research. </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In conclusion, we report our first experience of full recovery of a nonexertional heatstroke case with gross cerebellar dysfunction complicated </w:t>
      </w:r>
      <w:r>
        <w:rPr>
          <w:rFonts w:ascii="Book Antiqua" w:hAnsi="Book Antiqua" w:eastAsia="Book Antiqua" w:cs="Book Antiqua"/>
          <w:color w:val="000000"/>
          <w:shd w:val="clear" w:color="auto" w:fill="FFFFFF"/>
        </w:rPr>
        <w:t xml:space="preserve">by </w:t>
      </w:r>
      <w:r>
        <w:rPr>
          <w:rFonts w:ascii="Book Antiqua" w:hAnsi="Book Antiqua" w:eastAsia="Book Antiqua" w:cs="Book Antiqua"/>
          <w:color w:val="000000"/>
        </w:rPr>
        <w:t>multiple organ dysfunction. For the management of heatstroke patients, we propose the adoption of our novel method of inducing TTM (34</w:t>
      </w:r>
      <w:r>
        <w:rPr>
          <w:rFonts w:hint="eastAsia" w:ascii="宋体" w:hAnsi="宋体" w:eastAsia="宋体" w:cs="宋体"/>
          <w:color w:val="000000"/>
        </w:rPr>
        <w:t>℃</w:t>
      </w:r>
      <w:r>
        <w:rPr>
          <w:rFonts w:ascii="Book Antiqua" w:hAnsi="Book Antiqua" w:eastAsia="Book Antiqua" w:cs="Book Antiqua"/>
          <w:color w:val="000000"/>
        </w:rPr>
        <w:t>) for 24 h, in combination with hemodialysis and hemoperfusion, and hyperbaric oxygen therapy to prevent neurological sequelae and alleviate multiorgan failure caused by heatstroke. Further clinical research is needed to reduce complications and mortality caused by heatstroke.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We would like to thank our colleagues in Emergency and Critical Care Center for collecting the case data and 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Lian P</w:t>
      </w:r>
      <w:r>
        <w:rPr>
          <w:rFonts w:ascii="Book Antiqua" w:hAnsi="Book Antiqua"/>
        </w:rPr>
        <w:t xml:space="preserve">, Braber S, Garssen J, Wichers HJ, Folkerts G, Fink-Gremmels J, Varasteh S. Beyond Heat Stress: Intestinal Integrity Disruption and Mechanism-Based Intervention Strategies. </w:t>
      </w:r>
      <w:r>
        <w:rPr>
          <w:rFonts w:ascii="Book Antiqua" w:hAnsi="Book Antiqua"/>
          <w:i/>
          <w:iCs/>
        </w:rPr>
        <w:t>Nutrients</w:t>
      </w:r>
      <w:r>
        <w:rPr>
          <w:rFonts w:ascii="Book Antiqua" w:hAnsi="Book Antiqua"/>
        </w:rPr>
        <w:t xml:space="preserve"> 2020; </w:t>
      </w:r>
      <w:r>
        <w:rPr>
          <w:rFonts w:ascii="Book Antiqua" w:hAnsi="Book Antiqua"/>
          <w:b/>
          <w:bCs/>
        </w:rPr>
        <w:t>12</w:t>
      </w:r>
      <w:r>
        <w:rPr>
          <w:rFonts w:ascii="Book Antiqua" w:hAnsi="Book Antiqua"/>
        </w:rPr>
        <w:t xml:space="preserve"> [PMID: 32168808 DOI: 10.3390/nu12030734]</w:t>
      </w:r>
    </w:p>
    <w:p>
      <w:pPr>
        <w:spacing w:line="360" w:lineRule="auto"/>
        <w:jc w:val="both"/>
        <w:rPr>
          <w:rFonts w:ascii="Book Antiqua" w:hAnsi="Book Antiqua"/>
        </w:rPr>
      </w:pPr>
      <w:r>
        <w:rPr>
          <w:rFonts w:ascii="Book Antiqua" w:hAnsi="Book Antiqua"/>
        </w:rPr>
        <w:t xml:space="preserve">2 </w:t>
      </w:r>
      <w:r>
        <w:rPr>
          <w:rFonts w:ascii="Book Antiqua" w:hAnsi="Book Antiqua"/>
          <w:b/>
          <w:bCs/>
        </w:rPr>
        <w:t>People’s Liberation Army Professional Committee of Critical Care Medicine</w:t>
      </w:r>
      <w:r>
        <w:rPr>
          <w:rFonts w:ascii="Book Antiqua" w:hAnsi="Book Antiqua"/>
        </w:rPr>
        <w:t xml:space="preserve">. Expert consensus on standardized diagnosis and treatment for heat stroke. </w:t>
      </w:r>
      <w:r>
        <w:rPr>
          <w:rFonts w:ascii="Book Antiqua" w:hAnsi="Book Antiqua"/>
          <w:i/>
          <w:iCs/>
        </w:rPr>
        <w:t>Mil Med Res</w:t>
      </w:r>
      <w:r>
        <w:rPr>
          <w:rFonts w:ascii="Book Antiqua" w:hAnsi="Book Antiqua"/>
        </w:rPr>
        <w:t xml:space="preserve"> 2016; </w:t>
      </w:r>
      <w:r>
        <w:rPr>
          <w:rFonts w:ascii="Book Antiqua" w:hAnsi="Book Antiqua"/>
          <w:b/>
          <w:bCs/>
        </w:rPr>
        <w:t>3</w:t>
      </w:r>
      <w:r>
        <w:rPr>
          <w:rFonts w:ascii="Book Antiqua" w:hAnsi="Book Antiqua"/>
        </w:rPr>
        <w:t>: 1 [PMID: 26744628 DOI: 10.1186/s40779-015-0056-z]</w:t>
      </w:r>
    </w:p>
    <w:p>
      <w:pPr>
        <w:spacing w:line="360" w:lineRule="auto"/>
        <w:jc w:val="both"/>
        <w:rPr>
          <w:rFonts w:ascii="Book Antiqua" w:hAnsi="Book Antiqua"/>
        </w:rPr>
      </w:pPr>
      <w:r>
        <w:rPr>
          <w:rFonts w:ascii="Book Antiqua" w:hAnsi="Book Antiqua"/>
        </w:rPr>
        <w:t xml:space="preserve">3 </w:t>
      </w:r>
      <w:r>
        <w:rPr>
          <w:rFonts w:ascii="Book Antiqua" w:hAnsi="Book Antiqua"/>
          <w:b/>
          <w:bCs/>
        </w:rPr>
        <w:t>Yeo TP</w:t>
      </w:r>
      <w:r>
        <w:rPr>
          <w:rFonts w:ascii="Book Antiqua" w:hAnsi="Book Antiqua"/>
        </w:rPr>
        <w:t xml:space="preserve">. Heat stroke: a comprehensive review. </w:t>
      </w:r>
      <w:r>
        <w:rPr>
          <w:rFonts w:ascii="Book Antiqua" w:hAnsi="Book Antiqua"/>
          <w:i/>
          <w:iCs/>
        </w:rPr>
        <w:t>AACN Clin Issues</w:t>
      </w:r>
      <w:r>
        <w:rPr>
          <w:rFonts w:ascii="Book Antiqua" w:hAnsi="Book Antiqua"/>
        </w:rPr>
        <w:t xml:space="preserve"> 2004; </w:t>
      </w:r>
      <w:r>
        <w:rPr>
          <w:rFonts w:ascii="Book Antiqua" w:hAnsi="Book Antiqua"/>
          <w:b/>
          <w:bCs/>
        </w:rPr>
        <w:t>15</w:t>
      </w:r>
      <w:r>
        <w:rPr>
          <w:rFonts w:ascii="Book Antiqua" w:hAnsi="Book Antiqua"/>
        </w:rPr>
        <w:t>: 280-293 [PMID: 15461044 DOI: 10.1097/00044067-200404000-00013]</w:t>
      </w:r>
    </w:p>
    <w:p>
      <w:pPr>
        <w:spacing w:line="360" w:lineRule="auto"/>
        <w:jc w:val="both"/>
        <w:rPr>
          <w:rFonts w:ascii="Book Antiqua" w:hAnsi="Book Antiqua"/>
        </w:rPr>
      </w:pPr>
      <w:r>
        <w:rPr>
          <w:rFonts w:ascii="Book Antiqua" w:hAnsi="Book Antiqua"/>
        </w:rPr>
        <w:t xml:space="preserve">4 </w:t>
      </w:r>
      <w:r>
        <w:rPr>
          <w:rFonts w:ascii="Book Antiqua" w:hAnsi="Book Antiqua"/>
          <w:b/>
          <w:bCs/>
        </w:rPr>
        <w:t>Chen X</w:t>
      </w:r>
      <w:r>
        <w:rPr>
          <w:rFonts w:ascii="Book Antiqua" w:hAnsi="Book Antiqua"/>
        </w:rPr>
        <w:t xml:space="preserve">, Li L, Hu J, Zhang C, Pan Y, Tian D, Tang Z. Anti-inflammatory effect of dexmedetomidine combined with hypothermia on acute respiratory distress syndrome in rats. </w:t>
      </w:r>
      <w:r>
        <w:rPr>
          <w:rFonts w:ascii="Book Antiqua" w:hAnsi="Book Antiqua"/>
          <w:i/>
          <w:iCs/>
        </w:rPr>
        <w:t>J Surg Res</w:t>
      </w:r>
      <w:r>
        <w:rPr>
          <w:rFonts w:ascii="Book Antiqua" w:hAnsi="Book Antiqua"/>
        </w:rPr>
        <w:t xml:space="preserve"> 2017; </w:t>
      </w:r>
      <w:r>
        <w:rPr>
          <w:rFonts w:ascii="Book Antiqua" w:hAnsi="Book Antiqua"/>
          <w:b/>
          <w:bCs/>
        </w:rPr>
        <w:t>216</w:t>
      </w:r>
      <w:r>
        <w:rPr>
          <w:rFonts w:ascii="Book Antiqua" w:hAnsi="Book Antiqua"/>
        </w:rPr>
        <w:t>: 179-184 [PMID: 28807204 DOI: 10.1016/j.jss.2017.05.014]</w:t>
      </w:r>
    </w:p>
    <w:p>
      <w:pPr>
        <w:spacing w:line="360" w:lineRule="auto"/>
        <w:jc w:val="both"/>
        <w:rPr>
          <w:rFonts w:ascii="Book Antiqua" w:hAnsi="Book Antiqua"/>
        </w:rPr>
      </w:pPr>
      <w:r>
        <w:rPr>
          <w:rFonts w:ascii="Book Antiqua" w:hAnsi="Book Antiqua"/>
        </w:rPr>
        <w:t xml:space="preserve">5 </w:t>
      </w:r>
      <w:r>
        <w:rPr>
          <w:rFonts w:ascii="Book Antiqua" w:hAnsi="Book Antiqua"/>
          <w:b/>
          <w:bCs/>
        </w:rPr>
        <w:t>Feng RY</w:t>
      </w:r>
      <w:r>
        <w:rPr>
          <w:rFonts w:ascii="Book Antiqua" w:hAnsi="Book Antiqua"/>
        </w:rPr>
        <w:t xml:space="preserve">, Chen Q, Yang WJ, Tong XG, Sun ZM, Yan H. Immune Tolerance Therapy: A New Method for Treatment of Traumatic Brain Injury. </w:t>
      </w:r>
      <w:r>
        <w:rPr>
          <w:rFonts w:ascii="Book Antiqua" w:hAnsi="Book Antiqua"/>
          <w:i/>
          <w:iCs/>
        </w:rPr>
        <w:t>Chin Med J (Engl)</w:t>
      </w:r>
      <w:r>
        <w:rPr>
          <w:rFonts w:ascii="Book Antiqua" w:hAnsi="Book Antiqua"/>
        </w:rPr>
        <w:t xml:space="preserve"> 2018; </w:t>
      </w:r>
      <w:r>
        <w:rPr>
          <w:rFonts w:ascii="Book Antiqua" w:hAnsi="Book Antiqua"/>
          <w:b/>
          <w:bCs/>
        </w:rPr>
        <w:t>131</w:t>
      </w:r>
      <w:r>
        <w:rPr>
          <w:rFonts w:ascii="Book Antiqua" w:hAnsi="Book Antiqua"/>
        </w:rPr>
        <w:t>: 1990-1998 [PMID: 30082532 DOI: 10.4103/0366-6999.238147]</w:t>
      </w:r>
    </w:p>
    <w:p>
      <w:pPr>
        <w:spacing w:line="360" w:lineRule="auto"/>
        <w:jc w:val="both"/>
        <w:rPr>
          <w:rFonts w:ascii="Book Antiqua" w:hAnsi="Book Antiqua"/>
        </w:rPr>
      </w:pPr>
      <w:r>
        <w:rPr>
          <w:rFonts w:ascii="Book Antiqua" w:hAnsi="Book Antiqua"/>
        </w:rPr>
        <w:t xml:space="preserve">6 </w:t>
      </w:r>
      <w:r>
        <w:rPr>
          <w:rFonts w:ascii="Book Antiqua" w:hAnsi="Book Antiqua"/>
          <w:b/>
          <w:bCs/>
        </w:rPr>
        <w:t>Sadaka F</w:t>
      </w:r>
      <w:r>
        <w:rPr>
          <w:rFonts w:ascii="Book Antiqua" w:hAnsi="Book Antiqua"/>
        </w:rPr>
        <w:t xml:space="preserve">, Veremakis C. Therapeutic hypothermia for the management of intracranial hypertension in severe traumatic brain injury: a systematic review. </w:t>
      </w:r>
      <w:r>
        <w:rPr>
          <w:rFonts w:ascii="Book Antiqua" w:hAnsi="Book Antiqua"/>
          <w:i/>
          <w:iCs/>
        </w:rPr>
        <w:t>Brain Inj</w:t>
      </w:r>
      <w:r>
        <w:rPr>
          <w:rFonts w:ascii="Book Antiqua" w:hAnsi="Book Antiqua"/>
        </w:rPr>
        <w:t xml:space="preserve"> 2012; </w:t>
      </w:r>
      <w:r>
        <w:rPr>
          <w:rFonts w:ascii="Book Antiqua" w:hAnsi="Book Antiqua"/>
          <w:b/>
          <w:bCs/>
        </w:rPr>
        <w:t>26</w:t>
      </w:r>
      <w:r>
        <w:rPr>
          <w:rFonts w:ascii="Book Antiqua" w:hAnsi="Book Antiqua"/>
        </w:rPr>
        <w:t>: 899-908 [PMID: 22448655 DOI: 10.3109/02699052.2012.661120]</w:t>
      </w:r>
    </w:p>
    <w:p>
      <w:pPr>
        <w:spacing w:line="360" w:lineRule="auto"/>
        <w:jc w:val="both"/>
        <w:rPr>
          <w:rFonts w:ascii="Book Antiqua" w:hAnsi="Book Antiqua"/>
        </w:rPr>
      </w:pPr>
      <w:r>
        <w:rPr>
          <w:rFonts w:ascii="Book Antiqua" w:hAnsi="Book Antiqua"/>
        </w:rPr>
        <w:t xml:space="preserve">7 </w:t>
      </w:r>
      <w:r>
        <w:rPr>
          <w:rFonts w:ascii="Book Antiqua" w:hAnsi="Book Antiqua"/>
          <w:b/>
          <w:bCs/>
        </w:rPr>
        <w:t>Rimmelé T</w:t>
      </w:r>
      <w:r>
        <w:rPr>
          <w:rFonts w:ascii="Book Antiqua" w:hAnsi="Book Antiqua"/>
        </w:rPr>
        <w:t xml:space="preserve">, Kellum JA. High-volume hemofiltration in the intensive care unit: a blood purification therapy. </w:t>
      </w:r>
      <w:r>
        <w:rPr>
          <w:rFonts w:ascii="Book Antiqua" w:hAnsi="Book Antiqua"/>
          <w:i/>
          <w:iCs/>
        </w:rPr>
        <w:t>Anesthesiology</w:t>
      </w:r>
      <w:r>
        <w:rPr>
          <w:rFonts w:ascii="Book Antiqua" w:hAnsi="Book Antiqua"/>
        </w:rPr>
        <w:t xml:space="preserve"> 2012; </w:t>
      </w:r>
      <w:r>
        <w:rPr>
          <w:rFonts w:ascii="Book Antiqua" w:hAnsi="Book Antiqua"/>
          <w:b/>
          <w:bCs/>
        </w:rPr>
        <w:t>116</w:t>
      </w:r>
      <w:r>
        <w:rPr>
          <w:rFonts w:ascii="Book Antiqua" w:hAnsi="Book Antiqua"/>
        </w:rPr>
        <w:t>: 1377-1387 [PMID: 22534247 DOI: 10.1097/ALN.0b013e318256f0c0]</w:t>
      </w:r>
    </w:p>
    <w:p>
      <w:pPr>
        <w:spacing w:line="360" w:lineRule="auto"/>
        <w:jc w:val="both"/>
        <w:rPr>
          <w:rFonts w:ascii="Book Antiqua" w:hAnsi="Book Antiqua"/>
        </w:rPr>
      </w:pPr>
      <w:r>
        <w:rPr>
          <w:rFonts w:ascii="Book Antiqua" w:hAnsi="Book Antiqua"/>
        </w:rPr>
        <w:t xml:space="preserve">8 </w:t>
      </w:r>
      <w:r>
        <w:rPr>
          <w:rFonts w:ascii="Book Antiqua" w:hAnsi="Book Antiqua"/>
          <w:b/>
          <w:bCs/>
        </w:rPr>
        <w:t>Yang L</w:t>
      </w:r>
      <w:r>
        <w:rPr>
          <w:rFonts w:ascii="Book Antiqua" w:hAnsi="Book Antiqua"/>
        </w:rPr>
        <w:t xml:space="preserve">, Li D, Chen S. Hydrogen water reduces NSE, IL-6, and TNF-α levels in hypoxic-ischemic encephalopathy. </w:t>
      </w:r>
      <w:r>
        <w:rPr>
          <w:rFonts w:ascii="Book Antiqua" w:hAnsi="Book Antiqua"/>
          <w:i/>
          <w:iCs/>
        </w:rPr>
        <w:t>Open Med (Wars)</w:t>
      </w:r>
      <w:r>
        <w:rPr>
          <w:rFonts w:ascii="Book Antiqua" w:hAnsi="Book Antiqua"/>
        </w:rPr>
        <w:t xml:space="preserve"> 2016; </w:t>
      </w:r>
      <w:r>
        <w:rPr>
          <w:rFonts w:ascii="Book Antiqua" w:hAnsi="Book Antiqua"/>
          <w:b/>
          <w:bCs/>
        </w:rPr>
        <w:t>11</w:t>
      </w:r>
      <w:r>
        <w:rPr>
          <w:rFonts w:ascii="Book Antiqua" w:hAnsi="Book Antiqua"/>
        </w:rPr>
        <w:t>: 399-406 [PMID: 28352827 DOI: 10.1515/med-2016-0072]</w:t>
      </w:r>
    </w:p>
    <w:p>
      <w:pPr>
        <w:spacing w:line="360" w:lineRule="auto"/>
        <w:jc w:val="both"/>
        <w:rPr>
          <w:rFonts w:ascii="Book Antiqua" w:hAnsi="Book Antiqua"/>
        </w:rPr>
      </w:pPr>
      <w:r>
        <w:rPr>
          <w:rFonts w:ascii="Book Antiqua" w:hAnsi="Book Antiqua"/>
        </w:rPr>
        <w:t xml:space="preserve">9 </w:t>
      </w:r>
      <w:r>
        <w:rPr>
          <w:rFonts w:ascii="Book Antiqua" w:hAnsi="Book Antiqua"/>
          <w:b/>
          <w:bCs/>
        </w:rPr>
        <w:t>Singer M</w:t>
      </w:r>
      <w:r>
        <w:rPr>
          <w:rFonts w:ascii="Book Antiqua" w:hAnsi="Book Antiqua"/>
        </w:rPr>
        <w:t xml:space="preserve">, Deutschman CS, Seymour CW, Shankar-Hari M, Annane D, Bauer M, Bellomo R, Bernard GR, Chiche JD, Coopersmith CM, Hotchkiss RS, Levy MM, Marshall JC, Martin GS, Opal SM, Rubenfeld GD, van der Poll T, Vincent JL, Angus DC. The Third International Consensus Definitions for Sepsis and Septic Shock (Sepsis-3). </w:t>
      </w:r>
      <w:r>
        <w:rPr>
          <w:rFonts w:ascii="Book Antiqua" w:hAnsi="Book Antiqua"/>
          <w:i/>
          <w:iCs/>
        </w:rPr>
        <w:t>JAMA</w:t>
      </w:r>
      <w:r>
        <w:rPr>
          <w:rFonts w:ascii="Book Antiqua" w:hAnsi="Book Antiqua"/>
        </w:rPr>
        <w:t xml:space="preserve"> 2016; </w:t>
      </w:r>
      <w:r>
        <w:rPr>
          <w:rFonts w:ascii="Book Antiqua" w:hAnsi="Book Antiqua"/>
          <w:b/>
          <w:bCs/>
        </w:rPr>
        <w:t>315</w:t>
      </w:r>
      <w:r>
        <w:rPr>
          <w:rFonts w:ascii="Book Antiqua" w:hAnsi="Book Antiqua"/>
        </w:rPr>
        <w:t>: 801-810 [PMID: 26903338 DOI: 10.1001/jama.2016.0287]</w:t>
      </w:r>
    </w:p>
    <w:p>
      <w:pPr>
        <w:spacing w:line="360" w:lineRule="auto"/>
        <w:jc w:val="both"/>
        <w:rPr>
          <w:rFonts w:ascii="Book Antiqua" w:hAnsi="Book Antiqua"/>
        </w:rPr>
      </w:pPr>
      <w:r>
        <w:rPr>
          <w:rFonts w:ascii="Book Antiqua" w:hAnsi="Book Antiqua"/>
        </w:rPr>
        <w:t xml:space="preserve">10 </w:t>
      </w:r>
      <w:r>
        <w:rPr>
          <w:rFonts w:ascii="Book Antiqua" w:hAnsi="Book Antiqua"/>
          <w:b/>
          <w:bCs/>
        </w:rPr>
        <w:t>Fry DE</w:t>
      </w:r>
      <w:r>
        <w:rPr>
          <w:rFonts w:ascii="Book Antiqua" w:hAnsi="Book Antiqua"/>
        </w:rPr>
        <w:t xml:space="preserve">. Sepsis, systemic inflammatory response, and multiple organ dysfunction: the mystery continues. </w:t>
      </w:r>
      <w:r>
        <w:rPr>
          <w:rFonts w:ascii="Book Antiqua" w:hAnsi="Book Antiqua"/>
          <w:i/>
          <w:iCs/>
        </w:rPr>
        <w:t>Am Surg</w:t>
      </w:r>
      <w:r>
        <w:rPr>
          <w:rFonts w:ascii="Book Antiqua" w:hAnsi="Book Antiqua"/>
        </w:rPr>
        <w:t xml:space="preserve"> 2012; </w:t>
      </w:r>
      <w:r>
        <w:rPr>
          <w:rFonts w:ascii="Book Antiqua" w:hAnsi="Book Antiqua"/>
          <w:b/>
          <w:bCs/>
        </w:rPr>
        <w:t>78</w:t>
      </w:r>
      <w:r>
        <w:rPr>
          <w:rFonts w:ascii="Book Antiqua" w:hAnsi="Book Antiqua"/>
        </w:rPr>
        <w:t>: 1-8 [PMID: 22273282]</w:t>
      </w:r>
    </w:p>
    <w:p>
      <w:pPr>
        <w:spacing w:line="360" w:lineRule="auto"/>
        <w:jc w:val="both"/>
        <w:rPr>
          <w:rFonts w:ascii="Book Antiqua" w:hAnsi="Book Antiqua"/>
        </w:rPr>
      </w:pPr>
      <w:r>
        <w:rPr>
          <w:rFonts w:ascii="Book Antiqua" w:hAnsi="Book Antiqua"/>
        </w:rPr>
        <w:t xml:space="preserve">11 </w:t>
      </w:r>
      <w:r>
        <w:rPr>
          <w:rFonts w:ascii="Book Antiqua" w:hAnsi="Book Antiqua"/>
          <w:b/>
          <w:bCs/>
        </w:rPr>
        <w:t>Epstein Y</w:t>
      </w:r>
      <w:r>
        <w:rPr>
          <w:rFonts w:ascii="Book Antiqua" w:hAnsi="Book Antiqua"/>
        </w:rPr>
        <w:t xml:space="preserve">, Roberts WO. The pathopysiology of heat stroke: an integrative view of the final common pathway. </w:t>
      </w:r>
      <w:r>
        <w:rPr>
          <w:rFonts w:ascii="Book Antiqua" w:hAnsi="Book Antiqua"/>
          <w:i/>
          <w:iCs/>
        </w:rPr>
        <w:t>Scand J Med Sci Sports</w:t>
      </w:r>
      <w:r>
        <w:rPr>
          <w:rFonts w:ascii="Book Antiqua" w:hAnsi="Book Antiqua"/>
        </w:rPr>
        <w:t xml:space="preserve"> 2011; </w:t>
      </w:r>
      <w:r>
        <w:rPr>
          <w:rFonts w:ascii="Book Antiqua" w:hAnsi="Book Antiqua"/>
          <w:b/>
          <w:bCs/>
        </w:rPr>
        <w:t>21</w:t>
      </w:r>
      <w:r>
        <w:rPr>
          <w:rFonts w:ascii="Book Antiqua" w:hAnsi="Book Antiqua"/>
        </w:rPr>
        <w:t>: 742-748 [PMID: 21635561 DOI: 10.1111/j.1600-0838.2011.01333.x]</w:t>
      </w:r>
    </w:p>
    <w:p>
      <w:pPr>
        <w:spacing w:line="360" w:lineRule="auto"/>
        <w:jc w:val="both"/>
        <w:rPr>
          <w:rFonts w:ascii="Book Antiqua" w:hAnsi="Book Antiqua"/>
        </w:rPr>
      </w:pPr>
      <w:r>
        <w:rPr>
          <w:rFonts w:ascii="Book Antiqua" w:hAnsi="Book Antiqua"/>
        </w:rPr>
        <w:t xml:space="preserve">12 </w:t>
      </w:r>
      <w:r>
        <w:rPr>
          <w:rFonts w:ascii="Book Antiqua" w:hAnsi="Book Antiqua"/>
          <w:b/>
          <w:bCs/>
        </w:rPr>
        <w:t>Bouchama A</w:t>
      </w:r>
      <w:r>
        <w:rPr>
          <w:rFonts w:ascii="Book Antiqua" w:hAnsi="Book Antiqua"/>
        </w:rPr>
        <w:t xml:space="preserve">, Dehbi M, Chaves-Carballo E. Cooling and hemodynamic management in heatstroke: practical recommendations. </w:t>
      </w:r>
      <w:r>
        <w:rPr>
          <w:rFonts w:ascii="Book Antiqua" w:hAnsi="Book Antiqua"/>
          <w:i/>
          <w:iCs/>
        </w:rPr>
        <w:t>Crit Care</w:t>
      </w:r>
      <w:r>
        <w:rPr>
          <w:rFonts w:ascii="Book Antiqua" w:hAnsi="Book Antiqua"/>
        </w:rPr>
        <w:t xml:space="preserve"> 2007; </w:t>
      </w:r>
      <w:r>
        <w:rPr>
          <w:rFonts w:ascii="Book Antiqua" w:hAnsi="Book Antiqua"/>
          <w:b/>
          <w:bCs/>
        </w:rPr>
        <w:t>11</w:t>
      </w:r>
      <w:r>
        <w:rPr>
          <w:rFonts w:ascii="Book Antiqua" w:hAnsi="Book Antiqua"/>
        </w:rPr>
        <w:t>: R54 [PMID: 17498312 DOI: 10.1186/cc5910]</w:t>
      </w:r>
    </w:p>
    <w:p>
      <w:pPr>
        <w:spacing w:line="360" w:lineRule="auto"/>
        <w:jc w:val="both"/>
        <w:rPr>
          <w:rFonts w:ascii="Book Antiqua" w:hAnsi="Book Antiqua"/>
        </w:rPr>
      </w:pPr>
      <w:r>
        <w:rPr>
          <w:rFonts w:ascii="Book Antiqua" w:hAnsi="Book Antiqua"/>
        </w:rPr>
        <w:t xml:space="preserve">13 </w:t>
      </w:r>
      <w:r>
        <w:rPr>
          <w:rFonts w:ascii="Book Antiqua" w:hAnsi="Book Antiqua"/>
          <w:b/>
          <w:bCs/>
        </w:rPr>
        <w:t>Lee BC</w:t>
      </w:r>
      <w:r>
        <w:rPr>
          <w:rFonts w:ascii="Book Antiqua" w:hAnsi="Book Antiqua"/>
        </w:rPr>
        <w:t xml:space="preserve">, Kim JY, Choi SH, Yoon YH. Use of an external-cooling device for the treatment of heat stroke. </w:t>
      </w:r>
      <w:r>
        <w:rPr>
          <w:rFonts w:ascii="Book Antiqua" w:hAnsi="Book Antiqua"/>
          <w:i/>
          <w:iCs/>
        </w:rPr>
        <w:t>Clin Exp Emerg Med</w:t>
      </w:r>
      <w:r>
        <w:rPr>
          <w:rFonts w:ascii="Book Antiqua" w:hAnsi="Book Antiqua"/>
        </w:rPr>
        <w:t xml:space="preserve"> 2014; </w:t>
      </w:r>
      <w:r>
        <w:rPr>
          <w:rFonts w:ascii="Book Antiqua" w:hAnsi="Book Antiqua"/>
          <w:b/>
          <w:bCs/>
        </w:rPr>
        <w:t>1</w:t>
      </w:r>
      <w:r>
        <w:rPr>
          <w:rFonts w:ascii="Book Antiqua" w:hAnsi="Book Antiqua"/>
        </w:rPr>
        <w:t>: 62-64 [PMID: 27752554 DOI: 10.15441/ceem.14.004]</w:t>
      </w:r>
    </w:p>
    <w:p>
      <w:pPr>
        <w:spacing w:line="360" w:lineRule="auto"/>
        <w:jc w:val="both"/>
        <w:rPr>
          <w:rFonts w:ascii="Book Antiqua" w:hAnsi="Book Antiqua"/>
        </w:rPr>
      </w:pPr>
      <w:r>
        <w:rPr>
          <w:rFonts w:ascii="Book Antiqua" w:hAnsi="Book Antiqua"/>
        </w:rPr>
        <w:t xml:space="preserve">14 </w:t>
      </w:r>
      <w:r>
        <w:rPr>
          <w:rFonts w:ascii="Book Antiqua" w:hAnsi="Book Antiqua"/>
          <w:b/>
          <w:bCs/>
        </w:rPr>
        <w:t>Pryor RR</w:t>
      </w:r>
      <w:r>
        <w:rPr>
          <w:rFonts w:ascii="Book Antiqua" w:hAnsi="Book Antiqua"/>
        </w:rPr>
        <w:t xml:space="preserve">, Roth RN, Suyama J, Hostler D. Exertional heat illness: emerging concepts and advances in prehospital care. </w:t>
      </w:r>
      <w:r>
        <w:rPr>
          <w:rFonts w:ascii="Book Antiqua" w:hAnsi="Book Antiqua"/>
          <w:i/>
          <w:iCs/>
        </w:rPr>
        <w:t>Prehosp Disaster Med</w:t>
      </w:r>
      <w:r>
        <w:rPr>
          <w:rFonts w:ascii="Book Antiqua" w:hAnsi="Book Antiqua"/>
        </w:rPr>
        <w:t xml:space="preserve"> 2015; </w:t>
      </w:r>
      <w:r>
        <w:rPr>
          <w:rFonts w:ascii="Book Antiqua" w:hAnsi="Book Antiqua"/>
          <w:b/>
          <w:bCs/>
        </w:rPr>
        <w:t>30</w:t>
      </w:r>
      <w:r>
        <w:rPr>
          <w:rFonts w:ascii="Book Antiqua" w:hAnsi="Book Antiqua"/>
        </w:rPr>
        <w:t>: 297-305 [PMID: 25860637 DOI: 10.1017/S1049023X15004628]</w:t>
      </w:r>
    </w:p>
    <w:p>
      <w:pPr>
        <w:spacing w:line="360" w:lineRule="auto"/>
        <w:jc w:val="both"/>
        <w:rPr>
          <w:rFonts w:ascii="Book Antiqua" w:hAnsi="Book Antiqua"/>
        </w:rPr>
      </w:pPr>
      <w:r>
        <w:rPr>
          <w:rFonts w:ascii="Book Antiqua" w:hAnsi="Book Antiqua"/>
        </w:rPr>
        <w:t xml:space="preserve">15 </w:t>
      </w:r>
      <w:r>
        <w:rPr>
          <w:rFonts w:ascii="Book Antiqua" w:hAnsi="Book Antiqua"/>
          <w:b/>
          <w:bCs/>
        </w:rPr>
        <w:t>Epstein Y</w:t>
      </w:r>
      <w:r>
        <w:rPr>
          <w:rFonts w:ascii="Book Antiqua" w:hAnsi="Book Antiqua"/>
        </w:rPr>
        <w:t xml:space="preserve">, Yanovich R. Heatstroke. </w:t>
      </w:r>
      <w:r>
        <w:rPr>
          <w:rFonts w:ascii="Book Antiqua" w:hAnsi="Book Antiqua"/>
          <w:i/>
          <w:iCs/>
        </w:rPr>
        <w:t>N Engl J Med</w:t>
      </w:r>
      <w:r>
        <w:rPr>
          <w:rFonts w:ascii="Book Antiqua" w:hAnsi="Book Antiqua"/>
        </w:rPr>
        <w:t xml:space="preserve"> 2019; </w:t>
      </w:r>
      <w:r>
        <w:rPr>
          <w:rFonts w:ascii="Book Antiqua" w:hAnsi="Book Antiqua"/>
          <w:b/>
          <w:bCs/>
        </w:rPr>
        <w:t>380</w:t>
      </w:r>
      <w:r>
        <w:rPr>
          <w:rFonts w:ascii="Book Antiqua" w:hAnsi="Book Antiqua"/>
        </w:rPr>
        <w:t>: 2449-2459 [PMID: 31216400 DOI: 10.1056/NEJMra1810762]</w:t>
      </w:r>
    </w:p>
    <w:p>
      <w:pPr>
        <w:spacing w:line="360" w:lineRule="auto"/>
        <w:jc w:val="both"/>
        <w:rPr>
          <w:rFonts w:ascii="Book Antiqua" w:hAnsi="Book Antiqua"/>
        </w:rPr>
      </w:pPr>
      <w:r>
        <w:rPr>
          <w:rFonts w:ascii="Book Antiqua" w:hAnsi="Book Antiqua"/>
        </w:rPr>
        <w:t xml:space="preserve">16 </w:t>
      </w:r>
      <w:r>
        <w:rPr>
          <w:rFonts w:ascii="Book Antiqua" w:hAnsi="Book Antiqua"/>
          <w:b/>
          <w:bCs/>
        </w:rPr>
        <w:t>Casa DJ</w:t>
      </w:r>
      <w:r>
        <w:rPr>
          <w:rFonts w:ascii="Book Antiqua" w:hAnsi="Book Antiqua"/>
        </w:rPr>
        <w:t xml:space="preserve">, Armstrong LE, Kenny GP, O'Connor FG, Huggins RA. Exertional heat stroke: new concepts regarding cause and care. </w:t>
      </w:r>
      <w:r>
        <w:rPr>
          <w:rFonts w:ascii="Book Antiqua" w:hAnsi="Book Antiqua"/>
          <w:i/>
          <w:iCs/>
        </w:rPr>
        <w:t>Curr Sports Med Rep</w:t>
      </w:r>
      <w:r>
        <w:rPr>
          <w:rFonts w:ascii="Book Antiqua" w:hAnsi="Book Antiqua"/>
        </w:rPr>
        <w:t xml:space="preserve"> 2012; </w:t>
      </w:r>
      <w:r>
        <w:rPr>
          <w:rFonts w:ascii="Book Antiqua" w:hAnsi="Book Antiqua"/>
          <w:b/>
          <w:bCs/>
        </w:rPr>
        <w:t>11</w:t>
      </w:r>
      <w:r>
        <w:rPr>
          <w:rFonts w:ascii="Book Antiqua" w:hAnsi="Book Antiqua"/>
        </w:rPr>
        <w:t>: 115-123 [PMID: 22580488 DOI: 10.1249/JSR.0b013e31825615cc]</w:t>
      </w:r>
    </w:p>
    <w:p>
      <w:pPr>
        <w:spacing w:line="360" w:lineRule="auto"/>
        <w:jc w:val="both"/>
        <w:rPr>
          <w:rFonts w:ascii="Book Antiqua" w:hAnsi="Book Antiqua"/>
        </w:rPr>
      </w:pPr>
      <w:r>
        <w:rPr>
          <w:rFonts w:ascii="Book Antiqua" w:hAnsi="Book Antiqua"/>
        </w:rPr>
        <w:t xml:space="preserve">17 </w:t>
      </w:r>
      <w:r>
        <w:rPr>
          <w:rFonts w:ascii="Book Antiqua" w:hAnsi="Book Antiqua"/>
          <w:b/>
          <w:bCs/>
        </w:rPr>
        <w:t>Glazer JL</w:t>
      </w:r>
      <w:r>
        <w:rPr>
          <w:rFonts w:ascii="Book Antiqua" w:hAnsi="Book Antiqua"/>
        </w:rPr>
        <w:t xml:space="preserve">. Management of heatstroke and heat exhaustion. </w:t>
      </w:r>
      <w:r>
        <w:rPr>
          <w:rFonts w:ascii="Book Antiqua" w:hAnsi="Book Antiqua"/>
          <w:i/>
          <w:iCs/>
        </w:rPr>
        <w:t>Am Fam Physician</w:t>
      </w:r>
      <w:r>
        <w:rPr>
          <w:rFonts w:ascii="Book Antiqua" w:hAnsi="Book Antiqua"/>
        </w:rPr>
        <w:t xml:space="preserve"> 2005; </w:t>
      </w:r>
      <w:r>
        <w:rPr>
          <w:rFonts w:ascii="Book Antiqua" w:hAnsi="Book Antiqua"/>
          <w:b/>
          <w:bCs/>
        </w:rPr>
        <w:t>71</w:t>
      </w:r>
      <w:r>
        <w:rPr>
          <w:rFonts w:ascii="Book Antiqua" w:hAnsi="Book Antiqua"/>
        </w:rPr>
        <w:t>: 2133-2140 [PMID: 15952443 DOI: 10.1056/NEJM200506023522220]</w:t>
      </w:r>
    </w:p>
    <w:p>
      <w:pPr>
        <w:spacing w:line="360" w:lineRule="auto"/>
        <w:jc w:val="both"/>
        <w:rPr>
          <w:rFonts w:ascii="Book Antiqua" w:hAnsi="Book Antiqua"/>
        </w:rPr>
      </w:pPr>
      <w:r>
        <w:rPr>
          <w:rFonts w:ascii="Book Antiqua" w:hAnsi="Book Antiqua"/>
        </w:rPr>
        <w:t xml:space="preserve">18 </w:t>
      </w:r>
      <w:r>
        <w:rPr>
          <w:rFonts w:ascii="Book Antiqua" w:hAnsi="Book Antiqua"/>
          <w:b/>
          <w:bCs/>
        </w:rPr>
        <w:t>Mahajan S</w:t>
      </w:r>
      <w:r>
        <w:rPr>
          <w:rFonts w:ascii="Book Antiqua" w:hAnsi="Book Antiqua"/>
        </w:rPr>
        <w:t xml:space="preserve">, Schucany WG. Symmetric bilateral caudate, hippocampal, cerebellar, and subcortical white matter MRI abnormalities in an adult patient with heat stroke. </w:t>
      </w:r>
      <w:r>
        <w:rPr>
          <w:rFonts w:ascii="Book Antiqua" w:hAnsi="Book Antiqua"/>
          <w:i/>
          <w:iCs/>
        </w:rPr>
        <w:t>Proc (Bayl Univ Med Cent)</w:t>
      </w:r>
      <w:r>
        <w:rPr>
          <w:rFonts w:ascii="Book Antiqua" w:hAnsi="Book Antiqua"/>
        </w:rPr>
        <w:t xml:space="preserve"> 2008; </w:t>
      </w:r>
      <w:r>
        <w:rPr>
          <w:rFonts w:ascii="Book Antiqua" w:hAnsi="Book Antiqua"/>
          <w:b/>
          <w:bCs/>
        </w:rPr>
        <w:t>21</w:t>
      </w:r>
      <w:r>
        <w:rPr>
          <w:rFonts w:ascii="Book Antiqua" w:hAnsi="Book Antiqua"/>
        </w:rPr>
        <w:t>: 433-436 [PMID: 18982090 DOI: 10.1080/08998280.2008.11928446]</w:t>
      </w:r>
    </w:p>
    <w:p>
      <w:pPr>
        <w:spacing w:line="360" w:lineRule="auto"/>
        <w:jc w:val="both"/>
        <w:rPr>
          <w:rFonts w:ascii="Book Antiqua" w:hAnsi="Book Antiqua"/>
        </w:rPr>
      </w:pPr>
      <w:r>
        <w:rPr>
          <w:rFonts w:ascii="Book Antiqua" w:hAnsi="Book Antiqua"/>
        </w:rPr>
        <w:t xml:space="preserve">19 </w:t>
      </w:r>
      <w:r>
        <w:rPr>
          <w:rFonts w:ascii="Book Antiqua" w:hAnsi="Book Antiqua"/>
          <w:b/>
          <w:bCs/>
        </w:rPr>
        <w:t>Koller WC</w:t>
      </w:r>
      <w:r>
        <w:rPr>
          <w:rFonts w:ascii="Book Antiqua" w:hAnsi="Book Antiqua"/>
        </w:rPr>
        <w:t xml:space="preserve">, Glatt SL, Perlik S, Huckman MS, Fox JH. Cerebellar atrophy demonstrated by computed tomography. </w:t>
      </w:r>
      <w:r>
        <w:rPr>
          <w:rFonts w:ascii="Book Antiqua" w:hAnsi="Book Antiqua"/>
          <w:i/>
          <w:iCs/>
        </w:rPr>
        <w:t>Neurology</w:t>
      </w:r>
      <w:r>
        <w:rPr>
          <w:rFonts w:ascii="Book Antiqua" w:hAnsi="Book Antiqua"/>
        </w:rPr>
        <w:t xml:space="preserve"> 1981; </w:t>
      </w:r>
      <w:r>
        <w:rPr>
          <w:rFonts w:ascii="Book Antiqua" w:hAnsi="Book Antiqua"/>
          <w:b/>
          <w:bCs/>
        </w:rPr>
        <w:t>31</w:t>
      </w:r>
      <w:r>
        <w:rPr>
          <w:rFonts w:ascii="Book Antiqua" w:hAnsi="Book Antiqua"/>
        </w:rPr>
        <w:t>: 405-412 [PMID: 6971416 DOI: 10.1212/wnl.31.4.405]</w:t>
      </w:r>
    </w:p>
    <w:p>
      <w:pPr>
        <w:spacing w:line="360" w:lineRule="auto"/>
        <w:jc w:val="both"/>
        <w:rPr>
          <w:rFonts w:ascii="Book Antiqua" w:hAnsi="Book Antiqua"/>
        </w:rPr>
      </w:pPr>
      <w:r>
        <w:rPr>
          <w:rFonts w:ascii="Book Antiqua" w:hAnsi="Book Antiqua"/>
        </w:rPr>
        <w:t xml:space="preserve">20 </w:t>
      </w:r>
      <w:r>
        <w:rPr>
          <w:rFonts w:ascii="Book Antiqua" w:hAnsi="Book Antiqua"/>
          <w:b/>
          <w:bCs/>
        </w:rPr>
        <w:t>Chen WT</w:t>
      </w:r>
      <w:r>
        <w:rPr>
          <w:rFonts w:ascii="Book Antiqua" w:hAnsi="Book Antiqua"/>
        </w:rPr>
        <w:t xml:space="preserve">, Lin CH, Hsieh MH, Huang CY, Yeh JS. Stress-induced cardiomyopathy caused by heat stroke. </w:t>
      </w:r>
      <w:r>
        <w:rPr>
          <w:rFonts w:ascii="Book Antiqua" w:hAnsi="Book Antiqua"/>
          <w:i/>
          <w:iCs/>
        </w:rPr>
        <w:t>Ann Emerg Med</w:t>
      </w:r>
      <w:r>
        <w:rPr>
          <w:rFonts w:ascii="Book Antiqua" w:hAnsi="Book Antiqua"/>
        </w:rPr>
        <w:t xml:space="preserve"> 2012; </w:t>
      </w:r>
      <w:r>
        <w:rPr>
          <w:rFonts w:ascii="Book Antiqua" w:hAnsi="Book Antiqua"/>
          <w:b/>
          <w:bCs/>
        </w:rPr>
        <w:t>60</w:t>
      </w:r>
      <w:r>
        <w:rPr>
          <w:rFonts w:ascii="Book Antiqua" w:hAnsi="Book Antiqua"/>
        </w:rPr>
        <w:t>: 63-66 [PMID: 22153997 DOI: 10.1016/j.annemergmed.2011.11.005]</w:t>
      </w:r>
    </w:p>
    <w:p>
      <w:pPr>
        <w:spacing w:line="360" w:lineRule="auto"/>
        <w:jc w:val="both"/>
        <w:rPr>
          <w:rFonts w:ascii="Book Antiqua" w:hAnsi="Book Antiqua"/>
        </w:rPr>
      </w:pPr>
      <w:r>
        <w:rPr>
          <w:rFonts w:ascii="Book Antiqua" w:hAnsi="Book Antiqua"/>
        </w:rPr>
        <w:t xml:space="preserve">21 </w:t>
      </w:r>
      <w:r>
        <w:rPr>
          <w:rFonts w:ascii="Book Antiqua" w:hAnsi="Book Antiqua"/>
          <w:b/>
          <w:bCs/>
        </w:rPr>
        <w:t>Ward MD</w:t>
      </w:r>
      <w:r>
        <w:rPr>
          <w:rFonts w:ascii="Book Antiqua" w:hAnsi="Book Antiqua"/>
        </w:rPr>
        <w:t xml:space="preserve">, King MA, Gabrial C, Kenefick RW, Leon LR. Biochemical recovery from exertional heat stroke follows a 16-day time course. </w:t>
      </w:r>
      <w:r>
        <w:rPr>
          <w:rFonts w:ascii="Book Antiqua" w:hAnsi="Book Antiqua"/>
          <w:i/>
          <w:iCs/>
        </w:rPr>
        <w:t>PLoS One</w:t>
      </w:r>
      <w:r>
        <w:rPr>
          <w:rFonts w:ascii="Book Antiqua" w:hAnsi="Book Antiqua"/>
        </w:rPr>
        <w:t xml:space="preserve"> 2020; </w:t>
      </w:r>
      <w:r>
        <w:rPr>
          <w:rFonts w:ascii="Book Antiqua" w:hAnsi="Book Antiqua"/>
          <w:b/>
          <w:bCs/>
        </w:rPr>
        <w:t>15</w:t>
      </w:r>
      <w:r>
        <w:rPr>
          <w:rFonts w:ascii="Book Antiqua" w:hAnsi="Book Antiqua"/>
        </w:rPr>
        <w:t>: e0229616 [PMID: 32130237 DOI: 10.1371/journal.pone.0229616]</w:t>
      </w:r>
    </w:p>
    <w:p>
      <w:pPr>
        <w:spacing w:line="360" w:lineRule="auto"/>
        <w:jc w:val="both"/>
        <w:rPr>
          <w:rFonts w:ascii="Book Antiqua" w:hAnsi="Book Antiqua"/>
        </w:rPr>
      </w:pPr>
      <w:r>
        <w:rPr>
          <w:rFonts w:ascii="Book Antiqua" w:hAnsi="Book Antiqua"/>
        </w:rPr>
        <w:t xml:space="preserve">22 </w:t>
      </w:r>
      <w:r>
        <w:rPr>
          <w:rFonts w:ascii="Book Antiqua" w:hAnsi="Book Antiqua"/>
          <w:b/>
          <w:bCs/>
        </w:rPr>
        <w:t>Davis BC</w:t>
      </w:r>
      <w:r>
        <w:rPr>
          <w:rFonts w:ascii="Book Antiqua" w:hAnsi="Book Antiqua"/>
        </w:rPr>
        <w:t xml:space="preserve">, Tillman H, Chung RT, Stravitz RT, Reddy R, Fontana RJ, McGuire B, Davern T, Lee WM; Acute Liver Failure Study Group. Heat stroke leading to acute liver injury &amp; failure: A case series from the Acute Liver Failure Study Group. </w:t>
      </w:r>
      <w:r>
        <w:rPr>
          <w:rFonts w:ascii="Book Antiqua" w:hAnsi="Book Antiqua"/>
          <w:i/>
          <w:iCs/>
        </w:rPr>
        <w:t>Liver Int</w:t>
      </w:r>
      <w:r>
        <w:rPr>
          <w:rFonts w:ascii="Book Antiqua" w:hAnsi="Book Antiqua"/>
        </w:rPr>
        <w:t xml:space="preserve"> 2017; </w:t>
      </w:r>
      <w:r>
        <w:rPr>
          <w:rFonts w:ascii="Book Antiqua" w:hAnsi="Book Antiqua"/>
          <w:b/>
          <w:bCs/>
        </w:rPr>
        <w:t>37</w:t>
      </w:r>
      <w:r>
        <w:rPr>
          <w:rFonts w:ascii="Book Antiqua" w:hAnsi="Book Antiqua"/>
        </w:rPr>
        <w:t>: 509-513 [PMID: 28128878 DOI: 10.1111/liv.13373]</w:t>
      </w:r>
    </w:p>
    <w:p>
      <w:pPr>
        <w:spacing w:line="360" w:lineRule="auto"/>
        <w:jc w:val="both"/>
        <w:rPr>
          <w:rFonts w:ascii="Book Antiqua" w:hAnsi="Book Antiqua"/>
        </w:rPr>
      </w:pPr>
      <w:r>
        <w:rPr>
          <w:rFonts w:ascii="Book Antiqua" w:hAnsi="Book Antiqua"/>
        </w:rPr>
        <w:t xml:space="preserve">23 </w:t>
      </w:r>
      <w:r>
        <w:rPr>
          <w:rFonts w:ascii="Book Antiqua" w:hAnsi="Book Antiqua"/>
          <w:b/>
          <w:bCs/>
        </w:rPr>
        <w:t>Lambert GP</w:t>
      </w:r>
      <w:r>
        <w:rPr>
          <w:rFonts w:ascii="Book Antiqua" w:hAnsi="Book Antiqua"/>
        </w:rPr>
        <w:t xml:space="preserve">. Role of gastrointestinal permeability in exertional heatstroke. </w:t>
      </w:r>
      <w:r>
        <w:rPr>
          <w:rFonts w:ascii="Book Antiqua" w:hAnsi="Book Antiqua"/>
          <w:i/>
          <w:iCs/>
        </w:rPr>
        <w:t>Exerc Sport Sci Rev</w:t>
      </w:r>
      <w:r>
        <w:rPr>
          <w:rFonts w:ascii="Book Antiqua" w:hAnsi="Book Antiqua"/>
        </w:rPr>
        <w:t xml:space="preserve"> 2004; </w:t>
      </w:r>
      <w:r>
        <w:rPr>
          <w:rFonts w:ascii="Book Antiqua" w:hAnsi="Book Antiqua"/>
          <w:b/>
          <w:bCs/>
        </w:rPr>
        <w:t>32</w:t>
      </w:r>
      <w:r>
        <w:rPr>
          <w:rFonts w:ascii="Book Antiqua" w:hAnsi="Book Antiqua"/>
        </w:rPr>
        <w:t>: 185-190 [PMID: 15604939 DOI: 10.1097/00003677-200410000-00011]</w:t>
      </w:r>
    </w:p>
    <w:p>
      <w:pPr>
        <w:spacing w:line="360" w:lineRule="auto"/>
        <w:jc w:val="both"/>
        <w:rPr>
          <w:rFonts w:ascii="Book Antiqua" w:hAnsi="Book Antiqua"/>
        </w:rPr>
      </w:pPr>
      <w:r>
        <w:rPr>
          <w:rFonts w:ascii="Book Antiqua" w:hAnsi="Book Antiqua"/>
        </w:rPr>
        <w:t xml:space="preserve">24 </w:t>
      </w:r>
      <w:r>
        <w:rPr>
          <w:rFonts w:ascii="Book Antiqua" w:hAnsi="Book Antiqua"/>
          <w:b/>
          <w:bCs/>
        </w:rPr>
        <w:t>Sagisaka S</w:t>
      </w:r>
      <w:r>
        <w:rPr>
          <w:rFonts w:ascii="Book Antiqua" w:hAnsi="Book Antiqua"/>
        </w:rPr>
        <w:t xml:space="preserve">, Tamune H, Shimizu K, Kashiyama T. A rare case of full neurological recovery from severe nonexertional heatstroke during a bedrock bath. </w:t>
      </w:r>
      <w:r>
        <w:rPr>
          <w:rFonts w:ascii="Book Antiqua" w:hAnsi="Book Antiqua"/>
          <w:i/>
          <w:iCs/>
        </w:rPr>
        <w:t>J Gen Fam Med</w:t>
      </w:r>
      <w:r>
        <w:rPr>
          <w:rFonts w:ascii="Book Antiqua" w:hAnsi="Book Antiqua"/>
        </w:rPr>
        <w:t xml:space="preserve"> 2018; </w:t>
      </w:r>
      <w:r>
        <w:rPr>
          <w:rFonts w:ascii="Book Antiqua" w:hAnsi="Book Antiqua"/>
          <w:b/>
          <w:bCs/>
        </w:rPr>
        <w:t>19</w:t>
      </w:r>
      <w:r>
        <w:rPr>
          <w:rFonts w:ascii="Book Antiqua" w:hAnsi="Book Antiqua"/>
        </w:rPr>
        <w:t>: 136-138 [PMID: 29998044 DOI: 10.1002/jgf2.178]</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Style w:val="11"/>
          <w:rFonts w:ascii="Book Antiqua" w:hAnsi="Book Antiqua" w:eastAsia="Book Antiqua" w:cs="Book Antiqua"/>
          <w:color w:val="000000"/>
        </w:rPr>
        <w:t>Informed written consent was obtained from the patient for publication of this report and any case data.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the</w:t>
      </w:r>
      <w:r>
        <w:rPr>
          <w:rFonts w:ascii="Book Antiqua" w:hAnsi="Book Antiqua" w:eastAsia="Book Antiqua" w:cs="Book Antiqua"/>
          <w:b/>
          <w:bCs/>
          <w:color w:val="000000"/>
        </w:rPr>
        <w:t xml:space="preserve"> </w:t>
      </w:r>
      <w:r>
        <w:rPr>
          <w:rFonts w:ascii="Book Antiqua" w:hAnsi="Book Antiqua" w:eastAsia="Book Antiqua" w:cs="Book Antiqua"/>
          <w:color w:val="000000"/>
        </w:rPr>
        <w:t>authors declare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Style w:val="11"/>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26,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30,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March 9,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Critical care medicine</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Pantelis AG, Greece; Tangsuwanaruk T, Thailand</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Liu JH</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br w:type="page"/>
      </w: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drawing>
          <wp:inline distT="0" distB="0" distL="114300" distR="114300">
            <wp:extent cx="5443855" cy="5593080"/>
            <wp:effectExtent l="0" t="0" r="12065" b="0"/>
            <wp:docPr id="2" name="图片 2" descr="WJCC-11-235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1-2355-g001"/>
                    <pic:cNvPicPr>
                      <a:picLocks noChangeAspect="1"/>
                    </pic:cNvPicPr>
                  </pic:nvPicPr>
                  <pic:blipFill>
                    <a:blip r:embed="rId6"/>
                    <a:stretch>
                      <a:fillRect/>
                    </a:stretch>
                  </pic:blipFill>
                  <pic:spPr>
                    <a:xfrm>
                      <a:off x="0" y="0"/>
                      <a:ext cx="5443855" cy="559308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1 Clinical course. </w:t>
      </w:r>
      <w:r>
        <w:rPr>
          <w:rFonts w:ascii="Book Antiqua" w:hAnsi="Book Antiqua" w:eastAsia="Book Antiqua" w:cs="Book Antiqua"/>
          <w:color w:val="000000"/>
        </w:rPr>
        <w:t>Her initial Sequential Organ Failure Assessment score at hospitalization was 14 and decreased to 2 on hospital Day 4.</w:t>
      </w:r>
    </w:p>
    <w:p>
      <w:pPr>
        <w:spacing w:line="360" w:lineRule="auto"/>
        <w:jc w:val="both"/>
        <w:rPr>
          <w:rFonts w:ascii="Book Antiqua" w:hAnsi="Book Antiqua" w:eastAsia="Book Antiqua" w:cs="Book Antiqua"/>
          <w:b/>
          <w:color w:val="000000"/>
        </w:rPr>
      </w:pPr>
      <w:bookmarkStart w:id="1" w:name="_GoBack"/>
      <w:r>
        <w:rPr>
          <w:rFonts w:ascii="Book Antiqua" w:hAnsi="Book Antiqua" w:eastAsia="Book Antiqua" w:cs="Book Antiqua"/>
          <w:b/>
          <w:color w:val="000000"/>
        </w:rPr>
        <w:drawing>
          <wp:inline distT="0" distB="0" distL="114300" distR="114300">
            <wp:extent cx="4539615" cy="4692650"/>
            <wp:effectExtent l="0" t="0" r="1905" b="1270"/>
            <wp:docPr id="3" name="图片 3" descr="WJCC-11-235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1-2355-g002"/>
                    <pic:cNvPicPr>
                      <a:picLocks noChangeAspect="1"/>
                    </pic:cNvPicPr>
                  </pic:nvPicPr>
                  <pic:blipFill>
                    <a:blip r:embed="rId7"/>
                    <a:stretch>
                      <a:fillRect/>
                    </a:stretch>
                  </pic:blipFill>
                  <pic:spPr>
                    <a:xfrm>
                      <a:off x="0" y="0"/>
                      <a:ext cx="4539615" cy="4692650"/>
                    </a:xfrm>
                    <a:prstGeom prst="rect">
                      <a:avLst/>
                    </a:prstGeom>
                  </pic:spPr>
                </pic:pic>
              </a:graphicData>
            </a:graphic>
          </wp:inline>
        </w:drawing>
      </w:r>
      <w:bookmarkEnd w:id="1"/>
    </w:p>
    <w:p>
      <w:pPr>
        <w:spacing w:line="360" w:lineRule="auto"/>
        <w:jc w:val="both"/>
        <w:rPr>
          <w:rFonts w:ascii="Book Antiqua" w:hAnsi="Book Antiqua" w:eastAsia="Book Antiqua" w:cs="Book Antiqua"/>
          <w:b/>
          <w:color w:val="000000"/>
        </w:rPr>
      </w:pPr>
      <w:r>
        <w:rPr>
          <w:rFonts w:ascii="Book Antiqua" w:hAnsi="Book Antiqua" w:eastAsia="Book Antiqua" w:cs="Book Antiqua"/>
          <w:b/>
          <w:bCs/>
          <w:color w:val="000000"/>
        </w:rPr>
        <w:t xml:space="preserve">Figure 2 </w:t>
      </w:r>
      <w:r>
        <w:rPr>
          <w:rFonts w:ascii="Book Antiqua" w:hAnsi="Book Antiqua" w:eastAsia="Book Antiqua" w:cs="Book Antiqua"/>
          <w:b/>
          <w:bCs/>
          <w:iCs/>
          <w:color w:val="000000"/>
        </w:rPr>
        <w:t xml:space="preserve">Imaging examinations. </w:t>
      </w:r>
      <w:r>
        <w:rPr>
          <w:rFonts w:ascii="Book Antiqua" w:hAnsi="Book Antiqua" w:eastAsia="Book Antiqua" w:cs="Book Antiqua"/>
          <w:bCs/>
          <w:iCs/>
          <w:color w:val="000000"/>
        </w:rPr>
        <w:t>A and B: Head computed tomography and magnetic resonance imaging (MRI) scans did not reveal any abnormal findings; C and D: Despite discontinuation, she remained unconscious for the subsequent 24 h, and re-examination of the head MRI and magnetic resonance angiography showed no obvious lesions.</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cs="Book Antiqua"/>
          <w:b/>
          <w:bCs/>
        </w:rPr>
      </w:pPr>
      <w:r>
        <w:rPr>
          <w:rFonts w:ascii="Book Antiqua" w:hAnsi="Book Antiqua" w:eastAsia="Book Antiqua" w:cs="Book Antiqua"/>
          <w:b/>
          <w:color w:val="000000"/>
        </w:rPr>
        <w:br w:type="page"/>
      </w:r>
      <w:r>
        <w:rPr>
          <w:rFonts w:ascii="Book Antiqua" w:hAnsi="Book Antiqua" w:cs="Book Antiqua"/>
          <w:b/>
          <w:bCs/>
        </w:rPr>
        <w:t>Table 1</w:t>
      </w:r>
      <w:r>
        <w:rPr>
          <w:rFonts w:ascii="Book Antiqua" w:hAnsi="Book Antiqua" w:cs="Book Antiqua"/>
          <w:b/>
          <w:bCs/>
          <w:lang w:eastAsia="zh-CN"/>
        </w:rPr>
        <w:t xml:space="preserve"> </w:t>
      </w:r>
      <w:r>
        <w:rPr>
          <w:rFonts w:ascii="Book Antiqua" w:hAnsi="Book Antiqua" w:cs="Book Antiqua"/>
          <w:b/>
          <w:bCs/>
        </w:rPr>
        <w:t>Laboratory tests and results</w:t>
      </w:r>
    </w:p>
    <w:tbl>
      <w:tblPr>
        <w:tblStyle w:val="8"/>
        <w:tblW w:w="9011"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01"/>
        <w:gridCol w:w="730"/>
        <w:gridCol w:w="760"/>
        <w:gridCol w:w="790"/>
        <w:gridCol w:w="820"/>
        <w:gridCol w:w="790"/>
        <w:gridCol w:w="760"/>
        <w:gridCol w:w="760"/>
        <w:gridCol w:w="720"/>
        <w:gridCol w:w="78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1" w:type="dxa"/>
            <w:tcBorders>
              <w:top w:val="single" w:color="auto" w:sz="4" w:space="0"/>
              <w:left w:val="nil"/>
              <w:bottom w:val="single" w:color="auto" w:sz="4" w:space="0"/>
            </w:tcBorders>
          </w:tcPr>
          <w:p>
            <w:pPr>
              <w:widowControl w:val="0"/>
              <w:spacing w:line="360" w:lineRule="auto"/>
              <w:jc w:val="both"/>
              <w:rPr>
                <w:rFonts w:ascii="Book Antiqua" w:hAnsi="Book Antiqua" w:cs="Book Antiqua"/>
                <w:b/>
                <w:lang w:eastAsia="zh-CN"/>
              </w:rPr>
            </w:pPr>
            <w:bookmarkStart w:id="0" w:name="OLE_LINK57"/>
            <w:r>
              <w:rPr>
                <w:rFonts w:ascii="Book Antiqua" w:hAnsi="Book Antiqua" w:eastAsia="宋体" w:cs="Book Antiqua"/>
                <w:b/>
                <w:lang w:eastAsia="zh-CN"/>
              </w:rPr>
              <w:t>Laboratory finding</w:t>
            </w:r>
          </w:p>
        </w:tc>
        <w:tc>
          <w:tcPr>
            <w:tcW w:w="730" w:type="dxa"/>
            <w:tcBorders>
              <w:top w:val="single" w:color="auto" w:sz="4" w:space="0"/>
              <w:bottom w:val="single" w:color="auto" w:sz="4" w:space="0"/>
            </w:tcBorders>
          </w:tcPr>
          <w:p>
            <w:pPr>
              <w:widowControl w:val="0"/>
              <w:spacing w:line="360" w:lineRule="auto"/>
              <w:jc w:val="both"/>
              <w:rPr>
                <w:rFonts w:ascii="Book Antiqua" w:hAnsi="Book Antiqua" w:cs="Book Antiqua"/>
                <w:b/>
                <w:lang w:eastAsia="zh-CN"/>
              </w:rPr>
            </w:pPr>
            <w:r>
              <w:rPr>
                <w:rFonts w:ascii="Book Antiqua" w:hAnsi="Book Antiqua" w:cs="Book Antiqua"/>
                <w:b/>
                <w:lang w:eastAsia="zh-CN"/>
              </w:rPr>
              <w:t>Day 1</w:t>
            </w:r>
          </w:p>
        </w:tc>
        <w:tc>
          <w:tcPr>
            <w:tcW w:w="760" w:type="dxa"/>
            <w:tcBorders>
              <w:top w:val="single" w:color="auto" w:sz="4" w:space="0"/>
              <w:bottom w:val="single" w:color="auto" w:sz="4" w:space="0"/>
            </w:tcBorders>
          </w:tcPr>
          <w:p>
            <w:pPr>
              <w:widowControl w:val="0"/>
              <w:spacing w:line="360" w:lineRule="auto"/>
              <w:jc w:val="both"/>
              <w:rPr>
                <w:rFonts w:ascii="Book Antiqua" w:hAnsi="Book Antiqua" w:cs="Book Antiqua"/>
                <w:b/>
                <w:lang w:eastAsia="zh-CN"/>
              </w:rPr>
            </w:pPr>
            <w:r>
              <w:rPr>
                <w:rFonts w:ascii="Book Antiqua" w:hAnsi="Book Antiqua" w:cs="Book Antiqua"/>
                <w:b/>
                <w:lang w:eastAsia="zh-CN"/>
              </w:rPr>
              <w:t>Day 2</w:t>
            </w:r>
          </w:p>
        </w:tc>
        <w:tc>
          <w:tcPr>
            <w:tcW w:w="790" w:type="dxa"/>
            <w:tcBorders>
              <w:top w:val="single" w:color="auto" w:sz="4" w:space="0"/>
              <w:bottom w:val="single" w:color="auto" w:sz="4" w:space="0"/>
            </w:tcBorders>
          </w:tcPr>
          <w:p>
            <w:pPr>
              <w:widowControl w:val="0"/>
              <w:spacing w:line="360" w:lineRule="auto"/>
              <w:jc w:val="both"/>
              <w:rPr>
                <w:rFonts w:ascii="Book Antiqua" w:hAnsi="Book Antiqua" w:cs="Book Antiqua"/>
                <w:b/>
                <w:lang w:eastAsia="zh-CN"/>
              </w:rPr>
            </w:pPr>
            <w:r>
              <w:rPr>
                <w:rFonts w:ascii="Book Antiqua" w:hAnsi="Book Antiqua" w:cs="Book Antiqua"/>
                <w:b/>
                <w:lang w:eastAsia="zh-CN"/>
              </w:rPr>
              <w:t>Day 3</w:t>
            </w:r>
          </w:p>
        </w:tc>
        <w:tc>
          <w:tcPr>
            <w:tcW w:w="820" w:type="dxa"/>
            <w:tcBorders>
              <w:top w:val="single" w:color="auto" w:sz="4" w:space="0"/>
              <w:bottom w:val="single" w:color="auto" w:sz="4" w:space="0"/>
            </w:tcBorders>
          </w:tcPr>
          <w:p>
            <w:pPr>
              <w:widowControl w:val="0"/>
              <w:spacing w:line="360" w:lineRule="auto"/>
              <w:jc w:val="both"/>
              <w:rPr>
                <w:rFonts w:ascii="Book Antiqua" w:hAnsi="Book Antiqua" w:cs="Book Antiqua"/>
                <w:b/>
                <w:lang w:eastAsia="zh-CN"/>
              </w:rPr>
            </w:pPr>
            <w:r>
              <w:rPr>
                <w:rFonts w:ascii="Book Antiqua" w:hAnsi="Book Antiqua" w:cs="Book Antiqua"/>
                <w:b/>
                <w:lang w:eastAsia="zh-CN"/>
              </w:rPr>
              <w:t>Day 4</w:t>
            </w:r>
          </w:p>
        </w:tc>
        <w:tc>
          <w:tcPr>
            <w:tcW w:w="790" w:type="dxa"/>
            <w:tcBorders>
              <w:top w:val="single" w:color="auto" w:sz="4" w:space="0"/>
              <w:bottom w:val="single" w:color="auto" w:sz="4" w:space="0"/>
            </w:tcBorders>
          </w:tcPr>
          <w:p>
            <w:pPr>
              <w:widowControl w:val="0"/>
              <w:spacing w:line="360" w:lineRule="auto"/>
              <w:jc w:val="both"/>
              <w:rPr>
                <w:rFonts w:ascii="Book Antiqua" w:hAnsi="Book Antiqua" w:cs="Book Antiqua"/>
                <w:b/>
                <w:lang w:eastAsia="zh-CN"/>
              </w:rPr>
            </w:pPr>
            <w:r>
              <w:rPr>
                <w:rFonts w:ascii="Book Antiqua" w:hAnsi="Book Antiqua" w:cs="Book Antiqua"/>
                <w:b/>
                <w:lang w:eastAsia="zh-CN"/>
              </w:rPr>
              <w:t>Day 6</w:t>
            </w:r>
          </w:p>
        </w:tc>
        <w:tc>
          <w:tcPr>
            <w:tcW w:w="760" w:type="dxa"/>
            <w:tcBorders>
              <w:top w:val="single" w:color="auto" w:sz="4" w:space="0"/>
              <w:bottom w:val="single" w:color="auto" w:sz="4" w:space="0"/>
            </w:tcBorders>
          </w:tcPr>
          <w:p>
            <w:pPr>
              <w:widowControl w:val="0"/>
              <w:spacing w:line="360" w:lineRule="auto"/>
              <w:jc w:val="both"/>
              <w:rPr>
                <w:rFonts w:ascii="Book Antiqua" w:hAnsi="Book Antiqua" w:cs="Book Antiqua"/>
                <w:b/>
                <w:lang w:eastAsia="zh-CN"/>
              </w:rPr>
            </w:pPr>
            <w:r>
              <w:rPr>
                <w:rFonts w:ascii="Book Antiqua" w:hAnsi="Book Antiqua" w:cs="Book Antiqua"/>
                <w:b/>
                <w:lang w:eastAsia="zh-CN"/>
              </w:rPr>
              <w:t>Day 7</w:t>
            </w:r>
          </w:p>
        </w:tc>
        <w:tc>
          <w:tcPr>
            <w:tcW w:w="760" w:type="dxa"/>
            <w:tcBorders>
              <w:top w:val="single" w:color="auto" w:sz="4" w:space="0"/>
              <w:bottom w:val="single" w:color="auto" w:sz="4" w:space="0"/>
            </w:tcBorders>
          </w:tcPr>
          <w:p>
            <w:pPr>
              <w:widowControl w:val="0"/>
              <w:spacing w:line="360" w:lineRule="auto"/>
              <w:jc w:val="both"/>
              <w:rPr>
                <w:rFonts w:ascii="Book Antiqua" w:hAnsi="Book Antiqua" w:cs="Book Antiqua"/>
                <w:b/>
                <w:lang w:eastAsia="zh-CN"/>
              </w:rPr>
            </w:pPr>
            <w:r>
              <w:rPr>
                <w:rFonts w:ascii="Book Antiqua" w:hAnsi="Book Antiqua" w:cs="Book Antiqua"/>
                <w:b/>
                <w:lang w:eastAsia="zh-CN"/>
              </w:rPr>
              <w:t>Day 10</w:t>
            </w:r>
          </w:p>
        </w:tc>
        <w:tc>
          <w:tcPr>
            <w:tcW w:w="720" w:type="dxa"/>
            <w:tcBorders>
              <w:top w:val="single" w:color="auto" w:sz="4" w:space="0"/>
              <w:bottom w:val="single" w:color="auto" w:sz="4" w:space="0"/>
            </w:tcBorders>
          </w:tcPr>
          <w:p>
            <w:pPr>
              <w:widowControl w:val="0"/>
              <w:spacing w:line="360" w:lineRule="auto"/>
              <w:jc w:val="both"/>
              <w:rPr>
                <w:rFonts w:ascii="Book Antiqua" w:hAnsi="Book Antiqua" w:cs="Book Antiqua"/>
                <w:b/>
                <w:lang w:eastAsia="zh-CN"/>
              </w:rPr>
            </w:pPr>
            <w:r>
              <w:rPr>
                <w:rFonts w:ascii="Book Antiqua" w:hAnsi="Book Antiqua" w:cs="Book Antiqua"/>
                <w:b/>
                <w:lang w:eastAsia="zh-CN"/>
              </w:rPr>
              <w:t>Day 15</w:t>
            </w:r>
          </w:p>
        </w:tc>
        <w:tc>
          <w:tcPr>
            <w:tcW w:w="780" w:type="dxa"/>
            <w:tcBorders>
              <w:top w:val="single" w:color="auto" w:sz="4" w:space="0"/>
              <w:bottom w:val="single" w:color="auto" w:sz="4" w:space="0"/>
              <w:right w:val="nil"/>
            </w:tcBorders>
          </w:tcPr>
          <w:p>
            <w:pPr>
              <w:widowControl w:val="0"/>
              <w:spacing w:line="360" w:lineRule="auto"/>
              <w:jc w:val="both"/>
              <w:rPr>
                <w:rFonts w:ascii="Book Antiqua" w:hAnsi="Book Antiqua" w:cs="Book Antiqua"/>
                <w:b/>
                <w:lang w:eastAsia="zh-CN"/>
              </w:rPr>
            </w:pPr>
            <w:r>
              <w:rPr>
                <w:rFonts w:ascii="Book Antiqua" w:hAnsi="Book Antiqua" w:cs="Book Antiqua"/>
                <w:b/>
                <w:lang w:eastAsia="zh-CN"/>
              </w:rPr>
              <w:t>Day 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1" w:type="dxa"/>
            <w:tcBorders>
              <w:top w:val="single" w:color="auto" w:sz="4" w:space="0"/>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WBC count (10</w:t>
            </w:r>
            <w:r>
              <w:rPr>
                <w:rFonts w:ascii="Book Antiqua" w:hAnsi="Book Antiqua" w:cs="Book Antiqua"/>
                <w:vertAlign w:val="superscript"/>
                <w:lang w:eastAsia="zh-CN"/>
              </w:rPr>
              <w:t>9</w:t>
            </w:r>
            <w:r>
              <w:rPr>
                <w:rFonts w:ascii="Book Antiqua" w:hAnsi="Book Antiqua" w:cs="Book Antiqua"/>
                <w:lang w:eastAsia="zh-CN"/>
              </w:rPr>
              <w:t xml:space="preserve"> /L) </w:t>
            </w:r>
          </w:p>
        </w:tc>
        <w:tc>
          <w:tcPr>
            <w:tcW w:w="730" w:type="dxa"/>
            <w:tcBorders>
              <w:top w:val="single" w:color="auto" w:sz="4" w:space="0"/>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22.82</w:t>
            </w:r>
          </w:p>
        </w:tc>
        <w:tc>
          <w:tcPr>
            <w:tcW w:w="760" w:type="dxa"/>
            <w:tcBorders>
              <w:top w:val="single" w:color="auto" w:sz="4" w:space="0"/>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12.52</w:t>
            </w:r>
          </w:p>
        </w:tc>
        <w:tc>
          <w:tcPr>
            <w:tcW w:w="790" w:type="dxa"/>
            <w:tcBorders>
              <w:top w:val="single" w:color="auto" w:sz="4" w:space="0"/>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13.23</w:t>
            </w:r>
          </w:p>
        </w:tc>
        <w:tc>
          <w:tcPr>
            <w:tcW w:w="820" w:type="dxa"/>
            <w:tcBorders>
              <w:top w:val="single" w:color="auto" w:sz="4" w:space="0"/>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15.74</w:t>
            </w:r>
          </w:p>
        </w:tc>
        <w:tc>
          <w:tcPr>
            <w:tcW w:w="790" w:type="dxa"/>
            <w:tcBorders>
              <w:top w:val="single" w:color="auto" w:sz="4" w:space="0"/>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13.69</w:t>
            </w:r>
          </w:p>
        </w:tc>
        <w:tc>
          <w:tcPr>
            <w:tcW w:w="760" w:type="dxa"/>
            <w:tcBorders>
              <w:top w:val="single" w:color="auto" w:sz="4" w:space="0"/>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11.65</w:t>
            </w:r>
          </w:p>
        </w:tc>
        <w:tc>
          <w:tcPr>
            <w:tcW w:w="760" w:type="dxa"/>
            <w:tcBorders>
              <w:top w:val="single" w:color="auto" w:sz="4" w:space="0"/>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12.83</w:t>
            </w:r>
          </w:p>
        </w:tc>
        <w:tc>
          <w:tcPr>
            <w:tcW w:w="720" w:type="dxa"/>
            <w:tcBorders>
              <w:top w:val="single" w:color="auto" w:sz="4" w:space="0"/>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6.14</w:t>
            </w:r>
          </w:p>
        </w:tc>
        <w:tc>
          <w:tcPr>
            <w:tcW w:w="780" w:type="dxa"/>
            <w:tcBorders>
              <w:top w:val="single" w:color="auto" w:sz="4" w:space="0"/>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7.34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2101"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 xml:space="preserve">Hemoglobin (g/dL) </w:t>
            </w:r>
          </w:p>
        </w:tc>
        <w:tc>
          <w:tcPr>
            <w:tcW w:w="73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10.5</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11.2</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10.4</w:t>
            </w:r>
          </w:p>
        </w:tc>
        <w:tc>
          <w:tcPr>
            <w:tcW w:w="8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10.4</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10.0</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9.6</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9.4</w:t>
            </w:r>
          </w:p>
        </w:tc>
        <w:tc>
          <w:tcPr>
            <w:tcW w:w="7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9.6</w:t>
            </w:r>
          </w:p>
        </w:tc>
        <w:tc>
          <w:tcPr>
            <w:tcW w:w="78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1"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Platelet count (10</w:t>
            </w:r>
            <w:r>
              <w:rPr>
                <w:rFonts w:ascii="Book Antiqua" w:hAnsi="Book Antiqua" w:cs="Book Antiqua"/>
                <w:vertAlign w:val="superscript"/>
                <w:lang w:eastAsia="zh-CN"/>
              </w:rPr>
              <w:t>9</w:t>
            </w:r>
            <w:r>
              <w:rPr>
                <w:rFonts w:ascii="Book Antiqua" w:hAnsi="Book Antiqua" w:cs="Book Antiqua"/>
                <w:lang w:eastAsia="zh-CN"/>
              </w:rPr>
              <w:t xml:space="preserve">/L) </w:t>
            </w:r>
          </w:p>
        </w:tc>
        <w:tc>
          <w:tcPr>
            <w:tcW w:w="73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169</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115</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79</w:t>
            </w:r>
          </w:p>
        </w:tc>
        <w:tc>
          <w:tcPr>
            <w:tcW w:w="8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80</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96</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106</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252</w:t>
            </w:r>
          </w:p>
        </w:tc>
        <w:tc>
          <w:tcPr>
            <w:tcW w:w="7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305</w:t>
            </w:r>
          </w:p>
        </w:tc>
        <w:tc>
          <w:tcPr>
            <w:tcW w:w="78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280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1"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PCT (</w:t>
            </w:r>
            <w:r>
              <w:rPr>
                <w:rFonts w:ascii="Book Antiqua" w:hAnsi="Book Antiqua" w:cs="Book Antiqua"/>
                <w:shd w:val="clear" w:color="auto" w:fill="FFFFFF"/>
                <w:lang w:eastAsia="zh-CN"/>
              </w:rPr>
              <w:t>ng/mL)</w:t>
            </w:r>
          </w:p>
        </w:tc>
        <w:tc>
          <w:tcPr>
            <w:tcW w:w="73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1.77</w:t>
            </w:r>
          </w:p>
        </w:tc>
        <w:tc>
          <w:tcPr>
            <w:tcW w:w="76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2.32</w:t>
            </w:r>
          </w:p>
        </w:tc>
        <w:tc>
          <w:tcPr>
            <w:tcW w:w="79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1.84</w:t>
            </w:r>
          </w:p>
        </w:tc>
        <w:tc>
          <w:tcPr>
            <w:tcW w:w="82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0.73</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0.13</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0.25</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0.06</w:t>
            </w:r>
          </w:p>
        </w:tc>
        <w:tc>
          <w:tcPr>
            <w:tcW w:w="7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0.03</w:t>
            </w:r>
          </w:p>
        </w:tc>
        <w:tc>
          <w:tcPr>
            <w:tcW w:w="78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0.02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1"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 xml:space="preserve">PT (s) </w:t>
            </w:r>
          </w:p>
        </w:tc>
        <w:tc>
          <w:tcPr>
            <w:tcW w:w="73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17.2</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22.1</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16.7</w:t>
            </w:r>
          </w:p>
        </w:tc>
        <w:tc>
          <w:tcPr>
            <w:tcW w:w="8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12.1</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11.1</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12.1</w:t>
            </w:r>
          </w:p>
        </w:tc>
        <w:tc>
          <w:tcPr>
            <w:tcW w:w="7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10.9</w:t>
            </w:r>
          </w:p>
        </w:tc>
        <w:tc>
          <w:tcPr>
            <w:tcW w:w="78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1"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APTT (s)</w:t>
            </w:r>
          </w:p>
        </w:tc>
        <w:tc>
          <w:tcPr>
            <w:tcW w:w="73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26.5</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44.3</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30.7</w:t>
            </w:r>
          </w:p>
        </w:tc>
        <w:tc>
          <w:tcPr>
            <w:tcW w:w="8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27.7</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26.6</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25.6</w:t>
            </w:r>
          </w:p>
        </w:tc>
        <w:tc>
          <w:tcPr>
            <w:tcW w:w="7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28.6</w:t>
            </w:r>
          </w:p>
        </w:tc>
        <w:tc>
          <w:tcPr>
            <w:tcW w:w="78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26.0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1"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 xml:space="preserve">Fibrinogen (g/L) </w:t>
            </w:r>
          </w:p>
        </w:tc>
        <w:tc>
          <w:tcPr>
            <w:tcW w:w="73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3.02</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2.91</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3.07</w:t>
            </w:r>
          </w:p>
        </w:tc>
        <w:tc>
          <w:tcPr>
            <w:tcW w:w="8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4.83</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4.35</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3.85</w:t>
            </w:r>
          </w:p>
        </w:tc>
        <w:tc>
          <w:tcPr>
            <w:tcW w:w="7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2.95</w:t>
            </w:r>
          </w:p>
        </w:tc>
        <w:tc>
          <w:tcPr>
            <w:tcW w:w="78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3.08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1"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 xml:space="preserve">D-dimer level (mg/L) </w:t>
            </w:r>
          </w:p>
        </w:tc>
        <w:tc>
          <w:tcPr>
            <w:tcW w:w="73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3.23</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1.71</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2.23</w:t>
            </w:r>
          </w:p>
        </w:tc>
        <w:tc>
          <w:tcPr>
            <w:tcW w:w="8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1.25</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1.45</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1.10</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1.15</w:t>
            </w:r>
          </w:p>
        </w:tc>
        <w:tc>
          <w:tcPr>
            <w:tcW w:w="7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1.85</w:t>
            </w:r>
          </w:p>
        </w:tc>
        <w:tc>
          <w:tcPr>
            <w:tcW w:w="78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1.02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1"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 xml:space="preserve">BUN (mmol/L) </w:t>
            </w:r>
          </w:p>
        </w:tc>
        <w:tc>
          <w:tcPr>
            <w:tcW w:w="73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4.95</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1.54</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3.73</w:t>
            </w:r>
          </w:p>
        </w:tc>
        <w:tc>
          <w:tcPr>
            <w:tcW w:w="8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4.07</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4.09</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3.67</w:t>
            </w:r>
          </w:p>
        </w:tc>
        <w:tc>
          <w:tcPr>
            <w:tcW w:w="7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3.67</w:t>
            </w:r>
          </w:p>
        </w:tc>
        <w:tc>
          <w:tcPr>
            <w:tcW w:w="78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4.34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1"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 xml:space="preserve">Creatinine (umol/L) </w:t>
            </w:r>
          </w:p>
        </w:tc>
        <w:tc>
          <w:tcPr>
            <w:tcW w:w="73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b/>
                <w:bCs/>
                <w:lang w:eastAsia="zh-CN"/>
              </w:rPr>
              <w:t>129.6</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47.0</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69.2</w:t>
            </w:r>
          </w:p>
        </w:tc>
        <w:tc>
          <w:tcPr>
            <w:tcW w:w="8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57.4</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46.7</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36.0</w:t>
            </w:r>
          </w:p>
        </w:tc>
        <w:tc>
          <w:tcPr>
            <w:tcW w:w="7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36.0</w:t>
            </w:r>
          </w:p>
        </w:tc>
        <w:tc>
          <w:tcPr>
            <w:tcW w:w="78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61.7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1"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 xml:space="preserve">AST (U/L) </w:t>
            </w:r>
          </w:p>
        </w:tc>
        <w:tc>
          <w:tcPr>
            <w:tcW w:w="73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48.0</w:t>
            </w:r>
          </w:p>
        </w:tc>
        <w:tc>
          <w:tcPr>
            <w:tcW w:w="76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314.0</w:t>
            </w:r>
          </w:p>
        </w:tc>
        <w:tc>
          <w:tcPr>
            <w:tcW w:w="79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588.0</w:t>
            </w:r>
          </w:p>
        </w:tc>
        <w:tc>
          <w:tcPr>
            <w:tcW w:w="82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781.0</w:t>
            </w:r>
          </w:p>
        </w:tc>
        <w:tc>
          <w:tcPr>
            <w:tcW w:w="79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506.0</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349.0</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74.2</w:t>
            </w:r>
          </w:p>
        </w:tc>
        <w:tc>
          <w:tcPr>
            <w:tcW w:w="7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41.0</w:t>
            </w:r>
          </w:p>
        </w:tc>
        <w:tc>
          <w:tcPr>
            <w:tcW w:w="78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39.0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1"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 xml:space="preserve">ALT (U/L) </w:t>
            </w:r>
          </w:p>
        </w:tc>
        <w:tc>
          <w:tcPr>
            <w:tcW w:w="73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23.0</w:t>
            </w:r>
          </w:p>
        </w:tc>
        <w:tc>
          <w:tcPr>
            <w:tcW w:w="76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90.0</w:t>
            </w:r>
          </w:p>
        </w:tc>
        <w:tc>
          <w:tcPr>
            <w:tcW w:w="79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161.0</w:t>
            </w:r>
          </w:p>
        </w:tc>
        <w:tc>
          <w:tcPr>
            <w:tcW w:w="82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252.0</w:t>
            </w:r>
          </w:p>
        </w:tc>
        <w:tc>
          <w:tcPr>
            <w:tcW w:w="79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240.0</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230.0</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145.0</w:t>
            </w:r>
          </w:p>
        </w:tc>
        <w:tc>
          <w:tcPr>
            <w:tcW w:w="7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127.0</w:t>
            </w:r>
          </w:p>
        </w:tc>
        <w:tc>
          <w:tcPr>
            <w:tcW w:w="78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46.0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1"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 xml:space="preserve">TBil (umol/L) </w:t>
            </w:r>
          </w:p>
        </w:tc>
        <w:tc>
          <w:tcPr>
            <w:tcW w:w="73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35.1</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43.7</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25.6</w:t>
            </w:r>
          </w:p>
        </w:tc>
        <w:tc>
          <w:tcPr>
            <w:tcW w:w="8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27.1</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27.1</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22.8</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14.0</w:t>
            </w:r>
          </w:p>
        </w:tc>
        <w:tc>
          <w:tcPr>
            <w:tcW w:w="7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11.0</w:t>
            </w:r>
          </w:p>
        </w:tc>
        <w:tc>
          <w:tcPr>
            <w:tcW w:w="78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1"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LDH (IU/L)</w:t>
            </w:r>
          </w:p>
        </w:tc>
        <w:tc>
          <w:tcPr>
            <w:tcW w:w="73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453.0</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792.0</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671.0</w:t>
            </w:r>
          </w:p>
        </w:tc>
        <w:tc>
          <w:tcPr>
            <w:tcW w:w="8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b/>
                <w:bCs/>
                <w:lang w:eastAsia="zh-CN"/>
              </w:rPr>
              <w:t>1311.0</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773.0</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637.0</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464.0</w:t>
            </w:r>
          </w:p>
        </w:tc>
        <w:tc>
          <w:tcPr>
            <w:tcW w:w="7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366.0</w:t>
            </w:r>
          </w:p>
        </w:tc>
        <w:tc>
          <w:tcPr>
            <w:tcW w:w="78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185.0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1"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 xml:space="preserve">CK (IU/L) </w:t>
            </w:r>
          </w:p>
        </w:tc>
        <w:tc>
          <w:tcPr>
            <w:tcW w:w="73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b/>
                <w:bCs/>
                <w:lang w:eastAsia="zh-CN"/>
              </w:rPr>
              <w:t>4379</w:t>
            </w:r>
          </w:p>
        </w:tc>
        <w:tc>
          <w:tcPr>
            <w:tcW w:w="76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18168</w:t>
            </w:r>
          </w:p>
        </w:tc>
        <w:tc>
          <w:tcPr>
            <w:tcW w:w="79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13563</w:t>
            </w:r>
          </w:p>
        </w:tc>
        <w:tc>
          <w:tcPr>
            <w:tcW w:w="82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16520</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12171</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9384</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2139</w:t>
            </w:r>
          </w:p>
        </w:tc>
        <w:tc>
          <w:tcPr>
            <w:tcW w:w="7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434</w:t>
            </w:r>
          </w:p>
        </w:tc>
        <w:tc>
          <w:tcPr>
            <w:tcW w:w="78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1"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 xml:space="preserve">CK-MB (U/L) </w:t>
            </w:r>
          </w:p>
        </w:tc>
        <w:tc>
          <w:tcPr>
            <w:tcW w:w="73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63</w:t>
            </w:r>
          </w:p>
        </w:tc>
        <w:tc>
          <w:tcPr>
            <w:tcW w:w="76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268</w:t>
            </w:r>
          </w:p>
        </w:tc>
        <w:tc>
          <w:tcPr>
            <w:tcW w:w="79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314</w:t>
            </w:r>
          </w:p>
        </w:tc>
        <w:tc>
          <w:tcPr>
            <w:tcW w:w="82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482</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197</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157</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41</w:t>
            </w:r>
          </w:p>
        </w:tc>
        <w:tc>
          <w:tcPr>
            <w:tcW w:w="7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17</w:t>
            </w:r>
          </w:p>
        </w:tc>
        <w:tc>
          <w:tcPr>
            <w:tcW w:w="78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1"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 xml:space="preserve">cTnI (ng/mL) </w:t>
            </w:r>
          </w:p>
        </w:tc>
        <w:tc>
          <w:tcPr>
            <w:tcW w:w="73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0.58</w:t>
            </w:r>
          </w:p>
        </w:tc>
        <w:tc>
          <w:tcPr>
            <w:tcW w:w="76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0.21</w:t>
            </w:r>
          </w:p>
        </w:tc>
        <w:tc>
          <w:tcPr>
            <w:tcW w:w="79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0.29</w:t>
            </w:r>
          </w:p>
        </w:tc>
        <w:tc>
          <w:tcPr>
            <w:tcW w:w="8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b/>
                <w:bCs/>
                <w:lang w:eastAsia="zh-CN"/>
              </w:rPr>
              <w:t>0.14</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0.10</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0.07</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0.02</w:t>
            </w:r>
          </w:p>
        </w:tc>
        <w:tc>
          <w:tcPr>
            <w:tcW w:w="7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0.11</w:t>
            </w:r>
          </w:p>
        </w:tc>
        <w:tc>
          <w:tcPr>
            <w:tcW w:w="78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0.08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01"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 xml:space="preserve">SOFA score </w:t>
            </w:r>
          </w:p>
        </w:tc>
        <w:tc>
          <w:tcPr>
            <w:tcW w:w="73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14</w:t>
            </w:r>
          </w:p>
        </w:tc>
        <w:tc>
          <w:tcPr>
            <w:tcW w:w="76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9</w:t>
            </w:r>
          </w:p>
        </w:tc>
        <w:tc>
          <w:tcPr>
            <w:tcW w:w="79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5</w:t>
            </w:r>
          </w:p>
        </w:tc>
        <w:tc>
          <w:tcPr>
            <w:tcW w:w="820" w:type="dxa"/>
            <w:tcBorders>
              <w:tl2br w:val="nil"/>
              <w:tr2bl w:val="nil"/>
            </w:tcBorders>
          </w:tcPr>
          <w:p>
            <w:pPr>
              <w:widowControl w:val="0"/>
              <w:spacing w:line="360" w:lineRule="auto"/>
              <w:jc w:val="both"/>
              <w:rPr>
                <w:rFonts w:ascii="Book Antiqua" w:hAnsi="Book Antiqua" w:cs="Book Antiqua"/>
                <w:b/>
                <w:bCs/>
                <w:lang w:eastAsia="zh-CN"/>
              </w:rPr>
            </w:pPr>
            <w:r>
              <w:rPr>
                <w:rFonts w:ascii="Book Antiqua" w:hAnsi="Book Antiqua" w:cs="Book Antiqua"/>
                <w:b/>
                <w:bCs/>
                <w:lang w:eastAsia="zh-CN"/>
              </w:rPr>
              <w:t>2</w:t>
            </w:r>
          </w:p>
        </w:tc>
        <w:tc>
          <w:tcPr>
            <w:tcW w:w="79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0</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w:t>
            </w:r>
          </w:p>
        </w:tc>
        <w:tc>
          <w:tcPr>
            <w:tcW w:w="76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w:t>
            </w:r>
          </w:p>
        </w:tc>
        <w:tc>
          <w:tcPr>
            <w:tcW w:w="72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w:t>
            </w:r>
          </w:p>
        </w:tc>
        <w:tc>
          <w:tcPr>
            <w:tcW w:w="780" w:type="dxa"/>
            <w:tcBorders>
              <w:tl2br w:val="nil"/>
              <w:tr2bl w:val="nil"/>
            </w:tcBorders>
          </w:tcPr>
          <w:p>
            <w:pPr>
              <w:widowControl w:val="0"/>
              <w:spacing w:line="360" w:lineRule="auto"/>
              <w:jc w:val="both"/>
              <w:rPr>
                <w:rFonts w:ascii="Book Antiqua" w:hAnsi="Book Antiqua" w:cs="Book Antiqua"/>
                <w:lang w:eastAsia="zh-CN"/>
              </w:rPr>
            </w:pPr>
            <w:r>
              <w:rPr>
                <w:rFonts w:ascii="Book Antiqua" w:hAnsi="Book Antiqua" w:cs="Book Antiqua"/>
                <w:lang w:eastAsia="zh-CN"/>
              </w:rPr>
              <w:t>-</w:t>
            </w:r>
          </w:p>
        </w:tc>
      </w:tr>
      <w:bookmarkEnd w:id="0"/>
    </w:tbl>
    <w:p>
      <w:pPr>
        <w:spacing w:line="360" w:lineRule="auto"/>
        <w:jc w:val="both"/>
        <w:rPr>
          <w:rFonts w:ascii="Book Antiqua" w:hAnsi="Book Antiqua" w:cs="Book Antiqua"/>
        </w:rPr>
      </w:pPr>
      <w:r>
        <w:rPr>
          <w:rFonts w:ascii="Book Antiqua" w:hAnsi="Book Antiqua" w:cs="Book Antiqua"/>
        </w:rPr>
        <w:t>AST:</w:t>
      </w:r>
      <w:r>
        <w:rPr>
          <w:rFonts w:ascii="Book Antiqua" w:hAnsi="Book Antiqua" w:cs="Book Antiqua"/>
          <w:lang w:eastAsia="zh-CN"/>
        </w:rPr>
        <w:t xml:space="preserve"> </w:t>
      </w:r>
      <w:r>
        <w:rPr>
          <w:rFonts w:ascii="Book Antiqua" w:hAnsi="Book Antiqua" w:cs="Book Antiqua"/>
        </w:rPr>
        <w:t xml:space="preserve">Aspartate aminotransferase; ALT: Alanine aminotransferase; APTT: Activated partial thromboplastin time; </w:t>
      </w:r>
      <w:r>
        <w:rPr>
          <w:rFonts w:ascii="Book Antiqua" w:hAnsi="Book Antiqua" w:cs="Book Antiqua"/>
          <w:lang w:eastAsia="zh-CN"/>
        </w:rPr>
        <w:t>BUN</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Blood urea nitrogen</w:t>
      </w:r>
      <w:r>
        <w:rPr>
          <w:rFonts w:ascii="Book Antiqua" w:hAnsi="Book Antiqua" w:cs="Book Antiqua"/>
          <w:lang w:eastAsia="zh-CN"/>
        </w:rPr>
        <w:t xml:space="preserve">; </w:t>
      </w:r>
      <w:r>
        <w:rPr>
          <w:rFonts w:ascii="Book Antiqua" w:hAnsi="Book Antiqua" w:cs="Book Antiqua"/>
        </w:rPr>
        <w:t>CK: Creatine kinase; CK-MB: Creatine kinase-MB; cTnI: Cardiac troponin I;</w:t>
      </w:r>
      <w:r>
        <w:rPr>
          <w:rFonts w:ascii="Book Antiqua" w:hAnsi="Book Antiqua" w:eastAsia="Book Antiqua" w:cs="Book Antiqua"/>
          <w:color w:val="000000"/>
        </w:rPr>
        <w:t xml:space="preserve"> </w:t>
      </w:r>
      <w:r>
        <w:rPr>
          <w:rFonts w:ascii="Book Antiqua" w:hAnsi="Book Antiqua" w:cs="Book Antiqua"/>
        </w:rPr>
        <w:t xml:space="preserve">LDH: Lactate dehydrogenase; </w:t>
      </w:r>
      <w:r>
        <w:rPr>
          <w:rFonts w:ascii="Book Antiqua" w:hAnsi="Book Antiqua" w:cs="Book Antiqua"/>
          <w:lang w:eastAsia="zh-CN"/>
        </w:rPr>
        <w:t xml:space="preserve">PCT: </w:t>
      </w:r>
      <w:r>
        <w:fldChar w:fldCharType="begin"/>
      </w:r>
      <w:r>
        <w:instrText xml:space="preserve"> HYPERLINK "javascript:;" </w:instrText>
      </w:r>
      <w:r>
        <w:fldChar w:fldCharType="separate"/>
      </w:r>
      <w:r>
        <w:rPr>
          <w:rFonts w:ascii="Book Antiqua" w:hAnsi="Book Antiqua" w:cs="Book Antiqua"/>
        </w:rPr>
        <w:t>Procalcitonin</w:t>
      </w:r>
      <w:r>
        <w:rPr>
          <w:rFonts w:ascii="Book Antiqua" w:hAnsi="Book Antiqua" w:cs="Book Antiqua"/>
        </w:rPr>
        <w:fldChar w:fldCharType="end"/>
      </w:r>
      <w:r>
        <w:rPr>
          <w:rFonts w:ascii="Book Antiqua" w:hAnsi="Book Antiqua" w:cs="Book Antiqua"/>
          <w:lang w:eastAsia="zh-CN"/>
        </w:rPr>
        <w:t xml:space="preserve">; </w:t>
      </w:r>
      <w:r>
        <w:rPr>
          <w:rFonts w:ascii="Book Antiqua" w:hAnsi="Book Antiqua" w:cs="Book Antiqua"/>
        </w:rPr>
        <w:t>PT: Prothrombin time;</w:t>
      </w:r>
      <w:r>
        <w:rPr>
          <w:rFonts w:ascii="Book Antiqua" w:hAnsi="Book Antiqua" w:cs="Book Antiqua"/>
          <w:lang w:eastAsia="zh-CN"/>
        </w:rPr>
        <w:t xml:space="preserve"> </w:t>
      </w:r>
      <w:r>
        <w:rPr>
          <w:rFonts w:ascii="Book Antiqua" w:hAnsi="Book Antiqua" w:cs="Book Antiqua"/>
        </w:rPr>
        <w:t>SOFA:</w:t>
      </w:r>
      <w:r>
        <w:rPr>
          <w:rFonts w:ascii="Book Antiqua" w:hAnsi="Book Antiqua" w:eastAsia="Book Antiqua" w:cs="Book Antiqua"/>
          <w:color w:val="000000"/>
        </w:rPr>
        <w:t xml:space="preserve"> Sequential Organ Failure Assessment; </w:t>
      </w:r>
      <w:r>
        <w:rPr>
          <w:rFonts w:ascii="Book Antiqua" w:hAnsi="Book Antiqua" w:cs="Book Antiqua"/>
        </w:rPr>
        <w:t>WBC: White blood cell.</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r>
        <w:rPr>
          <w:rFonts w:ascii="Book Antiqua" w:hAnsi="Book Antiqua"/>
        </w:rPr>
        <w:drawing>
          <wp:inline distT="0" distB="0" distL="0" distR="0">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snapToGrid w:val="0"/>
        <w:ind w:left="240" w:leftChars="100"/>
        <w:jc w:val="center"/>
        <w:rPr>
          <w:rFonts w:ascii="Book Antiqua" w:hAnsi="Book Antiqua"/>
        </w:rPr>
      </w:pPr>
    </w:p>
    <w:p>
      <w:pPr>
        <w:autoSpaceDE w:val="0"/>
        <w:autoSpaceDN w:val="0"/>
        <w:adjustRightInd w:val="0"/>
        <w:snapToGrid w:val="0"/>
        <w:spacing w:line="240" w:lineRule="atLeast"/>
        <w:ind w:left="240" w:leftChars="100"/>
        <w:jc w:val="center"/>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snapToGrid w:val="0"/>
        <w:ind w:left="240" w:leftChars="100"/>
        <w:jc w:val="center"/>
        <w:rPr>
          <w:rFonts w:ascii="Book Antiqua" w:hAnsi="Book Antiqua"/>
        </w:rPr>
      </w:pPr>
      <w:r>
        <w:rPr>
          <w:rFonts w:ascii="Book Antiqua" w:hAnsi="Book Antiqua" w:eastAsia="TimesNewRomanPSMT" w:cs="Garamond"/>
          <w:color w:val="D56400"/>
          <w:sz w:val="28"/>
          <w:szCs w:val="28"/>
        </w:rPr>
        <w:t>https://www.wjgnet.com</w:t>
      </w: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r>
        <w:rPr>
          <w:rFonts w:ascii="Book Antiqua" w:hAnsi="Book Antiqua"/>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right"/>
        <w:rPr>
          <w:rFonts w:ascii="Book Antiqua" w:hAnsi="Book Antiqua"/>
          <w:color w:val="000000" w:themeColor="text1"/>
        </w:rPr>
      </w:pPr>
    </w:p>
    <w:p>
      <w:pPr>
        <w:snapToGrid w:val="0"/>
        <w:jc w:val="center"/>
        <w:rPr>
          <w:rFonts w:ascii="Book Antiqua" w:hAnsi="Book Antiqua"/>
          <w:shd w:val="clear" w:color="auto" w:fill="FFFFFF"/>
        </w:rPr>
      </w:pPr>
      <w:r>
        <w:rPr>
          <w:rFonts w:ascii="Book Antiqua" w:hAnsi="Book Antiqua" w:eastAsia="BookAntiqua-Bold" w:cs="BookAntiqua-Bold"/>
          <w:b/>
          <w:bCs/>
          <w:color w:val="000000" w:themeColor="text1"/>
        </w:rPr>
        <w:t>© 202</w:t>
      </w:r>
      <w:r>
        <w:rPr>
          <w:rFonts w:ascii="Book Antiqua" w:hAnsi="Book Antiqua" w:cs="BookAntiqua-Bold"/>
          <w:b/>
          <w:bCs/>
          <w:color w:val="000000" w:themeColor="text1"/>
        </w:rPr>
        <w:t>3</w:t>
      </w:r>
      <w:r>
        <w:rPr>
          <w:rFonts w:ascii="Book Antiqua" w:hAnsi="Book Antiqua" w:eastAsia="BookAntiqua-Bold" w:cs="BookAntiqua-Bold"/>
          <w:b/>
          <w:bCs/>
          <w:color w:val="000000" w:themeColor="text1"/>
        </w:rPr>
        <w:t xml:space="preserve"> Baishideng Publishing Group Inc. All rights reserved.</w:t>
      </w:r>
    </w:p>
    <w:p>
      <w:pPr>
        <w:rPr>
          <w:rFonts w:ascii="Book Antiqua" w:hAnsi="Book Antiqua" w:cs="Book Antiqua"/>
          <w:b/>
          <w:bCs/>
          <w:color w:val="000000"/>
        </w:rPr>
      </w:pPr>
    </w:p>
    <w:p>
      <w:pPr>
        <w:spacing w:line="360" w:lineRule="auto"/>
        <w:jc w:val="both"/>
        <w:rPr>
          <w:rFonts w:ascii="Book Antiqua" w:hAnsi="Book Antiqua"/>
        </w:rPr>
      </w:pPr>
    </w:p>
    <w:sectPr>
      <w:footerReference r:id="rId4" w:type="default"/>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93419884"/>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19</w:t>
            </w:r>
            <w:r>
              <w:rPr>
                <w:rFonts w:ascii="Book Antiqua" w:hAnsi="Book Antiqua"/>
                <w:b/>
                <w:bCs/>
                <w:sz w:val="24"/>
                <w:szCs w:val="24"/>
              </w:rPr>
              <w:fldChar w:fldCharType="end"/>
            </w:r>
          </w:p>
        </w:sdtContent>
      </w:sdt>
    </w:sdtContent>
  </w:sdt>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8803757"/>
      <w:docPartObj>
        <w:docPartGallery w:val="autotext"/>
      </w:docPartObj>
    </w:sdtPr>
    <w:sdtContent>
      <w:sdt>
        <w:sdtPr>
          <w:id w:val="-1769616900"/>
          <w:docPartObj>
            <w:docPartGallery w:val="autotext"/>
          </w:docPartObj>
        </w:sdtPr>
        <w:sdtContent>
          <w:p>
            <w:pPr>
              <w:pStyle w:val="4"/>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eastAsia="zh-CN"/>
              </w:rPr>
              <w:t>2</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ZDMwOTNhZGQxZDZlY2ViN2VkMzIzMzdmMGEyYzNiMGUifQ=="/>
  </w:docVars>
  <w:rsids>
    <w:rsidRoot w:val="00A77B3E"/>
    <w:rsid w:val="00000946"/>
    <w:rsid w:val="000322D7"/>
    <w:rsid w:val="000566D7"/>
    <w:rsid w:val="00066329"/>
    <w:rsid w:val="00073F7E"/>
    <w:rsid w:val="00083189"/>
    <w:rsid w:val="000936BC"/>
    <w:rsid w:val="000D0EC8"/>
    <w:rsid w:val="000E3482"/>
    <w:rsid w:val="000E3E7F"/>
    <w:rsid w:val="00117D07"/>
    <w:rsid w:val="00124923"/>
    <w:rsid w:val="00146D3F"/>
    <w:rsid w:val="001964A8"/>
    <w:rsid w:val="001A5554"/>
    <w:rsid w:val="001A5CB3"/>
    <w:rsid w:val="00227D07"/>
    <w:rsid w:val="002404E8"/>
    <w:rsid w:val="002526C1"/>
    <w:rsid w:val="0025322D"/>
    <w:rsid w:val="00260AC3"/>
    <w:rsid w:val="00265E87"/>
    <w:rsid w:val="002724F8"/>
    <w:rsid w:val="002905D4"/>
    <w:rsid w:val="002F13A8"/>
    <w:rsid w:val="002F1B42"/>
    <w:rsid w:val="00321178"/>
    <w:rsid w:val="0036117E"/>
    <w:rsid w:val="00395578"/>
    <w:rsid w:val="003A6053"/>
    <w:rsid w:val="003B1B1C"/>
    <w:rsid w:val="003D1BAF"/>
    <w:rsid w:val="003F7BAB"/>
    <w:rsid w:val="00420ADE"/>
    <w:rsid w:val="004256A7"/>
    <w:rsid w:val="00433528"/>
    <w:rsid w:val="004358E5"/>
    <w:rsid w:val="00454C61"/>
    <w:rsid w:val="00486ABE"/>
    <w:rsid w:val="00504636"/>
    <w:rsid w:val="005176E8"/>
    <w:rsid w:val="00540F2C"/>
    <w:rsid w:val="00547D62"/>
    <w:rsid w:val="0057792B"/>
    <w:rsid w:val="00590158"/>
    <w:rsid w:val="005C1893"/>
    <w:rsid w:val="005C4507"/>
    <w:rsid w:val="00626DBF"/>
    <w:rsid w:val="006372EA"/>
    <w:rsid w:val="006707D5"/>
    <w:rsid w:val="006871A9"/>
    <w:rsid w:val="006B7720"/>
    <w:rsid w:val="006F46A9"/>
    <w:rsid w:val="006F6DD7"/>
    <w:rsid w:val="007079F4"/>
    <w:rsid w:val="00712199"/>
    <w:rsid w:val="007217AF"/>
    <w:rsid w:val="00724816"/>
    <w:rsid w:val="00733C45"/>
    <w:rsid w:val="00744160"/>
    <w:rsid w:val="007562CE"/>
    <w:rsid w:val="00766A5B"/>
    <w:rsid w:val="007760C9"/>
    <w:rsid w:val="007A22E6"/>
    <w:rsid w:val="007C6BBE"/>
    <w:rsid w:val="007E4C01"/>
    <w:rsid w:val="00806FA1"/>
    <w:rsid w:val="00813F88"/>
    <w:rsid w:val="00852BCE"/>
    <w:rsid w:val="008771DC"/>
    <w:rsid w:val="008857C8"/>
    <w:rsid w:val="00893751"/>
    <w:rsid w:val="00894171"/>
    <w:rsid w:val="00897650"/>
    <w:rsid w:val="008A0613"/>
    <w:rsid w:val="008D2BC6"/>
    <w:rsid w:val="008D6D42"/>
    <w:rsid w:val="008F1382"/>
    <w:rsid w:val="009415BA"/>
    <w:rsid w:val="00950119"/>
    <w:rsid w:val="00956293"/>
    <w:rsid w:val="00973C94"/>
    <w:rsid w:val="0099093D"/>
    <w:rsid w:val="009E6169"/>
    <w:rsid w:val="009F2B21"/>
    <w:rsid w:val="00A06004"/>
    <w:rsid w:val="00A10961"/>
    <w:rsid w:val="00A30D44"/>
    <w:rsid w:val="00A37801"/>
    <w:rsid w:val="00A40BA9"/>
    <w:rsid w:val="00A51803"/>
    <w:rsid w:val="00A64640"/>
    <w:rsid w:val="00A77B3E"/>
    <w:rsid w:val="00AB7687"/>
    <w:rsid w:val="00AE30B6"/>
    <w:rsid w:val="00B6115F"/>
    <w:rsid w:val="00BA7187"/>
    <w:rsid w:val="00BE6EA7"/>
    <w:rsid w:val="00C03E1A"/>
    <w:rsid w:val="00C05F6A"/>
    <w:rsid w:val="00C106FD"/>
    <w:rsid w:val="00C50952"/>
    <w:rsid w:val="00C66A4C"/>
    <w:rsid w:val="00C74838"/>
    <w:rsid w:val="00C92BF0"/>
    <w:rsid w:val="00C97A61"/>
    <w:rsid w:val="00CA2A55"/>
    <w:rsid w:val="00CA4500"/>
    <w:rsid w:val="00CA7DA3"/>
    <w:rsid w:val="00CC33CB"/>
    <w:rsid w:val="00CC6E0C"/>
    <w:rsid w:val="00D01120"/>
    <w:rsid w:val="00D11BB8"/>
    <w:rsid w:val="00D83F7A"/>
    <w:rsid w:val="00DB7F38"/>
    <w:rsid w:val="00DE52CD"/>
    <w:rsid w:val="00DF7CF9"/>
    <w:rsid w:val="00E050B3"/>
    <w:rsid w:val="00E064BF"/>
    <w:rsid w:val="00E42834"/>
    <w:rsid w:val="00E5718A"/>
    <w:rsid w:val="00E801A8"/>
    <w:rsid w:val="00EC26F5"/>
    <w:rsid w:val="00F16121"/>
    <w:rsid w:val="00F70B56"/>
    <w:rsid w:val="00F77B21"/>
    <w:rsid w:val="00FA3658"/>
    <w:rsid w:val="00FC24F2"/>
    <w:rsid w:val="00FC6B4F"/>
    <w:rsid w:val="00FD147D"/>
    <w:rsid w:val="00FD5745"/>
    <w:rsid w:val="3B423A22"/>
    <w:rsid w:val="72220DD1"/>
    <w:rsid w:val="76CC34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0"/>
  </w:style>
  <w:style w:type="paragraph" w:styleId="3">
    <w:name w:val="Balloon Text"/>
    <w:basedOn w:val="1"/>
    <w:link w:val="14"/>
    <w:semiHidden/>
    <w:unhideWhenUsed/>
    <w:qFormat/>
    <w:uiPriority w:val="0"/>
    <w:rPr>
      <w:sz w:val="18"/>
      <w:szCs w:val="18"/>
    </w:rPr>
  </w:style>
  <w:style w:type="paragraph" w:styleId="4">
    <w:name w:val="footer"/>
    <w:basedOn w:val="1"/>
    <w:link w:val="13"/>
    <w:unhideWhenUsed/>
    <w:qFormat/>
    <w:uiPriority w:val="99"/>
    <w:pPr>
      <w:tabs>
        <w:tab w:val="center" w:pos="4153"/>
        <w:tab w:val="right" w:pos="8306"/>
      </w:tabs>
      <w:snapToGrid w:val="0"/>
    </w:pPr>
    <w:rPr>
      <w:sz w:val="18"/>
      <w:szCs w:val="18"/>
    </w:rPr>
  </w:style>
  <w:style w:type="paragraph" w:styleId="5">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semiHidden/>
    <w:unhideWhenUsed/>
    <w:qFormat/>
    <w:uiPriority w:val="0"/>
    <w:rPr>
      <w:b/>
      <w:bCs/>
    </w:rPr>
  </w:style>
  <w:style w:type="table" w:styleId="8">
    <w:name w:val="Table Grid"/>
    <w:basedOn w:val="7"/>
    <w:qFormat/>
    <w:uiPriority w:val="0"/>
    <w:pPr>
      <w:widowControl w:val="0"/>
      <w:jc w:val="both"/>
    </w:pPr>
    <w:rPr>
      <w:rFonts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semiHidden/>
    <w:unhideWhenUsed/>
    <w:qFormat/>
    <w:uiPriority w:val="0"/>
    <w:rPr>
      <w:sz w:val="21"/>
      <w:szCs w:val="21"/>
    </w:rPr>
  </w:style>
  <w:style w:type="character" w:customStyle="1" w:styleId="11">
    <w:name w:val="15"/>
    <w:basedOn w:val="9"/>
    <w:qFormat/>
    <w:uiPriority w:val="0"/>
  </w:style>
  <w:style w:type="character" w:customStyle="1" w:styleId="12">
    <w:name w:val="页眉 字符"/>
    <w:basedOn w:val="9"/>
    <w:link w:val="5"/>
    <w:qFormat/>
    <w:uiPriority w:val="0"/>
    <w:rPr>
      <w:sz w:val="18"/>
      <w:szCs w:val="18"/>
    </w:rPr>
  </w:style>
  <w:style w:type="character" w:customStyle="1" w:styleId="13">
    <w:name w:val="页脚 字符"/>
    <w:basedOn w:val="9"/>
    <w:link w:val="4"/>
    <w:qFormat/>
    <w:uiPriority w:val="99"/>
    <w:rPr>
      <w:sz w:val="18"/>
      <w:szCs w:val="18"/>
    </w:rPr>
  </w:style>
  <w:style w:type="character" w:customStyle="1" w:styleId="14">
    <w:name w:val="批注框文本 字符"/>
    <w:basedOn w:val="9"/>
    <w:link w:val="3"/>
    <w:semiHidden/>
    <w:qFormat/>
    <w:uiPriority w:val="0"/>
    <w:rPr>
      <w:sz w:val="18"/>
      <w:szCs w:val="18"/>
    </w:rPr>
  </w:style>
  <w:style w:type="character" w:customStyle="1" w:styleId="15">
    <w:name w:val="批注文字 字符"/>
    <w:basedOn w:val="9"/>
    <w:link w:val="2"/>
    <w:semiHidden/>
    <w:qFormat/>
    <w:uiPriority w:val="0"/>
    <w:rPr>
      <w:sz w:val="24"/>
      <w:szCs w:val="24"/>
    </w:rPr>
  </w:style>
  <w:style w:type="character" w:customStyle="1" w:styleId="16">
    <w:name w:val="批注主题 字符"/>
    <w:basedOn w:val="15"/>
    <w:link w:val="6"/>
    <w:semiHidden/>
    <w:qFormat/>
    <w:uiPriority w:val="0"/>
    <w:rPr>
      <w:b/>
      <w:bCs/>
      <w:sz w:val="24"/>
      <w:szCs w:val="24"/>
    </w:rPr>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Company>
  <Pages>20</Pages>
  <Words>4014</Words>
  <Characters>23634</Characters>
  <Lines>193</Lines>
  <Paragraphs>54</Paragraphs>
  <TotalTime>0</TotalTime>
  <ScaleCrop>false</ScaleCrop>
  <LinksUpToDate>false</LinksUpToDate>
  <CharactersWithSpaces>27330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2023-02-28T03:31:00Z</dcterms:created>
  <dc:creator>lenovo</dc:creator>
  <cp:lastModifiedBy>晓晨</cp:lastModifiedBy>
  <dcterms:modified xsi:type="dcterms:W3CDTF">2023-03-30T06:42:01Z</dcterms:modified>
  <cp:revision>124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C3F0B48C94B74483AD7B32A5861AA326</vt:lpwstr>
  </property>
</Properties>
</file>